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76DFE" w14:paraId="4286D9C7" w14:textId="77777777" w:rsidTr="009B410E">
        <w:trPr>
          <w:trHeight w:val="851"/>
        </w:trPr>
        <w:tc>
          <w:tcPr>
            <w:tcW w:w="465" w:type="pct"/>
            <w:tcBorders>
              <w:bottom w:val="single" w:sz="8" w:space="0" w:color="auto"/>
            </w:tcBorders>
            <w:vAlign w:val="bottom"/>
          </w:tcPr>
          <w:p w14:paraId="288FBEAB" w14:textId="77777777" w:rsidR="00A96B21" w:rsidRPr="00476DFE" w:rsidRDefault="00A96B21" w:rsidP="009B410E">
            <w:pPr>
              <w:spacing w:after="120"/>
              <w:jc w:val="left"/>
            </w:pPr>
            <w:bookmarkStart w:id="0" w:name="_Hlk137651738"/>
            <w:r>
              <w:rPr>
                <w:noProof/>
                <w:lang w:eastAsia="fr-CA"/>
              </w:rPr>
              <w:drawing>
                <wp:inline distT="0" distB="0" distL="0" distR="0" wp14:anchorId="314860A2" wp14:editId="40AFFEF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926C41" w14:textId="793128D2" w:rsidR="00A96B21" w:rsidRPr="00476DFE" w:rsidRDefault="001E2410" w:rsidP="009B410E">
            <w:pPr>
              <w:spacing w:after="120"/>
              <w:jc w:val="left"/>
            </w:pPr>
            <w:r w:rsidRPr="001E2410">
              <w:rPr>
                <w:noProof/>
                <w:lang w:eastAsia="fr-CA"/>
              </w:rPr>
              <w:drawing>
                <wp:inline distT="0" distB="0" distL="0" distR="0" wp14:anchorId="6DF7F447" wp14:editId="5C632886">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654FD40D" w14:textId="67EF453D" w:rsidR="00A96B21" w:rsidRPr="00476DFE" w:rsidRDefault="00A96B21" w:rsidP="00184909">
            <w:pPr>
              <w:spacing w:after="120"/>
              <w:ind w:left="2021"/>
              <w:jc w:val="right"/>
              <w:rPr>
                <w:szCs w:val="22"/>
              </w:rPr>
            </w:pPr>
            <w:r>
              <w:rPr>
                <w:sz w:val="40"/>
                <w:szCs w:val="40"/>
              </w:rPr>
              <w:t>CBD</w:t>
            </w:r>
            <w:r>
              <w:t>/COP/16/10</w:t>
            </w:r>
            <w:r w:rsidR="00AF1EB7">
              <w:t>/Rev.1</w:t>
            </w:r>
          </w:p>
        </w:tc>
      </w:tr>
      <w:tr w:rsidR="00A96B21" w:rsidRPr="00476DFE" w14:paraId="711DBCE9" w14:textId="77777777" w:rsidTr="009B410E">
        <w:tc>
          <w:tcPr>
            <w:tcW w:w="2297" w:type="pct"/>
            <w:gridSpan w:val="2"/>
            <w:tcBorders>
              <w:top w:val="single" w:sz="8" w:space="0" w:color="auto"/>
              <w:bottom w:val="single" w:sz="12" w:space="0" w:color="auto"/>
            </w:tcBorders>
          </w:tcPr>
          <w:p w14:paraId="4A5D8614" w14:textId="70DA2424" w:rsidR="00A96B21" w:rsidRPr="00476DFE" w:rsidRDefault="001E2410" w:rsidP="009B410E">
            <w:pPr>
              <w:pStyle w:val="Cornernotation"/>
              <w:suppressLineNumbers/>
              <w:suppressAutoHyphens/>
              <w:spacing w:before="120" w:after="120"/>
              <w:ind w:left="0" w:right="0" w:firstLine="0"/>
            </w:pPr>
            <w:r w:rsidRPr="00984BD5">
              <w:rPr>
                <w:bCs/>
                <w:noProof/>
                <w:lang w:eastAsia="fr-CA"/>
              </w:rPr>
              <w:drawing>
                <wp:inline distT="0" distB="0" distL="0" distR="0" wp14:anchorId="7BA97D8C" wp14:editId="30426975">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0ED7E7E" w14:textId="6A65037C" w:rsidR="00A96B21" w:rsidRPr="00476DFE" w:rsidRDefault="00A96B21" w:rsidP="003C6F10">
            <w:pPr>
              <w:ind w:left="2584"/>
              <w:rPr>
                <w:sz w:val="22"/>
                <w:szCs w:val="22"/>
              </w:rPr>
            </w:pPr>
            <w:proofErr w:type="spellStart"/>
            <w:r>
              <w:rPr>
                <w:sz w:val="22"/>
                <w:szCs w:val="22"/>
              </w:rPr>
              <w:t>Distr</w:t>
            </w:r>
            <w:proofErr w:type="spellEnd"/>
            <w:r>
              <w:rPr>
                <w:sz w:val="22"/>
                <w:szCs w:val="22"/>
              </w:rPr>
              <w:t>.</w:t>
            </w:r>
            <w:r w:rsidR="001E2410">
              <w:rPr>
                <w:sz w:val="22"/>
                <w:szCs w:val="22"/>
              </w:rPr>
              <w:t> </w:t>
            </w:r>
            <w:r>
              <w:rPr>
                <w:sz w:val="22"/>
                <w:szCs w:val="22"/>
              </w:rPr>
              <w:t xml:space="preserve">: </w:t>
            </w:r>
            <w:r w:rsidR="002914DE">
              <w:rPr>
                <w:sz w:val="22"/>
                <w:szCs w:val="22"/>
              </w:rPr>
              <w:t>G</w:t>
            </w:r>
            <w:r>
              <w:rPr>
                <w:sz w:val="22"/>
                <w:szCs w:val="22"/>
              </w:rPr>
              <w:t>énérale</w:t>
            </w:r>
          </w:p>
          <w:p w14:paraId="321A575B" w14:textId="0DEB28CA" w:rsidR="00A96B21" w:rsidRPr="00476DFE" w:rsidRDefault="00407A07" w:rsidP="003C6F10">
            <w:pPr>
              <w:ind w:left="2584"/>
              <w:rPr>
                <w:sz w:val="22"/>
                <w:szCs w:val="22"/>
              </w:rPr>
            </w:pPr>
            <w:r>
              <w:rPr>
                <w:sz w:val="22"/>
                <w:szCs w:val="22"/>
              </w:rPr>
              <w:t>22 octobre</w:t>
            </w:r>
            <w:r w:rsidR="0017162E">
              <w:rPr>
                <w:sz w:val="22"/>
                <w:szCs w:val="22"/>
              </w:rPr>
              <w:t xml:space="preserve"> 2024</w:t>
            </w:r>
          </w:p>
          <w:p w14:paraId="3795FEA6" w14:textId="5E121F41" w:rsidR="00A96B21" w:rsidRPr="00476DFE" w:rsidRDefault="001E2410" w:rsidP="003C6F10">
            <w:pPr>
              <w:ind w:left="2584"/>
              <w:rPr>
                <w:sz w:val="22"/>
                <w:szCs w:val="22"/>
              </w:rPr>
            </w:pPr>
            <w:r>
              <w:rPr>
                <w:sz w:val="22"/>
                <w:szCs w:val="22"/>
              </w:rPr>
              <w:t>Français</w:t>
            </w:r>
          </w:p>
          <w:p w14:paraId="1056FB50" w14:textId="2D731B50" w:rsidR="00A96B21" w:rsidRPr="00476DFE" w:rsidRDefault="00A96B21" w:rsidP="003C6F10">
            <w:pPr>
              <w:ind w:left="2584"/>
              <w:rPr>
                <w:sz w:val="22"/>
                <w:szCs w:val="22"/>
              </w:rPr>
            </w:pPr>
            <w:r>
              <w:rPr>
                <w:sz w:val="22"/>
                <w:szCs w:val="22"/>
              </w:rPr>
              <w:t xml:space="preserve">Original : </w:t>
            </w:r>
            <w:r w:rsidR="001E2410">
              <w:rPr>
                <w:sz w:val="22"/>
                <w:szCs w:val="22"/>
              </w:rPr>
              <w:t>a</w:t>
            </w:r>
            <w:r>
              <w:rPr>
                <w:sz w:val="22"/>
                <w:szCs w:val="22"/>
              </w:rPr>
              <w:t>nglais</w:t>
            </w:r>
          </w:p>
          <w:p w14:paraId="73F3F57D" w14:textId="77777777" w:rsidR="00A96B21" w:rsidRPr="00476DFE" w:rsidRDefault="00A96B21" w:rsidP="009B410E"/>
        </w:tc>
      </w:tr>
    </w:tbl>
    <w:p w14:paraId="1CE52444" w14:textId="77777777" w:rsidR="00874541" w:rsidRPr="00476DFE" w:rsidRDefault="00A00234" w:rsidP="00A00234">
      <w:pPr>
        <w:pStyle w:val="Cornernotation"/>
        <w:ind w:left="0" w:right="5249" w:firstLine="0"/>
        <w:rPr>
          <w:bCs/>
        </w:rPr>
      </w:pPr>
      <w:r>
        <w:t>Conférence des Parties à la Convention sur la diversité biologique</w:t>
      </w:r>
    </w:p>
    <w:p w14:paraId="1DAD14A7" w14:textId="77777777" w:rsidR="00A96B21" w:rsidRPr="00476DFE" w:rsidRDefault="00A00234" w:rsidP="00A96B21">
      <w:pPr>
        <w:pStyle w:val="Cornernotation"/>
        <w:rPr>
          <w:bCs/>
          <w:sz w:val="22"/>
        </w:rPr>
      </w:pPr>
      <w:r>
        <w:rPr>
          <w:bCs/>
          <w:sz w:val="22"/>
        </w:rPr>
        <w:t xml:space="preserve">Seizième réunion </w:t>
      </w:r>
    </w:p>
    <w:p w14:paraId="13FE1D3E" w14:textId="3F2FA457" w:rsidR="00A96B21" w:rsidRPr="005519A3" w:rsidRDefault="00A00234" w:rsidP="00A96B21">
      <w:pPr>
        <w:pStyle w:val="Venuedate"/>
      </w:pPr>
      <w:r>
        <w:t>Cali (Colombie), 21 octobre au 1</w:t>
      </w:r>
      <w:r>
        <w:rPr>
          <w:vertAlign w:val="superscript"/>
        </w:rPr>
        <w:t>er</w:t>
      </w:r>
      <w:r w:rsidR="001E2410">
        <w:rPr>
          <w:vertAlign w:val="superscript"/>
        </w:rPr>
        <w:t> </w:t>
      </w:r>
      <w:r>
        <w:t>novembre 2024</w:t>
      </w:r>
    </w:p>
    <w:p w14:paraId="16B48D72" w14:textId="2A8A2560" w:rsidR="00A96B21" w:rsidRPr="00476DFE" w:rsidRDefault="00A96B21" w:rsidP="00A96B21">
      <w:pPr>
        <w:pStyle w:val="Cornernotation-Item"/>
        <w:rPr>
          <w:b w:val="0"/>
          <w:bCs w:val="0"/>
        </w:rPr>
      </w:pPr>
      <w:r>
        <w:rPr>
          <w:b w:val="0"/>
          <w:bCs w:val="0"/>
        </w:rPr>
        <w:t>Point 13 de l’ordre du jour provisoire</w:t>
      </w:r>
      <w:r>
        <w:rPr>
          <w:rStyle w:val="FootnoteReference"/>
          <w:b w:val="0"/>
          <w:bCs w:val="0"/>
        </w:rPr>
        <w:footnoteReference w:customMarkFollows="1" w:id="1"/>
        <w:t>*</w:t>
      </w:r>
    </w:p>
    <w:p w14:paraId="27A3118D" w14:textId="551F097E" w:rsidR="00A96B21" w:rsidRPr="00476DFE" w:rsidRDefault="00701663" w:rsidP="005519A3">
      <w:pPr>
        <w:pStyle w:val="AFCorNotBold"/>
        <w:jc w:val="left"/>
      </w:pPr>
      <w:r>
        <w:t>Coopération avec des organisations internationales et des organismes créés en vertu d’autres conventions</w:t>
      </w:r>
    </w:p>
    <w:bookmarkEnd w:id="0"/>
    <w:p w14:paraId="35E51E79" w14:textId="694C879E" w:rsidR="00A96B21" w:rsidRPr="00476DFE" w:rsidRDefault="00701663" w:rsidP="00236560">
      <w:pPr>
        <w:pStyle w:val="CBDTitle"/>
      </w:pPr>
      <w:r>
        <w:t>Coopération avec les autres conventions et les organisations internationales</w:t>
      </w:r>
    </w:p>
    <w:p w14:paraId="31CED00A" w14:textId="77777777" w:rsidR="00A96B21" w:rsidRPr="00476DFE" w:rsidRDefault="00A96B21" w:rsidP="001454DA">
      <w:pPr>
        <w:pStyle w:val="CBDSubTitle"/>
      </w:pPr>
      <w:r>
        <w:t>Note du Secrétariat</w:t>
      </w:r>
    </w:p>
    <w:p w14:paraId="60DD46E7" w14:textId="7E5FB4C4" w:rsidR="00E05528" w:rsidRPr="00476DFE" w:rsidRDefault="00CB5B48" w:rsidP="00405086">
      <w:pPr>
        <w:pStyle w:val="CBDH1"/>
        <w:numPr>
          <w:ilvl w:val="0"/>
          <w:numId w:val="5"/>
        </w:numPr>
        <w:tabs>
          <w:tab w:val="clear" w:pos="1134"/>
        </w:tabs>
        <w:ind w:left="567" w:hanging="567"/>
      </w:pPr>
      <w:bookmarkStart w:id="1" w:name="_Hlk175840914"/>
      <w:r>
        <w:t>Introduction</w:t>
      </w:r>
      <w:bookmarkEnd w:id="1"/>
    </w:p>
    <w:p w14:paraId="0B8CB82B" w14:textId="38133850" w:rsidR="00701663" w:rsidRPr="00476DFE" w:rsidRDefault="008427A1" w:rsidP="00E05528">
      <w:pPr>
        <w:pStyle w:val="CBDNormalNumber"/>
      </w:pPr>
      <w:r>
        <w:t>L’Organe subsidiaire chargé de l’application, lors de sa quatrième réunion, a préparé un projet de décision sur la coopération avec d’autres conventions et organisations internationales, qui se fondait sur un document de travail et des documents d’information rédigés par le Secrétariat</w:t>
      </w:r>
      <w:r w:rsidR="00E05528" w:rsidRPr="005519A3">
        <w:rPr>
          <w:rStyle w:val="FootnoteReference"/>
        </w:rPr>
        <w:footnoteReference w:id="2"/>
      </w:r>
      <w:r>
        <w:t>. Le projet de décision a été préparé en vue d’un examen par la Conférence des Parties à la Convention sur la diversité biologique à sa seizième réunion</w:t>
      </w:r>
      <w:r w:rsidR="00F743E5" w:rsidRPr="005519A3">
        <w:rPr>
          <w:rStyle w:val="FootnoteReference"/>
        </w:rPr>
        <w:footnoteReference w:id="3"/>
      </w:r>
      <w:r>
        <w:t xml:space="preserve"> et est inclus dans la compilation des projets de décision pour cette réunion</w:t>
      </w:r>
      <w:r w:rsidR="000A2719">
        <w:rPr>
          <w:rStyle w:val="FootnoteReference"/>
        </w:rPr>
        <w:footnoteReference w:id="4"/>
      </w:r>
      <w:r>
        <w:t xml:space="preserve">. La présente note fournit des renseignements actualisés sur les questions qui ont été soulevées à ce sujet depuis avril 2024. </w:t>
      </w:r>
    </w:p>
    <w:p w14:paraId="4BA903AC" w14:textId="237C192D" w:rsidR="00E05528" w:rsidRPr="00476DFE" w:rsidRDefault="00E05528" w:rsidP="00E05528">
      <w:pPr>
        <w:pStyle w:val="CBDNormalNumber"/>
      </w:pPr>
      <w:r>
        <w:t>La coopération au titre du Protocole de Cartagena sur la prévention des risques biotechnologiques et du Protocole de Nagoya sur l’accès et le partage juste et équitable des avantages découlant de leur utilisation à la Convention sur la diversité biologique est mentionnée, respectivement, dans les documents CBD/CP/MOP/11/8 et CBD/NP/MOP/5/8.</w:t>
      </w:r>
    </w:p>
    <w:p w14:paraId="61ABEF4E" w14:textId="2B984AB4" w:rsidR="003D3D94" w:rsidRPr="00476DFE" w:rsidRDefault="00C87837" w:rsidP="00405086">
      <w:pPr>
        <w:pStyle w:val="CBDH1"/>
        <w:numPr>
          <w:ilvl w:val="0"/>
          <w:numId w:val="5"/>
        </w:numPr>
        <w:tabs>
          <w:tab w:val="clear" w:pos="1134"/>
        </w:tabs>
        <w:ind w:left="567" w:hanging="567"/>
      </w:pPr>
      <w:r>
        <w:t>Reconnaissance du Cadre mondial de la biodiversité de Kunming-Montréal dans les processus de gouvernance des autres conventions et organisations internationales</w:t>
      </w:r>
    </w:p>
    <w:p w14:paraId="12C06EFE" w14:textId="781CE879" w:rsidR="00E16819" w:rsidRPr="00476DFE" w:rsidRDefault="00E16819" w:rsidP="00E16819">
      <w:pPr>
        <w:pStyle w:val="CBDNormalNumber"/>
      </w:pPr>
      <w:r>
        <w:t xml:space="preserve">Depuis avril 2024, les organes directeurs de plusieurs conventions et organisations internationales ont formellement reconnu le Cadre mondial de la biodiversité de Kunming-Montréal. L’annexe I de la présente note fournit une liste à jour des décisions et résolutions adoptées par les organes directeurs des autres conventions, organisations internationales et organes ou processus </w:t>
      </w:r>
      <w:r>
        <w:lastRenderedPageBreak/>
        <w:t>intergouvernementaux dans lesquelles le Cadre est formellement reconnu. L’information à l’annexe I complète les renseignements présentés dans le document CBD/SBI/4/10.</w:t>
      </w:r>
    </w:p>
    <w:p w14:paraId="2CF573B3" w14:textId="4F5B916B" w:rsidR="00E16819" w:rsidRPr="00476DFE" w:rsidRDefault="00ED510A" w:rsidP="00405086">
      <w:pPr>
        <w:pStyle w:val="CBDH1"/>
        <w:numPr>
          <w:ilvl w:val="0"/>
          <w:numId w:val="5"/>
        </w:numPr>
        <w:tabs>
          <w:tab w:val="clear" w:pos="1134"/>
        </w:tabs>
        <w:ind w:left="567" w:hanging="567"/>
      </w:pPr>
      <w:r>
        <w:t>Mise à jour sur les mesures prises par le Secrétariat, les conventions et les organisations internationales afin de renforcer la coopération</w:t>
      </w:r>
    </w:p>
    <w:p w14:paraId="3069CFFE" w14:textId="6CDF5B02" w:rsidR="00402520" w:rsidRPr="00476DFE" w:rsidRDefault="00D70218" w:rsidP="001454DA">
      <w:pPr>
        <w:pStyle w:val="CBDNormalNumber"/>
      </w:pPr>
      <w:r>
        <w:t>En vertu de la demande de l’Organe subsidiaire chargé de l’application lors de sa quatrième réunion</w:t>
      </w:r>
      <w:r w:rsidR="00227892" w:rsidRPr="005519A3">
        <w:rPr>
          <w:rStyle w:val="FootnoteReference"/>
        </w:rPr>
        <w:footnoteReference w:id="5"/>
      </w:r>
      <w:r>
        <w:t xml:space="preserve">, et conformément aux mandats fournis par la Conférence des Parties, le Secrétariat a continué de favoriser la coopération avec les secrétariats de la Convention-cadre des Nations Unies sur les changements climatiques et de la Convention des Nations Unies sur la lutte contre la désertification ans les pays gravement touchés par la sécheresse et/ou la désertification, en particulier en Afrique. Des réunions ont eu lieu avec les secrétaires exécutifs et d’autres membres du personnel des secrétariats des trois conventions, y compris dans le contexte du programme conjoint de renforcement des capacités et des réunions à venir des Conférences des Parties aux trois conventions. </w:t>
      </w:r>
    </w:p>
    <w:p w14:paraId="1E9BE931" w14:textId="3FDD983D" w:rsidR="00EB7739" w:rsidRPr="00476DFE" w:rsidRDefault="001763B9" w:rsidP="009B410E">
      <w:pPr>
        <w:pStyle w:val="CBDNormalNumber"/>
      </w:pPr>
      <w:r>
        <w:t>Dans le cadre du programme conjoint de renforcement des capacités</w:t>
      </w:r>
      <w:r w:rsidR="00C339A6" w:rsidRPr="00476DFE">
        <w:rPr>
          <w:rStyle w:val="FootnoteReference"/>
        </w:rPr>
        <w:footnoteReference w:id="6"/>
      </w:r>
      <w:r>
        <w:t xml:space="preserve">, une séance pilote de formation sur la façon de concrétiser les synergies entre les conventions de Rio a été organisée pour les correspondants nationaux le 10 juin 2024 en marge des soixantièmes séances des organes subsidiaires de la </w:t>
      </w:r>
      <w:bookmarkStart w:id="2" w:name="_Hlk177242570"/>
      <w:r>
        <w:t>Convention-cadre des Nations Unies sur les changements climatiques</w:t>
      </w:r>
      <w:bookmarkEnd w:id="2"/>
      <w:r>
        <w:t>, à Bonn, en Allemagne. De plus, une série de webinaires sur la création de synergies entre les trois conventions de Rio a été lancée ; le premier de ces webinaires, qui portait sur la planification intégrée des stratégies et politiques nationales, a eu lieu le 29 août 2024</w:t>
      </w:r>
      <w:r w:rsidR="00EC1E93" w:rsidRPr="00476DFE">
        <w:rPr>
          <w:rStyle w:val="FootnoteReference"/>
        </w:rPr>
        <w:footnoteReference w:id="7"/>
      </w:r>
      <w:r>
        <w:t xml:space="preserve">.  </w:t>
      </w:r>
    </w:p>
    <w:p w14:paraId="30E0E2F7" w14:textId="61815A6A" w:rsidR="00421883" w:rsidRPr="005519A3" w:rsidRDefault="00BE4589" w:rsidP="00421883">
      <w:pPr>
        <w:pStyle w:val="CBDNormalNumber"/>
        <w:rPr>
          <w:rFonts w:eastAsiaTheme="minorHAnsi"/>
        </w:rPr>
      </w:pPr>
      <w:r>
        <w:t>En réponse à l’invitation de la Conférence des Parties au Groupe de gestion de l’environnement des Nations Unies de faciliter la coordination, dans l’ensemble des systèmes des Nations Unies, en vue de l’atteinte des objectifs du Cadre mondial de la biodiversité de Kunming-Montréal</w:t>
      </w:r>
      <w:r w:rsidR="00024E95">
        <w:rPr>
          <w:rStyle w:val="FootnoteReference"/>
        </w:rPr>
        <w:footnoteReference w:id="8"/>
      </w:r>
      <w:r>
        <w:t>, le secrétariat du Groupe de gestion de l’environnement dirige un ensemble d’activités qui auront lieu conjointement aux événements suivants à venir : la seizième réunion de la Conférence des Parties à la Convention sur la diversité biologique ; la vingt-neuvième réunion de la Conférence des Parties à la Convention-cadre des Nations Unies sur les changements climatiques ; et la seizième réunion de la Conférence des Parties à la Convention des Nations Unies sur la lutte contre la désertification ans les pays gravement touchés par la sécheresse et/ou la désertification, en particulier en Afrique. Entre autres activités, le Secrétariat de la Convention collabore avec le secrétariat du Groupe de gestion de l’environnement pour préparer un dialogue de haut niveau entre les dirigeant</w:t>
      </w:r>
      <w:r w:rsidR="001E2410">
        <w:t>s</w:t>
      </w:r>
      <w:r>
        <w:t xml:space="preserve"> des institutions, qui aura lieu en marge de la seizième réunion de la Conférence des Parties, ainsi que pour coordonner un endroit commun pour le système des Nations Unies qui sera dédié aux interactions entre plusieurs parties prenantes. Des activités semblables seront reproduites lors de la vingt-neuvième réunion de la Conférence des Parties à la Convention-cadre des Nations Unies sur les changements climatiques et lors de la seizième réunion de la Conférence des Parties à la Convention des Nations Unies sur la lutte contre la désertification ans les pays gravement touchés par la sécheresse et/ou la désertification, en particulier en Afrique. Ces activités auront pour objectif de présenter les résultats et d’améliorer le dialogue entre les entités, États membres et autres parties prenantes des Premières Nations au sujet des façons de lutter contre les causes des changements environnementaux qui sous-tendent les trois conventions, le tout pour régler efficacement, et en synergie, la crise planétaire des changements climatiques, de l’appauvrissement de la biodiversité, de la désertification, de la sécheresse et de la pollution. </w:t>
      </w:r>
    </w:p>
    <w:p w14:paraId="297650A1" w14:textId="36565532" w:rsidR="00CB5B48" w:rsidRPr="00476DFE" w:rsidRDefault="00C05B27" w:rsidP="00574145">
      <w:pPr>
        <w:pStyle w:val="CBDNormalNumber"/>
      </w:pPr>
      <w:r>
        <w:t xml:space="preserve">Pour donner suite à la demande de la Conférence des Parties, adressée à la Secrétaire exécutive, pour qu’elle prenne activement part au processus de Berne sur la coopération entre les Parties aux </w:t>
      </w:r>
      <w:r>
        <w:lastRenderedPageBreak/>
        <w:t>diverses conventions liées à la diversité biologique, facilité par le Programme des Nations Unies pour l’environnement</w:t>
      </w:r>
      <w:r w:rsidR="00403E70">
        <w:rPr>
          <w:rStyle w:val="FootnoteReference"/>
        </w:rPr>
        <w:footnoteReference w:id="9"/>
      </w:r>
      <w:r>
        <w:t xml:space="preserve"> et, comme suite aux rapports fournis par l’Organe subsidiaire chargé de l’application à sa quatrième réunion</w:t>
      </w:r>
      <w:r w:rsidR="001E2410" w:rsidRPr="005519A3">
        <w:rPr>
          <w:rStyle w:val="FootnoteReference"/>
        </w:rPr>
        <w:footnoteReference w:id="10"/>
      </w:r>
      <w:r>
        <w:t>, la Secrétaire exécutive a contribué, par l’entremise d’un message vidéo, à l’atelier national sur les synergies entre les accords multilatéraux sur l’environnement pour la mise en œuvre du Cadre mondial de la biodiversité de Kunming-Montréal</w:t>
      </w:r>
      <w:r w:rsidR="007B6A52" w:rsidRPr="005519A3">
        <w:rPr>
          <w:rStyle w:val="FootnoteReference"/>
        </w:rPr>
        <w:footnoteReference w:id="11"/>
      </w:r>
      <w:r>
        <w:t xml:space="preserve">, atelier qui s’est déroulé à Mexico les 6 et 7 août 2024. L’événement a donné un exemple des efforts fournis pour renforcer la coopération au nveau national, en plus de soutenir la mise en œuvre des résultats de la Conférence de Berne III sur la coopération entre les conventions relatives à la biodiversité en vue de l’application du Cadre mondial de la biodiversité de Kunming-Montréal, qui s’est déroulée en janvier 2024. </w:t>
      </w:r>
    </w:p>
    <w:p w14:paraId="05374613" w14:textId="72CC56BC" w:rsidR="0083715E" w:rsidRPr="00476DFE" w:rsidRDefault="0089541C" w:rsidP="009B410E">
      <w:pPr>
        <w:pStyle w:val="CBDNormalNumber"/>
      </w:pPr>
      <w:r>
        <w:t>En plus des renseignements présentés dans les documents</w:t>
      </w:r>
      <w:r w:rsidR="001E2410">
        <w:t xml:space="preserve"> </w:t>
      </w:r>
      <w:r>
        <w:t>CBD/SBI/4/10</w:t>
      </w:r>
      <w:r w:rsidR="001E2410">
        <w:t xml:space="preserve"> </w:t>
      </w:r>
      <w:r>
        <w:t>et CBD/SBI/4/INF/4</w:t>
      </w:r>
      <w:bookmarkStart w:id="3" w:name="_Hlk176795122"/>
      <w:r>
        <w:t>, le sixième rapport de travail conjoint de la Convention relative aux zones humides d’importance internationale particulièrement comme habitats de la sauvagine et de la Convention sur la diversité biologique, préparé conjointement par leurs secrétariats</w:t>
      </w:r>
      <w:bookmarkEnd w:id="3"/>
      <w:r>
        <w:t xml:space="preserve"> en consultation avec les Parties, a été fourni à titre de document d’information à la soixante-troisième réunion du Comité permanent de la Convention sur les zones humides, qui a eu lieu à Gland, en Suisse, du 3 au 7 juillet 2024. Dans sa décision SC63-20, le Comité permanent a pris note des progrès réalisés dans la mise en œuvre de la résolution XIV.6 sur le renforcement de la visibilité de la Convention et de ses synergies avec d’autres accords multilatéraux sur l’environnement et autres institutions internationales. Le plan de travail conjoint est mis à disposition de la Conférence des Parties à la Convention sur la diversité biologique à sa seizième réunion dans le document d’information CBD/COP/16/INF/19.</w:t>
      </w:r>
    </w:p>
    <w:p w14:paraId="2188E794" w14:textId="77777777" w:rsidR="0079152D" w:rsidRPr="00476DFE" w:rsidRDefault="0079152D" w:rsidP="00405086">
      <w:pPr>
        <w:pStyle w:val="CBDH1"/>
        <w:numPr>
          <w:ilvl w:val="0"/>
          <w:numId w:val="5"/>
        </w:numPr>
        <w:tabs>
          <w:tab w:val="clear" w:pos="1134"/>
        </w:tabs>
        <w:ind w:left="567" w:hanging="567"/>
      </w:pPr>
      <w:r>
        <w:t>Rapports des secrétariats d’autres conventions et organisations internationales</w:t>
      </w:r>
    </w:p>
    <w:p w14:paraId="1C28E4AC" w14:textId="5B1C19E1" w:rsidR="0079152D" w:rsidRPr="00476DFE" w:rsidRDefault="00D44AD5" w:rsidP="0079152D">
      <w:pPr>
        <w:pStyle w:val="CBDNormalNumber"/>
      </w:pPr>
      <w:r>
        <w:t xml:space="preserve">Les secrétariats de plusieurs conventions et organisations internationales ont présenté des rapports sur leurs activités qui soutiennent la Convention et le Cadre mondial de la biodiversité de Kunming-Montréal, en ce qui a trait au point 13 de l’ordre du jour de la seizième réunion ; ces rapports seront fournis dans les documents d’information énumérés à l’annexe II de la présente note. </w:t>
      </w:r>
    </w:p>
    <w:p w14:paraId="277BC5E8" w14:textId="79BC1094" w:rsidR="0079152D" w:rsidRPr="00476DFE" w:rsidRDefault="00D44AD5" w:rsidP="0079152D">
      <w:pPr>
        <w:pStyle w:val="CBDNormalNumber"/>
      </w:pPr>
      <w:r>
        <w:t>Le rapport de l’Organisation des Nations Unies pour l’alimentation et l’agriculture (FAO) (CBD/COP/16/INF/12) présente une description générale des progrès réalisés en matière d’intégration de la biodiversité dans les divers secteurs agricoles. Le rapport d’avancement sur la Décennie des Nations Unies pour la restauration des écosystèmes (2021-2030) (CBD/COP/16/INF/13) a été présenté à l’Organisation des Nations Unies pour l’alimentation et l’agriculture et le Programme des Nations Unies pour l’environnement (PNUE) conformément à la demande de la Conférence des Parties à la Convention sur la diversité biologique dans sa décision 15/13, et il a été préparé avec le soutien du Secrétariat de la Convention. Le rapport sur la mise en œuvre du plan d’action 2018-2030 de l’Initiative internationale sur la conservation et l’utilisation durable des pollinisateurs (CBD/COP/16/INF/14) décrit les progrès des travaux réalisés par la FAO conformément au mandat que lui a</w:t>
      </w:r>
      <w:r w:rsidR="001E2410">
        <w:t xml:space="preserve"> attribué</w:t>
      </w:r>
      <w:r>
        <w:t xml:space="preserve"> la Conférence des Parties dans sa décision 14/6. Le rapport du PNUE (CBD/COP/16/INF/16) fournit des renseignements sur les activités qu’il a réalisés entre mars et août 2024 pour appuyer la mise en œuvre de la Convention et de</w:t>
      </w:r>
      <w:r w:rsidR="001E2410">
        <w:t xml:space="preserve"> ses</w:t>
      </w:r>
      <w:r>
        <w:t xml:space="preserve"> Protocoles et complète l’information présentée dans le document CBD/SBI/4/INF/14. </w:t>
      </w:r>
    </w:p>
    <w:p w14:paraId="05081FBF" w14:textId="03694202" w:rsidR="0079152D" w:rsidRPr="00476DFE" w:rsidRDefault="005B3E1D" w:rsidP="005B3E1D">
      <w:pPr>
        <w:pStyle w:val="CBDNormalNumber"/>
      </w:pPr>
      <w:r>
        <w:t xml:space="preserve">Le rapport du Secrétariat du Traité international sur les ressources phytogénétiques pour l’alimentation et l’agriculture (CBD/COP/16/INF/20) contient un relevé des récents avancements au titre du Traité international, notamment un résumé des résultats pertinents de la dixième session de l’Organe directeur, qui a eu lieu en novembre 2023. </w:t>
      </w:r>
      <w:r>
        <w:rPr>
          <w:rFonts w:asciiTheme="majorBidi" w:hAnsiTheme="majorBidi"/>
        </w:rPr>
        <w:t xml:space="preserve">Le rapport du Secrétariat de la Convention de </w:t>
      </w:r>
      <w:r>
        <w:rPr>
          <w:rFonts w:asciiTheme="majorBidi" w:hAnsiTheme="majorBidi"/>
        </w:rPr>
        <w:lastRenderedPageBreak/>
        <w:t xml:space="preserve">Minamata sur le mercure (CBD/COP/16/INF/21) présente une description des apports de la </w:t>
      </w:r>
      <w:bookmarkStart w:id="4" w:name="_Hlk176027258"/>
      <w:r>
        <w:rPr>
          <w:rFonts w:asciiTheme="majorBidi" w:hAnsiTheme="majorBidi"/>
        </w:rPr>
        <w:t xml:space="preserve">Convention de Minamata </w:t>
      </w:r>
      <w:bookmarkEnd w:id="4"/>
      <w:r>
        <w:rPr>
          <w:rFonts w:asciiTheme="majorBidi" w:hAnsiTheme="majorBidi"/>
        </w:rPr>
        <w:t xml:space="preserve">au Cadre mondial de la biodiversité de Kunming-Montréal et résume les décisions connexes adoptées à la cinquième réunion de la Conférence des Parties à la Convention de Minamata, qui a eu lieu en octobre et novembre 2023, ainsi que les travaux récents entrepris au titre de la Convention de Minamata pour aider à atténuer les impacts de la pollution au mercure sur la biodiversité, en particulier dans le contexte des cibles 7, 11, 21 et 22 du Cadre. </w:t>
      </w:r>
      <w:r>
        <w:t xml:space="preserve">De même, le rapport du Secrétariat des Conventions de Bâle, Rotterdam et Stockholm </w:t>
      </w:r>
      <w:r>
        <w:rPr>
          <w:rFonts w:asciiTheme="majorBidi" w:hAnsiTheme="majorBidi"/>
        </w:rPr>
        <w:t>(</w:t>
      </w:r>
      <w:r>
        <w:t>CBD/COP/16/INF/22) met en lumière les apports de ces conventions, conformément à leurs mandats, à l’appui du Cadre. Le rapport du Secrétariat de la Convention-cadre sur la protection et le développement durable des Carpates (CBD/COP/16/INF/23) présente des renseignements détaillés sur le cadre de la biodiversité des Carpates à titre d’instrument régional visant à renforcer la mise en œuvre du Cadre mondial de la biodiversité de Kunming-Montréal et à intégrer la biodiversité.</w:t>
      </w:r>
    </w:p>
    <w:p w14:paraId="22639F0D" w14:textId="62D98346" w:rsidR="0079152D" w:rsidRPr="00476DFE" w:rsidRDefault="0079152D" w:rsidP="00921502">
      <w:pPr>
        <w:pStyle w:val="Para1"/>
        <w:tabs>
          <w:tab w:val="clear" w:pos="643"/>
        </w:tabs>
        <w:ind w:left="0"/>
      </w:pPr>
    </w:p>
    <w:p w14:paraId="4D8DEE31" w14:textId="77777777" w:rsidR="0079152D" w:rsidRPr="00476DFE" w:rsidRDefault="0079152D" w:rsidP="00921502">
      <w:pPr>
        <w:pStyle w:val="Para1"/>
        <w:tabs>
          <w:tab w:val="clear" w:pos="643"/>
        </w:tabs>
        <w:ind w:left="0"/>
      </w:pPr>
    </w:p>
    <w:p w14:paraId="47D4A017" w14:textId="7CF40CB5" w:rsidR="00CB209D" w:rsidRPr="00476DFE" w:rsidRDefault="00CB209D" w:rsidP="00480A8D">
      <w:pPr>
        <w:pStyle w:val="Para1"/>
        <w:tabs>
          <w:tab w:val="clear" w:pos="643"/>
        </w:tabs>
      </w:pPr>
      <w:r>
        <w:br w:type="page"/>
      </w:r>
    </w:p>
    <w:p w14:paraId="39987E48" w14:textId="77777777" w:rsidR="007D0F45" w:rsidRPr="00476DFE" w:rsidRDefault="007D0F45" w:rsidP="00480A8D">
      <w:pPr>
        <w:pStyle w:val="Para1"/>
        <w:tabs>
          <w:tab w:val="clear" w:pos="643"/>
        </w:tabs>
        <w:sectPr w:rsidR="007D0F45" w:rsidRPr="00476DFE" w:rsidSect="00595A79">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2240" w:h="15840"/>
          <w:pgMar w:top="1134" w:right="1440" w:bottom="1134" w:left="1440" w:header="709" w:footer="709" w:gutter="0"/>
          <w:cols w:space="708"/>
          <w:titlePg/>
          <w:docGrid w:linePitch="360"/>
        </w:sectPr>
      </w:pPr>
    </w:p>
    <w:p w14:paraId="6F181C26" w14:textId="78A0193C" w:rsidR="001F5D9D" w:rsidRPr="00476DFE" w:rsidRDefault="001F5D9D" w:rsidP="001F5D9D">
      <w:pPr>
        <w:pStyle w:val="Annex"/>
      </w:pPr>
      <w:r>
        <w:lastRenderedPageBreak/>
        <w:t>Annexe I</w:t>
      </w:r>
    </w:p>
    <w:p w14:paraId="1F45C246" w14:textId="42BA6AA1" w:rsidR="001F5D9D" w:rsidRPr="009C67EC" w:rsidRDefault="00FF623F" w:rsidP="009C67EC">
      <w:pPr>
        <w:pStyle w:val="CBDTitle"/>
      </w:pPr>
      <w:r>
        <w:t>Reconnaissance formelle du Cadre mondial de la biodiversité de Kunming-Montréal par les organes directeurs d’autres conventions, organisations internationales et organes ou processus intergouvernementaux dans les décisions ou les résolutions adoptées lors de leurs réunions tenues entre janvier 2023 et août 2024</w:t>
      </w:r>
    </w:p>
    <w:tbl>
      <w:tblPr>
        <w:tblStyle w:val="TableGrid"/>
        <w:tblW w:w="9895" w:type="dxa"/>
        <w:tblLook w:val="04A0" w:firstRow="1" w:lastRow="0" w:firstColumn="1" w:lastColumn="0" w:noHBand="0" w:noVBand="1"/>
      </w:tblPr>
      <w:tblGrid>
        <w:gridCol w:w="4135"/>
        <w:gridCol w:w="2970"/>
        <w:gridCol w:w="2790"/>
      </w:tblGrid>
      <w:tr w:rsidR="00EF2AE8" w:rsidRPr="00476DFE" w14:paraId="1236F2C4" w14:textId="45F9CFAA" w:rsidTr="00A77C41">
        <w:tc>
          <w:tcPr>
            <w:tcW w:w="4135" w:type="dxa"/>
            <w:tcBorders>
              <w:top w:val="single" w:sz="4" w:space="0" w:color="auto"/>
              <w:left w:val="single" w:sz="4" w:space="0" w:color="auto"/>
              <w:bottom w:val="single" w:sz="4" w:space="0" w:color="auto"/>
              <w:right w:val="single" w:sz="4" w:space="0" w:color="auto"/>
            </w:tcBorders>
            <w:hideMark/>
          </w:tcPr>
          <w:p w14:paraId="3458C2CD" w14:textId="0A5D2C28" w:rsidR="00EF2AE8" w:rsidRPr="00476DFE" w:rsidRDefault="00EF2AE8" w:rsidP="009B410E">
            <w:pPr>
              <w:snapToGrid w:val="0"/>
              <w:spacing w:before="120" w:after="120"/>
              <w:jc w:val="left"/>
              <w:rPr>
                <w:rFonts w:asciiTheme="majorBidi" w:hAnsiTheme="majorBidi" w:cstheme="majorBidi"/>
                <w:i/>
                <w:iCs/>
              </w:rPr>
            </w:pPr>
            <w:r>
              <w:rPr>
                <w:rFonts w:asciiTheme="majorBidi" w:hAnsiTheme="majorBidi"/>
                <w:i/>
                <w:iCs/>
              </w:rPr>
              <w:t>Titre et symbole</w:t>
            </w:r>
          </w:p>
        </w:tc>
        <w:tc>
          <w:tcPr>
            <w:tcW w:w="2970" w:type="dxa"/>
            <w:tcBorders>
              <w:top w:val="single" w:sz="4" w:space="0" w:color="auto"/>
              <w:left w:val="single" w:sz="4" w:space="0" w:color="auto"/>
              <w:bottom w:val="single" w:sz="4" w:space="0" w:color="auto"/>
              <w:right w:val="single" w:sz="4" w:space="0" w:color="auto"/>
            </w:tcBorders>
            <w:hideMark/>
          </w:tcPr>
          <w:p w14:paraId="4C360618" w14:textId="768FBFF1" w:rsidR="00EF2AE8" w:rsidRPr="00476DFE" w:rsidRDefault="00AF41CD" w:rsidP="009B410E">
            <w:pPr>
              <w:snapToGrid w:val="0"/>
              <w:spacing w:before="120" w:after="120"/>
              <w:jc w:val="left"/>
              <w:rPr>
                <w:rFonts w:asciiTheme="majorBidi" w:hAnsiTheme="majorBidi" w:cstheme="majorBidi"/>
                <w:i/>
                <w:iCs/>
              </w:rPr>
            </w:pPr>
            <w:r>
              <w:rPr>
                <w:rFonts w:asciiTheme="majorBidi" w:hAnsiTheme="majorBidi"/>
                <w:i/>
                <w:iCs/>
              </w:rPr>
              <w:t>Convention, organisation, organe ou processus</w:t>
            </w:r>
          </w:p>
        </w:tc>
        <w:tc>
          <w:tcPr>
            <w:tcW w:w="2790" w:type="dxa"/>
            <w:tcBorders>
              <w:top w:val="single" w:sz="4" w:space="0" w:color="auto"/>
              <w:left w:val="single" w:sz="4" w:space="0" w:color="auto"/>
              <w:bottom w:val="single" w:sz="4" w:space="0" w:color="auto"/>
              <w:right w:val="single" w:sz="4" w:space="0" w:color="auto"/>
            </w:tcBorders>
          </w:tcPr>
          <w:p w14:paraId="1BA08780" w14:textId="517F1418" w:rsidR="00EF2AE8" w:rsidRPr="00476DFE" w:rsidRDefault="00EF2AE8" w:rsidP="009B410E">
            <w:pPr>
              <w:snapToGrid w:val="0"/>
              <w:spacing w:before="120" w:after="120"/>
              <w:jc w:val="left"/>
              <w:rPr>
                <w:rFonts w:asciiTheme="majorBidi" w:hAnsiTheme="majorBidi" w:cstheme="majorBidi"/>
                <w:i/>
                <w:iCs/>
              </w:rPr>
            </w:pPr>
            <w:r>
              <w:rPr>
                <w:rFonts w:asciiTheme="majorBidi" w:hAnsiTheme="majorBidi"/>
                <w:i/>
                <w:iCs/>
              </w:rPr>
              <w:t>Organe directeur</w:t>
            </w:r>
          </w:p>
        </w:tc>
      </w:tr>
      <w:tr w:rsidR="00EC5280" w:rsidRPr="00476DFE" w14:paraId="518E9C9C" w14:textId="77777777" w:rsidTr="00A77C41">
        <w:tc>
          <w:tcPr>
            <w:tcW w:w="9895" w:type="dxa"/>
            <w:gridSpan w:val="3"/>
            <w:tcBorders>
              <w:top w:val="single" w:sz="4" w:space="0" w:color="auto"/>
              <w:left w:val="single" w:sz="4" w:space="0" w:color="auto"/>
              <w:bottom w:val="single" w:sz="4" w:space="0" w:color="auto"/>
              <w:right w:val="single" w:sz="4" w:space="0" w:color="auto"/>
            </w:tcBorders>
          </w:tcPr>
          <w:p w14:paraId="6329B195" w14:textId="63DB621A" w:rsidR="00EC5280" w:rsidRPr="00476DFE" w:rsidRDefault="005058A3" w:rsidP="009B410E">
            <w:pPr>
              <w:snapToGrid w:val="0"/>
              <w:spacing w:before="120" w:after="120"/>
              <w:jc w:val="left"/>
              <w:rPr>
                <w:rFonts w:asciiTheme="majorBidi" w:hAnsiTheme="majorBidi" w:cstheme="majorBidi"/>
                <w:i/>
                <w:iCs/>
              </w:rPr>
            </w:pPr>
            <w:r>
              <w:rPr>
                <w:rFonts w:asciiTheme="majorBidi" w:hAnsiTheme="majorBidi"/>
                <w:i/>
                <w:iCs/>
              </w:rPr>
              <w:t>Conventions représentées au sein du Groupe de liaison sur les conventions concernant la biodiversité</w:t>
            </w:r>
          </w:p>
        </w:tc>
      </w:tr>
      <w:tr w:rsidR="00EF2AE8" w:rsidRPr="00476DFE" w14:paraId="6A16CF59" w14:textId="0D26271A" w:rsidTr="00A77C41">
        <w:tc>
          <w:tcPr>
            <w:tcW w:w="4135" w:type="dxa"/>
            <w:tcBorders>
              <w:top w:val="single" w:sz="4" w:space="0" w:color="auto"/>
              <w:left w:val="single" w:sz="4" w:space="0" w:color="auto"/>
              <w:bottom w:val="single" w:sz="4" w:space="0" w:color="auto"/>
              <w:right w:val="single" w:sz="4" w:space="0" w:color="auto"/>
            </w:tcBorders>
            <w:hideMark/>
          </w:tcPr>
          <w:p w14:paraId="302F11DC" w14:textId="2C8ED17E" w:rsidR="00EF2AE8" w:rsidRPr="00476DFE" w:rsidRDefault="00913470" w:rsidP="009B410E">
            <w:pPr>
              <w:snapToGrid w:val="0"/>
              <w:spacing w:before="120" w:after="120"/>
              <w:jc w:val="left"/>
              <w:rPr>
                <w:rStyle w:val="Hyperlink"/>
                <w:rFonts w:asciiTheme="majorBidi" w:hAnsiTheme="majorBidi" w:cstheme="majorBidi"/>
              </w:rPr>
            </w:pPr>
            <w:hyperlink r:id="rId19" w:history="1">
              <w:r>
                <w:rPr>
                  <w:rStyle w:val="Hyperlink"/>
                  <w:rFonts w:asciiTheme="majorBidi" w:hAnsiTheme="majorBidi"/>
                </w:rPr>
                <w:t>Décision</w:t>
              </w:r>
              <w:r w:rsidR="001E2410">
                <w:rPr>
                  <w:rStyle w:val="Hyperlink"/>
                  <w:rFonts w:asciiTheme="majorBidi" w:hAnsiTheme="majorBidi"/>
                </w:rPr>
                <w:t> </w:t>
              </w:r>
              <w:r>
                <w:rPr>
                  <w:rStyle w:val="Hyperlink"/>
                  <w:rFonts w:asciiTheme="majorBidi" w:hAnsiTheme="majorBidi"/>
                </w:rPr>
                <w:t>44 COM</w:t>
              </w:r>
              <w:r w:rsidR="001E2410">
                <w:rPr>
                  <w:rStyle w:val="Hyperlink"/>
                  <w:rFonts w:asciiTheme="majorBidi" w:hAnsiTheme="majorBidi"/>
                </w:rPr>
                <w:t> </w:t>
              </w:r>
              <w:r>
                <w:rPr>
                  <w:rStyle w:val="Hyperlink"/>
                  <w:rFonts w:asciiTheme="majorBidi" w:hAnsiTheme="majorBidi"/>
                </w:rPr>
                <w:t>7.2</w:t>
              </w:r>
            </w:hyperlink>
          </w:p>
          <w:p w14:paraId="2342B863" w14:textId="7C662E5C" w:rsidR="008D6C4E" w:rsidRPr="00476DFE" w:rsidRDefault="008D6C4E" w:rsidP="009B410E">
            <w:pPr>
              <w:snapToGrid w:val="0"/>
              <w:spacing w:before="120" w:after="120"/>
              <w:jc w:val="left"/>
              <w:rPr>
                <w:rFonts w:asciiTheme="majorBidi" w:hAnsiTheme="majorBidi" w:cstheme="majorBidi"/>
              </w:rPr>
            </w:pPr>
            <w:r>
              <w:rPr>
                <w:rStyle w:val="Hyperlink"/>
                <w:color w:val="auto"/>
                <w:u w:val="none"/>
              </w:rPr>
              <w:t>Problèmes de conservation</w:t>
            </w:r>
          </w:p>
        </w:tc>
        <w:tc>
          <w:tcPr>
            <w:tcW w:w="2970" w:type="dxa"/>
            <w:tcBorders>
              <w:top w:val="single" w:sz="4" w:space="0" w:color="auto"/>
              <w:left w:val="single" w:sz="4" w:space="0" w:color="auto"/>
              <w:bottom w:val="single" w:sz="4" w:space="0" w:color="auto"/>
              <w:right w:val="single" w:sz="4" w:space="0" w:color="auto"/>
            </w:tcBorders>
            <w:hideMark/>
          </w:tcPr>
          <w:p w14:paraId="51A869D5" w14:textId="7816054A" w:rsidR="00EF2AE8" w:rsidRPr="00476DFE" w:rsidRDefault="00EF2AE8" w:rsidP="009B410E">
            <w:pPr>
              <w:snapToGrid w:val="0"/>
              <w:spacing w:before="120" w:after="120"/>
              <w:jc w:val="left"/>
              <w:rPr>
                <w:rFonts w:asciiTheme="majorBidi" w:hAnsiTheme="majorBidi" w:cstheme="majorBidi"/>
              </w:rPr>
            </w:pPr>
            <w:r>
              <w:rPr>
                <w:rFonts w:asciiTheme="majorBidi" w:hAnsiTheme="majorBidi"/>
              </w:rPr>
              <w:t>Convention concernant la protection du patrimoine mondial, culturel et naturel</w:t>
            </w:r>
          </w:p>
        </w:tc>
        <w:tc>
          <w:tcPr>
            <w:tcW w:w="2790" w:type="dxa"/>
            <w:tcBorders>
              <w:top w:val="single" w:sz="4" w:space="0" w:color="auto"/>
              <w:left w:val="single" w:sz="4" w:space="0" w:color="auto"/>
              <w:bottom w:val="single" w:sz="4" w:space="0" w:color="auto"/>
              <w:right w:val="single" w:sz="4" w:space="0" w:color="auto"/>
            </w:tcBorders>
          </w:tcPr>
          <w:p w14:paraId="0BB6B8E9" w14:textId="7FD5DB6B" w:rsidR="00EF2AE8" w:rsidRPr="00476DFE" w:rsidRDefault="00EF2AE8" w:rsidP="009B410E">
            <w:pPr>
              <w:snapToGrid w:val="0"/>
              <w:spacing w:before="120" w:after="120"/>
              <w:jc w:val="left"/>
              <w:rPr>
                <w:rFonts w:asciiTheme="majorBidi" w:hAnsiTheme="majorBidi" w:cstheme="majorBidi"/>
              </w:rPr>
            </w:pPr>
            <w:r>
              <w:rPr>
                <w:rFonts w:asciiTheme="majorBidi" w:hAnsiTheme="majorBidi"/>
              </w:rPr>
              <w:t>Comité du patrimoine mondial à sa quarante-quatrième session prolongée</w:t>
            </w:r>
          </w:p>
        </w:tc>
      </w:tr>
      <w:tr w:rsidR="00EF2AE8" w:rsidRPr="00476DFE" w14:paraId="2B3371CE" w14:textId="0081618F" w:rsidTr="00A77C41">
        <w:tc>
          <w:tcPr>
            <w:tcW w:w="4135" w:type="dxa"/>
            <w:tcBorders>
              <w:top w:val="single" w:sz="4" w:space="0" w:color="auto"/>
              <w:left w:val="single" w:sz="4" w:space="0" w:color="auto"/>
              <w:bottom w:val="single" w:sz="4" w:space="0" w:color="auto"/>
              <w:right w:val="single" w:sz="4" w:space="0" w:color="auto"/>
            </w:tcBorders>
          </w:tcPr>
          <w:p w14:paraId="082E993A" w14:textId="05A8CE8C" w:rsidR="00EF2AE8" w:rsidRPr="00476DFE" w:rsidRDefault="00135D8C" w:rsidP="009B410E">
            <w:pPr>
              <w:snapToGrid w:val="0"/>
              <w:spacing w:before="120" w:after="120"/>
              <w:jc w:val="left"/>
              <w:rPr>
                <w:rStyle w:val="Hyperlink"/>
                <w:rFonts w:asciiTheme="majorBidi" w:hAnsiTheme="majorBidi" w:cstheme="majorBidi"/>
              </w:rPr>
            </w:pPr>
            <w:r w:rsidRPr="00476DFE">
              <w:fldChar w:fldCharType="begin"/>
            </w:r>
            <w:r w:rsidRPr="00476DFE">
              <w:instrText>HYPERLINK "https://www.cms.int/sites/default/files/document/cms_cop14_decisions_f.pdf"</w:instrText>
            </w:r>
            <w:r w:rsidRPr="00476DFE">
              <w:fldChar w:fldCharType="separate"/>
            </w:r>
            <w:r>
              <w:rPr>
                <w:rStyle w:val="Hyperlink"/>
              </w:rPr>
              <w:t>Décision</w:t>
            </w:r>
            <w:r w:rsidR="001E2410">
              <w:rPr>
                <w:rStyle w:val="Hyperlink"/>
                <w:rFonts w:asciiTheme="majorBidi" w:hAnsiTheme="majorBidi"/>
              </w:rPr>
              <w:t> </w:t>
            </w:r>
            <w:r>
              <w:rPr>
                <w:rStyle w:val="Hyperlink"/>
                <w:rFonts w:asciiTheme="majorBidi" w:hAnsiTheme="majorBidi"/>
              </w:rPr>
              <w:t>14.7</w:t>
            </w:r>
          </w:p>
          <w:p w14:paraId="6EFE8C47" w14:textId="6E6076BC" w:rsidR="00E25225" w:rsidRPr="00476DFE" w:rsidRDefault="00135D8C" w:rsidP="009B410E">
            <w:pPr>
              <w:snapToGrid w:val="0"/>
              <w:jc w:val="left"/>
              <w:rPr>
                <w:rFonts w:asciiTheme="majorBidi" w:hAnsiTheme="majorBidi" w:cstheme="majorBidi"/>
              </w:rPr>
            </w:pPr>
            <w:r w:rsidRPr="00476DFE">
              <w:fldChar w:fldCharType="end"/>
            </w:r>
            <w:r>
              <w:rPr>
                <w:rFonts w:asciiTheme="majorBidi" w:hAnsiTheme="majorBidi"/>
              </w:rPr>
              <w:t>Participation de la C</w:t>
            </w:r>
            <w:r w:rsidR="00BB4F40">
              <w:rPr>
                <w:rFonts w:asciiTheme="majorBidi" w:hAnsiTheme="majorBidi"/>
              </w:rPr>
              <w:t>MS</w:t>
            </w:r>
            <w:r>
              <w:rPr>
                <w:rFonts w:asciiTheme="majorBidi" w:hAnsiTheme="majorBidi"/>
              </w:rPr>
              <w:t xml:space="preserve"> aux processus de la CDB, y compris le Cadre mondial pour la biodiversité</w:t>
            </w:r>
          </w:p>
        </w:tc>
        <w:tc>
          <w:tcPr>
            <w:tcW w:w="2970" w:type="dxa"/>
            <w:tcBorders>
              <w:top w:val="single" w:sz="4" w:space="0" w:color="auto"/>
              <w:left w:val="single" w:sz="4" w:space="0" w:color="auto"/>
              <w:bottom w:val="single" w:sz="4" w:space="0" w:color="auto"/>
              <w:right w:val="single" w:sz="4" w:space="0" w:color="auto"/>
            </w:tcBorders>
          </w:tcPr>
          <w:p w14:paraId="36586C24" w14:textId="2871A569" w:rsidR="00EF2AE8" w:rsidRPr="00476DFE" w:rsidRDefault="00EF2AE8" w:rsidP="00A90F3C">
            <w:pPr>
              <w:snapToGrid w:val="0"/>
              <w:spacing w:before="120" w:after="120"/>
              <w:jc w:val="left"/>
              <w:rPr>
                <w:rFonts w:asciiTheme="majorBidi" w:hAnsiTheme="majorBidi" w:cstheme="majorBidi"/>
              </w:rPr>
            </w:pPr>
            <w:r>
              <w:rPr>
                <w:rFonts w:asciiTheme="majorBidi" w:hAnsiTheme="majorBidi"/>
              </w:rPr>
              <w:t>Convention sur la conservation des espèces migratrices appartenant à la faune sauvage</w:t>
            </w:r>
          </w:p>
        </w:tc>
        <w:tc>
          <w:tcPr>
            <w:tcW w:w="2790" w:type="dxa"/>
            <w:tcBorders>
              <w:top w:val="single" w:sz="4" w:space="0" w:color="auto"/>
              <w:left w:val="single" w:sz="4" w:space="0" w:color="auto"/>
              <w:bottom w:val="single" w:sz="4" w:space="0" w:color="auto"/>
              <w:right w:val="single" w:sz="4" w:space="0" w:color="auto"/>
            </w:tcBorders>
          </w:tcPr>
          <w:p w14:paraId="7E884AF1" w14:textId="219AB284" w:rsidR="00EF2AE8" w:rsidRPr="00476DFE" w:rsidRDefault="00EF2AE8" w:rsidP="009B410E">
            <w:pPr>
              <w:snapToGrid w:val="0"/>
              <w:spacing w:before="120" w:after="120"/>
              <w:jc w:val="left"/>
              <w:rPr>
                <w:rFonts w:asciiTheme="majorBidi" w:hAnsiTheme="majorBidi" w:cstheme="majorBidi"/>
              </w:rPr>
            </w:pPr>
            <w:r>
              <w:rPr>
                <w:rFonts w:asciiTheme="majorBidi" w:hAnsiTheme="majorBidi"/>
              </w:rPr>
              <w:t>Conférence des Parties à sa quatorzième réunion</w:t>
            </w:r>
          </w:p>
        </w:tc>
      </w:tr>
      <w:tr w:rsidR="00EF2AE8" w:rsidRPr="00476DFE" w14:paraId="21F06088" w14:textId="70AC7317" w:rsidTr="00A77C41">
        <w:tc>
          <w:tcPr>
            <w:tcW w:w="4135" w:type="dxa"/>
            <w:tcBorders>
              <w:top w:val="single" w:sz="4" w:space="0" w:color="auto"/>
              <w:left w:val="single" w:sz="4" w:space="0" w:color="auto"/>
              <w:bottom w:val="single" w:sz="4" w:space="0" w:color="auto"/>
              <w:right w:val="single" w:sz="4" w:space="0" w:color="auto"/>
            </w:tcBorders>
          </w:tcPr>
          <w:p w14:paraId="55D386BC" w14:textId="127DEA51" w:rsidR="00EF2AE8" w:rsidRPr="00476DFE" w:rsidRDefault="00913470" w:rsidP="009B410E">
            <w:pPr>
              <w:snapToGrid w:val="0"/>
              <w:spacing w:before="120" w:after="120"/>
              <w:jc w:val="left"/>
              <w:rPr>
                <w:rFonts w:asciiTheme="majorBidi" w:hAnsiTheme="majorBidi" w:cstheme="majorBidi"/>
              </w:rPr>
            </w:pPr>
            <w:hyperlink r:id="rId20" w:history="1">
              <w:r>
                <w:rPr>
                  <w:rStyle w:val="Hyperlink"/>
                  <w:rFonts w:asciiTheme="majorBidi" w:hAnsiTheme="majorBidi"/>
                </w:rPr>
                <w:t>Résolution 1/2023</w:t>
              </w:r>
            </w:hyperlink>
          </w:p>
          <w:p w14:paraId="2B93D63F" w14:textId="71EC90C6" w:rsidR="000B1378" w:rsidRPr="00476DFE" w:rsidRDefault="000B1378" w:rsidP="009B410E">
            <w:pPr>
              <w:snapToGrid w:val="0"/>
              <w:spacing w:before="120" w:after="120"/>
              <w:jc w:val="left"/>
              <w:rPr>
                <w:rFonts w:asciiTheme="majorBidi" w:hAnsiTheme="majorBidi" w:cstheme="majorBidi"/>
              </w:rPr>
            </w:pPr>
            <w:r>
              <w:rPr>
                <w:rFonts w:asciiTheme="majorBidi" w:hAnsiTheme="majorBidi"/>
              </w:rPr>
              <w:t>Rôle des ressources phytogénétiques pour l’alimentation et l’agriculture au sein du Cadre mondial pour la biodiversité</w:t>
            </w:r>
          </w:p>
        </w:tc>
        <w:tc>
          <w:tcPr>
            <w:tcW w:w="2970" w:type="dxa"/>
            <w:tcBorders>
              <w:top w:val="single" w:sz="4" w:space="0" w:color="auto"/>
              <w:left w:val="single" w:sz="4" w:space="0" w:color="auto"/>
              <w:bottom w:val="single" w:sz="4" w:space="0" w:color="auto"/>
              <w:right w:val="single" w:sz="4" w:space="0" w:color="auto"/>
            </w:tcBorders>
          </w:tcPr>
          <w:p w14:paraId="618EF88A" w14:textId="1744F00E" w:rsidR="00EF2AE8" w:rsidRPr="00476DFE" w:rsidRDefault="00EF2AE8" w:rsidP="009B410E">
            <w:pPr>
              <w:snapToGrid w:val="0"/>
              <w:spacing w:before="120" w:after="120"/>
              <w:jc w:val="left"/>
              <w:rPr>
                <w:rFonts w:asciiTheme="majorBidi" w:hAnsiTheme="majorBidi" w:cstheme="majorBidi"/>
              </w:rPr>
            </w:pPr>
            <w:r>
              <w:rPr>
                <w:rFonts w:asciiTheme="majorBidi" w:hAnsiTheme="majorBidi"/>
              </w:rPr>
              <w:t>Traité international sur les ressources phytogénétiques pour l’alimentation et l’agriculture</w:t>
            </w:r>
          </w:p>
        </w:tc>
        <w:tc>
          <w:tcPr>
            <w:tcW w:w="2790" w:type="dxa"/>
            <w:tcBorders>
              <w:top w:val="single" w:sz="4" w:space="0" w:color="auto"/>
              <w:left w:val="single" w:sz="4" w:space="0" w:color="auto"/>
              <w:bottom w:val="single" w:sz="4" w:space="0" w:color="auto"/>
              <w:right w:val="single" w:sz="4" w:space="0" w:color="auto"/>
            </w:tcBorders>
          </w:tcPr>
          <w:p w14:paraId="22C83810" w14:textId="01FA3F93" w:rsidR="00EF2AE8" w:rsidRPr="00476DFE" w:rsidRDefault="00EF2AE8" w:rsidP="009B410E">
            <w:pPr>
              <w:snapToGrid w:val="0"/>
              <w:spacing w:before="120" w:after="120"/>
              <w:jc w:val="left"/>
              <w:rPr>
                <w:rFonts w:asciiTheme="majorBidi" w:hAnsiTheme="majorBidi" w:cstheme="majorBidi"/>
              </w:rPr>
            </w:pPr>
            <w:r>
              <w:rPr>
                <w:rFonts w:asciiTheme="majorBidi" w:hAnsiTheme="majorBidi"/>
              </w:rPr>
              <w:t>Organe directeur à sa dixième session</w:t>
            </w:r>
          </w:p>
        </w:tc>
      </w:tr>
      <w:tr w:rsidR="00B16F33" w:rsidRPr="00476DFE" w14:paraId="723FFC25" w14:textId="77777777" w:rsidTr="00A77C41">
        <w:tc>
          <w:tcPr>
            <w:tcW w:w="4135" w:type="dxa"/>
            <w:tcBorders>
              <w:top w:val="single" w:sz="4" w:space="0" w:color="auto"/>
              <w:left w:val="single" w:sz="4" w:space="0" w:color="auto"/>
              <w:bottom w:val="single" w:sz="4" w:space="0" w:color="auto"/>
              <w:right w:val="single" w:sz="4" w:space="0" w:color="auto"/>
            </w:tcBorders>
          </w:tcPr>
          <w:p w14:paraId="46ED0959" w14:textId="77777777" w:rsidR="002914DE" w:rsidRDefault="002914DE" w:rsidP="00AE71D5">
            <w:pPr>
              <w:snapToGrid w:val="0"/>
              <w:spacing w:before="120" w:after="120"/>
              <w:jc w:val="left"/>
              <w:rPr>
                <w:rFonts w:asciiTheme="majorBidi" w:hAnsiTheme="majorBidi"/>
              </w:rPr>
            </w:pPr>
            <w:r>
              <w:rPr>
                <w:rFonts w:asciiTheme="majorBidi" w:hAnsiTheme="majorBidi"/>
              </w:rPr>
              <w:t>Résolution 2024-2</w:t>
            </w:r>
          </w:p>
          <w:p w14:paraId="6CB8E362" w14:textId="39D8E91A" w:rsidR="00B16F33" w:rsidRPr="00B16F33" w:rsidRDefault="00AE71D5" w:rsidP="00AE71D5">
            <w:pPr>
              <w:snapToGrid w:val="0"/>
              <w:spacing w:before="120" w:after="120"/>
              <w:jc w:val="left"/>
              <w:rPr>
                <w:rStyle w:val="Hyperlink"/>
              </w:rPr>
            </w:pPr>
            <w:r>
              <w:rPr>
                <w:rFonts w:asciiTheme="majorBidi" w:hAnsiTheme="majorBidi"/>
              </w:rPr>
              <w:t>Résolution sur les synergies entre la Commission baleinière internationale, la Convention sur la diversité biologique et le Cadre mondial de la biodiversité de Kunming-Montréal adopté au titre de celle-ci, et l’Accord se rapportant à la Convention des Nations Unies sur le droit de la mer et portant sur la conservation et l’utilisation durable de la diversité biologique marine des zones ne rel</w:t>
            </w:r>
            <w:r w:rsidR="005033B1">
              <w:rPr>
                <w:rFonts w:asciiTheme="majorBidi" w:hAnsiTheme="majorBidi"/>
              </w:rPr>
              <w:t>evant pas de la juridiction nati</w:t>
            </w:r>
            <w:r>
              <w:rPr>
                <w:rFonts w:asciiTheme="majorBidi" w:hAnsiTheme="majorBidi"/>
              </w:rPr>
              <w:t xml:space="preserve">onale </w:t>
            </w:r>
          </w:p>
        </w:tc>
        <w:tc>
          <w:tcPr>
            <w:tcW w:w="2970" w:type="dxa"/>
            <w:tcBorders>
              <w:top w:val="single" w:sz="4" w:space="0" w:color="auto"/>
              <w:left w:val="single" w:sz="4" w:space="0" w:color="auto"/>
              <w:bottom w:val="single" w:sz="4" w:space="0" w:color="auto"/>
              <w:right w:val="single" w:sz="4" w:space="0" w:color="auto"/>
            </w:tcBorders>
          </w:tcPr>
          <w:p w14:paraId="0BF8193F" w14:textId="4A037B8E" w:rsidR="00B16F33" w:rsidRDefault="00CE7BFD" w:rsidP="009B410E">
            <w:pPr>
              <w:snapToGrid w:val="0"/>
              <w:spacing w:before="120" w:after="120"/>
              <w:jc w:val="left"/>
              <w:rPr>
                <w:rFonts w:asciiTheme="majorBidi" w:hAnsiTheme="majorBidi"/>
              </w:rPr>
            </w:pPr>
            <w:r>
              <w:rPr>
                <w:rFonts w:asciiTheme="majorBidi" w:hAnsiTheme="majorBidi"/>
              </w:rPr>
              <w:t>Commission baleinière internationale</w:t>
            </w:r>
          </w:p>
        </w:tc>
        <w:tc>
          <w:tcPr>
            <w:tcW w:w="2790" w:type="dxa"/>
            <w:tcBorders>
              <w:top w:val="single" w:sz="4" w:space="0" w:color="auto"/>
              <w:left w:val="single" w:sz="4" w:space="0" w:color="auto"/>
              <w:bottom w:val="single" w:sz="4" w:space="0" w:color="auto"/>
              <w:right w:val="single" w:sz="4" w:space="0" w:color="auto"/>
            </w:tcBorders>
          </w:tcPr>
          <w:p w14:paraId="47ED3611" w14:textId="57484B0C" w:rsidR="00B16F33" w:rsidRDefault="00CE7BFD" w:rsidP="009B410E">
            <w:pPr>
              <w:snapToGrid w:val="0"/>
              <w:spacing w:before="120" w:after="120"/>
              <w:jc w:val="left"/>
              <w:rPr>
                <w:rFonts w:asciiTheme="majorBidi" w:hAnsiTheme="majorBidi"/>
              </w:rPr>
            </w:pPr>
            <w:r>
              <w:rPr>
                <w:rFonts w:asciiTheme="majorBidi" w:hAnsiTheme="majorBidi"/>
              </w:rPr>
              <w:t>Commission baleinière internationale à sa soixante-neuvième réunion</w:t>
            </w:r>
          </w:p>
        </w:tc>
      </w:tr>
      <w:tr w:rsidR="00BF4ABA" w:rsidRPr="00476DFE" w14:paraId="7C4A11B1" w14:textId="77777777" w:rsidTr="00A77C41">
        <w:tc>
          <w:tcPr>
            <w:tcW w:w="9895" w:type="dxa"/>
            <w:gridSpan w:val="3"/>
            <w:tcBorders>
              <w:top w:val="single" w:sz="4" w:space="0" w:color="auto"/>
              <w:left w:val="single" w:sz="4" w:space="0" w:color="auto"/>
              <w:bottom w:val="single" w:sz="4" w:space="0" w:color="auto"/>
              <w:right w:val="single" w:sz="4" w:space="0" w:color="auto"/>
            </w:tcBorders>
          </w:tcPr>
          <w:p w14:paraId="1926B067" w14:textId="1B7ADDCA" w:rsidR="00BF4ABA" w:rsidRPr="00476DFE" w:rsidRDefault="00BF4ABA" w:rsidP="009B410E">
            <w:pPr>
              <w:snapToGrid w:val="0"/>
              <w:spacing w:before="120" w:after="120"/>
              <w:jc w:val="left"/>
              <w:rPr>
                <w:rFonts w:asciiTheme="majorBidi" w:hAnsiTheme="majorBidi" w:cstheme="majorBidi"/>
                <w:i/>
                <w:iCs/>
              </w:rPr>
            </w:pPr>
            <w:r>
              <w:rPr>
                <w:rFonts w:asciiTheme="majorBidi" w:hAnsiTheme="majorBidi"/>
                <w:i/>
                <w:iCs/>
              </w:rPr>
              <w:t>Conventions de Rio</w:t>
            </w:r>
          </w:p>
        </w:tc>
      </w:tr>
      <w:tr w:rsidR="00EF2AE8" w:rsidRPr="00476DFE" w14:paraId="50236346" w14:textId="423B3961" w:rsidTr="00A77C41">
        <w:tc>
          <w:tcPr>
            <w:tcW w:w="4135" w:type="dxa"/>
            <w:tcBorders>
              <w:top w:val="single" w:sz="4" w:space="0" w:color="auto"/>
              <w:left w:val="single" w:sz="4" w:space="0" w:color="auto"/>
              <w:bottom w:val="single" w:sz="4" w:space="0" w:color="auto"/>
              <w:right w:val="single" w:sz="4" w:space="0" w:color="auto"/>
            </w:tcBorders>
          </w:tcPr>
          <w:p w14:paraId="1D6F770D" w14:textId="6883382F" w:rsidR="00EF2AE8" w:rsidRPr="00476DFE" w:rsidRDefault="00913470" w:rsidP="009B410E">
            <w:pPr>
              <w:snapToGrid w:val="0"/>
              <w:spacing w:before="120" w:after="120"/>
              <w:jc w:val="left"/>
              <w:rPr>
                <w:rFonts w:asciiTheme="majorBidi" w:hAnsiTheme="majorBidi" w:cstheme="majorBidi"/>
              </w:rPr>
            </w:pPr>
            <w:hyperlink r:id="rId21" w:anchor="%5B%7B%22num%22%3A16%2C%22gen%22%3A0%7D%2C%7B%22name%22%3A%22XYZ%22%7D%2C111%2C771%2C0%5D" w:history="1">
              <w:r>
                <w:rPr>
                  <w:rStyle w:val="Hyperlink"/>
                  <w:rFonts w:asciiTheme="majorBidi" w:hAnsiTheme="majorBidi"/>
                </w:rPr>
                <w:t>Décision</w:t>
              </w:r>
              <w:r w:rsidR="001E2410">
                <w:rPr>
                  <w:rStyle w:val="Hyperlink"/>
                  <w:rFonts w:asciiTheme="majorBidi" w:hAnsiTheme="majorBidi"/>
                </w:rPr>
                <w:t> </w:t>
              </w:r>
              <w:r>
                <w:rPr>
                  <w:rStyle w:val="Hyperlink"/>
                  <w:rFonts w:asciiTheme="majorBidi" w:hAnsiTheme="majorBidi"/>
                </w:rPr>
                <w:t>1/CMA.5</w:t>
              </w:r>
            </w:hyperlink>
          </w:p>
          <w:p w14:paraId="1F278CD9" w14:textId="7418278B" w:rsidR="0062212C" w:rsidRPr="00476DFE" w:rsidRDefault="0062212C" w:rsidP="009B410E">
            <w:pPr>
              <w:snapToGrid w:val="0"/>
              <w:spacing w:before="120" w:after="120"/>
              <w:jc w:val="left"/>
              <w:rPr>
                <w:rFonts w:asciiTheme="majorBidi" w:hAnsiTheme="majorBidi" w:cstheme="majorBidi"/>
              </w:rPr>
            </w:pPr>
            <w:r>
              <w:rPr>
                <w:rFonts w:asciiTheme="majorBidi" w:hAnsiTheme="majorBidi"/>
              </w:rPr>
              <w:t>Résultat du premier bilan mondial</w:t>
            </w:r>
          </w:p>
        </w:tc>
        <w:tc>
          <w:tcPr>
            <w:tcW w:w="2970" w:type="dxa"/>
            <w:tcBorders>
              <w:top w:val="single" w:sz="4" w:space="0" w:color="auto"/>
              <w:left w:val="single" w:sz="4" w:space="0" w:color="auto"/>
              <w:bottom w:val="single" w:sz="4" w:space="0" w:color="auto"/>
              <w:right w:val="single" w:sz="4" w:space="0" w:color="auto"/>
            </w:tcBorders>
          </w:tcPr>
          <w:p w14:paraId="4B532D69" w14:textId="539B4A8D" w:rsidR="00EF2AE8" w:rsidRPr="00476DFE" w:rsidRDefault="00364941" w:rsidP="009B410E">
            <w:pPr>
              <w:snapToGrid w:val="0"/>
              <w:spacing w:before="120" w:after="120"/>
              <w:jc w:val="left"/>
              <w:rPr>
                <w:rFonts w:asciiTheme="majorBidi" w:hAnsiTheme="majorBidi" w:cstheme="majorBidi"/>
              </w:rPr>
            </w:pPr>
            <w:r>
              <w:rPr>
                <w:rFonts w:asciiTheme="majorBidi" w:hAnsiTheme="majorBidi"/>
              </w:rPr>
              <w:t xml:space="preserve">Convention-cadre des Nations Unies sur les changements climatiques  </w:t>
            </w:r>
          </w:p>
        </w:tc>
        <w:tc>
          <w:tcPr>
            <w:tcW w:w="2790" w:type="dxa"/>
            <w:tcBorders>
              <w:top w:val="single" w:sz="4" w:space="0" w:color="auto"/>
              <w:left w:val="single" w:sz="4" w:space="0" w:color="auto"/>
              <w:bottom w:val="single" w:sz="4" w:space="0" w:color="auto"/>
              <w:right w:val="single" w:sz="4" w:space="0" w:color="auto"/>
            </w:tcBorders>
          </w:tcPr>
          <w:p w14:paraId="75151201" w14:textId="18895E7D" w:rsidR="00EF2AE8" w:rsidRPr="00476DFE" w:rsidRDefault="00B3312B" w:rsidP="009B410E">
            <w:pPr>
              <w:snapToGrid w:val="0"/>
              <w:spacing w:before="120" w:after="120"/>
              <w:jc w:val="left"/>
              <w:rPr>
                <w:rFonts w:asciiTheme="majorBidi" w:hAnsiTheme="majorBidi" w:cstheme="majorBidi"/>
              </w:rPr>
            </w:pPr>
            <w:r>
              <w:rPr>
                <w:rFonts w:asciiTheme="majorBidi" w:hAnsiTheme="majorBidi"/>
              </w:rPr>
              <w:t xml:space="preserve">La Conférence des Parties siégeant en tant que réunion des Parties à l’Accord de Paris à sa cinquième session </w:t>
            </w:r>
          </w:p>
        </w:tc>
      </w:tr>
      <w:tr w:rsidR="00BF4ABA" w:rsidRPr="00476DFE" w14:paraId="17626F12" w14:textId="77777777" w:rsidTr="00A77C41">
        <w:tc>
          <w:tcPr>
            <w:tcW w:w="9895" w:type="dxa"/>
            <w:gridSpan w:val="3"/>
            <w:tcBorders>
              <w:top w:val="single" w:sz="4" w:space="0" w:color="auto"/>
              <w:left w:val="single" w:sz="4" w:space="0" w:color="auto"/>
              <w:bottom w:val="single" w:sz="4" w:space="0" w:color="auto"/>
              <w:right w:val="single" w:sz="4" w:space="0" w:color="auto"/>
            </w:tcBorders>
          </w:tcPr>
          <w:p w14:paraId="05408607" w14:textId="3984C400" w:rsidR="00BF4ABA" w:rsidRPr="00476DFE" w:rsidRDefault="00BF4ABA" w:rsidP="009B410E">
            <w:pPr>
              <w:snapToGrid w:val="0"/>
              <w:spacing w:before="120" w:after="120"/>
              <w:jc w:val="left"/>
              <w:rPr>
                <w:rFonts w:asciiTheme="majorBidi" w:hAnsiTheme="majorBidi" w:cstheme="majorBidi"/>
                <w:i/>
                <w:iCs/>
              </w:rPr>
            </w:pPr>
            <w:r>
              <w:rPr>
                <w:rFonts w:asciiTheme="majorBidi" w:hAnsiTheme="majorBidi"/>
                <w:i/>
                <w:iCs/>
              </w:rPr>
              <w:t xml:space="preserve">Conventions relatives aux produits chimiques et aux déchets et autres accords multilatéraux sur l’environnement </w:t>
            </w:r>
          </w:p>
        </w:tc>
      </w:tr>
      <w:tr w:rsidR="00EF2AE8" w:rsidRPr="00476DFE" w14:paraId="0F9555E9" w14:textId="57BFD370" w:rsidTr="00A77C41">
        <w:tc>
          <w:tcPr>
            <w:tcW w:w="4135" w:type="dxa"/>
            <w:tcBorders>
              <w:top w:val="single" w:sz="4" w:space="0" w:color="auto"/>
              <w:left w:val="single" w:sz="4" w:space="0" w:color="auto"/>
              <w:bottom w:val="single" w:sz="4" w:space="0" w:color="auto"/>
              <w:right w:val="single" w:sz="4" w:space="0" w:color="auto"/>
            </w:tcBorders>
          </w:tcPr>
          <w:p w14:paraId="11171001" w14:textId="7536B35F" w:rsidR="000643F3" w:rsidRPr="00476DFE" w:rsidRDefault="000643F3" w:rsidP="009B410E">
            <w:pPr>
              <w:snapToGrid w:val="0"/>
              <w:spacing w:before="120" w:after="120"/>
              <w:jc w:val="left"/>
              <w:rPr>
                <w:rStyle w:val="Hyperlink"/>
                <w:rFonts w:asciiTheme="majorBidi" w:hAnsiTheme="majorBidi" w:cstheme="majorBidi"/>
              </w:rPr>
            </w:pPr>
            <w:r w:rsidRPr="00476DFE">
              <w:rPr>
                <w:rFonts w:asciiTheme="majorBidi" w:hAnsiTheme="majorBidi" w:cstheme="majorBidi"/>
              </w:rPr>
              <w:lastRenderedPageBreak/>
              <w:fldChar w:fldCharType="begin"/>
            </w:r>
            <w:r w:rsidRPr="00476DFE">
              <w:rPr>
                <w:rFonts w:asciiTheme="majorBidi" w:hAnsiTheme="majorBidi" w:cstheme="majorBidi"/>
              </w:rPr>
              <w:instrText>HYPERLINK "https://www.basel.int/TheConvention/ConferenceoftheParties/Meetings/COP16/tabid/9311/Default.aspx"</w:instrText>
            </w:r>
            <w:r w:rsidRPr="00476DFE">
              <w:rPr>
                <w:rFonts w:asciiTheme="majorBidi" w:hAnsiTheme="majorBidi" w:cstheme="majorBidi"/>
              </w:rPr>
            </w:r>
            <w:r w:rsidRPr="00476DFE">
              <w:rPr>
                <w:rFonts w:asciiTheme="majorBidi" w:hAnsiTheme="majorBidi" w:cstheme="majorBidi"/>
              </w:rPr>
              <w:fldChar w:fldCharType="separate"/>
            </w:r>
            <w:r>
              <w:rPr>
                <w:rStyle w:val="Hyperlink"/>
                <w:rFonts w:asciiTheme="majorBidi" w:hAnsiTheme="majorBidi"/>
              </w:rPr>
              <w:t>Décision BC-16/22</w:t>
            </w:r>
          </w:p>
          <w:p w14:paraId="3AAE5B1F" w14:textId="52683F6C" w:rsidR="000643F3" w:rsidRPr="00476DFE" w:rsidRDefault="000643F3" w:rsidP="009B410E">
            <w:pPr>
              <w:snapToGrid w:val="0"/>
              <w:jc w:val="left"/>
              <w:rPr>
                <w:rFonts w:asciiTheme="majorBidi" w:hAnsiTheme="majorBidi" w:cstheme="majorBidi"/>
              </w:rPr>
            </w:pPr>
            <w:r w:rsidRPr="00476DFE">
              <w:rPr>
                <w:rFonts w:asciiTheme="majorBidi" w:hAnsiTheme="majorBidi" w:cstheme="majorBidi"/>
              </w:rPr>
              <w:fldChar w:fldCharType="end"/>
            </w:r>
            <w:r>
              <w:rPr>
                <w:rFonts w:asciiTheme="majorBidi" w:hAnsiTheme="majorBidi"/>
              </w:rPr>
              <w:t>Coopération et coordination internationales avec d’autres organisations</w:t>
            </w:r>
          </w:p>
          <w:p w14:paraId="289A36D2" w14:textId="1FF38867" w:rsidR="00BB57D6" w:rsidRPr="00476DFE" w:rsidRDefault="00913470" w:rsidP="009B410E">
            <w:pPr>
              <w:snapToGrid w:val="0"/>
              <w:spacing w:before="120" w:after="120"/>
              <w:jc w:val="left"/>
              <w:rPr>
                <w:rFonts w:asciiTheme="majorBidi" w:hAnsiTheme="majorBidi" w:cstheme="majorBidi"/>
              </w:rPr>
            </w:pPr>
            <w:hyperlink r:id="rId22" w:history="1">
              <w:r>
                <w:rPr>
                  <w:rStyle w:val="Hyperlink"/>
                  <w:rFonts w:asciiTheme="majorBidi" w:hAnsiTheme="majorBidi"/>
                </w:rPr>
                <w:t>Décision</w:t>
              </w:r>
              <w:r w:rsidR="001E2410">
                <w:rPr>
                  <w:rStyle w:val="Hyperlink"/>
                  <w:rFonts w:asciiTheme="majorBidi" w:hAnsiTheme="majorBidi"/>
                </w:rPr>
                <w:t> </w:t>
              </w:r>
              <w:r>
                <w:rPr>
                  <w:rStyle w:val="Hyperlink"/>
                  <w:rFonts w:asciiTheme="majorBidi" w:hAnsiTheme="majorBidi"/>
                </w:rPr>
                <w:t>RC-11/9</w:t>
              </w:r>
            </w:hyperlink>
            <w:r>
              <w:rPr>
                <w:rFonts w:asciiTheme="majorBidi" w:hAnsiTheme="majorBidi"/>
              </w:rPr>
              <w:t xml:space="preserve"> </w:t>
            </w:r>
          </w:p>
          <w:p w14:paraId="2D98CB07" w14:textId="76738251" w:rsidR="00A062D7" w:rsidRPr="00476DFE" w:rsidRDefault="00A062D7" w:rsidP="009B410E">
            <w:pPr>
              <w:snapToGrid w:val="0"/>
              <w:spacing w:before="120" w:after="120"/>
              <w:jc w:val="left"/>
              <w:rPr>
                <w:rFonts w:asciiTheme="majorBidi" w:hAnsiTheme="majorBidi" w:cstheme="majorBidi"/>
              </w:rPr>
            </w:pPr>
            <w:r>
              <w:rPr>
                <w:rFonts w:asciiTheme="majorBidi" w:hAnsiTheme="majorBidi"/>
              </w:rPr>
              <w:t>Coopération et coordination internationales avec d’autres organisations</w:t>
            </w:r>
          </w:p>
          <w:p w14:paraId="2EEEAF4E" w14:textId="7C2AF830" w:rsidR="00EF2AE8" w:rsidRPr="00476DFE" w:rsidRDefault="00913470" w:rsidP="009B410E">
            <w:pPr>
              <w:snapToGrid w:val="0"/>
              <w:spacing w:before="120" w:after="120"/>
              <w:jc w:val="left"/>
              <w:rPr>
                <w:rFonts w:asciiTheme="majorBidi" w:hAnsiTheme="majorBidi" w:cstheme="majorBidi"/>
              </w:rPr>
            </w:pPr>
            <w:hyperlink r:id="rId23" w:history="1">
              <w:r>
                <w:rPr>
                  <w:rStyle w:val="Hyperlink"/>
                  <w:rFonts w:asciiTheme="majorBidi" w:hAnsiTheme="majorBidi"/>
                </w:rPr>
                <w:t>Décision</w:t>
              </w:r>
              <w:r w:rsidR="001E2410">
                <w:rPr>
                  <w:rStyle w:val="Hyperlink"/>
                  <w:rFonts w:asciiTheme="majorBidi" w:hAnsiTheme="majorBidi"/>
                </w:rPr>
                <w:t> </w:t>
              </w:r>
              <w:r>
                <w:rPr>
                  <w:rStyle w:val="Hyperlink"/>
                  <w:rFonts w:asciiTheme="majorBidi" w:hAnsiTheme="majorBidi"/>
                </w:rPr>
                <w:t>SC-11/21</w:t>
              </w:r>
            </w:hyperlink>
          </w:p>
          <w:p w14:paraId="522D80CF" w14:textId="3D563611" w:rsidR="00E879E0" w:rsidRPr="00476DFE" w:rsidRDefault="00E879E0" w:rsidP="009B410E">
            <w:pPr>
              <w:snapToGrid w:val="0"/>
              <w:spacing w:before="120" w:after="120"/>
              <w:jc w:val="left"/>
              <w:rPr>
                <w:rFonts w:asciiTheme="majorBidi" w:hAnsiTheme="majorBidi" w:cstheme="majorBidi"/>
              </w:rPr>
            </w:pPr>
            <w:r>
              <w:rPr>
                <w:rFonts w:asciiTheme="majorBidi" w:hAnsiTheme="majorBidi"/>
              </w:rPr>
              <w:t>Coopération et coordination internationales avec d’autres organisations</w:t>
            </w:r>
          </w:p>
        </w:tc>
        <w:tc>
          <w:tcPr>
            <w:tcW w:w="2970" w:type="dxa"/>
            <w:tcBorders>
              <w:top w:val="single" w:sz="4" w:space="0" w:color="auto"/>
              <w:left w:val="single" w:sz="4" w:space="0" w:color="auto"/>
              <w:bottom w:val="single" w:sz="4" w:space="0" w:color="auto"/>
              <w:right w:val="single" w:sz="4" w:space="0" w:color="auto"/>
            </w:tcBorders>
          </w:tcPr>
          <w:p w14:paraId="36B353F3" w14:textId="5E18DEA2" w:rsidR="00EF2AE8" w:rsidRPr="00476DFE" w:rsidRDefault="006112D3" w:rsidP="009B410E">
            <w:pPr>
              <w:snapToGrid w:val="0"/>
              <w:spacing w:before="120" w:after="120"/>
              <w:jc w:val="left"/>
              <w:rPr>
                <w:rFonts w:asciiTheme="majorBidi" w:hAnsiTheme="majorBidi" w:cstheme="majorBidi"/>
              </w:rPr>
            </w:pPr>
            <w:r>
              <w:rPr>
                <w:rFonts w:asciiTheme="majorBidi" w:hAnsiTheme="majorBidi"/>
              </w:rPr>
              <w:t>Conventions de Bâle, de Rotterdam et de Stockholm</w:t>
            </w:r>
          </w:p>
        </w:tc>
        <w:tc>
          <w:tcPr>
            <w:tcW w:w="2790" w:type="dxa"/>
            <w:tcBorders>
              <w:top w:val="single" w:sz="4" w:space="0" w:color="auto"/>
              <w:left w:val="single" w:sz="4" w:space="0" w:color="auto"/>
              <w:bottom w:val="single" w:sz="4" w:space="0" w:color="auto"/>
              <w:right w:val="single" w:sz="4" w:space="0" w:color="auto"/>
            </w:tcBorders>
          </w:tcPr>
          <w:p w14:paraId="751F4806" w14:textId="23F62E1D" w:rsidR="00EF2AE8" w:rsidRPr="00476DFE" w:rsidRDefault="00982737" w:rsidP="009B410E">
            <w:pPr>
              <w:snapToGrid w:val="0"/>
              <w:spacing w:before="120" w:after="120"/>
              <w:jc w:val="left"/>
              <w:rPr>
                <w:rFonts w:asciiTheme="majorBidi" w:hAnsiTheme="majorBidi" w:cstheme="majorBidi"/>
              </w:rPr>
            </w:pPr>
            <w:r>
              <w:rPr>
                <w:rFonts w:asciiTheme="majorBidi" w:hAnsiTheme="majorBidi"/>
              </w:rPr>
              <w:t>Conférence des Parties à sa seizième réunion (Convention de Bâle), Conférence des Parties à sa onzième réunion (Convention de Rotterdam) et Conférence des Parties à sa onzième réunion (Convention de Stockholm).</w:t>
            </w:r>
          </w:p>
        </w:tc>
      </w:tr>
      <w:tr w:rsidR="00EF2AE8" w:rsidRPr="00476DFE" w14:paraId="5934605F" w14:textId="3D8F9EEC" w:rsidTr="00A77C41">
        <w:tc>
          <w:tcPr>
            <w:tcW w:w="4135" w:type="dxa"/>
            <w:tcBorders>
              <w:top w:val="single" w:sz="4" w:space="0" w:color="auto"/>
              <w:left w:val="single" w:sz="4" w:space="0" w:color="auto"/>
              <w:bottom w:val="single" w:sz="4" w:space="0" w:color="auto"/>
              <w:right w:val="single" w:sz="4" w:space="0" w:color="auto"/>
            </w:tcBorders>
          </w:tcPr>
          <w:p w14:paraId="01A9D1F4" w14:textId="2C7C8E05" w:rsidR="00EF2AE8" w:rsidRPr="00476DFE" w:rsidRDefault="00913470" w:rsidP="009B410E">
            <w:pPr>
              <w:snapToGrid w:val="0"/>
              <w:spacing w:before="120" w:after="120"/>
              <w:jc w:val="left"/>
              <w:rPr>
                <w:rFonts w:asciiTheme="majorBidi" w:hAnsiTheme="majorBidi" w:cstheme="majorBidi"/>
              </w:rPr>
            </w:pPr>
            <w:hyperlink r:id="rId24" w:history="1">
              <w:r>
                <w:rPr>
                  <w:rStyle w:val="Hyperlink"/>
                  <w:rFonts w:asciiTheme="majorBidi" w:hAnsiTheme="majorBidi"/>
                </w:rPr>
                <w:t>Décision</w:t>
              </w:r>
              <w:r w:rsidR="001E2410">
                <w:rPr>
                  <w:rStyle w:val="Hyperlink"/>
                  <w:rFonts w:asciiTheme="majorBidi" w:hAnsiTheme="majorBidi"/>
                </w:rPr>
                <w:t> </w:t>
              </w:r>
              <w:r>
                <w:rPr>
                  <w:rStyle w:val="Hyperlink"/>
                  <w:rFonts w:asciiTheme="majorBidi" w:hAnsiTheme="majorBidi"/>
                </w:rPr>
                <w:t>MC-5/17</w:t>
              </w:r>
            </w:hyperlink>
          </w:p>
          <w:p w14:paraId="7545693F" w14:textId="1A63E59E" w:rsidR="006E430C" w:rsidRPr="00476DFE" w:rsidRDefault="00BB4F40" w:rsidP="009B410E">
            <w:pPr>
              <w:snapToGrid w:val="0"/>
              <w:spacing w:before="120" w:after="120"/>
              <w:jc w:val="left"/>
              <w:rPr>
                <w:rFonts w:asciiTheme="majorBidi" w:hAnsiTheme="majorBidi" w:cstheme="majorBidi"/>
              </w:rPr>
            </w:pPr>
            <w:r w:rsidRPr="00BB4F40">
              <w:rPr>
                <w:rFonts w:asciiTheme="majorBidi" w:hAnsiTheme="majorBidi"/>
              </w:rPr>
              <w:t>Le mercure et le Cadre mondial de la biodiversité de Kunming-Montréal</w:t>
            </w:r>
          </w:p>
        </w:tc>
        <w:tc>
          <w:tcPr>
            <w:tcW w:w="2970" w:type="dxa"/>
            <w:tcBorders>
              <w:top w:val="single" w:sz="4" w:space="0" w:color="auto"/>
              <w:left w:val="single" w:sz="4" w:space="0" w:color="auto"/>
              <w:bottom w:val="single" w:sz="4" w:space="0" w:color="auto"/>
              <w:right w:val="single" w:sz="4" w:space="0" w:color="auto"/>
            </w:tcBorders>
          </w:tcPr>
          <w:p w14:paraId="02E39B30" w14:textId="0B3B388A" w:rsidR="00EF2AE8" w:rsidRPr="00476DFE" w:rsidRDefault="00982737" w:rsidP="009B410E">
            <w:pPr>
              <w:snapToGrid w:val="0"/>
              <w:spacing w:before="120" w:after="120"/>
              <w:jc w:val="left"/>
              <w:rPr>
                <w:rFonts w:asciiTheme="majorBidi" w:hAnsiTheme="majorBidi" w:cstheme="majorBidi"/>
              </w:rPr>
            </w:pPr>
            <w:r>
              <w:rPr>
                <w:rFonts w:asciiTheme="majorBidi" w:hAnsiTheme="majorBidi"/>
              </w:rPr>
              <w:t>Convention de Minamata sur le mercure</w:t>
            </w:r>
          </w:p>
        </w:tc>
        <w:tc>
          <w:tcPr>
            <w:tcW w:w="2790" w:type="dxa"/>
            <w:tcBorders>
              <w:top w:val="single" w:sz="4" w:space="0" w:color="auto"/>
              <w:left w:val="single" w:sz="4" w:space="0" w:color="auto"/>
              <w:bottom w:val="single" w:sz="4" w:space="0" w:color="auto"/>
              <w:right w:val="single" w:sz="4" w:space="0" w:color="auto"/>
            </w:tcBorders>
          </w:tcPr>
          <w:p w14:paraId="49D0A750" w14:textId="6D2425EC" w:rsidR="00EF2AE8" w:rsidRPr="00476DFE" w:rsidRDefault="00F51C3E" w:rsidP="009B410E">
            <w:pPr>
              <w:snapToGrid w:val="0"/>
              <w:spacing w:before="120" w:after="120"/>
              <w:jc w:val="left"/>
              <w:rPr>
                <w:rFonts w:asciiTheme="majorBidi" w:hAnsiTheme="majorBidi" w:cstheme="majorBidi"/>
              </w:rPr>
            </w:pPr>
            <w:r>
              <w:rPr>
                <w:rFonts w:asciiTheme="majorBidi" w:hAnsiTheme="majorBidi"/>
              </w:rPr>
              <w:t>Conférence des Parties à sa cinquième réunion</w:t>
            </w:r>
          </w:p>
        </w:tc>
      </w:tr>
      <w:tr w:rsidR="008673C6" w:rsidRPr="00476DFE" w14:paraId="36D46784" w14:textId="77777777" w:rsidTr="00A77C41">
        <w:tc>
          <w:tcPr>
            <w:tcW w:w="9895" w:type="dxa"/>
            <w:gridSpan w:val="3"/>
            <w:tcBorders>
              <w:top w:val="single" w:sz="4" w:space="0" w:color="auto"/>
              <w:left w:val="single" w:sz="4" w:space="0" w:color="auto"/>
              <w:bottom w:val="single" w:sz="4" w:space="0" w:color="auto"/>
              <w:right w:val="single" w:sz="4" w:space="0" w:color="auto"/>
            </w:tcBorders>
          </w:tcPr>
          <w:p w14:paraId="46409657" w14:textId="57BF94E9" w:rsidR="008673C6" w:rsidRPr="00476DFE" w:rsidRDefault="008673C6" w:rsidP="009B410E">
            <w:pPr>
              <w:snapToGrid w:val="0"/>
              <w:spacing w:before="120" w:after="120"/>
              <w:jc w:val="left"/>
              <w:rPr>
                <w:rFonts w:asciiTheme="majorBidi" w:hAnsiTheme="majorBidi" w:cstheme="majorBidi"/>
                <w:i/>
                <w:iCs/>
              </w:rPr>
            </w:pPr>
            <w:r>
              <w:rPr>
                <w:rFonts w:asciiTheme="majorBidi" w:hAnsiTheme="majorBidi"/>
                <w:i/>
                <w:iCs/>
              </w:rPr>
              <w:t>Conventions, organes et organisations régionaux</w:t>
            </w:r>
          </w:p>
        </w:tc>
      </w:tr>
      <w:tr w:rsidR="00EF2AE8" w:rsidRPr="00476DFE" w14:paraId="4A78D966" w14:textId="3B234778" w:rsidTr="00A77C41">
        <w:tc>
          <w:tcPr>
            <w:tcW w:w="4135" w:type="dxa"/>
            <w:tcBorders>
              <w:top w:val="single" w:sz="4" w:space="0" w:color="auto"/>
              <w:left w:val="single" w:sz="4" w:space="0" w:color="auto"/>
              <w:bottom w:val="single" w:sz="4" w:space="0" w:color="auto"/>
              <w:right w:val="single" w:sz="4" w:space="0" w:color="auto"/>
            </w:tcBorders>
          </w:tcPr>
          <w:p w14:paraId="6BDC7F89" w14:textId="25B1CED0" w:rsidR="00EF2AE8" w:rsidRPr="00476DFE" w:rsidRDefault="003D4CC2" w:rsidP="009B410E">
            <w:pPr>
              <w:snapToGrid w:val="0"/>
              <w:spacing w:before="120" w:after="120"/>
              <w:jc w:val="left"/>
              <w:rPr>
                <w:rFonts w:asciiTheme="majorBidi" w:hAnsiTheme="majorBidi" w:cstheme="majorBidi"/>
              </w:rPr>
            </w:pPr>
            <w:r>
              <w:rPr>
                <w:rFonts w:asciiTheme="majorBidi" w:hAnsiTheme="majorBidi"/>
              </w:rPr>
              <w:t>Décision 17/XII</w:t>
            </w:r>
          </w:p>
        </w:tc>
        <w:tc>
          <w:tcPr>
            <w:tcW w:w="2970" w:type="dxa"/>
            <w:tcBorders>
              <w:top w:val="single" w:sz="4" w:space="0" w:color="auto"/>
              <w:left w:val="single" w:sz="4" w:space="0" w:color="auto"/>
              <w:bottom w:val="single" w:sz="4" w:space="0" w:color="auto"/>
              <w:right w:val="single" w:sz="4" w:space="0" w:color="auto"/>
            </w:tcBorders>
          </w:tcPr>
          <w:p w14:paraId="05158CA1" w14:textId="0026F5A8" w:rsidR="00EF2AE8" w:rsidRPr="00476DFE" w:rsidRDefault="00D328C2" w:rsidP="009B410E">
            <w:pPr>
              <w:snapToGrid w:val="0"/>
              <w:spacing w:before="120" w:after="120"/>
              <w:jc w:val="left"/>
              <w:rPr>
                <w:rFonts w:asciiTheme="majorBidi" w:hAnsiTheme="majorBidi" w:cstheme="majorBidi"/>
              </w:rPr>
            </w:pPr>
            <w:r>
              <w:rPr>
                <w:rFonts w:asciiTheme="majorBidi" w:hAnsiTheme="majorBidi"/>
              </w:rPr>
              <w:t>Convention pour la protection et la mise en valeur du milieu marin dans la région des Caraïbes (Convention de Cartagena)</w:t>
            </w:r>
          </w:p>
        </w:tc>
        <w:tc>
          <w:tcPr>
            <w:tcW w:w="2790" w:type="dxa"/>
            <w:tcBorders>
              <w:top w:val="single" w:sz="4" w:space="0" w:color="auto"/>
              <w:left w:val="single" w:sz="4" w:space="0" w:color="auto"/>
              <w:bottom w:val="single" w:sz="4" w:space="0" w:color="auto"/>
              <w:right w:val="single" w:sz="4" w:space="0" w:color="auto"/>
            </w:tcBorders>
          </w:tcPr>
          <w:p w14:paraId="53799797" w14:textId="17097F86" w:rsidR="00EF2AE8" w:rsidRPr="00476DFE" w:rsidRDefault="00D328C2" w:rsidP="009B410E">
            <w:pPr>
              <w:snapToGrid w:val="0"/>
              <w:spacing w:before="120" w:after="120"/>
              <w:jc w:val="left"/>
              <w:rPr>
                <w:rFonts w:asciiTheme="majorBidi" w:hAnsiTheme="majorBidi" w:cstheme="majorBidi"/>
              </w:rPr>
            </w:pPr>
            <w:r>
              <w:rPr>
                <w:rFonts w:asciiTheme="majorBidi" w:hAnsiTheme="majorBidi"/>
              </w:rPr>
              <w:t>Conférence des Parties à sa septième réunion</w:t>
            </w:r>
          </w:p>
        </w:tc>
      </w:tr>
      <w:tr w:rsidR="00EF2AE8" w:rsidRPr="00476DFE" w14:paraId="0856F970" w14:textId="67341DEA" w:rsidTr="00A77C41">
        <w:tc>
          <w:tcPr>
            <w:tcW w:w="4135" w:type="dxa"/>
            <w:tcBorders>
              <w:top w:val="single" w:sz="4" w:space="0" w:color="auto"/>
              <w:left w:val="single" w:sz="4" w:space="0" w:color="auto"/>
              <w:bottom w:val="single" w:sz="4" w:space="0" w:color="auto"/>
              <w:right w:val="single" w:sz="4" w:space="0" w:color="auto"/>
            </w:tcBorders>
          </w:tcPr>
          <w:p w14:paraId="72BE8FC6" w14:textId="1080FDEE" w:rsidR="00EF2AE8" w:rsidRPr="00476DFE" w:rsidRDefault="00913470" w:rsidP="009B410E">
            <w:pPr>
              <w:snapToGrid w:val="0"/>
              <w:spacing w:before="120" w:after="120"/>
              <w:jc w:val="left"/>
              <w:rPr>
                <w:rFonts w:asciiTheme="majorBidi" w:hAnsiTheme="majorBidi" w:cstheme="majorBidi"/>
              </w:rPr>
            </w:pPr>
            <w:hyperlink r:id="rId25" w:history="1">
              <w:r>
                <w:rPr>
                  <w:rStyle w:val="Hyperlink"/>
                  <w:rFonts w:asciiTheme="majorBidi" w:hAnsiTheme="majorBidi"/>
                </w:rPr>
                <w:t>ECE/EB.AIR/154</w:t>
              </w:r>
            </w:hyperlink>
          </w:p>
          <w:p w14:paraId="3C92FAF2" w14:textId="2C2D5607" w:rsidR="008F6566" w:rsidRPr="00476DFE" w:rsidRDefault="00EE4DA1" w:rsidP="009B410E">
            <w:pPr>
              <w:snapToGrid w:val="0"/>
              <w:spacing w:before="120" w:after="120"/>
              <w:jc w:val="left"/>
              <w:rPr>
                <w:rFonts w:asciiTheme="majorBidi" w:hAnsiTheme="majorBidi" w:cstheme="majorBidi"/>
              </w:rPr>
            </w:pPr>
            <w:r>
              <w:rPr>
                <w:rFonts w:asciiTheme="majorBidi" w:hAnsiTheme="majorBidi"/>
              </w:rPr>
              <w:t>Rapport de l’organe exécutif sur sa quarante-troisième session</w:t>
            </w:r>
          </w:p>
        </w:tc>
        <w:tc>
          <w:tcPr>
            <w:tcW w:w="2970" w:type="dxa"/>
            <w:tcBorders>
              <w:top w:val="single" w:sz="4" w:space="0" w:color="auto"/>
              <w:left w:val="single" w:sz="4" w:space="0" w:color="auto"/>
              <w:bottom w:val="single" w:sz="4" w:space="0" w:color="auto"/>
              <w:right w:val="single" w:sz="4" w:space="0" w:color="auto"/>
            </w:tcBorders>
          </w:tcPr>
          <w:p w14:paraId="6DB1EF27" w14:textId="164D9942" w:rsidR="00EF2AE8" w:rsidRPr="00476DFE" w:rsidRDefault="00E26497" w:rsidP="009B410E">
            <w:pPr>
              <w:snapToGrid w:val="0"/>
              <w:spacing w:before="120" w:after="120"/>
              <w:jc w:val="left"/>
              <w:rPr>
                <w:rFonts w:asciiTheme="majorBidi" w:hAnsiTheme="majorBidi" w:cstheme="majorBidi"/>
              </w:rPr>
            </w:pPr>
            <w:r>
              <w:rPr>
                <w:rFonts w:asciiTheme="majorBidi" w:hAnsiTheme="majorBidi"/>
              </w:rPr>
              <w:t>Convention sur la pollution atmosphérique transfrontière à longue distance</w:t>
            </w:r>
          </w:p>
        </w:tc>
        <w:tc>
          <w:tcPr>
            <w:tcW w:w="2790" w:type="dxa"/>
            <w:tcBorders>
              <w:top w:val="single" w:sz="4" w:space="0" w:color="auto"/>
              <w:left w:val="single" w:sz="4" w:space="0" w:color="auto"/>
              <w:bottom w:val="single" w:sz="4" w:space="0" w:color="auto"/>
              <w:right w:val="single" w:sz="4" w:space="0" w:color="auto"/>
            </w:tcBorders>
          </w:tcPr>
          <w:p w14:paraId="556C8CA6" w14:textId="54B3CD6D" w:rsidR="00EF2AE8" w:rsidRPr="00476DFE" w:rsidRDefault="002035F4" w:rsidP="00E26497">
            <w:pPr>
              <w:snapToGrid w:val="0"/>
              <w:spacing w:before="120" w:after="120"/>
              <w:jc w:val="left"/>
              <w:rPr>
                <w:rFonts w:asciiTheme="majorBidi" w:hAnsiTheme="majorBidi" w:cstheme="majorBidi"/>
                <w:highlight w:val="yellow"/>
              </w:rPr>
            </w:pPr>
            <w:r>
              <w:rPr>
                <w:rFonts w:asciiTheme="majorBidi" w:hAnsiTheme="majorBidi"/>
              </w:rPr>
              <w:t>Quarante-troisième session de l’organe exécutif</w:t>
            </w:r>
          </w:p>
        </w:tc>
      </w:tr>
      <w:tr w:rsidR="00EF2AE8" w:rsidRPr="00476DFE" w14:paraId="445485AA" w14:textId="2753B9F5" w:rsidTr="00A77C41">
        <w:tc>
          <w:tcPr>
            <w:tcW w:w="4135" w:type="dxa"/>
            <w:tcBorders>
              <w:top w:val="single" w:sz="4" w:space="0" w:color="auto"/>
              <w:left w:val="single" w:sz="4" w:space="0" w:color="auto"/>
              <w:bottom w:val="single" w:sz="4" w:space="0" w:color="auto"/>
              <w:right w:val="single" w:sz="4" w:space="0" w:color="auto"/>
            </w:tcBorders>
          </w:tcPr>
          <w:p w14:paraId="70216FB5" w14:textId="3C9288D7" w:rsidR="00EF2AE8" w:rsidRPr="00476DFE" w:rsidRDefault="00913470" w:rsidP="009B410E">
            <w:pPr>
              <w:snapToGrid w:val="0"/>
              <w:spacing w:before="120" w:after="120"/>
              <w:jc w:val="left"/>
              <w:rPr>
                <w:rFonts w:asciiTheme="majorBidi" w:hAnsiTheme="majorBidi" w:cstheme="majorBidi"/>
              </w:rPr>
            </w:pPr>
            <w:hyperlink r:id="rId26" w:history="1">
              <w:r>
                <w:rPr>
                  <w:rStyle w:val="Hyperlink"/>
                  <w:rFonts w:asciiTheme="majorBidi" w:hAnsiTheme="majorBidi"/>
                </w:rPr>
                <w:t>Décision</w:t>
              </w:r>
              <w:r w:rsidR="001E2410">
                <w:rPr>
                  <w:rStyle w:val="Hyperlink"/>
                  <w:rFonts w:asciiTheme="majorBidi" w:hAnsiTheme="majorBidi"/>
                </w:rPr>
                <w:t> </w:t>
              </w:r>
              <w:r>
                <w:rPr>
                  <w:rStyle w:val="Hyperlink"/>
                  <w:rFonts w:asciiTheme="majorBidi" w:hAnsiTheme="majorBidi"/>
                </w:rPr>
                <w:t>7/6</w:t>
              </w:r>
            </w:hyperlink>
          </w:p>
          <w:p w14:paraId="5E35CB18" w14:textId="7FDCA5E3" w:rsidR="009E592F" w:rsidRPr="00476DFE" w:rsidRDefault="009E592F" w:rsidP="009B410E">
            <w:pPr>
              <w:snapToGrid w:val="0"/>
              <w:spacing w:before="120" w:after="120"/>
              <w:jc w:val="left"/>
              <w:rPr>
                <w:rFonts w:asciiTheme="majorBidi" w:hAnsiTheme="majorBidi" w:cstheme="majorBidi"/>
              </w:rPr>
            </w:pPr>
            <w:r>
              <w:rPr>
                <w:rFonts w:asciiTheme="majorBidi" w:hAnsiTheme="majorBidi"/>
              </w:rPr>
              <w:t>Mise en œuvre du Cadre mondial de la biodiversité de Kunming-Montréal</w:t>
            </w:r>
          </w:p>
        </w:tc>
        <w:tc>
          <w:tcPr>
            <w:tcW w:w="2970" w:type="dxa"/>
            <w:tcBorders>
              <w:top w:val="single" w:sz="4" w:space="0" w:color="auto"/>
              <w:left w:val="single" w:sz="4" w:space="0" w:color="auto"/>
              <w:bottom w:val="single" w:sz="4" w:space="0" w:color="auto"/>
              <w:right w:val="single" w:sz="4" w:space="0" w:color="auto"/>
            </w:tcBorders>
          </w:tcPr>
          <w:p w14:paraId="50BD2FD5" w14:textId="59DD7735" w:rsidR="00EF2AE8" w:rsidRPr="00476DFE" w:rsidRDefault="00F81128" w:rsidP="009B410E">
            <w:pPr>
              <w:snapToGrid w:val="0"/>
              <w:spacing w:before="120" w:after="120"/>
              <w:jc w:val="left"/>
              <w:rPr>
                <w:rFonts w:asciiTheme="majorBidi" w:hAnsiTheme="majorBidi" w:cstheme="majorBidi"/>
              </w:rPr>
            </w:pPr>
            <w:r>
              <w:rPr>
                <w:rFonts w:asciiTheme="majorBidi" w:hAnsiTheme="majorBidi"/>
              </w:rPr>
              <w:t>Convention-cadre sur la protection et le développement durable des Carpates (Convention des Carpates)</w:t>
            </w:r>
          </w:p>
        </w:tc>
        <w:tc>
          <w:tcPr>
            <w:tcW w:w="2790" w:type="dxa"/>
            <w:tcBorders>
              <w:top w:val="single" w:sz="4" w:space="0" w:color="auto"/>
              <w:left w:val="single" w:sz="4" w:space="0" w:color="auto"/>
              <w:bottom w:val="single" w:sz="4" w:space="0" w:color="auto"/>
              <w:right w:val="single" w:sz="4" w:space="0" w:color="auto"/>
            </w:tcBorders>
          </w:tcPr>
          <w:p w14:paraId="5211A8FF" w14:textId="475D2A1E" w:rsidR="00EF2AE8" w:rsidRPr="00476DFE" w:rsidRDefault="00803706" w:rsidP="009B410E">
            <w:pPr>
              <w:snapToGrid w:val="0"/>
              <w:spacing w:before="120" w:after="120"/>
              <w:jc w:val="left"/>
              <w:rPr>
                <w:rFonts w:asciiTheme="majorBidi" w:hAnsiTheme="majorBidi" w:cstheme="majorBidi"/>
              </w:rPr>
            </w:pPr>
            <w:r>
              <w:rPr>
                <w:rFonts w:asciiTheme="majorBidi" w:hAnsiTheme="majorBidi"/>
              </w:rPr>
              <w:t>Conférence des Parties à sa septième réunion</w:t>
            </w:r>
          </w:p>
        </w:tc>
      </w:tr>
      <w:tr w:rsidR="0017211C" w:rsidRPr="00476DFE" w14:paraId="7264672D" w14:textId="77777777" w:rsidTr="00A77C41">
        <w:tc>
          <w:tcPr>
            <w:tcW w:w="4135" w:type="dxa"/>
            <w:tcBorders>
              <w:top w:val="single" w:sz="4" w:space="0" w:color="auto"/>
              <w:left w:val="single" w:sz="4" w:space="0" w:color="auto"/>
              <w:bottom w:val="single" w:sz="4" w:space="0" w:color="auto"/>
              <w:right w:val="single" w:sz="4" w:space="0" w:color="auto"/>
            </w:tcBorders>
          </w:tcPr>
          <w:p w14:paraId="7A456DC9" w14:textId="628AB390" w:rsidR="0017211C" w:rsidRPr="00476DFE" w:rsidRDefault="00913470" w:rsidP="0017211C">
            <w:pPr>
              <w:snapToGrid w:val="0"/>
              <w:spacing w:before="120" w:after="120"/>
              <w:jc w:val="left"/>
              <w:rPr>
                <w:rFonts w:asciiTheme="majorBidi" w:hAnsiTheme="majorBidi" w:cstheme="majorBidi"/>
              </w:rPr>
            </w:pPr>
            <w:hyperlink r:id="rId27" w:history="1">
              <w:r>
                <w:rPr>
                  <w:rStyle w:val="Hyperlink"/>
                  <w:rFonts w:asciiTheme="majorBidi" w:hAnsiTheme="majorBidi"/>
                </w:rPr>
                <w:t>Résolution</w:t>
              </w:r>
              <w:r w:rsidR="001E2410">
                <w:rPr>
                  <w:rStyle w:val="Hyperlink"/>
                  <w:rFonts w:asciiTheme="majorBidi" w:hAnsiTheme="majorBidi"/>
                </w:rPr>
                <w:t> </w:t>
              </w:r>
              <w:r>
                <w:rPr>
                  <w:rStyle w:val="Hyperlink"/>
                  <w:rFonts w:asciiTheme="majorBidi" w:hAnsiTheme="majorBidi"/>
                </w:rPr>
                <w:t>23/23</w:t>
              </w:r>
            </w:hyperlink>
          </w:p>
          <w:p w14:paraId="2CE3CBCA" w14:textId="25C3FCB2" w:rsidR="0017211C" w:rsidRPr="00476DFE" w:rsidRDefault="0017211C" w:rsidP="0017211C">
            <w:pPr>
              <w:snapToGrid w:val="0"/>
              <w:spacing w:before="120" w:after="120"/>
              <w:jc w:val="left"/>
            </w:pPr>
            <w:r>
              <w:rPr>
                <w:rFonts w:asciiTheme="majorBidi" w:hAnsiTheme="majorBidi"/>
              </w:rPr>
              <w:t xml:space="preserve">Résolution de la Commission internationale pour la conservation des thonidés de l’Atlantique </w:t>
            </w:r>
            <w:r w:rsidR="00BB4F40">
              <w:rPr>
                <w:rFonts w:asciiTheme="majorBidi" w:hAnsiTheme="majorBidi"/>
              </w:rPr>
              <w:t>concernant la</w:t>
            </w:r>
            <w:r>
              <w:rPr>
                <w:rFonts w:asciiTheme="majorBidi" w:hAnsiTheme="majorBidi"/>
              </w:rPr>
              <w:t xml:space="preserve"> mise en œuvre d</w:t>
            </w:r>
            <w:r w:rsidR="00BB4F40">
              <w:rPr>
                <w:rFonts w:asciiTheme="majorBidi" w:hAnsiTheme="majorBidi"/>
              </w:rPr>
              <w:t>’</w:t>
            </w:r>
            <w:r>
              <w:rPr>
                <w:rFonts w:asciiTheme="majorBidi" w:hAnsiTheme="majorBidi"/>
              </w:rPr>
              <w:t>instruments de conservation de la biodiversité</w:t>
            </w:r>
          </w:p>
        </w:tc>
        <w:tc>
          <w:tcPr>
            <w:tcW w:w="2970" w:type="dxa"/>
            <w:tcBorders>
              <w:top w:val="single" w:sz="4" w:space="0" w:color="auto"/>
              <w:left w:val="single" w:sz="4" w:space="0" w:color="auto"/>
              <w:bottom w:val="single" w:sz="4" w:space="0" w:color="auto"/>
              <w:right w:val="single" w:sz="4" w:space="0" w:color="auto"/>
            </w:tcBorders>
          </w:tcPr>
          <w:p w14:paraId="3A0DC68C" w14:textId="56AC6AC6" w:rsidR="0017211C" w:rsidRPr="00476DFE" w:rsidRDefault="0017211C" w:rsidP="0017211C">
            <w:pPr>
              <w:snapToGrid w:val="0"/>
              <w:spacing w:before="120" w:after="120"/>
              <w:jc w:val="left"/>
              <w:rPr>
                <w:rFonts w:asciiTheme="majorBidi" w:hAnsiTheme="majorBidi" w:cstheme="majorBidi"/>
              </w:rPr>
            </w:pPr>
            <w:r>
              <w:rPr>
                <w:rFonts w:asciiTheme="majorBidi" w:hAnsiTheme="majorBidi"/>
              </w:rPr>
              <w:t>Commission internationale pour la conservation des thonidés de l’Atlantique</w:t>
            </w:r>
          </w:p>
        </w:tc>
        <w:tc>
          <w:tcPr>
            <w:tcW w:w="2790" w:type="dxa"/>
            <w:tcBorders>
              <w:top w:val="single" w:sz="4" w:space="0" w:color="auto"/>
              <w:left w:val="single" w:sz="4" w:space="0" w:color="auto"/>
              <w:bottom w:val="single" w:sz="4" w:space="0" w:color="auto"/>
              <w:right w:val="single" w:sz="4" w:space="0" w:color="auto"/>
            </w:tcBorders>
          </w:tcPr>
          <w:p w14:paraId="3D86AB3F" w14:textId="7D759C94" w:rsidR="0017211C" w:rsidRPr="00476DFE" w:rsidRDefault="00772526" w:rsidP="0017211C">
            <w:pPr>
              <w:snapToGrid w:val="0"/>
              <w:spacing w:before="120" w:after="120"/>
              <w:jc w:val="left"/>
              <w:rPr>
                <w:rFonts w:asciiTheme="majorBidi" w:hAnsiTheme="majorBidi" w:cstheme="majorBidi"/>
              </w:rPr>
            </w:pPr>
            <w:r>
              <w:rPr>
                <w:rFonts w:asciiTheme="majorBidi" w:hAnsiTheme="majorBidi"/>
              </w:rPr>
              <w:t>Commission internationale à sa vingt-huitième réunion régulière</w:t>
            </w:r>
          </w:p>
        </w:tc>
      </w:tr>
      <w:tr w:rsidR="00A77C41" w:rsidRPr="00476DFE" w14:paraId="7A1871E3" w14:textId="77777777" w:rsidTr="00A77C41">
        <w:tc>
          <w:tcPr>
            <w:tcW w:w="4135" w:type="dxa"/>
            <w:tcBorders>
              <w:top w:val="single" w:sz="4" w:space="0" w:color="auto"/>
              <w:left w:val="single" w:sz="4" w:space="0" w:color="auto"/>
              <w:bottom w:val="single" w:sz="4" w:space="0" w:color="auto"/>
              <w:right w:val="single" w:sz="4" w:space="0" w:color="auto"/>
            </w:tcBorders>
          </w:tcPr>
          <w:p w14:paraId="2A8DF97E" w14:textId="386E51AE" w:rsidR="00A77C41" w:rsidRPr="00476DFE" w:rsidRDefault="00913470" w:rsidP="00A77C41">
            <w:pPr>
              <w:snapToGrid w:val="0"/>
              <w:spacing w:before="120" w:after="120"/>
              <w:jc w:val="left"/>
              <w:rPr>
                <w:rFonts w:asciiTheme="majorBidi" w:hAnsiTheme="majorBidi" w:cstheme="majorBidi"/>
              </w:rPr>
            </w:pPr>
            <w:hyperlink r:id="rId28" w:history="1">
              <w:r>
                <w:rPr>
                  <w:rStyle w:val="Hyperlink"/>
                  <w:rFonts w:asciiTheme="majorBidi" w:hAnsiTheme="majorBidi"/>
                </w:rPr>
                <w:t>UNEP/MED</w:t>
              </w:r>
              <w:r w:rsidR="001E2410">
                <w:rPr>
                  <w:rStyle w:val="Hyperlink"/>
                  <w:rFonts w:asciiTheme="majorBidi" w:hAnsiTheme="majorBidi"/>
                </w:rPr>
                <w:t> </w:t>
              </w:r>
              <w:r>
                <w:rPr>
                  <w:rStyle w:val="Hyperlink"/>
                  <w:rFonts w:asciiTheme="majorBidi" w:hAnsiTheme="majorBidi"/>
                </w:rPr>
                <w:t>IG.26/22</w:t>
              </w:r>
            </w:hyperlink>
            <w:r>
              <w:rPr>
                <w:rFonts w:asciiTheme="majorBidi" w:hAnsiTheme="majorBidi"/>
              </w:rPr>
              <w:t xml:space="preserve"> </w:t>
            </w:r>
          </w:p>
          <w:p w14:paraId="23A92D51" w14:textId="440EEBEF"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 xml:space="preserve">Déclaration ministérielle de </w:t>
            </w:r>
            <w:proofErr w:type="spellStart"/>
            <w:r>
              <w:rPr>
                <w:rFonts w:asciiTheme="majorBidi" w:hAnsiTheme="majorBidi"/>
              </w:rPr>
              <w:t>Portorož</w:t>
            </w:r>
            <w:proofErr w:type="spellEnd"/>
          </w:p>
          <w:p w14:paraId="486169F0" w14:textId="4F2C41F9" w:rsidR="00227F61" w:rsidRDefault="00913470" w:rsidP="00A77C41">
            <w:pPr>
              <w:snapToGrid w:val="0"/>
              <w:spacing w:before="120" w:after="120"/>
              <w:jc w:val="left"/>
              <w:rPr>
                <w:rFonts w:asciiTheme="majorBidi" w:hAnsiTheme="majorBidi" w:cstheme="majorBidi"/>
              </w:rPr>
            </w:pPr>
            <w:hyperlink r:id="rId29" w:history="1">
              <w:r>
                <w:rPr>
                  <w:rStyle w:val="Hyperlink"/>
                  <w:rFonts w:asciiTheme="majorBidi" w:hAnsiTheme="majorBidi"/>
                </w:rPr>
                <w:t>Décision</w:t>
              </w:r>
              <w:r w:rsidR="001E2410">
                <w:rPr>
                  <w:rStyle w:val="Hyperlink"/>
                  <w:rFonts w:asciiTheme="majorBidi" w:hAnsiTheme="majorBidi"/>
                </w:rPr>
                <w:t> </w:t>
              </w:r>
              <w:r>
                <w:rPr>
                  <w:rStyle w:val="Hyperlink"/>
                  <w:rFonts w:asciiTheme="majorBidi" w:hAnsiTheme="majorBidi"/>
                </w:rPr>
                <w:t>IG.26/3</w:t>
              </w:r>
            </w:hyperlink>
            <w:r>
              <w:rPr>
                <w:rFonts w:asciiTheme="majorBidi" w:hAnsiTheme="majorBidi"/>
              </w:rPr>
              <w:t xml:space="preserve"> </w:t>
            </w:r>
          </w:p>
          <w:p w14:paraId="2C3C4E66" w14:textId="321CE272"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Rapport 2023 sur la qualité de la Méditerranée et renouvellement de la politique de l’approche</w:t>
            </w:r>
            <w:r>
              <w:rPr>
                <w:rFonts w:asciiTheme="majorBidi" w:hAnsiTheme="majorBidi"/>
              </w:rPr>
              <w:br/>
              <w:t>écosystémique en Méditerranée</w:t>
            </w:r>
          </w:p>
          <w:p w14:paraId="2B8A925F" w14:textId="025E2564" w:rsidR="00227F61" w:rsidRDefault="00913470" w:rsidP="00A77C41">
            <w:pPr>
              <w:snapToGrid w:val="0"/>
              <w:spacing w:before="120" w:after="120"/>
              <w:jc w:val="left"/>
              <w:rPr>
                <w:rFonts w:asciiTheme="majorBidi" w:hAnsiTheme="majorBidi" w:cstheme="majorBidi"/>
              </w:rPr>
            </w:pPr>
            <w:hyperlink r:id="rId30" w:history="1">
              <w:r>
                <w:rPr>
                  <w:rStyle w:val="Hyperlink"/>
                  <w:rFonts w:asciiTheme="majorBidi" w:hAnsiTheme="majorBidi"/>
                </w:rPr>
                <w:t>Décision</w:t>
              </w:r>
              <w:r w:rsidR="001E2410">
                <w:rPr>
                  <w:rStyle w:val="Hyperlink"/>
                  <w:rFonts w:asciiTheme="majorBidi" w:hAnsiTheme="majorBidi"/>
                </w:rPr>
                <w:t> </w:t>
              </w:r>
              <w:r>
                <w:rPr>
                  <w:rStyle w:val="Hyperlink"/>
                  <w:rFonts w:asciiTheme="majorBidi" w:hAnsiTheme="majorBidi"/>
                </w:rPr>
                <w:t>IG.26/4</w:t>
              </w:r>
            </w:hyperlink>
            <w:r>
              <w:rPr>
                <w:rFonts w:asciiTheme="majorBidi" w:hAnsiTheme="majorBidi"/>
              </w:rPr>
              <w:t xml:space="preserve"> </w:t>
            </w:r>
          </w:p>
          <w:p w14:paraId="12BF0DBF" w14:textId="21F79507" w:rsidR="00A77C41" w:rsidRPr="00476DFE" w:rsidRDefault="00773C7E" w:rsidP="00A77C41">
            <w:pPr>
              <w:snapToGrid w:val="0"/>
              <w:spacing w:before="120" w:after="120"/>
              <w:jc w:val="left"/>
              <w:rPr>
                <w:rFonts w:asciiTheme="majorBidi" w:hAnsiTheme="majorBidi" w:cstheme="majorBidi"/>
              </w:rPr>
            </w:pPr>
            <w:r>
              <w:rPr>
                <w:rFonts w:asciiTheme="majorBidi" w:hAnsiTheme="majorBidi"/>
              </w:rPr>
              <w:lastRenderedPageBreak/>
              <w:t>Amendements aux annexes II et III du Protocole relatif aux aires spécialement protégées et à la diversité biologique en Méditerranée</w:t>
            </w:r>
          </w:p>
          <w:p w14:paraId="6A273EC8" w14:textId="0878F020" w:rsidR="00227F61" w:rsidRDefault="00913470" w:rsidP="00A77C41">
            <w:pPr>
              <w:snapToGrid w:val="0"/>
              <w:spacing w:before="120" w:after="120"/>
              <w:jc w:val="left"/>
              <w:rPr>
                <w:rFonts w:asciiTheme="majorBidi" w:hAnsiTheme="majorBidi" w:cstheme="majorBidi"/>
              </w:rPr>
            </w:pPr>
            <w:hyperlink r:id="rId31" w:history="1">
              <w:r>
                <w:rPr>
                  <w:rStyle w:val="Hyperlink"/>
                  <w:rFonts w:asciiTheme="majorBidi" w:hAnsiTheme="majorBidi"/>
                </w:rPr>
                <w:t>Décision</w:t>
              </w:r>
              <w:r w:rsidR="001E2410">
                <w:rPr>
                  <w:rStyle w:val="Hyperlink"/>
                  <w:rFonts w:asciiTheme="majorBidi" w:hAnsiTheme="majorBidi"/>
                </w:rPr>
                <w:t> </w:t>
              </w:r>
              <w:r>
                <w:rPr>
                  <w:rStyle w:val="Hyperlink"/>
                  <w:rFonts w:asciiTheme="majorBidi" w:hAnsiTheme="majorBidi"/>
                </w:rPr>
                <w:t>IG.26/5</w:t>
              </w:r>
            </w:hyperlink>
            <w:r>
              <w:rPr>
                <w:rFonts w:asciiTheme="majorBidi" w:hAnsiTheme="majorBidi"/>
              </w:rPr>
              <w:t xml:space="preserve"> </w:t>
            </w:r>
          </w:p>
          <w:p w14:paraId="4AEC2C85" w14:textId="6EDF9B05"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Aires spécialement protégées (ASP), aires spécialement protégée</w:t>
            </w:r>
            <w:r w:rsidR="001E2410">
              <w:rPr>
                <w:rFonts w:asciiTheme="majorBidi" w:hAnsiTheme="majorBidi"/>
              </w:rPr>
              <w:t>s</w:t>
            </w:r>
            <w:r>
              <w:rPr>
                <w:rFonts w:asciiTheme="majorBidi" w:hAnsiTheme="majorBidi"/>
              </w:rPr>
              <w:t xml:space="preserve"> d</w:t>
            </w:r>
            <w:r w:rsidR="001E2410">
              <w:rPr>
                <w:rFonts w:asciiTheme="majorBidi" w:hAnsiTheme="majorBidi"/>
              </w:rPr>
              <w:t>’</w:t>
            </w:r>
            <w:r>
              <w:rPr>
                <w:rFonts w:asciiTheme="majorBidi" w:hAnsiTheme="majorBidi"/>
              </w:rPr>
              <w:t>importance méditerranéenne (ASPIM) et restauration des écosystèmes</w:t>
            </w:r>
          </w:p>
        </w:tc>
        <w:tc>
          <w:tcPr>
            <w:tcW w:w="2970" w:type="dxa"/>
            <w:tcBorders>
              <w:top w:val="single" w:sz="4" w:space="0" w:color="auto"/>
              <w:left w:val="single" w:sz="4" w:space="0" w:color="auto"/>
              <w:bottom w:val="single" w:sz="4" w:space="0" w:color="auto"/>
              <w:right w:val="single" w:sz="4" w:space="0" w:color="auto"/>
            </w:tcBorders>
          </w:tcPr>
          <w:p w14:paraId="6174C1AE" w14:textId="16D3C279"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lastRenderedPageBreak/>
              <w:t>Convention sur la protection du milieu marin et du littoral de la Méditerranée et ses Protocoles</w:t>
            </w:r>
          </w:p>
        </w:tc>
        <w:tc>
          <w:tcPr>
            <w:tcW w:w="2790" w:type="dxa"/>
            <w:tcBorders>
              <w:top w:val="single" w:sz="4" w:space="0" w:color="auto"/>
              <w:left w:val="single" w:sz="4" w:space="0" w:color="auto"/>
              <w:bottom w:val="single" w:sz="4" w:space="0" w:color="auto"/>
              <w:right w:val="single" w:sz="4" w:space="0" w:color="auto"/>
            </w:tcBorders>
          </w:tcPr>
          <w:p w14:paraId="57372878" w14:textId="741B00A0" w:rsidR="00A77C41" w:rsidRPr="00476DFE" w:rsidRDefault="00F601EB" w:rsidP="00A77C41">
            <w:pPr>
              <w:snapToGrid w:val="0"/>
              <w:spacing w:before="120" w:after="120"/>
              <w:jc w:val="left"/>
              <w:rPr>
                <w:rFonts w:asciiTheme="majorBidi" w:hAnsiTheme="majorBidi" w:cstheme="majorBidi"/>
              </w:rPr>
            </w:pPr>
            <w:r>
              <w:rPr>
                <w:rFonts w:asciiTheme="majorBidi" w:hAnsiTheme="majorBidi"/>
              </w:rPr>
              <w:t>Vingt-troisième réunion ordinaire des Parties contractantes</w:t>
            </w:r>
          </w:p>
        </w:tc>
      </w:tr>
      <w:tr w:rsidR="00A77C41" w:rsidRPr="00476DFE" w14:paraId="0DBBDB02" w14:textId="77777777" w:rsidTr="00A77C41">
        <w:tc>
          <w:tcPr>
            <w:tcW w:w="4135" w:type="dxa"/>
            <w:tcBorders>
              <w:top w:val="single" w:sz="4" w:space="0" w:color="auto"/>
              <w:left w:val="single" w:sz="4" w:space="0" w:color="auto"/>
              <w:bottom w:val="single" w:sz="4" w:space="0" w:color="auto"/>
              <w:right w:val="single" w:sz="4" w:space="0" w:color="auto"/>
            </w:tcBorders>
          </w:tcPr>
          <w:p w14:paraId="10D71AA4" w14:textId="0C08A6B8" w:rsidR="00A77C41" w:rsidRPr="00476DFE" w:rsidRDefault="00913470" w:rsidP="00A77C41">
            <w:pPr>
              <w:snapToGrid w:val="0"/>
              <w:spacing w:before="120" w:after="120"/>
              <w:jc w:val="left"/>
            </w:pPr>
            <w:hyperlink r:id="rId32" w:history="1">
              <w:r>
                <w:rPr>
                  <w:rStyle w:val="Hyperlink"/>
                  <w:rFonts w:asciiTheme="majorBidi" w:hAnsiTheme="majorBidi"/>
                </w:rPr>
                <w:t>Résolution GFCM/46/2023/5</w:t>
              </w:r>
            </w:hyperlink>
            <w:r>
              <w:rPr>
                <w:rFonts w:asciiTheme="majorBidi" w:hAnsiTheme="majorBidi"/>
              </w:rPr>
              <w:t xml:space="preserve"> sur une feuille de route vers une décarbonisation accrue des activités de pêche dans la mer Méditerranée</w:t>
            </w:r>
          </w:p>
        </w:tc>
        <w:tc>
          <w:tcPr>
            <w:tcW w:w="2970" w:type="dxa"/>
            <w:tcBorders>
              <w:top w:val="single" w:sz="4" w:space="0" w:color="auto"/>
              <w:left w:val="single" w:sz="4" w:space="0" w:color="auto"/>
              <w:bottom w:val="single" w:sz="4" w:space="0" w:color="auto"/>
              <w:right w:val="single" w:sz="4" w:space="0" w:color="auto"/>
            </w:tcBorders>
          </w:tcPr>
          <w:p w14:paraId="2725D1A2" w14:textId="6614ED85"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Commission générale des pêches pour la Méditerranée</w:t>
            </w:r>
          </w:p>
        </w:tc>
        <w:tc>
          <w:tcPr>
            <w:tcW w:w="2790" w:type="dxa"/>
            <w:tcBorders>
              <w:top w:val="single" w:sz="4" w:space="0" w:color="auto"/>
              <w:left w:val="single" w:sz="4" w:space="0" w:color="auto"/>
              <w:bottom w:val="single" w:sz="4" w:space="0" w:color="auto"/>
              <w:right w:val="single" w:sz="4" w:space="0" w:color="auto"/>
            </w:tcBorders>
          </w:tcPr>
          <w:p w14:paraId="70E7F556" w14:textId="4AF3EE7D"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 xml:space="preserve">Quarante-sixième session de la Commission générale des pêches pour la Méditerranée </w:t>
            </w:r>
          </w:p>
        </w:tc>
      </w:tr>
      <w:tr w:rsidR="00A77C41" w:rsidRPr="00476DFE" w14:paraId="2705FD7B" w14:textId="77777777" w:rsidTr="00A77C41">
        <w:tc>
          <w:tcPr>
            <w:tcW w:w="4135" w:type="dxa"/>
            <w:tcBorders>
              <w:top w:val="single" w:sz="4" w:space="0" w:color="auto"/>
              <w:left w:val="single" w:sz="4" w:space="0" w:color="auto"/>
              <w:bottom w:val="single" w:sz="4" w:space="0" w:color="auto"/>
              <w:right w:val="single" w:sz="4" w:space="0" w:color="auto"/>
            </w:tcBorders>
          </w:tcPr>
          <w:p w14:paraId="7ACD8B74" w14:textId="246B08F6" w:rsidR="00A77C41" w:rsidRPr="00476DFE" w:rsidRDefault="00913470" w:rsidP="00A77C41">
            <w:pPr>
              <w:snapToGrid w:val="0"/>
              <w:spacing w:before="120" w:after="120"/>
              <w:jc w:val="left"/>
            </w:pPr>
            <w:hyperlink r:id="rId33" w:history="1">
              <w:r>
                <w:rPr>
                  <w:rStyle w:val="Hyperlink"/>
                  <w:rFonts w:asciiTheme="majorBidi" w:hAnsiTheme="majorBidi"/>
                </w:rPr>
                <w:t>Déclaration ministérielle</w:t>
              </w:r>
            </w:hyperlink>
            <w:r>
              <w:rPr>
                <w:rFonts w:asciiTheme="majorBidi" w:hAnsiTheme="majorBidi"/>
              </w:rPr>
              <w:t xml:space="preserve"> de la réunion ministérielle sur l’environnement de la mer Baltique</w:t>
            </w:r>
          </w:p>
        </w:tc>
        <w:tc>
          <w:tcPr>
            <w:tcW w:w="2970" w:type="dxa"/>
            <w:tcBorders>
              <w:top w:val="single" w:sz="4" w:space="0" w:color="auto"/>
              <w:left w:val="single" w:sz="4" w:space="0" w:color="auto"/>
              <w:bottom w:val="single" w:sz="4" w:space="0" w:color="auto"/>
              <w:right w:val="single" w:sz="4" w:space="0" w:color="auto"/>
            </w:tcBorders>
          </w:tcPr>
          <w:p w14:paraId="3A6BD608" w14:textId="084664F4"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 xml:space="preserve">Commission pour la protection de l’environnement marin de la mer Baltique </w:t>
            </w:r>
          </w:p>
        </w:tc>
        <w:tc>
          <w:tcPr>
            <w:tcW w:w="2790" w:type="dxa"/>
            <w:tcBorders>
              <w:top w:val="single" w:sz="4" w:space="0" w:color="auto"/>
              <w:left w:val="single" w:sz="4" w:space="0" w:color="auto"/>
              <w:bottom w:val="single" w:sz="4" w:space="0" w:color="auto"/>
              <w:right w:val="single" w:sz="4" w:space="0" w:color="auto"/>
            </w:tcBorders>
          </w:tcPr>
          <w:p w14:paraId="55FEB22B" w14:textId="619FEC1E"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Rencontre ministérielle de 2024</w:t>
            </w:r>
          </w:p>
        </w:tc>
      </w:tr>
      <w:tr w:rsidR="00A77C41" w:rsidRPr="00476DFE" w14:paraId="37053689" w14:textId="77777777" w:rsidTr="00A77C41">
        <w:tc>
          <w:tcPr>
            <w:tcW w:w="4135" w:type="dxa"/>
            <w:tcBorders>
              <w:top w:val="single" w:sz="4" w:space="0" w:color="auto"/>
              <w:left w:val="single" w:sz="4" w:space="0" w:color="auto"/>
              <w:bottom w:val="single" w:sz="4" w:space="0" w:color="auto"/>
              <w:right w:val="single" w:sz="4" w:space="0" w:color="auto"/>
            </w:tcBorders>
          </w:tcPr>
          <w:p w14:paraId="43EBF1F8" w14:textId="6E34B47B" w:rsidR="00A77C41" w:rsidRPr="00476DFE" w:rsidRDefault="00913470" w:rsidP="00A77C41">
            <w:pPr>
              <w:snapToGrid w:val="0"/>
              <w:spacing w:before="120" w:after="120"/>
              <w:jc w:val="left"/>
            </w:pPr>
            <w:hyperlink r:id="rId34" w:history="1">
              <w:r>
                <w:rPr>
                  <w:rStyle w:val="Hyperlink"/>
                  <w:rFonts w:asciiTheme="majorBidi" w:hAnsiTheme="majorBidi"/>
                </w:rPr>
                <w:t>Décision 2023/01 de la Commission OSPAR</w:t>
              </w:r>
            </w:hyperlink>
            <w:r>
              <w:rPr>
                <w:rFonts w:asciiTheme="majorBidi" w:hAnsiTheme="majorBidi"/>
              </w:rPr>
              <w:t xml:space="preserve"> amendant la décision 2021/01 sur la création de l’aire marine protégée du courant Nord-Atlantique et du bassin maritime d’</w:t>
            </w:r>
            <w:proofErr w:type="spellStart"/>
            <w:r>
              <w:rPr>
                <w:rFonts w:asciiTheme="majorBidi" w:hAnsiTheme="majorBidi"/>
              </w:rPr>
              <w:t>Evlanov</w:t>
            </w:r>
            <w:proofErr w:type="spellEnd"/>
            <w:r>
              <w:rPr>
                <w:rFonts w:asciiTheme="majorBidi" w:hAnsiTheme="majorBidi"/>
              </w:rPr>
              <w:t xml:space="preserve"> </w:t>
            </w:r>
          </w:p>
        </w:tc>
        <w:tc>
          <w:tcPr>
            <w:tcW w:w="2970" w:type="dxa"/>
            <w:tcBorders>
              <w:top w:val="single" w:sz="4" w:space="0" w:color="auto"/>
              <w:left w:val="single" w:sz="4" w:space="0" w:color="auto"/>
              <w:bottom w:val="single" w:sz="4" w:space="0" w:color="auto"/>
              <w:right w:val="single" w:sz="4" w:space="0" w:color="auto"/>
            </w:tcBorders>
          </w:tcPr>
          <w:p w14:paraId="4DAE9F52" w14:textId="0D88A65F"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 xml:space="preserve">Convention pour la protection de l’environnement marin de l’Atlantique Nord-Est </w:t>
            </w:r>
          </w:p>
        </w:tc>
        <w:tc>
          <w:tcPr>
            <w:tcW w:w="2790" w:type="dxa"/>
            <w:tcBorders>
              <w:top w:val="single" w:sz="4" w:space="0" w:color="auto"/>
              <w:left w:val="single" w:sz="4" w:space="0" w:color="auto"/>
              <w:bottom w:val="single" w:sz="4" w:space="0" w:color="auto"/>
              <w:right w:val="single" w:sz="4" w:space="0" w:color="auto"/>
            </w:tcBorders>
          </w:tcPr>
          <w:p w14:paraId="3F22D9AA" w14:textId="0876740C"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 xml:space="preserve">Commission OSPAR pour la protection de l’environnement marin de l’Atlantique Nord-Est </w:t>
            </w:r>
          </w:p>
        </w:tc>
      </w:tr>
      <w:tr w:rsidR="00A77C41" w:rsidRPr="00476DFE" w14:paraId="13172AA6" w14:textId="77777777" w:rsidTr="00A77C41">
        <w:tc>
          <w:tcPr>
            <w:tcW w:w="4135" w:type="dxa"/>
            <w:tcBorders>
              <w:top w:val="single" w:sz="4" w:space="0" w:color="auto"/>
              <w:left w:val="single" w:sz="4" w:space="0" w:color="auto"/>
              <w:bottom w:val="single" w:sz="4" w:space="0" w:color="auto"/>
              <w:right w:val="single" w:sz="4" w:space="0" w:color="auto"/>
            </w:tcBorders>
          </w:tcPr>
          <w:p w14:paraId="17695413" w14:textId="69F2716B" w:rsidR="00A77C41" w:rsidRPr="00476DFE" w:rsidRDefault="00913470" w:rsidP="00A77C41">
            <w:pPr>
              <w:snapToGrid w:val="0"/>
              <w:spacing w:before="120" w:after="120"/>
              <w:jc w:val="left"/>
              <w:rPr>
                <w:rFonts w:asciiTheme="majorBidi" w:hAnsiTheme="majorBidi" w:cstheme="majorBidi"/>
              </w:rPr>
            </w:pPr>
            <w:hyperlink r:id="rId35" w:history="1">
              <w:r>
                <w:rPr>
                  <w:rStyle w:val="Hyperlink"/>
                  <w:rFonts w:asciiTheme="majorBidi" w:hAnsiTheme="majorBidi"/>
                </w:rPr>
                <w:t>Décision C</w:t>
              </w:r>
              <w:r>
                <w:rPr>
                  <w:rStyle w:val="Hyperlink"/>
                </w:rPr>
                <w:t>P</w:t>
              </w:r>
              <w:r w:rsidR="001E2410">
                <w:rPr>
                  <w:rStyle w:val="Hyperlink"/>
                </w:rPr>
                <w:t> </w:t>
              </w:r>
              <w:r>
                <w:rPr>
                  <w:rStyle w:val="Hyperlink"/>
                  <w:rFonts w:asciiTheme="majorBidi" w:hAnsiTheme="majorBidi"/>
                </w:rPr>
                <w:t>11/5</w:t>
              </w:r>
            </w:hyperlink>
          </w:p>
          <w:p w14:paraId="05D797A2" w14:textId="3ECB19AB" w:rsidR="00A77C41" w:rsidRPr="00476DFE" w:rsidRDefault="00A77C41" w:rsidP="00A77C41">
            <w:pPr>
              <w:snapToGrid w:val="0"/>
              <w:spacing w:before="120" w:after="120"/>
              <w:jc w:val="left"/>
            </w:pPr>
            <w:r>
              <w:rPr>
                <w:rFonts w:asciiTheme="majorBidi" w:hAnsiTheme="majorBidi"/>
              </w:rPr>
              <w:t>Mise en œuvre du Cadre mondial de la biodiversité de Kunming-Montréal</w:t>
            </w:r>
          </w:p>
        </w:tc>
        <w:tc>
          <w:tcPr>
            <w:tcW w:w="2970" w:type="dxa"/>
            <w:tcBorders>
              <w:top w:val="single" w:sz="4" w:space="0" w:color="auto"/>
              <w:left w:val="single" w:sz="4" w:space="0" w:color="auto"/>
              <w:bottom w:val="single" w:sz="4" w:space="0" w:color="auto"/>
              <w:right w:val="single" w:sz="4" w:space="0" w:color="auto"/>
            </w:tcBorders>
          </w:tcPr>
          <w:p w14:paraId="3AE0C452" w14:textId="4E635032"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Convention de Nairobi amendée pour la protection, la gestion et la mise en valeur du milieu marin et côtier de la région de l’océan Indien occidental (Convention de Nairobi)</w:t>
            </w:r>
          </w:p>
        </w:tc>
        <w:tc>
          <w:tcPr>
            <w:tcW w:w="2790" w:type="dxa"/>
            <w:tcBorders>
              <w:top w:val="single" w:sz="4" w:space="0" w:color="auto"/>
              <w:left w:val="single" w:sz="4" w:space="0" w:color="auto"/>
              <w:bottom w:val="single" w:sz="4" w:space="0" w:color="auto"/>
              <w:right w:val="single" w:sz="4" w:space="0" w:color="auto"/>
            </w:tcBorders>
          </w:tcPr>
          <w:p w14:paraId="5BD8468B" w14:textId="53086528"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Conférence des Parties à sa onzième réunion</w:t>
            </w:r>
          </w:p>
        </w:tc>
      </w:tr>
      <w:tr w:rsidR="00A77C41" w:rsidRPr="00476DFE" w14:paraId="4BC9A979" w14:textId="77777777" w:rsidTr="009B410E">
        <w:tc>
          <w:tcPr>
            <w:tcW w:w="9895" w:type="dxa"/>
            <w:gridSpan w:val="3"/>
            <w:tcBorders>
              <w:top w:val="single" w:sz="4" w:space="0" w:color="auto"/>
              <w:left w:val="single" w:sz="4" w:space="0" w:color="auto"/>
              <w:bottom w:val="single" w:sz="4" w:space="0" w:color="auto"/>
              <w:right w:val="single" w:sz="4" w:space="0" w:color="auto"/>
            </w:tcBorders>
          </w:tcPr>
          <w:p w14:paraId="7CEDD9CE" w14:textId="34B32EF8" w:rsidR="00A77C41" w:rsidRPr="00476DFE" w:rsidRDefault="00A77C41" w:rsidP="00A77C41">
            <w:pPr>
              <w:snapToGrid w:val="0"/>
              <w:spacing w:before="120" w:after="120"/>
              <w:jc w:val="left"/>
              <w:rPr>
                <w:rFonts w:asciiTheme="majorBidi" w:hAnsiTheme="majorBidi" w:cstheme="majorBidi"/>
                <w:i/>
                <w:iCs/>
              </w:rPr>
            </w:pPr>
            <w:r>
              <w:rPr>
                <w:rFonts w:asciiTheme="majorBidi" w:hAnsiTheme="majorBidi"/>
                <w:i/>
                <w:iCs/>
              </w:rPr>
              <w:t>Organisations, organes et processus internationaux</w:t>
            </w:r>
          </w:p>
        </w:tc>
      </w:tr>
      <w:tr w:rsidR="00A77C41" w:rsidRPr="00476DFE" w14:paraId="4BDAB5C6" w14:textId="0E5A3AC2" w:rsidTr="00A77C41">
        <w:tc>
          <w:tcPr>
            <w:tcW w:w="4135" w:type="dxa"/>
            <w:tcBorders>
              <w:top w:val="single" w:sz="4" w:space="0" w:color="auto"/>
              <w:left w:val="single" w:sz="4" w:space="0" w:color="auto"/>
              <w:bottom w:val="single" w:sz="4" w:space="0" w:color="auto"/>
              <w:right w:val="single" w:sz="4" w:space="0" w:color="auto"/>
            </w:tcBorders>
          </w:tcPr>
          <w:p w14:paraId="65489BC4" w14:textId="53627883" w:rsidR="00D22E17" w:rsidRDefault="00913470" w:rsidP="00A77C41">
            <w:pPr>
              <w:snapToGrid w:val="0"/>
              <w:spacing w:before="120" w:after="120"/>
              <w:jc w:val="left"/>
              <w:rPr>
                <w:rFonts w:asciiTheme="majorBidi" w:hAnsiTheme="majorBidi" w:cstheme="majorBidi"/>
              </w:rPr>
            </w:pPr>
            <w:hyperlink r:id="rId36" w:history="1">
              <w:r>
                <w:rPr>
                  <w:rStyle w:val="Hyperlink"/>
                  <w:rFonts w:asciiTheme="majorBidi" w:hAnsiTheme="majorBidi"/>
                </w:rPr>
                <w:t>Résolution 1/174</w:t>
              </w:r>
            </w:hyperlink>
            <w:r>
              <w:rPr>
                <w:rFonts w:asciiTheme="majorBidi" w:hAnsiTheme="majorBidi"/>
              </w:rPr>
              <w:t xml:space="preserve"> </w:t>
            </w:r>
          </w:p>
          <w:p w14:paraId="72A6F3F4" w14:textId="67E8B3DA"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Le Cadre mondial de la biodiversité de Kunming-Montréal</w:t>
            </w:r>
          </w:p>
        </w:tc>
        <w:tc>
          <w:tcPr>
            <w:tcW w:w="2970" w:type="dxa"/>
            <w:tcBorders>
              <w:top w:val="single" w:sz="4" w:space="0" w:color="auto"/>
              <w:left w:val="single" w:sz="4" w:space="0" w:color="auto"/>
              <w:bottom w:val="single" w:sz="4" w:space="0" w:color="auto"/>
              <w:right w:val="single" w:sz="4" w:space="0" w:color="auto"/>
            </w:tcBorders>
          </w:tcPr>
          <w:p w14:paraId="09E9D78C" w14:textId="44475CA9"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Organisation des Nations Unies pour l’alimentation et l’agriculture</w:t>
            </w:r>
          </w:p>
        </w:tc>
        <w:tc>
          <w:tcPr>
            <w:tcW w:w="2790" w:type="dxa"/>
            <w:tcBorders>
              <w:top w:val="single" w:sz="4" w:space="0" w:color="auto"/>
              <w:left w:val="single" w:sz="4" w:space="0" w:color="auto"/>
              <w:bottom w:val="single" w:sz="4" w:space="0" w:color="auto"/>
              <w:right w:val="single" w:sz="4" w:space="0" w:color="auto"/>
            </w:tcBorders>
          </w:tcPr>
          <w:p w14:paraId="368CD6FB" w14:textId="041D84F4"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Conseil de l’Organisation des Nations Unies pour l’alimentation et l’agriculture lors de sa cent soixante-quatorzième session</w:t>
            </w:r>
          </w:p>
        </w:tc>
      </w:tr>
      <w:tr w:rsidR="00A77C41" w:rsidRPr="00476DFE" w14:paraId="6B03D660" w14:textId="77777777" w:rsidTr="00A77C41">
        <w:tc>
          <w:tcPr>
            <w:tcW w:w="4135" w:type="dxa"/>
            <w:tcBorders>
              <w:top w:val="single" w:sz="4" w:space="0" w:color="auto"/>
              <w:left w:val="single" w:sz="4" w:space="0" w:color="auto"/>
              <w:bottom w:val="single" w:sz="4" w:space="0" w:color="auto"/>
              <w:right w:val="single" w:sz="4" w:space="0" w:color="auto"/>
            </w:tcBorders>
          </w:tcPr>
          <w:p w14:paraId="2F04DBF2" w14:textId="7DFF9301" w:rsidR="00A77C41" w:rsidRPr="00476DFE" w:rsidRDefault="00913470" w:rsidP="00A77C41">
            <w:pPr>
              <w:snapToGrid w:val="0"/>
              <w:spacing w:before="120" w:after="120"/>
              <w:jc w:val="left"/>
              <w:rPr>
                <w:rFonts w:asciiTheme="majorBidi" w:hAnsiTheme="majorBidi" w:cstheme="majorBidi"/>
              </w:rPr>
            </w:pPr>
            <w:hyperlink r:id="rId37" w:history="1">
              <w:r>
                <w:rPr>
                  <w:rStyle w:val="Hyperlink"/>
                  <w:rFonts w:asciiTheme="majorBidi" w:hAnsiTheme="majorBidi"/>
                </w:rPr>
                <w:t>COFI/2024/5</w:t>
              </w:r>
            </w:hyperlink>
          </w:p>
          <w:p w14:paraId="45840D48" w14:textId="4D7DF9D1"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Décisions et recommandations émanant de la première session du Sous-comité de la gestion des pêches du Comité des pêches de la FAO</w:t>
            </w:r>
          </w:p>
        </w:tc>
        <w:tc>
          <w:tcPr>
            <w:tcW w:w="2970" w:type="dxa"/>
            <w:tcBorders>
              <w:top w:val="single" w:sz="4" w:space="0" w:color="auto"/>
              <w:left w:val="single" w:sz="4" w:space="0" w:color="auto"/>
              <w:bottom w:val="single" w:sz="4" w:space="0" w:color="auto"/>
              <w:right w:val="single" w:sz="4" w:space="0" w:color="auto"/>
            </w:tcBorders>
          </w:tcPr>
          <w:p w14:paraId="75FE6921" w14:textId="759BB2F2"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Organisation des Nations Unies pour l’alimentation et l’agriculture</w:t>
            </w:r>
          </w:p>
        </w:tc>
        <w:tc>
          <w:tcPr>
            <w:tcW w:w="2790" w:type="dxa"/>
            <w:tcBorders>
              <w:top w:val="single" w:sz="4" w:space="0" w:color="auto"/>
              <w:left w:val="single" w:sz="4" w:space="0" w:color="auto"/>
              <w:bottom w:val="single" w:sz="4" w:space="0" w:color="auto"/>
              <w:right w:val="single" w:sz="4" w:space="0" w:color="auto"/>
            </w:tcBorders>
          </w:tcPr>
          <w:p w14:paraId="3C141F5C" w14:textId="26F0E0EA"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Première session du Sous-comité de la gestion des pêches du Comité des pêches de la FAO</w:t>
            </w:r>
          </w:p>
        </w:tc>
      </w:tr>
      <w:tr w:rsidR="00A77C41" w:rsidRPr="00476DFE" w14:paraId="17DFB1E3" w14:textId="0BA2B8A1" w:rsidTr="00A77C41">
        <w:tc>
          <w:tcPr>
            <w:tcW w:w="4135" w:type="dxa"/>
            <w:tcBorders>
              <w:top w:val="single" w:sz="4" w:space="0" w:color="auto"/>
              <w:left w:val="single" w:sz="4" w:space="0" w:color="auto"/>
              <w:bottom w:val="single" w:sz="4" w:space="0" w:color="auto"/>
              <w:right w:val="single" w:sz="4" w:space="0" w:color="auto"/>
            </w:tcBorders>
          </w:tcPr>
          <w:p w14:paraId="312B7604" w14:textId="3BAED722" w:rsidR="00A77C41" w:rsidRPr="00476DFE" w:rsidRDefault="00913470" w:rsidP="00A77C41">
            <w:pPr>
              <w:snapToGrid w:val="0"/>
              <w:spacing w:before="120" w:after="120"/>
              <w:jc w:val="left"/>
              <w:rPr>
                <w:rFonts w:asciiTheme="majorBidi" w:hAnsiTheme="majorBidi" w:cstheme="majorBidi"/>
              </w:rPr>
            </w:pPr>
            <w:hyperlink r:id="rId38" w:history="1">
              <w:r>
                <w:rPr>
                  <w:rStyle w:val="Hyperlink"/>
                  <w:rFonts w:asciiTheme="majorBidi" w:hAnsiTheme="majorBidi"/>
                </w:rPr>
                <w:t>Résolution</w:t>
              </w:r>
              <w:r w:rsidR="001E2410">
                <w:rPr>
                  <w:rStyle w:val="Hyperlink"/>
                  <w:rFonts w:asciiTheme="majorBidi" w:hAnsiTheme="majorBidi"/>
                </w:rPr>
                <w:t> </w:t>
              </w:r>
              <w:r>
                <w:rPr>
                  <w:rStyle w:val="Hyperlink"/>
                  <w:rFonts w:asciiTheme="majorBidi" w:hAnsiTheme="majorBidi"/>
                </w:rPr>
                <w:t>6/4</w:t>
              </w:r>
            </w:hyperlink>
          </w:p>
          <w:p w14:paraId="1CD42D5A" w14:textId="0D21EBAC"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 xml:space="preserve">Promotion des synergies, de la coopération ou de la collaboration pour la mise en </w:t>
            </w:r>
            <w:r>
              <w:rPr>
                <w:rFonts w:asciiTheme="majorBidi" w:hAnsiTheme="majorBidi"/>
              </w:rPr>
              <w:lastRenderedPageBreak/>
              <w:t>œuvre au niveau national des accords multilatéraux sur l’environnement et d’autres instruments relatifs à l’environnement</w:t>
            </w:r>
          </w:p>
        </w:tc>
        <w:tc>
          <w:tcPr>
            <w:tcW w:w="2970" w:type="dxa"/>
            <w:tcBorders>
              <w:top w:val="single" w:sz="4" w:space="0" w:color="auto"/>
              <w:left w:val="single" w:sz="4" w:space="0" w:color="auto"/>
              <w:bottom w:val="single" w:sz="4" w:space="0" w:color="auto"/>
              <w:right w:val="single" w:sz="4" w:space="0" w:color="auto"/>
            </w:tcBorders>
          </w:tcPr>
          <w:p w14:paraId="12DC9CBB" w14:textId="1FC5C5D4"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lastRenderedPageBreak/>
              <w:t>Programme des Nations Unies pour l’environnement</w:t>
            </w:r>
          </w:p>
        </w:tc>
        <w:tc>
          <w:tcPr>
            <w:tcW w:w="2790" w:type="dxa"/>
            <w:tcBorders>
              <w:top w:val="single" w:sz="4" w:space="0" w:color="auto"/>
              <w:left w:val="single" w:sz="4" w:space="0" w:color="auto"/>
              <w:bottom w:val="single" w:sz="4" w:space="0" w:color="auto"/>
              <w:right w:val="single" w:sz="4" w:space="0" w:color="auto"/>
            </w:tcBorders>
          </w:tcPr>
          <w:p w14:paraId="7C91A0DF" w14:textId="01F1307A"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 xml:space="preserve">Assemblée des Nations Unies pour l’environnement lors de sa sixième session </w:t>
            </w:r>
          </w:p>
        </w:tc>
      </w:tr>
      <w:tr w:rsidR="00A77C41" w:rsidRPr="00476DFE" w14:paraId="1D574EF3" w14:textId="7BDAF13A" w:rsidTr="00A77C41">
        <w:tc>
          <w:tcPr>
            <w:tcW w:w="4135" w:type="dxa"/>
            <w:tcBorders>
              <w:top w:val="single" w:sz="4" w:space="0" w:color="auto"/>
              <w:left w:val="single" w:sz="4" w:space="0" w:color="auto"/>
              <w:bottom w:val="single" w:sz="4" w:space="0" w:color="auto"/>
              <w:right w:val="single" w:sz="4" w:space="0" w:color="auto"/>
            </w:tcBorders>
          </w:tcPr>
          <w:p w14:paraId="5F9F30EC" w14:textId="1C171769" w:rsidR="00A77C41" w:rsidRPr="00476DFE" w:rsidRDefault="00913470" w:rsidP="00A77C41">
            <w:pPr>
              <w:snapToGrid w:val="0"/>
              <w:spacing w:before="120" w:after="120"/>
              <w:jc w:val="left"/>
              <w:rPr>
                <w:rFonts w:asciiTheme="majorBidi" w:hAnsiTheme="majorBidi" w:cstheme="majorBidi"/>
              </w:rPr>
            </w:pPr>
            <w:hyperlink r:id="rId39" w:history="1">
              <w:r>
                <w:rPr>
                  <w:rStyle w:val="Hyperlink"/>
                  <w:rFonts w:asciiTheme="majorBidi" w:hAnsiTheme="majorBidi"/>
                </w:rPr>
                <w:t>UNEP/EA.6/HLS.1</w:t>
              </w:r>
            </w:hyperlink>
          </w:p>
          <w:p w14:paraId="5F0C92ED" w14:textId="2E3919CA"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 xml:space="preserve">Déclaration ministérielle de l’Assemblée des Nations Unies pour l’environnement à sa sixième session </w:t>
            </w:r>
          </w:p>
        </w:tc>
        <w:tc>
          <w:tcPr>
            <w:tcW w:w="2970" w:type="dxa"/>
            <w:tcBorders>
              <w:top w:val="single" w:sz="4" w:space="0" w:color="auto"/>
              <w:left w:val="single" w:sz="4" w:space="0" w:color="auto"/>
              <w:bottom w:val="single" w:sz="4" w:space="0" w:color="auto"/>
              <w:right w:val="single" w:sz="4" w:space="0" w:color="auto"/>
            </w:tcBorders>
          </w:tcPr>
          <w:p w14:paraId="006D7953" w14:textId="57F2C57A"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Programme des Nations Unies pour l’environnement</w:t>
            </w:r>
          </w:p>
        </w:tc>
        <w:tc>
          <w:tcPr>
            <w:tcW w:w="2790" w:type="dxa"/>
            <w:tcBorders>
              <w:top w:val="single" w:sz="4" w:space="0" w:color="auto"/>
              <w:left w:val="single" w:sz="4" w:space="0" w:color="auto"/>
              <w:bottom w:val="single" w:sz="4" w:space="0" w:color="auto"/>
              <w:right w:val="single" w:sz="4" w:space="0" w:color="auto"/>
            </w:tcBorders>
          </w:tcPr>
          <w:p w14:paraId="19654565" w14:textId="1CDD6607"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 xml:space="preserve">Assemblée des Nations Unies pour l’environnement à sa sixième session </w:t>
            </w:r>
          </w:p>
        </w:tc>
      </w:tr>
      <w:tr w:rsidR="002C2FAA" w:rsidRPr="00476DFE" w14:paraId="73C0B180" w14:textId="77777777" w:rsidTr="00A77C41">
        <w:tc>
          <w:tcPr>
            <w:tcW w:w="4135" w:type="dxa"/>
            <w:tcBorders>
              <w:top w:val="single" w:sz="4" w:space="0" w:color="auto"/>
              <w:left w:val="single" w:sz="4" w:space="0" w:color="auto"/>
              <w:bottom w:val="single" w:sz="4" w:space="0" w:color="auto"/>
              <w:right w:val="single" w:sz="4" w:space="0" w:color="auto"/>
            </w:tcBorders>
          </w:tcPr>
          <w:p w14:paraId="140EE4F4" w14:textId="0AF13888" w:rsidR="002C2FAA" w:rsidRPr="00476DFE" w:rsidRDefault="00913470" w:rsidP="002C2FAA">
            <w:pPr>
              <w:snapToGrid w:val="0"/>
              <w:spacing w:before="120" w:after="120"/>
              <w:jc w:val="left"/>
              <w:rPr>
                <w:rFonts w:asciiTheme="majorBidi" w:hAnsiTheme="majorBidi" w:cstheme="majorBidi"/>
              </w:rPr>
            </w:pPr>
            <w:hyperlink r:id="rId40" w:history="1">
              <w:r>
                <w:rPr>
                  <w:rStyle w:val="Hyperlink"/>
                  <w:rFonts w:asciiTheme="majorBidi" w:hAnsiTheme="majorBidi"/>
                </w:rPr>
                <w:t>Résolution</w:t>
              </w:r>
              <w:r w:rsidR="001E2410">
                <w:rPr>
                  <w:rStyle w:val="Hyperlink"/>
                  <w:rFonts w:asciiTheme="majorBidi" w:hAnsiTheme="majorBidi"/>
                </w:rPr>
                <w:t> </w:t>
              </w:r>
              <w:r>
                <w:rPr>
                  <w:rStyle w:val="Hyperlink"/>
                  <w:rFonts w:asciiTheme="majorBidi" w:hAnsiTheme="majorBidi"/>
                </w:rPr>
                <w:t>V/6</w:t>
              </w:r>
            </w:hyperlink>
          </w:p>
          <w:p w14:paraId="18942367" w14:textId="1A721E31" w:rsidR="002C2FAA" w:rsidRPr="00476DFE" w:rsidRDefault="002C2FAA" w:rsidP="002C2FAA">
            <w:pPr>
              <w:snapToGrid w:val="0"/>
              <w:spacing w:before="120" w:after="120"/>
              <w:jc w:val="left"/>
            </w:pPr>
            <w:r>
              <w:rPr>
                <w:rFonts w:asciiTheme="majorBidi" w:hAnsiTheme="majorBidi"/>
              </w:rPr>
              <w:t>Coopération et coordination internationales</w:t>
            </w:r>
          </w:p>
        </w:tc>
        <w:tc>
          <w:tcPr>
            <w:tcW w:w="2970" w:type="dxa"/>
            <w:tcBorders>
              <w:top w:val="single" w:sz="4" w:space="0" w:color="auto"/>
              <w:left w:val="single" w:sz="4" w:space="0" w:color="auto"/>
              <w:bottom w:val="single" w:sz="4" w:space="0" w:color="auto"/>
              <w:right w:val="single" w:sz="4" w:space="0" w:color="auto"/>
            </w:tcBorders>
          </w:tcPr>
          <w:p w14:paraId="061EDC12" w14:textId="26FCF51A" w:rsidR="002C2FAA" w:rsidRPr="00476DFE" w:rsidRDefault="002C2FAA" w:rsidP="002C2FAA">
            <w:pPr>
              <w:snapToGrid w:val="0"/>
              <w:spacing w:before="120" w:after="120"/>
              <w:jc w:val="left"/>
              <w:rPr>
                <w:rFonts w:asciiTheme="majorBidi" w:hAnsiTheme="majorBidi" w:cstheme="majorBidi"/>
              </w:rPr>
            </w:pPr>
            <w:r>
              <w:rPr>
                <w:rFonts w:asciiTheme="majorBidi" w:hAnsiTheme="majorBidi"/>
              </w:rPr>
              <w:t>Conférence internationale sur la gestion des produits chimiques</w:t>
            </w:r>
          </w:p>
        </w:tc>
        <w:tc>
          <w:tcPr>
            <w:tcW w:w="2790" w:type="dxa"/>
            <w:tcBorders>
              <w:top w:val="single" w:sz="4" w:space="0" w:color="auto"/>
              <w:left w:val="single" w:sz="4" w:space="0" w:color="auto"/>
              <w:bottom w:val="single" w:sz="4" w:space="0" w:color="auto"/>
              <w:right w:val="single" w:sz="4" w:space="0" w:color="auto"/>
            </w:tcBorders>
          </w:tcPr>
          <w:p w14:paraId="68ED541C" w14:textId="749FECBD" w:rsidR="002C2FAA" w:rsidRPr="00476DFE" w:rsidRDefault="00AE28DE" w:rsidP="002C2FAA">
            <w:pPr>
              <w:snapToGrid w:val="0"/>
              <w:spacing w:before="120" w:after="120"/>
              <w:jc w:val="left"/>
              <w:rPr>
                <w:rFonts w:asciiTheme="majorBidi" w:hAnsiTheme="majorBidi" w:cstheme="majorBidi"/>
              </w:rPr>
            </w:pPr>
            <w:r>
              <w:rPr>
                <w:rFonts w:asciiTheme="majorBidi" w:hAnsiTheme="majorBidi"/>
              </w:rPr>
              <w:t xml:space="preserve">Conférence internationale à sa cinquième session </w:t>
            </w:r>
          </w:p>
        </w:tc>
      </w:tr>
      <w:tr w:rsidR="00A77C41" w:rsidRPr="00476DFE" w14:paraId="61FB3A33" w14:textId="1F5EBA04" w:rsidTr="00A77C41">
        <w:tc>
          <w:tcPr>
            <w:tcW w:w="4135" w:type="dxa"/>
            <w:tcBorders>
              <w:top w:val="single" w:sz="4" w:space="0" w:color="auto"/>
              <w:left w:val="single" w:sz="4" w:space="0" w:color="auto"/>
              <w:bottom w:val="single" w:sz="4" w:space="0" w:color="auto"/>
              <w:right w:val="single" w:sz="4" w:space="0" w:color="auto"/>
            </w:tcBorders>
          </w:tcPr>
          <w:p w14:paraId="0E2896C6" w14:textId="7292B8F9" w:rsidR="00A71882" w:rsidRPr="00476DFE" w:rsidRDefault="00913470" w:rsidP="00A71882">
            <w:pPr>
              <w:snapToGrid w:val="0"/>
              <w:spacing w:before="120" w:after="120"/>
              <w:jc w:val="left"/>
              <w:rPr>
                <w:rFonts w:asciiTheme="majorBidi" w:hAnsiTheme="majorBidi" w:cstheme="majorBidi"/>
              </w:rPr>
            </w:pPr>
            <w:hyperlink r:id="rId41" w:history="1">
              <w:r>
                <w:rPr>
                  <w:rStyle w:val="Hyperlink"/>
                  <w:rFonts w:asciiTheme="majorBidi" w:hAnsiTheme="majorBidi"/>
                </w:rPr>
                <w:t>Résolution</w:t>
              </w:r>
              <w:r w:rsidR="001E2410">
                <w:rPr>
                  <w:rStyle w:val="Hyperlink"/>
                  <w:rFonts w:asciiTheme="majorBidi" w:hAnsiTheme="majorBidi"/>
                </w:rPr>
                <w:t> </w:t>
              </w:r>
              <w:r>
                <w:rPr>
                  <w:rStyle w:val="Hyperlink"/>
                  <w:rFonts w:asciiTheme="majorBidi" w:hAnsiTheme="majorBidi"/>
                </w:rPr>
                <w:t>78/68</w:t>
              </w:r>
            </w:hyperlink>
            <w:r>
              <w:rPr>
                <w:rFonts w:asciiTheme="majorBidi" w:hAnsiTheme="majorBidi"/>
              </w:rPr>
              <w:t xml:space="preserve"> </w:t>
            </w:r>
          </w:p>
          <w:p w14:paraId="10F3F5E4" w14:textId="77777777" w:rsidR="00A71882" w:rsidRPr="00476DFE" w:rsidRDefault="00A71882" w:rsidP="00A71882">
            <w:pPr>
              <w:snapToGrid w:val="0"/>
              <w:spacing w:before="120" w:after="120"/>
              <w:jc w:val="left"/>
              <w:rPr>
                <w:rFonts w:asciiTheme="majorBidi" w:hAnsiTheme="majorBidi" w:cstheme="majorBidi"/>
              </w:rPr>
            </w:pPr>
            <w:r>
              <w:rPr>
                <w:rFonts w:asciiTheme="majorBidi" w:hAnsiTheme="majorBidi"/>
              </w:rPr>
              <w:t>Assurer la viabilité des pêches, notamment grâce à l’Accord de 1995 aux fins de l’application des dispositions de la Convention des Nations Unies sur le droit de la mer du 10 décembre 1982 relatives à la conservation et à la gestion des stocks de poissons dont les déplacements s’effectuent tant à l’intérieur qu’au-delà de zones économiques exclusives (stocks chevauchants) et des stocks de poissons grands migrateurs et à des instruments connexes</w:t>
            </w:r>
          </w:p>
          <w:p w14:paraId="7A2CF747" w14:textId="0180425B" w:rsidR="00A71882" w:rsidRPr="00476DFE" w:rsidRDefault="00913470" w:rsidP="00A71882">
            <w:pPr>
              <w:snapToGrid w:val="0"/>
              <w:spacing w:before="120" w:after="120"/>
              <w:jc w:val="left"/>
              <w:rPr>
                <w:rFonts w:asciiTheme="majorBidi" w:hAnsiTheme="majorBidi" w:cstheme="majorBidi"/>
              </w:rPr>
            </w:pPr>
            <w:hyperlink r:id="rId42" w:history="1">
              <w:r>
                <w:rPr>
                  <w:rStyle w:val="Hyperlink"/>
                  <w:rFonts w:asciiTheme="majorBidi" w:hAnsiTheme="majorBidi"/>
                </w:rPr>
                <w:t>Résolution</w:t>
              </w:r>
              <w:r w:rsidR="001E2410">
                <w:rPr>
                  <w:rStyle w:val="Hyperlink"/>
                  <w:rFonts w:asciiTheme="majorBidi" w:hAnsiTheme="majorBidi"/>
                </w:rPr>
                <w:t> </w:t>
              </w:r>
              <w:r>
                <w:rPr>
                  <w:rStyle w:val="Hyperlink"/>
                  <w:rFonts w:asciiTheme="majorBidi" w:hAnsiTheme="majorBidi"/>
                </w:rPr>
                <w:t>78/69</w:t>
              </w:r>
            </w:hyperlink>
            <w:r>
              <w:rPr>
                <w:rFonts w:asciiTheme="majorBidi" w:hAnsiTheme="majorBidi"/>
              </w:rPr>
              <w:t xml:space="preserve"> </w:t>
            </w:r>
          </w:p>
          <w:p w14:paraId="7DBAB1F0" w14:textId="77777777" w:rsidR="00A71882" w:rsidRPr="00476DFE" w:rsidRDefault="00A71882" w:rsidP="00A71882">
            <w:pPr>
              <w:snapToGrid w:val="0"/>
              <w:spacing w:before="120" w:after="120"/>
              <w:jc w:val="left"/>
              <w:rPr>
                <w:rFonts w:asciiTheme="majorBidi" w:hAnsiTheme="majorBidi" w:cstheme="majorBidi"/>
              </w:rPr>
            </w:pPr>
            <w:r>
              <w:rPr>
                <w:rFonts w:asciiTheme="majorBidi" w:hAnsiTheme="majorBidi"/>
              </w:rPr>
              <w:t>Les océans et le droit de la mer</w:t>
            </w:r>
          </w:p>
          <w:p w14:paraId="7E4943DD" w14:textId="11F96CDB" w:rsidR="00A71882" w:rsidRPr="00476DFE" w:rsidRDefault="00913470" w:rsidP="00A71882">
            <w:pPr>
              <w:snapToGrid w:val="0"/>
              <w:spacing w:before="120" w:after="120"/>
              <w:jc w:val="left"/>
            </w:pPr>
            <w:hyperlink r:id="rId43" w:history="1">
              <w:r>
                <w:rPr>
                  <w:rStyle w:val="Hyperlink"/>
                </w:rPr>
                <w:t>Résolution 78/154</w:t>
              </w:r>
            </w:hyperlink>
          </w:p>
          <w:p w14:paraId="705BA6BE" w14:textId="77777777" w:rsidR="00A71882" w:rsidRPr="00476DFE" w:rsidRDefault="00A71882" w:rsidP="00A71882">
            <w:pPr>
              <w:snapToGrid w:val="0"/>
              <w:spacing w:before="120" w:after="120"/>
              <w:jc w:val="left"/>
            </w:pPr>
            <w:r>
              <w:t>Application de la Convention des Nations Unies sur la lutte contre la désertification dans les pays gravement touchés par la sécheresse et/ou la désertification, en particulier en Afrique</w:t>
            </w:r>
          </w:p>
          <w:p w14:paraId="0718B03A" w14:textId="10FE726C" w:rsidR="00A71882" w:rsidRPr="00476DFE" w:rsidRDefault="00913470" w:rsidP="00A71882">
            <w:pPr>
              <w:snapToGrid w:val="0"/>
              <w:spacing w:before="120" w:after="120"/>
              <w:jc w:val="left"/>
              <w:rPr>
                <w:rFonts w:asciiTheme="majorBidi" w:hAnsiTheme="majorBidi" w:cstheme="majorBidi"/>
              </w:rPr>
            </w:pPr>
            <w:hyperlink r:id="rId44" w:history="1">
              <w:r>
                <w:rPr>
                  <w:rStyle w:val="Hyperlink"/>
                  <w:rFonts w:asciiTheme="majorBidi" w:hAnsiTheme="majorBidi"/>
                </w:rPr>
                <w:t>Résolution 78/155</w:t>
              </w:r>
            </w:hyperlink>
          </w:p>
          <w:p w14:paraId="77F40C62" w14:textId="77A70BEB" w:rsidR="00A71882" w:rsidRPr="00476DFE" w:rsidRDefault="00A71882" w:rsidP="00A71882">
            <w:pPr>
              <w:snapToGrid w:val="0"/>
              <w:spacing w:before="120" w:after="120"/>
              <w:jc w:val="left"/>
              <w:rPr>
                <w:rFonts w:asciiTheme="majorBidi" w:hAnsiTheme="majorBidi" w:cstheme="majorBidi"/>
              </w:rPr>
            </w:pPr>
            <w:r>
              <w:rPr>
                <w:rFonts w:asciiTheme="majorBidi" w:hAnsiTheme="majorBidi"/>
              </w:rPr>
              <w:t>Application de la Convention sur la diversité biologique et contribution au développement durable</w:t>
            </w:r>
          </w:p>
        </w:tc>
        <w:tc>
          <w:tcPr>
            <w:tcW w:w="2970" w:type="dxa"/>
            <w:tcBorders>
              <w:top w:val="single" w:sz="4" w:space="0" w:color="auto"/>
              <w:left w:val="single" w:sz="4" w:space="0" w:color="auto"/>
              <w:bottom w:val="single" w:sz="4" w:space="0" w:color="auto"/>
              <w:right w:val="single" w:sz="4" w:space="0" w:color="auto"/>
            </w:tcBorders>
          </w:tcPr>
          <w:p w14:paraId="688C165E" w14:textId="7CE64C8F"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Assemblée générale des Nations Unies</w:t>
            </w:r>
          </w:p>
        </w:tc>
        <w:tc>
          <w:tcPr>
            <w:tcW w:w="2790" w:type="dxa"/>
            <w:tcBorders>
              <w:top w:val="single" w:sz="4" w:space="0" w:color="auto"/>
              <w:left w:val="single" w:sz="4" w:space="0" w:color="auto"/>
              <w:bottom w:val="single" w:sz="4" w:space="0" w:color="auto"/>
              <w:right w:val="single" w:sz="4" w:space="0" w:color="auto"/>
            </w:tcBorders>
          </w:tcPr>
          <w:p w14:paraId="1012DC4F" w14:textId="0662CFC1"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Assemblée des Nations Unies pour l’environnement à sa soixante-dix-huitième session</w:t>
            </w:r>
          </w:p>
        </w:tc>
      </w:tr>
      <w:tr w:rsidR="00A77C41" w:rsidRPr="00476DFE" w14:paraId="097EFB4A" w14:textId="77777777" w:rsidTr="00A77C41">
        <w:tc>
          <w:tcPr>
            <w:tcW w:w="4135" w:type="dxa"/>
            <w:tcBorders>
              <w:top w:val="single" w:sz="4" w:space="0" w:color="auto"/>
              <w:left w:val="single" w:sz="4" w:space="0" w:color="auto"/>
              <w:bottom w:val="single" w:sz="4" w:space="0" w:color="auto"/>
              <w:right w:val="single" w:sz="4" w:space="0" w:color="auto"/>
            </w:tcBorders>
          </w:tcPr>
          <w:p w14:paraId="1565AC7E" w14:textId="571592AF" w:rsidR="00A77C41" w:rsidRPr="00476DFE" w:rsidRDefault="00913470" w:rsidP="00A77C41">
            <w:pPr>
              <w:snapToGrid w:val="0"/>
              <w:spacing w:before="120" w:after="120"/>
              <w:jc w:val="left"/>
              <w:rPr>
                <w:rFonts w:asciiTheme="majorBidi" w:hAnsiTheme="majorBidi" w:cstheme="majorBidi"/>
              </w:rPr>
            </w:pPr>
            <w:hyperlink r:id="rId45" w:anchor="page=1" w:history="1">
              <w:r>
                <w:rPr>
                  <w:rStyle w:val="Hyperlink"/>
                  <w:rFonts w:asciiTheme="majorBidi" w:hAnsiTheme="majorBidi"/>
                </w:rPr>
                <w:t>Décision</w:t>
              </w:r>
              <w:r w:rsidR="001E2410">
                <w:rPr>
                  <w:rStyle w:val="Hyperlink"/>
                  <w:rFonts w:asciiTheme="majorBidi" w:hAnsiTheme="majorBidi"/>
                </w:rPr>
                <w:t> </w:t>
              </w:r>
              <w:r>
                <w:rPr>
                  <w:rStyle w:val="Hyperlink"/>
                  <w:rFonts w:asciiTheme="majorBidi" w:hAnsiTheme="majorBidi"/>
                </w:rPr>
                <w:t>WHA76.17</w:t>
              </w:r>
            </w:hyperlink>
          </w:p>
          <w:p w14:paraId="0C527E07" w14:textId="4D930389"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L’incidence des produits chimiques, des déchets et de la pollution sur la santé humaine</w:t>
            </w:r>
          </w:p>
        </w:tc>
        <w:tc>
          <w:tcPr>
            <w:tcW w:w="2970" w:type="dxa"/>
            <w:tcBorders>
              <w:top w:val="single" w:sz="4" w:space="0" w:color="auto"/>
              <w:left w:val="single" w:sz="4" w:space="0" w:color="auto"/>
              <w:bottom w:val="single" w:sz="4" w:space="0" w:color="auto"/>
              <w:right w:val="single" w:sz="4" w:space="0" w:color="auto"/>
            </w:tcBorders>
          </w:tcPr>
          <w:p w14:paraId="53B987BE" w14:textId="556EB406"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t>Organisation mondiale de la santé</w:t>
            </w:r>
          </w:p>
        </w:tc>
        <w:tc>
          <w:tcPr>
            <w:tcW w:w="2790" w:type="dxa"/>
            <w:tcBorders>
              <w:top w:val="single" w:sz="4" w:space="0" w:color="auto"/>
              <w:left w:val="single" w:sz="4" w:space="0" w:color="auto"/>
              <w:bottom w:val="single" w:sz="4" w:space="0" w:color="auto"/>
              <w:right w:val="single" w:sz="4" w:space="0" w:color="auto"/>
            </w:tcBorders>
          </w:tcPr>
          <w:p w14:paraId="0F995C84" w14:textId="070B7924" w:rsidR="00A77C41" w:rsidRPr="00476DFE" w:rsidRDefault="009D3215" w:rsidP="00A77C41">
            <w:pPr>
              <w:snapToGrid w:val="0"/>
              <w:spacing w:before="120" w:after="120"/>
              <w:jc w:val="left"/>
              <w:rPr>
                <w:rFonts w:asciiTheme="majorBidi" w:hAnsiTheme="majorBidi" w:cstheme="majorBidi"/>
              </w:rPr>
            </w:pPr>
            <w:r>
              <w:rPr>
                <w:rFonts w:asciiTheme="majorBidi" w:hAnsiTheme="majorBidi"/>
              </w:rPr>
              <w:t xml:space="preserve">Soixante-seizième Assemblée mondiale de la santé </w:t>
            </w:r>
          </w:p>
        </w:tc>
      </w:tr>
      <w:tr w:rsidR="00A77C41" w:rsidRPr="00476DFE" w14:paraId="2A7A774B" w14:textId="77777777" w:rsidTr="00A77C41">
        <w:tc>
          <w:tcPr>
            <w:tcW w:w="4135" w:type="dxa"/>
            <w:tcBorders>
              <w:top w:val="single" w:sz="4" w:space="0" w:color="auto"/>
              <w:left w:val="single" w:sz="4" w:space="0" w:color="auto"/>
              <w:bottom w:val="single" w:sz="4" w:space="0" w:color="auto"/>
              <w:right w:val="single" w:sz="4" w:space="0" w:color="auto"/>
            </w:tcBorders>
          </w:tcPr>
          <w:p w14:paraId="3590299F" w14:textId="46111B11" w:rsidR="00A77C41" w:rsidRPr="00476DFE" w:rsidRDefault="00A77C41" w:rsidP="00A77C41">
            <w:pPr>
              <w:snapToGrid w:val="0"/>
              <w:spacing w:before="120" w:after="120"/>
              <w:jc w:val="left"/>
              <w:rPr>
                <w:rStyle w:val="Hyperlink"/>
                <w:rFonts w:asciiTheme="majorBidi" w:hAnsiTheme="majorBidi" w:cstheme="majorBidi"/>
              </w:rPr>
            </w:pPr>
            <w:r w:rsidRPr="00476DFE">
              <w:rPr>
                <w:rFonts w:asciiTheme="majorBidi" w:hAnsiTheme="majorBidi" w:cstheme="majorBidi"/>
              </w:rPr>
              <w:fldChar w:fldCharType="begin"/>
            </w:r>
            <w:r w:rsidRPr="00476DFE">
              <w:rPr>
                <w:rFonts w:asciiTheme="majorBidi" w:hAnsiTheme="majorBidi" w:cstheme="majorBidi"/>
              </w:rPr>
              <w:instrText>HYPERLINK "https://unhabitat.org/sites/default/files/2023/09/french_6.pdf"</w:instrText>
            </w:r>
            <w:r w:rsidRPr="00476DFE">
              <w:rPr>
                <w:rFonts w:asciiTheme="majorBidi" w:hAnsiTheme="majorBidi" w:cstheme="majorBidi"/>
              </w:rPr>
            </w:r>
            <w:r w:rsidRPr="00476DFE">
              <w:rPr>
                <w:rFonts w:asciiTheme="majorBidi" w:hAnsiTheme="majorBidi" w:cstheme="majorBidi"/>
              </w:rPr>
              <w:fldChar w:fldCharType="separate"/>
            </w:r>
            <w:r>
              <w:rPr>
                <w:rStyle w:val="Hyperlink"/>
                <w:rFonts w:asciiTheme="majorBidi" w:hAnsiTheme="majorBidi"/>
              </w:rPr>
              <w:t>R</w:t>
            </w:r>
            <w:r>
              <w:rPr>
                <w:rStyle w:val="Hyperlink"/>
              </w:rPr>
              <w:t>ésolution</w:t>
            </w:r>
            <w:r>
              <w:rPr>
                <w:rStyle w:val="Hyperlink"/>
                <w:rFonts w:asciiTheme="majorBidi" w:hAnsiTheme="majorBidi"/>
              </w:rPr>
              <w:t xml:space="preserve"> </w:t>
            </w:r>
            <w:r>
              <w:rPr>
                <w:rStyle w:val="Hyperlink"/>
              </w:rPr>
              <w:t>2/4</w:t>
            </w:r>
          </w:p>
          <w:p w14:paraId="3042DAF4" w14:textId="753E2DFB" w:rsidR="00A77C41" w:rsidRPr="00476DFE" w:rsidRDefault="00A77C41" w:rsidP="00A77C41">
            <w:pPr>
              <w:snapToGrid w:val="0"/>
              <w:jc w:val="left"/>
              <w:rPr>
                <w:rFonts w:asciiTheme="majorBidi" w:hAnsiTheme="majorBidi" w:cstheme="majorBidi"/>
              </w:rPr>
            </w:pPr>
            <w:r w:rsidRPr="00476DFE">
              <w:rPr>
                <w:rFonts w:asciiTheme="majorBidi" w:hAnsiTheme="majorBidi" w:cstheme="majorBidi"/>
              </w:rPr>
              <w:fldChar w:fldCharType="end"/>
            </w:r>
            <w:r>
              <w:t xml:space="preserve">Villes </w:t>
            </w:r>
            <w:proofErr w:type="spellStart"/>
            <w:r>
              <w:t>biodiverses</w:t>
            </w:r>
            <w:proofErr w:type="spellEnd"/>
            <w:r>
              <w:t xml:space="preserve"> et résilientes : intégration de la biodiversité et des services </w:t>
            </w:r>
            <w:r>
              <w:lastRenderedPageBreak/>
              <w:t>écosystémiques dans la planification urbaine et territoriale</w:t>
            </w:r>
          </w:p>
        </w:tc>
        <w:tc>
          <w:tcPr>
            <w:tcW w:w="2970" w:type="dxa"/>
            <w:tcBorders>
              <w:top w:val="single" w:sz="4" w:space="0" w:color="auto"/>
              <w:left w:val="single" w:sz="4" w:space="0" w:color="auto"/>
              <w:bottom w:val="single" w:sz="4" w:space="0" w:color="auto"/>
              <w:right w:val="single" w:sz="4" w:space="0" w:color="auto"/>
            </w:tcBorders>
          </w:tcPr>
          <w:p w14:paraId="0FD69A89" w14:textId="36BD2A8A" w:rsidR="00A77C41" w:rsidRPr="00476DFE" w:rsidRDefault="00A77C41" w:rsidP="00A77C41">
            <w:pPr>
              <w:snapToGrid w:val="0"/>
              <w:spacing w:before="120" w:after="120"/>
              <w:jc w:val="left"/>
              <w:rPr>
                <w:rFonts w:asciiTheme="majorBidi" w:hAnsiTheme="majorBidi" w:cstheme="majorBidi"/>
              </w:rPr>
            </w:pPr>
            <w:r>
              <w:rPr>
                <w:rFonts w:asciiTheme="majorBidi" w:hAnsiTheme="majorBidi"/>
              </w:rPr>
              <w:lastRenderedPageBreak/>
              <w:t>Programme des Nations Unies pour les établissements humains</w:t>
            </w:r>
          </w:p>
        </w:tc>
        <w:tc>
          <w:tcPr>
            <w:tcW w:w="2790" w:type="dxa"/>
            <w:tcBorders>
              <w:top w:val="single" w:sz="4" w:space="0" w:color="auto"/>
              <w:left w:val="single" w:sz="4" w:space="0" w:color="auto"/>
              <w:bottom w:val="single" w:sz="4" w:space="0" w:color="auto"/>
              <w:right w:val="single" w:sz="4" w:space="0" w:color="auto"/>
            </w:tcBorders>
          </w:tcPr>
          <w:p w14:paraId="36F32FB8" w14:textId="63EA09B5" w:rsidR="00A77C41" w:rsidRPr="00476DFE" w:rsidRDefault="004E6079" w:rsidP="00A77C41">
            <w:pPr>
              <w:snapToGrid w:val="0"/>
              <w:spacing w:before="120" w:after="120"/>
              <w:jc w:val="left"/>
              <w:rPr>
                <w:rFonts w:asciiTheme="majorBidi" w:hAnsiTheme="majorBidi" w:cstheme="majorBidi"/>
              </w:rPr>
            </w:pPr>
            <w:r>
              <w:rPr>
                <w:rFonts w:asciiTheme="majorBidi" w:hAnsiTheme="majorBidi"/>
              </w:rPr>
              <w:t xml:space="preserve">Assemblée du Programme des Nations Unies pour les établissements humains </w:t>
            </w:r>
            <w:r>
              <w:rPr>
                <w:rFonts w:asciiTheme="majorBidi" w:hAnsiTheme="majorBidi"/>
              </w:rPr>
              <w:lastRenderedPageBreak/>
              <w:t xml:space="preserve">(ONU-Habitat) à sa deuxième session </w:t>
            </w:r>
          </w:p>
        </w:tc>
      </w:tr>
      <w:tr w:rsidR="00A77C41" w:rsidRPr="00476DFE" w14:paraId="2B080060" w14:textId="77777777" w:rsidTr="00A77C41">
        <w:tc>
          <w:tcPr>
            <w:tcW w:w="4135" w:type="dxa"/>
            <w:tcBorders>
              <w:top w:val="single" w:sz="4" w:space="0" w:color="auto"/>
              <w:left w:val="single" w:sz="4" w:space="0" w:color="auto"/>
              <w:bottom w:val="single" w:sz="4" w:space="0" w:color="auto"/>
              <w:right w:val="single" w:sz="4" w:space="0" w:color="auto"/>
            </w:tcBorders>
          </w:tcPr>
          <w:p w14:paraId="103FBA66" w14:textId="77AB2E88" w:rsidR="00AA7B12" w:rsidRPr="00476DFE" w:rsidRDefault="00913470" w:rsidP="00A77C41">
            <w:pPr>
              <w:snapToGrid w:val="0"/>
              <w:spacing w:before="120" w:after="120"/>
              <w:jc w:val="left"/>
              <w:rPr>
                <w:rFonts w:asciiTheme="majorBidi" w:hAnsiTheme="majorBidi" w:cstheme="majorBidi"/>
                <w:color w:val="0563C1" w:themeColor="hyperlink"/>
                <w:u w:val="single"/>
              </w:rPr>
            </w:pPr>
            <w:hyperlink r:id="rId46" w:history="1">
              <w:r>
                <w:rPr>
                  <w:rStyle w:val="Hyperlink"/>
                  <w:rFonts w:asciiTheme="majorBidi" w:hAnsiTheme="majorBidi"/>
                </w:rPr>
                <w:t>Résolution</w:t>
              </w:r>
              <w:r w:rsidR="001E2410">
                <w:rPr>
                  <w:rStyle w:val="Hyperlink"/>
                  <w:rFonts w:asciiTheme="majorBidi" w:hAnsiTheme="majorBidi"/>
                </w:rPr>
                <w:t> </w:t>
              </w:r>
              <w:r>
                <w:rPr>
                  <w:rStyle w:val="Hyperlink"/>
                  <w:rFonts w:asciiTheme="majorBidi" w:hAnsiTheme="majorBidi"/>
                </w:rPr>
                <w:t>79/1</w:t>
              </w:r>
            </w:hyperlink>
          </w:p>
          <w:p w14:paraId="191F1A74" w14:textId="75CD1BF7" w:rsidR="00AA7B12" w:rsidRPr="00476DFE" w:rsidRDefault="00AA7B12" w:rsidP="00A77C41">
            <w:pPr>
              <w:snapToGrid w:val="0"/>
              <w:spacing w:before="120" w:after="120"/>
              <w:jc w:val="left"/>
              <w:rPr>
                <w:rFonts w:asciiTheme="majorBidi" w:hAnsiTheme="majorBidi" w:cstheme="majorBidi"/>
              </w:rPr>
            </w:pPr>
            <w:r>
              <w:rPr>
                <w:rFonts w:asciiTheme="majorBidi" w:hAnsiTheme="majorBidi"/>
              </w:rPr>
              <w:t xml:space="preserve">Accélération de l’action climatique en Asie et dans le Pacifique pour le développement durable </w:t>
            </w:r>
          </w:p>
          <w:p w14:paraId="50FA6585" w14:textId="12CF7FE8" w:rsidR="003A0852" w:rsidRPr="00476DFE" w:rsidRDefault="00913470" w:rsidP="00A77C41">
            <w:pPr>
              <w:snapToGrid w:val="0"/>
              <w:spacing w:before="120" w:after="120"/>
              <w:jc w:val="left"/>
              <w:rPr>
                <w:rFonts w:asciiTheme="majorBidi" w:hAnsiTheme="majorBidi" w:cstheme="majorBidi"/>
                <w:color w:val="0563C1" w:themeColor="hyperlink"/>
                <w:u w:val="single"/>
              </w:rPr>
            </w:pPr>
            <w:hyperlink r:id="rId47" w:history="1">
              <w:r>
                <w:rPr>
                  <w:rStyle w:val="Hyperlink"/>
                  <w:rFonts w:asciiTheme="majorBidi" w:hAnsiTheme="majorBidi"/>
                </w:rPr>
                <w:t>Résolution</w:t>
              </w:r>
              <w:r w:rsidR="001E2410">
                <w:rPr>
                  <w:rStyle w:val="Hyperlink"/>
                  <w:rFonts w:asciiTheme="majorBidi" w:hAnsiTheme="majorBidi"/>
                </w:rPr>
                <w:t> </w:t>
              </w:r>
              <w:r>
                <w:rPr>
                  <w:rStyle w:val="Hyperlink"/>
                  <w:rFonts w:asciiTheme="majorBidi" w:hAnsiTheme="majorBidi"/>
                </w:rPr>
                <w:t>79/2</w:t>
              </w:r>
            </w:hyperlink>
          </w:p>
          <w:p w14:paraId="66B7BC3D" w14:textId="02785F41" w:rsidR="00326D24" w:rsidRPr="00476DFE" w:rsidRDefault="00326D24" w:rsidP="00A77C41">
            <w:pPr>
              <w:snapToGrid w:val="0"/>
              <w:spacing w:before="120" w:after="120"/>
              <w:jc w:val="left"/>
              <w:rPr>
                <w:rFonts w:asciiTheme="majorBidi" w:hAnsiTheme="majorBidi" w:cstheme="majorBidi"/>
                <w:color w:val="0563C1" w:themeColor="hyperlink"/>
              </w:rPr>
            </w:pPr>
            <w:r>
              <w:rPr>
                <w:rFonts w:asciiTheme="majorBidi" w:hAnsiTheme="majorBidi"/>
              </w:rPr>
              <w:t xml:space="preserve">Coopération régionale aux fins de l’accélération de l’action climatique axée sur les océans en Asie et dans le Pacifique pour le développement durable </w:t>
            </w:r>
          </w:p>
        </w:tc>
        <w:tc>
          <w:tcPr>
            <w:tcW w:w="2970" w:type="dxa"/>
            <w:tcBorders>
              <w:top w:val="single" w:sz="4" w:space="0" w:color="auto"/>
              <w:left w:val="single" w:sz="4" w:space="0" w:color="auto"/>
              <w:bottom w:val="single" w:sz="4" w:space="0" w:color="auto"/>
              <w:right w:val="single" w:sz="4" w:space="0" w:color="auto"/>
            </w:tcBorders>
          </w:tcPr>
          <w:p w14:paraId="31BD687F" w14:textId="2483439D" w:rsidR="00A77C41" w:rsidRPr="00476DFE" w:rsidRDefault="00E256D3" w:rsidP="00A77C41">
            <w:pPr>
              <w:snapToGrid w:val="0"/>
              <w:spacing w:before="120" w:after="120"/>
              <w:jc w:val="left"/>
              <w:rPr>
                <w:rFonts w:asciiTheme="majorBidi" w:hAnsiTheme="majorBidi" w:cstheme="majorBidi"/>
              </w:rPr>
            </w:pPr>
            <w:r>
              <w:rPr>
                <w:rFonts w:asciiTheme="majorBidi" w:hAnsiTheme="majorBidi"/>
              </w:rPr>
              <w:t xml:space="preserve">Commission économique et sociale pour l’Asie et le Pacifique </w:t>
            </w:r>
          </w:p>
        </w:tc>
        <w:tc>
          <w:tcPr>
            <w:tcW w:w="2790" w:type="dxa"/>
            <w:tcBorders>
              <w:top w:val="single" w:sz="4" w:space="0" w:color="auto"/>
              <w:left w:val="single" w:sz="4" w:space="0" w:color="auto"/>
              <w:bottom w:val="single" w:sz="4" w:space="0" w:color="auto"/>
              <w:right w:val="single" w:sz="4" w:space="0" w:color="auto"/>
            </w:tcBorders>
          </w:tcPr>
          <w:p w14:paraId="4A5E9F09" w14:textId="7D11C756" w:rsidR="00A77C41" w:rsidRPr="00476DFE" w:rsidRDefault="00221FA3" w:rsidP="00A77C41">
            <w:pPr>
              <w:snapToGrid w:val="0"/>
              <w:spacing w:before="120" w:after="120"/>
              <w:jc w:val="left"/>
              <w:rPr>
                <w:rFonts w:asciiTheme="majorBidi" w:hAnsiTheme="majorBidi" w:cstheme="majorBidi"/>
              </w:rPr>
            </w:pPr>
            <w:r>
              <w:rPr>
                <w:rFonts w:asciiTheme="majorBidi" w:hAnsiTheme="majorBidi"/>
              </w:rPr>
              <w:t xml:space="preserve">Soixante-dix-neuvième réunion de la Commission économique et sociale pour l’Asie et le Pacifique </w:t>
            </w:r>
          </w:p>
        </w:tc>
      </w:tr>
      <w:tr w:rsidR="005033B1" w:rsidRPr="00476DFE" w14:paraId="6C421D32" w14:textId="77777777" w:rsidTr="00A77C41">
        <w:tc>
          <w:tcPr>
            <w:tcW w:w="4135" w:type="dxa"/>
            <w:tcBorders>
              <w:top w:val="single" w:sz="4" w:space="0" w:color="auto"/>
              <w:left w:val="single" w:sz="4" w:space="0" w:color="auto"/>
              <w:bottom w:val="single" w:sz="4" w:space="0" w:color="auto"/>
              <w:right w:val="single" w:sz="4" w:space="0" w:color="auto"/>
            </w:tcBorders>
          </w:tcPr>
          <w:p w14:paraId="238CB14E" w14:textId="77777777" w:rsidR="005033B1" w:rsidRDefault="005033B1" w:rsidP="005033B1">
            <w:pPr>
              <w:snapToGrid w:val="0"/>
              <w:spacing w:before="120" w:after="120"/>
              <w:jc w:val="left"/>
            </w:pPr>
            <w:r w:rsidRPr="00174079">
              <w:t>MEPC 82/WP.1/Rev.1</w:t>
            </w:r>
          </w:p>
          <w:p w14:paraId="677ACF88" w14:textId="4CEB1EA7" w:rsidR="005033B1" w:rsidRDefault="005033B1" w:rsidP="005033B1">
            <w:pPr>
              <w:snapToGrid w:val="0"/>
              <w:spacing w:before="120" w:after="120"/>
              <w:jc w:val="left"/>
            </w:pPr>
            <w:r>
              <w:t xml:space="preserve">Projet de rapport du Comité de protection du milieu marin </w:t>
            </w:r>
            <w:r w:rsidR="00153CAB">
              <w:t>sur</w:t>
            </w:r>
            <w:r>
              <w:t xml:space="preserve"> sa quatre-ving</w:t>
            </w:r>
            <w:r w:rsidR="00153CAB">
              <w:t>t-deuxième session</w:t>
            </w:r>
          </w:p>
          <w:p w14:paraId="2405B0EB" w14:textId="77777777" w:rsidR="005033B1" w:rsidRDefault="005033B1" w:rsidP="00A77C41">
            <w:pPr>
              <w:snapToGrid w:val="0"/>
              <w:spacing w:before="120" w:after="120"/>
              <w:jc w:val="left"/>
              <w:rPr>
                <w:rStyle w:val="Hyperlink"/>
                <w:rFonts w:asciiTheme="majorBidi" w:hAnsiTheme="majorBidi"/>
              </w:rPr>
            </w:pPr>
          </w:p>
        </w:tc>
        <w:tc>
          <w:tcPr>
            <w:tcW w:w="2970" w:type="dxa"/>
            <w:tcBorders>
              <w:top w:val="single" w:sz="4" w:space="0" w:color="auto"/>
              <w:left w:val="single" w:sz="4" w:space="0" w:color="auto"/>
              <w:bottom w:val="single" w:sz="4" w:space="0" w:color="auto"/>
              <w:right w:val="single" w:sz="4" w:space="0" w:color="auto"/>
            </w:tcBorders>
          </w:tcPr>
          <w:p w14:paraId="0960E68A" w14:textId="7303D125" w:rsidR="005033B1" w:rsidRDefault="00153CAB" w:rsidP="00A77C41">
            <w:pPr>
              <w:snapToGrid w:val="0"/>
              <w:spacing w:before="120" w:after="120"/>
              <w:jc w:val="left"/>
              <w:rPr>
                <w:rFonts w:asciiTheme="majorBidi" w:hAnsiTheme="majorBidi"/>
              </w:rPr>
            </w:pPr>
            <w:r>
              <w:rPr>
                <w:rFonts w:asciiTheme="majorBidi" w:hAnsiTheme="majorBidi"/>
              </w:rPr>
              <w:t>Organisation maritime internationale</w:t>
            </w:r>
          </w:p>
        </w:tc>
        <w:tc>
          <w:tcPr>
            <w:tcW w:w="2790" w:type="dxa"/>
            <w:tcBorders>
              <w:top w:val="single" w:sz="4" w:space="0" w:color="auto"/>
              <w:left w:val="single" w:sz="4" w:space="0" w:color="auto"/>
              <w:bottom w:val="single" w:sz="4" w:space="0" w:color="auto"/>
              <w:right w:val="single" w:sz="4" w:space="0" w:color="auto"/>
            </w:tcBorders>
          </w:tcPr>
          <w:p w14:paraId="6578F454" w14:textId="77E530D9" w:rsidR="005033B1" w:rsidRDefault="00153CAB" w:rsidP="00A77C41">
            <w:pPr>
              <w:snapToGrid w:val="0"/>
              <w:spacing w:before="120" w:after="120"/>
              <w:jc w:val="left"/>
              <w:rPr>
                <w:rFonts w:asciiTheme="majorBidi" w:hAnsiTheme="majorBidi"/>
              </w:rPr>
            </w:pPr>
            <w:r>
              <w:rPr>
                <w:rFonts w:asciiTheme="majorBidi" w:hAnsiTheme="majorBidi"/>
              </w:rPr>
              <w:t>Comité de protection du milieu marin sur sa quatre-vingt-deuxième session</w:t>
            </w:r>
          </w:p>
        </w:tc>
      </w:tr>
    </w:tbl>
    <w:p w14:paraId="4FDC9279" w14:textId="4D366D20" w:rsidR="001F5D9D" w:rsidRPr="00476DFE" w:rsidRDefault="001F5D9D" w:rsidP="001F5D9D">
      <w:pPr>
        <w:snapToGrid w:val="0"/>
        <w:spacing w:before="120" w:after="120"/>
        <w:jc w:val="center"/>
      </w:pPr>
    </w:p>
    <w:p w14:paraId="5BEC074B" w14:textId="77777777" w:rsidR="001F5D9D" w:rsidRPr="00476DFE" w:rsidRDefault="001F5D9D" w:rsidP="001F5D9D">
      <w:pPr>
        <w:pStyle w:val="Para2"/>
      </w:pPr>
    </w:p>
    <w:p w14:paraId="43D72F8F" w14:textId="69A68D9C" w:rsidR="00A57384" w:rsidRPr="005519A3" w:rsidRDefault="00A57384">
      <w:pPr>
        <w:tabs>
          <w:tab w:val="clear" w:pos="567"/>
          <w:tab w:val="clear" w:pos="1134"/>
          <w:tab w:val="clear" w:pos="1701"/>
          <w:tab w:val="clear" w:pos="2268"/>
        </w:tabs>
        <w:spacing w:after="160" w:line="259" w:lineRule="auto"/>
        <w:jc w:val="left"/>
        <w:rPr>
          <w:rFonts w:eastAsia="Times New Roman"/>
          <w:szCs w:val="24"/>
        </w:rPr>
      </w:pPr>
      <w:r>
        <w:br w:type="page"/>
      </w:r>
    </w:p>
    <w:p w14:paraId="5AA5E037" w14:textId="01A6736B" w:rsidR="00A57384" w:rsidRPr="00476DFE" w:rsidRDefault="00A57384" w:rsidP="00A57384">
      <w:pPr>
        <w:pStyle w:val="Annex"/>
      </w:pPr>
      <w:r>
        <w:lastRenderedPageBreak/>
        <w:t>Annexe II</w:t>
      </w:r>
    </w:p>
    <w:p w14:paraId="55276D1C" w14:textId="288AEB86" w:rsidR="00A57384" w:rsidRPr="009C67EC" w:rsidRDefault="00A57384" w:rsidP="009C67EC">
      <w:pPr>
        <w:pStyle w:val="CBDTitle"/>
      </w:pPr>
      <w:r>
        <w:t>Documents d’information relatifs à la coopération avec d’autres conventions et organisations internationales fournis pour la seizième réunion de la Conférence des Parties à la Convention sur la diversité biologique</w:t>
      </w:r>
    </w:p>
    <w:tbl>
      <w:tblPr>
        <w:tblStyle w:val="TableGrid"/>
        <w:tblW w:w="0" w:type="auto"/>
        <w:tblLook w:val="04A0" w:firstRow="1" w:lastRow="0" w:firstColumn="1" w:lastColumn="0" w:noHBand="0" w:noVBand="1"/>
      </w:tblPr>
      <w:tblGrid>
        <w:gridCol w:w="2234"/>
        <w:gridCol w:w="3676"/>
        <w:gridCol w:w="2449"/>
        <w:gridCol w:w="991"/>
      </w:tblGrid>
      <w:tr w:rsidR="00A57384" w:rsidRPr="00476DFE" w14:paraId="01F71207" w14:textId="77777777" w:rsidTr="009D41A0">
        <w:tc>
          <w:tcPr>
            <w:tcW w:w="2234" w:type="dxa"/>
            <w:tcBorders>
              <w:top w:val="single" w:sz="4" w:space="0" w:color="auto"/>
              <w:left w:val="single" w:sz="4" w:space="0" w:color="auto"/>
              <w:bottom w:val="single" w:sz="4" w:space="0" w:color="auto"/>
              <w:right w:val="single" w:sz="4" w:space="0" w:color="auto"/>
            </w:tcBorders>
            <w:hideMark/>
          </w:tcPr>
          <w:p w14:paraId="64919BA5" w14:textId="77777777" w:rsidR="00A57384" w:rsidRPr="00476DFE" w:rsidRDefault="00A57384" w:rsidP="009B410E">
            <w:pPr>
              <w:snapToGrid w:val="0"/>
              <w:spacing w:before="120" w:after="120"/>
              <w:jc w:val="left"/>
              <w:rPr>
                <w:rFonts w:asciiTheme="majorBidi" w:hAnsiTheme="majorBidi" w:cstheme="majorBidi"/>
                <w:i/>
                <w:iCs/>
              </w:rPr>
            </w:pPr>
            <w:r>
              <w:rPr>
                <w:rFonts w:asciiTheme="majorBidi" w:hAnsiTheme="majorBidi"/>
                <w:i/>
                <w:iCs/>
              </w:rPr>
              <w:t>Symbole</w:t>
            </w:r>
          </w:p>
        </w:tc>
        <w:tc>
          <w:tcPr>
            <w:tcW w:w="3676" w:type="dxa"/>
            <w:tcBorders>
              <w:top w:val="single" w:sz="4" w:space="0" w:color="auto"/>
              <w:left w:val="single" w:sz="4" w:space="0" w:color="auto"/>
              <w:bottom w:val="single" w:sz="4" w:space="0" w:color="auto"/>
              <w:right w:val="single" w:sz="4" w:space="0" w:color="auto"/>
            </w:tcBorders>
            <w:hideMark/>
          </w:tcPr>
          <w:p w14:paraId="410CE5ED" w14:textId="77777777" w:rsidR="00A57384" w:rsidRPr="00476DFE" w:rsidRDefault="00A57384" w:rsidP="009B410E">
            <w:pPr>
              <w:snapToGrid w:val="0"/>
              <w:spacing w:before="120" w:after="120"/>
              <w:jc w:val="left"/>
              <w:rPr>
                <w:rFonts w:asciiTheme="majorBidi" w:hAnsiTheme="majorBidi" w:cstheme="majorBidi"/>
                <w:i/>
                <w:iCs/>
              </w:rPr>
            </w:pPr>
            <w:r>
              <w:rPr>
                <w:rFonts w:asciiTheme="majorBidi" w:hAnsiTheme="majorBidi"/>
                <w:i/>
                <w:iCs/>
              </w:rPr>
              <w:t>Titre</w:t>
            </w:r>
          </w:p>
        </w:tc>
        <w:tc>
          <w:tcPr>
            <w:tcW w:w="2449" w:type="dxa"/>
            <w:tcBorders>
              <w:top w:val="single" w:sz="4" w:space="0" w:color="auto"/>
              <w:left w:val="single" w:sz="4" w:space="0" w:color="auto"/>
              <w:bottom w:val="single" w:sz="4" w:space="0" w:color="auto"/>
              <w:right w:val="single" w:sz="4" w:space="0" w:color="auto"/>
            </w:tcBorders>
            <w:hideMark/>
          </w:tcPr>
          <w:p w14:paraId="26DD9EE6" w14:textId="77777777" w:rsidR="00A57384" w:rsidRPr="00476DFE" w:rsidRDefault="00A57384" w:rsidP="009B410E">
            <w:pPr>
              <w:snapToGrid w:val="0"/>
              <w:spacing w:before="120" w:after="120"/>
              <w:jc w:val="left"/>
              <w:rPr>
                <w:rFonts w:asciiTheme="majorBidi" w:hAnsiTheme="majorBidi" w:cstheme="majorBidi"/>
                <w:i/>
                <w:iCs/>
              </w:rPr>
            </w:pPr>
            <w:r>
              <w:rPr>
                <w:rFonts w:asciiTheme="majorBidi" w:hAnsiTheme="majorBidi"/>
                <w:i/>
                <w:iCs/>
              </w:rPr>
              <w:t>Organisation</w:t>
            </w:r>
          </w:p>
        </w:tc>
        <w:tc>
          <w:tcPr>
            <w:tcW w:w="991" w:type="dxa"/>
            <w:tcBorders>
              <w:top w:val="single" w:sz="4" w:space="0" w:color="auto"/>
              <w:left w:val="single" w:sz="4" w:space="0" w:color="auto"/>
              <w:bottom w:val="single" w:sz="4" w:space="0" w:color="auto"/>
              <w:right w:val="single" w:sz="4" w:space="0" w:color="auto"/>
            </w:tcBorders>
            <w:hideMark/>
          </w:tcPr>
          <w:p w14:paraId="1F25A351" w14:textId="2B1ED89F" w:rsidR="00A57384" w:rsidRPr="00476DFE" w:rsidRDefault="00A57384" w:rsidP="009B410E">
            <w:pPr>
              <w:snapToGrid w:val="0"/>
              <w:spacing w:before="120" w:after="120"/>
              <w:jc w:val="left"/>
              <w:rPr>
                <w:rFonts w:asciiTheme="majorBidi" w:hAnsiTheme="majorBidi" w:cstheme="majorBidi"/>
                <w:i/>
                <w:iCs/>
              </w:rPr>
            </w:pPr>
            <w:r>
              <w:rPr>
                <w:rFonts w:asciiTheme="majorBidi" w:hAnsiTheme="majorBidi"/>
                <w:i/>
                <w:iCs/>
              </w:rPr>
              <w:t>Points de l’ordre du jour</w:t>
            </w:r>
          </w:p>
        </w:tc>
      </w:tr>
      <w:tr w:rsidR="00A57384" w:rsidRPr="00476DFE" w14:paraId="71FB3E09" w14:textId="77777777" w:rsidTr="009D41A0">
        <w:tc>
          <w:tcPr>
            <w:tcW w:w="2234" w:type="dxa"/>
            <w:tcBorders>
              <w:top w:val="single" w:sz="4" w:space="0" w:color="auto"/>
              <w:left w:val="single" w:sz="4" w:space="0" w:color="auto"/>
              <w:bottom w:val="single" w:sz="4" w:space="0" w:color="auto"/>
              <w:right w:val="single" w:sz="4" w:space="0" w:color="auto"/>
            </w:tcBorders>
          </w:tcPr>
          <w:p w14:paraId="7E7B4179" w14:textId="5AC5B639" w:rsidR="00A57384" w:rsidRPr="00476DFE" w:rsidRDefault="00A57384" w:rsidP="009B410E">
            <w:pPr>
              <w:snapToGrid w:val="0"/>
              <w:spacing w:before="120" w:after="120"/>
              <w:jc w:val="left"/>
              <w:rPr>
                <w:rFonts w:asciiTheme="majorBidi" w:hAnsiTheme="majorBidi" w:cstheme="majorBidi"/>
              </w:rPr>
            </w:pPr>
            <w:r>
              <w:t>CBD/COP/16/INF/12</w:t>
            </w:r>
          </w:p>
        </w:tc>
        <w:tc>
          <w:tcPr>
            <w:tcW w:w="3676" w:type="dxa"/>
            <w:tcBorders>
              <w:top w:val="single" w:sz="4" w:space="0" w:color="auto"/>
              <w:left w:val="single" w:sz="4" w:space="0" w:color="auto"/>
              <w:bottom w:val="single" w:sz="4" w:space="0" w:color="auto"/>
              <w:right w:val="single" w:sz="4" w:space="0" w:color="auto"/>
            </w:tcBorders>
          </w:tcPr>
          <w:p w14:paraId="598BC23C" w14:textId="6DECA0E4"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 xml:space="preserve">Rapport de l’Organisation des Nations Unies pour l’alimentation et l’agriculture </w:t>
            </w:r>
          </w:p>
        </w:tc>
        <w:tc>
          <w:tcPr>
            <w:tcW w:w="2449" w:type="dxa"/>
            <w:tcBorders>
              <w:top w:val="single" w:sz="4" w:space="0" w:color="auto"/>
              <w:left w:val="single" w:sz="4" w:space="0" w:color="auto"/>
              <w:bottom w:val="single" w:sz="4" w:space="0" w:color="auto"/>
              <w:right w:val="single" w:sz="4" w:space="0" w:color="auto"/>
            </w:tcBorders>
          </w:tcPr>
          <w:p w14:paraId="61A74B57" w14:textId="68424D7F"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Organisation des Nations Unies pour l</w:t>
            </w:r>
            <w:r w:rsidR="001E2410">
              <w:rPr>
                <w:rFonts w:asciiTheme="majorBidi" w:hAnsiTheme="majorBidi"/>
              </w:rPr>
              <w:t>’</w:t>
            </w:r>
            <w:r>
              <w:rPr>
                <w:rFonts w:asciiTheme="majorBidi" w:hAnsiTheme="majorBidi"/>
              </w:rPr>
              <w:t>alimentation et l</w:t>
            </w:r>
            <w:r w:rsidR="001E2410">
              <w:rPr>
                <w:rFonts w:asciiTheme="majorBidi" w:hAnsiTheme="majorBidi"/>
              </w:rPr>
              <w:t>’</w:t>
            </w:r>
            <w:r>
              <w:rPr>
                <w:rFonts w:asciiTheme="majorBidi" w:hAnsiTheme="majorBidi"/>
              </w:rPr>
              <w:t>agriculture</w:t>
            </w:r>
          </w:p>
        </w:tc>
        <w:tc>
          <w:tcPr>
            <w:tcW w:w="991" w:type="dxa"/>
            <w:tcBorders>
              <w:top w:val="single" w:sz="4" w:space="0" w:color="auto"/>
              <w:left w:val="single" w:sz="4" w:space="0" w:color="auto"/>
              <w:bottom w:val="single" w:sz="4" w:space="0" w:color="auto"/>
              <w:right w:val="single" w:sz="4" w:space="0" w:color="auto"/>
            </w:tcBorders>
          </w:tcPr>
          <w:p w14:paraId="6A0236BF"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13, 17, 19 et 20</w:t>
            </w:r>
          </w:p>
        </w:tc>
      </w:tr>
      <w:tr w:rsidR="00A57384" w:rsidRPr="00476DFE" w14:paraId="4A366F3C" w14:textId="77777777" w:rsidTr="009D41A0">
        <w:tc>
          <w:tcPr>
            <w:tcW w:w="2234" w:type="dxa"/>
            <w:tcBorders>
              <w:top w:val="single" w:sz="4" w:space="0" w:color="auto"/>
              <w:left w:val="single" w:sz="4" w:space="0" w:color="auto"/>
              <w:bottom w:val="single" w:sz="4" w:space="0" w:color="auto"/>
              <w:right w:val="single" w:sz="4" w:space="0" w:color="auto"/>
            </w:tcBorders>
          </w:tcPr>
          <w:p w14:paraId="4E87DAC0" w14:textId="58C1EE97" w:rsidR="00A57384" w:rsidRPr="00476DFE" w:rsidRDefault="00A57384" w:rsidP="009B410E">
            <w:pPr>
              <w:snapToGrid w:val="0"/>
              <w:spacing w:before="120" w:after="120"/>
              <w:jc w:val="left"/>
              <w:rPr>
                <w:rFonts w:asciiTheme="majorBidi" w:hAnsiTheme="majorBidi" w:cstheme="majorBidi"/>
              </w:rPr>
            </w:pPr>
            <w:r>
              <w:t>CBD/COP/16/INF/13</w:t>
            </w:r>
          </w:p>
        </w:tc>
        <w:tc>
          <w:tcPr>
            <w:tcW w:w="3676" w:type="dxa"/>
            <w:tcBorders>
              <w:top w:val="single" w:sz="4" w:space="0" w:color="auto"/>
              <w:left w:val="single" w:sz="4" w:space="0" w:color="auto"/>
              <w:bottom w:val="single" w:sz="4" w:space="0" w:color="auto"/>
              <w:right w:val="single" w:sz="4" w:space="0" w:color="auto"/>
            </w:tcBorders>
          </w:tcPr>
          <w:p w14:paraId="4CDFDEC7" w14:textId="73121268" w:rsidR="00A57384" w:rsidRPr="00476DFE" w:rsidRDefault="00E9109D" w:rsidP="009B410E">
            <w:pPr>
              <w:snapToGrid w:val="0"/>
              <w:spacing w:before="120" w:after="120"/>
              <w:jc w:val="left"/>
              <w:rPr>
                <w:rFonts w:asciiTheme="majorBidi" w:hAnsiTheme="majorBidi" w:cstheme="majorBidi"/>
              </w:rPr>
            </w:pPr>
            <w:r>
              <w:rPr>
                <w:rFonts w:asciiTheme="majorBidi" w:hAnsiTheme="majorBidi"/>
              </w:rPr>
              <w:t xml:space="preserve">Rapport d’étape </w:t>
            </w:r>
            <w:r w:rsidR="00A57384">
              <w:rPr>
                <w:rFonts w:asciiTheme="majorBidi" w:hAnsiTheme="majorBidi"/>
              </w:rPr>
              <w:t xml:space="preserve">sur la Décennie des Nations Unies pour la restauration des écosystèmes (2021-2030) </w:t>
            </w:r>
          </w:p>
        </w:tc>
        <w:tc>
          <w:tcPr>
            <w:tcW w:w="2449" w:type="dxa"/>
            <w:tcBorders>
              <w:top w:val="single" w:sz="4" w:space="0" w:color="auto"/>
              <w:left w:val="single" w:sz="4" w:space="0" w:color="auto"/>
              <w:bottom w:val="single" w:sz="4" w:space="0" w:color="auto"/>
              <w:right w:val="single" w:sz="4" w:space="0" w:color="auto"/>
            </w:tcBorders>
          </w:tcPr>
          <w:p w14:paraId="437248C4" w14:textId="22EAEA54"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Organisation des Nations Unies pour l’alimentation et l’agriculture et Programme des Nations Unies pour l’environnement</w:t>
            </w:r>
          </w:p>
        </w:tc>
        <w:tc>
          <w:tcPr>
            <w:tcW w:w="991" w:type="dxa"/>
            <w:tcBorders>
              <w:top w:val="single" w:sz="4" w:space="0" w:color="auto"/>
              <w:left w:val="single" w:sz="4" w:space="0" w:color="auto"/>
              <w:bottom w:val="single" w:sz="4" w:space="0" w:color="auto"/>
              <w:right w:val="single" w:sz="4" w:space="0" w:color="auto"/>
            </w:tcBorders>
          </w:tcPr>
          <w:p w14:paraId="125E6431"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13</w:t>
            </w:r>
          </w:p>
        </w:tc>
      </w:tr>
      <w:tr w:rsidR="00A57384" w:rsidRPr="00476DFE" w14:paraId="0604D8AE" w14:textId="77777777" w:rsidTr="009D41A0">
        <w:tc>
          <w:tcPr>
            <w:tcW w:w="2234" w:type="dxa"/>
            <w:tcBorders>
              <w:top w:val="single" w:sz="4" w:space="0" w:color="auto"/>
              <w:left w:val="single" w:sz="4" w:space="0" w:color="auto"/>
              <w:bottom w:val="single" w:sz="4" w:space="0" w:color="auto"/>
              <w:right w:val="single" w:sz="4" w:space="0" w:color="auto"/>
            </w:tcBorders>
          </w:tcPr>
          <w:p w14:paraId="25563CEC" w14:textId="292C5955" w:rsidR="00A57384" w:rsidRPr="00476DFE" w:rsidRDefault="00A57384" w:rsidP="009B410E">
            <w:pPr>
              <w:snapToGrid w:val="0"/>
              <w:spacing w:before="120" w:after="120"/>
              <w:jc w:val="left"/>
            </w:pPr>
            <w:r>
              <w:t>CBD/COP/16/INF/14</w:t>
            </w:r>
          </w:p>
        </w:tc>
        <w:tc>
          <w:tcPr>
            <w:tcW w:w="3676" w:type="dxa"/>
            <w:tcBorders>
              <w:top w:val="single" w:sz="4" w:space="0" w:color="auto"/>
              <w:left w:val="single" w:sz="4" w:space="0" w:color="auto"/>
              <w:bottom w:val="single" w:sz="4" w:space="0" w:color="auto"/>
              <w:right w:val="single" w:sz="4" w:space="0" w:color="auto"/>
            </w:tcBorders>
          </w:tcPr>
          <w:p w14:paraId="786BE154" w14:textId="680BC10D" w:rsidR="00A57384" w:rsidRPr="00476DFE" w:rsidRDefault="00A57384" w:rsidP="009B410E">
            <w:pPr>
              <w:snapToGrid w:val="0"/>
              <w:spacing w:before="120" w:after="120"/>
              <w:jc w:val="left"/>
              <w:rPr>
                <w:rFonts w:asciiTheme="majorBidi" w:hAnsiTheme="majorBidi" w:cstheme="majorBidi"/>
              </w:rPr>
            </w:pPr>
            <w:bookmarkStart w:id="7" w:name="_Hlk176804304"/>
            <w:r>
              <w:rPr>
                <w:rFonts w:asciiTheme="majorBidi" w:hAnsiTheme="majorBidi"/>
              </w:rPr>
              <w:t xml:space="preserve">Rapport d’étape sur la mise en œuvre de l’Initiative internationale sur la conservation et l’utilisation durable des pollinisateurs </w:t>
            </w:r>
            <w:bookmarkEnd w:id="7"/>
          </w:p>
        </w:tc>
        <w:tc>
          <w:tcPr>
            <w:tcW w:w="2449" w:type="dxa"/>
            <w:tcBorders>
              <w:top w:val="single" w:sz="4" w:space="0" w:color="auto"/>
              <w:left w:val="single" w:sz="4" w:space="0" w:color="auto"/>
              <w:bottom w:val="single" w:sz="4" w:space="0" w:color="auto"/>
              <w:right w:val="single" w:sz="4" w:space="0" w:color="auto"/>
            </w:tcBorders>
          </w:tcPr>
          <w:p w14:paraId="5DB04B2D" w14:textId="256BC9ED"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Organisation des Nations Unies pour l’alimentation et l’agriculture</w:t>
            </w:r>
          </w:p>
        </w:tc>
        <w:tc>
          <w:tcPr>
            <w:tcW w:w="991" w:type="dxa"/>
            <w:tcBorders>
              <w:top w:val="single" w:sz="4" w:space="0" w:color="auto"/>
              <w:left w:val="single" w:sz="4" w:space="0" w:color="auto"/>
              <w:bottom w:val="single" w:sz="4" w:space="0" w:color="auto"/>
              <w:right w:val="single" w:sz="4" w:space="0" w:color="auto"/>
            </w:tcBorders>
          </w:tcPr>
          <w:p w14:paraId="4F40DA55"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13 et 17</w:t>
            </w:r>
          </w:p>
        </w:tc>
      </w:tr>
      <w:tr w:rsidR="00A57384" w:rsidRPr="00476DFE" w14:paraId="58C90ACA" w14:textId="77777777" w:rsidTr="009D41A0">
        <w:tc>
          <w:tcPr>
            <w:tcW w:w="2234" w:type="dxa"/>
            <w:tcBorders>
              <w:top w:val="single" w:sz="4" w:space="0" w:color="auto"/>
              <w:left w:val="single" w:sz="4" w:space="0" w:color="auto"/>
              <w:bottom w:val="single" w:sz="4" w:space="0" w:color="auto"/>
              <w:right w:val="single" w:sz="4" w:space="0" w:color="auto"/>
            </w:tcBorders>
          </w:tcPr>
          <w:p w14:paraId="02F950F9" w14:textId="332E5DD8" w:rsidR="00A57384" w:rsidRPr="00476DFE" w:rsidRDefault="00A57384" w:rsidP="009B410E">
            <w:pPr>
              <w:snapToGrid w:val="0"/>
              <w:spacing w:before="120" w:after="120"/>
              <w:jc w:val="left"/>
              <w:rPr>
                <w:rFonts w:asciiTheme="majorBidi" w:hAnsiTheme="majorBidi" w:cstheme="majorBidi"/>
              </w:rPr>
            </w:pPr>
            <w:r>
              <w:t>CBD/COP/16/INF/15</w:t>
            </w:r>
          </w:p>
        </w:tc>
        <w:tc>
          <w:tcPr>
            <w:tcW w:w="3676" w:type="dxa"/>
            <w:tcBorders>
              <w:top w:val="single" w:sz="4" w:space="0" w:color="auto"/>
              <w:left w:val="single" w:sz="4" w:space="0" w:color="auto"/>
              <w:bottom w:val="single" w:sz="4" w:space="0" w:color="auto"/>
              <w:right w:val="single" w:sz="4" w:space="0" w:color="auto"/>
            </w:tcBorders>
          </w:tcPr>
          <w:p w14:paraId="31A4180E" w14:textId="5FEF77AC"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Partenariat de collaboration sur la gestion durable de la faun</w:t>
            </w:r>
            <w:r w:rsidR="00153CAB">
              <w:rPr>
                <w:rFonts w:asciiTheme="majorBidi" w:hAnsiTheme="majorBidi"/>
              </w:rPr>
              <w:t>e sauvage : rapport d’étape 2023</w:t>
            </w:r>
            <w:r>
              <w:rPr>
                <w:rFonts w:asciiTheme="majorBidi" w:hAnsiTheme="majorBidi"/>
              </w:rPr>
              <w:t>-2024</w:t>
            </w:r>
          </w:p>
        </w:tc>
        <w:tc>
          <w:tcPr>
            <w:tcW w:w="2449" w:type="dxa"/>
            <w:tcBorders>
              <w:top w:val="single" w:sz="4" w:space="0" w:color="auto"/>
              <w:left w:val="single" w:sz="4" w:space="0" w:color="auto"/>
              <w:bottom w:val="single" w:sz="4" w:space="0" w:color="auto"/>
              <w:right w:val="single" w:sz="4" w:space="0" w:color="auto"/>
            </w:tcBorders>
          </w:tcPr>
          <w:p w14:paraId="7F3BA262" w14:textId="7EEB5C7F"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 xml:space="preserve">Organisation des Nations Unies pour l’alimentation et l’agriculture à titre de Secrétariat du Partenariat de collaboration sur la gestion durable de la faune sauvage </w:t>
            </w:r>
          </w:p>
        </w:tc>
        <w:tc>
          <w:tcPr>
            <w:tcW w:w="991" w:type="dxa"/>
            <w:tcBorders>
              <w:top w:val="single" w:sz="4" w:space="0" w:color="auto"/>
              <w:left w:val="single" w:sz="4" w:space="0" w:color="auto"/>
              <w:bottom w:val="single" w:sz="4" w:space="0" w:color="auto"/>
              <w:right w:val="single" w:sz="4" w:space="0" w:color="auto"/>
            </w:tcBorders>
          </w:tcPr>
          <w:p w14:paraId="2DD17D84"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13 et 19</w:t>
            </w:r>
          </w:p>
        </w:tc>
      </w:tr>
      <w:tr w:rsidR="00A57384" w:rsidRPr="00476DFE" w14:paraId="146206F1" w14:textId="77777777" w:rsidTr="009D41A0">
        <w:tc>
          <w:tcPr>
            <w:tcW w:w="2234" w:type="dxa"/>
            <w:tcBorders>
              <w:top w:val="single" w:sz="4" w:space="0" w:color="auto"/>
              <w:left w:val="single" w:sz="4" w:space="0" w:color="auto"/>
              <w:bottom w:val="single" w:sz="4" w:space="0" w:color="auto"/>
              <w:right w:val="single" w:sz="4" w:space="0" w:color="auto"/>
            </w:tcBorders>
          </w:tcPr>
          <w:p w14:paraId="33AFDF6B" w14:textId="26486F8C" w:rsidR="00A57384" w:rsidRPr="00476DFE" w:rsidRDefault="00A57384" w:rsidP="009B410E">
            <w:pPr>
              <w:snapToGrid w:val="0"/>
              <w:spacing w:before="120" w:after="120"/>
              <w:jc w:val="left"/>
              <w:rPr>
                <w:rFonts w:asciiTheme="majorBidi" w:hAnsiTheme="majorBidi" w:cstheme="majorBidi"/>
              </w:rPr>
            </w:pPr>
            <w:r>
              <w:t>CBD/COP/16/INF/16</w:t>
            </w:r>
          </w:p>
        </w:tc>
        <w:tc>
          <w:tcPr>
            <w:tcW w:w="3676" w:type="dxa"/>
            <w:tcBorders>
              <w:top w:val="single" w:sz="4" w:space="0" w:color="auto"/>
              <w:left w:val="single" w:sz="4" w:space="0" w:color="auto"/>
              <w:bottom w:val="single" w:sz="4" w:space="0" w:color="auto"/>
              <w:right w:val="single" w:sz="4" w:space="0" w:color="auto"/>
            </w:tcBorders>
          </w:tcPr>
          <w:p w14:paraId="7D1AE542"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Rapport du Programme des Nations Unies pour l’environnement sur ses activités visant à soutenir la mise en œuvre de la Convention sur la diversité biologique et ses Protocoles</w:t>
            </w:r>
          </w:p>
        </w:tc>
        <w:tc>
          <w:tcPr>
            <w:tcW w:w="2449" w:type="dxa"/>
            <w:tcBorders>
              <w:top w:val="single" w:sz="4" w:space="0" w:color="auto"/>
              <w:left w:val="single" w:sz="4" w:space="0" w:color="auto"/>
              <w:bottom w:val="single" w:sz="4" w:space="0" w:color="auto"/>
              <w:right w:val="single" w:sz="4" w:space="0" w:color="auto"/>
            </w:tcBorders>
          </w:tcPr>
          <w:p w14:paraId="0BDA0992" w14:textId="43EC07A1"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 xml:space="preserve">Programme des Nations Unies pour l’environnement </w:t>
            </w:r>
          </w:p>
        </w:tc>
        <w:tc>
          <w:tcPr>
            <w:tcW w:w="991" w:type="dxa"/>
            <w:tcBorders>
              <w:top w:val="single" w:sz="4" w:space="0" w:color="auto"/>
              <w:left w:val="single" w:sz="4" w:space="0" w:color="auto"/>
              <w:bottom w:val="single" w:sz="4" w:space="0" w:color="auto"/>
              <w:right w:val="single" w:sz="4" w:space="0" w:color="auto"/>
            </w:tcBorders>
          </w:tcPr>
          <w:p w14:paraId="46ADCB6E"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8, 13 et 22</w:t>
            </w:r>
          </w:p>
        </w:tc>
      </w:tr>
      <w:tr w:rsidR="00A57384" w:rsidRPr="00476DFE" w14:paraId="21DF691A" w14:textId="77777777" w:rsidTr="009D41A0">
        <w:tc>
          <w:tcPr>
            <w:tcW w:w="2234" w:type="dxa"/>
            <w:tcBorders>
              <w:top w:val="single" w:sz="4" w:space="0" w:color="auto"/>
              <w:left w:val="single" w:sz="4" w:space="0" w:color="auto"/>
              <w:bottom w:val="single" w:sz="4" w:space="0" w:color="auto"/>
              <w:right w:val="single" w:sz="4" w:space="0" w:color="auto"/>
            </w:tcBorders>
          </w:tcPr>
          <w:p w14:paraId="0FB10613" w14:textId="50ED870D" w:rsidR="00A57384" w:rsidRPr="009D41A0" w:rsidRDefault="00A57384" w:rsidP="009B410E">
            <w:pPr>
              <w:snapToGrid w:val="0"/>
              <w:spacing w:before="120" w:after="120"/>
              <w:jc w:val="left"/>
              <w:rPr>
                <w:rFonts w:asciiTheme="majorBidi" w:hAnsiTheme="majorBidi" w:cstheme="majorBidi"/>
              </w:rPr>
            </w:pPr>
            <w:r>
              <w:t>CBD/COP/16/INF/17</w:t>
            </w:r>
          </w:p>
        </w:tc>
        <w:tc>
          <w:tcPr>
            <w:tcW w:w="3676" w:type="dxa"/>
            <w:tcBorders>
              <w:top w:val="single" w:sz="4" w:space="0" w:color="auto"/>
              <w:left w:val="single" w:sz="4" w:space="0" w:color="auto"/>
              <w:bottom w:val="single" w:sz="4" w:space="0" w:color="auto"/>
              <w:right w:val="single" w:sz="4" w:space="0" w:color="auto"/>
            </w:tcBorders>
          </w:tcPr>
          <w:p w14:paraId="1542B510" w14:textId="0FD64DC4"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Rapport d’étape sur le déploiement de l’outil de communication des données pour les accords multilatéraux sur l’environnement</w:t>
            </w:r>
          </w:p>
        </w:tc>
        <w:tc>
          <w:tcPr>
            <w:tcW w:w="2449" w:type="dxa"/>
            <w:tcBorders>
              <w:top w:val="single" w:sz="4" w:space="0" w:color="auto"/>
              <w:left w:val="single" w:sz="4" w:space="0" w:color="auto"/>
              <w:bottom w:val="single" w:sz="4" w:space="0" w:color="auto"/>
              <w:right w:val="single" w:sz="4" w:space="0" w:color="auto"/>
            </w:tcBorders>
          </w:tcPr>
          <w:p w14:paraId="3B28D618" w14:textId="2B72169F"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 xml:space="preserve">Programme des Nations Unies pour l’environnement </w:t>
            </w:r>
          </w:p>
        </w:tc>
        <w:tc>
          <w:tcPr>
            <w:tcW w:w="991" w:type="dxa"/>
            <w:tcBorders>
              <w:top w:val="single" w:sz="4" w:space="0" w:color="auto"/>
              <w:left w:val="single" w:sz="4" w:space="0" w:color="auto"/>
              <w:bottom w:val="single" w:sz="4" w:space="0" w:color="auto"/>
              <w:right w:val="single" w:sz="4" w:space="0" w:color="auto"/>
            </w:tcBorders>
          </w:tcPr>
          <w:p w14:paraId="28AA21CC"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10 et 13</w:t>
            </w:r>
          </w:p>
        </w:tc>
      </w:tr>
      <w:tr w:rsidR="00A57384" w:rsidRPr="00476DFE" w14:paraId="633917DB" w14:textId="77777777" w:rsidTr="009D41A0">
        <w:trPr>
          <w:trHeight w:val="575"/>
        </w:trPr>
        <w:tc>
          <w:tcPr>
            <w:tcW w:w="2234" w:type="dxa"/>
          </w:tcPr>
          <w:p w14:paraId="12CFC3B2" w14:textId="52DA9100" w:rsidR="00A57384" w:rsidRPr="009D41A0" w:rsidRDefault="00A57384" w:rsidP="009B410E">
            <w:pPr>
              <w:snapToGrid w:val="0"/>
              <w:spacing w:before="120" w:after="120"/>
              <w:jc w:val="left"/>
              <w:rPr>
                <w:rFonts w:asciiTheme="majorBidi" w:hAnsiTheme="majorBidi" w:cstheme="majorBidi"/>
              </w:rPr>
            </w:pPr>
            <w:r>
              <w:lastRenderedPageBreak/>
              <w:t>CBD/COP/16/INF/18</w:t>
            </w:r>
          </w:p>
        </w:tc>
        <w:tc>
          <w:tcPr>
            <w:tcW w:w="3676" w:type="dxa"/>
          </w:tcPr>
          <w:p w14:paraId="47932E73" w14:textId="4456111B" w:rsidR="00A57384" w:rsidRPr="00476DFE" w:rsidRDefault="00A57384" w:rsidP="00153CAB">
            <w:pPr>
              <w:snapToGrid w:val="0"/>
              <w:spacing w:before="120" w:after="120"/>
              <w:jc w:val="left"/>
              <w:rPr>
                <w:rFonts w:asciiTheme="majorBidi" w:hAnsiTheme="majorBidi" w:cstheme="majorBidi"/>
              </w:rPr>
            </w:pPr>
            <w:r>
              <w:rPr>
                <w:rFonts w:asciiTheme="majorBidi" w:hAnsiTheme="majorBidi"/>
              </w:rPr>
              <w:t xml:space="preserve">Rapport </w:t>
            </w:r>
            <w:r w:rsidR="00153CAB">
              <w:rPr>
                <w:rFonts w:asciiTheme="majorBidi" w:hAnsiTheme="majorBidi"/>
              </w:rPr>
              <w:t>du Programme des Nations Unies pour les établissements humains</w:t>
            </w:r>
            <w:r>
              <w:rPr>
                <w:rFonts w:asciiTheme="majorBidi" w:hAnsiTheme="majorBidi"/>
              </w:rPr>
              <w:t xml:space="preserve"> </w:t>
            </w:r>
          </w:p>
        </w:tc>
        <w:tc>
          <w:tcPr>
            <w:tcW w:w="2449" w:type="dxa"/>
          </w:tcPr>
          <w:p w14:paraId="7469C0C0"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Programme des Nations Unies pour les établissements humains</w:t>
            </w:r>
          </w:p>
        </w:tc>
        <w:tc>
          <w:tcPr>
            <w:tcW w:w="991" w:type="dxa"/>
          </w:tcPr>
          <w:p w14:paraId="181470D3"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13</w:t>
            </w:r>
          </w:p>
        </w:tc>
      </w:tr>
      <w:tr w:rsidR="00A57384" w:rsidRPr="00476DFE" w14:paraId="6DFEB429" w14:textId="77777777" w:rsidTr="009D41A0">
        <w:trPr>
          <w:trHeight w:val="575"/>
        </w:trPr>
        <w:tc>
          <w:tcPr>
            <w:tcW w:w="2234" w:type="dxa"/>
          </w:tcPr>
          <w:p w14:paraId="20551828" w14:textId="7EB202A8" w:rsidR="00A57384" w:rsidRPr="00476DFE" w:rsidRDefault="00A57384" w:rsidP="009B410E">
            <w:pPr>
              <w:snapToGrid w:val="0"/>
              <w:spacing w:before="120" w:after="120"/>
              <w:jc w:val="left"/>
            </w:pPr>
            <w:r>
              <w:t>CBD/COP/16/INF/19</w:t>
            </w:r>
          </w:p>
        </w:tc>
        <w:tc>
          <w:tcPr>
            <w:tcW w:w="3676" w:type="dxa"/>
          </w:tcPr>
          <w:p w14:paraId="7B8C8A13" w14:textId="409C6F45" w:rsidR="00A57384" w:rsidRPr="00476DFE" w:rsidRDefault="009E27AF" w:rsidP="009B410E">
            <w:pPr>
              <w:snapToGrid w:val="0"/>
              <w:spacing w:before="120" w:after="120"/>
              <w:jc w:val="left"/>
              <w:rPr>
                <w:rFonts w:asciiTheme="majorBidi" w:hAnsiTheme="majorBidi" w:cstheme="majorBidi"/>
                <w:highlight w:val="yellow"/>
              </w:rPr>
            </w:pPr>
            <w:r>
              <w:t xml:space="preserve">Sixième plan de travail conjoint, 2024-2030, de la Convention sur la diversité biologique et de la Convention relative aux zones humides d’importance internationale particulièrement comme habitats de la sauvagine </w:t>
            </w:r>
          </w:p>
        </w:tc>
        <w:tc>
          <w:tcPr>
            <w:tcW w:w="2449" w:type="dxa"/>
          </w:tcPr>
          <w:p w14:paraId="5999E90C" w14:textId="4B1DF4B5"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Secrétariats de la Convention sur la diversité biologique et de la Convention relative aux zones humides d’importance internationale particulièrement comme habitats de la sauvagine</w:t>
            </w:r>
          </w:p>
        </w:tc>
        <w:tc>
          <w:tcPr>
            <w:tcW w:w="991" w:type="dxa"/>
          </w:tcPr>
          <w:p w14:paraId="008E4BCD"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10, 12 et 13</w:t>
            </w:r>
          </w:p>
        </w:tc>
      </w:tr>
      <w:tr w:rsidR="00A57384" w:rsidRPr="00476DFE" w14:paraId="643120A1" w14:textId="77777777" w:rsidTr="009D41A0">
        <w:tc>
          <w:tcPr>
            <w:tcW w:w="2234" w:type="dxa"/>
            <w:tcBorders>
              <w:top w:val="single" w:sz="4" w:space="0" w:color="auto"/>
              <w:left w:val="single" w:sz="4" w:space="0" w:color="auto"/>
              <w:bottom w:val="single" w:sz="4" w:space="0" w:color="auto"/>
              <w:right w:val="single" w:sz="4" w:space="0" w:color="auto"/>
            </w:tcBorders>
          </w:tcPr>
          <w:p w14:paraId="5F528E0B" w14:textId="4C658B9F" w:rsidR="00A57384" w:rsidRPr="00476DFE" w:rsidRDefault="00A57384" w:rsidP="009B410E">
            <w:pPr>
              <w:snapToGrid w:val="0"/>
              <w:spacing w:before="120" w:after="120"/>
              <w:jc w:val="left"/>
              <w:rPr>
                <w:rFonts w:asciiTheme="majorBidi" w:hAnsiTheme="majorBidi" w:cstheme="majorBidi"/>
              </w:rPr>
            </w:pPr>
            <w:r>
              <w:t>CBD/COP/16/INF/20</w:t>
            </w:r>
          </w:p>
        </w:tc>
        <w:tc>
          <w:tcPr>
            <w:tcW w:w="3676" w:type="dxa"/>
            <w:tcBorders>
              <w:top w:val="single" w:sz="4" w:space="0" w:color="auto"/>
              <w:left w:val="single" w:sz="4" w:space="0" w:color="auto"/>
              <w:bottom w:val="single" w:sz="4" w:space="0" w:color="auto"/>
              <w:right w:val="single" w:sz="4" w:space="0" w:color="auto"/>
            </w:tcBorders>
          </w:tcPr>
          <w:p w14:paraId="7D2018D4" w14:textId="25ABE4A3" w:rsidR="00A57384" w:rsidRPr="00476DFE" w:rsidRDefault="00955845" w:rsidP="009B410E">
            <w:pPr>
              <w:snapToGrid w:val="0"/>
              <w:spacing w:before="120" w:after="120"/>
              <w:jc w:val="left"/>
              <w:rPr>
                <w:rFonts w:asciiTheme="majorBidi" w:hAnsiTheme="majorBidi" w:cstheme="majorBidi"/>
              </w:rPr>
            </w:pPr>
            <w:r>
              <w:rPr>
                <w:rFonts w:asciiTheme="majorBidi" w:hAnsiTheme="majorBidi"/>
              </w:rPr>
              <w:t>Rapport</w:t>
            </w:r>
            <w:r w:rsidR="00A57384">
              <w:rPr>
                <w:rFonts w:asciiTheme="majorBidi" w:hAnsiTheme="majorBidi"/>
              </w:rPr>
              <w:t xml:space="preserve"> sur les récents avancements au titre du Traité international sur les ressources phytogénétiques pour l’alimentation et l’agriculture pertinents pour la Convention sur la diversité biologique et son Protocole de Nagoya sur l’accès et le partage juste et équitable des avantages découlant de leur utilisation</w:t>
            </w:r>
          </w:p>
        </w:tc>
        <w:tc>
          <w:tcPr>
            <w:tcW w:w="2449" w:type="dxa"/>
            <w:tcBorders>
              <w:top w:val="single" w:sz="4" w:space="0" w:color="auto"/>
              <w:left w:val="single" w:sz="4" w:space="0" w:color="auto"/>
              <w:bottom w:val="single" w:sz="4" w:space="0" w:color="auto"/>
              <w:right w:val="single" w:sz="4" w:space="0" w:color="auto"/>
            </w:tcBorders>
          </w:tcPr>
          <w:p w14:paraId="53657F3D"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Secrétariat du Traité international sur les ressources phytogénétiques pour l’alimentation et l’agriculture</w:t>
            </w:r>
          </w:p>
        </w:tc>
        <w:tc>
          <w:tcPr>
            <w:tcW w:w="991" w:type="dxa"/>
            <w:tcBorders>
              <w:top w:val="single" w:sz="4" w:space="0" w:color="auto"/>
              <w:left w:val="single" w:sz="4" w:space="0" w:color="auto"/>
              <w:bottom w:val="single" w:sz="4" w:space="0" w:color="auto"/>
              <w:right w:val="single" w:sz="4" w:space="0" w:color="auto"/>
            </w:tcBorders>
          </w:tcPr>
          <w:p w14:paraId="77CF3BAC"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9, 11, 13 et 23</w:t>
            </w:r>
          </w:p>
        </w:tc>
      </w:tr>
      <w:tr w:rsidR="00A57384" w:rsidRPr="00476DFE" w14:paraId="04FA26F9" w14:textId="77777777" w:rsidTr="009D41A0">
        <w:tc>
          <w:tcPr>
            <w:tcW w:w="2234" w:type="dxa"/>
            <w:tcBorders>
              <w:top w:val="single" w:sz="4" w:space="0" w:color="auto"/>
              <w:left w:val="single" w:sz="4" w:space="0" w:color="auto"/>
              <w:bottom w:val="single" w:sz="4" w:space="0" w:color="auto"/>
              <w:right w:val="single" w:sz="4" w:space="0" w:color="auto"/>
            </w:tcBorders>
          </w:tcPr>
          <w:p w14:paraId="4BBDB719" w14:textId="145800C5" w:rsidR="00A57384" w:rsidRPr="00476DFE" w:rsidRDefault="00A57384" w:rsidP="009B410E">
            <w:pPr>
              <w:snapToGrid w:val="0"/>
              <w:spacing w:before="120" w:after="120"/>
              <w:jc w:val="left"/>
              <w:rPr>
                <w:rFonts w:asciiTheme="majorBidi" w:hAnsiTheme="majorBidi" w:cstheme="majorBidi"/>
              </w:rPr>
            </w:pPr>
            <w:r>
              <w:t>CBD/COP/16/INF/21</w:t>
            </w:r>
          </w:p>
        </w:tc>
        <w:tc>
          <w:tcPr>
            <w:tcW w:w="3676" w:type="dxa"/>
            <w:tcBorders>
              <w:top w:val="single" w:sz="4" w:space="0" w:color="auto"/>
              <w:left w:val="single" w:sz="4" w:space="0" w:color="auto"/>
              <w:bottom w:val="single" w:sz="4" w:space="0" w:color="auto"/>
              <w:right w:val="single" w:sz="4" w:space="0" w:color="auto"/>
            </w:tcBorders>
          </w:tcPr>
          <w:p w14:paraId="48262887" w14:textId="4C2FC9AE" w:rsidR="00A57384" w:rsidRPr="00476DFE" w:rsidRDefault="00955845" w:rsidP="00955845">
            <w:pPr>
              <w:snapToGrid w:val="0"/>
              <w:spacing w:before="120" w:after="120"/>
              <w:jc w:val="left"/>
              <w:rPr>
                <w:rFonts w:asciiTheme="majorBidi" w:hAnsiTheme="majorBidi" w:cstheme="majorBidi"/>
              </w:rPr>
            </w:pPr>
            <w:r>
              <w:rPr>
                <w:rFonts w:asciiTheme="majorBidi" w:hAnsiTheme="majorBidi"/>
              </w:rPr>
              <w:t>Pollution au mercure et biodiversité : a</w:t>
            </w:r>
            <w:r w:rsidR="00A57384">
              <w:rPr>
                <w:rFonts w:asciiTheme="majorBidi" w:hAnsiTheme="majorBidi"/>
              </w:rPr>
              <w:t>pports de la Convention de Minamata sur le mercure au Cadre mondial de la biodiversité de Kunming-Montréal</w:t>
            </w:r>
          </w:p>
        </w:tc>
        <w:tc>
          <w:tcPr>
            <w:tcW w:w="2449" w:type="dxa"/>
            <w:tcBorders>
              <w:top w:val="single" w:sz="4" w:space="0" w:color="auto"/>
              <w:left w:val="single" w:sz="4" w:space="0" w:color="auto"/>
              <w:bottom w:val="single" w:sz="4" w:space="0" w:color="auto"/>
              <w:right w:val="single" w:sz="4" w:space="0" w:color="auto"/>
            </w:tcBorders>
          </w:tcPr>
          <w:p w14:paraId="7AED92D7"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Secrétariat de la Convention de Minamata sur le mercure</w:t>
            </w:r>
          </w:p>
        </w:tc>
        <w:tc>
          <w:tcPr>
            <w:tcW w:w="991" w:type="dxa"/>
            <w:tcBorders>
              <w:top w:val="single" w:sz="4" w:space="0" w:color="auto"/>
              <w:left w:val="single" w:sz="4" w:space="0" w:color="auto"/>
              <w:bottom w:val="single" w:sz="4" w:space="0" w:color="auto"/>
              <w:right w:val="single" w:sz="4" w:space="0" w:color="auto"/>
            </w:tcBorders>
          </w:tcPr>
          <w:p w14:paraId="07272D1B"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13 et 17</w:t>
            </w:r>
          </w:p>
        </w:tc>
      </w:tr>
      <w:tr w:rsidR="00A57384" w:rsidRPr="00476DFE" w14:paraId="1BA34640" w14:textId="77777777" w:rsidTr="009D41A0">
        <w:tc>
          <w:tcPr>
            <w:tcW w:w="2234" w:type="dxa"/>
            <w:tcBorders>
              <w:top w:val="single" w:sz="4" w:space="0" w:color="auto"/>
              <w:left w:val="single" w:sz="4" w:space="0" w:color="auto"/>
              <w:bottom w:val="single" w:sz="4" w:space="0" w:color="auto"/>
              <w:right w:val="single" w:sz="4" w:space="0" w:color="auto"/>
            </w:tcBorders>
          </w:tcPr>
          <w:p w14:paraId="0BB5E0D9" w14:textId="0F225405" w:rsidR="00A57384" w:rsidRPr="00476DFE" w:rsidRDefault="00A57384" w:rsidP="009B410E">
            <w:pPr>
              <w:snapToGrid w:val="0"/>
              <w:spacing w:before="120" w:after="120"/>
              <w:jc w:val="left"/>
            </w:pPr>
            <w:r>
              <w:t>CBD/COP/16/INF/22</w:t>
            </w:r>
          </w:p>
        </w:tc>
        <w:tc>
          <w:tcPr>
            <w:tcW w:w="3676" w:type="dxa"/>
            <w:tcBorders>
              <w:top w:val="single" w:sz="4" w:space="0" w:color="auto"/>
              <w:left w:val="single" w:sz="4" w:space="0" w:color="auto"/>
              <w:bottom w:val="single" w:sz="4" w:space="0" w:color="auto"/>
              <w:right w:val="single" w:sz="4" w:space="0" w:color="auto"/>
            </w:tcBorders>
          </w:tcPr>
          <w:p w14:paraId="5B7F95C2"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Apports des Conventions de Bâle, de Rotterdam et de Stockholm à l’appui du Cadre mondial de la biodiversité de Kunming-Montréal : étude de la gestion écologique des produits chimiques et des déchets dans le but de prévenir et réduire l’appauvrissement de la biodiversité</w:t>
            </w:r>
          </w:p>
        </w:tc>
        <w:tc>
          <w:tcPr>
            <w:tcW w:w="2449" w:type="dxa"/>
            <w:tcBorders>
              <w:top w:val="single" w:sz="4" w:space="0" w:color="auto"/>
              <w:left w:val="single" w:sz="4" w:space="0" w:color="auto"/>
              <w:bottom w:val="single" w:sz="4" w:space="0" w:color="auto"/>
              <w:right w:val="single" w:sz="4" w:space="0" w:color="auto"/>
            </w:tcBorders>
          </w:tcPr>
          <w:p w14:paraId="48A124C5"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Secrétariats des Conventions de Bâle, de Rotterdam et de Stockholm</w:t>
            </w:r>
          </w:p>
        </w:tc>
        <w:tc>
          <w:tcPr>
            <w:tcW w:w="991" w:type="dxa"/>
            <w:tcBorders>
              <w:top w:val="single" w:sz="4" w:space="0" w:color="auto"/>
              <w:left w:val="single" w:sz="4" w:space="0" w:color="auto"/>
              <w:bottom w:val="single" w:sz="4" w:space="0" w:color="auto"/>
              <w:right w:val="single" w:sz="4" w:space="0" w:color="auto"/>
            </w:tcBorders>
          </w:tcPr>
          <w:p w14:paraId="690C659E"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13</w:t>
            </w:r>
          </w:p>
        </w:tc>
      </w:tr>
      <w:tr w:rsidR="00A57384" w:rsidRPr="00476DFE" w14:paraId="69ECB0FB" w14:textId="77777777" w:rsidTr="009D41A0">
        <w:tc>
          <w:tcPr>
            <w:tcW w:w="2234" w:type="dxa"/>
            <w:tcBorders>
              <w:top w:val="single" w:sz="4" w:space="0" w:color="auto"/>
              <w:left w:val="single" w:sz="4" w:space="0" w:color="auto"/>
              <w:bottom w:val="single" w:sz="4" w:space="0" w:color="auto"/>
              <w:right w:val="single" w:sz="4" w:space="0" w:color="auto"/>
            </w:tcBorders>
          </w:tcPr>
          <w:p w14:paraId="61CAD5A5" w14:textId="32FDFE1D" w:rsidR="00A57384" w:rsidRPr="00476DFE" w:rsidRDefault="00A57384" w:rsidP="009B410E">
            <w:pPr>
              <w:snapToGrid w:val="0"/>
              <w:spacing w:before="120" w:after="120"/>
              <w:jc w:val="left"/>
              <w:rPr>
                <w:rFonts w:asciiTheme="majorBidi" w:hAnsiTheme="majorBidi" w:cstheme="majorBidi"/>
              </w:rPr>
            </w:pPr>
            <w:r>
              <w:t>CBD/COP/16/INF/23</w:t>
            </w:r>
          </w:p>
        </w:tc>
        <w:tc>
          <w:tcPr>
            <w:tcW w:w="3676" w:type="dxa"/>
            <w:tcBorders>
              <w:top w:val="single" w:sz="4" w:space="0" w:color="auto"/>
              <w:left w:val="single" w:sz="4" w:space="0" w:color="auto"/>
              <w:bottom w:val="single" w:sz="4" w:space="0" w:color="auto"/>
              <w:right w:val="single" w:sz="4" w:space="0" w:color="auto"/>
            </w:tcBorders>
          </w:tcPr>
          <w:p w14:paraId="3D731753" w14:textId="25B77D2D"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Cadre de la biodiversité des Carpates</w:t>
            </w:r>
            <w:r w:rsidR="001E2410">
              <w:rPr>
                <w:rFonts w:asciiTheme="majorBidi" w:hAnsiTheme="majorBidi"/>
              </w:rPr>
              <w:t> </w:t>
            </w:r>
            <w:r>
              <w:rPr>
                <w:rFonts w:asciiTheme="majorBidi" w:hAnsiTheme="majorBidi"/>
              </w:rPr>
              <w:t>: un instrument régional pour renforcer la mise en œuvre du Cadre mondial de la biodiversité de Kunming-Montréal et intégrer la conservation de la biodiversité</w:t>
            </w:r>
          </w:p>
        </w:tc>
        <w:tc>
          <w:tcPr>
            <w:tcW w:w="2449" w:type="dxa"/>
            <w:tcBorders>
              <w:top w:val="single" w:sz="4" w:space="0" w:color="auto"/>
              <w:left w:val="single" w:sz="4" w:space="0" w:color="auto"/>
              <w:bottom w:val="single" w:sz="4" w:space="0" w:color="auto"/>
              <w:right w:val="single" w:sz="4" w:space="0" w:color="auto"/>
            </w:tcBorders>
          </w:tcPr>
          <w:p w14:paraId="035292B7"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 xml:space="preserve">Secrétariat de la Convention-cadre sur la protection et le développement durable des Carpates </w:t>
            </w:r>
          </w:p>
        </w:tc>
        <w:tc>
          <w:tcPr>
            <w:tcW w:w="991" w:type="dxa"/>
            <w:tcBorders>
              <w:top w:val="single" w:sz="4" w:space="0" w:color="auto"/>
              <w:left w:val="single" w:sz="4" w:space="0" w:color="auto"/>
              <w:bottom w:val="single" w:sz="4" w:space="0" w:color="auto"/>
              <w:right w:val="single" w:sz="4" w:space="0" w:color="auto"/>
            </w:tcBorders>
          </w:tcPr>
          <w:p w14:paraId="11D31581" w14:textId="77777777" w:rsidR="00A57384" w:rsidRPr="00476DFE" w:rsidRDefault="00A57384" w:rsidP="009B410E">
            <w:pPr>
              <w:snapToGrid w:val="0"/>
              <w:spacing w:before="120" w:after="120"/>
              <w:jc w:val="left"/>
              <w:rPr>
                <w:rFonts w:asciiTheme="majorBidi" w:hAnsiTheme="majorBidi" w:cstheme="majorBidi"/>
              </w:rPr>
            </w:pPr>
            <w:r>
              <w:rPr>
                <w:rFonts w:asciiTheme="majorBidi" w:hAnsiTheme="majorBidi"/>
              </w:rPr>
              <w:t>13</w:t>
            </w:r>
          </w:p>
        </w:tc>
      </w:tr>
    </w:tbl>
    <w:p w14:paraId="0208A6A3" w14:textId="7DE46C9F" w:rsidR="0079152D" w:rsidRPr="00476DFE" w:rsidRDefault="00A57384" w:rsidP="009D41A0">
      <w:pPr>
        <w:pStyle w:val="Para2"/>
        <w:ind w:left="0"/>
        <w:jc w:val="center"/>
      </w:pPr>
      <w:r>
        <w:t>__________</w:t>
      </w:r>
    </w:p>
    <w:sectPr w:rsidR="0079152D" w:rsidRPr="00476DFE" w:rsidSect="00595A7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237405" w14:textId="77777777" w:rsidR="00586C05" w:rsidRPr="00476DFE" w:rsidRDefault="00586C05" w:rsidP="00A96B21">
      <w:r w:rsidRPr="00476DFE">
        <w:separator/>
      </w:r>
    </w:p>
  </w:endnote>
  <w:endnote w:type="continuationSeparator" w:id="0">
    <w:p w14:paraId="65B40E4C" w14:textId="77777777" w:rsidR="00586C05" w:rsidRPr="00476DFE" w:rsidRDefault="00586C05" w:rsidP="00A96B21">
      <w:r w:rsidRPr="00476D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5CA96C9" w14:textId="77777777" w:rsidR="009B410E" w:rsidRPr="00476DFE" w:rsidRDefault="009B410E">
            <w:pPr>
              <w:pStyle w:val="Footer"/>
            </w:pPr>
            <w:r w:rsidRPr="00476DFE">
              <w:rPr>
                <w:szCs w:val="20"/>
              </w:rPr>
              <w:fldChar w:fldCharType="begin"/>
            </w:r>
            <w:r w:rsidRPr="00476DFE">
              <w:rPr>
                <w:szCs w:val="20"/>
              </w:rPr>
              <w:instrText xml:space="preserve"> PAGE </w:instrText>
            </w:r>
            <w:r w:rsidRPr="00476DFE">
              <w:rPr>
                <w:szCs w:val="20"/>
              </w:rPr>
              <w:fldChar w:fldCharType="separate"/>
            </w:r>
            <w:r w:rsidR="00AD21EF">
              <w:rPr>
                <w:noProof/>
                <w:szCs w:val="20"/>
              </w:rPr>
              <w:t>10</w:t>
            </w:r>
            <w:r w:rsidRPr="00476DFE">
              <w:rPr>
                <w:szCs w:val="20"/>
              </w:rPr>
              <w:fldChar w:fldCharType="end"/>
            </w:r>
            <w:r>
              <w:t>/</w:t>
            </w:r>
            <w:r w:rsidRPr="00476DFE">
              <w:rPr>
                <w:szCs w:val="20"/>
              </w:rPr>
              <w:fldChar w:fldCharType="begin"/>
            </w:r>
            <w:r w:rsidRPr="00476DFE">
              <w:rPr>
                <w:szCs w:val="20"/>
              </w:rPr>
              <w:instrText xml:space="preserve"> NUMPAGES  </w:instrText>
            </w:r>
            <w:r w:rsidRPr="00476DFE">
              <w:rPr>
                <w:szCs w:val="20"/>
              </w:rPr>
              <w:fldChar w:fldCharType="separate"/>
            </w:r>
            <w:r w:rsidR="00AD21EF">
              <w:rPr>
                <w:noProof/>
                <w:szCs w:val="20"/>
              </w:rPr>
              <w:t>11</w:t>
            </w:r>
            <w:r w:rsidRPr="00476DF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71EC5C4" w14:textId="77777777" w:rsidR="009B410E" w:rsidRPr="00476DFE" w:rsidRDefault="009B410E" w:rsidP="002B559C">
            <w:pPr>
              <w:pStyle w:val="Footer"/>
              <w:jc w:val="right"/>
            </w:pPr>
            <w:r w:rsidRPr="00476DFE">
              <w:rPr>
                <w:szCs w:val="20"/>
              </w:rPr>
              <w:fldChar w:fldCharType="begin"/>
            </w:r>
            <w:r w:rsidRPr="00476DFE">
              <w:rPr>
                <w:szCs w:val="20"/>
              </w:rPr>
              <w:instrText xml:space="preserve"> PAGE </w:instrText>
            </w:r>
            <w:r w:rsidRPr="00476DFE">
              <w:rPr>
                <w:szCs w:val="20"/>
              </w:rPr>
              <w:fldChar w:fldCharType="separate"/>
            </w:r>
            <w:r w:rsidR="00AD21EF">
              <w:rPr>
                <w:noProof/>
                <w:szCs w:val="20"/>
              </w:rPr>
              <w:t>11</w:t>
            </w:r>
            <w:r w:rsidRPr="00476DFE">
              <w:rPr>
                <w:szCs w:val="20"/>
              </w:rPr>
              <w:fldChar w:fldCharType="end"/>
            </w:r>
            <w:r>
              <w:t>/</w:t>
            </w:r>
            <w:r w:rsidRPr="00476DFE">
              <w:rPr>
                <w:szCs w:val="20"/>
              </w:rPr>
              <w:fldChar w:fldCharType="begin"/>
            </w:r>
            <w:r w:rsidRPr="00476DFE">
              <w:rPr>
                <w:szCs w:val="20"/>
              </w:rPr>
              <w:instrText xml:space="preserve"> NUMPAGES  </w:instrText>
            </w:r>
            <w:r w:rsidRPr="00476DFE">
              <w:rPr>
                <w:szCs w:val="20"/>
              </w:rPr>
              <w:fldChar w:fldCharType="separate"/>
            </w:r>
            <w:r w:rsidR="00AD21EF">
              <w:rPr>
                <w:noProof/>
                <w:szCs w:val="20"/>
              </w:rPr>
              <w:t>11</w:t>
            </w:r>
            <w:r w:rsidRPr="00476DFE">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D357A" w14:textId="77777777" w:rsidR="00D95568" w:rsidRDefault="00D955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C0D40F" w14:textId="77777777" w:rsidR="00586C05" w:rsidRPr="00476DFE" w:rsidRDefault="00586C05" w:rsidP="00A96B21">
      <w:r w:rsidRPr="00476DFE">
        <w:separator/>
      </w:r>
    </w:p>
  </w:footnote>
  <w:footnote w:type="continuationSeparator" w:id="0">
    <w:p w14:paraId="7C6AE396" w14:textId="77777777" w:rsidR="00586C05" w:rsidRPr="00476DFE" w:rsidRDefault="00586C05" w:rsidP="00A96B21">
      <w:r w:rsidRPr="00476DFE">
        <w:continuationSeparator/>
      </w:r>
    </w:p>
  </w:footnote>
  <w:footnote w:id="1">
    <w:p w14:paraId="24D17D05" w14:textId="77777777" w:rsidR="009B410E" w:rsidRPr="00476DFE" w:rsidRDefault="009B410E" w:rsidP="00D71FFB">
      <w:pPr>
        <w:pStyle w:val="Footnote"/>
      </w:pPr>
      <w:r>
        <w:rPr>
          <w:rStyle w:val="FootnoteReference"/>
        </w:rPr>
        <w:t>*</w:t>
      </w:r>
      <w:r>
        <w:t xml:space="preserve"> CBD/COP/16/1.</w:t>
      </w:r>
    </w:p>
  </w:footnote>
  <w:footnote w:id="2">
    <w:p w14:paraId="08685AE2" w14:textId="4FB3435A" w:rsidR="009B410E" w:rsidRPr="00476DFE" w:rsidRDefault="009B410E" w:rsidP="00E05528">
      <w:pPr>
        <w:pStyle w:val="FootnoteText"/>
      </w:pPr>
      <w:r>
        <w:rPr>
          <w:rStyle w:val="FootnoteReference"/>
        </w:rPr>
        <w:footnoteRef/>
      </w:r>
      <w:r>
        <w:t xml:space="preserve"> CBD/SBI/4/10</w:t>
      </w:r>
      <w:r w:rsidR="001E2410">
        <w:t> </w:t>
      </w:r>
      <w:r>
        <w:t>; et CBD/SBI/4/INF/4, CBD/SBI/4/INF/13, CBD/SBI/4/INF/14 et CBD/SBI/4/INF/15, respectivement.</w:t>
      </w:r>
    </w:p>
  </w:footnote>
  <w:footnote w:id="3">
    <w:p w14:paraId="0199DAC6" w14:textId="2FADD9E6" w:rsidR="009B410E" w:rsidRPr="005519A3" w:rsidRDefault="009B410E">
      <w:pPr>
        <w:pStyle w:val="FootnoteText"/>
      </w:pPr>
      <w:r>
        <w:rPr>
          <w:rStyle w:val="FootnoteReference"/>
        </w:rPr>
        <w:footnoteRef/>
      </w:r>
      <w:r>
        <w:t xml:space="preserve"> Voir la recommandation 4/9 de l’Organe subsidiaire chargé de l’application.</w:t>
      </w:r>
    </w:p>
  </w:footnote>
  <w:footnote w:id="4">
    <w:p w14:paraId="2D7206AC" w14:textId="40046D4D" w:rsidR="000A2719" w:rsidRPr="009D41A0" w:rsidRDefault="000A2719">
      <w:pPr>
        <w:pStyle w:val="FootnoteText"/>
      </w:pPr>
      <w:r>
        <w:rPr>
          <w:rStyle w:val="FootnoteReference"/>
        </w:rPr>
        <w:footnoteRef/>
      </w:r>
      <w:r>
        <w:t xml:space="preserve"> CBD/COP/16/2</w:t>
      </w:r>
      <w:r w:rsidR="002914DE">
        <w:t>/Rev.1</w:t>
      </w:r>
      <w:r>
        <w:t>.</w:t>
      </w:r>
    </w:p>
  </w:footnote>
  <w:footnote w:id="5">
    <w:p w14:paraId="2039A275" w14:textId="3B8D1456" w:rsidR="009B410E" w:rsidRPr="005519A3" w:rsidRDefault="009B410E">
      <w:pPr>
        <w:pStyle w:val="FootnoteText"/>
      </w:pPr>
      <w:r>
        <w:rPr>
          <w:rStyle w:val="FootnoteReference"/>
        </w:rPr>
        <w:footnoteRef/>
      </w:r>
      <w:r>
        <w:t xml:space="preserve"> Voir la recommandation 4/9 de l’Organe subsidiaire chargé de l’application.</w:t>
      </w:r>
    </w:p>
  </w:footnote>
  <w:footnote w:id="6">
    <w:p w14:paraId="1DC610BD" w14:textId="00B4B35B" w:rsidR="009B410E" w:rsidRPr="00476DFE" w:rsidRDefault="009B410E" w:rsidP="00C339A6">
      <w:pPr>
        <w:pStyle w:val="FootnoteText"/>
      </w:pPr>
      <w:r>
        <w:rPr>
          <w:rStyle w:val="FootnoteReference"/>
        </w:rPr>
        <w:footnoteRef/>
      </w:r>
      <w:r>
        <w:t xml:space="preserve"> Décrit dans les documents</w:t>
      </w:r>
      <w:r w:rsidR="001E2410">
        <w:t> </w:t>
      </w:r>
      <w:hyperlink r:id="rId1" w:history="1">
        <w:r>
          <w:rPr>
            <w:rStyle w:val="Hyperlink"/>
          </w:rPr>
          <w:t>CBD/SBI/4/10</w:t>
        </w:r>
      </w:hyperlink>
      <w:r>
        <w:t xml:space="preserve"> et </w:t>
      </w:r>
      <w:hyperlink r:id="rId2" w:history="1">
        <w:r>
          <w:rPr>
            <w:rStyle w:val="Hyperlink"/>
          </w:rPr>
          <w:t>CBD/SBI/4/7/Add.3</w:t>
        </w:r>
      </w:hyperlink>
      <w:r>
        <w:t>.</w:t>
      </w:r>
    </w:p>
  </w:footnote>
  <w:footnote w:id="7">
    <w:p w14:paraId="6C1C2680" w14:textId="39CAB544" w:rsidR="009B410E" w:rsidRPr="00476DFE" w:rsidRDefault="009B410E">
      <w:pPr>
        <w:pStyle w:val="FootnoteText"/>
      </w:pPr>
      <w:r>
        <w:rPr>
          <w:rStyle w:val="FootnoteReference"/>
        </w:rPr>
        <w:footnoteRef/>
      </w:r>
      <w:r>
        <w:t xml:space="preserve"> Un enregistrement du premier webinaire, ainsi que les présentations faites pendant le webinaire, </w:t>
      </w:r>
      <w:r w:rsidR="001E2410">
        <w:t>es</w:t>
      </w:r>
      <w:r>
        <w:t xml:space="preserve">t accessible à l’adresse </w:t>
      </w:r>
      <w:hyperlink r:id="rId3" w:history="1">
        <w:r>
          <w:rPr>
            <w:rStyle w:val="Hyperlink"/>
          </w:rPr>
          <w:t>https://unfccc.int/event/building-synergies-between-the-three-rio-conventions-unfccc-cbd-and-unccd</w:t>
        </w:r>
      </w:hyperlink>
      <w:r>
        <w:t>.</w:t>
      </w:r>
    </w:p>
  </w:footnote>
  <w:footnote w:id="8">
    <w:p w14:paraId="298AB315" w14:textId="3EC28A82" w:rsidR="00024E95" w:rsidRPr="009D41A0" w:rsidRDefault="00024E95">
      <w:pPr>
        <w:pStyle w:val="FootnoteText"/>
      </w:pPr>
      <w:r>
        <w:rPr>
          <w:rStyle w:val="FootnoteReference"/>
        </w:rPr>
        <w:footnoteRef/>
      </w:r>
      <w:r>
        <w:t xml:space="preserve"> Décision 15/13 de la Conférence des Parties, paragraphe</w:t>
      </w:r>
      <w:r w:rsidR="001E2410">
        <w:t> </w:t>
      </w:r>
      <w:r>
        <w:t>9.</w:t>
      </w:r>
    </w:p>
  </w:footnote>
  <w:footnote w:id="9">
    <w:p w14:paraId="5C5CB362" w14:textId="20E403A4" w:rsidR="00403E70" w:rsidRPr="009D41A0" w:rsidRDefault="00403E70">
      <w:pPr>
        <w:pStyle w:val="FootnoteText"/>
      </w:pPr>
      <w:r>
        <w:rPr>
          <w:rStyle w:val="FootnoteReference"/>
        </w:rPr>
        <w:footnoteRef/>
      </w:r>
      <w:r>
        <w:t xml:space="preserve"> Ibid., paragraphe</w:t>
      </w:r>
      <w:r w:rsidR="001E2410">
        <w:t> </w:t>
      </w:r>
      <w:r>
        <w:t>14.</w:t>
      </w:r>
    </w:p>
  </w:footnote>
  <w:footnote w:id="10">
    <w:p w14:paraId="290F3DCD" w14:textId="77777777" w:rsidR="001E2410" w:rsidRPr="00476DFE" w:rsidRDefault="001E2410" w:rsidP="001E2410">
      <w:pPr>
        <w:pStyle w:val="FootnoteText"/>
      </w:pPr>
      <w:r>
        <w:rPr>
          <w:rStyle w:val="FootnoteReference"/>
        </w:rPr>
        <w:footnoteRef/>
      </w:r>
      <w:r>
        <w:t xml:space="preserve"> CBD/SBI/4/10 et CBD/SBI/4/INF/4.</w:t>
      </w:r>
    </w:p>
  </w:footnote>
  <w:footnote w:id="11">
    <w:p w14:paraId="75C2A730" w14:textId="504412BA" w:rsidR="009B410E" w:rsidRPr="00AF1EB7" w:rsidRDefault="009B410E" w:rsidP="007B6A52">
      <w:pPr>
        <w:pStyle w:val="FootnoteText"/>
        <w:rPr>
          <w:lang w:val="es-ES"/>
        </w:rPr>
      </w:pPr>
      <w:r>
        <w:rPr>
          <w:rStyle w:val="FootnoteReference"/>
        </w:rPr>
        <w:footnoteRef/>
      </w:r>
      <w:r w:rsidRPr="00AF1EB7">
        <w:rPr>
          <w:lang w:val="es-ES"/>
        </w:rPr>
        <w:t xml:space="preserve"> Gobierno de México, Secretaría de Relaciones Exteriores, </w:t>
      </w:r>
      <w:hyperlink r:id="rId4" w:history="1">
        <w:r w:rsidRPr="00AF1EB7">
          <w:rPr>
            <w:rStyle w:val="Hyperlink"/>
            <w:lang w:val="es-ES"/>
          </w:rPr>
          <w:t>Encuentro nacional para implementar el Marco Mundial de Biodiversidad mediante Acuerdos Multilaterales Ambientales</w:t>
        </w:r>
      </w:hyperlink>
      <w:r w:rsidRPr="00AF1EB7">
        <w:rPr>
          <w:lang w:val="es-ES"/>
        </w:rPr>
        <w:t xml:space="preserve">,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5B144143" w14:textId="3A34050B" w:rsidR="009B410E" w:rsidRPr="009C67EC" w:rsidRDefault="00D95568" w:rsidP="009C67EC">
    <w:pPr>
      <w:pStyle w:val="Header"/>
      <w:spacing w:after="240"/>
      <w:rPr>
        <w:szCs w:val="20"/>
      </w:rPr>
    </w:pPr>
    <w:sdt>
      <w:sdtPr>
        <w:rPr>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Pr>
            <w:szCs w:val="20"/>
          </w:rPr>
          <w:t>CBD/COP/16/10</w:t>
        </w:r>
      </w:sdtContent>
    </w:sdt>
    <w:bookmarkEnd w:id="5"/>
    <w:bookmarkEnd w:id="6"/>
    <w:r>
      <w:rPr>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4E65CE" w14:textId="7B0A0923" w:rsidR="009B410E" w:rsidRPr="005519A3" w:rsidRDefault="00D95568" w:rsidP="002B559C">
    <w:pPr>
      <w:pStyle w:val="Header"/>
      <w:spacing w:after="240"/>
      <w:jc w:val="right"/>
      <w:rPr>
        <w:szCs w:val="20"/>
      </w:rPr>
    </w:pPr>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9C67EC">
          <w:rPr>
            <w:szCs w:val="20"/>
          </w:rPr>
          <w:t>CBD/COP/16/10</w:t>
        </w:r>
      </w:sdtContent>
    </w:sdt>
    <w:r w:rsidR="00AF1EB7">
      <w:rPr>
        <w:szCs w:val="20"/>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8E25C3" w14:textId="77777777" w:rsidR="00D95568" w:rsidRDefault="00D955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9A46D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E4A1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03825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A5A0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3C71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FC87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EA43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33422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5EA3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4E55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32104E"/>
    <w:multiLevelType w:val="hybridMultilevel"/>
    <w:tmpl w:val="C524AE40"/>
    <w:lvl w:ilvl="0" w:tplc="6F98AF1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5D943BEE"/>
    <w:multiLevelType w:val="multilevel"/>
    <w:tmpl w:val="222A08B4"/>
    <w:numStyleLink w:val="ListCBD"/>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607881650">
    <w:abstractNumId w:val="12"/>
  </w:num>
  <w:num w:numId="2" w16cid:durableId="543103041">
    <w:abstractNumId w:val="11"/>
  </w:num>
  <w:num w:numId="3" w16cid:durableId="1882784355">
    <w:abstractNumId w:val="13"/>
  </w:num>
  <w:num w:numId="4" w16cid:durableId="540749843">
    <w:abstractNumId w:val="14"/>
  </w:num>
  <w:num w:numId="5" w16cid:durableId="2011835068">
    <w:abstractNumId w:val="10"/>
  </w:num>
  <w:num w:numId="6" w16cid:durableId="1772700968">
    <w:abstractNumId w:val="9"/>
  </w:num>
  <w:num w:numId="7" w16cid:durableId="1971395149">
    <w:abstractNumId w:val="7"/>
  </w:num>
  <w:num w:numId="8" w16cid:durableId="1184324044">
    <w:abstractNumId w:val="6"/>
  </w:num>
  <w:num w:numId="9" w16cid:durableId="1983997475">
    <w:abstractNumId w:val="5"/>
  </w:num>
  <w:num w:numId="10" w16cid:durableId="1017851115">
    <w:abstractNumId w:val="4"/>
  </w:num>
  <w:num w:numId="11" w16cid:durableId="2135784751">
    <w:abstractNumId w:val="8"/>
  </w:num>
  <w:num w:numId="12" w16cid:durableId="1457792089">
    <w:abstractNumId w:val="3"/>
  </w:num>
  <w:num w:numId="13" w16cid:durableId="753552738">
    <w:abstractNumId w:val="2"/>
  </w:num>
  <w:num w:numId="14" w16cid:durableId="1231816049">
    <w:abstractNumId w:val="1"/>
  </w:num>
  <w:num w:numId="15" w16cid:durableId="1253782956">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2"/>
  <w:proofState w:spelling="clean" w:grammar="clean"/>
  <w:attachedTemplate r:id="rId1"/>
  <w:defaultTabStop w:val="720"/>
  <w:hyphenationZone w:val="425"/>
  <w:evenAndOddHeaders/>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F45"/>
    <w:rsid w:val="00001E78"/>
    <w:rsid w:val="00002771"/>
    <w:rsid w:val="00003682"/>
    <w:rsid w:val="0000549B"/>
    <w:rsid w:val="0001366A"/>
    <w:rsid w:val="000152C2"/>
    <w:rsid w:val="00017365"/>
    <w:rsid w:val="00017857"/>
    <w:rsid w:val="00020395"/>
    <w:rsid w:val="00020443"/>
    <w:rsid w:val="0002046B"/>
    <w:rsid w:val="00024E95"/>
    <w:rsid w:val="00024EFE"/>
    <w:rsid w:val="0002599B"/>
    <w:rsid w:val="00033B7F"/>
    <w:rsid w:val="00033D95"/>
    <w:rsid w:val="000365F3"/>
    <w:rsid w:val="00037672"/>
    <w:rsid w:val="00040598"/>
    <w:rsid w:val="000501EC"/>
    <w:rsid w:val="000503AE"/>
    <w:rsid w:val="00057889"/>
    <w:rsid w:val="00063590"/>
    <w:rsid w:val="000643F3"/>
    <w:rsid w:val="000716CE"/>
    <w:rsid w:val="00072BB0"/>
    <w:rsid w:val="00073AD1"/>
    <w:rsid w:val="000763A4"/>
    <w:rsid w:val="00077FB8"/>
    <w:rsid w:val="00083358"/>
    <w:rsid w:val="00085621"/>
    <w:rsid w:val="00091114"/>
    <w:rsid w:val="00091385"/>
    <w:rsid w:val="000A2719"/>
    <w:rsid w:val="000B12C6"/>
    <w:rsid w:val="000B1378"/>
    <w:rsid w:val="000B3497"/>
    <w:rsid w:val="000B3504"/>
    <w:rsid w:val="000C12EB"/>
    <w:rsid w:val="000C2F8B"/>
    <w:rsid w:val="000D29CA"/>
    <w:rsid w:val="000D2A09"/>
    <w:rsid w:val="000D7117"/>
    <w:rsid w:val="000D7E44"/>
    <w:rsid w:val="000F07CF"/>
    <w:rsid w:val="000F27E6"/>
    <w:rsid w:val="000F62ED"/>
    <w:rsid w:val="00103A82"/>
    <w:rsid w:val="00103E2F"/>
    <w:rsid w:val="001056C0"/>
    <w:rsid w:val="00106AA5"/>
    <w:rsid w:val="00107B51"/>
    <w:rsid w:val="00112E0F"/>
    <w:rsid w:val="00113C7B"/>
    <w:rsid w:val="001149CD"/>
    <w:rsid w:val="001156AC"/>
    <w:rsid w:val="0011578D"/>
    <w:rsid w:val="001202CB"/>
    <w:rsid w:val="0012151D"/>
    <w:rsid w:val="00132581"/>
    <w:rsid w:val="00132C09"/>
    <w:rsid w:val="001349C0"/>
    <w:rsid w:val="00134DE3"/>
    <w:rsid w:val="00135731"/>
    <w:rsid w:val="00135D8C"/>
    <w:rsid w:val="0013626B"/>
    <w:rsid w:val="00140122"/>
    <w:rsid w:val="0014102F"/>
    <w:rsid w:val="0014390B"/>
    <w:rsid w:val="001454DA"/>
    <w:rsid w:val="001472AC"/>
    <w:rsid w:val="001478D5"/>
    <w:rsid w:val="00152E19"/>
    <w:rsid w:val="00153CAB"/>
    <w:rsid w:val="001570CE"/>
    <w:rsid w:val="00162C3C"/>
    <w:rsid w:val="0017162E"/>
    <w:rsid w:val="0017211C"/>
    <w:rsid w:val="00172434"/>
    <w:rsid w:val="00172EA1"/>
    <w:rsid w:val="001763B9"/>
    <w:rsid w:val="00176B17"/>
    <w:rsid w:val="00184909"/>
    <w:rsid w:val="00184A3A"/>
    <w:rsid w:val="00190616"/>
    <w:rsid w:val="001956EE"/>
    <w:rsid w:val="00195724"/>
    <w:rsid w:val="001A2527"/>
    <w:rsid w:val="001A5F4A"/>
    <w:rsid w:val="001A6CC8"/>
    <w:rsid w:val="001B2D0D"/>
    <w:rsid w:val="001C0F7E"/>
    <w:rsid w:val="001C12F5"/>
    <w:rsid w:val="001C440C"/>
    <w:rsid w:val="001C6DB4"/>
    <w:rsid w:val="001C7D91"/>
    <w:rsid w:val="001D3C99"/>
    <w:rsid w:val="001D7501"/>
    <w:rsid w:val="001E2410"/>
    <w:rsid w:val="001E24CF"/>
    <w:rsid w:val="001E4478"/>
    <w:rsid w:val="001E499E"/>
    <w:rsid w:val="001E4D61"/>
    <w:rsid w:val="001E56B3"/>
    <w:rsid w:val="001E7365"/>
    <w:rsid w:val="001E7942"/>
    <w:rsid w:val="001F1F25"/>
    <w:rsid w:val="001F2632"/>
    <w:rsid w:val="001F3151"/>
    <w:rsid w:val="001F3B6A"/>
    <w:rsid w:val="001F4B7E"/>
    <w:rsid w:val="001F5D9D"/>
    <w:rsid w:val="001F62B1"/>
    <w:rsid w:val="001F7144"/>
    <w:rsid w:val="002013BA"/>
    <w:rsid w:val="002035F4"/>
    <w:rsid w:val="00211ACF"/>
    <w:rsid w:val="00211FD9"/>
    <w:rsid w:val="00215DA2"/>
    <w:rsid w:val="00221FA3"/>
    <w:rsid w:val="0022402D"/>
    <w:rsid w:val="00225890"/>
    <w:rsid w:val="002268F5"/>
    <w:rsid w:val="00227892"/>
    <w:rsid w:val="00227F61"/>
    <w:rsid w:val="002311B3"/>
    <w:rsid w:val="00231936"/>
    <w:rsid w:val="00232967"/>
    <w:rsid w:val="002350F4"/>
    <w:rsid w:val="00236560"/>
    <w:rsid w:val="00241AB5"/>
    <w:rsid w:val="002423BC"/>
    <w:rsid w:val="002449E5"/>
    <w:rsid w:val="00246BE9"/>
    <w:rsid w:val="00246FF6"/>
    <w:rsid w:val="00247898"/>
    <w:rsid w:val="00250CD2"/>
    <w:rsid w:val="00253B8C"/>
    <w:rsid w:val="00253F66"/>
    <w:rsid w:val="002550DD"/>
    <w:rsid w:val="00256C86"/>
    <w:rsid w:val="002645A7"/>
    <w:rsid w:val="00266D3C"/>
    <w:rsid w:val="0027353F"/>
    <w:rsid w:val="00273A21"/>
    <w:rsid w:val="002761C5"/>
    <w:rsid w:val="00280E83"/>
    <w:rsid w:val="00281987"/>
    <w:rsid w:val="002904B6"/>
    <w:rsid w:val="002914DE"/>
    <w:rsid w:val="0029516D"/>
    <w:rsid w:val="00296255"/>
    <w:rsid w:val="00297FBC"/>
    <w:rsid w:val="002A023C"/>
    <w:rsid w:val="002A0537"/>
    <w:rsid w:val="002A203E"/>
    <w:rsid w:val="002A2B98"/>
    <w:rsid w:val="002B00CA"/>
    <w:rsid w:val="002B17B3"/>
    <w:rsid w:val="002B22D7"/>
    <w:rsid w:val="002B32BC"/>
    <w:rsid w:val="002B559C"/>
    <w:rsid w:val="002B5BF4"/>
    <w:rsid w:val="002B5D08"/>
    <w:rsid w:val="002C244D"/>
    <w:rsid w:val="002C2FAA"/>
    <w:rsid w:val="002C77D4"/>
    <w:rsid w:val="002D4BC7"/>
    <w:rsid w:val="002D511C"/>
    <w:rsid w:val="002D6702"/>
    <w:rsid w:val="002D7839"/>
    <w:rsid w:val="002D7B61"/>
    <w:rsid w:val="002E2FCE"/>
    <w:rsid w:val="002F0AC4"/>
    <w:rsid w:val="002F4BB9"/>
    <w:rsid w:val="002F6F91"/>
    <w:rsid w:val="00300E87"/>
    <w:rsid w:val="00302190"/>
    <w:rsid w:val="00306804"/>
    <w:rsid w:val="00310608"/>
    <w:rsid w:val="00310BE4"/>
    <w:rsid w:val="00310E91"/>
    <w:rsid w:val="00311963"/>
    <w:rsid w:val="00323F22"/>
    <w:rsid w:val="003247E9"/>
    <w:rsid w:val="00324FB7"/>
    <w:rsid w:val="00326499"/>
    <w:rsid w:val="00326D24"/>
    <w:rsid w:val="003426D0"/>
    <w:rsid w:val="00342E20"/>
    <w:rsid w:val="003476A9"/>
    <w:rsid w:val="0034779A"/>
    <w:rsid w:val="003479D6"/>
    <w:rsid w:val="003506E8"/>
    <w:rsid w:val="003517DC"/>
    <w:rsid w:val="00352DCA"/>
    <w:rsid w:val="0035301E"/>
    <w:rsid w:val="00355347"/>
    <w:rsid w:val="0036270F"/>
    <w:rsid w:val="00363D7A"/>
    <w:rsid w:val="00364941"/>
    <w:rsid w:val="00364AD8"/>
    <w:rsid w:val="00366C84"/>
    <w:rsid w:val="003728F1"/>
    <w:rsid w:val="003765EE"/>
    <w:rsid w:val="00377121"/>
    <w:rsid w:val="0039556C"/>
    <w:rsid w:val="003A00E4"/>
    <w:rsid w:val="003A04A5"/>
    <w:rsid w:val="003A0852"/>
    <w:rsid w:val="003A3EF9"/>
    <w:rsid w:val="003A524A"/>
    <w:rsid w:val="003A6A36"/>
    <w:rsid w:val="003B0D82"/>
    <w:rsid w:val="003B3ACF"/>
    <w:rsid w:val="003B5904"/>
    <w:rsid w:val="003C28B1"/>
    <w:rsid w:val="003C6C00"/>
    <w:rsid w:val="003C6F10"/>
    <w:rsid w:val="003D25D8"/>
    <w:rsid w:val="003D3D94"/>
    <w:rsid w:val="003D4CC2"/>
    <w:rsid w:val="003D7AE8"/>
    <w:rsid w:val="003E25C3"/>
    <w:rsid w:val="003E52E0"/>
    <w:rsid w:val="003E7EBE"/>
    <w:rsid w:val="003F1301"/>
    <w:rsid w:val="003F1A5A"/>
    <w:rsid w:val="003F209E"/>
    <w:rsid w:val="003F7F41"/>
    <w:rsid w:val="00402520"/>
    <w:rsid w:val="00403A3B"/>
    <w:rsid w:val="00403E70"/>
    <w:rsid w:val="00405086"/>
    <w:rsid w:val="004076C1"/>
    <w:rsid w:val="00407A07"/>
    <w:rsid w:val="00412546"/>
    <w:rsid w:val="004163CF"/>
    <w:rsid w:val="004164CD"/>
    <w:rsid w:val="00417DBA"/>
    <w:rsid w:val="00421883"/>
    <w:rsid w:val="00423C42"/>
    <w:rsid w:val="00425BD8"/>
    <w:rsid w:val="0042717A"/>
    <w:rsid w:val="00430ACC"/>
    <w:rsid w:val="00431883"/>
    <w:rsid w:val="00433220"/>
    <w:rsid w:val="00433497"/>
    <w:rsid w:val="00441498"/>
    <w:rsid w:val="00444CD3"/>
    <w:rsid w:val="00445948"/>
    <w:rsid w:val="00446535"/>
    <w:rsid w:val="00446D7B"/>
    <w:rsid w:val="004506CA"/>
    <w:rsid w:val="00451124"/>
    <w:rsid w:val="00451231"/>
    <w:rsid w:val="004526C8"/>
    <w:rsid w:val="004558A6"/>
    <w:rsid w:val="004621E5"/>
    <w:rsid w:val="004644BA"/>
    <w:rsid w:val="004657D2"/>
    <w:rsid w:val="004701EE"/>
    <w:rsid w:val="004743A7"/>
    <w:rsid w:val="0047583E"/>
    <w:rsid w:val="00476DFE"/>
    <w:rsid w:val="00477D9F"/>
    <w:rsid w:val="0048048E"/>
    <w:rsid w:val="004807FE"/>
    <w:rsid w:val="00480A8D"/>
    <w:rsid w:val="00481C65"/>
    <w:rsid w:val="004852DC"/>
    <w:rsid w:val="004931C7"/>
    <w:rsid w:val="00494550"/>
    <w:rsid w:val="00495625"/>
    <w:rsid w:val="004964B7"/>
    <w:rsid w:val="00497A3B"/>
    <w:rsid w:val="004A2A2D"/>
    <w:rsid w:val="004A4A73"/>
    <w:rsid w:val="004A6633"/>
    <w:rsid w:val="004B011A"/>
    <w:rsid w:val="004B5AE1"/>
    <w:rsid w:val="004C2D5B"/>
    <w:rsid w:val="004C490A"/>
    <w:rsid w:val="004C65E6"/>
    <w:rsid w:val="004D4C88"/>
    <w:rsid w:val="004E6079"/>
    <w:rsid w:val="004E615B"/>
    <w:rsid w:val="004E78ED"/>
    <w:rsid w:val="004F49CA"/>
    <w:rsid w:val="004F7DA5"/>
    <w:rsid w:val="00501708"/>
    <w:rsid w:val="005029E1"/>
    <w:rsid w:val="0050311F"/>
    <w:rsid w:val="005033B1"/>
    <w:rsid w:val="005058A3"/>
    <w:rsid w:val="00506264"/>
    <w:rsid w:val="005129F9"/>
    <w:rsid w:val="0051763E"/>
    <w:rsid w:val="00521F16"/>
    <w:rsid w:val="00531247"/>
    <w:rsid w:val="00531C67"/>
    <w:rsid w:val="00531CAC"/>
    <w:rsid w:val="00537248"/>
    <w:rsid w:val="005519A3"/>
    <w:rsid w:val="00562B51"/>
    <w:rsid w:val="00567E69"/>
    <w:rsid w:val="0057052D"/>
    <w:rsid w:val="00574145"/>
    <w:rsid w:val="00577F43"/>
    <w:rsid w:val="005821A8"/>
    <w:rsid w:val="00583C8C"/>
    <w:rsid w:val="0058603C"/>
    <w:rsid w:val="00586120"/>
    <w:rsid w:val="00586C05"/>
    <w:rsid w:val="005908DE"/>
    <w:rsid w:val="00592720"/>
    <w:rsid w:val="00595026"/>
    <w:rsid w:val="00595A79"/>
    <w:rsid w:val="00597372"/>
    <w:rsid w:val="005A0278"/>
    <w:rsid w:val="005A206E"/>
    <w:rsid w:val="005B13F8"/>
    <w:rsid w:val="005B3E1D"/>
    <w:rsid w:val="005B4A50"/>
    <w:rsid w:val="005B58A4"/>
    <w:rsid w:val="005C0058"/>
    <w:rsid w:val="005C01B8"/>
    <w:rsid w:val="005C192E"/>
    <w:rsid w:val="005C77C6"/>
    <w:rsid w:val="005C7898"/>
    <w:rsid w:val="005D086F"/>
    <w:rsid w:val="005D1E45"/>
    <w:rsid w:val="005D3360"/>
    <w:rsid w:val="005E2012"/>
    <w:rsid w:val="005E2605"/>
    <w:rsid w:val="005E6233"/>
    <w:rsid w:val="005F3072"/>
    <w:rsid w:val="006008D3"/>
    <w:rsid w:val="00602268"/>
    <w:rsid w:val="00603E3E"/>
    <w:rsid w:val="006105CD"/>
    <w:rsid w:val="006112D3"/>
    <w:rsid w:val="006119D1"/>
    <w:rsid w:val="00621C86"/>
    <w:rsid w:val="0062212C"/>
    <w:rsid w:val="00622751"/>
    <w:rsid w:val="00622935"/>
    <w:rsid w:val="00625C45"/>
    <w:rsid w:val="006277DA"/>
    <w:rsid w:val="00627EA1"/>
    <w:rsid w:val="00631DBB"/>
    <w:rsid w:val="00633343"/>
    <w:rsid w:val="00641B39"/>
    <w:rsid w:val="00643E00"/>
    <w:rsid w:val="00646453"/>
    <w:rsid w:val="00651C2D"/>
    <w:rsid w:val="00656758"/>
    <w:rsid w:val="00657ED6"/>
    <w:rsid w:val="00664861"/>
    <w:rsid w:val="00665266"/>
    <w:rsid w:val="00667BA4"/>
    <w:rsid w:val="006700DC"/>
    <w:rsid w:val="006710A3"/>
    <w:rsid w:val="006723C8"/>
    <w:rsid w:val="00687CF3"/>
    <w:rsid w:val="00687EF3"/>
    <w:rsid w:val="00690C26"/>
    <w:rsid w:val="006918CA"/>
    <w:rsid w:val="00694301"/>
    <w:rsid w:val="00696918"/>
    <w:rsid w:val="00697FDB"/>
    <w:rsid w:val="006A11CB"/>
    <w:rsid w:val="006A56CA"/>
    <w:rsid w:val="006A7E64"/>
    <w:rsid w:val="006B293D"/>
    <w:rsid w:val="006B3CB3"/>
    <w:rsid w:val="006B5A04"/>
    <w:rsid w:val="006C0B2C"/>
    <w:rsid w:val="006C2430"/>
    <w:rsid w:val="006C701A"/>
    <w:rsid w:val="006C73CD"/>
    <w:rsid w:val="006D2FB0"/>
    <w:rsid w:val="006E33C1"/>
    <w:rsid w:val="006E430C"/>
    <w:rsid w:val="006E6CD4"/>
    <w:rsid w:val="006F098B"/>
    <w:rsid w:val="006F33B0"/>
    <w:rsid w:val="006F453D"/>
    <w:rsid w:val="006F505F"/>
    <w:rsid w:val="006F59B7"/>
    <w:rsid w:val="00701663"/>
    <w:rsid w:val="0070487A"/>
    <w:rsid w:val="007068A4"/>
    <w:rsid w:val="00710753"/>
    <w:rsid w:val="00720551"/>
    <w:rsid w:val="00721AB8"/>
    <w:rsid w:val="00725358"/>
    <w:rsid w:val="00732FB3"/>
    <w:rsid w:val="00733583"/>
    <w:rsid w:val="00740E57"/>
    <w:rsid w:val="00742005"/>
    <w:rsid w:val="00745CAF"/>
    <w:rsid w:val="0074755A"/>
    <w:rsid w:val="0075018F"/>
    <w:rsid w:val="00752322"/>
    <w:rsid w:val="00762E4C"/>
    <w:rsid w:val="00763FC9"/>
    <w:rsid w:val="00764B71"/>
    <w:rsid w:val="0076622F"/>
    <w:rsid w:val="00772526"/>
    <w:rsid w:val="007729B1"/>
    <w:rsid w:val="00773C7E"/>
    <w:rsid w:val="00775B20"/>
    <w:rsid w:val="00782973"/>
    <w:rsid w:val="00784493"/>
    <w:rsid w:val="00787E00"/>
    <w:rsid w:val="0079152D"/>
    <w:rsid w:val="00793A79"/>
    <w:rsid w:val="0079552A"/>
    <w:rsid w:val="00795A91"/>
    <w:rsid w:val="007969C1"/>
    <w:rsid w:val="007A4B80"/>
    <w:rsid w:val="007A5812"/>
    <w:rsid w:val="007A66CE"/>
    <w:rsid w:val="007A7BD6"/>
    <w:rsid w:val="007B6A52"/>
    <w:rsid w:val="007C2CE7"/>
    <w:rsid w:val="007C4308"/>
    <w:rsid w:val="007C5287"/>
    <w:rsid w:val="007C77BC"/>
    <w:rsid w:val="007C7854"/>
    <w:rsid w:val="007D0F45"/>
    <w:rsid w:val="007D2136"/>
    <w:rsid w:val="007D247D"/>
    <w:rsid w:val="007D7178"/>
    <w:rsid w:val="007E26BB"/>
    <w:rsid w:val="007E2FC7"/>
    <w:rsid w:val="007E30E2"/>
    <w:rsid w:val="007E418D"/>
    <w:rsid w:val="007E5170"/>
    <w:rsid w:val="007F123A"/>
    <w:rsid w:val="007F21F7"/>
    <w:rsid w:val="007F3503"/>
    <w:rsid w:val="007F6233"/>
    <w:rsid w:val="00800BF9"/>
    <w:rsid w:val="008019E6"/>
    <w:rsid w:val="00802829"/>
    <w:rsid w:val="00803706"/>
    <w:rsid w:val="008041EA"/>
    <w:rsid w:val="00804EAC"/>
    <w:rsid w:val="00806122"/>
    <w:rsid w:val="008065C3"/>
    <w:rsid w:val="00806DDA"/>
    <w:rsid w:val="0080772F"/>
    <w:rsid w:val="008110A6"/>
    <w:rsid w:val="008230E4"/>
    <w:rsid w:val="008233C0"/>
    <w:rsid w:val="00827FFB"/>
    <w:rsid w:val="00830DE6"/>
    <w:rsid w:val="00833B87"/>
    <w:rsid w:val="0083715E"/>
    <w:rsid w:val="00841021"/>
    <w:rsid w:val="00841800"/>
    <w:rsid w:val="008427A1"/>
    <w:rsid w:val="00844E6B"/>
    <w:rsid w:val="00846652"/>
    <w:rsid w:val="00853CC4"/>
    <w:rsid w:val="00855DCB"/>
    <w:rsid w:val="00860935"/>
    <w:rsid w:val="00863958"/>
    <w:rsid w:val="00864C01"/>
    <w:rsid w:val="008673C6"/>
    <w:rsid w:val="00867E68"/>
    <w:rsid w:val="00874541"/>
    <w:rsid w:val="00880330"/>
    <w:rsid w:val="00880799"/>
    <w:rsid w:val="00887192"/>
    <w:rsid w:val="0089541C"/>
    <w:rsid w:val="008960D0"/>
    <w:rsid w:val="00897672"/>
    <w:rsid w:val="008B464A"/>
    <w:rsid w:val="008B5DD6"/>
    <w:rsid w:val="008C0EF5"/>
    <w:rsid w:val="008C2D83"/>
    <w:rsid w:val="008C32AA"/>
    <w:rsid w:val="008C3D75"/>
    <w:rsid w:val="008D0E79"/>
    <w:rsid w:val="008D4CDC"/>
    <w:rsid w:val="008D585F"/>
    <w:rsid w:val="008D6C4E"/>
    <w:rsid w:val="008D752B"/>
    <w:rsid w:val="008E0581"/>
    <w:rsid w:val="008E6DB4"/>
    <w:rsid w:val="008F25C7"/>
    <w:rsid w:val="008F3587"/>
    <w:rsid w:val="008F541E"/>
    <w:rsid w:val="008F6566"/>
    <w:rsid w:val="008F7DCE"/>
    <w:rsid w:val="00901838"/>
    <w:rsid w:val="00902AC0"/>
    <w:rsid w:val="0090718E"/>
    <w:rsid w:val="00907E46"/>
    <w:rsid w:val="00910686"/>
    <w:rsid w:val="00913470"/>
    <w:rsid w:val="00921502"/>
    <w:rsid w:val="00925CD2"/>
    <w:rsid w:val="009266E6"/>
    <w:rsid w:val="0093233C"/>
    <w:rsid w:val="00933D45"/>
    <w:rsid w:val="00935461"/>
    <w:rsid w:val="00936314"/>
    <w:rsid w:val="0093779B"/>
    <w:rsid w:val="00940655"/>
    <w:rsid w:val="009419BB"/>
    <w:rsid w:val="00941AB5"/>
    <w:rsid w:val="00943AF7"/>
    <w:rsid w:val="009441F9"/>
    <w:rsid w:val="009459E3"/>
    <w:rsid w:val="00945BD6"/>
    <w:rsid w:val="009479F9"/>
    <w:rsid w:val="0095058D"/>
    <w:rsid w:val="00955845"/>
    <w:rsid w:val="009600E9"/>
    <w:rsid w:val="009607CE"/>
    <w:rsid w:val="00960B4B"/>
    <w:rsid w:val="00960F75"/>
    <w:rsid w:val="0096771D"/>
    <w:rsid w:val="009704CC"/>
    <w:rsid w:val="00982737"/>
    <w:rsid w:val="00983679"/>
    <w:rsid w:val="009921B3"/>
    <w:rsid w:val="00993336"/>
    <w:rsid w:val="00995DDC"/>
    <w:rsid w:val="009A09BE"/>
    <w:rsid w:val="009A3848"/>
    <w:rsid w:val="009A406D"/>
    <w:rsid w:val="009A6842"/>
    <w:rsid w:val="009A6C88"/>
    <w:rsid w:val="009B1D33"/>
    <w:rsid w:val="009B3DF6"/>
    <w:rsid w:val="009B410E"/>
    <w:rsid w:val="009B72D4"/>
    <w:rsid w:val="009C1114"/>
    <w:rsid w:val="009C2635"/>
    <w:rsid w:val="009C32CC"/>
    <w:rsid w:val="009C3828"/>
    <w:rsid w:val="009C3ECF"/>
    <w:rsid w:val="009C4168"/>
    <w:rsid w:val="009C42CB"/>
    <w:rsid w:val="009C4424"/>
    <w:rsid w:val="009C67EC"/>
    <w:rsid w:val="009C7A10"/>
    <w:rsid w:val="009C7A56"/>
    <w:rsid w:val="009C7CCA"/>
    <w:rsid w:val="009D25EC"/>
    <w:rsid w:val="009D3215"/>
    <w:rsid w:val="009D41A0"/>
    <w:rsid w:val="009D61E1"/>
    <w:rsid w:val="009E1080"/>
    <w:rsid w:val="009E18F4"/>
    <w:rsid w:val="009E27AF"/>
    <w:rsid w:val="009E592F"/>
    <w:rsid w:val="009E5D83"/>
    <w:rsid w:val="009E6ABA"/>
    <w:rsid w:val="009F32AA"/>
    <w:rsid w:val="00A00154"/>
    <w:rsid w:val="00A00234"/>
    <w:rsid w:val="00A01C8E"/>
    <w:rsid w:val="00A02DAF"/>
    <w:rsid w:val="00A05B90"/>
    <w:rsid w:val="00A05ED5"/>
    <w:rsid w:val="00A062D7"/>
    <w:rsid w:val="00A11AFA"/>
    <w:rsid w:val="00A12ADD"/>
    <w:rsid w:val="00A1411C"/>
    <w:rsid w:val="00A33CEC"/>
    <w:rsid w:val="00A3702B"/>
    <w:rsid w:val="00A41F15"/>
    <w:rsid w:val="00A52A09"/>
    <w:rsid w:val="00A52ACD"/>
    <w:rsid w:val="00A52D31"/>
    <w:rsid w:val="00A53262"/>
    <w:rsid w:val="00A54143"/>
    <w:rsid w:val="00A54C84"/>
    <w:rsid w:val="00A54FA0"/>
    <w:rsid w:val="00A56C63"/>
    <w:rsid w:val="00A57384"/>
    <w:rsid w:val="00A57460"/>
    <w:rsid w:val="00A71882"/>
    <w:rsid w:val="00A7589F"/>
    <w:rsid w:val="00A77C41"/>
    <w:rsid w:val="00A816EC"/>
    <w:rsid w:val="00A84D37"/>
    <w:rsid w:val="00A85958"/>
    <w:rsid w:val="00A862CF"/>
    <w:rsid w:val="00A90F3C"/>
    <w:rsid w:val="00A935C4"/>
    <w:rsid w:val="00A9368B"/>
    <w:rsid w:val="00A9559F"/>
    <w:rsid w:val="00A96B21"/>
    <w:rsid w:val="00A970D2"/>
    <w:rsid w:val="00A97974"/>
    <w:rsid w:val="00AA738C"/>
    <w:rsid w:val="00AA7B12"/>
    <w:rsid w:val="00AB305A"/>
    <w:rsid w:val="00AC1719"/>
    <w:rsid w:val="00AC2975"/>
    <w:rsid w:val="00AC4D98"/>
    <w:rsid w:val="00AC7C92"/>
    <w:rsid w:val="00AC7E3E"/>
    <w:rsid w:val="00AD04A8"/>
    <w:rsid w:val="00AD21EF"/>
    <w:rsid w:val="00AE1A95"/>
    <w:rsid w:val="00AE28DE"/>
    <w:rsid w:val="00AE32FE"/>
    <w:rsid w:val="00AE4760"/>
    <w:rsid w:val="00AE71D5"/>
    <w:rsid w:val="00AF191B"/>
    <w:rsid w:val="00AF1EB7"/>
    <w:rsid w:val="00AF3E06"/>
    <w:rsid w:val="00AF41CD"/>
    <w:rsid w:val="00AF4B9E"/>
    <w:rsid w:val="00AF4E3D"/>
    <w:rsid w:val="00AF63E1"/>
    <w:rsid w:val="00B000C8"/>
    <w:rsid w:val="00B01816"/>
    <w:rsid w:val="00B022E3"/>
    <w:rsid w:val="00B04D2A"/>
    <w:rsid w:val="00B05DF2"/>
    <w:rsid w:val="00B16F33"/>
    <w:rsid w:val="00B2016E"/>
    <w:rsid w:val="00B23334"/>
    <w:rsid w:val="00B30315"/>
    <w:rsid w:val="00B3082E"/>
    <w:rsid w:val="00B32667"/>
    <w:rsid w:val="00B32EB6"/>
    <w:rsid w:val="00B3312B"/>
    <w:rsid w:val="00B33AB2"/>
    <w:rsid w:val="00B36EA9"/>
    <w:rsid w:val="00B44971"/>
    <w:rsid w:val="00B45DCB"/>
    <w:rsid w:val="00B47289"/>
    <w:rsid w:val="00B47BB1"/>
    <w:rsid w:val="00B52969"/>
    <w:rsid w:val="00B64EBF"/>
    <w:rsid w:val="00B711A8"/>
    <w:rsid w:val="00B73FF7"/>
    <w:rsid w:val="00B8423F"/>
    <w:rsid w:val="00B85ACB"/>
    <w:rsid w:val="00B86D94"/>
    <w:rsid w:val="00B93533"/>
    <w:rsid w:val="00B94E18"/>
    <w:rsid w:val="00B96F99"/>
    <w:rsid w:val="00BA0368"/>
    <w:rsid w:val="00BA169F"/>
    <w:rsid w:val="00BA19E0"/>
    <w:rsid w:val="00BB4F40"/>
    <w:rsid w:val="00BB57D6"/>
    <w:rsid w:val="00BD1265"/>
    <w:rsid w:val="00BD171B"/>
    <w:rsid w:val="00BD27BF"/>
    <w:rsid w:val="00BD3F6F"/>
    <w:rsid w:val="00BE2176"/>
    <w:rsid w:val="00BE4589"/>
    <w:rsid w:val="00BF0683"/>
    <w:rsid w:val="00BF1824"/>
    <w:rsid w:val="00BF19E1"/>
    <w:rsid w:val="00BF3EBB"/>
    <w:rsid w:val="00BF4ABA"/>
    <w:rsid w:val="00BF5221"/>
    <w:rsid w:val="00C00AC8"/>
    <w:rsid w:val="00C030B0"/>
    <w:rsid w:val="00C03F3C"/>
    <w:rsid w:val="00C05B27"/>
    <w:rsid w:val="00C07F3C"/>
    <w:rsid w:val="00C20998"/>
    <w:rsid w:val="00C2354A"/>
    <w:rsid w:val="00C23FB9"/>
    <w:rsid w:val="00C339A6"/>
    <w:rsid w:val="00C369A9"/>
    <w:rsid w:val="00C41A81"/>
    <w:rsid w:val="00C44B00"/>
    <w:rsid w:val="00C450DE"/>
    <w:rsid w:val="00C45443"/>
    <w:rsid w:val="00C4570D"/>
    <w:rsid w:val="00C4635C"/>
    <w:rsid w:val="00C4651C"/>
    <w:rsid w:val="00C46531"/>
    <w:rsid w:val="00C474C4"/>
    <w:rsid w:val="00C570AE"/>
    <w:rsid w:val="00C57384"/>
    <w:rsid w:val="00C5785C"/>
    <w:rsid w:val="00C6113B"/>
    <w:rsid w:val="00C666D3"/>
    <w:rsid w:val="00C66C93"/>
    <w:rsid w:val="00C70396"/>
    <w:rsid w:val="00C737D8"/>
    <w:rsid w:val="00C74CDF"/>
    <w:rsid w:val="00C7626D"/>
    <w:rsid w:val="00C8273D"/>
    <w:rsid w:val="00C854EF"/>
    <w:rsid w:val="00C87837"/>
    <w:rsid w:val="00C94815"/>
    <w:rsid w:val="00C953B9"/>
    <w:rsid w:val="00C96975"/>
    <w:rsid w:val="00C96CA7"/>
    <w:rsid w:val="00CA174C"/>
    <w:rsid w:val="00CA5197"/>
    <w:rsid w:val="00CA5AB1"/>
    <w:rsid w:val="00CA69C2"/>
    <w:rsid w:val="00CA7BB7"/>
    <w:rsid w:val="00CB1970"/>
    <w:rsid w:val="00CB1C1E"/>
    <w:rsid w:val="00CB209D"/>
    <w:rsid w:val="00CB3961"/>
    <w:rsid w:val="00CB4DF4"/>
    <w:rsid w:val="00CB5B48"/>
    <w:rsid w:val="00CB72E0"/>
    <w:rsid w:val="00CC247E"/>
    <w:rsid w:val="00CC4CB0"/>
    <w:rsid w:val="00CC589C"/>
    <w:rsid w:val="00CC6949"/>
    <w:rsid w:val="00CD12C5"/>
    <w:rsid w:val="00CD2A71"/>
    <w:rsid w:val="00CD58E6"/>
    <w:rsid w:val="00CE5228"/>
    <w:rsid w:val="00CE6C96"/>
    <w:rsid w:val="00CE7AF7"/>
    <w:rsid w:val="00CE7BFD"/>
    <w:rsid w:val="00CF17A4"/>
    <w:rsid w:val="00CF70AB"/>
    <w:rsid w:val="00CF729F"/>
    <w:rsid w:val="00CF7EFF"/>
    <w:rsid w:val="00D00A50"/>
    <w:rsid w:val="00D0453E"/>
    <w:rsid w:val="00D046E4"/>
    <w:rsid w:val="00D04794"/>
    <w:rsid w:val="00D050AB"/>
    <w:rsid w:val="00D05309"/>
    <w:rsid w:val="00D05A16"/>
    <w:rsid w:val="00D11C43"/>
    <w:rsid w:val="00D15E4A"/>
    <w:rsid w:val="00D20238"/>
    <w:rsid w:val="00D225CF"/>
    <w:rsid w:val="00D22E17"/>
    <w:rsid w:val="00D2380F"/>
    <w:rsid w:val="00D3059B"/>
    <w:rsid w:val="00D328C2"/>
    <w:rsid w:val="00D3722D"/>
    <w:rsid w:val="00D402C7"/>
    <w:rsid w:val="00D40EE1"/>
    <w:rsid w:val="00D43FBF"/>
    <w:rsid w:val="00D44AD5"/>
    <w:rsid w:val="00D46B01"/>
    <w:rsid w:val="00D46C04"/>
    <w:rsid w:val="00D520FC"/>
    <w:rsid w:val="00D5667B"/>
    <w:rsid w:val="00D572E1"/>
    <w:rsid w:val="00D60046"/>
    <w:rsid w:val="00D62043"/>
    <w:rsid w:val="00D64175"/>
    <w:rsid w:val="00D6687A"/>
    <w:rsid w:val="00D66D4F"/>
    <w:rsid w:val="00D70218"/>
    <w:rsid w:val="00D708DC"/>
    <w:rsid w:val="00D71FFB"/>
    <w:rsid w:val="00D72E23"/>
    <w:rsid w:val="00D83B2C"/>
    <w:rsid w:val="00D83EEE"/>
    <w:rsid w:val="00D86415"/>
    <w:rsid w:val="00D86647"/>
    <w:rsid w:val="00D87A63"/>
    <w:rsid w:val="00D92536"/>
    <w:rsid w:val="00D93671"/>
    <w:rsid w:val="00D95568"/>
    <w:rsid w:val="00DA23EC"/>
    <w:rsid w:val="00DA357A"/>
    <w:rsid w:val="00DA65F4"/>
    <w:rsid w:val="00DA71F2"/>
    <w:rsid w:val="00DA7FA2"/>
    <w:rsid w:val="00DB1A79"/>
    <w:rsid w:val="00DB220A"/>
    <w:rsid w:val="00DB3308"/>
    <w:rsid w:val="00DC1176"/>
    <w:rsid w:val="00DC218A"/>
    <w:rsid w:val="00DC2205"/>
    <w:rsid w:val="00DC2208"/>
    <w:rsid w:val="00DC48A8"/>
    <w:rsid w:val="00DD45CF"/>
    <w:rsid w:val="00DD7E4A"/>
    <w:rsid w:val="00DE692C"/>
    <w:rsid w:val="00DF3DC3"/>
    <w:rsid w:val="00DF44AF"/>
    <w:rsid w:val="00E01424"/>
    <w:rsid w:val="00E05528"/>
    <w:rsid w:val="00E05775"/>
    <w:rsid w:val="00E10634"/>
    <w:rsid w:val="00E10EC6"/>
    <w:rsid w:val="00E11279"/>
    <w:rsid w:val="00E1597C"/>
    <w:rsid w:val="00E16819"/>
    <w:rsid w:val="00E175D4"/>
    <w:rsid w:val="00E22CFC"/>
    <w:rsid w:val="00E23554"/>
    <w:rsid w:val="00E25225"/>
    <w:rsid w:val="00E256D3"/>
    <w:rsid w:val="00E26497"/>
    <w:rsid w:val="00E31146"/>
    <w:rsid w:val="00E31C43"/>
    <w:rsid w:val="00E341F5"/>
    <w:rsid w:val="00E3446F"/>
    <w:rsid w:val="00E37CD9"/>
    <w:rsid w:val="00E4456E"/>
    <w:rsid w:val="00E466E2"/>
    <w:rsid w:val="00E52691"/>
    <w:rsid w:val="00E53589"/>
    <w:rsid w:val="00E572FA"/>
    <w:rsid w:val="00E66C21"/>
    <w:rsid w:val="00E71F36"/>
    <w:rsid w:val="00E73296"/>
    <w:rsid w:val="00E73CC8"/>
    <w:rsid w:val="00E740AC"/>
    <w:rsid w:val="00E741C8"/>
    <w:rsid w:val="00E81F51"/>
    <w:rsid w:val="00E84332"/>
    <w:rsid w:val="00E84D6B"/>
    <w:rsid w:val="00E879E0"/>
    <w:rsid w:val="00E90317"/>
    <w:rsid w:val="00E9109D"/>
    <w:rsid w:val="00E91947"/>
    <w:rsid w:val="00E9311C"/>
    <w:rsid w:val="00E96E33"/>
    <w:rsid w:val="00EA155A"/>
    <w:rsid w:val="00EA19A3"/>
    <w:rsid w:val="00EA606D"/>
    <w:rsid w:val="00EA66B6"/>
    <w:rsid w:val="00EB1E20"/>
    <w:rsid w:val="00EB2179"/>
    <w:rsid w:val="00EB289B"/>
    <w:rsid w:val="00EB312B"/>
    <w:rsid w:val="00EB609F"/>
    <w:rsid w:val="00EB7739"/>
    <w:rsid w:val="00EC1320"/>
    <w:rsid w:val="00EC1E93"/>
    <w:rsid w:val="00EC5280"/>
    <w:rsid w:val="00EC5939"/>
    <w:rsid w:val="00EC6A4B"/>
    <w:rsid w:val="00ED05B7"/>
    <w:rsid w:val="00ED0D3F"/>
    <w:rsid w:val="00ED3849"/>
    <w:rsid w:val="00ED3929"/>
    <w:rsid w:val="00ED3CEB"/>
    <w:rsid w:val="00ED4E70"/>
    <w:rsid w:val="00ED510A"/>
    <w:rsid w:val="00ED6201"/>
    <w:rsid w:val="00ED6EF4"/>
    <w:rsid w:val="00EE0391"/>
    <w:rsid w:val="00EE4DA1"/>
    <w:rsid w:val="00EE517D"/>
    <w:rsid w:val="00EE6081"/>
    <w:rsid w:val="00EE717D"/>
    <w:rsid w:val="00EE772A"/>
    <w:rsid w:val="00EF2AE8"/>
    <w:rsid w:val="00EF6C24"/>
    <w:rsid w:val="00F01960"/>
    <w:rsid w:val="00F01D86"/>
    <w:rsid w:val="00F0214D"/>
    <w:rsid w:val="00F02E23"/>
    <w:rsid w:val="00F030AE"/>
    <w:rsid w:val="00F03518"/>
    <w:rsid w:val="00F06587"/>
    <w:rsid w:val="00F21507"/>
    <w:rsid w:val="00F25244"/>
    <w:rsid w:val="00F258FB"/>
    <w:rsid w:val="00F27D73"/>
    <w:rsid w:val="00F30F94"/>
    <w:rsid w:val="00F314DF"/>
    <w:rsid w:val="00F35177"/>
    <w:rsid w:val="00F35A70"/>
    <w:rsid w:val="00F43217"/>
    <w:rsid w:val="00F43F90"/>
    <w:rsid w:val="00F45300"/>
    <w:rsid w:val="00F51C3E"/>
    <w:rsid w:val="00F52A44"/>
    <w:rsid w:val="00F52D4F"/>
    <w:rsid w:val="00F57B2B"/>
    <w:rsid w:val="00F601EB"/>
    <w:rsid w:val="00F743E5"/>
    <w:rsid w:val="00F75BE5"/>
    <w:rsid w:val="00F75F90"/>
    <w:rsid w:val="00F81128"/>
    <w:rsid w:val="00F82491"/>
    <w:rsid w:val="00F82A60"/>
    <w:rsid w:val="00F83B35"/>
    <w:rsid w:val="00F9017F"/>
    <w:rsid w:val="00F9111A"/>
    <w:rsid w:val="00F91216"/>
    <w:rsid w:val="00F912E9"/>
    <w:rsid w:val="00F91DE4"/>
    <w:rsid w:val="00F9407A"/>
    <w:rsid w:val="00F95040"/>
    <w:rsid w:val="00FA18C9"/>
    <w:rsid w:val="00FA2740"/>
    <w:rsid w:val="00FB0096"/>
    <w:rsid w:val="00FB4ECA"/>
    <w:rsid w:val="00FB4F20"/>
    <w:rsid w:val="00FB6D3C"/>
    <w:rsid w:val="00FC14F2"/>
    <w:rsid w:val="00FC4FCD"/>
    <w:rsid w:val="00FC62F7"/>
    <w:rsid w:val="00FC66D0"/>
    <w:rsid w:val="00FC6741"/>
    <w:rsid w:val="00FD0035"/>
    <w:rsid w:val="00FD1CA0"/>
    <w:rsid w:val="00FE3AE8"/>
    <w:rsid w:val="00FE3DCC"/>
    <w:rsid w:val="00FF5443"/>
    <w:rsid w:val="00FF623F"/>
    <w:rsid w:val="00FF792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DF3902"/>
  <w15:chartTrackingRefBased/>
  <w15:docId w15:val="{56E7B6F4-3C7C-4A58-8A0E-862A7E7B7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DFE"/>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476DFE"/>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76DFE"/>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76DFE"/>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76DFE"/>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76DFE"/>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476DFE"/>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76DFE"/>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76DFE"/>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76DFE"/>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76DF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476DF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476DFE"/>
    <w:rPr>
      <w:lang w:val="fr-CA"/>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476DFE"/>
    <w:rPr>
      <w:rFonts w:ascii="Times New Roman" w:eastAsiaTheme="majorEastAsia" w:hAnsi="Times New Roman" w:cstheme="majorBidi"/>
      <w:b/>
      <w:bCs/>
      <w:sz w:val="28"/>
      <w:szCs w:val="32"/>
      <w:lang w:val="fr-CA"/>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476DFE"/>
    <w:pPr>
      <w:jc w:val="left"/>
    </w:pPr>
    <w:rPr>
      <w:sz w:val="18"/>
      <w:szCs w:val="20"/>
    </w:rPr>
  </w:style>
  <w:style w:type="character" w:customStyle="1" w:styleId="FootnoteTextChar">
    <w:name w:val="Footnote Text Char"/>
    <w:basedOn w:val="DefaultParagraphFont"/>
    <w:link w:val="FootnoteText"/>
    <w:uiPriority w:val="99"/>
    <w:semiHidden/>
    <w:rsid w:val="00476DFE"/>
    <w:rPr>
      <w:rFonts w:ascii="Times New Roman" w:eastAsia="SimSun" w:hAnsi="Times New Roman" w:cs="Times New Roman"/>
      <w:kern w:val="0"/>
      <w:sz w:val="18"/>
      <w:szCs w:val="20"/>
      <w:lang w:val="fr-CA"/>
      <w14:ligatures w14:val="none"/>
    </w:rPr>
  </w:style>
  <w:style w:type="character" w:styleId="FootnoteReference">
    <w:name w:val="footnote reference"/>
    <w:basedOn w:val="DefaultParagraphFont"/>
    <w:uiPriority w:val="99"/>
    <w:semiHidden/>
    <w:unhideWhenUsed/>
    <w:rsid w:val="00476DFE"/>
    <w:rPr>
      <w:vertAlign w:val="superscript"/>
      <w:lang w:val="fr-CA"/>
    </w:rPr>
  </w:style>
  <w:style w:type="paragraph" w:customStyle="1" w:styleId="Footnote">
    <w:name w:val="Footnote"/>
    <w:basedOn w:val="FootnoteText"/>
    <w:qFormat/>
    <w:rsid w:val="00476DF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tabs>
        <w:tab w:val="num" w:pos="643"/>
      </w:tabs>
      <w:spacing w:before="120" w:after="120"/>
      <w:ind w:left="567"/>
    </w:pPr>
  </w:style>
  <w:style w:type="character" w:customStyle="1" w:styleId="Heading2Char">
    <w:name w:val="Heading 2 Char"/>
    <w:basedOn w:val="DefaultParagraphFont"/>
    <w:link w:val="Heading2"/>
    <w:uiPriority w:val="9"/>
    <w:rsid w:val="00476DFE"/>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lang w:val="fr-CA"/>
    </w:rPr>
  </w:style>
  <w:style w:type="paragraph" w:styleId="Header">
    <w:name w:val="header"/>
    <w:basedOn w:val="Normal"/>
    <w:link w:val="HeaderChar"/>
    <w:rsid w:val="00476DF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76DFE"/>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476DFE"/>
    <w:pPr>
      <w:tabs>
        <w:tab w:val="center" w:pos="4680"/>
        <w:tab w:val="right" w:pos="9360"/>
      </w:tabs>
    </w:pPr>
    <w:rPr>
      <w:sz w:val="20"/>
    </w:rPr>
  </w:style>
  <w:style w:type="character" w:customStyle="1" w:styleId="FooterChar">
    <w:name w:val="Footer Char"/>
    <w:basedOn w:val="DefaultParagraphFont"/>
    <w:link w:val="Footer"/>
    <w:uiPriority w:val="99"/>
    <w:rsid w:val="00476DFE"/>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476DFE"/>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476DFE"/>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476DFE"/>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476DFE"/>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476DFE"/>
    <w:rPr>
      <w:sz w:val="16"/>
      <w:szCs w:val="16"/>
      <w:lang w:val="fr-CA"/>
    </w:rPr>
  </w:style>
  <w:style w:type="paragraph" w:styleId="CommentText">
    <w:name w:val="annotation text"/>
    <w:basedOn w:val="Normal"/>
    <w:link w:val="CommentTextChar"/>
    <w:uiPriority w:val="99"/>
    <w:rsid w:val="00476DFE"/>
    <w:rPr>
      <w:sz w:val="20"/>
      <w:szCs w:val="20"/>
    </w:rPr>
  </w:style>
  <w:style w:type="character" w:customStyle="1" w:styleId="CommentTextChar">
    <w:name w:val="Comment Text Char"/>
    <w:basedOn w:val="DefaultParagraphFont"/>
    <w:link w:val="CommentText"/>
    <w:uiPriority w:val="99"/>
    <w:rsid w:val="00476DFE"/>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476DFE"/>
    <w:rPr>
      <w:b/>
      <w:bCs/>
    </w:rPr>
  </w:style>
  <w:style w:type="character" w:customStyle="1" w:styleId="CommentSubjectChar">
    <w:name w:val="Comment Subject Char"/>
    <w:basedOn w:val="CommentTextChar"/>
    <w:link w:val="CommentSubject"/>
    <w:uiPriority w:val="99"/>
    <w:semiHidden/>
    <w:rsid w:val="00476DFE"/>
    <w:rPr>
      <w:rFonts w:ascii="Times New Roman" w:eastAsia="SimSun" w:hAnsi="Times New Roman" w:cs="Times New Roman"/>
      <w:b/>
      <w:bCs/>
      <w:kern w:val="0"/>
      <w:sz w:val="20"/>
      <w:szCs w:val="20"/>
      <w:lang w:val="fr-CA"/>
      <w14:ligatures w14:val="none"/>
    </w:rPr>
  </w:style>
  <w:style w:type="paragraph" w:customStyle="1" w:styleId="AEDistrNormal">
    <w:name w:val="AE_DistrNormal"/>
    <w:basedOn w:val="Normal"/>
    <w:unhideWhenUsed/>
    <w:rsid w:val="00476DFE"/>
    <w:pPr>
      <w:jc w:val="left"/>
    </w:pPr>
  </w:style>
  <w:style w:type="paragraph" w:customStyle="1" w:styleId="AASmallLogo">
    <w:name w:val="AA_SmallLogo"/>
    <w:basedOn w:val="AEDistrNormal"/>
    <w:unhideWhenUsed/>
    <w:rsid w:val="00476DFE"/>
    <w:pPr>
      <w:spacing w:before="40"/>
    </w:pPr>
    <w:rPr>
      <w:sz w:val="4"/>
    </w:rPr>
  </w:style>
  <w:style w:type="paragraph" w:customStyle="1" w:styleId="ABSymbol">
    <w:name w:val="AB_Symbol"/>
    <w:basedOn w:val="Normal"/>
    <w:qFormat/>
    <w:rsid w:val="00476DF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76DFE"/>
  </w:style>
  <w:style w:type="paragraph" w:customStyle="1" w:styleId="ACLargeLogo">
    <w:name w:val="AC_LargeLogo"/>
    <w:basedOn w:val="AFCorNotNormal"/>
    <w:next w:val="AISpacer"/>
    <w:unhideWhenUsed/>
    <w:rsid w:val="00476DFE"/>
    <w:pPr>
      <w:spacing w:before="120"/>
      <w:contextualSpacing/>
      <w:jc w:val="left"/>
    </w:pPr>
    <w:rPr>
      <w:sz w:val="8"/>
    </w:rPr>
  </w:style>
  <w:style w:type="paragraph" w:customStyle="1" w:styleId="AEDistrNormal6pt">
    <w:name w:val="AE_DistrNormal6pt"/>
    <w:basedOn w:val="AEDistrNormal"/>
    <w:next w:val="AFCorNotNormal"/>
    <w:unhideWhenUsed/>
    <w:qFormat/>
    <w:rsid w:val="00476DFE"/>
    <w:pPr>
      <w:spacing w:before="120"/>
    </w:pPr>
  </w:style>
  <w:style w:type="paragraph" w:customStyle="1" w:styleId="AENormal">
    <w:name w:val="AE_Normal"/>
    <w:basedOn w:val="Normal"/>
    <w:rsid w:val="00476DFE"/>
  </w:style>
  <w:style w:type="paragraph" w:customStyle="1" w:styleId="AFCorNot12Bold">
    <w:name w:val="AF_CorNot12Bold"/>
    <w:basedOn w:val="AFCorNotNormal"/>
    <w:next w:val="AFCorNotNormal"/>
    <w:unhideWhenUsed/>
    <w:qFormat/>
    <w:rsid w:val="00476DFE"/>
    <w:pPr>
      <w:jc w:val="left"/>
    </w:pPr>
    <w:rPr>
      <w:b/>
      <w:sz w:val="24"/>
    </w:rPr>
  </w:style>
  <w:style w:type="paragraph" w:customStyle="1" w:styleId="AFCorNotBold">
    <w:name w:val="AF_CorNotBold"/>
    <w:basedOn w:val="AFCorNotNormal"/>
    <w:next w:val="AFCorNotNormal"/>
    <w:unhideWhenUsed/>
    <w:qFormat/>
    <w:rsid w:val="00476DFE"/>
    <w:rPr>
      <w:b/>
    </w:rPr>
  </w:style>
  <w:style w:type="paragraph" w:customStyle="1" w:styleId="AISpacer">
    <w:name w:val="AI_Spacer"/>
    <w:next w:val="Normal"/>
    <w:unhideWhenUsed/>
    <w:qFormat/>
    <w:rsid w:val="00476DFE"/>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476DFE"/>
    <w:pPr>
      <w:keepNext/>
      <w:keepLines/>
      <w:spacing w:before="240" w:after="120"/>
      <w:jc w:val="left"/>
    </w:pPr>
    <w:rPr>
      <w:b/>
      <w:sz w:val="24"/>
    </w:rPr>
  </w:style>
  <w:style w:type="paragraph" w:customStyle="1" w:styleId="CBDNormal">
    <w:name w:val="CBD_Normal"/>
    <w:unhideWhenUsed/>
    <w:qFormat/>
    <w:rsid w:val="00476DF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476DFE"/>
    <w:pPr>
      <w:keepNext/>
      <w:keepLines/>
      <w:spacing w:after="240"/>
      <w:jc w:val="left"/>
    </w:pPr>
    <w:rPr>
      <w:b/>
      <w:sz w:val="28"/>
      <w:lang w:bidi="ar-SY"/>
    </w:rPr>
  </w:style>
  <w:style w:type="paragraph" w:customStyle="1" w:styleId="CBDDesicionAnnex">
    <w:name w:val="CBD_DesicionAnnex"/>
    <w:basedOn w:val="CBDNormal"/>
    <w:next w:val="CBDDesicionText"/>
    <w:qFormat/>
    <w:rsid w:val="00476DF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76DFE"/>
    <w:pPr>
      <w:spacing w:after="120"/>
      <w:ind w:left="567"/>
    </w:pPr>
  </w:style>
  <w:style w:type="paragraph" w:customStyle="1" w:styleId="CBDFigureTitle">
    <w:name w:val="CBD_FigureTitle"/>
    <w:basedOn w:val="CBDNormal"/>
    <w:next w:val="CBDNormalNoNumber"/>
    <w:qFormat/>
    <w:rsid w:val="00476DFE"/>
    <w:pPr>
      <w:keepNext/>
      <w:keepLines/>
      <w:spacing w:before="120" w:after="60"/>
      <w:ind w:left="567"/>
      <w:jc w:val="left"/>
    </w:pPr>
    <w:rPr>
      <w:b/>
    </w:rPr>
  </w:style>
  <w:style w:type="paragraph" w:customStyle="1" w:styleId="CBDFooter">
    <w:name w:val="CBD_Footer"/>
    <w:basedOn w:val="CBDNormal"/>
    <w:qFormat/>
    <w:rsid w:val="00476DFE"/>
    <w:rPr>
      <w:sz w:val="20"/>
    </w:rPr>
  </w:style>
  <w:style w:type="paragraph" w:customStyle="1" w:styleId="CBDFootnoteText">
    <w:name w:val="CBD_Footnote_Text"/>
    <w:basedOn w:val="CBDNormal"/>
    <w:qFormat/>
    <w:rsid w:val="00476DFE"/>
    <w:pPr>
      <w:jc w:val="left"/>
    </w:pPr>
    <w:rPr>
      <w:sz w:val="18"/>
    </w:rPr>
  </w:style>
  <w:style w:type="paragraph" w:customStyle="1" w:styleId="CBDH1">
    <w:name w:val="CBD_H1"/>
    <w:basedOn w:val="CBDNormal"/>
    <w:qFormat/>
    <w:rsid w:val="00476DFE"/>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76DFE"/>
    <w:pPr>
      <w:numPr>
        <w:numId w:val="1"/>
      </w:numPr>
      <w:tabs>
        <w:tab w:val="left" w:pos="3969"/>
      </w:tabs>
      <w:spacing w:before="120" w:after="120"/>
    </w:pPr>
  </w:style>
  <w:style w:type="paragraph" w:customStyle="1" w:styleId="CBDH2">
    <w:name w:val="CBD_H2"/>
    <w:basedOn w:val="CBDNormalNumber"/>
    <w:qFormat/>
    <w:rsid w:val="00476DFE"/>
    <w:pPr>
      <w:keepNext/>
      <w:keepLines/>
      <w:numPr>
        <w:numId w:val="0"/>
      </w:numPr>
      <w:ind w:left="567" w:hanging="567"/>
    </w:pPr>
    <w:rPr>
      <w:b/>
      <w:sz w:val="24"/>
    </w:rPr>
  </w:style>
  <w:style w:type="paragraph" w:customStyle="1" w:styleId="CBDH3">
    <w:name w:val="CBD_H3"/>
    <w:basedOn w:val="CBDNormal"/>
    <w:qFormat/>
    <w:rsid w:val="00476DFE"/>
    <w:pPr>
      <w:keepNext/>
      <w:keepLines/>
      <w:spacing w:before="120" w:after="120"/>
      <w:ind w:left="567" w:hanging="567"/>
      <w:jc w:val="left"/>
    </w:pPr>
    <w:rPr>
      <w:b/>
    </w:rPr>
  </w:style>
  <w:style w:type="paragraph" w:customStyle="1" w:styleId="CBDH4">
    <w:name w:val="CBD_H4"/>
    <w:basedOn w:val="CBDNormal"/>
    <w:rsid w:val="00476DFE"/>
    <w:pPr>
      <w:keepNext/>
      <w:keepLines/>
      <w:spacing w:before="120" w:after="120"/>
      <w:ind w:left="567" w:hanging="567"/>
      <w:jc w:val="left"/>
    </w:pPr>
    <w:rPr>
      <w:b/>
    </w:rPr>
  </w:style>
  <w:style w:type="paragraph" w:customStyle="1" w:styleId="CBDH5">
    <w:name w:val="CBD_H5"/>
    <w:basedOn w:val="CBDNormal"/>
    <w:qFormat/>
    <w:rsid w:val="00476DFE"/>
    <w:pPr>
      <w:keepNext/>
      <w:keepLines/>
      <w:spacing w:before="120" w:after="120"/>
      <w:ind w:left="567" w:hanging="567"/>
      <w:jc w:val="left"/>
    </w:pPr>
    <w:rPr>
      <w:i/>
    </w:rPr>
  </w:style>
  <w:style w:type="paragraph" w:customStyle="1" w:styleId="CBDHeader">
    <w:name w:val="CBD_Header"/>
    <w:basedOn w:val="CBDNormal"/>
    <w:next w:val="CBDFooter"/>
    <w:qFormat/>
    <w:rsid w:val="00476DF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76DFE"/>
    <w:pPr>
      <w:numPr>
        <w:numId w:val="2"/>
      </w:numPr>
    </w:pPr>
  </w:style>
  <w:style w:type="numbering" w:customStyle="1" w:styleId="CBDHeadings">
    <w:name w:val="CBD_Headings"/>
    <w:basedOn w:val="ListCBD"/>
    <w:uiPriority w:val="99"/>
    <w:rsid w:val="00476DFE"/>
    <w:pPr>
      <w:numPr>
        <w:numId w:val="3"/>
      </w:numPr>
    </w:pPr>
  </w:style>
  <w:style w:type="paragraph" w:customStyle="1" w:styleId="CBDNormalNoNumber">
    <w:name w:val="CBD_Normal_NoNumber"/>
    <w:basedOn w:val="CBDNormal"/>
    <w:qFormat/>
    <w:rsid w:val="00476DFE"/>
    <w:pPr>
      <w:spacing w:after="120"/>
      <w:ind w:left="567"/>
    </w:pPr>
  </w:style>
  <w:style w:type="paragraph" w:customStyle="1" w:styleId="CBDSubTitle">
    <w:name w:val="CBD_SubTitle"/>
    <w:basedOn w:val="CBDNormal"/>
    <w:qFormat/>
    <w:rsid w:val="00476DFE"/>
    <w:pPr>
      <w:keepNext/>
      <w:keepLines/>
      <w:spacing w:before="240" w:after="240"/>
      <w:ind w:left="567"/>
      <w:jc w:val="left"/>
    </w:pPr>
    <w:rPr>
      <w:b/>
    </w:rPr>
  </w:style>
  <w:style w:type="paragraph" w:customStyle="1" w:styleId="CBDTableNormal">
    <w:name w:val="CBD_TableNormal"/>
    <w:basedOn w:val="CBDNormal"/>
    <w:qFormat/>
    <w:rsid w:val="00476DFE"/>
    <w:pPr>
      <w:spacing w:before="40" w:after="80"/>
      <w:jc w:val="left"/>
    </w:pPr>
    <w:rPr>
      <w:sz w:val="20"/>
    </w:rPr>
  </w:style>
  <w:style w:type="paragraph" w:customStyle="1" w:styleId="CBDTableTitle">
    <w:name w:val="CBD_TableTitle"/>
    <w:basedOn w:val="CBDNormal"/>
    <w:qFormat/>
    <w:rsid w:val="00476DFE"/>
    <w:pPr>
      <w:keepNext/>
      <w:keepLines/>
      <w:spacing w:before="120" w:after="60"/>
      <w:ind w:left="567"/>
      <w:jc w:val="left"/>
    </w:pPr>
    <w:rPr>
      <w:b/>
    </w:rPr>
  </w:style>
  <w:style w:type="paragraph" w:customStyle="1" w:styleId="CBDTitle">
    <w:name w:val="CBD_Title"/>
    <w:basedOn w:val="CBDNormal"/>
    <w:next w:val="CBDSubTitle"/>
    <w:qFormat/>
    <w:rsid w:val="00476DFE"/>
    <w:pPr>
      <w:keepNext/>
      <w:keepLines/>
      <w:spacing w:before="240" w:after="240"/>
      <w:ind w:left="567"/>
      <w:jc w:val="left"/>
    </w:pPr>
    <w:rPr>
      <w:b/>
      <w:sz w:val="28"/>
    </w:rPr>
  </w:style>
  <w:style w:type="character" w:customStyle="1" w:styleId="Heading6Char">
    <w:name w:val="Heading 6 Char"/>
    <w:basedOn w:val="DefaultParagraphFont"/>
    <w:link w:val="Heading6"/>
    <w:semiHidden/>
    <w:rsid w:val="00476DFE"/>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476DFE"/>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476DFE"/>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476DFE"/>
    <w:rPr>
      <w:rFonts w:ascii="Times New Roman" w:eastAsia="SimSun" w:hAnsi="Times New Roman" w:cs="Times New Roman"/>
      <w:snapToGrid w:val="0"/>
      <w:kern w:val="0"/>
      <w:u w:val="single"/>
      <w:lang w:val="fr-CA"/>
      <w14:ligatures w14:val="none"/>
    </w:rPr>
  </w:style>
  <w:style w:type="character" w:styleId="Hyperlink">
    <w:name w:val="Hyperlink"/>
    <w:basedOn w:val="DefaultParagraphFont"/>
    <w:uiPriority w:val="99"/>
    <w:unhideWhenUsed/>
    <w:rsid w:val="00476DFE"/>
    <w:rPr>
      <w:rFonts w:ascii="Times New Roman" w:hAnsi="Times New Roman"/>
      <w:color w:val="0563C1" w:themeColor="hyperlink"/>
      <w:u w:val="single"/>
      <w:lang w:val="fr-CA"/>
    </w:rPr>
  </w:style>
  <w:style w:type="paragraph" w:styleId="List">
    <w:name w:val="List"/>
    <w:basedOn w:val="Normal"/>
    <w:semiHidden/>
    <w:rsid w:val="00476DFE"/>
    <w:pPr>
      <w:contextualSpacing/>
    </w:pPr>
  </w:style>
  <w:style w:type="paragraph" w:styleId="ListParagraph">
    <w:name w:val="List Paragraph"/>
    <w:basedOn w:val="Normal"/>
    <w:uiPriority w:val="34"/>
    <w:qFormat/>
    <w:rsid w:val="00476DFE"/>
    <w:pPr>
      <w:ind w:left="720"/>
      <w:contextualSpacing/>
    </w:pPr>
  </w:style>
  <w:style w:type="character" w:customStyle="1" w:styleId="UnresolvedMention1">
    <w:name w:val="Unresolved Mention1"/>
    <w:basedOn w:val="DefaultParagraphFont"/>
    <w:uiPriority w:val="99"/>
    <w:semiHidden/>
    <w:unhideWhenUsed/>
    <w:rsid w:val="0074755A"/>
    <w:rPr>
      <w:color w:val="605E5C"/>
      <w:shd w:val="clear" w:color="auto" w:fill="E1DFDD"/>
      <w:lang w:val="fr-CA"/>
    </w:rPr>
  </w:style>
  <w:style w:type="character" w:styleId="FollowedHyperlink">
    <w:name w:val="FollowedHyperlink"/>
    <w:basedOn w:val="DefaultParagraphFont"/>
    <w:uiPriority w:val="99"/>
    <w:semiHidden/>
    <w:unhideWhenUsed/>
    <w:rsid w:val="00F01D86"/>
    <w:rPr>
      <w:color w:val="954F72" w:themeColor="followedHyperlink"/>
      <w:u w:val="single"/>
      <w:lang w:val="fr-CA"/>
    </w:rPr>
  </w:style>
  <w:style w:type="paragraph" w:styleId="BalloonText">
    <w:name w:val="Balloon Text"/>
    <w:basedOn w:val="Normal"/>
    <w:link w:val="BalloonTextChar"/>
    <w:uiPriority w:val="99"/>
    <w:semiHidden/>
    <w:unhideWhenUsed/>
    <w:rsid w:val="00310E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0E91"/>
    <w:rPr>
      <w:rFonts w:ascii="Segoe UI" w:eastAsia="SimSun" w:hAnsi="Segoe UI" w:cs="Segoe UI"/>
      <w:kern w:val="0"/>
      <w:sz w:val="18"/>
      <w:szCs w:val="18"/>
      <w:lang w:val="fr-CA"/>
      <w14:ligatures w14:val="none"/>
    </w:rPr>
  </w:style>
  <w:style w:type="paragraph" w:styleId="Revision">
    <w:name w:val="Revision"/>
    <w:hidden/>
    <w:uiPriority w:val="99"/>
    <w:semiHidden/>
    <w:rsid w:val="00476DFE"/>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DarkList-Accent31">
    <w:name w:val="Dark List - Accent 31"/>
    <w:hidden/>
    <w:uiPriority w:val="99"/>
    <w:semiHidden/>
    <w:rsid w:val="00476DFE"/>
    <w:pPr>
      <w:spacing w:after="0" w:line="240" w:lineRule="auto"/>
    </w:pPr>
    <w:rPr>
      <w:rFonts w:ascii="Times New Roman" w:eastAsia="SimSun" w:hAnsi="Times New Roman" w:cs="Times New Roman"/>
      <w:kern w:val="0"/>
      <w:lang w:eastAsia="en-GB"/>
      <w14:ligatures w14:val="none"/>
    </w:rPr>
  </w:style>
  <w:style w:type="paragraph" w:styleId="Bibliography">
    <w:name w:val="Bibliography"/>
    <w:basedOn w:val="Normal"/>
    <w:next w:val="Normal"/>
    <w:uiPriority w:val="37"/>
    <w:semiHidden/>
    <w:unhideWhenUsed/>
    <w:rsid w:val="00476DFE"/>
  </w:style>
  <w:style w:type="paragraph" w:styleId="BlockText">
    <w:name w:val="Block Text"/>
    <w:basedOn w:val="Normal"/>
    <w:uiPriority w:val="99"/>
    <w:semiHidden/>
    <w:unhideWhenUsed/>
    <w:rsid w:val="00476DF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76DFE"/>
    <w:pPr>
      <w:spacing w:after="120" w:line="480" w:lineRule="auto"/>
    </w:pPr>
  </w:style>
  <w:style w:type="character" w:customStyle="1" w:styleId="BodyText2Char">
    <w:name w:val="Body Text 2 Char"/>
    <w:basedOn w:val="DefaultParagraphFont"/>
    <w:link w:val="BodyText2"/>
    <w:uiPriority w:val="99"/>
    <w:semiHidden/>
    <w:rsid w:val="00476DFE"/>
    <w:rPr>
      <w:rFonts w:ascii="Times New Roman" w:eastAsia="SimSun" w:hAnsi="Times New Roman" w:cs="Times New Roman"/>
      <w:kern w:val="0"/>
      <w:lang w:val="fr-CA"/>
      <w14:ligatures w14:val="none"/>
    </w:rPr>
  </w:style>
  <w:style w:type="paragraph" w:styleId="BodyText3">
    <w:name w:val="Body Text 3"/>
    <w:basedOn w:val="Normal"/>
    <w:link w:val="BodyText3Char"/>
    <w:uiPriority w:val="99"/>
    <w:semiHidden/>
    <w:unhideWhenUsed/>
    <w:rsid w:val="00476DFE"/>
    <w:pPr>
      <w:spacing w:after="120"/>
    </w:pPr>
    <w:rPr>
      <w:sz w:val="16"/>
      <w:szCs w:val="16"/>
    </w:rPr>
  </w:style>
  <w:style w:type="character" w:customStyle="1" w:styleId="BodyText3Char">
    <w:name w:val="Body Text 3 Char"/>
    <w:basedOn w:val="DefaultParagraphFont"/>
    <w:link w:val="BodyText3"/>
    <w:uiPriority w:val="99"/>
    <w:semiHidden/>
    <w:rsid w:val="00476DFE"/>
    <w:rPr>
      <w:rFonts w:ascii="Times New Roman" w:eastAsia="SimSun" w:hAnsi="Times New Roman" w:cs="Times New Roman"/>
      <w:kern w:val="0"/>
      <w:sz w:val="16"/>
      <w:szCs w:val="16"/>
      <w:lang w:val="fr-CA"/>
      <w14:ligatures w14:val="none"/>
    </w:rPr>
  </w:style>
  <w:style w:type="paragraph" w:styleId="BodyTextFirstIndent">
    <w:name w:val="Body Text First Indent"/>
    <w:basedOn w:val="BodyText"/>
    <w:link w:val="BodyTextFirstIndentChar"/>
    <w:uiPriority w:val="99"/>
    <w:semiHidden/>
    <w:unhideWhenUsed/>
    <w:rsid w:val="00476DF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76DFE"/>
    <w:rPr>
      <w:rFonts w:ascii="Times New Roman" w:eastAsia="SimSun" w:hAnsi="Times New Roman" w:cs="Times New Roman"/>
      <w:kern w:val="0"/>
      <w:lang w:val="fr-CA"/>
      <w14:ligatures w14:val="none"/>
    </w:rPr>
  </w:style>
  <w:style w:type="paragraph" w:styleId="BodyTextIndent">
    <w:name w:val="Body Text Indent"/>
    <w:basedOn w:val="Normal"/>
    <w:link w:val="BodyTextIndentChar"/>
    <w:uiPriority w:val="99"/>
    <w:semiHidden/>
    <w:unhideWhenUsed/>
    <w:rsid w:val="00476DFE"/>
    <w:pPr>
      <w:spacing w:after="120"/>
      <w:ind w:left="283"/>
    </w:pPr>
  </w:style>
  <w:style w:type="character" w:customStyle="1" w:styleId="BodyTextIndentChar">
    <w:name w:val="Body Text Indent Char"/>
    <w:basedOn w:val="DefaultParagraphFont"/>
    <w:link w:val="BodyTextIndent"/>
    <w:uiPriority w:val="99"/>
    <w:semiHidden/>
    <w:rsid w:val="00476DFE"/>
    <w:rPr>
      <w:rFonts w:ascii="Times New Roman" w:eastAsia="SimSun" w:hAnsi="Times New Roman" w:cs="Times New Roman"/>
      <w:kern w:val="0"/>
      <w:lang w:val="fr-CA"/>
      <w14:ligatures w14:val="none"/>
    </w:rPr>
  </w:style>
  <w:style w:type="paragraph" w:styleId="BodyTextFirstIndent2">
    <w:name w:val="Body Text First Indent 2"/>
    <w:basedOn w:val="BodyTextIndent"/>
    <w:link w:val="BodyTextFirstIndent2Char"/>
    <w:uiPriority w:val="99"/>
    <w:semiHidden/>
    <w:unhideWhenUsed/>
    <w:rsid w:val="00476DFE"/>
    <w:pPr>
      <w:spacing w:after="0"/>
      <w:ind w:left="360" w:firstLine="360"/>
    </w:pPr>
  </w:style>
  <w:style w:type="character" w:customStyle="1" w:styleId="BodyTextFirstIndent2Char">
    <w:name w:val="Body Text First Indent 2 Char"/>
    <w:basedOn w:val="BodyTextIndentChar"/>
    <w:link w:val="BodyTextFirstIndent2"/>
    <w:uiPriority w:val="99"/>
    <w:semiHidden/>
    <w:rsid w:val="00476DFE"/>
    <w:rPr>
      <w:rFonts w:ascii="Times New Roman" w:eastAsia="SimSun" w:hAnsi="Times New Roman" w:cs="Times New Roman"/>
      <w:kern w:val="0"/>
      <w:lang w:val="fr-CA"/>
      <w14:ligatures w14:val="none"/>
    </w:rPr>
  </w:style>
  <w:style w:type="paragraph" w:styleId="BodyTextIndent2">
    <w:name w:val="Body Text Indent 2"/>
    <w:basedOn w:val="Normal"/>
    <w:link w:val="BodyTextIndent2Char"/>
    <w:uiPriority w:val="99"/>
    <w:semiHidden/>
    <w:unhideWhenUsed/>
    <w:rsid w:val="00476DFE"/>
    <w:pPr>
      <w:spacing w:after="120" w:line="480" w:lineRule="auto"/>
      <w:ind w:left="283"/>
    </w:pPr>
  </w:style>
  <w:style w:type="character" w:customStyle="1" w:styleId="BodyTextIndent2Char">
    <w:name w:val="Body Text Indent 2 Char"/>
    <w:basedOn w:val="DefaultParagraphFont"/>
    <w:link w:val="BodyTextIndent2"/>
    <w:uiPriority w:val="99"/>
    <w:semiHidden/>
    <w:rsid w:val="00476DFE"/>
    <w:rPr>
      <w:rFonts w:ascii="Times New Roman" w:eastAsia="SimSun" w:hAnsi="Times New Roman" w:cs="Times New Roman"/>
      <w:kern w:val="0"/>
      <w:lang w:val="fr-CA"/>
      <w14:ligatures w14:val="none"/>
    </w:rPr>
  </w:style>
  <w:style w:type="paragraph" w:styleId="BodyTextIndent3">
    <w:name w:val="Body Text Indent 3"/>
    <w:basedOn w:val="Normal"/>
    <w:link w:val="BodyTextIndent3Char"/>
    <w:uiPriority w:val="99"/>
    <w:semiHidden/>
    <w:unhideWhenUsed/>
    <w:rsid w:val="00476DF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76DFE"/>
    <w:rPr>
      <w:rFonts w:ascii="Times New Roman" w:eastAsia="SimSun" w:hAnsi="Times New Roman" w:cs="Times New Roman"/>
      <w:kern w:val="0"/>
      <w:sz w:val="16"/>
      <w:szCs w:val="16"/>
      <w:lang w:val="fr-CA"/>
      <w14:ligatures w14:val="none"/>
    </w:rPr>
  </w:style>
  <w:style w:type="character" w:styleId="BookTitle">
    <w:name w:val="Book Title"/>
    <w:basedOn w:val="DefaultParagraphFont"/>
    <w:uiPriority w:val="33"/>
    <w:qFormat/>
    <w:rsid w:val="00476DFE"/>
    <w:rPr>
      <w:b/>
      <w:bCs/>
      <w:i/>
      <w:iCs/>
      <w:spacing w:val="5"/>
      <w:lang w:val="fr-CA"/>
    </w:rPr>
  </w:style>
  <w:style w:type="paragraph" w:styleId="Caption">
    <w:name w:val="caption"/>
    <w:basedOn w:val="Normal"/>
    <w:next w:val="Normal"/>
    <w:uiPriority w:val="35"/>
    <w:semiHidden/>
    <w:unhideWhenUsed/>
    <w:qFormat/>
    <w:rsid w:val="00476DFE"/>
    <w:pPr>
      <w:spacing w:after="200"/>
    </w:pPr>
    <w:rPr>
      <w:i/>
      <w:iCs/>
      <w:color w:val="44546A" w:themeColor="text2"/>
      <w:sz w:val="18"/>
      <w:szCs w:val="18"/>
    </w:rPr>
  </w:style>
  <w:style w:type="paragraph" w:styleId="Closing">
    <w:name w:val="Closing"/>
    <w:basedOn w:val="Normal"/>
    <w:link w:val="ClosingChar"/>
    <w:uiPriority w:val="99"/>
    <w:semiHidden/>
    <w:unhideWhenUsed/>
    <w:rsid w:val="00476DFE"/>
    <w:pPr>
      <w:ind w:left="4252"/>
    </w:pPr>
  </w:style>
  <w:style w:type="character" w:customStyle="1" w:styleId="ClosingChar">
    <w:name w:val="Closing Char"/>
    <w:basedOn w:val="DefaultParagraphFont"/>
    <w:link w:val="Closing"/>
    <w:uiPriority w:val="99"/>
    <w:semiHidden/>
    <w:rsid w:val="00476DFE"/>
    <w:rPr>
      <w:rFonts w:ascii="Times New Roman" w:eastAsia="SimSun" w:hAnsi="Times New Roman" w:cs="Times New Roman"/>
      <w:kern w:val="0"/>
      <w:lang w:val="fr-CA"/>
      <w14:ligatures w14:val="none"/>
    </w:rPr>
  </w:style>
  <w:style w:type="table" w:styleId="ColorfulGrid">
    <w:name w:val="Colorful Grid"/>
    <w:basedOn w:val="TableNormal"/>
    <w:uiPriority w:val="73"/>
    <w:semiHidden/>
    <w:unhideWhenUsed/>
    <w:rsid w:val="00476D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76D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76D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76D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76D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76D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76D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76DF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76DFE"/>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76DF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76DFE"/>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76DFE"/>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76DF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76DF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76DF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76DFE"/>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76DFE"/>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76DFE"/>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76DFE"/>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76DFE"/>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76DFE"/>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76DF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76DF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76DF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76DF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76DF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76DF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76DF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76DFE"/>
  </w:style>
  <w:style w:type="character" w:customStyle="1" w:styleId="DateChar">
    <w:name w:val="Date Char"/>
    <w:basedOn w:val="DefaultParagraphFont"/>
    <w:link w:val="Date"/>
    <w:uiPriority w:val="99"/>
    <w:semiHidden/>
    <w:rsid w:val="00476DFE"/>
    <w:rPr>
      <w:rFonts w:ascii="Times New Roman" w:eastAsia="SimSun" w:hAnsi="Times New Roman" w:cs="Times New Roman"/>
      <w:kern w:val="0"/>
      <w:lang w:val="fr-CA"/>
      <w14:ligatures w14:val="none"/>
    </w:rPr>
  </w:style>
  <w:style w:type="paragraph" w:styleId="DocumentMap">
    <w:name w:val="Document Map"/>
    <w:basedOn w:val="Normal"/>
    <w:link w:val="DocumentMapChar"/>
    <w:uiPriority w:val="99"/>
    <w:semiHidden/>
    <w:unhideWhenUsed/>
    <w:rsid w:val="00476DF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76DFE"/>
    <w:rPr>
      <w:rFonts w:ascii="Segoe UI" w:eastAsia="SimSun" w:hAnsi="Segoe UI" w:cs="Segoe UI"/>
      <w:kern w:val="0"/>
      <w:sz w:val="16"/>
      <w:szCs w:val="16"/>
      <w:lang w:val="fr-CA"/>
      <w14:ligatures w14:val="none"/>
    </w:rPr>
  </w:style>
  <w:style w:type="paragraph" w:styleId="E-mailSignature">
    <w:name w:val="E-mail Signature"/>
    <w:basedOn w:val="Normal"/>
    <w:link w:val="E-mailSignatureChar"/>
    <w:uiPriority w:val="99"/>
    <w:semiHidden/>
    <w:unhideWhenUsed/>
    <w:rsid w:val="00476DFE"/>
  </w:style>
  <w:style w:type="character" w:customStyle="1" w:styleId="E-mailSignatureChar">
    <w:name w:val="E-mail Signature Char"/>
    <w:basedOn w:val="DefaultParagraphFont"/>
    <w:link w:val="E-mailSignature"/>
    <w:uiPriority w:val="99"/>
    <w:semiHidden/>
    <w:rsid w:val="00476DFE"/>
    <w:rPr>
      <w:rFonts w:ascii="Times New Roman" w:eastAsia="SimSun" w:hAnsi="Times New Roman" w:cs="Times New Roman"/>
      <w:kern w:val="0"/>
      <w:lang w:val="fr-CA"/>
      <w14:ligatures w14:val="none"/>
    </w:rPr>
  </w:style>
  <w:style w:type="character" w:styleId="Emphasis">
    <w:name w:val="Emphasis"/>
    <w:basedOn w:val="DefaultParagraphFont"/>
    <w:uiPriority w:val="20"/>
    <w:qFormat/>
    <w:rsid w:val="00476DFE"/>
    <w:rPr>
      <w:i/>
      <w:iCs/>
      <w:lang w:val="fr-CA"/>
    </w:rPr>
  </w:style>
  <w:style w:type="character" w:styleId="EndnoteReference">
    <w:name w:val="endnote reference"/>
    <w:basedOn w:val="DefaultParagraphFont"/>
    <w:uiPriority w:val="99"/>
    <w:semiHidden/>
    <w:unhideWhenUsed/>
    <w:rsid w:val="00476DFE"/>
    <w:rPr>
      <w:vertAlign w:val="superscript"/>
      <w:lang w:val="fr-CA"/>
    </w:rPr>
  </w:style>
  <w:style w:type="paragraph" w:styleId="EndnoteText">
    <w:name w:val="endnote text"/>
    <w:basedOn w:val="Normal"/>
    <w:link w:val="EndnoteTextChar"/>
    <w:uiPriority w:val="99"/>
    <w:semiHidden/>
    <w:unhideWhenUsed/>
    <w:rsid w:val="00476DFE"/>
    <w:rPr>
      <w:sz w:val="20"/>
      <w:szCs w:val="20"/>
    </w:rPr>
  </w:style>
  <w:style w:type="character" w:customStyle="1" w:styleId="EndnoteTextChar">
    <w:name w:val="Endnote Text Char"/>
    <w:basedOn w:val="DefaultParagraphFont"/>
    <w:link w:val="EndnoteText"/>
    <w:uiPriority w:val="99"/>
    <w:semiHidden/>
    <w:rsid w:val="00476DFE"/>
    <w:rPr>
      <w:rFonts w:ascii="Times New Roman" w:eastAsia="SimSun" w:hAnsi="Times New Roman" w:cs="Times New Roman"/>
      <w:kern w:val="0"/>
      <w:sz w:val="20"/>
      <w:szCs w:val="20"/>
      <w:lang w:val="fr-CA"/>
      <w14:ligatures w14:val="none"/>
    </w:rPr>
  </w:style>
  <w:style w:type="paragraph" w:styleId="EnvelopeAddress">
    <w:name w:val="envelope address"/>
    <w:basedOn w:val="Normal"/>
    <w:uiPriority w:val="99"/>
    <w:semiHidden/>
    <w:unhideWhenUsed/>
    <w:rsid w:val="00476DF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76DFE"/>
    <w:rPr>
      <w:rFonts w:asciiTheme="majorHAnsi" w:eastAsiaTheme="majorEastAsia" w:hAnsiTheme="majorHAnsi" w:cstheme="majorBidi"/>
      <w:sz w:val="20"/>
      <w:szCs w:val="20"/>
    </w:rPr>
  </w:style>
  <w:style w:type="table" w:styleId="GridTable1Light">
    <w:name w:val="Grid Table 1 Light"/>
    <w:basedOn w:val="TableNormal"/>
    <w:uiPriority w:val="46"/>
    <w:rsid w:val="00476DF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76DF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76DF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76DF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76DF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76DF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76DF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76DF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76DF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76DF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76DF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76DF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76DF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76DF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76DF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76DF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76DF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76DF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76DF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76DF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76DF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76DF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76DF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76DF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76DF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76DF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76DF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76DF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76D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76D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76D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76D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76D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76D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76D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76DF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76DF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76DF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76DF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76DF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76DF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76DF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76DF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76DF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76DF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76DF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76DF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76DF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76DF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476DFE"/>
    <w:rPr>
      <w:color w:val="2B579A"/>
      <w:shd w:val="clear" w:color="auto" w:fill="E1DFDD"/>
      <w:lang w:val="fr-CA"/>
    </w:rPr>
  </w:style>
  <w:style w:type="character" w:styleId="HTMLAcronym">
    <w:name w:val="HTML Acronym"/>
    <w:basedOn w:val="DefaultParagraphFont"/>
    <w:uiPriority w:val="99"/>
    <w:semiHidden/>
    <w:unhideWhenUsed/>
    <w:rsid w:val="00476DFE"/>
    <w:rPr>
      <w:lang w:val="fr-CA"/>
    </w:rPr>
  </w:style>
  <w:style w:type="paragraph" w:styleId="HTMLAddress">
    <w:name w:val="HTML Address"/>
    <w:basedOn w:val="Normal"/>
    <w:link w:val="HTMLAddressChar"/>
    <w:uiPriority w:val="99"/>
    <w:semiHidden/>
    <w:unhideWhenUsed/>
    <w:rsid w:val="00476DFE"/>
    <w:rPr>
      <w:i/>
      <w:iCs/>
    </w:rPr>
  </w:style>
  <w:style w:type="character" w:customStyle="1" w:styleId="HTMLAddressChar">
    <w:name w:val="HTML Address Char"/>
    <w:basedOn w:val="DefaultParagraphFont"/>
    <w:link w:val="HTMLAddress"/>
    <w:uiPriority w:val="99"/>
    <w:semiHidden/>
    <w:rsid w:val="00476DFE"/>
    <w:rPr>
      <w:rFonts w:ascii="Times New Roman" w:eastAsia="SimSun" w:hAnsi="Times New Roman" w:cs="Times New Roman"/>
      <w:i/>
      <w:iCs/>
      <w:kern w:val="0"/>
      <w:lang w:val="fr-CA"/>
      <w14:ligatures w14:val="none"/>
    </w:rPr>
  </w:style>
  <w:style w:type="character" w:styleId="HTMLCite">
    <w:name w:val="HTML Cite"/>
    <w:basedOn w:val="DefaultParagraphFont"/>
    <w:uiPriority w:val="99"/>
    <w:semiHidden/>
    <w:unhideWhenUsed/>
    <w:rsid w:val="00476DFE"/>
    <w:rPr>
      <w:i/>
      <w:iCs/>
      <w:lang w:val="fr-CA"/>
    </w:rPr>
  </w:style>
  <w:style w:type="character" w:styleId="HTMLCode">
    <w:name w:val="HTML Code"/>
    <w:basedOn w:val="DefaultParagraphFont"/>
    <w:uiPriority w:val="99"/>
    <w:semiHidden/>
    <w:unhideWhenUsed/>
    <w:rsid w:val="00476DFE"/>
    <w:rPr>
      <w:rFonts w:ascii="Consolas" w:hAnsi="Consolas"/>
      <w:sz w:val="20"/>
      <w:szCs w:val="20"/>
      <w:lang w:val="fr-CA"/>
    </w:rPr>
  </w:style>
  <w:style w:type="character" w:styleId="HTMLDefinition">
    <w:name w:val="HTML Definition"/>
    <w:basedOn w:val="DefaultParagraphFont"/>
    <w:uiPriority w:val="99"/>
    <w:semiHidden/>
    <w:unhideWhenUsed/>
    <w:rsid w:val="00476DFE"/>
    <w:rPr>
      <w:i/>
      <w:iCs/>
      <w:lang w:val="fr-CA"/>
    </w:rPr>
  </w:style>
  <w:style w:type="character" w:styleId="HTMLKeyboard">
    <w:name w:val="HTML Keyboard"/>
    <w:basedOn w:val="DefaultParagraphFont"/>
    <w:uiPriority w:val="99"/>
    <w:semiHidden/>
    <w:unhideWhenUsed/>
    <w:rsid w:val="00476DFE"/>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476DF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76DFE"/>
    <w:rPr>
      <w:rFonts w:ascii="Consolas" w:eastAsia="SimSun" w:hAnsi="Consolas" w:cs="Times New Roman"/>
      <w:kern w:val="0"/>
      <w:sz w:val="20"/>
      <w:szCs w:val="20"/>
      <w:lang w:val="fr-CA"/>
      <w14:ligatures w14:val="none"/>
    </w:rPr>
  </w:style>
  <w:style w:type="character" w:styleId="HTMLSample">
    <w:name w:val="HTML Sample"/>
    <w:basedOn w:val="DefaultParagraphFont"/>
    <w:uiPriority w:val="99"/>
    <w:semiHidden/>
    <w:unhideWhenUsed/>
    <w:rsid w:val="00476DFE"/>
    <w:rPr>
      <w:rFonts w:ascii="Consolas" w:hAnsi="Consolas"/>
      <w:sz w:val="24"/>
      <w:szCs w:val="24"/>
      <w:lang w:val="fr-CA"/>
    </w:rPr>
  </w:style>
  <w:style w:type="character" w:styleId="HTMLTypewriter">
    <w:name w:val="HTML Typewriter"/>
    <w:basedOn w:val="DefaultParagraphFont"/>
    <w:uiPriority w:val="99"/>
    <w:semiHidden/>
    <w:unhideWhenUsed/>
    <w:rsid w:val="00476DFE"/>
    <w:rPr>
      <w:rFonts w:ascii="Consolas" w:hAnsi="Consolas"/>
      <w:sz w:val="20"/>
      <w:szCs w:val="20"/>
      <w:lang w:val="fr-CA"/>
    </w:rPr>
  </w:style>
  <w:style w:type="character" w:styleId="HTMLVariable">
    <w:name w:val="HTML Variable"/>
    <w:basedOn w:val="DefaultParagraphFont"/>
    <w:uiPriority w:val="99"/>
    <w:semiHidden/>
    <w:unhideWhenUsed/>
    <w:rsid w:val="00476DFE"/>
    <w:rPr>
      <w:i/>
      <w:iCs/>
      <w:lang w:val="fr-CA"/>
    </w:rPr>
  </w:style>
  <w:style w:type="paragraph" w:styleId="Index1">
    <w:name w:val="index 1"/>
    <w:basedOn w:val="Normal"/>
    <w:next w:val="Normal"/>
    <w:autoRedefine/>
    <w:uiPriority w:val="99"/>
    <w:semiHidden/>
    <w:unhideWhenUsed/>
    <w:rsid w:val="00476DF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76DF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76DF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76DF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76DF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76DF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76DF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76DF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76DF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76DFE"/>
    <w:rPr>
      <w:rFonts w:asciiTheme="majorHAnsi" w:eastAsiaTheme="majorEastAsia" w:hAnsiTheme="majorHAnsi" w:cstheme="majorBidi"/>
      <w:b/>
      <w:bCs/>
    </w:rPr>
  </w:style>
  <w:style w:type="character" w:styleId="IntenseEmphasis">
    <w:name w:val="Intense Emphasis"/>
    <w:basedOn w:val="DefaultParagraphFont"/>
    <w:uiPriority w:val="21"/>
    <w:qFormat/>
    <w:rsid w:val="00476DFE"/>
    <w:rPr>
      <w:i/>
      <w:iCs/>
      <w:color w:val="4472C4" w:themeColor="accent1"/>
      <w:lang w:val="fr-CA"/>
    </w:rPr>
  </w:style>
  <w:style w:type="paragraph" w:styleId="IntenseQuote">
    <w:name w:val="Intense Quote"/>
    <w:basedOn w:val="Normal"/>
    <w:next w:val="Normal"/>
    <w:link w:val="IntenseQuoteChar"/>
    <w:uiPriority w:val="30"/>
    <w:qFormat/>
    <w:rsid w:val="00476DF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76DFE"/>
    <w:rPr>
      <w:rFonts w:ascii="Times New Roman" w:eastAsia="SimSun" w:hAnsi="Times New Roman" w:cs="Times New Roman"/>
      <w:i/>
      <w:iCs/>
      <w:color w:val="4472C4" w:themeColor="accent1"/>
      <w:kern w:val="0"/>
      <w:lang w:val="fr-CA"/>
      <w14:ligatures w14:val="none"/>
    </w:rPr>
  </w:style>
  <w:style w:type="character" w:styleId="IntenseReference">
    <w:name w:val="Intense Reference"/>
    <w:basedOn w:val="DefaultParagraphFont"/>
    <w:uiPriority w:val="32"/>
    <w:qFormat/>
    <w:rsid w:val="00476DFE"/>
    <w:rPr>
      <w:b/>
      <w:bCs/>
      <w:smallCaps/>
      <w:color w:val="4472C4" w:themeColor="accent1"/>
      <w:spacing w:val="5"/>
      <w:lang w:val="fr-CA"/>
    </w:rPr>
  </w:style>
  <w:style w:type="table" w:styleId="LightGrid">
    <w:name w:val="Light Grid"/>
    <w:basedOn w:val="TableNormal"/>
    <w:uiPriority w:val="62"/>
    <w:semiHidden/>
    <w:unhideWhenUsed/>
    <w:rsid w:val="00476DF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76DF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76DF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76DF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76DF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76DF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76DF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76DF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76DF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76DF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76DF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76DF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76DF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76DF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76DF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76DF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76DF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76DF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76DF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76DF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76DF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76DFE"/>
    <w:rPr>
      <w:lang w:val="fr-CA"/>
    </w:rPr>
  </w:style>
  <w:style w:type="paragraph" w:styleId="List2">
    <w:name w:val="List 2"/>
    <w:basedOn w:val="Normal"/>
    <w:uiPriority w:val="99"/>
    <w:semiHidden/>
    <w:unhideWhenUsed/>
    <w:rsid w:val="00476DFE"/>
    <w:pPr>
      <w:ind w:left="566" w:hanging="283"/>
      <w:contextualSpacing/>
    </w:pPr>
  </w:style>
  <w:style w:type="paragraph" w:styleId="List3">
    <w:name w:val="List 3"/>
    <w:basedOn w:val="Normal"/>
    <w:uiPriority w:val="99"/>
    <w:semiHidden/>
    <w:unhideWhenUsed/>
    <w:rsid w:val="00476DFE"/>
    <w:pPr>
      <w:ind w:left="849" w:hanging="283"/>
      <w:contextualSpacing/>
    </w:pPr>
  </w:style>
  <w:style w:type="paragraph" w:styleId="List4">
    <w:name w:val="List 4"/>
    <w:basedOn w:val="Normal"/>
    <w:uiPriority w:val="99"/>
    <w:semiHidden/>
    <w:unhideWhenUsed/>
    <w:rsid w:val="00476DFE"/>
    <w:pPr>
      <w:ind w:left="1132" w:hanging="283"/>
      <w:contextualSpacing/>
    </w:pPr>
  </w:style>
  <w:style w:type="paragraph" w:styleId="List5">
    <w:name w:val="List 5"/>
    <w:basedOn w:val="Normal"/>
    <w:uiPriority w:val="99"/>
    <w:semiHidden/>
    <w:unhideWhenUsed/>
    <w:rsid w:val="00476DFE"/>
    <w:pPr>
      <w:ind w:left="1415" w:hanging="283"/>
      <w:contextualSpacing/>
    </w:pPr>
  </w:style>
  <w:style w:type="paragraph" w:styleId="ListBullet">
    <w:name w:val="List Bullet"/>
    <w:basedOn w:val="Normal"/>
    <w:uiPriority w:val="99"/>
    <w:semiHidden/>
    <w:unhideWhenUsed/>
    <w:rsid w:val="00476DFE"/>
    <w:pPr>
      <w:numPr>
        <w:numId w:val="6"/>
      </w:numPr>
      <w:contextualSpacing/>
    </w:pPr>
  </w:style>
  <w:style w:type="paragraph" w:styleId="ListBullet2">
    <w:name w:val="List Bullet 2"/>
    <w:basedOn w:val="Normal"/>
    <w:uiPriority w:val="99"/>
    <w:semiHidden/>
    <w:unhideWhenUsed/>
    <w:rsid w:val="00476DFE"/>
    <w:pPr>
      <w:numPr>
        <w:numId w:val="7"/>
      </w:numPr>
      <w:contextualSpacing/>
    </w:pPr>
  </w:style>
  <w:style w:type="paragraph" w:styleId="ListBullet3">
    <w:name w:val="List Bullet 3"/>
    <w:basedOn w:val="Normal"/>
    <w:uiPriority w:val="99"/>
    <w:semiHidden/>
    <w:unhideWhenUsed/>
    <w:rsid w:val="00476DFE"/>
    <w:pPr>
      <w:numPr>
        <w:numId w:val="8"/>
      </w:numPr>
      <w:contextualSpacing/>
    </w:pPr>
  </w:style>
  <w:style w:type="paragraph" w:styleId="ListBullet4">
    <w:name w:val="List Bullet 4"/>
    <w:basedOn w:val="Normal"/>
    <w:uiPriority w:val="99"/>
    <w:semiHidden/>
    <w:unhideWhenUsed/>
    <w:rsid w:val="00476DFE"/>
    <w:pPr>
      <w:numPr>
        <w:numId w:val="9"/>
      </w:numPr>
      <w:contextualSpacing/>
    </w:pPr>
  </w:style>
  <w:style w:type="paragraph" w:styleId="ListBullet5">
    <w:name w:val="List Bullet 5"/>
    <w:basedOn w:val="Normal"/>
    <w:uiPriority w:val="99"/>
    <w:semiHidden/>
    <w:unhideWhenUsed/>
    <w:rsid w:val="00476DFE"/>
    <w:pPr>
      <w:numPr>
        <w:numId w:val="10"/>
      </w:numPr>
      <w:contextualSpacing/>
    </w:pPr>
  </w:style>
  <w:style w:type="paragraph" w:styleId="ListContinue">
    <w:name w:val="List Continue"/>
    <w:basedOn w:val="Normal"/>
    <w:uiPriority w:val="99"/>
    <w:semiHidden/>
    <w:unhideWhenUsed/>
    <w:rsid w:val="00476DFE"/>
    <w:pPr>
      <w:spacing w:after="120"/>
      <w:ind w:left="283"/>
      <w:contextualSpacing/>
    </w:pPr>
  </w:style>
  <w:style w:type="paragraph" w:styleId="ListContinue2">
    <w:name w:val="List Continue 2"/>
    <w:basedOn w:val="Normal"/>
    <w:uiPriority w:val="99"/>
    <w:semiHidden/>
    <w:unhideWhenUsed/>
    <w:rsid w:val="00476DFE"/>
    <w:pPr>
      <w:spacing w:after="120"/>
      <w:ind w:left="566"/>
      <w:contextualSpacing/>
    </w:pPr>
  </w:style>
  <w:style w:type="paragraph" w:styleId="ListContinue3">
    <w:name w:val="List Continue 3"/>
    <w:basedOn w:val="Normal"/>
    <w:uiPriority w:val="99"/>
    <w:semiHidden/>
    <w:unhideWhenUsed/>
    <w:rsid w:val="00476DFE"/>
    <w:pPr>
      <w:spacing w:after="120"/>
      <w:ind w:left="849"/>
      <w:contextualSpacing/>
    </w:pPr>
  </w:style>
  <w:style w:type="paragraph" w:styleId="ListContinue4">
    <w:name w:val="List Continue 4"/>
    <w:basedOn w:val="Normal"/>
    <w:uiPriority w:val="99"/>
    <w:semiHidden/>
    <w:unhideWhenUsed/>
    <w:rsid w:val="00476DFE"/>
    <w:pPr>
      <w:spacing w:after="120"/>
      <w:ind w:left="1132"/>
      <w:contextualSpacing/>
    </w:pPr>
  </w:style>
  <w:style w:type="paragraph" w:styleId="ListContinue5">
    <w:name w:val="List Continue 5"/>
    <w:basedOn w:val="Normal"/>
    <w:uiPriority w:val="99"/>
    <w:semiHidden/>
    <w:unhideWhenUsed/>
    <w:rsid w:val="00476DFE"/>
    <w:pPr>
      <w:spacing w:after="120"/>
      <w:ind w:left="1415"/>
      <w:contextualSpacing/>
    </w:pPr>
  </w:style>
  <w:style w:type="paragraph" w:styleId="ListNumber">
    <w:name w:val="List Number"/>
    <w:basedOn w:val="Normal"/>
    <w:uiPriority w:val="99"/>
    <w:semiHidden/>
    <w:unhideWhenUsed/>
    <w:rsid w:val="00476DFE"/>
    <w:pPr>
      <w:numPr>
        <w:numId w:val="11"/>
      </w:numPr>
      <w:contextualSpacing/>
    </w:pPr>
  </w:style>
  <w:style w:type="paragraph" w:styleId="ListNumber2">
    <w:name w:val="List Number 2"/>
    <w:basedOn w:val="Normal"/>
    <w:uiPriority w:val="99"/>
    <w:semiHidden/>
    <w:unhideWhenUsed/>
    <w:rsid w:val="00476DFE"/>
    <w:pPr>
      <w:numPr>
        <w:numId w:val="12"/>
      </w:numPr>
      <w:contextualSpacing/>
    </w:pPr>
  </w:style>
  <w:style w:type="paragraph" w:styleId="ListNumber3">
    <w:name w:val="List Number 3"/>
    <w:basedOn w:val="Normal"/>
    <w:uiPriority w:val="99"/>
    <w:semiHidden/>
    <w:unhideWhenUsed/>
    <w:rsid w:val="00476DFE"/>
    <w:pPr>
      <w:numPr>
        <w:numId w:val="13"/>
      </w:numPr>
      <w:contextualSpacing/>
    </w:pPr>
  </w:style>
  <w:style w:type="paragraph" w:styleId="ListNumber4">
    <w:name w:val="List Number 4"/>
    <w:basedOn w:val="Normal"/>
    <w:uiPriority w:val="99"/>
    <w:semiHidden/>
    <w:unhideWhenUsed/>
    <w:rsid w:val="00476DFE"/>
    <w:pPr>
      <w:numPr>
        <w:numId w:val="14"/>
      </w:numPr>
      <w:contextualSpacing/>
    </w:pPr>
  </w:style>
  <w:style w:type="paragraph" w:styleId="ListNumber5">
    <w:name w:val="List Number 5"/>
    <w:basedOn w:val="Normal"/>
    <w:uiPriority w:val="99"/>
    <w:semiHidden/>
    <w:unhideWhenUsed/>
    <w:rsid w:val="00476DFE"/>
    <w:pPr>
      <w:numPr>
        <w:numId w:val="15"/>
      </w:numPr>
      <w:contextualSpacing/>
    </w:pPr>
  </w:style>
  <w:style w:type="table" w:styleId="ListTable1Light">
    <w:name w:val="List Table 1 Light"/>
    <w:basedOn w:val="TableNormal"/>
    <w:uiPriority w:val="46"/>
    <w:rsid w:val="00476DF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76DF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76DF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76DF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76DF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76DF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76DF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76DF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76DF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76DF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76DF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76DF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76DF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76DF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76DF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76DF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76DF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76DF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76DF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76DF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76DF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76DF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76DF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76DF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76DF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76DF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76DF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76DF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76DF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76DF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76DF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76DF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76DF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76DF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76DF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76DF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76DF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76DF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76DF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76DF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76DF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76DF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76DF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76DF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76DF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76DF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76DF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76DF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76DF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76DF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476DFE"/>
    <w:rPr>
      <w:rFonts w:ascii="Consolas" w:eastAsia="SimSun" w:hAnsi="Consolas" w:cs="Times New Roman"/>
      <w:kern w:val="0"/>
      <w:sz w:val="20"/>
      <w:szCs w:val="20"/>
      <w:lang w:val="fr-CA"/>
      <w14:ligatures w14:val="none"/>
    </w:rPr>
  </w:style>
  <w:style w:type="table" w:styleId="MediumGrid1">
    <w:name w:val="Medium Grid 1"/>
    <w:basedOn w:val="TableNormal"/>
    <w:uiPriority w:val="67"/>
    <w:semiHidden/>
    <w:unhideWhenUsed/>
    <w:rsid w:val="00476DF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76DF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76DF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76DF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76DF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76DF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76DF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76D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76D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76D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76D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76D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76D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76D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76DF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76DF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76DFE"/>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76DFE"/>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76DFE"/>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76DFE"/>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76DFE"/>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76D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76DF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76DF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76DF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76DF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76DF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76DF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76DF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76D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76D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76D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76D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76D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76D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76DF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476DFE"/>
    <w:rPr>
      <w:color w:val="2B579A"/>
      <w:shd w:val="clear" w:color="auto" w:fill="E1DFDD"/>
      <w:lang w:val="fr-CA"/>
    </w:rPr>
  </w:style>
  <w:style w:type="paragraph" w:styleId="MessageHeader">
    <w:name w:val="Message Header"/>
    <w:basedOn w:val="Normal"/>
    <w:link w:val="MessageHeaderChar"/>
    <w:uiPriority w:val="99"/>
    <w:semiHidden/>
    <w:unhideWhenUsed/>
    <w:rsid w:val="00476DF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76DFE"/>
    <w:rPr>
      <w:rFonts w:asciiTheme="majorHAnsi" w:eastAsiaTheme="majorEastAsia" w:hAnsiTheme="majorHAnsi" w:cstheme="majorBidi"/>
      <w:kern w:val="0"/>
      <w:sz w:val="24"/>
      <w:szCs w:val="24"/>
      <w:shd w:val="pct20" w:color="auto" w:fill="auto"/>
      <w:lang w:val="fr-CA"/>
      <w14:ligatures w14:val="none"/>
    </w:rPr>
  </w:style>
  <w:style w:type="paragraph" w:styleId="NoSpacing">
    <w:name w:val="No Spacing"/>
    <w:uiPriority w:val="1"/>
    <w:qFormat/>
    <w:rsid w:val="00476DFE"/>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476DFE"/>
    <w:rPr>
      <w:sz w:val="24"/>
      <w:szCs w:val="24"/>
    </w:rPr>
  </w:style>
  <w:style w:type="paragraph" w:styleId="NormalIndent">
    <w:name w:val="Normal Indent"/>
    <w:basedOn w:val="Normal"/>
    <w:uiPriority w:val="99"/>
    <w:semiHidden/>
    <w:unhideWhenUsed/>
    <w:rsid w:val="00476DFE"/>
    <w:pPr>
      <w:ind w:left="720"/>
    </w:pPr>
  </w:style>
  <w:style w:type="paragraph" w:styleId="NoteHeading">
    <w:name w:val="Note Heading"/>
    <w:basedOn w:val="Normal"/>
    <w:next w:val="Normal"/>
    <w:link w:val="NoteHeadingChar"/>
    <w:uiPriority w:val="99"/>
    <w:semiHidden/>
    <w:unhideWhenUsed/>
    <w:rsid w:val="00476DFE"/>
  </w:style>
  <w:style w:type="character" w:customStyle="1" w:styleId="NoteHeadingChar">
    <w:name w:val="Note Heading Char"/>
    <w:basedOn w:val="DefaultParagraphFont"/>
    <w:link w:val="NoteHeading"/>
    <w:uiPriority w:val="99"/>
    <w:semiHidden/>
    <w:rsid w:val="00476DFE"/>
    <w:rPr>
      <w:rFonts w:ascii="Times New Roman" w:eastAsia="SimSun" w:hAnsi="Times New Roman" w:cs="Times New Roman"/>
      <w:kern w:val="0"/>
      <w:lang w:val="fr-CA"/>
      <w14:ligatures w14:val="none"/>
    </w:rPr>
  </w:style>
  <w:style w:type="character" w:styleId="PageNumber">
    <w:name w:val="page number"/>
    <w:basedOn w:val="DefaultParagraphFont"/>
    <w:uiPriority w:val="99"/>
    <w:semiHidden/>
    <w:unhideWhenUsed/>
    <w:rsid w:val="00476DFE"/>
    <w:rPr>
      <w:lang w:val="fr-CA"/>
    </w:rPr>
  </w:style>
  <w:style w:type="table" w:styleId="PlainTable1">
    <w:name w:val="Plain Table 1"/>
    <w:basedOn w:val="TableNormal"/>
    <w:uiPriority w:val="41"/>
    <w:rsid w:val="00476DF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76DF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76DF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76DF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76DF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76DFE"/>
    <w:rPr>
      <w:rFonts w:ascii="Consolas" w:hAnsi="Consolas"/>
      <w:sz w:val="21"/>
      <w:szCs w:val="21"/>
    </w:rPr>
  </w:style>
  <w:style w:type="character" w:customStyle="1" w:styleId="PlainTextChar">
    <w:name w:val="Plain Text Char"/>
    <w:basedOn w:val="DefaultParagraphFont"/>
    <w:link w:val="PlainText"/>
    <w:uiPriority w:val="99"/>
    <w:semiHidden/>
    <w:rsid w:val="00476DFE"/>
    <w:rPr>
      <w:rFonts w:ascii="Consolas" w:eastAsia="SimSun" w:hAnsi="Consolas" w:cs="Times New Roman"/>
      <w:kern w:val="0"/>
      <w:sz w:val="21"/>
      <w:szCs w:val="21"/>
      <w:lang w:val="fr-CA"/>
      <w14:ligatures w14:val="none"/>
    </w:rPr>
  </w:style>
  <w:style w:type="paragraph" w:styleId="Quote">
    <w:name w:val="Quote"/>
    <w:basedOn w:val="Normal"/>
    <w:next w:val="Normal"/>
    <w:link w:val="QuoteChar"/>
    <w:uiPriority w:val="29"/>
    <w:qFormat/>
    <w:rsid w:val="00476DF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76DFE"/>
    <w:rPr>
      <w:rFonts w:ascii="Times New Roman" w:eastAsia="SimSun" w:hAnsi="Times New Roman" w:cs="Times New Roman"/>
      <w:i/>
      <w:iCs/>
      <w:color w:val="404040" w:themeColor="text1" w:themeTint="BF"/>
      <w:kern w:val="0"/>
      <w:lang w:val="fr-CA"/>
      <w14:ligatures w14:val="none"/>
    </w:rPr>
  </w:style>
  <w:style w:type="paragraph" w:styleId="Salutation">
    <w:name w:val="Salutation"/>
    <w:basedOn w:val="Normal"/>
    <w:next w:val="Normal"/>
    <w:link w:val="SalutationChar"/>
    <w:uiPriority w:val="99"/>
    <w:semiHidden/>
    <w:unhideWhenUsed/>
    <w:rsid w:val="00476DFE"/>
  </w:style>
  <w:style w:type="character" w:customStyle="1" w:styleId="SalutationChar">
    <w:name w:val="Salutation Char"/>
    <w:basedOn w:val="DefaultParagraphFont"/>
    <w:link w:val="Salutation"/>
    <w:uiPriority w:val="99"/>
    <w:semiHidden/>
    <w:rsid w:val="00476DFE"/>
    <w:rPr>
      <w:rFonts w:ascii="Times New Roman" w:eastAsia="SimSun" w:hAnsi="Times New Roman" w:cs="Times New Roman"/>
      <w:kern w:val="0"/>
      <w:lang w:val="fr-CA"/>
      <w14:ligatures w14:val="none"/>
    </w:rPr>
  </w:style>
  <w:style w:type="paragraph" w:styleId="Signature">
    <w:name w:val="Signature"/>
    <w:basedOn w:val="Normal"/>
    <w:link w:val="SignatureChar"/>
    <w:uiPriority w:val="99"/>
    <w:semiHidden/>
    <w:unhideWhenUsed/>
    <w:rsid w:val="00476DFE"/>
    <w:pPr>
      <w:ind w:left="4252"/>
    </w:pPr>
  </w:style>
  <w:style w:type="character" w:customStyle="1" w:styleId="SignatureChar">
    <w:name w:val="Signature Char"/>
    <w:basedOn w:val="DefaultParagraphFont"/>
    <w:link w:val="Signature"/>
    <w:uiPriority w:val="99"/>
    <w:semiHidden/>
    <w:rsid w:val="00476DFE"/>
    <w:rPr>
      <w:rFonts w:ascii="Times New Roman" w:eastAsia="SimSun" w:hAnsi="Times New Roman" w:cs="Times New Roman"/>
      <w:kern w:val="0"/>
      <w:lang w:val="fr-CA"/>
      <w14:ligatures w14:val="none"/>
    </w:rPr>
  </w:style>
  <w:style w:type="character" w:customStyle="1" w:styleId="SmartHyperlink1">
    <w:name w:val="Smart Hyperlink1"/>
    <w:basedOn w:val="DefaultParagraphFont"/>
    <w:uiPriority w:val="99"/>
    <w:semiHidden/>
    <w:unhideWhenUsed/>
    <w:rsid w:val="00476DFE"/>
    <w:rPr>
      <w:u w:val="dotted"/>
      <w:lang w:val="fr-CA"/>
    </w:rPr>
  </w:style>
  <w:style w:type="character" w:customStyle="1" w:styleId="SmartLink1">
    <w:name w:val="SmartLink1"/>
    <w:basedOn w:val="DefaultParagraphFont"/>
    <w:uiPriority w:val="99"/>
    <w:semiHidden/>
    <w:unhideWhenUsed/>
    <w:rsid w:val="00476DFE"/>
    <w:rPr>
      <w:color w:val="0000FF"/>
      <w:u w:val="single"/>
      <w:shd w:val="clear" w:color="auto" w:fill="F3F2F1"/>
      <w:lang w:val="fr-CA"/>
    </w:rPr>
  </w:style>
  <w:style w:type="character" w:styleId="Strong">
    <w:name w:val="Strong"/>
    <w:basedOn w:val="DefaultParagraphFont"/>
    <w:uiPriority w:val="22"/>
    <w:qFormat/>
    <w:rsid w:val="00476DFE"/>
    <w:rPr>
      <w:b/>
      <w:bCs/>
      <w:lang w:val="fr-CA"/>
    </w:rPr>
  </w:style>
  <w:style w:type="character" w:styleId="SubtleEmphasis">
    <w:name w:val="Subtle Emphasis"/>
    <w:basedOn w:val="DefaultParagraphFont"/>
    <w:uiPriority w:val="19"/>
    <w:qFormat/>
    <w:rsid w:val="00476DFE"/>
    <w:rPr>
      <w:i/>
      <w:iCs/>
      <w:color w:val="404040" w:themeColor="text1" w:themeTint="BF"/>
      <w:lang w:val="fr-CA"/>
    </w:rPr>
  </w:style>
  <w:style w:type="character" w:styleId="SubtleReference">
    <w:name w:val="Subtle Reference"/>
    <w:basedOn w:val="DefaultParagraphFont"/>
    <w:uiPriority w:val="31"/>
    <w:qFormat/>
    <w:rsid w:val="00476DFE"/>
    <w:rPr>
      <w:smallCaps/>
      <w:color w:val="5A5A5A" w:themeColor="text1" w:themeTint="A5"/>
      <w:lang w:val="fr-CA"/>
    </w:rPr>
  </w:style>
  <w:style w:type="table" w:styleId="Table3Deffects1">
    <w:name w:val="Table 3D effects 1"/>
    <w:basedOn w:val="TableNormal"/>
    <w:uiPriority w:val="99"/>
    <w:semiHidden/>
    <w:unhideWhenUsed/>
    <w:rsid w:val="00476DF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76DF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76DF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76DF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76DF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76DF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76DF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76DF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76DF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76DF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76DF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76DF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76DF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76DF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76DF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76DF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76DF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76DF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76DF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76DF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76DF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76DF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76DF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76DF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76DF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76DF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76DF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76DF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76DF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76DF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76DFE"/>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76DFE"/>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76DFE"/>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76DFE"/>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76DFE"/>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76DFE"/>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76DFE"/>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76DFE"/>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76DFE"/>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476DFE"/>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476DFE"/>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953283">
      <w:bodyDiv w:val="1"/>
      <w:marLeft w:val="0"/>
      <w:marRight w:val="0"/>
      <w:marTop w:val="0"/>
      <w:marBottom w:val="0"/>
      <w:divBdr>
        <w:top w:val="none" w:sz="0" w:space="0" w:color="auto"/>
        <w:left w:val="none" w:sz="0" w:space="0" w:color="auto"/>
        <w:bottom w:val="none" w:sz="0" w:space="0" w:color="auto"/>
        <w:right w:val="none" w:sz="0" w:space="0" w:color="auto"/>
      </w:divBdr>
    </w:div>
    <w:div w:id="104155978">
      <w:bodyDiv w:val="1"/>
      <w:marLeft w:val="0"/>
      <w:marRight w:val="0"/>
      <w:marTop w:val="0"/>
      <w:marBottom w:val="0"/>
      <w:divBdr>
        <w:top w:val="none" w:sz="0" w:space="0" w:color="auto"/>
        <w:left w:val="none" w:sz="0" w:space="0" w:color="auto"/>
        <w:bottom w:val="none" w:sz="0" w:space="0" w:color="auto"/>
        <w:right w:val="none" w:sz="0" w:space="0" w:color="auto"/>
      </w:divBdr>
    </w:div>
    <w:div w:id="329599558">
      <w:bodyDiv w:val="1"/>
      <w:marLeft w:val="0"/>
      <w:marRight w:val="0"/>
      <w:marTop w:val="0"/>
      <w:marBottom w:val="0"/>
      <w:divBdr>
        <w:top w:val="none" w:sz="0" w:space="0" w:color="auto"/>
        <w:left w:val="none" w:sz="0" w:space="0" w:color="auto"/>
        <w:bottom w:val="none" w:sz="0" w:space="0" w:color="auto"/>
        <w:right w:val="none" w:sz="0" w:space="0" w:color="auto"/>
      </w:divBdr>
    </w:div>
    <w:div w:id="440271675">
      <w:bodyDiv w:val="1"/>
      <w:marLeft w:val="0"/>
      <w:marRight w:val="0"/>
      <w:marTop w:val="0"/>
      <w:marBottom w:val="0"/>
      <w:divBdr>
        <w:top w:val="none" w:sz="0" w:space="0" w:color="auto"/>
        <w:left w:val="none" w:sz="0" w:space="0" w:color="auto"/>
        <w:bottom w:val="none" w:sz="0" w:space="0" w:color="auto"/>
        <w:right w:val="none" w:sz="0" w:space="0" w:color="auto"/>
      </w:divBdr>
    </w:div>
    <w:div w:id="465709608">
      <w:bodyDiv w:val="1"/>
      <w:marLeft w:val="0"/>
      <w:marRight w:val="0"/>
      <w:marTop w:val="0"/>
      <w:marBottom w:val="0"/>
      <w:divBdr>
        <w:top w:val="none" w:sz="0" w:space="0" w:color="auto"/>
        <w:left w:val="none" w:sz="0" w:space="0" w:color="auto"/>
        <w:bottom w:val="none" w:sz="0" w:space="0" w:color="auto"/>
        <w:right w:val="none" w:sz="0" w:space="0" w:color="auto"/>
      </w:divBdr>
    </w:div>
    <w:div w:id="503515257">
      <w:bodyDiv w:val="1"/>
      <w:marLeft w:val="0"/>
      <w:marRight w:val="0"/>
      <w:marTop w:val="0"/>
      <w:marBottom w:val="0"/>
      <w:divBdr>
        <w:top w:val="none" w:sz="0" w:space="0" w:color="auto"/>
        <w:left w:val="none" w:sz="0" w:space="0" w:color="auto"/>
        <w:bottom w:val="none" w:sz="0" w:space="0" w:color="auto"/>
        <w:right w:val="none" w:sz="0" w:space="0" w:color="auto"/>
      </w:divBdr>
    </w:div>
    <w:div w:id="694233736">
      <w:bodyDiv w:val="1"/>
      <w:marLeft w:val="0"/>
      <w:marRight w:val="0"/>
      <w:marTop w:val="0"/>
      <w:marBottom w:val="0"/>
      <w:divBdr>
        <w:top w:val="none" w:sz="0" w:space="0" w:color="auto"/>
        <w:left w:val="none" w:sz="0" w:space="0" w:color="auto"/>
        <w:bottom w:val="none" w:sz="0" w:space="0" w:color="auto"/>
        <w:right w:val="none" w:sz="0" w:space="0" w:color="auto"/>
      </w:divBdr>
    </w:div>
    <w:div w:id="706493914">
      <w:bodyDiv w:val="1"/>
      <w:marLeft w:val="0"/>
      <w:marRight w:val="0"/>
      <w:marTop w:val="0"/>
      <w:marBottom w:val="0"/>
      <w:divBdr>
        <w:top w:val="none" w:sz="0" w:space="0" w:color="auto"/>
        <w:left w:val="none" w:sz="0" w:space="0" w:color="auto"/>
        <w:bottom w:val="none" w:sz="0" w:space="0" w:color="auto"/>
        <w:right w:val="none" w:sz="0" w:space="0" w:color="auto"/>
      </w:divBdr>
    </w:div>
    <w:div w:id="917864295">
      <w:bodyDiv w:val="1"/>
      <w:marLeft w:val="0"/>
      <w:marRight w:val="0"/>
      <w:marTop w:val="0"/>
      <w:marBottom w:val="0"/>
      <w:divBdr>
        <w:top w:val="none" w:sz="0" w:space="0" w:color="auto"/>
        <w:left w:val="none" w:sz="0" w:space="0" w:color="auto"/>
        <w:bottom w:val="none" w:sz="0" w:space="0" w:color="auto"/>
        <w:right w:val="none" w:sz="0" w:space="0" w:color="auto"/>
      </w:divBdr>
    </w:div>
    <w:div w:id="921987555">
      <w:bodyDiv w:val="1"/>
      <w:marLeft w:val="0"/>
      <w:marRight w:val="0"/>
      <w:marTop w:val="0"/>
      <w:marBottom w:val="0"/>
      <w:divBdr>
        <w:top w:val="none" w:sz="0" w:space="0" w:color="auto"/>
        <w:left w:val="none" w:sz="0" w:space="0" w:color="auto"/>
        <w:bottom w:val="none" w:sz="0" w:space="0" w:color="auto"/>
        <w:right w:val="none" w:sz="0" w:space="0" w:color="auto"/>
      </w:divBdr>
    </w:div>
    <w:div w:id="1038430438">
      <w:bodyDiv w:val="1"/>
      <w:marLeft w:val="0"/>
      <w:marRight w:val="0"/>
      <w:marTop w:val="0"/>
      <w:marBottom w:val="0"/>
      <w:divBdr>
        <w:top w:val="none" w:sz="0" w:space="0" w:color="auto"/>
        <w:left w:val="none" w:sz="0" w:space="0" w:color="auto"/>
        <w:bottom w:val="none" w:sz="0" w:space="0" w:color="auto"/>
        <w:right w:val="none" w:sz="0" w:space="0" w:color="auto"/>
      </w:divBdr>
    </w:div>
    <w:div w:id="1074204643">
      <w:bodyDiv w:val="1"/>
      <w:marLeft w:val="0"/>
      <w:marRight w:val="0"/>
      <w:marTop w:val="0"/>
      <w:marBottom w:val="0"/>
      <w:divBdr>
        <w:top w:val="none" w:sz="0" w:space="0" w:color="auto"/>
        <w:left w:val="none" w:sz="0" w:space="0" w:color="auto"/>
        <w:bottom w:val="none" w:sz="0" w:space="0" w:color="auto"/>
        <w:right w:val="none" w:sz="0" w:space="0" w:color="auto"/>
      </w:divBdr>
    </w:div>
    <w:div w:id="1200514535">
      <w:bodyDiv w:val="1"/>
      <w:marLeft w:val="0"/>
      <w:marRight w:val="0"/>
      <w:marTop w:val="0"/>
      <w:marBottom w:val="0"/>
      <w:divBdr>
        <w:top w:val="none" w:sz="0" w:space="0" w:color="auto"/>
        <w:left w:val="none" w:sz="0" w:space="0" w:color="auto"/>
        <w:bottom w:val="none" w:sz="0" w:space="0" w:color="auto"/>
        <w:right w:val="none" w:sz="0" w:space="0" w:color="auto"/>
      </w:divBdr>
    </w:div>
    <w:div w:id="1212114889">
      <w:bodyDiv w:val="1"/>
      <w:marLeft w:val="0"/>
      <w:marRight w:val="0"/>
      <w:marTop w:val="0"/>
      <w:marBottom w:val="0"/>
      <w:divBdr>
        <w:top w:val="none" w:sz="0" w:space="0" w:color="auto"/>
        <w:left w:val="none" w:sz="0" w:space="0" w:color="auto"/>
        <w:bottom w:val="none" w:sz="0" w:space="0" w:color="auto"/>
        <w:right w:val="none" w:sz="0" w:space="0" w:color="auto"/>
      </w:divBdr>
    </w:div>
    <w:div w:id="1228880891">
      <w:bodyDiv w:val="1"/>
      <w:marLeft w:val="0"/>
      <w:marRight w:val="0"/>
      <w:marTop w:val="0"/>
      <w:marBottom w:val="0"/>
      <w:divBdr>
        <w:top w:val="none" w:sz="0" w:space="0" w:color="auto"/>
        <w:left w:val="none" w:sz="0" w:space="0" w:color="auto"/>
        <w:bottom w:val="none" w:sz="0" w:space="0" w:color="auto"/>
        <w:right w:val="none" w:sz="0" w:space="0" w:color="auto"/>
      </w:divBdr>
    </w:div>
    <w:div w:id="1244142559">
      <w:bodyDiv w:val="1"/>
      <w:marLeft w:val="0"/>
      <w:marRight w:val="0"/>
      <w:marTop w:val="0"/>
      <w:marBottom w:val="0"/>
      <w:divBdr>
        <w:top w:val="none" w:sz="0" w:space="0" w:color="auto"/>
        <w:left w:val="none" w:sz="0" w:space="0" w:color="auto"/>
        <w:bottom w:val="none" w:sz="0" w:space="0" w:color="auto"/>
        <w:right w:val="none" w:sz="0" w:space="0" w:color="auto"/>
      </w:divBdr>
    </w:div>
    <w:div w:id="1413433203">
      <w:bodyDiv w:val="1"/>
      <w:marLeft w:val="0"/>
      <w:marRight w:val="0"/>
      <w:marTop w:val="0"/>
      <w:marBottom w:val="0"/>
      <w:divBdr>
        <w:top w:val="none" w:sz="0" w:space="0" w:color="auto"/>
        <w:left w:val="none" w:sz="0" w:space="0" w:color="auto"/>
        <w:bottom w:val="none" w:sz="0" w:space="0" w:color="auto"/>
        <w:right w:val="none" w:sz="0" w:space="0" w:color="auto"/>
      </w:divBdr>
    </w:div>
    <w:div w:id="1453472326">
      <w:bodyDiv w:val="1"/>
      <w:marLeft w:val="0"/>
      <w:marRight w:val="0"/>
      <w:marTop w:val="0"/>
      <w:marBottom w:val="0"/>
      <w:divBdr>
        <w:top w:val="none" w:sz="0" w:space="0" w:color="auto"/>
        <w:left w:val="none" w:sz="0" w:space="0" w:color="auto"/>
        <w:bottom w:val="none" w:sz="0" w:space="0" w:color="auto"/>
        <w:right w:val="none" w:sz="0" w:space="0" w:color="auto"/>
      </w:divBdr>
    </w:div>
    <w:div w:id="1578829056">
      <w:bodyDiv w:val="1"/>
      <w:marLeft w:val="0"/>
      <w:marRight w:val="0"/>
      <w:marTop w:val="0"/>
      <w:marBottom w:val="0"/>
      <w:divBdr>
        <w:top w:val="none" w:sz="0" w:space="0" w:color="auto"/>
        <w:left w:val="none" w:sz="0" w:space="0" w:color="auto"/>
        <w:bottom w:val="none" w:sz="0" w:space="0" w:color="auto"/>
        <w:right w:val="none" w:sz="0" w:space="0" w:color="auto"/>
      </w:divBdr>
    </w:div>
    <w:div w:id="1756785699">
      <w:bodyDiv w:val="1"/>
      <w:marLeft w:val="0"/>
      <w:marRight w:val="0"/>
      <w:marTop w:val="0"/>
      <w:marBottom w:val="0"/>
      <w:divBdr>
        <w:top w:val="none" w:sz="0" w:space="0" w:color="auto"/>
        <w:left w:val="none" w:sz="0" w:space="0" w:color="auto"/>
        <w:bottom w:val="none" w:sz="0" w:space="0" w:color="auto"/>
        <w:right w:val="none" w:sz="0" w:space="0" w:color="auto"/>
      </w:divBdr>
    </w:div>
    <w:div w:id="1781534510">
      <w:bodyDiv w:val="1"/>
      <w:marLeft w:val="0"/>
      <w:marRight w:val="0"/>
      <w:marTop w:val="0"/>
      <w:marBottom w:val="0"/>
      <w:divBdr>
        <w:top w:val="none" w:sz="0" w:space="0" w:color="auto"/>
        <w:left w:val="none" w:sz="0" w:space="0" w:color="auto"/>
        <w:bottom w:val="none" w:sz="0" w:space="0" w:color="auto"/>
        <w:right w:val="none" w:sz="0" w:space="0" w:color="auto"/>
      </w:divBdr>
    </w:div>
    <w:div w:id="1842351400">
      <w:bodyDiv w:val="1"/>
      <w:marLeft w:val="0"/>
      <w:marRight w:val="0"/>
      <w:marTop w:val="0"/>
      <w:marBottom w:val="0"/>
      <w:divBdr>
        <w:top w:val="none" w:sz="0" w:space="0" w:color="auto"/>
        <w:left w:val="none" w:sz="0" w:space="0" w:color="auto"/>
        <w:bottom w:val="none" w:sz="0" w:space="0" w:color="auto"/>
        <w:right w:val="none" w:sz="0" w:space="0" w:color="auto"/>
      </w:divBdr>
    </w:div>
    <w:div w:id="209212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www.carpathianconvention.org/cop7/docs/officialdocuments/CC_COP7_DOC3_COP7%20DECISIONS_ADOPTED.pdf" TargetMode="External"/><Relationship Id="rId39" Type="http://schemas.openxmlformats.org/officeDocument/2006/relationships/hyperlink" Target="https://documents.un.org/doc/undoc/gen/k24/007/66/pdf/k2400766.pdf" TargetMode="External"/><Relationship Id="rId21" Type="http://schemas.openxmlformats.org/officeDocument/2006/relationships/hyperlink" Target="https://unfccc.int/sites/default/files/resource/cma2023_16a01_adv_.pdf?download" TargetMode="External"/><Relationship Id="rId34" Type="http://schemas.openxmlformats.org/officeDocument/2006/relationships/hyperlink" Target="https://www.ospar.org/documents?v=52218" TargetMode="External"/><Relationship Id="rId42" Type="http://schemas.openxmlformats.org/officeDocument/2006/relationships/hyperlink" Target="https://documents.un.org/doc/undoc/gen/n23/397/34/pdf/n2339734.pdf" TargetMode="External"/><Relationship Id="rId47" Type="http://schemas.openxmlformats.org/officeDocument/2006/relationships/hyperlink" Target="https://documents.un.org/doc/undoc/gen/b23/004/92/pdf/b2300492.pdf"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edocs.unep.org/bitstream/handle/20.500.11822/44716/23ig26_22_2603_fre.pdf" TargetMode="External"/><Relationship Id="rId11" Type="http://schemas.openxmlformats.org/officeDocument/2006/relationships/image" Target="media/image2.png"/><Relationship Id="rId24" Type="http://schemas.openxmlformats.org/officeDocument/2006/relationships/hyperlink" Target="https://minamataconvention.org/sites/default/files/documents/final_report_and_outcomes/UNEP-MC-COP.5-25-Add.1_Decisions_French.pdf" TargetMode="External"/><Relationship Id="rId32" Type="http://schemas.openxmlformats.org/officeDocument/2006/relationships/hyperlink" Target="https://openknowledge.fao.org/server/api/core/bitstreams/1214260c-de2a-4575-ba74-3cad626b0a50/content" TargetMode="External"/><Relationship Id="rId37" Type="http://schemas.openxmlformats.org/officeDocument/2006/relationships/hyperlink" Target="https://openknowledge.fao.org/server/api/core/bitstreams/033b753a-79a7-458a-a83e-f5d9b4e8d31f/content" TargetMode="External"/><Relationship Id="rId40" Type="http://schemas.openxmlformats.org/officeDocument/2006/relationships/hyperlink" Target="https://www.chemicalsframework.org/sites/default/files/documents/Report_SAICM-ICCM.5-4_F_04032024.pdf" TargetMode="External"/><Relationship Id="rId45" Type="http://schemas.openxmlformats.org/officeDocument/2006/relationships/hyperlink" Target="https://apps.who.int/gb/ebwha/pdf_files/WHA76-REC1/A76_REC1_Interactive_fr.pdf" TargetMode="Externa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chm.pops.int/TheConvention/ConferenceoftheParties/ReportsandDecisions/tabid/208/Default.aspx" TargetMode="External"/><Relationship Id="rId28" Type="http://schemas.openxmlformats.org/officeDocument/2006/relationships/hyperlink" Target="https://wedocs.unep.org/bitstream/handle/20.500.11822/44713/23ig26_22_PortorozDeclaration_fre.pdf" TargetMode="External"/><Relationship Id="rId36" Type="http://schemas.openxmlformats.org/officeDocument/2006/relationships/hyperlink" Target="https://openknowledge.fao.org/server/api/core/bitstreams/14172fe0-d6ae-483e-9880-0102b4f82374/content" TargetMode="External"/><Relationship Id="rId49"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yperlink" Target="https://whc.unesco.org/fr/decisions/7678/" TargetMode="External"/><Relationship Id="rId31" Type="http://schemas.openxmlformats.org/officeDocument/2006/relationships/hyperlink" Target="https://wedocs.unep.org/bitstream/handle/20.500.11822/44718/23ig26_22_2605_fre.pdf" TargetMode="External"/><Relationship Id="rId44" Type="http://schemas.openxmlformats.org/officeDocument/2006/relationships/hyperlink" Target="https://documents.un.org/doc/undoc/gen/n23/417/84/pdf/n2341784.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www.pic.int/LaConvention/Conf%C3%A9rencedesParties/R%C3%A9unions/COP11/tabid/9313/language/fr-CH/Default.aspx" TargetMode="External"/><Relationship Id="rId27" Type="http://schemas.openxmlformats.org/officeDocument/2006/relationships/hyperlink" Target="https://www.iccat.int/Documents/Recs/compendiopdf-f/2023-23-f.pdf" TargetMode="External"/><Relationship Id="rId30" Type="http://schemas.openxmlformats.org/officeDocument/2006/relationships/hyperlink" Target="https://wedocs.unep.org/bitstream/handle/20.500.11822/44717/23ig26_22_2604_fre.pdf" TargetMode="External"/><Relationship Id="rId35" Type="http://schemas.openxmlformats.org/officeDocument/2006/relationships/hyperlink" Target="https://nairobiconvention.org/clearinghouse/sites/default/files/UNEP_EAF_COP11_5_Final_Adopted_Decisions_COP11_22Aug2024.pdf" TargetMode="External"/><Relationship Id="rId43" Type="http://schemas.openxmlformats.org/officeDocument/2006/relationships/hyperlink" Target="https://documents.un.org/doc/undoc/gen/n23/417/91/pdf/n2341791.pdf" TargetMode="External"/><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eader" Target="header3.xml"/><Relationship Id="rId25" Type="http://schemas.openxmlformats.org/officeDocument/2006/relationships/hyperlink" Target="https://unece.org/sites/default/files/2024-06/ECE_EB.AIR_154%20(F).pdf" TargetMode="External"/><Relationship Id="rId33" Type="http://schemas.openxmlformats.org/officeDocument/2006/relationships/hyperlink" Target="https://helcom.fi/wp-content/uploads/2024/04/Ministerial-Declaration-2024.pdf" TargetMode="External"/><Relationship Id="rId38" Type="http://schemas.openxmlformats.org/officeDocument/2006/relationships/hyperlink" Target="https://documents.un.org/doc/undoc/gen/k24/008/08/pdf/k2400808.pdf" TargetMode="External"/><Relationship Id="rId46" Type="http://schemas.openxmlformats.org/officeDocument/2006/relationships/hyperlink" Target="https://documents.un.org/doc/undoc/gen/b23/004/88/pdf/b2300488.pdf" TargetMode="External"/><Relationship Id="rId20" Type="http://schemas.openxmlformats.org/officeDocument/2006/relationships/hyperlink" Target="https://openknowledge.fao.org/server/api/core/bitstreams/c5e19365-1d1a-47a1-8c0a-eaa12f7e8ad5/content" TargetMode="External"/><Relationship Id="rId41" Type="http://schemas.openxmlformats.org/officeDocument/2006/relationships/hyperlink" Target="https://documents.un.org/doc/undoc/gen/n23/397/28/pdf/n2339728.pdf"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unfccc.int/event/building-synergies-between-the-three-rio-conventions-unfccc-cbd-and-unccd" TargetMode="External"/><Relationship Id="rId2" Type="http://schemas.openxmlformats.org/officeDocument/2006/relationships/hyperlink" Target="https://www.cbd.int/doc/c/328c/4abc/9e6d8bbd54a5bb9118a46ed6/sbi-04-07-add3-fr.pdf" TargetMode="External"/><Relationship Id="rId1" Type="http://schemas.openxmlformats.org/officeDocument/2006/relationships/hyperlink" Target="https://www.cbd.int/doc/c/f609/ec1a/7e5bb8aae1a5517a85d4239d/sbi-04-10-fr.pdf" TargetMode="External"/><Relationship Id="rId4" Type="http://schemas.openxmlformats.org/officeDocument/2006/relationships/hyperlink" Target="https://www.gob.mx/sre/prensa/mexico-realiza-encuentro-nacional-para-implementar-el-marco-mundial-de-biodiversidad-mediante-acuerdos-multilaterales-ambientales?ta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copo.pasquero\OneDrive%20-%20United%20Nations\COP16\Documents\template-cop-16-en%20-%20Cop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8A664028-BCB2-4BC2-92B0-A60973529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template-cop-16-en - Copy</Template>
  <TotalTime>24</TotalTime>
  <Pages>11</Pages>
  <Words>4098</Words>
  <Characters>23359</Characters>
  <Application>Microsoft Office Word</Application>
  <DocSecurity>0</DocSecurity>
  <Lines>194</Lines>
  <Paragraphs>54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Cooperation with international organizations and bodies established under other conventions</vt:lpstr>
      <vt:lpstr>Cooperation with international organizations and bodies established under other conventions</vt:lpstr>
    </vt:vector>
  </TitlesOfParts>
  <Company/>
  <LinksUpToDate>false</LinksUpToDate>
  <CharactersWithSpaces>27403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international organizations and bodies established under other conventions</dc:title>
  <dc:subject>CBD/COP/16/10</dc:subject>
  <dc:creator>jacopo.pasquero</dc:creator>
  <cp:keywords>Conference of the Parties to the Convention on Biological Diversity</cp:keywords>
  <dc:description/>
  <cp:lastModifiedBy>Nikolas Diallo</cp:lastModifiedBy>
  <cp:revision>4</cp:revision>
  <dcterms:created xsi:type="dcterms:W3CDTF">2024-10-22T22:32:00Z</dcterms:created>
  <dcterms:modified xsi:type="dcterms:W3CDTF">2024-10-22T23:36:00Z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ies>
</file>