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39" w:rsidRPr="00B4020B" w:rsidRDefault="008C35CC" w:rsidP="00B4020B">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الجزء الرفيع المستوى</w:t>
      </w:r>
    </w:p>
    <w:p w:rsidR="008C35CC" w:rsidRPr="0040648C" w:rsidRDefault="008C35CC" w:rsidP="0040648C">
      <w:pPr>
        <w:bidi/>
        <w:spacing w:after="120" w:line="216" w:lineRule="auto"/>
        <w:jc w:val="center"/>
        <w:rPr>
          <w:rFonts w:ascii="Times New Roman" w:hAnsi="Times New Roman" w:cs="Simplified Arabic"/>
          <w:szCs w:val="24"/>
          <w:rtl/>
          <w:lang w:bidi="ar-EG"/>
        </w:rPr>
      </w:pPr>
      <w:r w:rsidRPr="0040648C">
        <w:rPr>
          <w:rFonts w:ascii="Times New Roman" w:hAnsi="Times New Roman" w:cs="Simplified Arabic" w:hint="cs"/>
          <w:szCs w:val="24"/>
          <w:rtl/>
          <w:lang w:bidi="ar-EG"/>
        </w:rPr>
        <w:t>مؤتمر الأمم المتحدة للتنوع البيولوجي</w:t>
      </w:r>
      <w:r w:rsidR="0040648C" w:rsidRPr="0040648C">
        <w:rPr>
          <w:rFonts w:ascii="Times New Roman" w:hAnsi="Times New Roman" w:cs="Simplified Arabic" w:hint="cs"/>
          <w:szCs w:val="24"/>
          <w:rtl/>
          <w:lang w:bidi="ar-EG"/>
        </w:rPr>
        <w:t xml:space="preserve"> لعام 2020</w:t>
      </w:r>
      <w:r w:rsidRPr="0040648C">
        <w:rPr>
          <w:rFonts w:ascii="Times New Roman" w:hAnsi="Times New Roman" w:cs="Simplified Arabic" w:hint="cs"/>
          <w:szCs w:val="24"/>
          <w:rtl/>
          <w:lang w:bidi="ar-EG"/>
        </w:rPr>
        <w:t xml:space="preserve">، </w:t>
      </w:r>
      <w:proofErr w:type="spellStart"/>
      <w:r w:rsidRPr="0040648C">
        <w:rPr>
          <w:rFonts w:ascii="Times New Roman" w:hAnsi="Times New Roman" w:cs="Simplified Arabic" w:hint="cs"/>
          <w:szCs w:val="24"/>
          <w:rtl/>
          <w:lang w:bidi="ar-EG"/>
        </w:rPr>
        <w:t>كونمينغ</w:t>
      </w:r>
      <w:proofErr w:type="spellEnd"/>
      <w:r w:rsidRPr="0040648C">
        <w:rPr>
          <w:rFonts w:ascii="Times New Roman" w:hAnsi="Times New Roman" w:cs="Simplified Arabic" w:hint="cs"/>
          <w:szCs w:val="24"/>
          <w:rtl/>
          <w:lang w:bidi="ar-EG"/>
        </w:rPr>
        <w:t xml:space="preserve">، </w:t>
      </w:r>
      <w:r w:rsidR="0040648C" w:rsidRPr="0040648C">
        <w:rPr>
          <w:rFonts w:ascii="Times New Roman" w:hAnsi="Times New Roman" w:cs="Simplified Arabic" w:hint="cs"/>
          <w:szCs w:val="24"/>
          <w:rtl/>
          <w:lang w:bidi="ar-EG"/>
        </w:rPr>
        <w:t>جمهورية الصين الشعبية</w:t>
      </w:r>
      <w:r w:rsidR="0040648C">
        <w:rPr>
          <w:rFonts w:ascii="Times New Roman" w:hAnsi="Times New Roman" w:cs="Simplified Arabic" w:hint="cs"/>
          <w:szCs w:val="24"/>
          <w:rtl/>
          <w:lang w:bidi="ar-EG"/>
        </w:rPr>
        <w:t xml:space="preserve"> </w:t>
      </w:r>
      <w:r w:rsidR="0040648C">
        <w:rPr>
          <w:rFonts w:ascii="Times New Roman" w:hAnsi="Times New Roman" w:cs="Simplified Arabic"/>
          <w:szCs w:val="24"/>
          <w:rtl/>
          <w:lang w:bidi="ar-EG"/>
        </w:rPr>
        <w:br/>
      </w:r>
      <w:r w:rsidR="00310B26" w:rsidRPr="0040648C">
        <w:rPr>
          <w:rFonts w:ascii="Times New Roman" w:hAnsi="Times New Roman" w:cs="Simplified Arabic" w:hint="cs"/>
          <w:szCs w:val="24"/>
          <w:rtl/>
          <w:lang w:bidi="ar-EG"/>
        </w:rPr>
        <w:t>"</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 xml:space="preserve">حضارة </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إيكولوجية</w:t>
      </w:r>
      <w:r w:rsidR="00310B26" w:rsidRPr="0040648C">
        <w:rPr>
          <w:rFonts w:ascii="Times New Roman" w:hAnsi="Times New Roman" w:cs="Simplified Arabic" w:hint="cs"/>
          <w:szCs w:val="24"/>
          <w:rtl/>
          <w:lang w:bidi="ar-EG"/>
        </w:rPr>
        <w:t xml:space="preserve"> </w:t>
      </w:r>
      <w:proofErr w:type="gramStart"/>
      <w:r w:rsidR="00310B26" w:rsidRPr="0040648C">
        <w:rPr>
          <w:rFonts w:ascii="Times New Roman" w:hAnsi="Times New Roman" w:cs="Simplified Arabic" w:hint="cs"/>
          <w:szCs w:val="24"/>
          <w:rtl/>
          <w:lang w:bidi="ar-EG"/>
        </w:rPr>
        <w:t>-</w:t>
      </w:r>
      <w:r w:rsidRPr="0040648C">
        <w:rPr>
          <w:rFonts w:ascii="Times New Roman" w:hAnsi="Times New Roman" w:cs="Simplified Arabic" w:hint="cs"/>
          <w:szCs w:val="24"/>
          <w:rtl/>
          <w:lang w:bidi="ar-EG"/>
        </w:rPr>
        <w:t xml:space="preserve"> </w:t>
      </w:r>
      <w:r w:rsidR="004D46FC" w:rsidRPr="0040648C">
        <w:rPr>
          <w:rFonts w:ascii="Times New Roman" w:hAnsi="Times New Roman" w:cs="Simplified Arabic" w:hint="cs"/>
          <w:szCs w:val="24"/>
          <w:rtl/>
          <w:lang w:bidi="ar-EG"/>
        </w:rPr>
        <w:t>بناء</w:t>
      </w:r>
      <w:proofErr w:type="gramEnd"/>
      <w:r w:rsidR="004D46FC" w:rsidRPr="0040648C">
        <w:rPr>
          <w:rFonts w:ascii="Times New Roman" w:hAnsi="Times New Roman" w:cs="Simplified Arabic" w:hint="cs"/>
          <w:szCs w:val="24"/>
          <w:rtl/>
          <w:lang w:bidi="ar-EG"/>
        </w:rPr>
        <w:t xml:space="preserve"> </w:t>
      </w:r>
      <w:r w:rsidRPr="0040648C">
        <w:rPr>
          <w:rFonts w:ascii="Times New Roman" w:hAnsi="Times New Roman" w:cs="Simplified Arabic" w:hint="cs"/>
          <w:szCs w:val="24"/>
          <w:rtl/>
          <w:lang w:bidi="ar-EG"/>
        </w:rPr>
        <w:t>مستقبل متشارك لكافة الحياة على الأرض</w:t>
      </w:r>
      <w:r w:rsidR="00310B26" w:rsidRPr="0040648C">
        <w:rPr>
          <w:rFonts w:ascii="Times New Roman" w:hAnsi="Times New Roman" w:cs="Simplified Arabic" w:hint="cs"/>
          <w:szCs w:val="24"/>
          <w:rtl/>
          <w:lang w:bidi="ar-EG"/>
        </w:rPr>
        <w:t>"</w:t>
      </w:r>
    </w:p>
    <w:p w:rsidR="008C35CC" w:rsidRPr="00B4020B" w:rsidRDefault="0040648C" w:rsidP="009941D2">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 xml:space="preserve">المائدة المستديرة </w:t>
      </w:r>
      <w:r w:rsidR="009941D2">
        <w:rPr>
          <w:rFonts w:ascii="Times New Roman" w:eastAsia="Times New Roman" w:hAnsi="Times New Roman" w:hint="cs"/>
          <w:b w:val="0"/>
          <w:caps/>
          <w:sz w:val="22"/>
          <w:szCs w:val="26"/>
          <w:rtl/>
          <w:lang w:val="en-GB" w:bidi="ar-EG"/>
        </w:rPr>
        <w:t>باء</w:t>
      </w:r>
      <w:r w:rsidRPr="00B4020B">
        <w:rPr>
          <w:rFonts w:ascii="Times New Roman" w:eastAsia="Times New Roman" w:hAnsi="Times New Roman" w:hint="cs"/>
          <w:b w:val="0"/>
          <w:caps/>
          <w:sz w:val="22"/>
          <w:szCs w:val="26"/>
          <w:rtl/>
          <w:lang w:val="en-GB" w:bidi="ar-EG"/>
        </w:rPr>
        <w:t xml:space="preserve">: </w:t>
      </w:r>
      <w:r w:rsidR="009941D2">
        <w:rPr>
          <w:rFonts w:ascii="Times New Roman" w:eastAsia="Times New Roman" w:hAnsi="Times New Roman" w:hint="cs"/>
          <w:b w:val="0"/>
          <w:caps/>
          <w:sz w:val="22"/>
          <w:szCs w:val="26"/>
          <w:rtl/>
          <w:lang w:val="en-GB" w:bidi="ar-EG"/>
        </w:rPr>
        <w:t>سد الفجوة التمويلية وضمان وسائل التنفيذ</w:t>
      </w:r>
    </w:p>
    <w:p w:rsidR="0040648C" w:rsidRPr="009941D2" w:rsidRDefault="009941D2" w:rsidP="00B4020B">
      <w:pPr>
        <w:bidi/>
        <w:spacing w:after="120" w:line="216" w:lineRule="auto"/>
        <w:jc w:val="center"/>
        <w:rPr>
          <w:rFonts w:ascii="Times New Roman" w:hAnsi="Times New Roman" w:cs="Simplified Arabic" w:hint="cs"/>
          <w:szCs w:val="24"/>
          <w:rtl/>
          <w:lang w:val="en-GB" w:bidi="ar-EG"/>
        </w:rPr>
      </w:pPr>
      <w:r>
        <w:rPr>
          <w:rFonts w:ascii="Times New Roman" w:hAnsi="Times New Roman" w:cs="Simplified Arabic" w:hint="cs"/>
          <w:szCs w:val="24"/>
          <w:rtl/>
          <w:lang w:bidi="ar-EG"/>
        </w:rPr>
        <w:t xml:space="preserve">تحويل الحوافز، وحشد الموارد، ومواءمة التدفقات المالية لدعم التنوع البيولوجي، بما في ذلك من خلال برامج التعافي الاقتصادي من آثار جائحة فيروس كورونا </w:t>
      </w:r>
      <w:r>
        <w:rPr>
          <w:rFonts w:ascii="Times New Roman" w:hAnsi="Times New Roman" w:cs="Simplified Arabic"/>
          <w:szCs w:val="24"/>
          <w:lang w:val="en-GB" w:bidi="ar-EG"/>
        </w:rPr>
        <w:t>COVID-19</w:t>
      </w:r>
    </w:p>
    <w:p w:rsidR="0040648C" w:rsidRDefault="0040648C" w:rsidP="00451482">
      <w:pPr>
        <w:pStyle w:val="Heading1"/>
        <w:bidi/>
        <w:rPr>
          <w:rtl/>
          <w:lang w:bidi="ar-EG"/>
        </w:rPr>
      </w:pPr>
      <w:r>
        <w:rPr>
          <w:rFonts w:hint="cs"/>
          <w:rtl/>
          <w:lang w:bidi="ar-EG"/>
        </w:rPr>
        <w:t>السياق</w:t>
      </w:r>
    </w:p>
    <w:p w:rsidR="0040648C" w:rsidRDefault="009941D2" w:rsidP="00B4020B">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يدعم التنوع البيولوجي وظائف النظام الإيكولوجي ويقدم فوائد كبيرة لرفاه البشر. فهناك ما يقرب من 44 تريليون دولار أمريكي </w:t>
      </w:r>
      <w:r>
        <w:rPr>
          <w:rFonts w:ascii="Times New Roman" w:hAnsi="Times New Roman" w:cs="Simplified Arabic"/>
          <w:szCs w:val="24"/>
          <w:rtl/>
          <w:lang w:bidi="ar-EG"/>
        </w:rPr>
        <w:t>–</w:t>
      </w:r>
      <w:r>
        <w:rPr>
          <w:rFonts w:ascii="Times New Roman" w:hAnsi="Times New Roman" w:cs="Simplified Arabic" w:hint="cs"/>
          <w:szCs w:val="24"/>
          <w:rtl/>
          <w:lang w:bidi="ar-EG"/>
        </w:rPr>
        <w:t xml:space="preserve"> أكثر من نصف الناتج المحلي الإجمالي العالمي </w:t>
      </w:r>
      <w:r w:rsidR="007D70B4">
        <w:rPr>
          <w:rFonts w:ascii="Times New Roman" w:hAnsi="Times New Roman" w:cs="Simplified Arabic"/>
          <w:szCs w:val="24"/>
          <w:rtl/>
          <w:lang w:bidi="ar-EG"/>
        </w:rPr>
        <w:t>–</w:t>
      </w:r>
      <w:r>
        <w:rPr>
          <w:rFonts w:ascii="Times New Roman" w:hAnsi="Times New Roman" w:cs="Simplified Arabic" w:hint="cs"/>
          <w:szCs w:val="24"/>
          <w:rtl/>
          <w:lang w:bidi="ar-EG"/>
        </w:rPr>
        <w:t xml:space="preserve"> </w:t>
      </w:r>
      <w:r w:rsidR="007D70B4">
        <w:rPr>
          <w:rFonts w:ascii="Times New Roman" w:hAnsi="Times New Roman" w:cs="Simplified Arabic" w:hint="cs"/>
          <w:szCs w:val="24"/>
          <w:rtl/>
          <w:lang w:bidi="ar-EG"/>
        </w:rPr>
        <w:t>من توليد القيمة الاقتصادية يعتمد بشكل متوسط على الأقل أو بدرجة كبيرة على خدمات النظام الإيكولوجي (المنتدى الاقتصادي العالمي، 2020). إلا أن التنوع البيولوجي آخذ في التدهور بمعدل أسرع من أي وقت آخر في تاريخ البشرية.</w:t>
      </w:r>
    </w:p>
    <w:p w:rsidR="007D70B4" w:rsidRDefault="007D70B4" w:rsidP="003E73E8">
      <w:pPr>
        <w:bidi/>
        <w:spacing w:after="120" w:line="216" w:lineRule="auto"/>
        <w:jc w:val="both"/>
        <w:rPr>
          <w:rFonts w:ascii="Times New Roman" w:hAnsi="Times New Roman" w:cs="Simplified Arabic"/>
          <w:szCs w:val="24"/>
          <w:rtl/>
          <w:lang w:bidi="ar-EG"/>
        </w:rPr>
      </w:pPr>
      <w:r>
        <w:rPr>
          <w:rFonts w:ascii="Times New Roman" w:hAnsi="Times New Roman" w:cs="Simplified Arabic" w:hint="cs"/>
          <w:szCs w:val="24"/>
          <w:rtl/>
          <w:lang w:bidi="ar-EG"/>
        </w:rPr>
        <w:t>وبما يتماشى مع تقرير التقييم العالمي لعام 2019 الصادر عن المنبر الحكومي الدولي للعلوم والسياسات في مجال التنوع البيولوجي وخدمات النظم الإيكولوجية بشأن التنوع البيولوجي وخدمات النظم الإيكولوجية، يلزم اتخاذ إجراءات</w:t>
      </w:r>
      <w:r w:rsidR="003E73E8">
        <w:rPr>
          <w:rFonts w:ascii="Times New Roman" w:hAnsi="Times New Roman" w:cs="Simplified Arabic" w:hint="cs"/>
          <w:szCs w:val="24"/>
          <w:rtl/>
          <w:lang w:bidi="ar-EG"/>
        </w:rPr>
        <w:t xml:space="preserve"> </w:t>
      </w:r>
      <w:proofErr w:type="spellStart"/>
      <w:r w:rsidR="003E73E8">
        <w:rPr>
          <w:rFonts w:ascii="Times New Roman" w:hAnsi="Times New Roman" w:cs="Simplified Arabic" w:hint="cs"/>
          <w:szCs w:val="24"/>
          <w:rtl/>
          <w:lang w:bidi="ar-EG"/>
        </w:rPr>
        <w:t>سياساتية</w:t>
      </w:r>
      <w:proofErr w:type="spellEnd"/>
      <w:r>
        <w:rPr>
          <w:rFonts w:ascii="Times New Roman" w:hAnsi="Times New Roman" w:cs="Simplified Arabic" w:hint="cs"/>
          <w:szCs w:val="24"/>
          <w:rtl/>
          <w:lang w:bidi="ar-EG"/>
        </w:rPr>
        <w:t xml:space="preserve"> عاجلة على المستويات العالمي والإقليمي والوطني لتحويل النماذج الاقتصادية والاجتماعية والمالية، بغية وقف فقدان التنوع البيولوجي بحلول عام 2030 والتمكين من تعافي النظم الإيكولوجية الطبيعية بحلول عام 2050. ويتطلب تنفيذ الإطار العالمي للتنوع البيولوجي لما بعد عام 2020 حشدا غير مسبوق للموارد المالية من جميع المصادر، وتنمية القدرات على جميع المستويات، وتعميم التنوع البيولوجي في جميع القطاعات الاقتصادية ذات الصلة. </w:t>
      </w:r>
    </w:p>
    <w:p w:rsidR="00451482" w:rsidRDefault="00030CAE" w:rsidP="00451482">
      <w:pPr>
        <w:pStyle w:val="Heading1"/>
        <w:bidi/>
        <w:rPr>
          <w:rtl/>
          <w:lang w:bidi="ar-EG"/>
        </w:rPr>
      </w:pPr>
      <w:r>
        <w:rPr>
          <w:rFonts w:hint="cs"/>
          <w:rtl/>
          <w:lang w:bidi="ar-EG"/>
        </w:rPr>
        <w:t>طرق ووسائل حشد الموارد اللازمة</w:t>
      </w:r>
    </w:p>
    <w:p w:rsidR="00030CAE" w:rsidRDefault="00030CAE" w:rsidP="00030CAE">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أشار فريق خبراء اتفاقية التنوع البيولوجي المعني بحشد الموارد (2020) إلى أن حشد الموارد أمر أساسي لتحقيق التغير التحويلي اللازم ونجاح الإطار العالمي للتنوع البيولوجي لما بعد عام 2020. ويقترح الفريق نهجا من ثلاثة محاور:</w:t>
      </w:r>
    </w:p>
    <w:p w:rsidR="00030CAE" w:rsidRDefault="00030CAE" w:rsidP="00030CAE">
      <w:pPr>
        <w:pStyle w:val="ListParagraph"/>
        <w:numPr>
          <w:ilvl w:val="0"/>
          <w:numId w:val="7"/>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الحد من الموارد المالية التي تسبب ضررا بالتنوع البيولوجي أو إعادة توجيهها؛</w:t>
      </w:r>
    </w:p>
    <w:p w:rsidR="00030CAE" w:rsidRDefault="00030CAE" w:rsidP="00030CAE">
      <w:pPr>
        <w:pStyle w:val="ListParagraph"/>
        <w:numPr>
          <w:ilvl w:val="0"/>
          <w:numId w:val="7"/>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توليد موارد مالية إضافية، محلية ودولية على حد سواء، من جميع المصادر من أجل تحقيق الأهداف الثلاثة للاتفاقية؛</w:t>
      </w:r>
    </w:p>
    <w:p w:rsidR="00030CAE" w:rsidRPr="00030CAE" w:rsidRDefault="00030CAE" w:rsidP="00030CAE">
      <w:pPr>
        <w:pStyle w:val="ListParagraph"/>
        <w:numPr>
          <w:ilvl w:val="0"/>
          <w:numId w:val="7"/>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تعزيز فعالية وكفاءة استخدام الموارد.</w:t>
      </w:r>
    </w:p>
    <w:p w:rsidR="00030CAE" w:rsidRDefault="004F5558" w:rsidP="00030CAE">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إن الحشد الفعال للموارد من جميع المصادر يستلزم تغيرا تحويليا شاملا ومنصفا عبر الاقتصادات والمجتمع. وسيتطلب ذلك اتخاذ إجراءات من جانب الحكومات على جميع المستويات، وكذلك من جانب الشركات والمؤسسات المالية العامة </w:t>
      </w:r>
      <w:r>
        <w:rPr>
          <w:rFonts w:ascii="Times New Roman" w:hAnsi="Times New Roman" w:cs="Simplified Arabic" w:hint="cs"/>
          <w:szCs w:val="24"/>
          <w:rtl/>
          <w:lang w:val="en-GB" w:bidi="ar-EG"/>
        </w:rPr>
        <w:lastRenderedPageBreak/>
        <w:t xml:space="preserve">والخاصة. ويمكن </w:t>
      </w:r>
      <w:r w:rsidR="00164961">
        <w:rPr>
          <w:rFonts w:ascii="Times New Roman" w:hAnsi="Times New Roman" w:cs="Simplified Arabic" w:hint="cs"/>
          <w:szCs w:val="24"/>
          <w:rtl/>
          <w:lang w:val="en-GB" w:bidi="ar-EG"/>
        </w:rPr>
        <w:t>أن تؤدي مجموعات أصحاب المصلحة أيضا، وكذلك الشعوب الأصلية والمجتمعات المحلية، دورا مهما، بما في ذلك في حشد الموارد غير المالية.</w:t>
      </w:r>
    </w:p>
    <w:p w:rsidR="00164961" w:rsidRDefault="00164961" w:rsidP="00164961">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أبرزت عدة تقارير الحاجة إلى زيادة الموارد المالية بشكل كبير من أجل التنفيذ الفعال للإطار العالمي للتنوع البيولوجي. فعلى سبيل المثال، أشار تقرير منظمة حفظ الطبيعة </w:t>
      </w:r>
      <w:r>
        <w:rPr>
          <w:rFonts w:ascii="Times New Roman" w:hAnsi="Times New Roman" w:cs="Simplified Arabic"/>
          <w:szCs w:val="24"/>
          <w:lang w:val="en-GB" w:bidi="ar-EG"/>
        </w:rPr>
        <w:t>(TNC)</w:t>
      </w:r>
      <w:r>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معهد بولسون</w:t>
      </w:r>
      <w:r>
        <w:rPr>
          <w:rFonts w:ascii="Times New Roman" w:hAnsi="Times New Roman" w:cs="Simplified Arabic" w:hint="cs"/>
          <w:szCs w:val="24"/>
          <w:rtl/>
          <w:lang w:val="en-GB" w:bidi="ar-EG"/>
        </w:rPr>
        <w:t xml:space="preserve"> </w:t>
      </w:r>
      <w:r>
        <w:rPr>
          <w:rFonts w:ascii="Times New Roman" w:hAnsi="Times New Roman" w:cs="Simplified Arabic"/>
          <w:szCs w:val="24"/>
          <w:lang w:val="en-GB" w:bidi="ar-EG"/>
        </w:rPr>
        <w:t>(Paulson)</w:t>
      </w:r>
      <w:r>
        <w:rPr>
          <w:rFonts w:ascii="Times New Roman" w:hAnsi="Times New Roman" w:cs="Simplified Arabic" w:hint="cs"/>
          <w:szCs w:val="24"/>
          <w:rtl/>
          <w:lang w:val="en-GB" w:bidi="ar-EG"/>
        </w:rPr>
        <w:t xml:space="preserve"> إلى أنه </w:t>
      </w:r>
      <w:r w:rsidRPr="008D6DE1">
        <w:rPr>
          <w:rFonts w:ascii="Times New Roman" w:hAnsi="Times New Roman" w:cs="Simplified Arabic" w:hint="cs"/>
          <w:i/>
          <w:iCs/>
          <w:szCs w:val="24"/>
          <w:rtl/>
          <w:lang w:val="en-GB" w:bidi="ar-EG"/>
        </w:rPr>
        <w:t>ينبغي للأطراف أن تسد بشكل جماعي الفجوة التمويلية للتنوع البيولوجي (التي تُقدر بنحو 700 مليار دولار أمريكي في السنة) بحلول عام</w:t>
      </w:r>
      <w:r w:rsidRPr="008D6DE1">
        <w:rPr>
          <w:rFonts w:ascii="Times New Roman" w:hAnsi="Times New Roman" w:cs="Simplified Arabic" w:hint="eastAsia"/>
          <w:i/>
          <w:iCs/>
          <w:szCs w:val="24"/>
          <w:rtl/>
          <w:lang w:val="en-GB" w:bidi="ar-EG"/>
        </w:rPr>
        <w:t> </w:t>
      </w:r>
      <w:r w:rsidRPr="008D6DE1">
        <w:rPr>
          <w:rFonts w:ascii="Times New Roman" w:hAnsi="Times New Roman" w:cs="Simplified Arabic" w:hint="cs"/>
          <w:i/>
          <w:iCs/>
          <w:szCs w:val="24"/>
          <w:rtl/>
          <w:lang w:val="en-GB" w:bidi="ar-EG"/>
        </w:rPr>
        <w:t>2030، عن طريق زيادة التمويل للتنوع البيولوجي من جميع المصادر وكذلك عن طريق تقليل النفقات الضارة بالتنوع البيولوجي</w:t>
      </w:r>
      <w:r>
        <w:rPr>
          <w:rFonts w:ascii="Times New Roman" w:hAnsi="Times New Roman" w:cs="Simplified Arabic" w:hint="cs"/>
          <w:szCs w:val="24"/>
          <w:rtl/>
          <w:lang w:val="en-GB" w:bidi="ar-EG"/>
        </w:rPr>
        <w:t xml:space="preserve">. </w:t>
      </w:r>
    </w:p>
    <w:p w:rsidR="008D6DE1" w:rsidRDefault="008D6DE1" w:rsidP="008D6DE1">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يمكن أن تسهم إزالة الإعانات الضارة بالتنوع البيولوجي (التي تُقدر تحفظيا بنحو 500 مليار دولار أمريكي في السنة) في تقليل الاحتياجات المالية وكذلك في حشد موارد إضافية للتنوع البيولوجي، إذا تم تحويل جزء على الأقل من </w:t>
      </w:r>
      <w:proofErr w:type="spellStart"/>
      <w:r>
        <w:rPr>
          <w:rFonts w:ascii="Times New Roman" w:hAnsi="Times New Roman" w:cs="Simplified Arabic" w:hint="cs"/>
          <w:szCs w:val="24"/>
          <w:rtl/>
          <w:lang w:val="en-GB" w:bidi="ar-EG"/>
        </w:rPr>
        <w:t>الوفورات</w:t>
      </w:r>
      <w:proofErr w:type="spellEnd"/>
      <w:r>
        <w:rPr>
          <w:rFonts w:ascii="Times New Roman" w:hAnsi="Times New Roman" w:cs="Simplified Arabic" w:hint="cs"/>
          <w:szCs w:val="24"/>
          <w:rtl/>
          <w:lang w:val="en-GB" w:bidi="ar-EG"/>
        </w:rPr>
        <w:t xml:space="preserve"> الناتجة من إزالة الإعانات الضارة إلى نفقات لها أثر إيجابي على التنوع البيولوجي.</w:t>
      </w:r>
    </w:p>
    <w:p w:rsidR="008D6DE1" w:rsidRDefault="003E73E8" w:rsidP="003E73E8">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بالرغم من أن</w:t>
      </w:r>
      <w:r w:rsidR="008D6DE1">
        <w:rPr>
          <w:rFonts w:ascii="Times New Roman" w:hAnsi="Times New Roman" w:cs="Simplified Arabic" w:hint="cs"/>
          <w:szCs w:val="24"/>
          <w:rtl/>
          <w:lang w:val="en-GB" w:bidi="ar-EG"/>
        </w:rPr>
        <w:t xml:space="preserve"> الموارد المالية العامة، الدولية والمحلية على حد سواء،</w:t>
      </w:r>
      <w:r>
        <w:rPr>
          <w:rFonts w:ascii="Times New Roman" w:hAnsi="Times New Roman" w:cs="Simplified Arabic" w:hint="cs"/>
          <w:szCs w:val="24"/>
          <w:rtl/>
          <w:lang w:val="en-GB" w:bidi="ar-EG"/>
        </w:rPr>
        <w:t xml:space="preserve"> تظل</w:t>
      </w:r>
      <w:r w:rsidR="008D6DE1">
        <w:rPr>
          <w:rFonts w:ascii="Times New Roman" w:hAnsi="Times New Roman" w:cs="Simplified Arabic" w:hint="cs"/>
          <w:szCs w:val="24"/>
          <w:rtl/>
          <w:lang w:val="en-GB" w:bidi="ar-EG"/>
        </w:rPr>
        <w:t xml:space="preserve"> جزءا رئيسيا من المعادلة، لا يُرجح أن تواجه موارد القطاع العام وحدها هذا التحدي الخاص بالتمويل، وسيكتسي حشد رأس المال المؤسسي والخاص</w:t>
      </w:r>
      <w:r w:rsidR="00FD4B0E">
        <w:rPr>
          <w:rFonts w:ascii="Times New Roman" w:hAnsi="Times New Roman" w:cs="Simplified Arabic" w:hint="cs"/>
          <w:szCs w:val="24"/>
          <w:rtl/>
          <w:lang w:val="en-GB" w:bidi="ar-EG"/>
        </w:rPr>
        <w:t xml:space="preserve"> ومن جميع أنواع الجهات الفاعلة، بما في ذلك القطاع المالي، أهمية بالغة. </w:t>
      </w:r>
    </w:p>
    <w:p w:rsidR="00BD5802" w:rsidRDefault="00BD5802" w:rsidP="00BD5802">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يحظى الإطار العالمي للتنوع البيولوجي لما بعد عام 2020 بالقدرة على تعزيز التغيرات التحويلية في التمويل العالمي اللازم لتحقيق رؤية عام 2050 بشأن العيش في انسجام مع الطبيعة. ووفقا لاستعراض </w:t>
      </w:r>
      <w:proofErr w:type="spellStart"/>
      <w:r>
        <w:rPr>
          <w:rFonts w:ascii="Times New Roman" w:hAnsi="Times New Roman" w:cs="Simplified Arabic" w:hint="cs"/>
          <w:szCs w:val="24"/>
          <w:rtl/>
          <w:lang w:val="en-GB" w:bidi="ar-EG"/>
        </w:rPr>
        <w:t>دازغوبتا</w:t>
      </w:r>
      <w:proofErr w:type="spellEnd"/>
      <w:r>
        <w:rPr>
          <w:rFonts w:ascii="Times New Roman" w:hAnsi="Times New Roman" w:cs="Simplified Arabic" w:hint="cs"/>
          <w:szCs w:val="24"/>
          <w:rtl/>
          <w:lang w:val="en-GB" w:bidi="ar-EG"/>
        </w:rPr>
        <w:t xml:space="preserve"> </w:t>
      </w:r>
      <w:proofErr w:type="spellStart"/>
      <w:r>
        <w:rPr>
          <w:rFonts w:ascii="Times New Roman" w:hAnsi="Times New Roman" w:cs="Simplified Arabic"/>
          <w:szCs w:val="24"/>
          <w:lang w:val="en-GB" w:bidi="ar-EG"/>
        </w:rPr>
        <w:t>Dasgupta</w:t>
      </w:r>
      <w:proofErr w:type="spellEnd"/>
      <w:r>
        <w:rPr>
          <w:rFonts w:ascii="Times New Roman" w:hAnsi="Times New Roman" w:cs="Simplified Arabic" w:hint="cs"/>
          <w:szCs w:val="24"/>
          <w:rtl/>
          <w:lang w:val="en-GB" w:bidi="ar-EG"/>
        </w:rPr>
        <w:t xml:space="preserve"> (2021)، يكتسي نظامنا المالي العالمي أهمية بالغة لدعم انخراط أكثر استدامة مع الطبيعة، وبالتالي فإننا نحتاج إلى نظام مالي يوائم التدفقات المالية مع أهداف التنوع البيولوجي. وسيكون للحكومات والبنوك المركزية والمؤسسات المالية الدولية والمؤسسات المالية الخاصة دور في هذا الصدد. ويمكن للجهات الفاعلة المالية أيضا أن تساعد على إدارة وتخفيف المخاطر وحالات عدم اليقين الناتجة عن انخراطنا غير المستدام مع الطبيعة.</w:t>
      </w:r>
    </w:p>
    <w:p w:rsidR="00BD5802" w:rsidRDefault="00BD5802" w:rsidP="00BD5802">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"مواءمة التدفقات" تعني توجيه الاستثمارات المالية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العامة والخاصة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إلى الأنشطة الاقتصادية التي تعزز مخزوننا من الأصول الطبيعية وتشجع الاستهلاك والإنتاج المستدامين. وسيستلزم ذلك اتخاذ الإجراءات التالية من جانب المؤسسات المالية: </w:t>
      </w:r>
    </w:p>
    <w:p w:rsidR="00BD5802" w:rsidRDefault="00BD5802" w:rsidP="00BD5802">
      <w:pPr>
        <w:pStyle w:val="ListParagraph"/>
        <w:numPr>
          <w:ilvl w:val="0"/>
          <w:numId w:val="8"/>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إدارة مخاطر وتبعيات وآثار استثمارها على التنوع البيولوجي، من خلال اعتماد وتطبيق المعايير (البيئية والاجتماعية/معايير التنوع البيولوجي) ودمج هذه المخاطر المتعلقة بالطبيعة في قراراتها المالية (تخضير التمويل)؛</w:t>
      </w:r>
    </w:p>
    <w:p w:rsidR="00BD5802" w:rsidRDefault="00BD5802" w:rsidP="00C75E3C">
      <w:pPr>
        <w:pStyle w:val="ListParagraph"/>
        <w:numPr>
          <w:ilvl w:val="0"/>
          <w:numId w:val="8"/>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حشد التمويل </w:t>
      </w:r>
      <w:r w:rsidR="00C75E3C">
        <w:rPr>
          <w:rFonts w:ascii="Times New Roman" w:hAnsi="Times New Roman" w:cs="Simplified Arabic" w:hint="cs"/>
          <w:szCs w:val="24"/>
          <w:rtl/>
          <w:lang w:val="en-GB" w:bidi="ar-EG"/>
        </w:rPr>
        <w:t xml:space="preserve">من أجل اقتصاد مناصر للطبيعة/ذي تأثير إيجابي على الطبيعة </w:t>
      </w:r>
      <w:r w:rsidR="00C75E3C" w:rsidRPr="00C75E3C">
        <w:rPr>
          <w:rFonts w:ascii="Times New Roman" w:hAnsi="Times New Roman" w:cs="Simplified Arabic" w:hint="cs"/>
          <w:i/>
          <w:iCs/>
          <w:szCs w:val="24"/>
          <w:rtl/>
          <w:lang w:val="en-GB" w:bidi="ar-EG"/>
        </w:rPr>
        <w:t>(مشاريع الحفظ، وتعميم التنوع البيولوجي في القطاعات الاقتصادية من أجل استخدامه على نحو مستدام، وتمويل التحولات، والحلول القائمة على الطبيعة...)</w:t>
      </w:r>
      <w:r w:rsidR="00C75E3C">
        <w:rPr>
          <w:rFonts w:ascii="Times New Roman" w:hAnsi="Times New Roman" w:cs="Simplified Arabic" w:hint="cs"/>
          <w:szCs w:val="24"/>
          <w:rtl/>
          <w:lang w:val="en-GB" w:bidi="ar-EG"/>
        </w:rPr>
        <w:t xml:space="preserve"> ووضع آليات مالية مناسبة من قبيل التمويل المختلط (التمويل الأخضر)؛</w:t>
      </w:r>
    </w:p>
    <w:p w:rsidR="00C75E3C" w:rsidRDefault="00C75E3C" w:rsidP="00C75E3C">
      <w:pPr>
        <w:pStyle w:val="ListParagraph"/>
        <w:numPr>
          <w:ilvl w:val="0"/>
          <w:numId w:val="8"/>
        </w:numPr>
        <w:bidi/>
        <w:spacing w:after="120" w:line="216" w:lineRule="auto"/>
        <w:ind w:left="1134"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 xml:space="preserve">مساعدة البلدان، بما في ذلك من خلال المصارف الإنمائية العامة، في إعداد استراتيجيات وطنية وخطط تمويل وطنية للتنوع البيولوجي، وتهيئة بيئة </w:t>
      </w:r>
      <w:proofErr w:type="spellStart"/>
      <w:r>
        <w:rPr>
          <w:rFonts w:ascii="Times New Roman" w:hAnsi="Times New Roman" w:cs="Simplified Arabic" w:hint="cs"/>
          <w:szCs w:val="24"/>
          <w:rtl/>
          <w:lang w:val="en-GB" w:bidi="ar-EG"/>
        </w:rPr>
        <w:t>تمكينية</w:t>
      </w:r>
      <w:proofErr w:type="spellEnd"/>
      <w:r>
        <w:rPr>
          <w:rFonts w:ascii="Times New Roman" w:hAnsi="Times New Roman" w:cs="Simplified Arabic" w:hint="cs"/>
          <w:szCs w:val="24"/>
          <w:rtl/>
          <w:lang w:val="en-GB" w:bidi="ar-EG"/>
        </w:rPr>
        <w:t xml:space="preserve"> للقطاع المالي (اللوائح، والدعم، والأدوات القائمة على السوق، والحوافز...)؛</w:t>
      </w:r>
    </w:p>
    <w:p w:rsidR="00C75E3C" w:rsidRPr="00BD5802" w:rsidRDefault="00C75E3C" w:rsidP="00C75E3C">
      <w:pPr>
        <w:pStyle w:val="ListParagraph"/>
        <w:numPr>
          <w:ilvl w:val="0"/>
          <w:numId w:val="8"/>
        </w:numPr>
        <w:bidi/>
        <w:spacing w:after="120" w:line="216" w:lineRule="auto"/>
        <w:ind w:left="1134" w:hanging="567"/>
        <w:contextualSpacing w:val="0"/>
        <w:jc w:val="both"/>
        <w:rPr>
          <w:rFonts w:ascii="Times New Roman" w:hAnsi="Times New Roman" w:cs="Simplified Arabic" w:hint="cs"/>
          <w:szCs w:val="24"/>
          <w:lang w:val="en-GB" w:bidi="ar-EG"/>
        </w:rPr>
      </w:pPr>
      <w:r>
        <w:rPr>
          <w:rFonts w:ascii="Times New Roman" w:hAnsi="Times New Roman" w:cs="Simplified Arabic" w:hint="cs"/>
          <w:szCs w:val="24"/>
          <w:rtl/>
          <w:lang w:val="en-GB" w:bidi="ar-EG"/>
        </w:rPr>
        <w:t xml:space="preserve">الإبلاغ عن </w:t>
      </w:r>
      <w:proofErr w:type="spellStart"/>
      <w:r>
        <w:rPr>
          <w:rFonts w:ascii="Times New Roman" w:hAnsi="Times New Roman" w:cs="Simplified Arabic" w:hint="cs"/>
          <w:szCs w:val="24"/>
          <w:rtl/>
          <w:lang w:val="en-GB" w:bidi="ar-EG"/>
        </w:rPr>
        <w:t>مخاطرها</w:t>
      </w:r>
      <w:proofErr w:type="spellEnd"/>
      <w:r>
        <w:rPr>
          <w:rFonts w:ascii="Times New Roman" w:hAnsi="Times New Roman" w:cs="Simplified Arabic" w:hint="cs"/>
          <w:szCs w:val="24"/>
          <w:rtl/>
          <w:lang w:val="en-GB" w:bidi="ar-EG"/>
        </w:rPr>
        <w:t xml:space="preserve"> وفرصها المتعلقة بالطبيعة والإفصاح عنها (انظر أعمال فرقة العمل المعنية بالإفصاح المالي المتعلق بالطبيعة).</w:t>
      </w:r>
    </w:p>
    <w:p w:rsidR="00463044" w:rsidRDefault="00C75E3C" w:rsidP="00BD5802">
      <w:pPr>
        <w:pStyle w:val="ListParagraph"/>
        <w:numPr>
          <w:ilvl w:val="0"/>
          <w:numId w:val="6"/>
        </w:numPr>
        <w:bidi/>
        <w:spacing w:after="120" w:line="216" w:lineRule="auto"/>
        <w:ind w:left="567" w:hanging="567"/>
        <w:contextualSpacing w:val="0"/>
        <w:jc w:val="both"/>
        <w:rPr>
          <w:rFonts w:ascii="Times New Roman" w:hAnsi="Times New Roman" w:cs="Simplified Arabic"/>
          <w:szCs w:val="24"/>
          <w:lang w:val="en-GB" w:bidi="ar-EG"/>
        </w:rPr>
      </w:pPr>
      <w:r>
        <w:rPr>
          <w:rFonts w:ascii="Times New Roman" w:hAnsi="Times New Roman" w:cs="Simplified Arabic" w:hint="cs"/>
          <w:szCs w:val="24"/>
          <w:rtl/>
          <w:lang w:val="en-GB" w:bidi="ar-EG"/>
        </w:rPr>
        <w:lastRenderedPageBreak/>
        <w:t xml:space="preserve">هناك العديد من الفرص للاستجابة لجائحة فيروس كورونا </w:t>
      </w:r>
      <w:r>
        <w:rPr>
          <w:rFonts w:ascii="Times New Roman" w:hAnsi="Times New Roman" w:cs="Simplified Arabic"/>
          <w:szCs w:val="24"/>
          <w:lang w:val="en-GB" w:bidi="ar-EG"/>
        </w:rPr>
        <w:t>COVID-19</w:t>
      </w:r>
      <w:r>
        <w:rPr>
          <w:rFonts w:ascii="Times New Roman" w:hAnsi="Times New Roman" w:cs="Simplified Arabic" w:hint="cs"/>
          <w:szCs w:val="24"/>
          <w:rtl/>
          <w:lang w:val="en-GB" w:bidi="ar-EG"/>
        </w:rPr>
        <w:t>، بما في ذلك تدابير التحفيز القصير</w:t>
      </w:r>
      <w:r w:rsidR="003E73E8">
        <w:rPr>
          <w:rFonts w:ascii="Times New Roman" w:hAnsi="Times New Roman" w:cs="Simplified Arabic" w:hint="cs"/>
          <w:szCs w:val="24"/>
          <w:rtl/>
          <w:lang w:val="en-GB" w:bidi="ar-EG"/>
        </w:rPr>
        <w:t>ة</w:t>
      </w:r>
      <w:r>
        <w:rPr>
          <w:rFonts w:ascii="Times New Roman" w:hAnsi="Times New Roman" w:cs="Simplified Arabic" w:hint="cs"/>
          <w:szCs w:val="24"/>
          <w:rtl/>
          <w:lang w:val="en-GB" w:bidi="ar-EG"/>
        </w:rPr>
        <w:t xml:space="preserve"> الأجل وكذلك النُهج الطويلة الأجل من أجل "إعادة البناء بشكل أفضل" للمساهمة في تحقيق التنمية المستدامة، والحد من مخاطر الجائحات في المستقبل. </w:t>
      </w:r>
      <w:r w:rsidR="003E299E">
        <w:rPr>
          <w:rFonts w:ascii="Times New Roman" w:hAnsi="Times New Roman" w:cs="Simplified Arabic" w:hint="cs"/>
          <w:szCs w:val="24"/>
          <w:rtl/>
          <w:lang w:val="en-GB" w:bidi="ar-EG"/>
        </w:rPr>
        <w:t xml:space="preserve">وقد </w:t>
      </w:r>
      <w:r w:rsidR="003E73E8">
        <w:rPr>
          <w:rFonts w:ascii="Times New Roman" w:hAnsi="Times New Roman" w:cs="Simplified Arabic" w:hint="cs"/>
          <w:szCs w:val="24"/>
          <w:rtl/>
          <w:lang w:val="en-GB" w:bidi="ar-EG"/>
        </w:rPr>
        <w:t xml:space="preserve">حددت دراسات </w:t>
      </w:r>
      <w:r w:rsidR="003E299E">
        <w:rPr>
          <w:rFonts w:ascii="Times New Roman" w:hAnsi="Times New Roman" w:cs="Simplified Arabic" w:hint="cs"/>
          <w:szCs w:val="24"/>
          <w:rtl/>
          <w:lang w:val="en-GB" w:bidi="ar-EG"/>
        </w:rPr>
        <w:t>حديثة مجموعة من الخيارات لدمج اعتبارات التنوع البيولوجي في تدابير التحفيز والتعافي هذه. وتتضمن هذه الخيارات ما يلي: تعزيز وإنفاذ اللوائح المتعلقة باستخدام الأراضي، والاتجار بالحيوانات البرية، والتلوث؛ ومشاريع الفرز</w:t>
      </w:r>
      <w:r w:rsidR="002D6C7C">
        <w:rPr>
          <w:rFonts w:ascii="Times New Roman" w:hAnsi="Times New Roman" w:cs="Simplified Arabic" w:hint="cs"/>
          <w:szCs w:val="24"/>
          <w:rtl/>
          <w:lang w:val="en-GB" w:bidi="ar-EG"/>
        </w:rPr>
        <w:t xml:space="preserve"> والشرطية بشأن الآثار على التنوع البيولوجي، وتعزيز الوظائف، ودعم الدخل من أجل حفظ التنوع البيولوجي واستخدامه المستدام واستعادته؛ وتحسين الحوافز وإشراك قطاع الأعمال والقطاع المالي على غرار البنود التي نوقشت أعلاه. </w:t>
      </w:r>
    </w:p>
    <w:p w:rsidR="00463044" w:rsidRDefault="00463044" w:rsidP="00463044">
      <w:pPr>
        <w:keepNext/>
        <w:bidi/>
        <w:spacing w:after="120" w:line="216" w:lineRule="auto"/>
        <w:jc w:val="both"/>
        <w:rPr>
          <w:rFonts w:ascii="Times New Roman" w:hAnsi="Times New Roman" w:cs="Simplified Arabic"/>
          <w:szCs w:val="24"/>
          <w:u w:val="single"/>
          <w:rtl/>
          <w:lang w:val="en-GB" w:bidi="ar-EG"/>
        </w:rPr>
      </w:pPr>
      <w:r>
        <w:rPr>
          <w:rFonts w:ascii="Times New Roman" w:hAnsi="Times New Roman" w:cs="Simplified Arabic" w:hint="cs"/>
          <w:szCs w:val="24"/>
          <w:u w:val="single"/>
          <w:rtl/>
          <w:lang w:val="en-GB" w:bidi="ar-EG"/>
        </w:rPr>
        <w:t>أسئلة إرشادية</w:t>
      </w:r>
    </w:p>
    <w:p w:rsidR="00463044" w:rsidRPr="00776AB5" w:rsidRDefault="00463044" w:rsidP="00463044">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ما هي الفرص والتحديات لدى حكومتكم لإزالة الحوافز والإعانات الضارة أو إعادة توجيهها من أجل حفظ التنوع البيولوجي واستخدامه المستدام؟</w:t>
      </w:r>
    </w:p>
    <w:p w:rsidR="00463044" w:rsidRPr="00776AB5" w:rsidRDefault="00463044" w:rsidP="00463044">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ما هي الفرص والتحديات لدى حكومتكم لحشد موارد مالية إضافية من جميع المصادر، محليا ودوليا على حد سواء؟</w:t>
      </w:r>
    </w:p>
    <w:p w:rsidR="00463044" w:rsidRPr="00776AB5" w:rsidRDefault="00463044" w:rsidP="00463044">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 xml:space="preserve">كيف تعزز حكومتكم حفظ التنوع البيولوجي واستخدامه المستدام كجزء من التعافي المستدام من جائحة فيروس كورونا </w:t>
      </w:r>
      <w:r>
        <w:rPr>
          <w:rFonts w:ascii="Times New Roman" w:hAnsi="Times New Roman" w:cs="Simplified Arabic"/>
          <w:i/>
          <w:iCs/>
          <w:szCs w:val="24"/>
          <w:lang w:val="en-GB" w:bidi="ar-EG"/>
        </w:rPr>
        <w:t>COVID-19</w:t>
      </w:r>
      <w:r>
        <w:rPr>
          <w:rFonts w:ascii="Times New Roman" w:hAnsi="Times New Roman" w:cs="Simplified Arabic" w:hint="cs"/>
          <w:i/>
          <w:iCs/>
          <w:szCs w:val="24"/>
          <w:rtl/>
          <w:lang w:val="en-GB" w:bidi="ar-EG"/>
        </w:rPr>
        <w:t>؟</w:t>
      </w:r>
    </w:p>
    <w:p w:rsidR="00463044" w:rsidRPr="00776AB5" w:rsidRDefault="00463044" w:rsidP="00463044">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 xml:space="preserve">ما هي الفرص والتحديات لدى حكومتكم لتهيئة الظروف </w:t>
      </w:r>
      <w:proofErr w:type="spellStart"/>
      <w:r>
        <w:rPr>
          <w:rFonts w:ascii="Times New Roman" w:hAnsi="Times New Roman" w:cs="Simplified Arabic" w:hint="cs"/>
          <w:i/>
          <w:iCs/>
          <w:szCs w:val="24"/>
          <w:rtl/>
          <w:lang w:val="en-GB" w:bidi="ar-EG"/>
        </w:rPr>
        <w:t>التمكينية</w:t>
      </w:r>
      <w:proofErr w:type="spellEnd"/>
      <w:r>
        <w:rPr>
          <w:rFonts w:ascii="Times New Roman" w:hAnsi="Times New Roman" w:cs="Simplified Arabic" w:hint="cs"/>
          <w:i/>
          <w:iCs/>
          <w:szCs w:val="24"/>
          <w:rtl/>
          <w:lang w:val="en-GB" w:bidi="ar-EG"/>
        </w:rPr>
        <w:t xml:space="preserve"> لقطاع الأعمال والقطاع المالي لتقليل/إدارة المخاطر على التنوع البيولوجي وزيادة تمويلها للمشاريع ذات الأثر الإيجابي على الطبيعة؟</w:t>
      </w:r>
      <w:r w:rsidR="008537AA">
        <w:rPr>
          <w:rFonts w:ascii="Times New Roman" w:hAnsi="Times New Roman" w:cs="Simplified Arabic" w:hint="cs"/>
          <w:i/>
          <w:iCs/>
          <w:szCs w:val="24"/>
          <w:rtl/>
          <w:lang w:val="en-GB" w:bidi="ar-EG"/>
        </w:rPr>
        <w:t xml:space="preserve"> </w:t>
      </w:r>
      <w:bookmarkStart w:id="0" w:name="_GoBack"/>
      <w:bookmarkEnd w:id="0"/>
    </w:p>
    <w:p w:rsidR="00463044" w:rsidRPr="00776AB5" w:rsidRDefault="00463044" w:rsidP="00463044">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rtl/>
          <w:lang w:val="en-GB" w:bidi="ar-EG"/>
        </w:rPr>
      </w:pPr>
      <w:r>
        <w:rPr>
          <w:rFonts w:ascii="Times New Roman" w:hAnsi="Times New Roman" w:cs="Simplified Arabic" w:hint="cs"/>
          <w:i/>
          <w:iCs/>
          <w:szCs w:val="24"/>
          <w:rtl/>
          <w:lang w:val="en-GB" w:bidi="ar-EG"/>
        </w:rPr>
        <w:t>ما الذي كانت لتدرجه حكومتكم في خطة التمويل الوطنية للتنوع البيولوجي الخاصة بكم؟</w:t>
      </w:r>
    </w:p>
    <w:p w:rsidR="00DD062D" w:rsidRPr="00463044" w:rsidRDefault="005C3199" w:rsidP="00463044">
      <w:pPr>
        <w:bidi/>
        <w:spacing w:after="120" w:line="216" w:lineRule="auto"/>
        <w:jc w:val="both"/>
        <w:rPr>
          <w:rFonts w:ascii="Times New Roman" w:hAnsi="Times New Roman" w:cs="Simplified Arabic"/>
          <w:szCs w:val="24"/>
          <w:rtl/>
          <w:lang w:val="en-GB" w:bidi="ar-EG"/>
        </w:rPr>
      </w:pPr>
      <w:r w:rsidRPr="00463044">
        <w:rPr>
          <w:rFonts w:ascii="Times New Roman" w:hAnsi="Times New Roman" w:cs="Simplified Arabic" w:hint="cs"/>
          <w:i/>
          <w:iCs/>
          <w:szCs w:val="24"/>
          <w:rtl/>
          <w:lang w:val="en-GB" w:bidi="ar-EG"/>
        </w:rPr>
        <w:t xml:space="preserve"> </w:t>
      </w:r>
    </w:p>
    <w:sectPr w:rsidR="00DD062D" w:rsidRPr="00463044" w:rsidSect="00683BA5">
      <w:headerReference w:type="default" r:id="rId7"/>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9F" w:rsidRDefault="007B669F" w:rsidP="0037459B">
      <w:pPr>
        <w:spacing w:after="0" w:line="240" w:lineRule="auto"/>
      </w:pPr>
      <w:r>
        <w:separator/>
      </w:r>
    </w:p>
  </w:endnote>
  <w:endnote w:type="continuationSeparator" w:id="0">
    <w:p w:rsidR="007B669F" w:rsidRDefault="007B669F" w:rsidP="003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9F" w:rsidRDefault="007B669F" w:rsidP="0037459B">
      <w:pPr>
        <w:spacing w:after="0" w:line="240" w:lineRule="auto"/>
      </w:pPr>
      <w:r>
        <w:separator/>
      </w:r>
    </w:p>
  </w:footnote>
  <w:footnote w:type="continuationSeparator" w:id="0">
    <w:p w:rsidR="007B669F" w:rsidRDefault="007B669F" w:rsidP="0037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46362"/>
      <w:docPartObj>
        <w:docPartGallery w:val="Page Numbers (Top of Page)"/>
        <w:docPartUnique/>
      </w:docPartObj>
    </w:sdtPr>
    <w:sdtEndPr>
      <w:rPr>
        <w:rFonts w:ascii="Times New Roman" w:hAnsi="Times New Roman" w:cs="Times New Roman"/>
      </w:rPr>
    </w:sdtEndPr>
    <w:sdtContent>
      <w:p w:rsidR="00BF0F39" w:rsidRPr="00683BA5" w:rsidRDefault="006D4CF9">
        <w:pPr>
          <w:pStyle w:val="Header"/>
          <w:jc w:val="center"/>
          <w:rPr>
            <w:rFonts w:ascii="Times New Roman" w:hAnsi="Times New Roman" w:cs="Times New Roman"/>
          </w:rPr>
        </w:pPr>
        <w:r w:rsidRPr="00683BA5">
          <w:rPr>
            <w:rFonts w:ascii="Times New Roman" w:hAnsi="Times New Roman" w:cs="Times New Roman"/>
          </w:rPr>
          <w:fldChar w:fldCharType="begin"/>
        </w:r>
        <w:r w:rsidR="00BF0F39" w:rsidRPr="00683BA5">
          <w:rPr>
            <w:rFonts w:ascii="Times New Roman" w:hAnsi="Times New Roman" w:cs="Times New Roman"/>
          </w:rPr>
          <w:instrText xml:space="preserve"> PAGE   \* MERGEFORMAT </w:instrText>
        </w:r>
        <w:r w:rsidRPr="00683BA5">
          <w:rPr>
            <w:rFonts w:ascii="Times New Roman" w:hAnsi="Times New Roman" w:cs="Times New Roman"/>
          </w:rPr>
          <w:fldChar w:fldCharType="separate"/>
        </w:r>
        <w:r w:rsidR="008537AA">
          <w:rPr>
            <w:rFonts w:ascii="Times New Roman" w:hAnsi="Times New Roman" w:cs="Times New Roman"/>
            <w:noProof/>
          </w:rPr>
          <w:t>2</w:t>
        </w:r>
        <w:r w:rsidRPr="00683BA5">
          <w:rPr>
            <w:rFonts w:ascii="Times New Roman" w:hAnsi="Times New Roman" w:cs="Times New Roman"/>
          </w:rPr>
          <w:fldChar w:fldCharType="end"/>
        </w:r>
      </w:p>
    </w:sdtContent>
  </w:sdt>
  <w:p w:rsidR="00BF0F39" w:rsidRDefault="00BF0F39" w:rsidP="008D0213">
    <w:pPr>
      <w:pStyle w:val="Header"/>
      <w:bidi/>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15F6" w:rsidRPr="00683BA5" w:rsidTr="000B4D61">
      <w:tc>
        <w:tcPr>
          <w:tcW w:w="9576" w:type="dxa"/>
        </w:tcPr>
        <w:p w:rsidR="007515F6" w:rsidRDefault="00B4020B" w:rsidP="000B4D61">
          <w:r>
            <w:rPr>
              <w:noProof/>
              <w:lang w:val="en-GB" w:eastAsia="en-GB"/>
            </w:rPr>
            <w:drawing>
              <wp:inline distT="0" distB="0" distL="0" distR="0" wp14:anchorId="3203D581" wp14:editId="58227A92">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tc>
    </w:tr>
  </w:tbl>
  <w:p w:rsidR="00BF0F39" w:rsidRPr="007515F6" w:rsidRDefault="00BF0F39" w:rsidP="007515F6">
    <w:pPr>
      <w:pStyle w:val="Header"/>
      <w:tabs>
        <w:tab w:val="clear" w:pos="4680"/>
        <w:tab w:val="clear" w:pos="9360"/>
      </w:tabs>
      <w:bidi/>
      <w:rPr>
        <w:rFonts w:ascii="Times New Roman" w:hAnsi="Times New Roman"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B9"/>
    <w:multiLevelType w:val="hybridMultilevel"/>
    <w:tmpl w:val="B67895B6"/>
    <w:lvl w:ilvl="0" w:tplc="B712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3037"/>
    <w:multiLevelType w:val="hybridMultilevel"/>
    <w:tmpl w:val="D8CC91E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05560"/>
    <w:multiLevelType w:val="hybridMultilevel"/>
    <w:tmpl w:val="3F121AD6"/>
    <w:lvl w:ilvl="0" w:tplc="51220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8362B"/>
    <w:multiLevelType w:val="hybridMultilevel"/>
    <w:tmpl w:val="931888AA"/>
    <w:lvl w:ilvl="0" w:tplc="65841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83321"/>
    <w:multiLevelType w:val="hybridMultilevel"/>
    <w:tmpl w:val="51467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242DD3"/>
    <w:multiLevelType w:val="hybridMultilevel"/>
    <w:tmpl w:val="61124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6B04ED"/>
    <w:multiLevelType w:val="hybridMultilevel"/>
    <w:tmpl w:val="443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92FD7"/>
    <w:multiLevelType w:val="hybridMultilevel"/>
    <w:tmpl w:val="F7200B9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59B"/>
    <w:rsid w:val="00017189"/>
    <w:rsid w:val="00021D33"/>
    <w:rsid w:val="000260AB"/>
    <w:rsid w:val="00030CAE"/>
    <w:rsid w:val="0006506B"/>
    <w:rsid w:val="000C5B87"/>
    <w:rsid w:val="00100787"/>
    <w:rsid w:val="00164961"/>
    <w:rsid w:val="00177202"/>
    <w:rsid w:val="00181FE5"/>
    <w:rsid w:val="001B03F7"/>
    <w:rsid w:val="00204458"/>
    <w:rsid w:val="00265153"/>
    <w:rsid w:val="00277CD6"/>
    <w:rsid w:val="002D6C7C"/>
    <w:rsid w:val="002F14BA"/>
    <w:rsid w:val="002F6FD5"/>
    <w:rsid w:val="00310B26"/>
    <w:rsid w:val="003212BB"/>
    <w:rsid w:val="0037459B"/>
    <w:rsid w:val="00395B42"/>
    <w:rsid w:val="003A05E7"/>
    <w:rsid w:val="003D062C"/>
    <w:rsid w:val="003E299E"/>
    <w:rsid w:val="003E73E8"/>
    <w:rsid w:val="0040648C"/>
    <w:rsid w:val="004134B9"/>
    <w:rsid w:val="00417461"/>
    <w:rsid w:val="00451482"/>
    <w:rsid w:val="00463044"/>
    <w:rsid w:val="00472C3F"/>
    <w:rsid w:val="004868BD"/>
    <w:rsid w:val="004C5679"/>
    <w:rsid w:val="004D46FC"/>
    <w:rsid w:val="004E7147"/>
    <w:rsid w:val="004F5558"/>
    <w:rsid w:val="00510A75"/>
    <w:rsid w:val="00541DF6"/>
    <w:rsid w:val="005422B2"/>
    <w:rsid w:val="00543326"/>
    <w:rsid w:val="005632B0"/>
    <w:rsid w:val="00590EA5"/>
    <w:rsid w:val="00596E7F"/>
    <w:rsid w:val="005C2B4E"/>
    <w:rsid w:val="005C3199"/>
    <w:rsid w:val="00633B5D"/>
    <w:rsid w:val="006500F5"/>
    <w:rsid w:val="00683BA5"/>
    <w:rsid w:val="006B00AA"/>
    <w:rsid w:val="006D1750"/>
    <w:rsid w:val="006D4CF9"/>
    <w:rsid w:val="0071233E"/>
    <w:rsid w:val="007371CE"/>
    <w:rsid w:val="007515F6"/>
    <w:rsid w:val="00776AB5"/>
    <w:rsid w:val="007B669F"/>
    <w:rsid w:val="007D70B4"/>
    <w:rsid w:val="007F27B9"/>
    <w:rsid w:val="008130B3"/>
    <w:rsid w:val="008229E0"/>
    <w:rsid w:val="0084430A"/>
    <w:rsid w:val="008537AA"/>
    <w:rsid w:val="00866A12"/>
    <w:rsid w:val="008B2E0E"/>
    <w:rsid w:val="008B41F7"/>
    <w:rsid w:val="008C35CC"/>
    <w:rsid w:val="008D0213"/>
    <w:rsid w:val="008D6DE1"/>
    <w:rsid w:val="00966DED"/>
    <w:rsid w:val="009941D2"/>
    <w:rsid w:val="009A1C71"/>
    <w:rsid w:val="009E6402"/>
    <w:rsid w:val="00A1413A"/>
    <w:rsid w:val="00A654FC"/>
    <w:rsid w:val="00AB1597"/>
    <w:rsid w:val="00AB6386"/>
    <w:rsid w:val="00AF4883"/>
    <w:rsid w:val="00B4020B"/>
    <w:rsid w:val="00BB41FF"/>
    <w:rsid w:val="00BD5802"/>
    <w:rsid w:val="00BF0F39"/>
    <w:rsid w:val="00C02D88"/>
    <w:rsid w:val="00C157D1"/>
    <w:rsid w:val="00C75E3C"/>
    <w:rsid w:val="00C95307"/>
    <w:rsid w:val="00CD3833"/>
    <w:rsid w:val="00CE06BD"/>
    <w:rsid w:val="00CE0D22"/>
    <w:rsid w:val="00D12D4B"/>
    <w:rsid w:val="00D30C9F"/>
    <w:rsid w:val="00D56012"/>
    <w:rsid w:val="00D83677"/>
    <w:rsid w:val="00D84E65"/>
    <w:rsid w:val="00D853F1"/>
    <w:rsid w:val="00D86D37"/>
    <w:rsid w:val="00DD062D"/>
    <w:rsid w:val="00DD3055"/>
    <w:rsid w:val="00E46CFA"/>
    <w:rsid w:val="00F05FB1"/>
    <w:rsid w:val="00FA0118"/>
    <w:rsid w:val="00FD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776F0-B971-4215-BDF9-8AC9A8CF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Normal"/>
    <w:link w:val="Heading1Char"/>
    <w:qFormat/>
    <w:rsid w:val="00451482"/>
    <w:pPr>
      <w:keepNext/>
      <w:keepLines/>
      <w:spacing w:before="240" w:after="120" w:line="216" w:lineRule="auto"/>
      <w:outlineLvl w:val="0"/>
    </w:pPr>
    <w:rPr>
      <w:rFonts w:ascii="Times New Roman Bold" w:eastAsiaTheme="majorEastAsia" w:hAnsi="Times New Roman Bold"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9B"/>
  </w:style>
  <w:style w:type="paragraph" w:styleId="Footer">
    <w:name w:val="footer"/>
    <w:basedOn w:val="Normal"/>
    <w:link w:val="FooterChar"/>
    <w:uiPriority w:val="99"/>
    <w:unhideWhenUsed/>
    <w:rsid w:val="0037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9B"/>
  </w:style>
  <w:style w:type="paragraph" w:styleId="BalloonText">
    <w:name w:val="Balloon Text"/>
    <w:basedOn w:val="Normal"/>
    <w:link w:val="BalloonTextChar"/>
    <w:uiPriority w:val="99"/>
    <w:semiHidden/>
    <w:unhideWhenUsed/>
    <w:rsid w:val="003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9B"/>
    <w:rPr>
      <w:rFonts w:ascii="Tahoma" w:hAnsi="Tahoma" w:cs="Tahoma"/>
      <w:sz w:val="16"/>
      <w:szCs w:val="16"/>
    </w:rPr>
  </w:style>
  <w:style w:type="table" w:styleId="TableGrid">
    <w:name w:val="Table Grid"/>
    <w:basedOn w:val="TableNormal"/>
    <w:uiPriority w:val="59"/>
    <w:rsid w:val="0037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C157D1"/>
    <w:rPr>
      <w:rFonts w:cs="Times New Roman"/>
      <w:color w:val="0000FF"/>
      <w:u w:val="single"/>
    </w:rPr>
  </w:style>
  <w:style w:type="paragraph" w:styleId="ListParagraph">
    <w:name w:val="List Paragraph"/>
    <w:basedOn w:val="Normal"/>
    <w:uiPriority w:val="34"/>
    <w:qFormat/>
    <w:rsid w:val="00C157D1"/>
    <w:pPr>
      <w:ind w:left="720"/>
      <w:contextualSpacing/>
    </w:pPr>
  </w:style>
  <w:style w:type="paragraph" w:styleId="Title">
    <w:name w:val="Title"/>
    <w:basedOn w:val="Normal"/>
    <w:next w:val="Normal"/>
    <w:link w:val="TitleChar"/>
    <w:uiPriority w:val="10"/>
    <w:qFormat/>
    <w:rsid w:val="00451482"/>
    <w:pPr>
      <w:spacing w:after="240" w:line="216" w:lineRule="auto"/>
    </w:pPr>
    <w:rPr>
      <w:rFonts w:ascii="Times New Roman" w:eastAsiaTheme="majorEastAsia" w:hAnsi="Times New Roman" w:cs="Simplified Arabic"/>
      <w:b/>
      <w:bCs/>
      <w:spacing w:val="-10"/>
      <w:kern w:val="28"/>
      <w:sz w:val="24"/>
      <w:szCs w:val="24"/>
    </w:rPr>
  </w:style>
  <w:style w:type="character" w:customStyle="1" w:styleId="TitleChar">
    <w:name w:val="Title Char"/>
    <w:basedOn w:val="DefaultParagraphFont"/>
    <w:link w:val="Title"/>
    <w:uiPriority w:val="10"/>
    <w:rsid w:val="00451482"/>
    <w:rPr>
      <w:rFonts w:ascii="Times New Roman" w:eastAsiaTheme="majorEastAsia" w:hAnsi="Times New Roman" w:cs="Simplified Arabic"/>
      <w:b/>
      <w:bCs/>
      <w:spacing w:val="-10"/>
      <w:kern w:val="28"/>
      <w:sz w:val="24"/>
      <w:szCs w:val="24"/>
    </w:rPr>
  </w:style>
  <w:style w:type="character" w:customStyle="1" w:styleId="Heading1Char">
    <w:name w:val="Heading 1 Char"/>
    <w:basedOn w:val="DefaultParagraphFont"/>
    <w:link w:val="Heading1"/>
    <w:rsid w:val="00451482"/>
    <w:rPr>
      <w:rFonts w:ascii="Times New Roman Bold" w:eastAsiaTheme="majorEastAsia" w:hAnsi="Times New Roman Bold"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ShawkiMostafa/MahaLabib</dc:creator>
  <cp:lastModifiedBy>Ahmed OSMAN</cp:lastModifiedBy>
  <cp:revision>36</cp:revision>
  <cp:lastPrinted>2021-09-20T12:01:00Z</cp:lastPrinted>
  <dcterms:created xsi:type="dcterms:W3CDTF">2021-09-17T15:16:00Z</dcterms:created>
  <dcterms:modified xsi:type="dcterms:W3CDTF">2021-09-30T02:04:00Z</dcterms:modified>
</cp:coreProperties>
</file>