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89" w:type="dxa"/>
        <w:tblBorders>
          <w:bottom w:val="single" w:sz="30" w:space="0" w:color="000000"/>
        </w:tblBorders>
        <w:tblLayout w:type="fixed"/>
        <w:tblLook w:val="0000" w:firstRow="0" w:lastRow="0" w:firstColumn="0" w:lastColumn="0" w:noHBand="0" w:noVBand="0"/>
      </w:tblPr>
      <w:tblGrid>
        <w:gridCol w:w="17"/>
        <w:gridCol w:w="1117"/>
        <w:gridCol w:w="1493"/>
        <w:gridCol w:w="2611"/>
        <w:gridCol w:w="1530"/>
        <w:gridCol w:w="3058"/>
        <w:gridCol w:w="63"/>
      </w:tblGrid>
      <w:tr w:rsidR="009F758F" w:rsidTr="009F758F">
        <w:trPr>
          <w:gridBefore w:val="1"/>
          <w:gridAfter w:val="1"/>
          <w:wBefore w:w="17" w:type="dxa"/>
          <w:wAfter w:w="63" w:type="dxa"/>
          <w:trHeight w:val="851"/>
        </w:trPr>
        <w:tc>
          <w:tcPr>
            <w:tcW w:w="1117" w:type="dxa"/>
            <w:tcBorders>
              <w:bottom w:val="single" w:sz="12" w:space="0" w:color="000000"/>
            </w:tcBorders>
          </w:tcPr>
          <w:p w:rsidR="009F758F" w:rsidRPr="009F758F" w:rsidRDefault="009F758F" w:rsidP="009F758F">
            <w:pPr>
              <w:suppressLineNumbers/>
              <w:suppressAutoHyphens/>
              <w:rPr>
                <w:noProof/>
                <w:lang w:val="en-CA" w:eastAsia="en-CA"/>
              </w:rPr>
            </w:pPr>
            <w:r w:rsidRPr="009F758F">
              <w:rPr>
                <w:noProof/>
                <w:lang w:val="en-CA" w:eastAsia="en-CA"/>
              </w:rPr>
              <w:drawing>
                <wp:inline distT="0" distB="0" distL="0" distR="0" wp14:anchorId="125633C1" wp14:editId="100C22D9">
                  <wp:extent cx="476494" cy="403200"/>
                  <wp:effectExtent l="0" t="0" r="6350" b="3810"/>
                  <wp:docPr id="12" name="Picture 12"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494" cy="403200"/>
                          </a:xfrm>
                          <a:prstGeom prst="rect">
                            <a:avLst/>
                          </a:prstGeom>
                          <a:noFill/>
                          <a:ln>
                            <a:noFill/>
                          </a:ln>
                        </pic:spPr>
                      </pic:pic>
                    </a:graphicData>
                  </a:graphic>
                </wp:inline>
              </w:drawing>
            </w:r>
          </w:p>
        </w:tc>
        <w:tc>
          <w:tcPr>
            <w:tcW w:w="1493" w:type="dxa"/>
            <w:tcBorders>
              <w:bottom w:val="single" w:sz="12" w:space="0" w:color="000000"/>
            </w:tcBorders>
          </w:tcPr>
          <w:p w:rsidR="009F758F" w:rsidRPr="009F758F" w:rsidRDefault="009F758F" w:rsidP="009F758F">
            <w:pPr>
              <w:suppressLineNumbers/>
              <w:suppressAutoHyphens/>
              <w:rPr>
                <w:noProof/>
                <w:lang w:val="en-CA" w:eastAsia="en-CA"/>
              </w:rPr>
            </w:pPr>
            <w:r w:rsidRPr="009F758F">
              <w:rPr>
                <w:noProof/>
                <w:lang w:val="en-CA" w:eastAsia="en-CA"/>
              </w:rPr>
              <w:drawing>
                <wp:inline distT="0" distB="0" distL="0" distR="0" wp14:anchorId="3CA186FE" wp14:editId="1BC4A5E7">
                  <wp:extent cx="343700" cy="403200"/>
                  <wp:effectExtent l="0" t="0" r="12065" b="3810"/>
                  <wp:docPr id="13" name="Picture 13" descr="Macintosh HD:Users:bilodeau:Desktop:logos:template 2017:unep-ol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odeau:Desktop:logos:template 2017:unep-old.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700" cy="403200"/>
                          </a:xfrm>
                          <a:prstGeom prst="rect">
                            <a:avLst/>
                          </a:prstGeom>
                          <a:noFill/>
                          <a:ln>
                            <a:noFill/>
                          </a:ln>
                        </pic:spPr>
                      </pic:pic>
                    </a:graphicData>
                  </a:graphic>
                </wp:inline>
              </w:drawing>
            </w:r>
          </w:p>
        </w:tc>
        <w:tc>
          <w:tcPr>
            <w:tcW w:w="7199" w:type="dxa"/>
            <w:gridSpan w:val="3"/>
            <w:tcBorders>
              <w:bottom w:val="single" w:sz="12" w:space="0" w:color="000000"/>
            </w:tcBorders>
          </w:tcPr>
          <w:p w:rsidR="009F758F" w:rsidRPr="009F758F" w:rsidRDefault="009F758F" w:rsidP="009F758F">
            <w:pPr>
              <w:suppressLineNumbers/>
              <w:suppressAutoHyphens/>
              <w:jc w:val="right"/>
              <w:rPr>
                <w:rFonts w:ascii="Univers" w:hAnsi="Univers"/>
                <w:b/>
                <w:snapToGrid w:val="0"/>
                <w:kern w:val="22"/>
                <w:sz w:val="32"/>
                <w:szCs w:val="32"/>
              </w:rPr>
            </w:pPr>
            <w:r w:rsidRPr="009F758F">
              <w:rPr>
                <w:rFonts w:ascii="Univers" w:hAnsi="Univers"/>
                <w:b/>
                <w:snapToGrid w:val="0"/>
                <w:kern w:val="22"/>
                <w:sz w:val="32"/>
                <w:szCs w:val="32"/>
              </w:rPr>
              <w:t>CBD</w:t>
            </w:r>
          </w:p>
        </w:tc>
      </w:tr>
      <w:tr w:rsidR="0037476A" w:rsidRPr="00576654" w:rsidTr="00C31DCB">
        <w:trPr>
          <w:trHeight w:val="1925"/>
        </w:trPr>
        <w:tc>
          <w:tcPr>
            <w:tcW w:w="5238" w:type="dxa"/>
            <w:gridSpan w:val="4"/>
          </w:tcPr>
          <w:p w:rsidR="0037476A" w:rsidRPr="00576654" w:rsidRDefault="009A17A5" w:rsidP="0037476A">
            <w:pPr>
              <w:suppressLineNumbers/>
              <w:suppressAutoHyphens/>
              <w:jc w:val="left"/>
              <w:rPr>
                <w:snapToGrid w:val="0"/>
                <w:kern w:val="22"/>
                <w:szCs w:val="22"/>
              </w:rPr>
            </w:pPr>
            <w:r w:rsidRPr="00576654">
              <w:rPr>
                <w:noProof/>
                <w:kern w:val="22"/>
                <w:szCs w:val="22"/>
                <w:lang w:val="en-CA" w:eastAsia="en-CA"/>
              </w:rPr>
              <w:drawing>
                <wp:inline distT="0" distB="0" distL="0" distR="0" wp14:anchorId="60CBB0E5" wp14:editId="014E3183">
                  <wp:extent cx="2840990" cy="1085850"/>
                  <wp:effectExtent l="0" t="0" r="0" b="0"/>
                  <wp:docPr id="1" name="Picture 1" descr="CBD_logo_CMYK_black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_logo_CMYK_black [Conver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0990" cy="1085850"/>
                          </a:xfrm>
                          <a:prstGeom prst="rect">
                            <a:avLst/>
                          </a:prstGeom>
                          <a:noFill/>
                          <a:ln>
                            <a:noFill/>
                          </a:ln>
                        </pic:spPr>
                      </pic:pic>
                    </a:graphicData>
                  </a:graphic>
                </wp:inline>
              </w:drawing>
            </w:r>
          </w:p>
        </w:tc>
        <w:tc>
          <w:tcPr>
            <w:tcW w:w="1530" w:type="dxa"/>
          </w:tcPr>
          <w:p w:rsidR="0037476A" w:rsidRPr="009F758F" w:rsidRDefault="0037476A" w:rsidP="0037476A">
            <w:pPr>
              <w:suppressLineNumbers/>
              <w:suppressAutoHyphens/>
              <w:rPr>
                <w:snapToGrid w:val="0"/>
                <w:kern w:val="22"/>
                <w:szCs w:val="22"/>
              </w:rPr>
            </w:pPr>
          </w:p>
        </w:tc>
        <w:tc>
          <w:tcPr>
            <w:tcW w:w="3121" w:type="dxa"/>
            <w:gridSpan w:val="2"/>
          </w:tcPr>
          <w:p w:rsidR="0037476A" w:rsidRPr="009F758F" w:rsidRDefault="0037476A" w:rsidP="0037476A">
            <w:pPr>
              <w:suppressLineNumbers/>
              <w:suppressAutoHyphens/>
              <w:jc w:val="left"/>
              <w:rPr>
                <w:snapToGrid w:val="0"/>
                <w:kern w:val="22"/>
                <w:szCs w:val="22"/>
                <w:lang w:val="sv-SE"/>
              </w:rPr>
            </w:pPr>
            <w:r w:rsidRPr="009F758F">
              <w:rPr>
                <w:snapToGrid w:val="0"/>
                <w:kern w:val="22"/>
                <w:szCs w:val="22"/>
                <w:lang w:val="sv-SE"/>
              </w:rPr>
              <w:t>Distr.</w:t>
            </w:r>
          </w:p>
          <w:p w:rsidR="0037476A" w:rsidRPr="009F758F" w:rsidRDefault="0037476A" w:rsidP="0037476A">
            <w:pPr>
              <w:suppressLineNumbers/>
              <w:suppressAutoHyphens/>
              <w:jc w:val="left"/>
              <w:rPr>
                <w:b/>
                <w:snapToGrid w:val="0"/>
                <w:kern w:val="22"/>
                <w:szCs w:val="22"/>
                <w:lang w:val="sv-SE"/>
              </w:rPr>
            </w:pPr>
            <w:r w:rsidRPr="009F758F">
              <w:rPr>
                <w:snapToGrid w:val="0"/>
                <w:kern w:val="22"/>
                <w:szCs w:val="22"/>
                <w:lang w:val="sv-SE"/>
              </w:rPr>
              <w:t>GENERAL</w:t>
            </w:r>
          </w:p>
          <w:p w:rsidR="0037476A" w:rsidRPr="009F758F" w:rsidRDefault="0037476A" w:rsidP="0037476A">
            <w:pPr>
              <w:suppressLineNumbers/>
              <w:suppressAutoHyphens/>
              <w:rPr>
                <w:snapToGrid w:val="0"/>
                <w:kern w:val="22"/>
                <w:szCs w:val="22"/>
                <w:lang w:val="sv-SE"/>
              </w:rPr>
            </w:pPr>
          </w:p>
          <w:p w:rsidR="0037476A" w:rsidRPr="009F758F" w:rsidRDefault="0037476A" w:rsidP="0037476A">
            <w:pPr>
              <w:suppressLineNumbers/>
              <w:tabs>
                <w:tab w:val="left" w:pos="0"/>
              </w:tabs>
              <w:suppressAutoHyphens/>
              <w:ind w:right="-137"/>
              <w:rPr>
                <w:snapToGrid w:val="0"/>
                <w:kern w:val="22"/>
                <w:szCs w:val="22"/>
                <w:lang w:val="sv-SE"/>
              </w:rPr>
            </w:pPr>
            <w:r w:rsidRPr="009F758F">
              <w:rPr>
                <w:snapToGrid w:val="0"/>
                <w:kern w:val="22"/>
                <w:szCs w:val="22"/>
                <w:lang w:val="sv-SE"/>
              </w:rPr>
              <w:t>CBD/SBSTTA/</w:t>
            </w:r>
            <w:r w:rsidR="00E23DFD" w:rsidRPr="009F758F">
              <w:rPr>
                <w:snapToGrid w:val="0"/>
                <w:kern w:val="22"/>
                <w:szCs w:val="22"/>
                <w:lang w:val="sv-SE"/>
              </w:rPr>
              <w:t>22</w:t>
            </w:r>
            <w:r w:rsidRPr="009F758F">
              <w:rPr>
                <w:snapToGrid w:val="0"/>
                <w:kern w:val="22"/>
                <w:szCs w:val="22"/>
                <w:lang w:val="sv-SE"/>
              </w:rPr>
              <w:t>/INF/</w:t>
            </w:r>
            <w:r w:rsidR="003661C6" w:rsidRPr="009F758F">
              <w:rPr>
                <w:snapToGrid w:val="0"/>
                <w:kern w:val="22"/>
                <w:szCs w:val="22"/>
                <w:lang w:val="sv-SE"/>
              </w:rPr>
              <w:t>30</w:t>
            </w:r>
          </w:p>
          <w:p w:rsidR="0037476A" w:rsidRPr="009F758F" w:rsidRDefault="00875044" w:rsidP="0037476A">
            <w:pPr>
              <w:suppressLineNumbers/>
              <w:tabs>
                <w:tab w:val="left" w:pos="0"/>
              </w:tabs>
              <w:suppressAutoHyphens/>
              <w:rPr>
                <w:snapToGrid w:val="0"/>
                <w:kern w:val="22"/>
                <w:szCs w:val="22"/>
                <w:lang w:val="sv-SE"/>
              </w:rPr>
            </w:pPr>
            <w:r w:rsidRPr="009F758F">
              <w:rPr>
                <w:snapToGrid w:val="0"/>
                <w:kern w:val="22"/>
                <w:szCs w:val="22"/>
                <w:lang w:val="sv-SE"/>
              </w:rPr>
              <w:t>6</w:t>
            </w:r>
            <w:r w:rsidR="0037476A" w:rsidRPr="009F758F">
              <w:rPr>
                <w:snapToGrid w:val="0"/>
                <w:kern w:val="22"/>
                <w:szCs w:val="22"/>
                <w:lang w:val="sv-SE"/>
              </w:rPr>
              <w:t xml:space="preserve"> </w:t>
            </w:r>
            <w:r w:rsidR="00E23DFD" w:rsidRPr="009F758F">
              <w:rPr>
                <w:snapToGrid w:val="0"/>
                <w:kern w:val="22"/>
                <w:szCs w:val="22"/>
                <w:lang w:val="sv-SE"/>
              </w:rPr>
              <w:t>June</w:t>
            </w:r>
            <w:r w:rsidR="0037476A" w:rsidRPr="009F758F">
              <w:rPr>
                <w:snapToGrid w:val="0"/>
                <w:kern w:val="22"/>
                <w:szCs w:val="22"/>
                <w:lang w:val="sv-SE"/>
              </w:rPr>
              <w:t xml:space="preserve"> 201</w:t>
            </w:r>
            <w:r w:rsidR="00E23DFD" w:rsidRPr="009F758F">
              <w:rPr>
                <w:snapToGrid w:val="0"/>
                <w:kern w:val="22"/>
                <w:szCs w:val="22"/>
                <w:lang w:val="sv-SE"/>
              </w:rPr>
              <w:t>8</w:t>
            </w:r>
          </w:p>
          <w:p w:rsidR="0037476A" w:rsidRPr="009F758F" w:rsidRDefault="0037476A" w:rsidP="0037476A">
            <w:pPr>
              <w:suppressLineNumbers/>
              <w:suppressAutoHyphens/>
              <w:rPr>
                <w:snapToGrid w:val="0"/>
                <w:kern w:val="22"/>
                <w:szCs w:val="22"/>
                <w:lang w:val="sv-SE"/>
              </w:rPr>
            </w:pPr>
          </w:p>
          <w:p w:rsidR="0037476A" w:rsidRPr="009F758F" w:rsidRDefault="0037476A" w:rsidP="0037476A">
            <w:pPr>
              <w:suppressLineNumbers/>
              <w:suppressAutoHyphens/>
              <w:rPr>
                <w:rFonts w:ascii="Courier New" w:hAnsi="Courier New"/>
                <w:snapToGrid w:val="0"/>
                <w:kern w:val="22"/>
                <w:szCs w:val="22"/>
              </w:rPr>
            </w:pPr>
            <w:r w:rsidRPr="009F758F">
              <w:rPr>
                <w:snapToGrid w:val="0"/>
                <w:kern w:val="22"/>
                <w:szCs w:val="22"/>
              </w:rPr>
              <w:t>ENGLISH</w:t>
            </w:r>
            <w:r w:rsidR="00E23DFD" w:rsidRPr="009F758F">
              <w:rPr>
                <w:snapToGrid w:val="0"/>
                <w:kern w:val="22"/>
                <w:szCs w:val="22"/>
              </w:rPr>
              <w:t xml:space="preserve"> ONLY</w:t>
            </w:r>
          </w:p>
        </w:tc>
      </w:tr>
    </w:tbl>
    <w:p w:rsidR="0037476A" w:rsidRPr="00576654" w:rsidRDefault="0037476A" w:rsidP="0037476A">
      <w:pPr>
        <w:spacing w:line="259" w:lineRule="auto"/>
        <w:jc w:val="left"/>
        <w:rPr>
          <w:rFonts w:cs="Times New Roman"/>
          <w:snapToGrid w:val="0"/>
          <w:kern w:val="22"/>
          <w:szCs w:val="22"/>
          <w:vertAlign w:val="superscript"/>
        </w:rPr>
      </w:pPr>
      <w:bookmarkStart w:id="0" w:name="_GoBack"/>
      <w:bookmarkEnd w:id="0"/>
    </w:p>
    <w:tbl>
      <w:tblPr>
        <w:tblW w:w="9692" w:type="dxa"/>
        <w:tblInd w:w="108" w:type="dxa"/>
        <w:tblLayout w:type="fixed"/>
        <w:tblLook w:val="04A0" w:firstRow="1" w:lastRow="0" w:firstColumn="1" w:lastColumn="0" w:noHBand="0" w:noVBand="1"/>
      </w:tblPr>
      <w:tblGrid>
        <w:gridCol w:w="5040"/>
        <w:gridCol w:w="4652"/>
      </w:tblGrid>
      <w:tr w:rsidR="00576654" w:rsidRPr="00576654" w:rsidTr="00815424">
        <w:tc>
          <w:tcPr>
            <w:tcW w:w="5040" w:type="dxa"/>
            <w:shd w:val="clear" w:color="auto" w:fill="auto"/>
          </w:tcPr>
          <w:p w:rsidR="00885A82" w:rsidRPr="00576654" w:rsidRDefault="00885A82" w:rsidP="00885A82">
            <w:pPr>
              <w:suppressLineNumbers/>
              <w:suppressAutoHyphens/>
              <w:kinsoku w:val="0"/>
              <w:overflowPunct w:val="0"/>
              <w:autoSpaceDE w:val="0"/>
              <w:autoSpaceDN w:val="0"/>
              <w:ind w:left="170" w:hanging="170"/>
              <w:jc w:val="left"/>
              <w:rPr>
                <w:rFonts w:eastAsia="Calibri" w:cs="Times New Roman"/>
                <w:snapToGrid w:val="0"/>
                <w:kern w:val="22"/>
                <w:szCs w:val="22"/>
              </w:rPr>
            </w:pPr>
            <w:r w:rsidRPr="00576654">
              <w:rPr>
                <w:rFonts w:eastAsia="Calibri" w:cs="Times New Roman"/>
                <w:snapToGrid w:val="0"/>
                <w:kern w:val="22"/>
                <w:szCs w:val="22"/>
              </w:rPr>
              <w:t>SUBSIDIARY BODY ON SCIENTIFIC, TECHNICAL AND TECHNOLOGICAL ADVICE</w:t>
            </w:r>
          </w:p>
          <w:p w:rsidR="00885A82" w:rsidRPr="00576654" w:rsidRDefault="00885A82" w:rsidP="00885A82">
            <w:pPr>
              <w:suppressLineNumbers/>
              <w:suppressAutoHyphens/>
              <w:kinsoku w:val="0"/>
              <w:overflowPunct w:val="0"/>
              <w:autoSpaceDE w:val="0"/>
              <w:autoSpaceDN w:val="0"/>
              <w:ind w:left="170" w:hanging="170"/>
              <w:jc w:val="left"/>
              <w:rPr>
                <w:rFonts w:eastAsia="Calibri" w:cs="Times New Roman"/>
                <w:snapToGrid w:val="0"/>
                <w:kern w:val="22"/>
                <w:szCs w:val="22"/>
              </w:rPr>
            </w:pPr>
            <w:r w:rsidRPr="00576654">
              <w:rPr>
                <w:rFonts w:eastAsia="Calibri" w:cs="Times New Roman"/>
                <w:snapToGrid w:val="0"/>
                <w:kern w:val="22"/>
                <w:szCs w:val="22"/>
              </w:rPr>
              <w:t>Twent</w:t>
            </w:r>
            <w:r w:rsidR="00E23DFD" w:rsidRPr="00576654">
              <w:rPr>
                <w:rFonts w:eastAsia="Calibri" w:cs="Times New Roman"/>
                <w:snapToGrid w:val="0"/>
                <w:kern w:val="22"/>
                <w:szCs w:val="22"/>
              </w:rPr>
              <w:t xml:space="preserve">y-second </w:t>
            </w:r>
            <w:r w:rsidRPr="00576654">
              <w:rPr>
                <w:rFonts w:eastAsia="Calibri" w:cs="Times New Roman"/>
                <w:snapToGrid w:val="0"/>
                <w:kern w:val="22"/>
                <w:szCs w:val="22"/>
              </w:rPr>
              <w:t>meeting</w:t>
            </w:r>
          </w:p>
          <w:p w:rsidR="00885A82" w:rsidRPr="00576654" w:rsidRDefault="00885A82" w:rsidP="00885A82">
            <w:pPr>
              <w:suppressLineNumbers/>
              <w:suppressAutoHyphens/>
              <w:kinsoku w:val="0"/>
              <w:overflowPunct w:val="0"/>
              <w:autoSpaceDE w:val="0"/>
              <w:autoSpaceDN w:val="0"/>
              <w:ind w:left="170" w:hanging="170"/>
              <w:jc w:val="left"/>
              <w:rPr>
                <w:rFonts w:eastAsia="Calibri" w:cs="Times New Roman"/>
                <w:snapToGrid w:val="0"/>
                <w:kern w:val="22"/>
                <w:szCs w:val="22"/>
              </w:rPr>
            </w:pPr>
            <w:r w:rsidRPr="00576654">
              <w:rPr>
                <w:rFonts w:eastAsia="Calibri" w:cs="Times New Roman"/>
                <w:snapToGrid w:val="0"/>
                <w:kern w:val="22"/>
                <w:szCs w:val="22"/>
              </w:rPr>
              <w:t xml:space="preserve">Montreal, Canada, </w:t>
            </w:r>
            <w:r w:rsidR="00815424" w:rsidRPr="00576654">
              <w:rPr>
                <w:rFonts w:eastAsia="Calibri" w:cs="Times New Roman"/>
                <w:snapToGrid w:val="0"/>
                <w:kern w:val="22"/>
                <w:szCs w:val="22"/>
              </w:rPr>
              <w:t>2-7</w:t>
            </w:r>
            <w:r w:rsidR="00E23DFD" w:rsidRPr="00576654">
              <w:rPr>
                <w:rFonts w:eastAsia="Calibri" w:cs="Times New Roman"/>
                <w:snapToGrid w:val="0"/>
                <w:kern w:val="22"/>
                <w:szCs w:val="22"/>
              </w:rPr>
              <w:t xml:space="preserve"> July</w:t>
            </w:r>
            <w:r w:rsidRPr="00576654">
              <w:rPr>
                <w:rFonts w:eastAsia="Calibri" w:cs="Times New Roman"/>
                <w:snapToGrid w:val="0"/>
                <w:kern w:val="22"/>
                <w:szCs w:val="22"/>
              </w:rPr>
              <w:t xml:space="preserve"> 201</w:t>
            </w:r>
            <w:r w:rsidR="00E23DFD" w:rsidRPr="00576654">
              <w:rPr>
                <w:rFonts w:eastAsia="Calibri" w:cs="Times New Roman"/>
                <w:snapToGrid w:val="0"/>
                <w:kern w:val="22"/>
                <w:szCs w:val="22"/>
              </w:rPr>
              <w:t>8</w:t>
            </w:r>
          </w:p>
          <w:p w:rsidR="009F758F" w:rsidRPr="00576654" w:rsidRDefault="00AB229D" w:rsidP="009F758F">
            <w:pPr>
              <w:suppressLineNumbers/>
              <w:suppressAutoHyphens/>
              <w:kinsoku w:val="0"/>
              <w:overflowPunct w:val="0"/>
              <w:autoSpaceDE w:val="0"/>
              <w:autoSpaceDN w:val="0"/>
              <w:ind w:left="170" w:hanging="170"/>
              <w:jc w:val="left"/>
              <w:rPr>
                <w:rFonts w:eastAsia="Calibri" w:cs="Times New Roman"/>
                <w:snapToGrid w:val="0"/>
                <w:kern w:val="22"/>
                <w:szCs w:val="22"/>
              </w:rPr>
            </w:pPr>
            <w:r w:rsidRPr="00437D3B">
              <w:rPr>
                <w:rFonts w:eastAsia="Calibri" w:cs="Times New Roman"/>
                <w:snapToGrid w:val="0"/>
                <w:kern w:val="22"/>
                <w:szCs w:val="22"/>
              </w:rPr>
              <w:t xml:space="preserve">Item </w:t>
            </w:r>
            <w:r w:rsidR="00437D3B" w:rsidRPr="00437D3B">
              <w:rPr>
                <w:rFonts w:eastAsia="Calibri" w:cs="Times New Roman"/>
                <w:snapToGrid w:val="0"/>
                <w:kern w:val="22"/>
                <w:szCs w:val="22"/>
              </w:rPr>
              <w:t>6</w:t>
            </w:r>
            <w:r w:rsidR="006E5D06" w:rsidRPr="00437D3B">
              <w:rPr>
                <w:rFonts w:eastAsia="Calibri" w:cs="Times New Roman"/>
                <w:snapToGrid w:val="0"/>
                <w:kern w:val="22"/>
                <w:szCs w:val="22"/>
              </w:rPr>
              <w:t xml:space="preserve"> </w:t>
            </w:r>
            <w:r w:rsidR="00885A82" w:rsidRPr="00437D3B">
              <w:rPr>
                <w:rFonts w:eastAsia="Calibri" w:cs="Times New Roman"/>
                <w:snapToGrid w:val="0"/>
                <w:kern w:val="22"/>
                <w:szCs w:val="22"/>
              </w:rPr>
              <w:t>of the provisional</w:t>
            </w:r>
            <w:r w:rsidR="00E23DFD" w:rsidRPr="00437D3B">
              <w:rPr>
                <w:rFonts w:eastAsia="Calibri" w:cs="Times New Roman"/>
                <w:snapToGrid w:val="0"/>
                <w:kern w:val="22"/>
                <w:szCs w:val="22"/>
              </w:rPr>
              <w:t xml:space="preserve"> agen</w:t>
            </w:r>
            <w:r w:rsidR="00885A82" w:rsidRPr="00437D3B">
              <w:rPr>
                <w:rFonts w:eastAsia="Calibri" w:cs="Times New Roman"/>
                <w:snapToGrid w:val="0"/>
                <w:kern w:val="22"/>
                <w:szCs w:val="22"/>
              </w:rPr>
              <w:t>da</w:t>
            </w:r>
            <w:r w:rsidR="00885A82" w:rsidRPr="00437D3B">
              <w:rPr>
                <w:rFonts w:eastAsia="Calibri" w:cs="Times New Roman"/>
                <w:snapToGrid w:val="0"/>
                <w:kern w:val="22"/>
                <w:szCs w:val="22"/>
              </w:rPr>
              <w:footnoteReference w:customMarkFollows="1" w:id="1"/>
              <w:t>*</w:t>
            </w:r>
          </w:p>
        </w:tc>
        <w:tc>
          <w:tcPr>
            <w:tcW w:w="4652" w:type="dxa"/>
            <w:shd w:val="clear" w:color="auto" w:fill="auto"/>
          </w:tcPr>
          <w:p w:rsidR="00885A82" w:rsidRPr="00576654" w:rsidRDefault="00885A82" w:rsidP="009F758F">
            <w:pPr>
              <w:suppressLineNumbers/>
              <w:suppressAutoHyphens/>
              <w:kinsoku w:val="0"/>
              <w:overflowPunct w:val="0"/>
              <w:autoSpaceDE w:val="0"/>
              <w:autoSpaceDN w:val="0"/>
              <w:ind w:left="230" w:hanging="170"/>
              <w:jc w:val="left"/>
              <w:rPr>
                <w:rFonts w:eastAsia="Calibri" w:cs="Times New Roman"/>
                <w:snapToGrid w:val="0"/>
                <w:kern w:val="22"/>
                <w:szCs w:val="22"/>
              </w:rPr>
            </w:pPr>
          </w:p>
        </w:tc>
      </w:tr>
    </w:tbl>
    <w:p w:rsidR="00E23DFD" w:rsidRPr="00576654" w:rsidRDefault="00E23DFD" w:rsidP="00E23DFD">
      <w:pPr>
        <w:pStyle w:val="Heading1"/>
        <w:ind w:left="1080"/>
      </w:pPr>
      <w:r w:rsidRPr="00576654">
        <w:t>UPDATED STATUS OF AICHI BIODIVERSITY TARGET 11</w:t>
      </w:r>
    </w:p>
    <w:p w:rsidR="00E23DFD" w:rsidRPr="00576654" w:rsidRDefault="00E23DFD" w:rsidP="00E23DFD">
      <w:pPr>
        <w:autoSpaceDE w:val="0"/>
        <w:autoSpaceDN w:val="0"/>
        <w:adjustRightInd w:val="0"/>
        <w:jc w:val="center"/>
        <w:rPr>
          <w:i/>
          <w:iCs/>
          <w:szCs w:val="22"/>
          <w:lang w:eastAsia="en-CA"/>
        </w:rPr>
      </w:pPr>
      <w:r w:rsidRPr="00576654">
        <w:rPr>
          <w:i/>
          <w:iCs/>
          <w:szCs w:val="22"/>
          <w:lang w:eastAsia="en-CA"/>
        </w:rPr>
        <w:t>Note by the Executive Secretary</w:t>
      </w:r>
    </w:p>
    <w:p w:rsidR="003E5ACE" w:rsidRPr="00576654" w:rsidRDefault="003E5ACE" w:rsidP="00F44E90">
      <w:pPr>
        <w:pStyle w:val="Heading1"/>
        <w:numPr>
          <w:ilvl w:val="0"/>
          <w:numId w:val="9"/>
        </w:numPr>
      </w:pPr>
      <w:r w:rsidRPr="00576654">
        <w:t xml:space="preserve">Introduction </w:t>
      </w:r>
    </w:p>
    <w:p w:rsidR="008207CD" w:rsidRDefault="00E23DFD" w:rsidP="00E23DFD">
      <w:pPr>
        <w:pStyle w:val="Para1"/>
      </w:pPr>
      <w:r w:rsidRPr="00576654">
        <w:rPr>
          <w:lang w:val="en-US"/>
        </w:rPr>
        <w:t>T</w:t>
      </w:r>
      <w:r w:rsidRPr="00576654">
        <w:t xml:space="preserve">he Strategic Plan for Biodiversity 2011-2020 was adopted </w:t>
      </w:r>
      <w:r w:rsidR="00FE04B2">
        <w:t xml:space="preserve">in 2010 </w:t>
      </w:r>
      <w:r w:rsidRPr="00576654">
        <w:t>at the tenth meeting of the Conference of the Parties to the Convention on Biological Diversity</w:t>
      </w:r>
      <w:r w:rsidR="008B3E21">
        <w:t>,</w:t>
      </w:r>
      <w:r w:rsidRPr="00576654">
        <w:t xml:space="preserve"> in </w:t>
      </w:r>
      <w:r w:rsidR="00FE04B2">
        <w:t>Nagoya, Japan</w:t>
      </w:r>
      <w:r w:rsidR="000E2ACA">
        <w:t>, and subsequently endorsed by all other global biodiversity-related conventions and by the United Nations General Assembly (</w:t>
      </w:r>
      <w:hyperlink r:id="rId11" w:history="1">
        <w:r w:rsidR="000E2ACA" w:rsidRPr="008B3E21">
          <w:rPr>
            <w:rStyle w:val="Hyperlink"/>
          </w:rPr>
          <w:t>Resolution 65/161</w:t>
        </w:r>
      </w:hyperlink>
      <w:r w:rsidR="000E2ACA">
        <w:t>)</w:t>
      </w:r>
      <w:r w:rsidRPr="00576654">
        <w:t xml:space="preserve">. </w:t>
      </w:r>
      <w:r w:rsidR="00551DD8">
        <w:rPr>
          <w:lang w:val="en-US"/>
        </w:rPr>
        <w:t>With</w:t>
      </w:r>
      <w:r w:rsidRPr="00576654">
        <w:rPr>
          <w:lang w:val="en-US"/>
        </w:rPr>
        <w:t xml:space="preserve"> 20 Aichi Biodiversity Targets organized under five Strategic Goals, </w:t>
      </w:r>
      <w:r w:rsidR="00FE04B2">
        <w:rPr>
          <w:lang w:val="en-US"/>
        </w:rPr>
        <w:t xml:space="preserve">it </w:t>
      </w:r>
      <w:r w:rsidR="00CA76FF">
        <w:rPr>
          <w:lang w:val="en-US"/>
        </w:rPr>
        <w:t>aims to</w:t>
      </w:r>
      <w:r w:rsidRPr="00576654">
        <w:rPr>
          <w:lang w:val="en-US"/>
        </w:rPr>
        <w:t xml:space="preserve"> address</w:t>
      </w:r>
      <w:r w:rsidR="00CA76FF">
        <w:rPr>
          <w:lang w:val="en-US"/>
        </w:rPr>
        <w:t xml:space="preserve"> </w:t>
      </w:r>
      <w:r w:rsidRPr="00576654">
        <w:rPr>
          <w:lang w:val="en-US"/>
        </w:rPr>
        <w:t>the underlying causes of biodiversity loss</w:t>
      </w:r>
      <w:r w:rsidR="00551DD8">
        <w:rPr>
          <w:lang w:val="en-US"/>
        </w:rPr>
        <w:t>, reduc</w:t>
      </w:r>
      <w:r w:rsidR="008B3E21">
        <w:rPr>
          <w:lang w:val="en-US"/>
        </w:rPr>
        <w:t>e</w:t>
      </w:r>
      <w:r w:rsidR="00551DD8">
        <w:rPr>
          <w:lang w:val="en-US"/>
        </w:rPr>
        <w:t xml:space="preserve"> direct pressures</w:t>
      </w:r>
      <w:r w:rsidRPr="00576654">
        <w:rPr>
          <w:lang w:val="en-US"/>
        </w:rPr>
        <w:t xml:space="preserve"> and promot</w:t>
      </w:r>
      <w:r w:rsidR="008B3E21">
        <w:rPr>
          <w:lang w:val="en-US"/>
        </w:rPr>
        <w:t>e</w:t>
      </w:r>
      <w:r w:rsidRPr="00576654">
        <w:rPr>
          <w:lang w:val="en-US"/>
        </w:rPr>
        <w:t xml:space="preserve"> sustainable use</w:t>
      </w:r>
      <w:r w:rsidR="00551DD8">
        <w:rPr>
          <w:lang w:val="en-US"/>
        </w:rPr>
        <w:t>,</w:t>
      </w:r>
      <w:r w:rsidRPr="00576654">
        <w:rPr>
          <w:lang w:val="en-US"/>
        </w:rPr>
        <w:t xml:space="preserve"> improv</w:t>
      </w:r>
      <w:r w:rsidR="008B3E21">
        <w:rPr>
          <w:lang w:val="en-US"/>
        </w:rPr>
        <w:t>e</w:t>
      </w:r>
      <w:r w:rsidRPr="00576654">
        <w:rPr>
          <w:lang w:val="en-US"/>
        </w:rPr>
        <w:t xml:space="preserve"> </w:t>
      </w:r>
      <w:r w:rsidR="00551DD8">
        <w:rPr>
          <w:lang w:val="en-US"/>
        </w:rPr>
        <w:t>the status of biodiversity,</w:t>
      </w:r>
      <w:r w:rsidRPr="00576654">
        <w:rPr>
          <w:lang w:val="en-US"/>
        </w:rPr>
        <w:t xml:space="preserve"> enhanc</w:t>
      </w:r>
      <w:r w:rsidR="008B3E21">
        <w:rPr>
          <w:lang w:val="en-US"/>
        </w:rPr>
        <w:t>e</w:t>
      </w:r>
      <w:r w:rsidRPr="00576654">
        <w:rPr>
          <w:lang w:val="en-US"/>
        </w:rPr>
        <w:t xml:space="preserve"> the benefits to all</w:t>
      </w:r>
      <w:r w:rsidR="00551DD8">
        <w:rPr>
          <w:lang w:val="en-US"/>
        </w:rPr>
        <w:t>,</w:t>
      </w:r>
      <w:r w:rsidRPr="00576654">
        <w:rPr>
          <w:lang w:val="en-US"/>
        </w:rPr>
        <w:t xml:space="preserve"> as well as </w:t>
      </w:r>
      <w:r w:rsidRPr="00576654">
        <w:t>increas</w:t>
      </w:r>
      <w:r w:rsidR="008B3E21">
        <w:t>e</w:t>
      </w:r>
      <w:r w:rsidRPr="00576654">
        <w:t xml:space="preserve"> implementation, knowledge management and capacity-building</w:t>
      </w:r>
      <w:r w:rsidRPr="00576654">
        <w:rPr>
          <w:lang w:val="en-US"/>
        </w:rPr>
        <w:t xml:space="preserve">. </w:t>
      </w:r>
      <w:r w:rsidRPr="00576654">
        <w:t>Strategic Goal C which focuses on improving the status of biodiversity by safeguarding ecosystems, species and genetic diversity includes, among others, Target 11</w:t>
      </w:r>
      <w:r w:rsidRPr="00576654">
        <w:rPr>
          <w:rStyle w:val="FootnoteReference"/>
        </w:rPr>
        <w:footnoteReference w:id="2"/>
      </w:r>
      <w:r w:rsidRPr="00576654">
        <w:t xml:space="preserve"> on </w:t>
      </w:r>
      <w:r w:rsidRPr="009F758F">
        <w:t>in-situ</w:t>
      </w:r>
      <w:r w:rsidRPr="00576654">
        <w:t xml:space="preserve"> conservation.</w:t>
      </w:r>
      <w:r w:rsidRPr="00576654">
        <w:rPr>
          <w:rStyle w:val="FootnoteReference"/>
        </w:rPr>
        <w:t xml:space="preserve"> </w:t>
      </w:r>
      <w:r w:rsidRPr="00576654">
        <w:t xml:space="preserve"> </w:t>
      </w:r>
    </w:p>
    <w:p w:rsidR="00FC3B95" w:rsidRDefault="00FC3B95" w:rsidP="00E23DFD">
      <w:pPr>
        <w:pStyle w:val="Para1"/>
      </w:pPr>
      <w:r w:rsidRPr="00576654">
        <w:t xml:space="preserve">The mid-term assessment of progress towards the implementation of the Strategic Plan for Biodiversity, presented in the fourth </w:t>
      </w:r>
      <w:r w:rsidRPr="00576654">
        <w:rPr>
          <w:i/>
        </w:rPr>
        <w:t>Global Biodiversity Outlook</w:t>
      </w:r>
      <w:r w:rsidR="00385DFB">
        <w:rPr>
          <w:i/>
        </w:rPr>
        <w:t xml:space="preserve"> </w:t>
      </w:r>
      <w:r w:rsidR="00385DFB">
        <w:t>(GBO-4)</w:t>
      </w:r>
      <w:r w:rsidRPr="00576654">
        <w:rPr>
          <w:i/>
        </w:rPr>
        <w:t xml:space="preserve">, </w:t>
      </w:r>
      <w:r w:rsidRPr="00576654">
        <w:t xml:space="preserve">showed that for </w:t>
      </w:r>
      <w:r w:rsidR="00C764A0">
        <w:t>all</w:t>
      </w:r>
      <w:r w:rsidRPr="00576654">
        <w:t xml:space="preserve"> elements of Target 11 progress was occurring</w:t>
      </w:r>
      <w:r w:rsidR="00C764A0">
        <w:t>. However, for all elements other than terrestrial protected area coverage</w:t>
      </w:r>
      <w:r w:rsidR="0022549E">
        <w:t>,</w:t>
      </w:r>
      <w:r w:rsidR="00C764A0">
        <w:t xml:space="preserve"> progress was occurring at</w:t>
      </w:r>
      <w:r w:rsidRPr="00576654">
        <w:t xml:space="preserve"> an insufficient rate, and unless efforts were increased, the Target would not be met by 2020.</w:t>
      </w:r>
      <w:r w:rsidRPr="00576654">
        <w:rPr>
          <w:rStyle w:val="FootnoteReference"/>
        </w:rPr>
        <w:footnoteReference w:id="3"/>
      </w:r>
      <w:r w:rsidR="009F640E">
        <w:t xml:space="preserve"> </w:t>
      </w:r>
    </w:p>
    <w:p w:rsidR="0056127F" w:rsidRDefault="00C764A0" w:rsidP="00F42E9D">
      <w:pPr>
        <w:pStyle w:val="Para1"/>
      </w:pPr>
      <w:r w:rsidRPr="00C764A0">
        <w:t>To facilitate achievement of Target 11</w:t>
      </w:r>
      <w:r>
        <w:t xml:space="preserve">, the </w:t>
      </w:r>
      <w:r w:rsidRPr="00C764A0">
        <w:t>Secretariat</w:t>
      </w:r>
      <w:r w:rsidR="0017683F">
        <w:t xml:space="preserve"> developed a</w:t>
      </w:r>
      <w:r w:rsidRPr="00C764A0">
        <w:t xml:space="preserve"> two-phase strategy</w:t>
      </w:r>
      <w:r>
        <w:t xml:space="preserve">, the details of which were presented to the twentieth meeting of the Subsidiary Body on Scientific, Technical and Technological Advice </w:t>
      </w:r>
      <w:r w:rsidR="00516909">
        <w:t xml:space="preserve">(SBSTTA) </w:t>
      </w:r>
      <w:r>
        <w:t xml:space="preserve">and to the first meeting of the Subsidiary Body on Implementation </w:t>
      </w:r>
      <w:r w:rsidR="008B3E21">
        <w:t xml:space="preserve">(SBI) </w:t>
      </w:r>
      <w:r>
        <w:t xml:space="preserve">as information documents </w:t>
      </w:r>
      <w:hyperlink r:id="rId12" w:history="1">
        <w:r w:rsidRPr="00C764A0">
          <w:rPr>
            <w:rStyle w:val="Hyperlink"/>
          </w:rPr>
          <w:t>UNEP/CBD/SBSTTA/20/INF/43</w:t>
        </w:r>
      </w:hyperlink>
      <w:r>
        <w:t xml:space="preserve"> and </w:t>
      </w:r>
      <w:hyperlink r:id="rId13" w:history="1">
        <w:r w:rsidRPr="00C764A0">
          <w:rPr>
            <w:rStyle w:val="Hyperlink"/>
          </w:rPr>
          <w:t>UNEP/CBD/SBI/</w:t>
        </w:r>
        <w:r w:rsidR="005F5040">
          <w:rPr>
            <w:rStyle w:val="Hyperlink"/>
          </w:rPr>
          <w:t>INF/4</w:t>
        </w:r>
        <w:r w:rsidRPr="00C764A0">
          <w:rPr>
            <w:rStyle w:val="Hyperlink"/>
          </w:rPr>
          <w:t>1</w:t>
        </w:r>
      </w:hyperlink>
      <w:r>
        <w:t>.</w:t>
      </w:r>
      <w:r w:rsidR="0017683F">
        <w:t xml:space="preserve"> </w:t>
      </w:r>
      <w:r w:rsidR="0022549E">
        <w:t xml:space="preserve">In </w:t>
      </w:r>
      <w:r w:rsidR="0022549E" w:rsidRPr="00F42E9D">
        <w:t>collaboration with partner organizations</w:t>
      </w:r>
      <w:r w:rsidR="0022549E">
        <w:t>, t</w:t>
      </w:r>
      <w:r w:rsidR="0017683F">
        <w:t xml:space="preserve">he first phase (2015-2016) involved, </w:t>
      </w:r>
      <w:r w:rsidR="0022549E" w:rsidRPr="0022549E">
        <w:rPr>
          <w:i/>
        </w:rPr>
        <w:t>inter alia</w:t>
      </w:r>
      <w:r w:rsidR="0017683F">
        <w:t xml:space="preserve">, the </w:t>
      </w:r>
      <w:r w:rsidR="0022549E">
        <w:t xml:space="preserve">organization of </w:t>
      </w:r>
      <w:r w:rsidR="0022549E" w:rsidRPr="00F42E9D">
        <w:t xml:space="preserve">a series of </w:t>
      </w:r>
      <w:r w:rsidR="0022549E">
        <w:t xml:space="preserve">six </w:t>
      </w:r>
      <w:r w:rsidR="0022549E" w:rsidRPr="00F42E9D">
        <w:t>regional workshops to collect information on the status</w:t>
      </w:r>
      <w:r w:rsidR="0022549E">
        <w:t xml:space="preserve">, gaps and opportunities for </w:t>
      </w:r>
      <w:r w:rsidR="0022549E" w:rsidRPr="00F42E9D">
        <w:t>the elements of Target</w:t>
      </w:r>
      <w:r w:rsidR="0022549E">
        <w:t xml:space="preserve"> 11, as</w:t>
      </w:r>
      <w:r w:rsidR="0022549E" w:rsidRPr="00F42E9D">
        <w:t xml:space="preserve"> well </w:t>
      </w:r>
      <w:r w:rsidR="0022549E" w:rsidRPr="00B52294">
        <w:t xml:space="preserve">as </w:t>
      </w:r>
      <w:r w:rsidR="008B3E21" w:rsidRPr="00B52294">
        <w:t>national priority</w:t>
      </w:r>
      <w:r w:rsidR="0022549E" w:rsidRPr="00B52294">
        <w:t xml:space="preserve"> actions </w:t>
      </w:r>
      <w:r w:rsidR="008B3E21" w:rsidRPr="00B52294">
        <w:t>(roadmaps)</w:t>
      </w:r>
      <w:r w:rsidR="008B3E21">
        <w:t xml:space="preserve"> </w:t>
      </w:r>
      <w:r w:rsidR="0022549E" w:rsidRPr="00F42E9D">
        <w:t>for implementation</w:t>
      </w:r>
      <w:r w:rsidR="0017683F">
        <w:t xml:space="preserve"> </w:t>
      </w:r>
      <w:r w:rsidR="00FE04B2">
        <w:t>before 2020</w:t>
      </w:r>
      <w:r w:rsidR="00FF5DA5">
        <w:t>, as a country-</w:t>
      </w:r>
      <w:r w:rsidR="00FF5DA5">
        <w:lastRenderedPageBreak/>
        <w:t>driven process</w:t>
      </w:r>
      <w:r w:rsidR="00FE04B2">
        <w:t>.</w:t>
      </w:r>
      <w:r w:rsidR="00F42E9D" w:rsidRPr="00F42E9D">
        <w:t xml:space="preserve"> </w:t>
      </w:r>
      <w:r w:rsidR="0022549E" w:rsidRPr="00FE04B2">
        <w:t>The Governments of Japan</w:t>
      </w:r>
      <w:r w:rsidR="0022549E">
        <w:t xml:space="preserve">, Germany and the Republic of Korea provided financial support, and the Governments of host countries (Belarus, Brazil, China, Fiji, India and Uganda) provided </w:t>
      </w:r>
      <w:r w:rsidR="0022549E" w:rsidRPr="004F5C8C">
        <w:t>logistical and other support for</w:t>
      </w:r>
      <w:r w:rsidR="0022549E">
        <w:t xml:space="preserve"> the organization of these workshops.</w:t>
      </w:r>
      <w:r w:rsidR="00FE04B2">
        <w:t xml:space="preserve"> </w:t>
      </w:r>
    </w:p>
    <w:p w:rsidR="00BC4444" w:rsidRDefault="008B3E21" w:rsidP="00BC4444">
      <w:pPr>
        <w:pStyle w:val="Para1"/>
      </w:pPr>
      <w:r>
        <w:t>The results of an</w:t>
      </w:r>
      <w:r w:rsidR="007E0551">
        <w:t xml:space="preserve"> </w:t>
      </w:r>
      <w:r w:rsidR="00061A42">
        <w:t>analysis</w:t>
      </w:r>
      <w:r w:rsidR="007E0551">
        <w:t xml:space="preserve"> of the </w:t>
      </w:r>
      <w:r w:rsidR="00F60ED0">
        <w:t xml:space="preserve">roadmaps submitted </w:t>
      </w:r>
      <w:r w:rsidR="007E0551">
        <w:t>during the six regional workshops was</w:t>
      </w:r>
      <w:r w:rsidR="00061A42">
        <w:t xml:space="preserve"> presented </w:t>
      </w:r>
      <w:r w:rsidR="007E0551">
        <w:t xml:space="preserve">as an information document at the thirteenth meeting of the Conference of the Parties </w:t>
      </w:r>
      <w:r w:rsidR="00061A42">
        <w:t xml:space="preserve">in </w:t>
      </w:r>
      <w:r w:rsidR="007E0551">
        <w:t>Cancun</w:t>
      </w:r>
      <w:r w:rsidR="00F60ED0">
        <w:t xml:space="preserve">, Mexico, </w:t>
      </w:r>
      <w:r>
        <w:t xml:space="preserve">in </w:t>
      </w:r>
      <w:r w:rsidR="00F60ED0">
        <w:t>December 2016</w:t>
      </w:r>
      <w:r w:rsidR="00AC1D11">
        <w:t xml:space="preserve"> (</w:t>
      </w:r>
      <w:hyperlink r:id="rId14" w:history="1">
        <w:r w:rsidR="00AC1D11" w:rsidRPr="00AC1D11">
          <w:rPr>
            <w:rStyle w:val="Hyperlink"/>
          </w:rPr>
          <w:t>UNEP/CBD/COP/13/INF/17</w:t>
        </w:r>
      </w:hyperlink>
      <w:r w:rsidR="00AC1D11">
        <w:t>)</w:t>
      </w:r>
      <w:r w:rsidR="00F60ED0">
        <w:t>. It provided</w:t>
      </w:r>
      <w:r w:rsidR="00061A42">
        <w:t xml:space="preserve"> an update of the status of the elements of Target 11, based largely on information from the April 2016 release of the </w:t>
      </w:r>
      <w:r w:rsidR="008C5CD9">
        <w:t>World Database on Protected Areas (WDPA)</w:t>
      </w:r>
      <w:r w:rsidR="00551DD8">
        <w:t xml:space="preserve"> as presented in the </w:t>
      </w:r>
      <w:r w:rsidR="00551DD8">
        <w:rPr>
          <w:i/>
        </w:rPr>
        <w:t>Protected Planet Report 2016</w:t>
      </w:r>
      <w:r w:rsidR="00061A42">
        <w:t xml:space="preserve">, and </w:t>
      </w:r>
      <w:r w:rsidR="00551DD8">
        <w:t xml:space="preserve">also </w:t>
      </w:r>
      <w:r w:rsidR="00061A42">
        <w:t>included estimates of progress that could be made for each element</w:t>
      </w:r>
      <w:r w:rsidR="00F60ED0">
        <w:t xml:space="preserve"> if</w:t>
      </w:r>
      <w:r w:rsidR="008C5CD9" w:rsidRPr="008C5CD9">
        <w:t xml:space="preserve"> identified </w:t>
      </w:r>
      <w:r w:rsidR="00437D3B">
        <w:t xml:space="preserve">national </w:t>
      </w:r>
      <w:r w:rsidR="008C5CD9" w:rsidRPr="008C5CD9">
        <w:t>p</w:t>
      </w:r>
      <w:r w:rsidR="00F60ED0">
        <w:t xml:space="preserve">riority actions </w:t>
      </w:r>
      <w:r w:rsidR="004C6B3E">
        <w:t>were</w:t>
      </w:r>
      <w:r w:rsidR="00F60ED0">
        <w:t xml:space="preserve"> implemented</w:t>
      </w:r>
      <w:r w:rsidR="004C6B3E">
        <w:t xml:space="preserve"> as proposed</w:t>
      </w:r>
      <w:r w:rsidR="00F60ED0">
        <w:t>.</w:t>
      </w:r>
      <w:r w:rsidR="00385DFB">
        <w:t xml:space="preserve"> It concluded that </w:t>
      </w:r>
      <w:r w:rsidR="00385DFB" w:rsidRPr="00385DFB">
        <w:t>progress</w:t>
      </w:r>
      <w:r w:rsidR="00385DFB">
        <w:t xml:space="preserve"> for some elements of the </w:t>
      </w:r>
      <w:r w:rsidR="00385DFB" w:rsidRPr="00385DFB">
        <w:t>target</w:t>
      </w:r>
      <w:r w:rsidR="00385DFB">
        <w:t xml:space="preserve"> would </w:t>
      </w:r>
      <w:r w:rsidR="004C6B3E">
        <w:t>lead to</w:t>
      </w:r>
      <w:r w:rsidR="00385DFB" w:rsidRPr="00385DFB">
        <w:t xml:space="preserve"> an improvement compared to the </w:t>
      </w:r>
      <w:r w:rsidR="004C6B3E">
        <w:t xml:space="preserve">status presented in </w:t>
      </w:r>
      <w:r w:rsidR="00385DFB">
        <w:t>GBO-4</w:t>
      </w:r>
      <w:r w:rsidR="00AC1D11">
        <w:t xml:space="preserve"> and some </w:t>
      </w:r>
      <w:r w:rsidR="00BB558A">
        <w:t xml:space="preserve">elements </w:t>
      </w:r>
      <w:r w:rsidR="00AC1D11">
        <w:t xml:space="preserve">would </w:t>
      </w:r>
      <w:r w:rsidR="00BB558A">
        <w:t xml:space="preserve">be </w:t>
      </w:r>
      <w:r w:rsidR="00AC1D11">
        <w:t>met or exceed</w:t>
      </w:r>
      <w:r w:rsidR="00BB558A">
        <w:t xml:space="preserve">ed </w:t>
      </w:r>
      <w:r w:rsidR="00AC1D11">
        <w:t>by 2020</w:t>
      </w:r>
      <w:r w:rsidR="00385DFB">
        <w:t xml:space="preserve">. </w:t>
      </w:r>
    </w:p>
    <w:p w:rsidR="00B52294" w:rsidRDefault="00061A42" w:rsidP="00BC4444">
      <w:pPr>
        <w:pStyle w:val="Para1"/>
      </w:pPr>
      <w:r w:rsidRPr="00F60ED0">
        <w:t xml:space="preserve">This document </w:t>
      </w:r>
      <w:r>
        <w:t>provide</w:t>
      </w:r>
      <w:r w:rsidR="008A24A6">
        <w:t>s</w:t>
      </w:r>
      <w:r>
        <w:t xml:space="preserve"> an update</w:t>
      </w:r>
      <w:r w:rsidR="00154359">
        <w:t xml:space="preserve"> on </w:t>
      </w:r>
      <w:r>
        <w:t xml:space="preserve">the status </w:t>
      </w:r>
      <w:r w:rsidR="00452A08">
        <w:t xml:space="preserve">of </w:t>
      </w:r>
      <w:r w:rsidR="0017683F">
        <w:t>the elements of Target 11</w:t>
      </w:r>
      <w:r w:rsidR="00BE31EC">
        <w:t xml:space="preserve"> following two years </w:t>
      </w:r>
      <w:r w:rsidR="00B52294">
        <w:t xml:space="preserve">of implementation by Parties of the actions in their roadmaps </w:t>
      </w:r>
      <w:r w:rsidR="00AC1D11">
        <w:t>and other national commitments</w:t>
      </w:r>
      <w:r w:rsidR="00F60ED0">
        <w:t xml:space="preserve">. These </w:t>
      </w:r>
      <w:r w:rsidR="004C6B3E">
        <w:t xml:space="preserve">past </w:t>
      </w:r>
      <w:r w:rsidR="00F60ED0">
        <w:t xml:space="preserve">two years have </w:t>
      </w:r>
      <w:r w:rsidR="00402789">
        <w:t>seen tremendous growth in the protected area coverage of marine environments, as well as progress in the other aspects of Target 11</w:t>
      </w:r>
      <w:r w:rsidR="00C94376">
        <w:t xml:space="preserve"> (Table 1)</w:t>
      </w:r>
      <w:r w:rsidR="00402789">
        <w:t>.</w:t>
      </w:r>
      <w:r w:rsidR="00FF5DA5">
        <w:t xml:space="preserve"> </w:t>
      </w:r>
      <w:r w:rsidR="004F5393">
        <w:t>The following sections will present the status of both quantitative (</w:t>
      </w:r>
      <w:r w:rsidR="004F5393" w:rsidRPr="00BC4444">
        <w:rPr>
          <w:b/>
        </w:rPr>
        <w:t>Section II</w:t>
      </w:r>
      <w:r w:rsidR="004F5393">
        <w:t>) and qualitative elements (</w:t>
      </w:r>
      <w:r w:rsidR="004F5393" w:rsidRPr="00BC4444">
        <w:rPr>
          <w:b/>
        </w:rPr>
        <w:t>Section III</w:t>
      </w:r>
      <w:r w:rsidR="004F5393">
        <w:t>) of Target 11, will introduce other effective area-based conservation measures (</w:t>
      </w:r>
      <w:r w:rsidR="004F5393" w:rsidRPr="00BC4444">
        <w:rPr>
          <w:b/>
        </w:rPr>
        <w:t>Section IV</w:t>
      </w:r>
      <w:r w:rsidR="004F5393">
        <w:t>) and end with potential directions for increasing progress over the next two and a half years (</w:t>
      </w:r>
      <w:r w:rsidR="004F5393" w:rsidRPr="00BC4444">
        <w:rPr>
          <w:b/>
        </w:rPr>
        <w:t>Section V</w:t>
      </w:r>
      <w:r w:rsidR="004F5393">
        <w:t>)</w:t>
      </w:r>
      <w:r w:rsidR="007F5C56">
        <w:t xml:space="preserve"> and general conclusions (</w:t>
      </w:r>
      <w:r w:rsidR="007F5C56" w:rsidRPr="00BC4444">
        <w:rPr>
          <w:b/>
        </w:rPr>
        <w:t>Section VI)</w:t>
      </w:r>
      <w:r w:rsidR="00B52294">
        <w:t>.</w:t>
      </w:r>
      <w:r w:rsidR="009E7CDD">
        <w:t xml:space="preserve"> </w:t>
      </w:r>
    </w:p>
    <w:p w:rsidR="00C94376" w:rsidRPr="00B52294" w:rsidRDefault="00C94376" w:rsidP="00C94376">
      <w:pPr>
        <w:pStyle w:val="Para1"/>
        <w:numPr>
          <w:ilvl w:val="0"/>
          <w:numId w:val="0"/>
        </w:numPr>
        <w:rPr>
          <w:sz w:val="20"/>
        </w:rPr>
      </w:pPr>
      <w:r w:rsidRPr="00B52294">
        <w:rPr>
          <w:b/>
          <w:sz w:val="20"/>
        </w:rPr>
        <w:t xml:space="preserve">Table 1. </w:t>
      </w:r>
      <w:r w:rsidR="009E7CDD" w:rsidRPr="00B52294">
        <w:rPr>
          <w:sz w:val="20"/>
        </w:rPr>
        <w:t>Summary of progress since the update provided to COP13</w:t>
      </w:r>
      <w:r w:rsidR="00154359">
        <w:rPr>
          <w:sz w:val="20"/>
        </w:rPr>
        <w:t>.</w:t>
      </w:r>
    </w:p>
    <w:tbl>
      <w:tblPr>
        <w:tblStyle w:val="TableGrid"/>
        <w:tblW w:w="972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7830"/>
      </w:tblGrid>
      <w:tr w:rsidR="00C94376" w:rsidRPr="00C94376" w:rsidTr="00154359">
        <w:tc>
          <w:tcPr>
            <w:tcW w:w="1890" w:type="dxa"/>
            <w:tcBorders>
              <w:top w:val="single" w:sz="18" w:space="0" w:color="auto"/>
              <w:bottom w:val="single" w:sz="12" w:space="0" w:color="auto"/>
            </w:tcBorders>
          </w:tcPr>
          <w:p w:rsidR="00C94376" w:rsidRPr="00C94376" w:rsidRDefault="00C94376" w:rsidP="004F5393">
            <w:pPr>
              <w:pStyle w:val="Para1"/>
              <w:numPr>
                <w:ilvl w:val="0"/>
                <w:numId w:val="0"/>
              </w:numPr>
              <w:jc w:val="left"/>
              <w:rPr>
                <w:b/>
                <w:sz w:val="18"/>
                <w:szCs w:val="18"/>
              </w:rPr>
            </w:pPr>
            <w:r w:rsidRPr="00C94376">
              <w:rPr>
                <w:b/>
                <w:sz w:val="18"/>
                <w:szCs w:val="18"/>
              </w:rPr>
              <w:t>Element of Target 11</w:t>
            </w:r>
          </w:p>
        </w:tc>
        <w:tc>
          <w:tcPr>
            <w:tcW w:w="7830" w:type="dxa"/>
            <w:tcBorders>
              <w:top w:val="single" w:sz="18" w:space="0" w:color="auto"/>
              <w:bottom w:val="single" w:sz="12" w:space="0" w:color="auto"/>
            </w:tcBorders>
          </w:tcPr>
          <w:p w:rsidR="00C94376" w:rsidRPr="00C94376" w:rsidRDefault="00C94376" w:rsidP="004A6594">
            <w:pPr>
              <w:pStyle w:val="Para1"/>
              <w:numPr>
                <w:ilvl w:val="0"/>
                <w:numId w:val="0"/>
              </w:numPr>
              <w:rPr>
                <w:b/>
                <w:sz w:val="18"/>
                <w:szCs w:val="18"/>
              </w:rPr>
            </w:pPr>
            <w:r w:rsidRPr="00C94376">
              <w:rPr>
                <w:b/>
                <w:sz w:val="18"/>
                <w:szCs w:val="18"/>
              </w:rPr>
              <w:t xml:space="preserve">Progress </w:t>
            </w:r>
            <w:r w:rsidR="004A6594">
              <w:rPr>
                <w:b/>
                <w:sz w:val="18"/>
                <w:szCs w:val="18"/>
              </w:rPr>
              <w:t>occurring between 2016 and</w:t>
            </w:r>
            <w:r w:rsidR="0082384F">
              <w:rPr>
                <w:b/>
                <w:sz w:val="18"/>
                <w:szCs w:val="18"/>
              </w:rPr>
              <w:t xml:space="preserve"> 2018</w:t>
            </w:r>
            <w:r w:rsidR="00477B47">
              <w:rPr>
                <w:rStyle w:val="FootnoteReference"/>
                <w:b/>
                <w:szCs w:val="18"/>
              </w:rPr>
              <w:footnoteReference w:id="4"/>
            </w:r>
          </w:p>
        </w:tc>
      </w:tr>
      <w:tr w:rsidR="00C94376" w:rsidRPr="00C94376" w:rsidTr="009810D2">
        <w:trPr>
          <w:trHeight w:val="576"/>
        </w:trPr>
        <w:tc>
          <w:tcPr>
            <w:tcW w:w="1890" w:type="dxa"/>
            <w:tcBorders>
              <w:top w:val="single" w:sz="12" w:space="0" w:color="auto"/>
            </w:tcBorders>
            <w:vAlign w:val="center"/>
          </w:tcPr>
          <w:p w:rsidR="00C94376" w:rsidRPr="009810D2" w:rsidRDefault="00C94376" w:rsidP="009810D2">
            <w:pPr>
              <w:pStyle w:val="NoSpacing"/>
              <w:rPr>
                <w:rFonts w:ascii="Times New Roman" w:hAnsi="Times New Roman"/>
                <w:sz w:val="18"/>
                <w:szCs w:val="18"/>
              </w:rPr>
            </w:pPr>
            <w:r w:rsidRPr="009810D2">
              <w:rPr>
                <w:rFonts w:ascii="Times New Roman" w:hAnsi="Times New Roman"/>
                <w:sz w:val="18"/>
                <w:szCs w:val="18"/>
              </w:rPr>
              <w:t>Terrestrial coverage</w:t>
            </w:r>
          </w:p>
        </w:tc>
        <w:tc>
          <w:tcPr>
            <w:tcW w:w="7830" w:type="dxa"/>
            <w:tcBorders>
              <w:top w:val="single" w:sz="12" w:space="0" w:color="auto"/>
            </w:tcBorders>
            <w:vAlign w:val="center"/>
          </w:tcPr>
          <w:p w:rsidR="003C0BF7" w:rsidRPr="009810D2" w:rsidRDefault="0082384F" w:rsidP="009810D2">
            <w:pPr>
              <w:pStyle w:val="NoSpacing"/>
              <w:rPr>
                <w:rFonts w:ascii="Times New Roman" w:hAnsi="Times New Roman"/>
                <w:sz w:val="18"/>
                <w:szCs w:val="18"/>
              </w:rPr>
            </w:pPr>
            <w:r w:rsidRPr="009810D2">
              <w:rPr>
                <w:rFonts w:ascii="Times New Roman" w:hAnsi="Times New Roman"/>
                <w:sz w:val="18"/>
                <w:szCs w:val="18"/>
              </w:rPr>
              <w:t xml:space="preserve">Global coverage increased from 14.7% to 14.8%; </w:t>
            </w:r>
            <w:r w:rsidR="009E7CDD" w:rsidRPr="009810D2">
              <w:rPr>
                <w:rFonts w:ascii="Times New Roman" w:hAnsi="Times New Roman"/>
                <w:sz w:val="18"/>
                <w:szCs w:val="18"/>
              </w:rPr>
              <w:t xml:space="preserve">the number of </w:t>
            </w:r>
            <w:r w:rsidRPr="009810D2">
              <w:rPr>
                <w:rFonts w:ascii="Times New Roman" w:hAnsi="Times New Roman"/>
                <w:sz w:val="18"/>
                <w:szCs w:val="18"/>
              </w:rPr>
              <w:t xml:space="preserve">CBD Parties </w:t>
            </w:r>
            <w:r w:rsidR="009E7CDD" w:rsidRPr="009810D2">
              <w:rPr>
                <w:rFonts w:ascii="Times New Roman" w:hAnsi="Times New Roman"/>
                <w:sz w:val="18"/>
                <w:szCs w:val="18"/>
              </w:rPr>
              <w:t xml:space="preserve">with at least </w:t>
            </w:r>
            <w:r w:rsidRPr="009810D2">
              <w:rPr>
                <w:rFonts w:ascii="Times New Roman" w:hAnsi="Times New Roman"/>
                <w:sz w:val="18"/>
                <w:szCs w:val="18"/>
              </w:rPr>
              <w:t>17% coverage</w:t>
            </w:r>
            <w:r w:rsidR="009E7CDD" w:rsidRPr="009810D2">
              <w:rPr>
                <w:rFonts w:ascii="Times New Roman" w:hAnsi="Times New Roman"/>
                <w:sz w:val="18"/>
                <w:szCs w:val="18"/>
              </w:rPr>
              <w:t xml:space="preserve"> increased from 87 to 91</w:t>
            </w:r>
            <w:r w:rsidRPr="009810D2">
              <w:rPr>
                <w:rFonts w:ascii="Times New Roman" w:hAnsi="Times New Roman"/>
                <w:sz w:val="18"/>
                <w:szCs w:val="18"/>
              </w:rPr>
              <w:t>.</w:t>
            </w:r>
          </w:p>
        </w:tc>
      </w:tr>
      <w:tr w:rsidR="00C94376" w:rsidRPr="00C94376" w:rsidTr="009810D2">
        <w:trPr>
          <w:trHeight w:val="576"/>
        </w:trPr>
        <w:tc>
          <w:tcPr>
            <w:tcW w:w="1890" w:type="dxa"/>
            <w:vAlign w:val="center"/>
          </w:tcPr>
          <w:p w:rsidR="00C94376" w:rsidRPr="009810D2" w:rsidRDefault="00C94376" w:rsidP="009810D2">
            <w:pPr>
              <w:pStyle w:val="NoSpacing"/>
              <w:rPr>
                <w:rFonts w:ascii="Times New Roman" w:hAnsi="Times New Roman"/>
                <w:sz w:val="18"/>
                <w:szCs w:val="18"/>
              </w:rPr>
            </w:pPr>
            <w:r w:rsidRPr="009810D2">
              <w:rPr>
                <w:rFonts w:ascii="Times New Roman" w:hAnsi="Times New Roman"/>
                <w:sz w:val="18"/>
                <w:szCs w:val="18"/>
              </w:rPr>
              <w:t>Marine coverage</w:t>
            </w:r>
          </w:p>
        </w:tc>
        <w:tc>
          <w:tcPr>
            <w:tcW w:w="7830" w:type="dxa"/>
            <w:vAlign w:val="center"/>
          </w:tcPr>
          <w:p w:rsidR="003C0BF7" w:rsidRPr="009810D2" w:rsidRDefault="0082384F" w:rsidP="009810D2">
            <w:pPr>
              <w:pStyle w:val="NoSpacing"/>
              <w:rPr>
                <w:rFonts w:ascii="Times New Roman" w:hAnsi="Times New Roman"/>
                <w:sz w:val="18"/>
                <w:szCs w:val="18"/>
              </w:rPr>
            </w:pPr>
            <w:r w:rsidRPr="009810D2">
              <w:rPr>
                <w:rFonts w:ascii="Times New Roman" w:hAnsi="Times New Roman"/>
                <w:sz w:val="18"/>
                <w:szCs w:val="18"/>
              </w:rPr>
              <w:t xml:space="preserve">Global coverage increased from 4.12% to 7.26%; </w:t>
            </w:r>
            <w:r w:rsidR="009E7CDD" w:rsidRPr="009810D2">
              <w:rPr>
                <w:rFonts w:ascii="Times New Roman" w:hAnsi="Times New Roman"/>
                <w:sz w:val="18"/>
                <w:szCs w:val="18"/>
              </w:rPr>
              <w:t xml:space="preserve">the number of CBD Parties with at least </w:t>
            </w:r>
            <w:r w:rsidRPr="009810D2">
              <w:rPr>
                <w:rFonts w:ascii="Times New Roman" w:hAnsi="Times New Roman"/>
                <w:sz w:val="18"/>
                <w:szCs w:val="18"/>
              </w:rPr>
              <w:t>10% coverage</w:t>
            </w:r>
            <w:r w:rsidR="009E7CDD" w:rsidRPr="009810D2">
              <w:rPr>
                <w:rFonts w:ascii="Times New Roman" w:hAnsi="Times New Roman"/>
                <w:sz w:val="18"/>
                <w:szCs w:val="18"/>
              </w:rPr>
              <w:t xml:space="preserve"> increased from 23 to 34</w:t>
            </w:r>
            <w:r w:rsidRPr="009810D2">
              <w:rPr>
                <w:rFonts w:ascii="Times New Roman" w:hAnsi="Times New Roman"/>
                <w:sz w:val="18"/>
                <w:szCs w:val="18"/>
              </w:rPr>
              <w:t>.</w:t>
            </w:r>
          </w:p>
        </w:tc>
      </w:tr>
      <w:tr w:rsidR="00C94376" w:rsidRPr="00C94376" w:rsidTr="009810D2">
        <w:trPr>
          <w:trHeight w:val="576"/>
        </w:trPr>
        <w:tc>
          <w:tcPr>
            <w:tcW w:w="1890" w:type="dxa"/>
            <w:vAlign w:val="center"/>
          </w:tcPr>
          <w:p w:rsidR="00C94376" w:rsidRPr="009810D2" w:rsidRDefault="00C94376" w:rsidP="009810D2">
            <w:pPr>
              <w:pStyle w:val="NoSpacing"/>
              <w:rPr>
                <w:rFonts w:ascii="Times New Roman" w:hAnsi="Times New Roman"/>
                <w:sz w:val="18"/>
                <w:szCs w:val="18"/>
              </w:rPr>
            </w:pPr>
            <w:r w:rsidRPr="009810D2">
              <w:rPr>
                <w:rFonts w:ascii="Times New Roman" w:hAnsi="Times New Roman"/>
                <w:sz w:val="18"/>
                <w:szCs w:val="18"/>
              </w:rPr>
              <w:t>Ecological representation</w:t>
            </w:r>
          </w:p>
        </w:tc>
        <w:tc>
          <w:tcPr>
            <w:tcW w:w="7830" w:type="dxa"/>
            <w:vAlign w:val="center"/>
          </w:tcPr>
          <w:p w:rsidR="00C94376" w:rsidRPr="009810D2" w:rsidRDefault="009E7CDD" w:rsidP="009810D2">
            <w:pPr>
              <w:pStyle w:val="NoSpacing"/>
              <w:rPr>
                <w:rFonts w:ascii="Times New Roman" w:hAnsi="Times New Roman"/>
                <w:sz w:val="18"/>
                <w:szCs w:val="18"/>
              </w:rPr>
            </w:pPr>
            <w:r w:rsidRPr="009810D2">
              <w:rPr>
                <w:rFonts w:ascii="Times New Roman" w:hAnsi="Times New Roman"/>
                <w:sz w:val="18"/>
                <w:szCs w:val="18"/>
              </w:rPr>
              <w:t>Terrestrial ecoregions with at least 17% PA cover increased from 351 to 3</w:t>
            </w:r>
            <w:r w:rsidR="00E177BD" w:rsidRPr="009810D2">
              <w:rPr>
                <w:rFonts w:ascii="Times New Roman" w:hAnsi="Times New Roman"/>
                <w:sz w:val="18"/>
                <w:szCs w:val="18"/>
              </w:rPr>
              <w:t>57</w:t>
            </w:r>
            <w:r w:rsidRPr="009810D2">
              <w:rPr>
                <w:rFonts w:ascii="Times New Roman" w:hAnsi="Times New Roman"/>
                <w:sz w:val="18"/>
                <w:szCs w:val="18"/>
              </w:rPr>
              <w:t>; marine ecoregions and pelagic provinces with at least 10% MPA cover increased from 84 to 9</w:t>
            </w:r>
            <w:r w:rsidR="00E40184" w:rsidRPr="009810D2">
              <w:rPr>
                <w:rFonts w:ascii="Times New Roman" w:hAnsi="Times New Roman"/>
                <w:sz w:val="18"/>
                <w:szCs w:val="18"/>
              </w:rPr>
              <w:t>9</w:t>
            </w:r>
            <w:r w:rsidRPr="009810D2">
              <w:rPr>
                <w:rFonts w:ascii="Times New Roman" w:hAnsi="Times New Roman"/>
                <w:sz w:val="18"/>
                <w:szCs w:val="18"/>
              </w:rPr>
              <w:t xml:space="preserve"> and 3 to 4, respectively.</w:t>
            </w:r>
          </w:p>
        </w:tc>
      </w:tr>
      <w:tr w:rsidR="00C94376" w:rsidRPr="00C94376" w:rsidTr="009810D2">
        <w:trPr>
          <w:trHeight w:val="576"/>
        </w:trPr>
        <w:tc>
          <w:tcPr>
            <w:tcW w:w="1890" w:type="dxa"/>
            <w:vAlign w:val="center"/>
          </w:tcPr>
          <w:p w:rsidR="00C94376" w:rsidRPr="009810D2" w:rsidRDefault="00C94376" w:rsidP="009810D2">
            <w:pPr>
              <w:pStyle w:val="NoSpacing"/>
              <w:rPr>
                <w:rFonts w:ascii="Times New Roman" w:hAnsi="Times New Roman"/>
                <w:sz w:val="18"/>
                <w:szCs w:val="18"/>
              </w:rPr>
            </w:pPr>
            <w:r w:rsidRPr="009810D2">
              <w:rPr>
                <w:rFonts w:ascii="Times New Roman" w:hAnsi="Times New Roman"/>
                <w:sz w:val="18"/>
                <w:szCs w:val="18"/>
              </w:rPr>
              <w:t>Areas important for biodiversity</w:t>
            </w:r>
            <w:r w:rsidR="003C0BF7" w:rsidRPr="009810D2">
              <w:rPr>
                <w:rFonts w:ascii="Times New Roman" w:hAnsi="Times New Roman"/>
                <w:sz w:val="18"/>
                <w:szCs w:val="18"/>
              </w:rPr>
              <w:t xml:space="preserve"> </w:t>
            </w:r>
          </w:p>
        </w:tc>
        <w:tc>
          <w:tcPr>
            <w:tcW w:w="7830" w:type="dxa"/>
            <w:vAlign w:val="center"/>
          </w:tcPr>
          <w:p w:rsidR="00C06781" w:rsidRPr="009810D2" w:rsidRDefault="009E7CDD" w:rsidP="009810D2">
            <w:pPr>
              <w:pStyle w:val="NoSpacing"/>
              <w:rPr>
                <w:rFonts w:ascii="Times New Roman" w:hAnsi="Times New Roman"/>
                <w:sz w:val="18"/>
                <w:szCs w:val="18"/>
              </w:rPr>
            </w:pPr>
            <w:r w:rsidRPr="009810D2">
              <w:rPr>
                <w:rFonts w:ascii="Times New Roman" w:hAnsi="Times New Roman"/>
                <w:sz w:val="18"/>
                <w:szCs w:val="18"/>
              </w:rPr>
              <w:t xml:space="preserve">Mean </w:t>
            </w:r>
            <w:r w:rsidR="004A6594" w:rsidRPr="009810D2">
              <w:rPr>
                <w:rFonts w:ascii="Times New Roman" w:hAnsi="Times New Roman"/>
                <w:sz w:val="18"/>
                <w:szCs w:val="18"/>
              </w:rPr>
              <w:t>percent</w:t>
            </w:r>
            <w:r w:rsidRPr="009810D2">
              <w:rPr>
                <w:rFonts w:ascii="Times New Roman" w:hAnsi="Times New Roman"/>
                <w:sz w:val="18"/>
                <w:szCs w:val="18"/>
              </w:rPr>
              <w:t xml:space="preserve"> area of </w:t>
            </w:r>
            <w:r w:rsidR="00C06781" w:rsidRPr="009810D2">
              <w:rPr>
                <w:rFonts w:ascii="Times New Roman" w:hAnsi="Times New Roman"/>
                <w:sz w:val="18"/>
                <w:szCs w:val="18"/>
              </w:rPr>
              <w:t>t</w:t>
            </w:r>
            <w:r w:rsidRPr="009810D2">
              <w:rPr>
                <w:rFonts w:ascii="Times New Roman" w:hAnsi="Times New Roman"/>
                <w:sz w:val="18"/>
                <w:szCs w:val="18"/>
              </w:rPr>
              <w:t>errestrial KBAs covered by PAs</w:t>
            </w:r>
            <w:r w:rsidR="00C06781" w:rsidRPr="009810D2">
              <w:rPr>
                <w:rFonts w:ascii="Times New Roman" w:hAnsi="Times New Roman"/>
                <w:sz w:val="18"/>
                <w:szCs w:val="18"/>
              </w:rPr>
              <w:t xml:space="preserve"> increased from </w:t>
            </w:r>
            <w:r w:rsidRPr="009810D2">
              <w:rPr>
                <w:rFonts w:ascii="Times New Roman" w:hAnsi="Times New Roman"/>
                <w:sz w:val="18"/>
                <w:szCs w:val="18"/>
              </w:rPr>
              <w:t>45.5%</w:t>
            </w:r>
            <w:r w:rsidR="00C06781" w:rsidRPr="009810D2">
              <w:rPr>
                <w:rFonts w:ascii="Times New Roman" w:hAnsi="Times New Roman"/>
                <w:sz w:val="18"/>
                <w:szCs w:val="18"/>
              </w:rPr>
              <w:t xml:space="preserve"> to </w:t>
            </w:r>
            <w:r w:rsidRPr="009810D2">
              <w:rPr>
                <w:rFonts w:ascii="Times New Roman" w:hAnsi="Times New Roman"/>
                <w:sz w:val="18"/>
                <w:szCs w:val="18"/>
              </w:rPr>
              <w:t>46.6%</w:t>
            </w:r>
            <w:r w:rsidR="00C06781" w:rsidRPr="009810D2">
              <w:rPr>
                <w:rFonts w:ascii="Times New Roman" w:hAnsi="Times New Roman"/>
                <w:sz w:val="18"/>
                <w:szCs w:val="18"/>
              </w:rPr>
              <w:t xml:space="preserve">; for marine KBAs it increased from </w:t>
            </w:r>
            <w:r w:rsidRPr="009810D2">
              <w:rPr>
                <w:rFonts w:ascii="Times New Roman" w:hAnsi="Times New Roman"/>
                <w:sz w:val="18"/>
                <w:szCs w:val="18"/>
              </w:rPr>
              <w:t>41.3%</w:t>
            </w:r>
            <w:r w:rsidR="00C06781" w:rsidRPr="009810D2">
              <w:rPr>
                <w:rFonts w:ascii="Times New Roman" w:hAnsi="Times New Roman"/>
                <w:sz w:val="18"/>
                <w:szCs w:val="18"/>
              </w:rPr>
              <w:t xml:space="preserve"> to </w:t>
            </w:r>
            <w:r w:rsidRPr="009810D2">
              <w:rPr>
                <w:rFonts w:ascii="Times New Roman" w:hAnsi="Times New Roman"/>
                <w:sz w:val="18"/>
                <w:szCs w:val="18"/>
              </w:rPr>
              <w:t>44.3%</w:t>
            </w:r>
            <w:r w:rsidR="00C06781" w:rsidRPr="009810D2">
              <w:rPr>
                <w:rFonts w:ascii="Times New Roman" w:hAnsi="Times New Roman"/>
                <w:sz w:val="18"/>
                <w:szCs w:val="18"/>
              </w:rPr>
              <w:t>.</w:t>
            </w:r>
            <w:r w:rsidR="00477B47" w:rsidRPr="009810D2">
              <w:rPr>
                <w:rFonts w:ascii="Times New Roman" w:hAnsi="Times New Roman"/>
                <w:sz w:val="18"/>
                <w:szCs w:val="18"/>
              </w:rPr>
              <w:t xml:space="preserve"> </w:t>
            </w:r>
          </w:p>
        </w:tc>
      </w:tr>
      <w:tr w:rsidR="00C94376" w:rsidRPr="00C94376" w:rsidTr="009810D2">
        <w:trPr>
          <w:trHeight w:val="792"/>
        </w:trPr>
        <w:tc>
          <w:tcPr>
            <w:tcW w:w="1890" w:type="dxa"/>
            <w:vAlign w:val="center"/>
          </w:tcPr>
          <w:p w:rsidR="00C94376" w:rsidRPr="009810D2" w:rsidRDefault="00C94376" w:rsidP="009810D2">
            <w:pPr>
              <w:pStyle w:val="NoSpacing"/>
              <w:rPr>
                <w:rFonts w:ascii="Times New Roman" w:hAnsi="Times New Roman"/>
                <w:sz w:val="18"/>
                <w:szCs w:val="18"/>
              </w:rPr>
            </w:pPr>
            <w:r w:rsidRPr="009810D2">
              <w:rPr>
                <w:rFonts w:ascii="Times New Roman" w:hAnsi="Times New Roman"/>
                <w:sz w:val="18"/>
                <w:szCs w:val="18"/>
              </w:rPr>
              <w:t>Connectivity</w:t>
            </w:r>
            <w:r w:rsidR="003C0BF7" w:rsidRPr="009810D2">
              <w:rPr>
                <w:rFonts w:ascii="Times New Roman" w:hAnsi="Times New Roman"/>
                <w:sz w:val="18"/>
                <w:szCs w:val="18"/>
              </w:rPr>
              <w:t xml:space="preserve"> and integration</w:t>
            </w:r>
          </w:p>
        </w:tc>
        <w:tc>
          <w:tcPr>
            <w:tcW w:w="7830" w:type="dxa"/>
            <w:vAlign w:val="center"/>
          </w:tcPr>
          <w:p w:rsidR="00C94376" w:rsidRPr="009810D2" w:rsidRDefault="00C06781" w:rsidP="009810D2">
            <w:pPr>
              <w:pStyle w:val="NoSpacing"/>
              <w:rPr>
                <w:rFonts w:ascii="Times New Roman" w:hAnsi="Times New Roman"/>
                <w:sz w:val="18"/>
                <w:szCs w:val="18"/>
              </w:rPr>
            </w:pPr>
            <w:r w:rsidRPr="009810D2">
              <w:rPr>
                <w:rFonts w:ascii="Times New Roman" w:hAnsi="Times New Roman"/>
                <w:sz w:val="18"/>
                <w:szCs w:val="18"/>
              </w:rPr>
              <w:t>Indicators for tracking progress towards this element have now been developed, and global assessments are available.</w:t>
            </w:r>
            <w:r w:rsidR="004A6594" w:rsidRPr="009810D2">
              <w:rPr>
                <w:rFonts w:ascii="Times New Roman" w:hAnsi="Times New Roman"/>
                <w:sz w:val="18"/>
                <w:szCs w:val="18"/>
              </w:rPr>
              <w:t xml:space="preserve"> </w:t>
            </w:r>
            <w:r w:rsidR="00154359" w:rsidRPr="009810D2">
              <w:rPr>
                <w:rFonts w:ascii="Times New Roman" w:hAnsi="Times New Roman"/>
                <w:sz w:val="18"/>
                <w:szCs w:val="18"/>
              </w:rPr>
              <w:t>Based on the ProtConn indicator, 27.9% of terrestrial ecoregions and 30.5% of countries and territories have protected and connected lands covering at least 17%.</w:t>
            </w:r>
          </w:p>
        </w:tc>
      </w:tr>
      <w:tr w:rsidR="00C94376" w:rsidRPr="00C94376" w:rsidTr="009810D2">
        <w:trPr>
          <w:trHeight w:val="576"/>
        </w:trPr>
        <w:tc>
          <w:tcPr>
            <w:tcW w:w="1890" w:type="dxa"/>
            <w:vAlign w:val="center"/>
          </w:tcPr>
          <w:p w:rsidR="00C94376" w:rsidRPr="009810D2" w:rsidRDefault="00C94376" w:rsidP="009810D2">
            <w:pPr>
              <w:pStyle w:val="NoSpacing"/>
              <w:rPr>
                <w:rFonts w:ascii="Times New Roman" w:hAnsi="Times New Roman"/>
                <w:sz w:val="18"/>
                <w:szCs w:val="18"/>
              </w:rPr>
            </w:pPr>
            <w:r w:rsidRPr="009810D2">
              <w:rPr>
                <w:rFonts w:ascii="Times New Roman" w:hAnsi="Times New Roman"/>
                <w:sz w:val="18"/>
                <w:szCs w:val="18"/>
              </w:rPr>
              <w:t>Effective management</w:t>
            </w:r>
          </w:p>
        </w:tc>
        <w:tc>
          <w:tcPr>
            <w:tcW w:w="7830" w:type="dxa"/>
            <w:vAlign w:val="center"/>
          </w:tcPr>
          <w:p w:rsidR="003C0BF7" w:rsidRPr="009810D2" w:rsidRDefault="004A6594" w:rsidP="009810D2">
            <w:pPr>
              <w:pStyle w:val="NoSpacing"/>
              <w:rPr>
                <w:rFonts w:ascii="Times New Roman" w:hAnsi="Times New Roman"/>
                <w:sz w:val="18"/>
                <w:szCs w:val="18"/>
              </w:rPr>
            </w:pPr>
            <w:r w:rsidRPr="009810D2">
              <w:rPr>
                <w:rFonts w:ascii="Times New Roman" w:hAnsi="Times New Roman"/>
                <w:sz w:val="18"/>
                <w:szCs w:val="18"/>
              </w:rPr>
              <w:t>The number of CBD Parties, excluding overseas territories</w:t>
            </w:r>
            <w:r w:rsidR="00BB558A">
              <w:rPr>
                <w:rFonts w:ascii="Times New Roman" w:hAnsi="Times New Roman"/>
                <w:sz w:val="18"/>
                <w:szCs w:val="18"/>
              </w:rPr>
              <w:t>,</w:t>
            </w:r>
            <w:r w:rsidRPr="009810D2">
              <w:rPr>
                <w:rFonts w:ascii="Times New Roman" w:hAnsi="Times New Roman"/>
                <w:sz w:val="18"/>
                <w:szCs w:val="18"/>
              </w:rPr>
              <w:t xml:space="preserve"> with management effectiveness evaluations in at least 60% of PAs was 42 </w:t>
            </w:r>
            <w:r w:rsidR="00477B47" w:rsidRPr="009810D2">
              <w:rPr>
                <w:rFonts w:ascii="Times New Roman" w:hAnsi="Times New Roman"/>
                <w:sz w:val="18"/>
                <w:szCs w:val="18"/>
              </w:rPr>
              <w:t>as of</w:t>
            </w:r>
            <w:r w:rsidRPr="009810D2">
              <w:rPr>
                <w:rFonts w:ascii="Times New Roman" w:hAnsi="Times New Roman"/>
                <w:sz w:val="18"/>
                <w:szCs w:val="18"/>
              </w:rPr>
              <w:t xml:space="preserve"> Jan 2015, increasing to 47 in May 2018 (for terrestrial PAs).</w:t>
            </w:r>
          </w:p>
        </w:tc>
      </w:tr>
      <w:tr w:rsidR="00C94376" w:rsidRPr="00C94376" w:rsidTr="009810D2">
        <w:trPr>
          <w:trHeight w:val="562"/>
        </w:trPr>
        <w:tc>
          <w:tcPr>
            <w:tcW w:w="1890" w:type="dxa"/>
            <w:tcBorders>
              <w:bottom w:val="single" w:sz="18" w:space="0" w:color="auto"/>
            </w:tcBorders>
            <w:vAlign w:val="center"/>
          </w:tcPr>
          <w:p w:rsidR="00C94376" w:rsidRPr="009810D2" w:rsidRDefault="00C94376" w:rsidP="009810D2">
            <w:pPr>
              <w:pStyle w:val="NoSpacing"/>
              <w:rPr>
                <w:rFonts w:ascii="Times New Roman" w:hAnsi="Times New Roman"/>
                <w:sz w:val="18"/>
                <w:szCs w:val="18"/>
              </w:rPr>
            </w:pPr>
            <w:r w:rsidRPr="009810D2">
              <w:rPr>
                <w:rFonts w:ascii="Times New Roman" w:hAnsi="Times New Roman"/>
                <w:sz w:val="18"/>
                <w:szCs w:val="18"/>
              </w:rPr>
              <w:t>Governance and equity</w:t>
            </w:r>
          </w:p>
        </w:tc>
        <w:tc>
          <w:tcPr>
            <w:tcW w:w="7830" w:type="dxa"/>
            <w:tcBorders>
              <w:bottom w:val="single" w:sz="18" w:space="0" w:color="auto"/>
            </w:tcBorders>
            <w:vAlign w:val="center"/>
          </w:tcPr>
          <w:p w:rsidR="003C0BF7" w:rsidRPr="009810D2" w:rsidRDefault="00E20454" w:rsidP="009810D2">
            <w:pPr>
              <w:pStyle w:val="NoSpacing"/>
              <w:rPr>
                <w:rFonts w:ascii="Times New Roman" w:hAnsi="Times New Roman"/>
                <w:sz w:val="18"/>
                <w:szCs w:val="18"/>
              </w:rPr>
            </w:pPr>
            <w:r w:rsidRPr="009810D2">
              <w:rPr>
                <w:rFonts w:ascii="Times New Roman" w:hAnsi="Times New Roman"/>
                <w:sz w:val="18"/>
                <w:szCs w:val="18"/>
              </w:rPr>
              <w:t>P</w:t>
            </w:r>
            <w:r w:rsidR="004A6594" w:rsidRPr="009810D2">
              <w:rPr>
                <w:rFonts w:ascii="Times New Roman" w:hAnsi="Times New Roman"/>
                <w:sz w:val="18"/>
                <w:szCs w:val="18"/>
              </w:rPr>
              <w:t>roportion of</w:t>
            </w:r>
            <w:r w:rsidRPr="009810D2">
              <w:rPr>
                <w:rFonts w:ascii="Times New Roman" w:hAnsi="Times New Roman"/>
                <w:sz w:val="18"/>
                <w:szCs w:val="18"/>
              </w:rPr>
              <w:t xml:space="preserve"> sites in the WDPA reporting shared governance increased from 1.8% to 3.3%, and those reporting private governance increased from 4.5% to 5.7%.</w:t>
            </w:r>
          </w:p>
        </w:tc>
      </w:tr>
    </w:tbl>
    <w:p w:rsidR="000154FB" w:rsidRPr="00F54F50" w:rsidRDefault="000154FB" w:rsidP="000154FB">
      <w:pPr>
        <w:pStyle w:val="Para1"/>
      </w:pPr>
      <w:r w:rsidRPr="00F54F50">
        <w:t xml:space="preserve">To present </w:t>
      </w:r>
      <w:r w:rsidR="00F54F50" w:rsidRPr="00F54F50">
        <w:t xml:space="preserve">changes in </w:t>
      </w:r>
      <w:r w:rsidRPr="00F54F50">
        <w:t xml:space="preserve">progress </w:t>
      </w:r>
      <w:r w:rsidR="00BB558A">
        <w:t>for</w:t>
      </w:r>
      <w:r w:rsidRPr="00F54F50">
        <w:t xml:space="preserve"> the elements</w:t>
      </w:r>
      <w:r w:rsidR="00F54F50" w:rsidRPr="00F54F50">
        <w:t xml:space="preserve"> of Target 11</w:t>
      </w:r>
      <w:r w:rsidRPr="00F54F50">
        <w:t>, the five-point scale</w:t>
      </w:r>
      <w:r w:rsidR="009D450A" w:rsidRPr="00F54F50">
        <w:t xml:space="preserve"> and symbols</w:t>
      </w:r>
      <w:r w:rsidRPr="00F54F50">
        <w:t xml:space="preserve"> </w:t>
      </w:r>
      <w:r w:rsidR="009D450A" w:rsidRPr="00F54F50">
        <w:t>developed</w:t>
      </w:r>
      <w:r w:rsidRPr="00F54F50">
        <w:t xml:space="preserve"> </w:t>
      </w:r>
      <w:r w:rsidR="00F54F50">
        <w:t>for</w:t>
      </w:r>
      <w:r w:rsidRPr="00F54F50">
        <w:t xml:space="preserve"> </w:t>
      </w:r>
      <w:r w:rsidR="009D450A" w:rsidRPr="00F54F50">
        <w:t xml:space="preserve">GBO-4 </w:t>
      </w:r>
      <w:r w:rsidRPr="00F54F50">
        <w:t>will be used</w:t>
      </w:r>
      <w:r w:rsidR="00F54F50" w:rsidRPr="00F54F50">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1985"/>
        <w:gridCol w:w="2011"/>
        <w:gridCol w:w="1775"/>
        <w:gridCol w:w="1791"/>
      </w:tblGrid>
      <w:tr w:rsidR="000154FB" w:rsidTr="00B13214">
        <w:trPr>
          <w:trHeight w:val="1581"/>
        </w:trPr>
        <w:tc>
          <w:tcPr>
            <w:tcW w:w="1710" w:type="dxa"/>
          </w:tcPr>
          <w:p w:rsidR="000154FB" w:rsidRDefault="000154FB" w:rsidP="00B13214">
            <w:pPr>
              <w:pStyle w:val="Para1"/>
              <w:numPr>
                <w:ilvl w:val="0"/>
                <w:numId w:val="0"/>
              </w:numPr>
              <w:jc w:val="center"/>
              <w:rPr>
                <w:color w:val="FF0000"/>
              </w:rPr>
            </w:pPr>
            <w:r>
              <w:rPr>
                <w:noProof/>
                <w:color w:val="FF0000"/>
                <w:lang w:val="en-CA" w:eastAsia="en-CA"/>
              </w:rPr>
              <w:lastRenderedPageBreak/>
              <w:drawing>
                <wp:inline distT="0" distB="0" distL="0" distR="0" wp14:anchorId="7BD01611" wp14:editId="78EB7EC3">
                  <wp:extent cx="636104" cy="5486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364" cy="551451"/>
                          </a:xfrm>
                          <a:prstGeom prst="rect">
                            <a:avLst/>
                          </a:prstGeom>
                        </pic:spPr>
                      </pic:pic>
                    </a:graphicData>
                  </a:graphic>
                </wp:inline>
              </w:drawing>
            </w:r>
          </w:p>
        </w:tc>
        <w:tc>
          <w:tcPr>
            <w:tcW w:w="2012" w:type="dxa"/>
          </w:tcPr>
          <w:p w:rsidR="00B13214" w:rsidRDefault="00B13214" w:rsidP="00B13214">
            <w:pPr>
              <w:pStyle w:val="Para1"/>
              <w:numPr>
                <w:ilvl w:val="0"/>
                <w:numId w:val="0"/>
              </w:numPr>
              <w:jc w:val="center"/>
              <w:rPr>
                <w:color w:val="FF0000"/>
                <w:sz w:val="8"/>
              </w:rPr>
            </w:pPr>
          </w:p>
          <w:p w:rsidR="000154FB" w:rsidRPr="00B13214" w:rsidRDefault="000154FB" w:rsidP="00B13214">
            <w:pPr>
              <w:pStyle w:val="Para1"/>
              <w:numPr>
                <w:ilvl w:val="0"/>
                <w:numId w:val="0"/>
              </w:numPr>
              <w:jc w:val="center"/>
              <w:rPr>
                <w:color w:val="FF0000"/>
                <w:sz w:val="8"/>
              </w:rPr>
            </w:pPr>
            <w:r w:rsidRPr="00B13214">
              <w:rPr>
                <w:noProof/>
                <w:color w:val="FF0000"/>
                <w:sz w:val="8"/>
                <w:lang w:val="en-CA" w:eastAsia="en-CA"/>
              </w:rPr>
              <w:drawing>
                <wp:inline distT="0" distB="0" distL="0" distR="0" wp14:anchorId="7D6AF0F4" wp14:editId="0AAAB30F">
                  <wp:extent cx="699714" cy="452255"/>
                  <wp:effectExtent l="0" t="0" r="571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16">
                            <a:extLst>
                              <a:ext uri="{28A0092B-C50C-407E-A947-70E740481C1C}">
                                <a14:useLocalDpi xmlns:a14="http://schemas.microsoft.com/office/drawing/2010/main" val="0"/>
                              </a:ext>
                            </a:extLst>
                          </a:blip>
                          <a:stretch>
                            <a:fillRect/>
                          </a:stretch>
                        </pic:blipFill>
                        <pic:spPr>
                          <a:xfrm>
                            <a:off x="0" y="0"/>
                            <a:ext cx="704218" cy="455166"/>
                          </a:xfrm>
                          <a:prstGeom prst="rect">
                            <a:avLst/>
                          </a:prstGeom>
                        </pic:spPr>
                      </pic:pic>
                    </a:graphicData>
                  </a:graphic>
                </wp:inline>
              </w:drawing>
            </w:r>
          </w:p>
        </w:tc>
        <w:tc>
          <w:tcPr>
            <w:tcW w:w="2038" w:type="dxa"/>
          </w:tcPr>
          <w:p w:rsidR="00B13214" w:rsidRDefault="00B13214" w:rsidP="00B13214">
            <w:pPr>
              <w:pStyle w:val="Para1"/>
              <w:numPr>
                <w:ilvl w:val="0"/>
                <w:numId w:val="0"/>
              </w:numPr>
              <w:jc w:val="center"/>
              <w:rPr>
                <w:color w:val="FF0000"/>
                <w:sz w:val="8"/>
              </w:rPr>
            </w:pPr>
          </w:p>
          <w:p w:rsidR="000154FB" w:rsidRPr="00B13214" w:rsidRDefault="000154FB" w:rsidP="00B13214">
            <w:pPr>
              <w:pStyle w:val="Para1"/>
              <w:numPr>
                <w:ilvl w:val="0"/>
                <w:numId w:val="0"/>
              </w:numPr>
              <w:jc w:val="center"/>
              <w:rPr>
                <w:color w:val="FF0000"/>
                <w:sz w:val="8"/>
              </w:rPr>
            </w:pPr>
            <w:r w:rsidRPr="00B13214">
              <w:rPr>
                <w:noProof/>
                <w:color w:val="FF0000"/>
                <w:sz w:val="8"/>
                <w:lang w:val="en-CA" w:eastAsia="en-CA"/>
              </w:rPr>
              <w:drawing>
                <wp:inline distT="0" distB="0" distL="0" distR="0" wp14:anchorId="51A40803" wp14:editId="1CD43275">
                  <wp:extent cx="723569" cy="470319"/>
                  <wp:effectExtent l="0" t="0" r="63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17">
                            <a:extLst>
                              <a:ext uri="{28A0092B-C50C-407E-A947-70E740481C1C}">
                                <a14:useLocalDpi xmlns:a14="http://schemas.microsoft.com/office/drawing/2010/main" val="0"/>
                              </a:ext>
                            </a:extLst>
                          </a:blip>
                          <a:stretch>
                            <a:fillRect/>
                          </a:stretch>
                        </pic:blipFill>
                        <pic:spPr>
                          <a:xfrm>
                            <a:off x="0" y="0"/>
                            <a:ext cx="724090" cy="470658"/>
                          </a:xfrm>
                          <a:prstGeom prst="rect">
                            <a:avLst/>
                          </a:prstGeom>
                        </pic:spPr>
                      </pic:pic>
                    </a:graphicData>
                  </a:graphic>
                </wp:inline>
              </w:drawing>
            </w:r>
          </w:p>
        </w:tc>
        <w:tc>
          <w:tcPr>
            <w:tcW w:w="1792" w:type="dxa"/>
          </w:tcPr>
          <w:p w:rsidR="00B13214" w:rsidRDefault="00B13214" w:rsidP="00B13214">
            <w:pPr>
              <w:pStyle w:val="Para1"/>
              <w:numPr>
                <w:ilvl w:val="0"/>
                <w:numId w:val="0"/>
              </w:numPr>
              <w:jc w:val="center"/>
              <w:rPr>
                <w:color w:val="FF0000"/>
                <w:sz w:val="8"/>
              </w:rPr>
            </w:pPr>
          </w:p>
          <w:p w:rsidR="000154FB" w:rsidRPr="00B13214" w:rsidRDefault="000154FB" w:rsidP="00B13214">
            <w:pPr>
              <w:pStyle w:val="Para1"/>
              <w:numPr>
                <w:ilvl w:val="0"/>
                <w:numId w:val="0"/>
              </w:numPr>
              <w:jc w:val="center"/>
              <w:rPr>
                <w:color w:val="FF0000"/>
                <w:sz w:val="8"/>
              </w:rPr>
            </w:pPr>
            <w:r w:rsidRPr="00B13214">
              <w:rPr>
                <w:noProof/>
                <w:color w:val="FF0000"/>
                <w:sz w:val="8"/>
                <w:lang w:val="en-CA" w:eastAsia="en-CA"/>
              </w:rPr>
              <w:drawing>
                <wp:inline distT="0" distB="0" distL="0" distR="0" wp14:anchorId="13A08467" wp14:editId="10042B5A">
                  <wp:extent cx="723568" cy="509177"/>
                  <wp:effectExtent l="0" t="0" r="63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a:blip r:embed="rId18">
                            <a:extLst>
                              <a:ext uri="{28A0092B-C50C-407E-A947-70E740481C1C}">
                                <a14:useLocalDpi xmlns:a14="http://schemas.microsoft.com/office/drawing/2010/main" val="0"/>
                              </a:ext>
                            </a:extLst>
                          </a:blip>
                          <a:stretch>
                            <a:fillRect/>
                          </a:stretch>
                        </pic:blipFill>
                        <pic:spPr>
                          <a:xfrm>
                            <a:off x="0" y="0"/>
                            <a:ext cx="727550" cy="511979"/>
                          </a:xfrm>
                          <a:prstGeom prst="rect">
                            <a:avLst/>
                          </a:prstGeom>
                        </pic:spPr>
                      </pic:pic>
                    </a:graphicData>
                  </a:graphic>
                </wp:inline>
              </w:drawing>
            </w:r>
          </w:p>
        </w:tc>
        <w:tc>
          <w:tcPr>
            <w:tcW w:w="1808" w:type="dxa"/>
            <w:vAlign w:val="bottom"/>
          </w:tcPr>
          <w:p w:rsidR="000154FB" w:rsidRDefault="000154FB" w:rsidP="00B13214">
            <w:pPr>
              <w:pStyle w:val="Para1"/>
              <w:numPr>
                <w:ilvl w:val="0"/>
                <w:numId w:val="0"/>
              </w:numPr>
              <w:jc w:val="center"/>
              <w:rPr>
                <w:color w:val="FF0000"/>
              </w:rPr>
            </w:pPr>
            <w:r>
              <w:rPr>
                <w:noProof/>
                <w:color w:val="FF0000"/>
                <w:lang w:val="en-CA" w:eastAsia="en-CA"/>
              </w:rPr>
              <w:drawing>
                <wp:inline distT="0" distB="0" distL="0" distR="0" wp14:anchorId="0AFFDD90" wp14:editId="14E383D4">
                  <wp:extent cx="731520" cy="741082"/>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ng"/>
                          <pic:cNvPicPr/>
                        </pic:nvPicPr>
                        <pic:blipFill rotWithShape="1">
                          <a:blip r:embed="rId19">
                            <a:extLst>
                              <a:ext uri="{28A0092B-C50C-407E-A947-70E740481C1C}">
                                <a14:useLocalDpi xmlns:a14="http://schemas.microsoft.com/office/drawing/2010/main" val="0"/>
                              </a:ext>
                            </a:extLst>
                          </a:blip>
                          <a:srcRect r="79545" b="74080"/>
                          <a:stretch/>
                        </pic:blipFill>
                        <pic:spPr bwMode="auto">
                          <a:xfrm>
                            <a:off x="0" y="0"/>
                            <a:ext cx="733465" cy="743053"/>
                          </a:xfrm>
                          <a:prstGeom prst="rect">
                            <a:avLst/>
                          </a:prstGeom>
                          <a:ln>
                            <a:noFill/>
                          </a:ln>
                          <a:extLst>
                            <a:ext uri="{53640926-AAD7-44D8-BBD7-CCE9431645EC}">
                              <a14:shadowObscured xmlns:a14="http://schemas.microsoft.com/office/drawing/2010/main"/>
                            </a:ext>
                          </a:extLst>
                        </pic:spPr>
                      </pic:pic>
                    </a:graphicData>
                  </a:graphic>
                </wp:inline>
              </w:drawing>
            </w:r>
          </w:p>
        </w:tc>
      </w:tr>
      <w:tr w:rsidR="000154FB" w:rsidTr="00B13214">
        <w:tc>
          <w:tcPr>
            <w:tcW w:w="1710" w:type="dxa"/>
          </w:tcPr>
          <w:p w:rsidR="000154FB" w:rsidRPr="000154FB" w:rsidRDefault="000154FB" w:rsidP="000154FB">
            <w:pPr>
              <w:pStyle w:val="Para1"/>
              <w:numPr>
                <w:ilvl w:val="0"/>
                <w:numId w:val="0"/>
              </w:numPr>
              <w:jc w:val="center"/>
              <w:rPr>
                <w:color w:val="FF0000"/>
                <w:sz w:val="18"/>
              </w:rPr>
            </w:pPr>
            <w:r w:rsidRPr="000154FB">
              <w:rPr>
                <w:sz w:val="18"/>
              </w:rPr>
              <w:t>On track to exceed target (we expect to achieve the target before its deadline)</w:t>
            </w:r>
          </w:p>
        </w:tc>
        <w:tc>
          <w:tcPr>
            <w:tcW w:w="2012" w:type="dxa"/>
          </w:tcPr>
          <w:p w:rsidR="000154FB" w:rsidRPr="000154FB" w:rsidRDefault="000154FB" w:rsidP="000154FB">
            <w:pPr>
              <w:pStyle w:val="Para1"/>
              <w:numPr>
                <w:ilvl w:val="0"/>
                <w:numId w:val="0"/>
              </w:numPr>
              <w:jc w:val="center"/>
              <w:rPr>
                <w:color w:val="FF0000"/>
                <w:sz w:val="18"/>
              </w:rPr>
            </w:pPr>
            <w:r w:rsidRPr="000154FB">
              <w:rPr>
                <w:sz w:val="18"/>
              </w:rPr>
              <w:t>On track to achieve target (if we continue on our current trajectory we expect to achieve the target by 2020)</w:t>
            </w:r>
          </w:p>
        </w:tc>
        <w:tc>
          <w:tcPr>
            <w:tcW w:w="2038" w:type="dxa"/>
          </w:tcPr>
          <w:p w:rsidR="000154FB" w:rsidRPr="000154FB" w:rsidRDefault="000154FB" w:rsidP="000154FB">
            <w:pPr>
              <w:pStyle w:val="Para1"/>
              <w:numPr>
                <w:ilvl w:val="0"/>
                <w:numId w:val="0"/>
              </w:numPr>
              <w:jc w:val="center"/>
              <w:rPr>
                <w:color w:val="FF0000"/>
                <w:sz w:val="18"/>
              </w:rPr>
            </w:pPr>
            <w:r w:rsidRPr="000154FB">
              <w:rPr>
                <w:sz w:val="18"/>
              </w:rPr>
              <w:t>Progress towards target but at an insufficient rate (unless we increase our efforts the target will not be met by its deadline)</w:t>
            </w:r>
          </w:p>
        </w:tc>
        <w:tc>
          <w:tcPr>
            <w:tcW w:w="1792" w:type="dxa"/>
          </w:tcPr>
          <w:p w:rsidR="000154FB" w:rsidRPr="000154FB" w:rsidRDefault="000154FB" w:rsidP="000154FB">
            <w:pPr>
              <w:pStyle w:val="Para1"/>
              <w:numPr>
                <w:ilvl w:val="0"/>
                <w:numId w:val="0"/>
              </w:numPr>
              <w:jc w:val="center"/>
              <w:rPr>
                <w:color w:val="FF0000"/>
                <w:sz w:val="18"/>
              </w:rPr>
            </w:pPr>
            <w:r w:rsidRPr="000154FB">
              <w:rPr>
                <w:sz w:val="18"/>
              </w:rPr>
              <w:t>No significant overall progress (overall, we are neither moving towards the target nor away from it)</w:t>
            </w:r>
          </w:p>
        </w:tc>
        <w:tc>
          <w:tcPr>
            <w:tcW w:w="1808" w:type="dxa"/>
          </w:tcPr>
          <w:p w:rsidR="000154FB" w:rsidRPr="000154FB" w:rsidRDefault="000154FB" w:rsidP="000154FB">
            <w:pPr>
              <w:pStyle w:val="Para1"/>
              <w:numPr>
                <w:ilvl w:val="0"/>
                <w:numId w:val="0"/>
              </w:numPr>
              <w:jc w:val="center"/>
              <w:rPr>
                <w:color w:val="FF0000"/>
                <w:sz w:val="18"/>
              </w:rPr>
            </w:pPr>
            <w:r w:rsidRPr="000154FB">
              <w:rPr>
                <w:sz w:val="18"/>
              </w:rPr>
              <w:t>Moving away from target (things are getting worse rather than better)</w:t>
            </w:r>
          </w:p>
        </w:tc>
      </w:tr>
    </w:tbl>
    <w:p w:rsidR="005D720C" w:rsidRDefault="00E23DFD" w:rsidP="00F44E90">
      <w:pPr>
        <w:pStyle w:val="Heading1"/>
        <w:numPr>
          <w:ilvl w:val="0"/>
          <w:numId w:val="9"/>
        </w:numPr>
      </w:pPr>
      <w:r w:rsidRPr="00576654">
        <w:rPr>
          <w:lang w:val="en-US"/>
        </w:rPr>
        <w:t>QUANTITATIVE ELEMENTS OF AICHI BIODIVERSITY TARGET 11</w:t>
      </w:r>
      <w:r w:rsidR="003E5ACE" w:rsidRPr="00576654">
        <w:t xml:space="preserve"> </w:t>
      </w:r>
    </w:p>
    <w:tbl>
      <w:tblPr>
        <w:tblW w:w="9540" w:type="dxa"/>
        <w:tblInd w:w="18" w:type="dxa"/>
        <w:tblLook w:val="04A0" w:firstRow="1" w:lastRow="0" w:firstColumn="1" w:lastColumn="0" w:noHBand="0" w:noVBand="1"/>
      </w:tblPr>
      <w:tblGrid>
        <w:gridCol w:w="2700"/>
        <w:gridCol w:w="2070"/>
        <w:gridCol w:w="2340"/>
        <w:gridCol w:w="2430"/>
      </w:tblGrid>
      <w:tr w:rsidR="00B13214" w:rsidRPr="00BD6B4B" w:rsidTr="00256FBC">
        <w:tc>
          <w:tcPr>
            <w:tcW w:w="2700" w:type="dxa"/>
            <w:tcBorders>
              <w:top w:val="single" w:sz="18" w:space="0" w:color="auto"/>
              <w:bottom w:val="single" w:sz="12" w:space="0" w:color="auto"/>
            </w:tcBorders>
            <w:shd w:val="clear" w:color="auto" w:fill="auto"/>
          </w:tcPr>
          <w:p w:rsidR="00B13214" w:rsidRPr="00A26FA9" w:rsidRDefault="00B13214" w:rsidP="00B13214">
            <w:pPr>
              <w:pStyle w:val="NoSpacing"/>
              <w:spacing w:line="276" w:lineRule="auto"/>
              <w:jc w:val="center"/>
              <w:rPr>
                <w:rFonts w:ascii="Times New Roman" w:hAnsi="Times New Roman"/>
                <w:sz w:val="18"/>
              </w:rPr>
            </w:pPr>
          </w:p>
          <w:p w:rsidR="00B13214" w:rsidRPr="00A26FA9" w:rsidRDefault="00B13214" w:rsidP="00B13214">
            <w:pPr>
              <w:pStyle w:val="NoSpacing"/>
              <w:spacing w:line="276" w:lineRule="auto"/>
              <w:jc w:val="center"/>
              <w:rPr>
                <w:rFonts w:ascii="Times New Roman" w:hAnsi="Times New Roman"/>
                <w:b/>
                <w:sz w:val="18"/>
              </w:rPr>
            </w:pPr>
            <w:r w:rsidRPr="00A26FA9">
              <w:rPr>
                <w:rFonts w:ascii="Times New Roman" w:hAnsi="Times New Roman"/>
                <w:b/>
                <w:sz w:val="18"/>
              </w:rPr>
              <w:t>Element of Target 11</w:t>
            </w:r>
          </w:p>
          <w:p w:rsidR="00B13214" w:rsidRPr="00A26FA9" w:rsidRDefault="00B13214" w:rsidP="00B13214">
            <w:pPr>
              <w:pStyle w:val="NoSpacing"/>
              <w:spacing w:line="276" w:lineRule="auto"/>
              <w:jc w:val="center"/>
              <w:rPr>
                <w:rFonts w:ascii="Times New Roman" w:hAnsi="Times New Roman"/>
                <w:sz w:val="18"/>
              </w:rPr>
            </w:pPr>
            <w:r w:rsidRPr="00A26FA9">
              <w:rPr>
                <w:rFonts w:ascii="Times New Roman" w:hAnsi="Times New Roman"/>
                <w:sz w:val="18"/>
              </w:rPr>
              <w:t>(and status from GBO-4 in 2014)</w:t>
            </w:r>
          </w:p>
        </w:tc>
        <w:tc>
          <w:tcPr>
            <w:tcW w:w="2070" w:type="dxa"/>
            <w:tcBorders>
              <w:top w:val="single" w:sz="18" w:space="0" w:color="auto"/>
              <w:bottom w:val="single" w:sz="12" w:space="0" w:color="auto"/>
            </w:tcBorders>
            <w:shd w:val="clear" w:color="auto" w:fill="auto"/>
            <w:vAlign w:val="center"/>
          </w:tcPr>
          <w:p w:rsidR="00B13214" w:rsidRPr="00A26FA9" w:rsidRDefault="00B13214" w:rsidP="00B13214">
            <w:pPr>
              <w:pStyle w:val="NoSpacing"/>
              <w:spacing w:line="276" w:lineRule="auto"/>
              <w:jc w:val="center"/>
              <w:rPr>
                <w:rFonts w:ascii="Times New Roman" w:hAnsi="Times New Roman"/>
                <w:b/>
                <w:sz w:val="18"/>
              </w:rPr>
            </w:pPr>
            <w:r w:rsidRPr="00A26FA9">
              <w:rPr>
                <w:rFonts w:ascii="Times New Roman" w:hAnsi="Times New Roman"/>
                <w:b/>
                <w:sz w:val="18"/>
              </w:rPr>
              <w:t>Status in 2016</w:t>
            </w:r>
          </w:p>
          <w:p w:rsidR="00B13214" w:rsidRPr="00A26FA9" w:rsidRDefault="00B13214" w:rsidP="00E40184">
            <w:pPr>
              <w:pStyle w:val="NoSpacing"/>
              <w:spacing w:line="276" w:lineRule="auto"/>
              <w:jc w:val="center"/>
              <w:rPr>
                <w:rFonts w:ascii="Times New Roman" w:hAnsi="Times New Roman"/>
                <w:sz w:val="18"/>
              </w:rPr>
            </w:pPr>
            <w:r w:rsidRPr="00A26FA9">
              <w:rPr>
                <w:rFonts w:ascii="Times New Roman" w:hAnsi="Times New Roman"/>
                <w:sz w:val="18"/>
              </w:rPr>
              <w:t>(</w:t>
            </w:r>
            <w:r w:rsidR="00E40184">
              <w:rPr>
                <w:rFonts w:ascii="Times New Roman" w:hAnsi="Times New Roman"/>
                <w:sz w:val="18"/>
              </w:rPr>
              <w:t>as per</w:t>
            </w:r>
            <w:r w:rsidR="009C7723">
              <w:rPr>
                <w:rFonts w:ascii="Times New Roman" w:hAnsi="Times New Roman"/>
                <w:sz w:val="18"/>
              </w:rPr>
              <w:t xml:space="preserve"> the</w:t>
            </w:r>
            <w:r w:rsidR="00256FBC" w:rsidRPr="00E40184">
              <w:rPr>
                <w:rFonts w:ascii="Times New Roman" w:hAnsi="Times New Roman"/>
                <w:sz w:val="18"/>
              </w:rPr>
              <w:t xml:space="preserve"> </w:t>
            </w:r>
            <w:r w:rsidRPr="00E40184">
              <w:rPr>
                <w:rFonts w:ascii="Times New Roman" w:hAnsi="Times New Roman"/>
                <w:i/>
                <w:sz w:val="18"/>
              </w:rPr>
              <w:t>Protected Planet Report 2016</w:t>
            </w:r>
            <w:r w:rsidRPr="00E40184">
              <w:rPr>
                <w:rFonts w:ascii="Times New Roman" w:hAnsi="Times New Roman"/>
                <w:sz w:val="18"/>
              </w:rPr>
              <w:t>)</w:t>
            </w:r>
          </w:p>
        </w:tc>
        <w:tc>
          <w:tcPr>
            <w:tcW w:w="2340" w:type="dxa"/>
            <w:tcBorders>
              <w:top w:val="single" w:sz="18" w:space="0" w:color="auto"/>
              <w:bottom w:val="single" w:sz="12" w:space="0" w:color="auto"/>
            </w:tcBorders>
            <w:shd w:val="clear" w:color="auto" w:fill="auto"/>
            <w:vAlign w:val="center"/>
          </w:tcPr>
          <w:p w:rsidR="00B13214" w:rsidRPr="00A26FA9" w:rsidRDefault="00B13214" w:rsidP="00B13214">
            <w:pPr>
              <w:pStyle w:val="NoSpacing"/>
              <w:spacing w:line="276" w:lineRule="auto"/>
              <w:jc w:val="center"/>
              <w:rPr>
                <w:rFonts w:ascii="Times New Roman" w:hAnsi="Times New Roman"/>
                <w:b/>
                <w:sz w:val="18"/>
              </w:rPr>
            </w:pPr>
            <w:r w:rsidRPr="00A26FA9">
              <w:rPr>
                <w:rFonts w:ascii="Times New Roman" w:hAnsi="Times New Roman"/>
                <w:b/>
                <w:sz w:val="18"/>
              </w:rPr>
              <w:t>Current Status</w:t>
            </w:r>
          </w:p>
          <w:p w:rsidR="00B13214" w:rsidRPr="00A26FA9" w:rsidRDefault="00B13214" w:rsidP="00CC3CDE">
            <w:pPr>
              <w:pStyle w:val="NoSpacing"/>
              <w:spacing w:line="276" w:lineRule="auto"/>
              <w:jc w:val="center"/>
              <w:rPr>
                <w:rFonts w:ascii="Times New Roman" w:hAnsi="Times New Roman"/>
                <w:sz w:val="18"/>
              </w:rPr>
            </w:pPr>
            <w:r w:rsidRPr="00A26FA9">
              <w:rPr>
                <w:rFonts w:ascii="Times New Roman" w:hAnsi="Times New Roman"/>
                <w:sz w:val="18"/>
              </w:rPr>
              <w:t>(</w:t>
            </w:r>
            <w:r w:rsidR="00CC3CDE">
              <w:rPr>
                <w:rFonts w:ascii="Times New Roman" w:hAnsi="Times New Roman"/>
                <w:sz w:val="18"/>
              </w:rPr>
              <w:t xml:space="preserve">analysis by UNEP-WCMC of </w:t>
            </w:r>
            <w:r w:rsidRPr="00A26FA9">
              <w:rPr>
                <w:rFonts w:ascii="Times New Roman" w:hAnsi="Times New Roman"/>
                <w:sz w:val="18"/>
              </w:rPr>
              <w:t>May 2018 WDPA)</w:t>
            </w:r>
          </w:p>
        </w:tc>
        <w:tc>
          <w:tcPr>
            <w:tcW w:w="2430" w:type="dxa"/>
            <w:tcBorders>
              <w:top w:val="single" w:sz="18" w:space="0" w:color="auto"/>
              <w:bottom w:val="single" w:sz="12" w:space="0" w:color="auto"/>
            </w:tcBorders>
            <w:shd w:val="clear" w:color="auto" w:fill="auto"/>
            <w:vAlign w:val="center"/>
          </w:tcPr>
          <w:p w:rsidR="00B13214" w:rsidRPr="00A26FA9" w:rsidRDefault="00B13214" w:rsidP="00B13214">
            <w:pPr>
              <w:pStyle w:val="NoSpacing"/>
              <w:spacing w:line="276" w:lineRule="auto"/>
              <w:jc w:val="center"/>
              <w:rPr>
                <w:rFonts w:ascii="Times New Roman" w:hAnsi="Times New Roman"/>
                <w:sz w:val="18"/>
              </w:rPr>
            </w:pPr>
            <w:r w:rsidRPr="00A26FA9">
              <w:rPr>
                <w:rFonts w:ascii="Times New Roman" w:hAnsi="Times New Roman"/>
                <w:b/>
                <w:sz w:val="18"/>
              </w:rPr>
              <w:t>Opportunities for 2020</w:t>
            </w:r>
          </w:p>
          <w:p w:rsidR="00B13214" w:rsidRPr="00A26FA9" w:rsidRDefault="00B13214" w:rsidP="00B13214">
            <w:pPr>
              <w:pStyle w:val="NoSpacing"/>
              <w:spacing w:line="276" w:lineRule="auto"/>
              <w:jc w:val="center"/>
              <w:rPr>
                <w:rFonts w:ascii="Times New Roman" w:hAnsi="Times New Roman"/>
                <w:b/>
                <w:sz w:val="18"/>
              </w:rPr>
            </w:pPr>
            <w:r w:rsidRPr="00A26FA9">
              <w:rPr>
                <w:rFonts w:ascii="Times New Roman" w:hAnsi="Times New Roman"/>
                <w:sz w:val="18"/>
              </w:rPr>
              <w:t>(if all national commitments are implement as proposed)</w:t>
            </w:r>
          </w:p>
        </w:tc>
      </w:tr>
      <w:tr w:rsidR="00B13214" w:rsidRPr="00BD6B4B" w:rsidTr="00256FBC">
        <w:trPr>
          <w:trHeight w:val="688"/>
        </w:trPr>
        <w:tc>
          <w:tcPr>
            <w:tcW w:w="2700" w:type="dxa"/>
            <w:vMerge w:val="restart"/>
            <w:tcBorders>
              <w:top w:val="single" w:sz="12" w:space="0" w:color="auto"/>
            </w:tcBorders>
            <w:shd w:val="clear" w:color="auto" w:fill="auto"/>
            <w:vAlign w:val="bottom"/>
          </w:tcPr>
          <w:p w:rsidR="00B13214" w:rsidRDefault="00B13214" w:rsidP="00B13214">
            <w:pPr>
              <w:jc w:val="center"/>
              <w:rPr>
                <w:sz w:val="18"/>
                <w:szCs w:val="18"/>
              </w:rPr>
            </w:pPr>
            <w:r w:rsidRPr="00BD6B4B">
              <w:rPr>
                <w:rFonts w:cs="Times New Roman"/>
                <w:sz w:val="18"/>
                <w:szCs w:val="18"/>
              </w:rPr>
              <w:t xml:space="preserve">At least </w:t>
            </w:r>
            <w:r w:rsidRPr="00BD6B4B">
              <w:rPr>
                <w:rFonts w:cs="Times New Roman"/>
                <w:b/>
                <w:sz w:val="18"/>
                <w:szCs w:val="18"/>
              </w:rPr>
              <w:t>17% of terrestrial and inland water areas</w:t>
            </w:r>
            <w:r w:rsidR="008F6D53">
              <w:rPr>
                <w:rFonts w:cs="Times New Roman"/>
                <w:sz w:val="18"/>
                <w:szCs w:val="18"/>
              </w:rPr>
              <w:t xml:space="preserve"> </w:t>
            </w:r>
            <w:r w:rsidRPr="00BD6B4B">
              <w:rPr>
                <w:rFonts w:cs="Times New Roman"/>
                <w:sz w:val="18"/>
                <w:szCs w:val="18"/>
              </w:rPr>
              <w:t>conserved</w:t>
            </w:r>
          </w:p>
          <w:p w:rsidR="00B13214" w:rsidRPr="00BD6B4B" w:rsidRDefault="00B13214" w:rsidP="00B13214">
            <w:pPr>
              <w:jc w:val="center"/>
              <w:rPr>
                <w:rFonts w:cs="Times New Roman"/>
                <w:sz w:val="18"/>
                <w:szCs w:val="18"/>
              </w:rPr>
            </w:pPr>
            <w:r w:rsidRPr="00BD6B4B">
              <w:rPr>
                <w:rFonts w:cs="Times New Roman"/>
                <w:noProof/>
                <w:sz w:val="18"/>
                <w:szCs w:val="18"/>
                <w:lang w:val="en-CA" w:eastAsia="en-CA"/>
              </w:rPr>
              <w:drawing>
                <wp:inline distT="0" distB="0" distL="0" distR="0" wp14:anchorId="33146B10" wp14:editId="315C0924">
                  <wp:extent cx="640080" cy="4114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411480"/>
                          </a:xfrm>
                          <a:prstGeom prst="rect">
                            <a:avLst/>
                          </a:prstGeom>
                        </pic:spPr>
                      </pic:pic>
                    </a:graphicData>
                  </a:graphic>
                </wp:inline>
              </w:drawing>
            </w:r>
          </w:p>
        </w:tc>
        <w:tc>
          <w:tcPr>
            <w:tcW w:w="2070" w:type="dxa"/>
            <w:tcBorders>
              <w:top w:val="single" w:sz="12" w:space="0" w:color="auto"/>
            </w:tcBorders>
            <w:shd w:val="clear" w:color="auto" w:fill="auto"/>
            <w:vAlign w:val="center"/>
          </w:tcPr>
          <w:p w:rsidR="00B13214" w:rsidRPr="00BD6B4B" w:rsidRDefault="00B13214" w:rsidP="00B13214">
            <w:pPr>
              <w:jc w:val="center"/>
              <w:rPr>
                <w:rFonts w:cs="Times New Roman"/>
                <w:sz w:val="18"/>
                <w:szCs w:val="18"/>
              </w:rPr>
            </w:pPr>
            <w:r>
              <w:rPr>
                <w:sz w:val="18"/>
                <w:szCs w:val="18"/>
              </w:rPr>
              <w:t xml:space="preserve">Global cover: </w:t>
            </w:r>
            <w:r w:rsidRPr="00BD6B4B">
              <w:rPr>
                <w:rFonts w:cs="Times New Roman"/>
                <w:sz w:val="18"/>
                <w:szCs w:val="18"/>
              </w:rPr>
              <w:t xml:space="preserve">14.7% </w:t>
            </w:r>
          </w:p>
        </w:tc>
        <w:tc>
          <w:tcPr>
            <w:tcW w:w="2340" w:type="dxa"/>
            <w:tcBorders>
              <w:top w:val="single" w:sz="12" w:space="0" w:color="auto"/>
            </w:tcBorders>
            <w:shd w:val="clear" w:color="auto" w:fill="auto"/>
            <w:vAlign w:val="center"/>
          </w:tcPr>
          <w:p w:rsidR="00B13214" w:rsidRPr="00BD6B4B" w:rsidRDefault="00B13214" w:rsidP="00B13214">
            <w:pPr>
              <w:jc w:val="center"/>
              <w:rPr>
                <w:rFonts w:cs="Times New Roman"/>
                <w:sz w:val="18"/>
                <w:szCs w:val="18"/>
              </w:rPr>
            </w:pPr>
            <w:r w:rsidRPr="00BD6B4B">
              <w:rPr>
                <w:rFonts w:cs="Times New Roman"/>
                <w:sz w:val="18"/>
                <w:szCs w:val="18"/>
              </w:rPr>
              <w:t>14.8%</w:t>
            </w:r>
          </w:p>
        </w:tc>
        <w:tc>
          <w:tcPr>
            <w:tcW w:w="2430" w:type="dxa"/>
            <w:vMerge w:val="restart"/>
            <w:tcBorders>
              <w:top w:val="single" w:sz="12" w:space="0" w:color="auto"/>
            </w:tcBorders>
            <w:shd w:val="clear" w:color="auto" w:fill="auto"/>
            <w:vAlign w:val="center"/>
          </w:tcPr>
          <w:p w:rsidR="00B13214" w:rsidRPr="00BD6B4B" w:rsidRDefault="00B13214" w:rsidP="00B13214">
            <w:pPr>
              <w:jc w:val="center"/>
              <w:rPr>
                <w:rFonts w:cs="Times New Roman"/>
                <w:sz w:val="18"/>
                <w:szCs w:val="18"/>
              </w:rPr>
            </w:pPr>
            <w:r w:rsidRPr="00BD6B4B">
              <w:rPr>
                <w:rFonts w:cs="Times New Roman"/>
                <w:sz w:val="18"/>
                <w:szCs w:val="18"/>
              </w:rPr>
              <w:t xml:space="preserve">17.7% </w:t>
            </w:r>
          </w:p>
          <w:p w:rsidR="00B13214" w:rsidRPr="00BD6B4B" w:rsidRDefault="00B13214" w:rsidP="00B13214">
            <w:pPr>
              <w:jc w:val="center"/>
              <w:rPr>
                <w:rFonts w:cs="Times New Roman"/>
                <w:sz w:val="18"/>
                <w:szCs w:val="18"/>
              </w:rPr>
            </w:pPr>
            <w:r w:rsidRPr="00BD6B4B">
              <w:rPr>
                <w:rFonts w:cs="Times New Roman"/>
                <w:noProof/>
                <w:sz w:val="18"/>
                <w:szCs w:val="18"/>
                <w:lang w:val="en-CA" w:eastAsia="en-CA"/>
              </w:rPr>
              <w:drawing>
                <wp:inline distT="0" distB="0" distL="0" distR="0" wp14:anchorId="32D7677C" wp14:editId="0CA9C120">
                  <wp:extent cx="518615" cy="44730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582" cy="451590"/>
                          </a:xfrm>
                          <a:prstGeom prst="rect">
                            <a:avLst/>
                          </a:prstGeom>
                        </pic:spPr>
                      </pic:pic>
                    </a:graphicData>
                  </a:graphic>
                </wp:inline>
              </w:drawing>
            </w:r>
          </w:p>
        </w:tc>
      </w:tr>
      <w:tr w:rsidR="00B13214" w:rsidRPr="00BD6B4B" w:rsidTr="00256FBC">
        <w:trPr>
          <w:trHeight w:val="684"/>
        </w:trPr>
        <w:tc>
          <w:tcPr>
            <w:tcW w:w="2700" w:type="dxa"/>
            <w:vMerge/>
            <w:tcBorders>
              <w:bottom w:val="single" w:sz="12" w:space="0" w:color="auto"/>
            </w:tcBorders>
            <w:shd w:val="clear" w:color="auto" w:fill="auto"/>
            <w:vAlign w:val="center"/>
          </w:tcPr>
          <w:p w:rsidR="00B13214" w:rsidRPr="00BD6B4B" w:rsidRDefault="00B13214" w:rsidP="00B13214">
            <w:pPr>
              <w:jc w:val="center"/>
              <w:rPr>
                <w:rFonts w:cs="Times New Roman"/>
                <w:sz w:val="18"/>
                <w:szCs w:val="18"/>
              </w:rPr>
            </w:pPr>
          </w:p>
        </w:tc>
        <w:tc>
          <w:tcPr>
            <w:tcW w:w="2070" w:type="dxa"/>
            <w:tcBorders>
              <w:bottom w:val="single" w:sz="12" w:space="0" w:color="auto"/>
            </w:tcBorders>
            <w:shd w:val="clear" w:color="auto" w:fill="auto"/>
            <w:vAlign w:val="center"/>
          </w:tcPr>
          <w:p w:rsidR="00B13214" w:rsidRPr="00A26FA9" w:rsidRDefault="00B13214" w:rsidP="00B13214">
            <w:pPr>
              <w:pStyle w:val="NoSpacing"/>
              <w:jc w:val="center"/>
              <w:rPr>
                <w:rFonts w:ascii="Times New Roman" w:hAnsi="Times New Roman"/>
                <w:sz w:val="18"/>
              </w:rPr>
            </w:pPr>
            <w:r w:rsidRPr="00A26FA9">
              <w:rPr>
                <w:rFonts w:ascii="Times New Roman" w:hAnsi="Times New Roman"/>
                <w:sz w:val="18"/>
              </w:rPr>
              <w:t>87 Parties reaching at least 17%</w:t>
            </w:r>
          </w:p>
        </w:tc>
        <w:tc>
          <w:tcPr>
            <w:tcW w:w="2340" w:type="dxa"/>
            <w:tcBorders>
              <w:bottom w:val="single" w:sz="12" w:space="0" w:color="auto"/>
            </w:tcBorders>
            <w:shd w:val="clear" w:color="auto" w:fill="auto"/>
            <w:vAlign w:val="center"/>
          </w:tcPr>
          <w:p w:rsidR="00B13214" w:rsidRPr="00A26FA9" w:rsidRDefault="00B13214" w:rsidP="00B13214">
            <w:pPr>
              <w:pStyle w:val="NoSpacing"/>
              <w:jc w:val="center"/>
              <w:rPr>
                <w:rFonts w:ascii="Times New Roman" w:hAnsi="Times New Roman"/>
                <w:sz w:val="18"/>
              </w:rPr>
            </w:pPr>
            <w:r w:rsidRPr="00A26FA9">
              <w:rPr>
                <w:rFonts w:ascii="Times New Roman" w:hAnsi="Times New Roman"/>
                <w:sz w:val="18"/>
              </w:rPr>
              <w:t>91 Parties reaching at least 17%</w:t>
            </w:r>
          </w:p>
        </w:tc>
        <w:tc>
          <w:tcPr>
            <w:tcW w:w="2430" w:type="dxa"/>
            <w:vMerge/>
            <w:tcBorders>
              <w:bottom w:val="single" w:sz="12" w:space="0" w:color="auto"/>
            </w:tcBorders>
            <w:shd w:val="clear" w:color="auto" w:fill="auto"/>
            <w:vAlign w:val="center"/>
          </w:tcPr>
          <w:p w:rsidR="00B13214" w:rsidRPr="00BD6B4B" w:rsidRDefault="00B13214" w:rsidP="00B13214">
            <w:pPr>
              <w:jc w:val="center"/>
              <w:rPr>
                <w:rFonts w:cs="Times New Roman"/>
                <w:sz w:val="18"/>
                <w:szCs w:val="18"/>
              </w:rPr>
            </w:pPr>
          </w:p>
        </w:tc>
      </w:tr>
      <w:tr w:rsidR="00B13214" w:rsidRPr="00BD6B4B" w:rsidTr="00256FBC">
        <w:trPr>
          <w:trHeight w:val="401"/>
        </w:trPr>
        <w:tc>
          <w:tcPr>
            <w:tcW w:w="2700" w:type="dxa"/>
            <w:vMerge w:val="restart"/>
            <w:tcBorders>
              <w:top w:val="single" w:sz="12" w:space="0" w:color="auto"/>
            </w:tcBorders>
            <w:shd w:val="clear" w:color="auto" w:fill="auto"/>
            <w:vAlign w:val="bottom"/>
          </w:tcPr>
          <w:p w:rsidR="00B13214" w:rsidRDefault="00B13214" w:rsidP="00B13214">
            <w:pPr>
              <w:jc w:val="center"/>
              <w:rPr>
                <w:rFonts w:cs="Times New Roman"/>
                <w:sz w:val="18"/>
                <w:szCs w:val="18"/>
              </w:rPr>
            </w:pPr>
            <w:r w:rsidRPr="00BD6B4B">
              <w:rPr>
                <w:rFonts w:cs="Times New Roman"/>
                <w:sz w:val="18"/>
                <w:szCs w:val="18"/>
              </w:rPr>
              <w:t xml:space="preserve">At least </w:t>
            </w:r>
            <w:r w:rsidRPr="00BD6B4B">
              <w:rPr>
                <w:rFonts w:cs="Times New Roman"/>
                <w:b/>
                <w:sz w:val="18"/>
                <w:szCs w:val="18"/>
              </w:rPr>
              <w:t>10% of coastal and marine areas</w:t>
            </w:r>
            <w:r w:rsidRPr="00BD6B4B">
              <w:rPr>
                <w:rFonts w:cs="Times New Roman"/>
                <w:sz w:val="18"/>
                <w:szCs w:val="18"/>
              </w:rPr>
              <w:t xml:space="preserve"> conserved</w:t>
            </w:r>
          </w:p>
          <w:p w:rsidR="00B13214" w:rsidRDefault="00B13214" w:rsidP="00B13214">
            <w:pPr>
              <w:jc w:val="center"/>
              <w:rPr>
                <w:rFonts w:cs="Times New Roman"/>
                <w:sz w:val="18"/>
                <w:szCs w:val="18"/>
              </w:rPr>
            </w:pPr>
          </w:p>
          <w:p w:rsidR="00B13214" w:rsidRDefault="00B13214" w:rsidP="00B13214">
            <w:pPr>
              <w:jc w:val="center"/>
              <w:rPr>
                <w:rFonts w:cs="Times New Roman"/>
                <w:sz w:val="18"/>
                <w:szCs w:val="18"/>
              </w:rPr>
            </w:pPr>
          </w:p>
          <w:p w:rsidR="00B13214" w:rsidRDefault="00B13214" w:rsidP="00B13214">
            <w:pPr>
              <w:jc w:val="center"/>
              <w:rPr>
                <w:sz w:val="18"/>
                <w:szCs w:val="18"/>
              </w:rPr>
            </w:pPr>
          </w:p>
          <w:p w:rsidR="00B13214" w:rsidRPr="00BD6B4B" w:rsidRDefault="00B13214" w:rsidP="00B13214">
            <w:pPr>
              <w:jc w:val="center"/>
              <w:rPr>
                <w:rFonts w:cs="Times New Roman"/>
                <w:sz w:val="18"/>
                <w:szCs w:val="18"/>
              </w:rPr>
            </w:pPr>
            <w:r w:rsidRPr="00BD6B4B">
              <w:rPr>
                <w:rFonts w:cs="Times New Roman"/>
                <w:noProof/>
                <w:sz w:val="18"/>
                <w:szCs w:val="18"/>
                <w:lang w:val="en-CA" w:eastAsia="en-CA"/>
              </w:rPr>
              <w:drawing>
                <wp:inline distT="0" distB="0" distL="0" distR="0" wp14:anchorId="71998542" wp14:editId="299A351B">
                  <wp:extent cx="630936" cy="4114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 cy="411480"/>
                          </a:xfrm>
                          <a:prstGeom prst="rect">
                            <a:avLst/>
                          </a:prstGeom>
                        </pic:spPr>
                      </pic:pic>
                    </a:graphicData>
                  </a:graphic>
                </wp:inline>
              </w:drawing>
            </w:r>
          </w:p>
        </w:tc>
        <w:tc>
          <w:tcPr>
            <w:tcW w:w="2070" w:type="dxa"/>
            <w:tcBorders>
              <w:top w:val="single" w:sz="12" w:space="0" w:color="auto"/>
            </w:tcBorders>
            <w:shd w:val="clear" w:color="auto" w:fill="auto"/>
            <w:vAlign w:val="bottom"/>
          </w:tcPr>
          <w:p w:rsidR="00B13214" w:rsidRPr="00BD6B4B" w:rsidRDefault="00B13214" w:rsidP="00B13214">
            <w:pPr>
              <w:jc w:val="center"/>
              <w:rPr>
                <w:rFonts w:cs="Times New Roman"/>
                <w:sz w:val="18"/>
                <w:szCs w:val="18"/>
              </w:rPr>
            </w:pPr>
            <w:r>
              <w:rPr>
                <w:sz w:val="18"/>
                <w:szCs w:val="18"/>
              </w:rPr>
              <w:t xml:space="preserve">Global ocean: </w:t>
            </w:r>
            <w:r w:rsidRPr="00BD6B4B">
              <w:rPr>
                <w:rFonts w:cs="Times New Roman"/>
                <w:sz w:val="18"/>
                <w:szCs w:val="18"/>
              </w:rPr>
              <w:t>4.1%</w:t>
            </w:r>
          </w:p>
        </w:tc>
        <w:tc>
          <w:tcPr>
            <w:tcW w:w="2340" w:type="dxa"/>
            <w:tcBorders>
              <w:top w:val="single" w:sz="12" w:space="0" w:color="auto"/>
            </w:tcBorders>
            <w:shd w:val="clear" w:color="auto" w:fill="auto"/>
            <w:vAlign w:val="bottom"/>
          </w:tcPr>
          <w:p w:rsidR="00B13214" w:rsidRPr="00BD6B4B" w:rsidRDefault="00B13214" w:rsidP="00B13214">
            <w:pPr>
              <w:jc w:val="center"/>
              <w:rPr>
                <w:rFonts w:cs="Times New Roman"/>
                <w:sz w:val="18"/>
                <w:szCs w:val="18"/>
              </w:rPr>
            </w:pPr>
            <w:r w:rsidRPr="00BD6B4B">
              <w:rPr>
                <w:rFonts w:cs="Times New Roman"/>
                <w:sz w:val="18"/>
                <w:szCs w:val="18"/>
              </w:rPr>
              <w:t>7.26%</w:t>
            </w:r>
          </w:p>
        </w:tc>
        <w:tc>
          <w:tcPr>
            <w:tcW w:w="2430" w:type="dxa"/>
            <w:tcBorders>
              <w:top w:val="single" w:sz="12" w:space="0" w:color="auto"/>
            </w:tcBorders>
            <w:shd w:val="clear" w:color="auto" w:fill="auto"/>
            <w:vAlign w:val="bottom"/>
          </w:tcPr>
          <w:p w:rsidR="00B13214" w:rsidRPr="00BD6B4B" w:rsidRDefault="00B13214" w:rsidP="00B13214">
            <w:pPr>
              <w:jc w:val="center"/>
              <w:rPr>
                <w:rFonts w:cs="Times New Roman"/>
                <w:sz w:val="18"/>
                <w:szCs w:val="18"/>
              </w:rPr>
            </w:pPr>
            <w:r w:rsidRPr="00BD6B4B">
              <w:rPr>
                <w:rFonts w:cs="Times New Roman"/>
                <w:sz w:val="18"/>
                <w:szCs w:val="18"/>
              </w:rPr>
              <w:t>10.5%</w:t>
            </w:r>
          </w:p>
        </w:tc>
      </w:tr>
      <w:tr w:rsidR="00B13214" w:rsidRPr="00BD6B4B" w:rsidTr="00256FBC">
        <w:trPr>
          <w:trHeight w:val="400"/>
        </w:trPr>
        <w:tc>
          <w:tcPr>
            <w:tcW w:w="2700" w:type="dxa"/>
            <w:vMerge/>
            <w:shd w:val="clear" w:color="auto" w:fill="auto"/>
            <w:vAlign w:val="center"/>
          </w:tcPr>
          <w:p w:rsidR="00B13214" w:rsidRPr="00BD6B4B" w:rsidRDefault="00B13214" w:rsidP="00B13214">
            <w:pPr>
              <w:jc w:val="center"/>
              <w:rPr>
                <w:rFonts w:cs="Times New Roman"/>
                <w:sz w:val="18"/>
                <w:szCs w:val="18"/>
              </w:rPr>
            </w:pPr>
          </w:p>
        </w:tc>
        <w:tc>
          <w:tcPr>
            <w:tcW w:w="2070" w:type="dxa"/>
            <w:shd w:val="clear" w:color="auto" w:fill="auto"/>
            <w:vAlign w:val="bottom"/>
          </w:tcPr>
          <w:p w:rsidR="00B13214" w:rsidRPr="00BD6B4B" w:rsidRDefault="00B13214" w:rsidP="00B13214">
            <w:pPr>
              <w:jc w:val="center"/>
              <w:rPr>
                <w:rFonts w:cs="Times New Roman"/>
                <w:sz w:val="18"/>
                <w:szCs w:val="18"/>
              </w:rPr>
            </w:pPr>
            <w:r>
              <w:rPr>
                <w:sz w:val="18"/>
                <w:szCs w:val="18"/>
              </w:rPr>
              <w:t xml:space="preserve">National waters: </w:t>
            </w:r>
            <w:r w:rsidRPr="00BD6B4B">
              <w:rPr>
                <w:rFonts w:cs="Times New Roman"/>
                <w:sz w:val="18"/>
                <w:szCs w:val="18"/>
              </w:rPr>
              <w:t>10.2%</w:t>
            </w:r>
          </w:p>
        </w:tc>
        <w:tc>
          <w:tcPr>
            <w:tcW w:w="2340" w:type="dxa"/>
            <w:shd w:val="clear" w:color="auto" w:fill="auto"/>
            <w:vAlign w:val="bottom"/>
          </w:tcPr>
          <w:p w:rsidR="00B13214" w:rsidRPr="00BD6B4B" w:rsidRDefault="00B13214" w:rsidP="00B13214">
            <w:pPr>
              <w:jc w:val="center"/>
              <w:rPr>
                <w:rFonts w:cs="Times New Roman"/>
                <w:sz w:val="18"/>
                <w:szCs w:val="18"/>
              </w:rPr>
            </w:pPr>
            <w:r w:rsidRPr="00BD6B4B">
              <w:rPr>
                <w:rFonts w:cs="Times New Roman"/>
                <w:sz w:val="18"/>
                <w:szCs w:val="18"/>
              </w:rPr>
              <w:t>16.77%</w:t>
            </w:r>
          </w:p>
        </w:tc>
        <w:tc>
          <w:tcPr>
            <w:tcW w:w="2430" w:type="dxa"/>
            <w:shd w:val="clear" w:color="auto" w:fill="auto"/>
            <w:vAlign w:val="bottom"/>
          </w:tcPr>
          <w:p w:rsidR="00B13214" w:rsidRPr="00BD6B4B" w:rsidRDefault="00B13214" w:rsidP="00B13214">
            <w:pPr>
              <w:jc w:val="center"/>
              <w:rPr>
                <w:rFonts w:cs="Times New Roman"/>
                <w:sz w:val="18"/>
                <w:szCs w:val="18"/>
              </w:rPr>
            </w:pPr>
            <w:r w:rsidRPr="00BD6B4B">
              <w:rPr>
                <w:rFonts w:cs="Times New Roman"/>
                <w:sz w:val="18"/>
                <w:szCs w:val="18"/>
              </w:rPr>
              <w:t>24.0%</w:t>
            </w:r>
          </w:p>
        </w:tc>
      </w:tr>
      <w:tr w:rsidR="00B13214" w:rsidRPr="00BD6B4B" w:rsidTr="00256FBC">
        <w:trPr>
          <w:trHeight w:val="400"/>
        </w:trPr>
        <w:tc>
          <w:tcPr>
            <w:tcW w:w="2700" w:type="dxa"/>
            <w:vMerge/>
            <w:shd w:val="clear" w:color="auto" w:fill="auto"/>
            <w:vAlign w:val="center"/>
          </w:tcPr>
          <w:p w:rsidR="00B13214" w:rsidRPr="00BD6B4B" w:rsidRDefault="00B13214" w:rsidP="00B13214">
            <w:pPr>
              <w:jc w:val="center"/>
              <w:rPr>
                <w:rFonts w:cs="Times New Roman"/>
                <w:sz w:val="18"/>
                <w:szCs w:val="18"/>
              </w:rPr>
            </w:pPr>
          </w:p>
        </w:tc>
        <w:tc>
          <w:tcPr>
            <w:tcW w:w="2070" w:type="dxa"/>
            <w:shd w:val="clear" w:color="auto" w:fill="auto"/>
            <w:vAlign w:val="bottom"/>
          </w:tcPr>
          <w:p w:rsidR="00B13214" w:rsidRPr="00BD6B4B" w:rsidRDefault="00B13214" w:rsidP="00B13214">
            <w:pPr>
              <w:jc w:val="center"/>
              <w:rPr>
                <w:rFonts w:cs="Times New Roman"/>
                <w:sz w:val="18"/>
                <w:szCs w:val="18"/>
              </w:rPr>
            </w:pPr>
            <w:r>
              <w:rPr>
                <w:sz w:val="18"/>
                <w:szCs w:val="18"/>
              </w:rPr>
              <w:t xml:space="preserve">ABNJ: </w:t>
            </w:r>
            <w:r w:rsidRPr="00BD6B4B">
              <w:rPr>
                <w:rFonts w:cs="Times New Roman"/>
                <w:sz w:val="18"/>
                <w:szCs w:val="18"/>
              </w:rPr>
              <w:t>0.25%</w:t>
            </w:r>
          </w:p>
        </w:tc>
        <w:tc>
          <w:tcPr>
            <w:tcW w:w="2340" w:type="dxa"/>
            <w:shd w:val="clear" w:color="auto" w:fill="auto"/>
            <w:vAlign w:val="bottom"/>
          </w:tcPr>
          <w:p w:rsidR="00B13214" w:rsidRPr="00BD6B4B" w:rsidRDefault="00B13214" w:rsidP="00B13214">
            <w:pPr>
              <w:jc w:val="center"/>
              <w:rPr>
                <w:rFonts w:cs="Times New Roman"/>
                <w:sz w:val="18"/>
                <w:szCs w:val="18"/>
              </w:rPr>
            </w:pPr>
            <w:r w:rsidRPr="00BD6B4B">
              <w:rPr>
                <w:rFonts w:cs="Times New Roman"/>
                <w:sz w:val="18"/>
                <w:szCs w:val="18"/>
              </w:rPr>
              <w:t>1.8%</w:t>
            </w:r>
          </w:p>
        </w:tc>
        <w:tc>
          <w:tcPr>
            <w:tcW w:w="2430" w:type="dxa"/>
            <w:shd w:val="clear" w:color="auto" w:fill="auto"/>
            <w:vAlign w:val="bottom"/>
          </w:tcPr>
          <w:p w:rsidR="00B13214" w:rsidRPr="00BD6B4B" w:rsidRDefault="00B13214" w:rsidP="00B13214">
            <w:pPr>
              <w:jc w:val="center"/>
              <w:rPr>
                <w:rFonts w:cs="Times New Roman"/>
                <w:sz w:val="18"/>
                <w:szCs w:val="18"/>
              </w:rPr>
            </w:pPr>
            <w:r w:rsidRPr="00BD6B4B">
              <w:rPr>
                <w:rFonts w:cs="Times New Roman"/>
                <w:sz w:val="18"/>
                <w:szCs w:val="18"/>
              </w:rPr>
              <w:t>2%</w:t>
            </w:r>
          </w:p>
        </w:tc>
      </w:tr>
      <w:tr w:rsidR="00B13214" w:rsidRPr="00BD6B4B" w:rsidTr="00256FBC">
        <w:trPr>
          <w:trHeight w:val="810"/>
        </w:trPr>
        <w:tc>
          <w:tcPr>
            <w:tcW w:w="2700" w:type="dxa"/>
            <w:vMerge/>
            <w:tcBorders>
              <w:bottom w:val="single" w:sz="18" w:space="0" w:color="auto"/>
            </w:tcBorders>
            <w:shd w:val="clear" w:color="auto" w:fill="auto"/>
            <w:vAlign w:val="center"/>
          </w:tcPr>
          <w:p w:rsidR="00B13214" w:rsidRPr="00BD6B4B" w:rsidRDefault="00B13214" w:rsidP="00B13214">
            <w:pPr>
              <w:jc w:val="center"/>
              <w:rPr>
                <w:rFonts w:cs="Times New Roman"/>
                <w:sz w:val="18"/>
                <w:szCs w:val="18"/>
              </w:rPr>
            </w:pPr>
          </w:p>
        </w:tc>
        <w:tc>
          <w:tcPr>
            <w:tcW w:w="2070" w:type="dxa"/>
            <w:tcBorders>
              <w:bottom w:val="single" w:sz="18" w:space="0" w:color="auto"/>
            </w:tcBorders>
            <w:shd w:val="clear" w:color="auto" w:fill="auto"/>
            <w:vAlign w:val="center"/>
          </w:tcPr>
          <w:p w:rsidR="00B13214" w:rsidRPr="00A26FA9" w:rsidRDefault="00B13214" w:rsidP="00B13214">
            <w:pPr>
              <w:pStyle w:val="NoSpacing"/>
              <w:jc w:val="center"/>
              <w:rPr>
                <w:rFonts w:ascii="Times New Roman" w:hAnsi="Times New Roman"/>
                <w:sz w:val="18"/>
                <w:szCs w:val="18"/>
              </w:rPr>
            </w:pPr>
            <w:r w:rsidRPr="00A26FA9">
              <w:rPr>
                <w:rFonts w:ascii="Times New Roman" w:hAnsi="Times New Roman"/>
                <w:sz w:val="18"/>
                <w:szCs w:val="18"/>
              </w:rPr>
              <w:t>23 Parties reaching at least 10%</w:t>
            </w:r>
          </w:p>
        </w:tc>
        <w:tc>
          <w:tcPr>
            <w:tcW w:w="2340" w:type="dxa"/>
            <w:tcBorders>
              <w:bottom w:val="single" w:sz="18" w:space="0" w:color="auto"/>
            </w:tcBorders>
            <w:shd w:val="clear" w:color="auto" w:fill="auto"/>
            <w:vAlign w:val="center"/>
          </w:tcPr>
          <w:p w:rsidR="00B13214" w:rsidRPr="00A26FA9" w:rsidRDefault="00B13214" w:rsidP="00B13214">
            <w:pPr>
              <w:pStyle w:val="NoSpacing"/>
              <w:jc w:val="center"/>
              <w:rPr>
                <w:rFonts w:ascii="Times New Roman" w:hAnsi="Times New Roman"/>
                <w:sz w:val="18"/>
                <w:szCs w:val="18"/>
              </w:rPr>
            </w:pPr>
            <w:r w:rsidRPr="00A26FA9">
              <w:rPr>
                <w:rFonts w:ascii="Times New Roman" w:hAnsi="Times New Roman"/>
                <w:sz w:val="18"/>
                <w:szCs w:val="18"/>
              </w:rPr>
              <w:t>34 Parties reaching at least 10%</w:t>
            </w:r>
          </w:p>
        </w:tc>
        <w:tc>
          <w:tcPr>
            <w:tcW w:w="2430" w:type="dxa"/>
            <w:tcBorders>
              <w:bottom w:val="single" w:sz="18" w:space="0" w:color="auto"/>
            </w:tcBorders>
            <w:shd w:val="clear" w:color="auto" w:fill="auto"/>
            <w:vAlign w:val="bottom"/>
          </w:tcPr>
          <w:p w:rsidR="00B13214" w:rsidRPr="00BD6B4B" w:rsidRDefault="00B13214" w:rsidP="00B13214">
            <w:pPr>
              <w:jc w:val="center"/>
              <w:rPr>
                <w:rFonts w:cs="Times New Roman"/>
                <w:sz w:val="18"/>
                <w:szCs w:val="18"/>
              </w:rPr>
            </w:pPr>
            <w:r w:rsidRPr="00BD6B4B">
              <w:rPr>
                <w:rFonts w:cs="Times New Roman"/>
                <w:noProof/>
                <w:sz w:val="18"/>
                <w:szCs w:val="18"/>
                <w:lang w:val="en-CA" w:eastAsia="en-CA"/>
              </w:rPr>
              <w:drawing>
                <wp:inline distT="0" distB="0" distL="0" distR="0" wp14:anchorId="4799DEA1" wp14:editId="74FEA69E">
                  <wp:extent cx="518615" cy="44730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582" cy="451590"/>
                          </a:xfrm>
                          <a:prstGeom prst="rect">
                            <a:avLst/>
                          </a:prstGeom>
                        </pic:spPr>
                      </pic:pic>
                    </a:graphicData>
                  </a:graphic>
                </wp:inline>
              </w:drawing>
            </w:r>
          </w:p>
        </w:tc>
      </w:tr>
    </w:tbl>
    <w:p w:rsidR="00AC1D11" w:rsidRPr="00F54F50" w:rsidRDefault="00AC1D11" w:rsidP="00AC1D11">
      <w:pPr>
        <w:pStyle w:val="Para1"/>
        <w:rPr>
          <w:lang w:val="en-US"/>
        </w:rPr>
      </w:pPr>
      <w:r w:rsidRPr="00E91D03">
        <w:t xml:space="preserve">As of </w:t>
      </w:r>
      <w:r>
        <w:t>May</w:t>
      </w:r>
      <w:r w:rsidRPr="00E91D03">
        <w:t xml:space="preserve"> 2018, global protected area coverage of terrestrial and inland waters has reached 14.</w:t>
      </w:r>
      <w:r>
        <w:t>82</w:t>
      </w:r>
      <w:r w:rsidRPr="00E91D03">
        <w:t>%, representing a slight increase from April 2016.</w:t>
      </w:r>
      <w:r w:rsidRPr="00E91D03">
        <w:rPr>
          <w:rStyle w:val="FootnoteReference"/>
        </w:rPr>
        <w:footnoteReference w:id="5"/>
      </w:r>
      <w:r w:rsidRPr="00576654">
        <w:t xml:space="preserve"> For marine</w:t>
      </w:r>
      <w:r w:rsidRPr="00576654">
        <w:rPr>
          <w:lang w:val="en-CA"/>
        </w:rPr>
        <w:t xml:space="preserve"> protected areas, the growth in coverage over the last two years has been more pronounced</w:t>
      </w:r>
      <w:r>
        <w:rPr>
          <w:lang w:val="en-CA"/>
        </w:rPr>
        <w:t xml:space="preserve"> (see figure 1) and as of May 2018 has reached </w:t>
      </w:r>
      <w:r w:rsidRPr="00576654">
        <w:rPr>
          <w:lang w:val="en-CA"/>
        </w:rPr>
        <w:t>16.</w:t>
      </w:r>
      <w:r>
        <w:rPr>
          <w:lang w:val="en-CA"/>
        </w:rPr>
        <w:t>77</w:t>
      </w:r>
      <w:r w:rsidRPr="00576654">
        <w:rPr>
          <w:lang w:val="en-CA"/>
        </w:rPr>
        <w:t>%</w:t>
      </w:r>
      <w:r>
        <w:rPr>
          <w:lang w:val="en-CA"/>
        </w:rPr>
        <w:t xml:space="preserve"> </w:t>
      </w:r>
      <w:r w:rsidRPr="00576654">
        <w:rPr>
          <w:lang w:val="en-CA"/>
        </w:rPr>
        <w:t xml:space="preserve">for </w:t>
      </w:r>
      <w:r>
        <w:rPr>
          <w:lang w:val="en-CA"/>
        </w:rPr>
        <w:t xml:space="preserve">marine </w:t>
      </w:r>
      <w:r w:rsidRPr="00576654">
        <w:rPr>
          <w:lang w:val="en-CA"/>
        </w:rPr>
        <w:t>areas under national jurisdiction</w:t>
      </w:r>
      <w:r>
        <w:rPr>
          <w:lang w:val="en-CA"/>
        </w:rPr>
        <w:t xml:space="preserve"> (including territorial seas and exclusive economic zones (EEZ))</w:t>
      </w:r>
      <w:r w:rsidRPr="00576654">
        <w:rPr>
          <w:lang w:val="en-CA"/>
        </w:rPr>
        <w:t>, 1.18</w:t>
      </w:r>
      <w:r>
        <w:rPr>
          <w:lang w:val="en-CA"/>
        </w:rPr>
        <w:t xml:space="preserve">% </w:t>
      </w:r>
      <w:r w:rsidRPr="00576654">
        <w:rPr>
          <w:lang w:val="en-CA"/>
        </w:rPr>
        <w:t xml:space="preserve">for areas beyond national jurisdiction (ABNJ), and </w:t>
      </w:r>
      <w:r>
        <w:rPr>
          <w:lang w:val="en-CA"/>
        </w:rPr>
        <w:t>7.26</w:t>
      </w:r>
      <w:r w:rsidRPr="00576654">
        <w:rPr>
          <w:lang w:val="en-CA"/>
        </w:rPr>
        <w:t>%</w:t>
      </w:r>
      <w:r>
        <w:rPr>
          <w:lang w:val="en-CA"/>
        </w:rPr>
        <w:t xml:space="preserve"> </w:t>
      </w:r>
      <w:r w:rsidRPr="00576654">
        <w:rPr>
          <w:lang w:val="en-CA"/>
        </w:rPr>
        <w:t>for the ocean as a whole.</w:t>
      </w:r>
      <w:r w:rsidRPr="00576654">
        <w:rPr>
          <w:vertAlign w:val="superscript"/>
          <w:lang w:val="en-CA"/>
        </w:rPr>
        <w:footnoteReference w:id="6"/>
      </w:r>
      <w:r w:rsidRPr="00576654">
        <w:rPr>
          <w:lang w:val="en-CA"/>
        </w:rPr>
        <w:t xml:space="preserve"> </w:t>
      </w:r>
      <w:r>
        <w:t xml:space="preserve">Therefore, to meet the minimum coverage targets by 2020, at least </w:t>
      </w:r>
      <w:r w:rsidRPr="00284A52">
        <w:t>2</w:t>
      </w:r>
      <w:r>
        <w:t>.18</w:t>
      </w:r>
      <w:r w:rsidRPr="00284A52">
        <w:t xml:space="preserve">% (~ </w:t>
      </w:r>
      <w:r>
        <w:t>3</w:t>
      </w:r>
      <w:r w:rsidRPr="00284A52">
        <w:t xml:space="preserve"> million km</w:t>
      </w:r>
      <w:r w:rsidRPr="00284A52">
        <w:rPr>
          <w:vertAlign w:val="superscript"/>
        </w:rPr>
        <w:t>2</w:t>
      </w:r>
      <w:r w:rsidRPr="00284A52">
        <w:t>)</w:t>
      </w:r>
      <w:r w:rsidRPr="00576654">
        <w:t xml:space="preserve"> </w:t>
      </w:r>
      <w:r>
        <w:t>for terrestrial areas and 2.74% (~10 million km</w:t>
      </w:r>
      <w:r>
        <w:rPr>
          <w:vertAlign w:val="superscript"/>
        </w:rPr>
        <w:t>2</w:t>
      </w:r>
      <w:r>
        <w:t>) for the global ocean</w:t>
      </w:r>
      <w:r w:rsidRPr="00576654">
        <w:t xml:space="preserve"> must be </w:t>
      </w:r>
      <w:r w:rsidR="005154C0">
        <w:t>added</w:t>
      </w:r>
      <w:r>
        <w:t xml:space="preserve"> as protected areas or other effective area-based conservation measures.</w:t>
      </w:r>
    </w:p>
    <w:p w:rsidR="00F54F50" w:rsidRDefault="00F54F50" w:rsidP="00F54F50">
      <w:pPr>
        <w:pStyle w:val="Para1"/>
      </w:pPr>
      <w:r>
        <w:t>Although expansion of terrestrial protected area coverage has been slower at the global level, this does not reflect changes that been occurring at the national level, as several countries have made significant progress over the last two years. The largest increase over this time period came from Australia, where over 500 sites were added, increasing coverage by over 175,000 km</w:t>
      </w:r>
      <w:r w:rsidRPr="00847F87">
        <w:rPr>
          <w:vertAlign w:val="superscript"/>
        </w:rPr>
        <w:t>2</w:t>
      </w:r>
      <w:r>
        <w:t xml:space="preserve">. The largest terrestrial site added to the WDPA in 2017 was </w:t>
      </w:r>
      <w:r w:rsidRPr="00576654">
        <w:t>Bassin de la Lufira, in D</w:t>
      </w:r>
      <w:r>
        <w:t xml:space="preserve">emocratic </w:t>
      </w:r>
      <w:r w:rsidRPr="00576654">
        <w:t>R</w:t>
      </w:r>
      <w:r>
        <w:t>epublic of</w:t>
      </w:r>
      <w:r w:rsidRPr="00576654">
        <w:t xml:space="preserve"> Congo, </w:t>
      </w:r>
      <w:r>
        <w:t>with an area of</w:t>
      </w:r>
      <w:r w:rsidRPr="00576654">
        <w:t xml:space="preserve"> 43,684km</w:t>
      </w:r>
      <w:r w:rsidRPr="00847F87">
        <w:rPr>
          <w:vertAlign w:val="superscript"/>
        </w:rPr>
        <w:t>2</w:t>
      </w:r>
      <w:r>
        <w:t>,</w:t>
      </w:r>
      <w:r>
        <w:rPr>
          <w:rStyle w:val="FootnoteReference"/>
        </w:rPr>
        <w:footnoteReference w:id="7"/>
      </w:r>
      <w:r>
        <w:t xml:space="preserve"> bringing coverage in that country closer to the 17% target expressed in their National Biodiversity Strategy and Action Plan (NBSAP)</w:t>
      </w:r>
      <w:r w:rsidRPr="00576654">
        <w:t>.</w:t>
      </w:r>
      <w:r>
        <w:t xml:space="preserve"> </w:t>
      </w:r>
      <w:r w:rsidRPr="00576654">
        <w:t>Mexico also made significant expansions</w:t>
      </w:r>
      <w:r w:rsidR="009810D2">
        <w:t xml:space="preserve"> </w:t>
      </w:r>
      <w:r w:rsidR="00BB558A">
        <w:t>to</w:t>
      </w:r>
      <w:r w:rsidRPr="00576654">
        <w:t xml:space="preserve"> </w:t>
      </w:r>
      <w:r>
        <w:t xml:space="preserve">its </w:t>
      </w:r>
      <w:r w:rsidRPr="00576654">
        <w:t>terrestrial protected area network</w:t>
      </w:r>
      <w:r>
        <w:t xml:space="preserve"> (&gt;40,000 km</w:t>
      </w:r>
      <w:r w:rsidRPr="00847F87">
        <w:rPr>
          <w:vertAlign w:val="superscript"/>
        </w:rPr>
        <w:t>2</w:t>
      </w:r>
      <w:r>
        <w:t xml:space="preserve">) in partial fulfilment of the national priority actions </w:t>
      </w:r>
      <w:r w:rsidRPr="00751DEE">
        <w:t>identified during the</w:t>
      </w:r>
      <w:r>
        <w:t xml:space="preserve"> Curitiba workshop </w:t>
      </w:r>
      <w:r>
        <w:lastRenderedPageBreak/>
        <w:t>in September 2015. U</w:t>
      </w:r>
      <w:r w:rsidRPr="00284A52">
        <w:t>nited Republic of</w:t>
      </w:r>
      <w:r>
        <w:t xml:space="preserve"> </w:t>
      </w:r>
      <w:r w:rsidRPr="00576654">
        <w:t>Tanzania</w:t>
      </w:r>
      <w:r w:rsidRPr="00737C12">
        <w:t xml:space="preserve"> </w:t>
      </w:r>
      <w:r>
        <w:t>increased</w:t>
      </w:r>
      <w:r w:rsidRPr="00576654">
        <w:t xml:space="preserve"> coverage by </w:t>
      </w:r>
      <w:r>
        <w:t>almost 60</w:t>
      </w:r>
      <w:r w:rsidRPr="00576654">
        <w:t>,000 km</w:t>
      </w:r>
      <w:r w:rsidRPr="00847F87">
        <w:rPr>
          <w:vertAlign w:val="superscript"/>
        </w:rPr>
        <w:t>2</w:t>
      </w:r>
      <w:r>
        <w:t xml:space="preserve"> over the last two years, largely through updating records for forest reserves and game reserves, addressing some of the opportunities it had outlined in </w:t>
      </w:r>
      <w:r w:rsidR="004F5C8C" w:rsidRPr="004F5C8C">
        <w:t>its roadmap</w:t>
      </w:r>
      <w:r w:rsidRPr="004F5C8C">
        <w:t>. At least 31 countries have made progress on their national priority actions or the terrestrial protected</w:t>
      </w:r>
      <w:r>
        <w:t xml:space="preserve"> area commitments from their NBSAPs. In all, 91 CBD Parties have now surpassed the 17% target for protected area coverage of terrestrial and inland water areas, up from 87 in the April 2016 WDPA release.</w:t>
      </w:r>
    </w:p>
    <w:p w:rsidR="000154FB" w:rsidRDefault="000154FB" w:rsidP="000154FB">
      <w:pPr>
        <w:pStyle w:val="Para1"/>
        <w:numPr>
          <w:ilvl w:val="0"/>
          <w:numId w:val="0"/>
        </w:numPr>
      </w:pPr>
      <w:r>
        <w:rPr>
          <w:noProof/>
          <w:sz w:val="20"/>
          <w:lang w:val="en-CA" w:eastAsia="en-CA"/>
        </w:rPr>
        <w:drawing>
          <wp:anchor distT="0" distB="0" distL="114300" distR="114300" simplePos="0" relativeHeight="251687424" behindDoc="1" locked="0" layoutInCell="1" allowOverlap="1" wp14:anchorId="172BCC79" wp14:editId="06500238">
            <wp:simplePos x="0" y="0"/>
            <wp:positionH relativeFrom="column">
              <wp:posOffset>381635</wp:posOffset>
            </wp:positionH>
            <wp:positionV relativeFrom="paragraph">
              <wp:posOffset>-28575</wp:posOffset>
            </wp:positionV>
            <wp:extent cx="5391785" cy="3389630"/>
            <wp:effectExtent l="0" t="0" r="0" b="1270"/>
            <wp:wrapTight wrapText="bothSides">
              <wp:wrapPolygon edited="0">
                <wp:start x="0" y="0"/>
                <wp:lineTo x="0" y="21487"/>
                <wp:lineTo x="21521" y="21487"/>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ral_change_mpas_16_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91785" cy="3389630"/>
                    </a:xfrm>
                    <a:prstGeom prst="rect">
                      <a:avLst/>
                    </a:prstGeom>
                  </pic:spPr>
                </pic:pic>
              </a:graphicData>
            </a:graphic>
            <wp14:sizeRelH relativeFrom="page">
              <wp14:pctWidth>0</wp14:pctWidth>
            </wp14:sizeRelH>
            <wp14:sizeRelV relativeFrom="page">
              <wp14:pctHeight>0</wp14:pctHeight>
            </wp14:sizeRelV>
          </wp:anchor>
        </w:drawing>
      </w:r>
    </w:p>
    <w:p w:rsidR="000154FB" w:rsidRDefault="000154FB" w:rsidP="000154FB">
      <w:pPr>
        <w:pStyle w:val="Para1"/>
        <w:numPr>
          <w:ilvl w:val="0"/>
          <w:numId w:val="0"/>
        </w:numPr>
      </w:pPr>
    </w:p>
    <w:p w:rsidR="000154FB" w:rsidRDefault="000154FB" w:rsidP="000154FB">
      <w:pPr>
        <w:pStyle w:val="Para1"/>
        <w:numPr>
          <w:ilvl w:val="0"/>
          <w:numId w:val="0"/>
        </w:numPr>
      </w:pPr>
    </w:p>
    <w:p w:rsidR="000154FB" w:rsidRDefault="000154FB" w:rsidP="000154FB">
      <w:pPr>
        <w:pStyle w:val="Para1"/>
        <w:numPr>
          <w:ilvl w:val="0"/>
          <w:numId w:val="0"/>
        </w:numPr>
      </w:pPr>
    </w:p>
    <w:p w:rsidR="000154FB" w:rsidRDefault="000154FB" w:rsidP="000154FB">
      <w:pPr>
        <w:pStyle w:val="Para1"/>
        <w:numPr>
          <w:ilvl w:val="0"/>
          <w:numId w:val="0"/>
        </w:numPr>
      </w:pPr>
    </w:p>
    <w:p w:rsidR="000154FB" w:rsidRDefault="000154FB" w:rsidP="000154FB">
      <w:pPr>
        <w:pStyle w:val="Para1"/>
        <w:numPr>
          <w:ilvl w:val="0"/>
          <w:numId w:val="0"/>
        </w:numPr>
      </w:pPr>
    </w:p>
    <w:p w:rsidR="000154FB" w:rsidRDefault="000154FB" w:rsidP="000154FB">
      <w:pPr>
        <w:pStyle w:val="Para1"/>
        <w:numPr>
          <w:ilvl w:val="0"/>
          <w:numId w:val="0"/>
        </w:numPr>
      </w:pPr>
    </w:p>
    <w:p w:rsidR="000154FB" w:rsidRDefault="000154FB" w:rsidP="000154FB">
      <w:pPr>
        <w:pStyle w:val="Para1"/>
        <w:numPr>
          <w:ilvl w:val="0"/>
          <w:numId w:val="0"/>
        </w:numPr>
      </w:pPr>
    </w:p>
    <w:p w:rsidR="000154FB" w:rsidRDefault="000154FB" w:rsidP="000154FB">
      <w:pPr>
        <w:pStyle w:val="Para1"/>
        <w:numPr>
          <w:ilvl w:val="0"/>
          <w:numId w:val="0"/>
        </w:numPr>
      </w:pPr>
    </w:p>
    <w:p w:rsidR="000154FB" w:rsidRPr="00576654" w:rsidRDefault="000154FB" w:rsidP="000154FB">
      <w:pPr>
        <w:pStyle w:val="Para1"/>
        <w:numPr>
          <w:ilvl w:val="0"/>
          <w:numId w:val="0"/>
        </w:numPr>
        <w:rPr>
          <w:lang w:val="en-US"/>
        </w:rPr>
      </w:pPr>
    </w:p>
    <w:p w:rsidR="00102A9A" w:rsidRDefault="00102A9A" w:rsidP="00E23DFD">
      <w:pPr>
        <w:pStyle w:val="Para1"/>
        <w:numPr>
          <w:ilvl w:val="0"/>
          <w:numId w:val="0"/>
        </w:numPr>
        <w:jc w:val="center"/>
        <w:rPr>
          <w:sz w:val="20"/>
        </w:rPr>
      </w:pPr>
    </w:p>
    <w:p w:rsidR="00FC4FFD" w:rsidRDefault="00E23DFD" w:rsidP="00E23DFD">
      <w:pPr>
        <w:pStyle w:val="Para1"/>
        <w:numPr>
          <w:ilvl w:val="0"/>
          <w:numId w:val="0"/>
        </w:numPr>
        <w:jc w:val="center"/>
        <w:rPr>
          <w:rFonts w:cs="Times New Roman"/>
          <w:sz w:val="18"/>
          <w:szCs w:val="20"/>
          <w:lang w:val="en-US"/>
        </w:rPr>
      </w:pPr>
      <w:r w:rsidRPr="00AB7DEA">
        <w:rPr>
          <w:b/>
          <w:sz w:val="18"/>
        </w:rPr>
        <w:t>Figure 1.</w:t>
      </w:r>
      <w:r w:rsidRPr="0013296D">
        <w:rPr>
          <w:sz w:val="18"/>
        </w:rPr>
        <w:t xml:space="preserve"> </w:t>
      </w:r>
      <w:r w:rsidR="00D6459B">
        <w:rPr>
          <w:rFonts w:cs="Times New Roman"/>
          <w:sz w:val="18"/>
          <w:szCs w:val="20"/>
          <w:lang w:val="en-US"/>
        </w:rPr>
        <w:t xml:space="preserve">Marine protected areas </w:t>
      </w:r>
      <w:r w:rsidR="00FC4FFD" w:rsidRPr="0013296D">
        <w:rPr>
          <w:rFonts w:cs="Times New Roman"/>
          <w:sz w:val="18"/>
          <w:szCs w:val="20"/>
          <w:lang w:val="en-US"/>
        </w:rPr>
        <w:t>added</w:t>
      </w:r>
      <w:r w:rsidR="00AF7B0A" w:rsidRPr="0013296D">
        <w:rPr>
          <w:rFonts w:cs="Times New Roman"/>
          <w:sz w:val="18"/>
          <w:szCs w:val="20"/>
          <w:lang w:val="en-US"/>
        </w:rPr>
        <w:t xml:space="preserve"> between April 2016 and </w:t>
      </w:r>
      <w:r w:rsidR="00061A42">
        <w:rPr>
          <w:rFonts w:cs="Times New Roman"/>
          <w:sz w:val="18"/>
          <w:szCs w:val="20"/>
          <w:lang w:val="en-US"/>
        </w:rPr>
        <w:t>May</w:t>
      </w:r>
      <w:r w:rsidR="00AF7B0A" w:rsidRPr="0013296D">
        <w:rPr>
          <w:rFonts w:cs="Times New Roman"/>
          <w:sz w:val="18"/>
          <w:szCs w:val="20"/>
          <w:lang w:val="en-US"/>
        </w:rPr>
        <w:t xml:space="preserve"> 2018</w:t>
      </w:r>
      <w:r w:rsidR="00061A42">
        <w:rPr>
          <w:rFonts w:cs="Times New Roman"/>
          <w:sz w:val="18"/>
          <w:szCs w:val="20"/>
          <w:lang w:val="en-US"/>
        </w:rPr>
        <w:t>.</w:t>
      </w:r>
      <w:r w:rsidR="00BB558A">
        <w:rPr>
          <w:rStyle w:val="FootnoteReference"/>
          <w:rFonts w:cs="Times New Roman"/>
          <w:szCs w:val="20"/>
          <w:lang w:val="en-US"/>
        </w:rPr>
        <w:footnoteReference w:id="8"/>
      </w:r>
    </w:p>
    <w:p w:rsidR="003934AF" w:rsidRPr="00576654" w:rsidRDefault="003934AF" w:rsidP="003934AF">
      <w:pPr>
        <w:pStyle w:val="Para1"/>
        <w:tabs>
          <w:tab w:val="num" w:pos="360"/>
        </w:tabs>
      </w:pPr>
      <w:r>
        <w:t>Some of the increases in protected area coverage over this time period</w:t>
      </w:r>
      <w:r w:rsidR="0098003F">
        <w:t xml:space="preserve"> have come not through the designation of new sites, but through improved reporting on existing areas. For instance, </w:t>
      </w:r>
      <w:r>
        <w:t xml:space="preserve">Guinea </w:t>
      </w:r>
      <w:r w:rsidRPr="00BC2DCD">
        <w:t xml:space="preserve">increased </w:t>
      </w:r>
      <w:r w:rsidRPr="00B52294">
        <w:t>coverage by 14% (14,360km</w:t>
      </w:r>
      <w:r w:rsidRPr="00B52294">
        <w:rPr>
          <w:vertAlign w:val="superscript"/>
        </w:rPr>
        <w:t>2</w:t>
      </w:r>
      <w:r w:rsidRPr="00B52294">
        <w:t xml:space="preserve">) through </w:t>
      </w:r>
      <w:r w:rsidR="0098003F" w:rsidRPr="00B52294">
        <w:t>improved reporting on the spatial boundaries of four protected areas.</w:t>
      </w:r>
      <w:r w:rsidR="00826FC9">
        <w:rPr>
          <w:rStyle w:val="FootnoteReference"/>
        </w:rPr>
        <w:footnoteReference w:id="9"/>
      </w:r>
      <w:r w:rsidR="0098003F" w:rsidRPr="00B52294">
        <w:t xml:space="preserve"> A related issue pertains to the </w:t>
      </w:r>
      <w:r w:rsidR="00FC36B5" w:rsidRPr="00B52294">
        <w:rPr>
          <w:lang w:val="en-US"/>
        </w:rPr>
        <w:t>lag time for new sites being added to the WDPA, but also for the removal of sites that are no longer protected</w:t>
      </w:r>
      <w:r w:rsidR="00B52294" w:rsidRPr="00B52294">
        <w:rPr>
          <w:lang w:val="en-US"/>
        </w:rPr>
        <w:t xml:space="preserve">; this lag time for reporting </w:t>
      </w:r>
      <w:r w:rsidR="00FC36B5" w:rsidRPr="00B52294">
        <w:rPr>
          <w:lang w:val="en-US"/>
        </w:rPr>
        <w:t>will become increasingly important a</w:t>
      </w:r>
      <w:r w:rsidR="0098003F" w:rsidRPr="00B52294">
        <w:rPr>
          <w:lang w:val="en-US"/>
        </w:rPr>
        <w:t>s the 2020 deadline for the Aichi targets approaches</w:t>
      </w:r>
      <w:r w:rsidR="004C6B3E" w:rsidRPr="00B52294">
        <w:rPr>
          <w:lang w:val="en-US"/>
        </w:rPr>
        <w:t>.</w:t>
      </w:r>
      <w:r w:rsidRPr="00B52294">
        <w:rPr>
          <w:rStyle w:val="FootnoteReference"/>
          <w:lang w:val="en-US"/>
        </w:rPr>
        <w:footnoteReference w:id="10"/>
      </w:r>
      <w:r w:rsidRPr="00B52294">
        <w:rPr>
          <w:lang w:val="en-US"/>
        </w:rPr>
        <w:t xml:space="preserve"> </w:t>
      </w:r>
      <w:r w:rsidR="00336529" w:rsidRPr="00B52294">
        <w:rPr>
          <w:lang w:val="en-US"/>
        </w:rPr>
        <w:t>Generally</w:t>
      </w:r>
      <w:r w:rsidR="00336529">
        <w:rPr>
          <w:lang w:val="en-US"/>
        </w:rPr>
        <w:t xml:space="preserve"> the designation of new </w:t>
      </w:r>
      <w:r w:rsidR="00336529" w:rsidRPr="00E40184">
        <w:rPr>
          <w:lang w:val="en-US"/>
        </w:rPr>
        <w:t xml:space="preserve">protected </w:t>
      </w:r>
      <w:r w:rsidR="009810D2">
        <w:rPr>
          <w:lang w:val="en-US"/>
        </w:rPr>
        <w:t xml:space="preserve">areas </w:t>
      </w:r>
      <w:r w:rsidR="00336529" w:rsidRPr="00E40184">
        <w:rPr>
          <w:lang w:val="en-US"/>
        </w:rPr>
        <w:t xml:space="preserve">and their reporting </w:t>
      </w:r>
      <w:r w:rsidR="00336529" w:rsidRPr="009810D2">
        <w:rPr>
          <w:lang w:val="en-US"/>
        </w:rPr>
        <w:t xml:space="preserve">to the WDPA do not occur in the same year. </w:t>
      </w:r>
      <w:r w:rsidR="00336529" w:rsidRPr="009810D2">
        <w:rPr>
          <w:rFonts w:ascii="MuseoSans" w:hAnsi="MuseoSans"/>
        </w:rPr>
        <w:t xml:space="preserve">In </w:t>
      </w:r>
      <w:r w:rsidRPr="009810D2">
        <w:rPr>
          <w:rFonts w:ascii="MuseoSans" w:hAnsi="MuseoSans"/>
        </w:rPr>
        <w:t xml:space="preserve">2017 </w:t>
      </w:r>
      <w:r w:rsidR="00336529" w:rsidRPr="009810D2">
        <w:rPr>
          <w:rFonts w:ascii="MuseoSans" w:hAnsi="MuseoSans"/>
        </w:rPr>
        <w:t>there was</w:t>
      </w:r>
      <w:r w:rsidRPr="009810D2">
        <w:rPr>
          <w:rFonts w:ascii="MuseoSans" w:hAnsi="MuseoSans"/>
        </w:rPr>
        <w:t xml:space="preserve"> </w:t>
      </w:r>
      <w:r w:rsidR="00E40184" w:rsidRPr="009810D2">
        <w:rPr>
          <w:rFonts w:ascii="MuseoSans" w:hAnsi="MuseoSans"/>
        </w:rPr>
        <w:t>some</w:t>
      </w:r>
      <w:r w:rsidR="00677AB4" w:rsidRPr="009810D2">
        <w:rPr>
          <w:rFonts w:ascii="MuseoSans" w:hAnsi="MuseoSans"/>
        </w:rPr>
        <w:t xml:space="preserve"> improvement</w:t>
      </w:r>
      <w:r w:rsidRPr="009810D2">
        <w:rPr>
          <w:rFonts w:ascii="MuseoSans" w:hAnsi="MuseoSans"/>
        </w:rPr>
        <w:t xml:space="preserve">, </w:t>
      </w:r>
      <w:r w:rsidR="00E40184" w:rsidRPr="009810D2">
        <w:rPr>
          <w:rFonts w:ascii="MuseoSans" w:hAnsi="MuseoSans"/>
        </w:rPr>
        <w:t>as</w:t>
      </w:r>
      <w:r w:rsidR="00336529" w:rsidRPr="009810D2">
        <w:rPr>
          <w:rFonts w:ascii="MuseoSans" w:hAnsi="MuseoSans"/>
        </w:rPr>
        <w:t xml:space="preserve"> </w:t>
      </w:r>
      <w:r w:rsidRPr="009810D2">
        <w:rPr>
          <w:rFonts w:ascii="MuseoSans" w:hAnsi="MuseoSans"/>
        </w:rPr>
        <w:t xml:space="preserve">3% of sites added </w:t>
      </w:r>
      <w:r w:rsidR="0098003F" w:rsidRPr="009810D2">
        <w:rPr>
          <w:rFonts w:ascii="MuseoSans" w:hAnsi="MuseoSans"/>
        </w:rPr>
        <w:t xml:space="preserve">to the WDPA </w:t>
      </w:r>
      <w:r w:rsidRPr="009810D2">
        <w:rPr>
          <w:rFonts w:ascii="MuseoSans" w:hAnsi="MuseoSans"/>
        </w:rPr>
        <w:t xml:space="preserve">in 2017 </w:t>
      </w:r>
      <w:r w:rsidR="00E40184" w:rsidRPr="009810D2">
        <w:rPr>
          <w:rFonts w:ascii="MuseoSans" w:hAnsi="MuseoSans"/>
        </w:rPr>
        <w:t xml:space="preserve">were </w:t>
      </w:r>
      <w:r w:rsidRPr="009810D2">
        <w:rPr>
          <w:rFonts w:ascii="MuseoSans" w:hAnsi="MuseoSans"/>
        </w:rPr>
        <w:t xml:space="preserve">designated </w:t>
      </w:r>
      <w:r w:rsidR="00FC36B5" w:rsidRPr="009810D2">
        <w:rPr>
          <w:rFonts w:ascii="MuseoSans" w:hAnsi="MuseoSans"/>
        </w:rPr>
        <w:t>that year</w:t>
      </w:r>
      <w:r w:rsidR="009810D2" w:rsidRPr="009810D2">
        <w:rPr>
          <w:rFonts w:ascii="MuseoSans" w:hAnsi="MuseoSans"/>
        </w:rPr>
        <w:t xml:space="preserve"> (compared to less than 1% of sites in the preceding years)</w:t>
      </w:r>
      <w:r w:rsidRPr="009810D2">
        <w:rPr>
          <w:rFonts w:ascii="MuseoSans" w:hAnsi="MuseoSans"/>
        </w:rPr>
        <w:t>.</w:t>
      </w:r>
      <w:r w:rsidRPr="009810D2">
        <w:rPr>
          <w:rStyle w:val="FootnoteReference"/>
          <w:rFonts w:ascii="MuseoSans" w:hAnsi="MuseoSans"/>
        </w:rPr>
        <w:footnoteReference w:id="11"/>
      </w:r>
    </w:p>
    <w:p w:rsidR="00AB7DEA" w:rsidRDefault="00AB7DEA" w:rsidP="00AB7DEA">
      <w:pPr>
        <w:pStyle w:val="Para1"/>
      </w:pPr>
      <w:r>
        <w:t>For the marine realm, the improved coverage since April 2016 continues the increasing trend of the last decade (see figure 2), with the designation of several very large marine protected areas (MPAs). The four largest MPAs in the world (and five of the ten largest) were either created, or had their area expanded, in the last two years</w:t>
      </w:r>
      <w:r w:rsidR="00336529">
        <w:t>.</w:t>
      </w:r>
      <w:r>
        <w:t xml:space="preserve"> Box 1 presents a list of large MPAs or MPA networks which have been designated or expanded over the past two years, most of which were listed as proposals in 2016.</w:t>
      </w:r>
      <w:r>
        <w:rPr>
          <w:rStyle w:val="FootnoteReference"/>
        </w:rPr>
        <w:footnoteReference w:id="12"/>
      </w:r>
      <w:r>
        <w:t xml:space="preserve"> In total, 3</w:t>
      </w:r>
      <w:r w:rsidR="000B01F6">
        <w:t>4</w:t>
      </w:r>
      <w:r>
        <w:t xml:space="preserve"> CBD Parties have now surpassed the 10% target for coastal and marine protected area coverage—a </w:t>
      </w:r>
      <w:r w:rsidR="000B01F6">
        <w:t xml:space="preserve">near </w:t>
      </w:r>
      <w:r>
        <w:t>50% increase from the 2</w:t>
      </w:r>
      <w:r w:rsidR="000B01F6">
        <w:t>3</w:t>
      </w:r>
      <w:r>
        <w:t xml:space="preserve"> Parties which had reached this target in April 2016.</w:t>
      </w:r>
    </w:p>
    <w:p w:rsidR="00FC47CC" w:rsidRDefault="00FC47CC" w:rsidP="00FC47CC">
      <w:pPr>
        <w:pStyle w:val="Para1"/>
        <w:numPr>
          <w:ilvl w:val="0"/>
          <w:numId w:val="0"/>
        </w:numPr>
      </w:pPr>
      <w:r>
        <w:rPr>
          <w:noProof/>
          <w:lang w:val="en-CA" w:eastAsia="en-CA"/>
        </w:rPr>
        <w:lastRenderedPageBreak/>
        <w:drawing>
          <wp:anchor distT="0" distB="0" distL="114300" distR="114300" simplePos="0" relativeHeight="251673088" behindDoc="1" locked="0" layoutInCell="1" allowOverlap="1" wp14:anchorId="4D03C199" wp14:editId="2426E16D">
            <wp:simplePos x="0" y="0"/>
            <wp:positionH relativeFrom="column">
              <wp:posOffset>468630</wp:posOffset>
            </wp:positionH>
            <wp:positionV relativeFrom="paragraph">
              <wp:posOffset>12065</wp:posOffset>
            </wp:positionV>
            <wp:extent cx="5215890" cy="2496185"/>
            <wp:effectExtent l="0" t="0" r="22860" b="18415"/>
            <wp:wrapTight wrapText="bothSides">
              <wp:wrapPolygon edited="0">
                <wp:start x="0" y="0"/>
                <wp:lineTo x="0" y="21595"/>
                <wp:lineTo x="21616" y="21595"/>
                <wp:lineTo x="21616"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AC1D11" w:rsidRDefault="00AC1D11" w:rsidP="00FC47CC">
      <w:pPr>
        <w:pStyle w:val="Para1"/>
        <w:numPr>
          <w:ilvl w:val="0"/>
          <w:numId w:val="0"/>
        </w:numPr>
      </w:pPr>
    </w:p>
    <w:p w:rsidR="00FC47CC" w:rsidRDefault="00FC47CC" w:rsidP="00FC47CC">
      <w:pPr>
        <w:pStyle w:val="Para1"/>
        <w:numPr>
          <w:ilvl w:val="0"/>
          <w:numId w:val="0"/>
        </w:numPr>
      </w:pPr>
    </w:p>
    <w:p w:rsidR="00FC47CC" w:rsidRDefault="00FC47CC" w:rsidP="00FC47CC">
      <w:pPr>
        <w:pStyle w:val="Para1"/>
        <w:numPr>
          <w:ilvl w:val="0"/>
          <w:numId w:val="0"/>
        </w:numPr>
      </w:pPr>
    </w:p>
    <w:p w:rsidR="00FC47CC" w:rsidRDefault="00FC47CC" w:rsidP="00FC47CC">
      <w:pPr>
        <w:pStyle w:val="Para1"/>
        <w:numPr>
          <w:ilvl w:val="0"/>
          <w:numId w:val="0"/>
        </w:numPr>
      </w:pPr>
    </w:p>
    <w:p w:rsidR="00FC47CC" w:rsidRDefault="00FC47CC" w:rsidP="00FC47CC">
      <w:pPr>
        <w:pStyle w:val="Para1"/>
        <w:numPr>
          <w:ilvl w:val="0"/>
          <w:numId w:val="0"/>
        </w:numPr>
      </w:pPr>
    </w:p>
    <w:p w:rsidR="00FC47CC" w:rsidRDefault="00FC47CC" w:rsidP="00FC47CC">
      <w:pPr>
        <w:pStyle w:val="Para1"/>
        <w:numPr>
          <w:ilvl w:val="0"/>
          <w:numId w:val="0"/>
        </w:numPr>
      </w:pPr>
    </w:p>
    <w:p w:rsidR="00FC47CC" w:rsidRDefault="00FC47CC" w:rsidP="00FC47CC">
      <w:pPr>
        <w:pStyle w:val="Para1"/>
        <w:numPr>
          <w:ilvl w:val="0"/>
          <w:numId w:val="0"/>
        </w:numPr>
      </w:pPr>
    </w:p>
    <w:p w:rsidR="00FC47CC" w:rsidRDefault="00FC47CC" w:rsidP="00FC47CC">
      <w:pPr>
        <w:pStyle w:val="Para1"/>
        <w:numPr>
          <w:ilvl w:val="0"/>
          <w:numId w:val="0"/>
        </w:numPr>
        <w:jc w:val="center"/>
        <w:rPr>
          <w:sz w:val="18"/>
        </w:rPr>
      </w:pPr>
    </w:p>
    <w:p w:rsidR="00A1247D" w:rsidRDefault="00A1247D" w:rsidP="00FC47CC">
      <w:pPr>
        <w:pStyle w:val="Para1"/>
        <w:numPr>
          <w:ilvl w:val="0"/>
          <w:numId w:val="0"/>
        </w:numPr>
        <w:jc w:val="center"/>
        <w:rPr>
          <w:sz w:val="18"/>
        </w:rPr>
      </w:pPr>
    </w:p>
    <w:p w:rsidR="00021F5B" w:rsidRPr="00FC47CC" w:rsidRDefault="00021F5B" w:rsidP="00FC47CC">
      <w:pPr>
        <w:pStyle w:val="Para1"/>
        <w:numPr>
          <w:ilvl w:val="0"/>
          <w:numId w:val="0"/>
        </w:numPr>
        <w:jc w:val="center"/>
        <w:rPr>
          <w:sz w:val="18"/>
        </w:rPr>
      </w:pPr>
    </w:p>
    <w:p w:rsidR="00FC47CC" w:rsidRDefault="00FC47CC" w:rsidP="00FC47CC">
      <w:pPr>
        <w:pStyle w:val="Para1"/>
        <w:numPr>
          <w:ilvl w:val="0"/>
          <w:numId w:val="0"/>
        </w:numPr>
        <w:jc w:val="center"/>
        <w:rPr>
          <w:sz w:val="18"/>
        </w:rPr>
      </w:pPr>
      <w:r w:rsidRPr="00AB7DEA">
        <w:rPr>
          <w:b/>
          <w:sz w:val="18"/>
        </w:rPr>
        <w:t>Figure 2.</w:t>
      </w:r>
      <w:r w:rsidRPr="00FC47CC">
        <w:rPr>
          <w:sz w:val="18"/>
        </w:rPr>
        <w:t xml:space="preserve"> </w:t>
      </w:r>
      <w:r w:rsidR="004C6B3E">
        <w:rPr>
          <w:sz w:val="18"/>
        </w:rPr>
        <w:t>I</w:t>
      </w:r>
      <w:r w:rsidRPr="00FC47CC">
        <w:rPr>
          <w:sz w:val="18"/>
        </w:rPr>
        <w:t xml:space="preserve">ncreases </w:t>
      </w:r>
      <w:r w:rsidR="00AB7DEA">
        <w:rPr>
          <w:sz w:val="18"/>
        </w:rPr>
        <w:t xml:space="preserve">in </w:t>
      </w:r>
      <w:r w:rsidRPr="00FC47CC">
        <w:rPr>
          <w:sz w:val="18"/>
        </w:rPr>
        <w:t>marine protected area coverage since 2000.</w:t>
      </w:r>
      <w:r w:rsidR="0098003F">
        <w:rPr>
          <w:rStyle w:val="FootnoteReference"/>
        </w:rPr>
        <w:footnoteReference w:id="13"/>
      </w:r>
    </w:p>
    <w:p w:rsidR="00A1247D" w:rsidRDefault="00A1247D" w:rsidP="00A1247D">
      <w:pPr>
        <w:pStyle w:val="Para1"/>
        <w:numPr>
          <w:ilvl w:val="0"/>
          <w:numId w:val="0"/>
        </w:numPr>
      </w:pPr>
      <w:r w:rsidRPr="00576654">
        <w:rPr>
          <w:noProof/>
          <w:lang w:val="en-CA" w:eastAsia="en-CA"/>
        </w:rPr>
        <mc:AlternateContent>
          <mc:Choice Requires="wps">
            <w:drawing>
              <wp:anchor distT="0" distB="0" distL="114300" distR="114300" simplePos="0" relativeHeight="251689472" behindDoc="0" locked="0" layoutInCell="1" allowOverlap="1" wp14:anchorId="2B5082FF" wp14:editId="4ABE442E">
                <wp:simplePos x="0" y="0"/>
                <wp:positionH relativeFrom="column">
                  <wp:posOffset>-7315</wp:posOffset>
                </wp:positionH>
                <wp:positionV relativeFrom="paragraph">
                  <wp:posOffset>20549</wp:posOffset>
                </wp:positionV>
                <wp:extent cx="5983833" cy="3942893"/>
                <wp:effectExtent l="19050" t="19050" r="17145" b="19685"/>
                <wp:wrapNone/>
                <wp:docPr id="11" name="Text Box 11"/>
                <wp:cNvGraphicFramePr/>
                <a:graphic xmlns:a="http://schemas.openxmlformats.org/drawingml/2006/main">
                  <a:graphicData uri="http://schemas.microsoft.com/office/word/2010/wordprocessingShape">
                    <wps:wsp>
                      <wps:cNvSpPr txBox="1"/>
                      <wps:spPr>
                        <a:xfrm>
                          <a:off x="0" y="0"/>
                          <a:ext cx="5983833" cy="3942893"/>
                        </a:xfrm>
                        <a:prstGeom prst="rect">
                          <a:avLst/>
                        </a:prstGeom>
                        <a:solidFill>
                          <a:schemeClr val="bg1">
                            <a:lumMod val="85000"/>
                          </a:schemeClr>
                        </a:solidFill>
                        <a:ln w="41275"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758F" w:rsidRDefault="009F758F" w:rsidP="00A1247D">
                            <w:pPr>
                              <w:rPr>
                                <w:b/>
                                <w:sz w:val="20"/>
                                <w:szCs w:val="20"/>
                              </w:rPr>
                            </w:pPr>
                            <w:r>
                              <w:rPr>
                                <w:b/>
                                <w:sz w:val="20"/>
                                <w:szCs w:val="20"/>
                              </w:rPr>
                              <w:t>Box 1: More than 10 million km</w:t>
                            </w:r>
                            <w:r>
                              <w:rPr>
                                <w:b/>
                                <w:sz w:val="20"/>
                                <w:szCs w:val="20"/>
                                <w:vertAlign w:val="superscript"/>
                              </w:rPr>
                              <w:t>2</w:t>
                            </w:r>
                            <w:r>
                              <w:rPr>
                                <w:b/>
                                <w:sz w:val="20"/>
                                <w:szCs w:val="20"/>
                              </w:rPr>
                              <w:t xml:space="preserve"> in large MPAs were added between April 2016 and May 2018.</w:t>
                            </w:r>
                          </w:p>
                          <w:p w:rsidR="009F758F" w:rsidRDefault="009F758F" w:rsidP="00A1247D">
                            <w:pPr>
                              <w:rPr>
                                <w:b/>
                                <w:sz w:val="20"/>
                                <w:szCs w:val="20"/>
                              </w:rPr>
                            </w:pPr>
                          </w:p>
                          <w:p w:rsidR="009F758F" w:rsidRPr="00B61AA7" w:rsidRDefault="009F758F" w:rsidP="00A1247D">
                            <w:pPr>
                              <w:rPr>
                                <w:sz w:val="18"/>
                                <w:szCs w:val="20"/>
                              </w:rPr>
                            </w:pPr>
                            <w:r w:rsidRPr="00D32621">
                              <w:rPr>
                                <w:sz w:val="18"/>
                                <w:szCs w:val="20"/>
                              </w:rPr>
                              <w:t>The</w:t>
                            </w:r>
                            <w:r>
                              <w:rPr>
                                <w:b/>
                                <w:sz w:val="18"/>
                                <w:szCs w:val="20"/>
                              </w:rPr>
                              <w:t xml:space="preserve"> </w:t>
                            </w:r>
                            <w:r w:rsidRPr="0060477A">
                              <w:rPr>
                                <w:b/>
                                <w:sz w:val="18"/>
                                <w:szCs w:val="20"/>
                              </w:rPr>
                              <w:t>Commission for the Conservation of Antarctic Marine Living Resources (CCAMLR)</w:t>
                            </w:r>
                            <w:r>
                              <w:rPr>
                                <w:b/>
                                <w:sz w:val="18"/>
                                <w:szCs w:val="20"/>
                              </w:rPr>
                              <w:t xml:space="preserve"> </w:t>
                            </w:r>
                            <w:r w:rsidRPr="00D32621">
                              <w:rPr>
                                <w:sz w:val="18"/>
                                <w:szCs w:val="20"/>
                              </w:rPr>
                              <w:t>established</w:t>
                            </w:r>
                            <w:r>
                              <w:rPr>
                                <w:b/>
                                <w:sz w:val="18"/>
                                <w:szCs w:val="20"/>
                              </w:rPr>
                              <w:t xml:space="preserve"> </w:t>
                            </w:r>
                            <w:r>
                              <w:rPr>
                                <w:sz w:val="18"/>
                                <w:szCs w:val="20"/>
                              </w:rPr>
                              <w:t xml:space="preserve">the </w:t>
                            </w:r>
                            <w:r w:rsidRPr="00B61AA7">
                              <w:rPr>
                                <w:sz w:val="18"/>
                                <w:szCs w:val="20"/>
                              </w:rPr>
                              <w:t xml:space="preserve">Ross Sea </w:t>
                            </w:r>
                            <w:r>
                              <w:rPr>
                                <w:sz w:val="18"/>
                                <w:szCs w:val="20"/>
                              </w:rPr>
                              <w:t>Region marine protected area (</w:t>
                            </w:r>
                            <w:r w:rsidRPr="00B61AA7">
                              <w:rPr>
                                <w:sz w:val="18"/>
                                <w:szCs w:val="20"/>
                              </w:rPr>
                              <w:t>MPA</w:t>
                            </w:r>
                            <w:r>
                              <w:rPr>
                                <w:sz w:val="18"/>
                                <w:szCs w:val="20"/>
                              </w:rPr>
                              <w:t>)</w:t>
                            </w:r>
                            <w:r w:rsidRPr="00B61AA7">
                              <w:rPr>
                                <w:sz w:val="18"/>
                                <w:szCs w:val="20"/>
                              </w:rPr>
                              <w:t xml:space="preserve"> </w:t>
                            </w:r>
                            <w:r>
                              <w:rPr>
                                <w:sz w:val="18"/>
                                <w:szCs w:val="20"/>
                              </w:rPr>
                              <w:t xml:space="preserve">in </w:t>
                            </w:r>
                            <w:r w:rsidRPr="00B61AA7">
                              <w:rPr>
                                <w:sz w:val="18"/>
                                <w:szCs w:val="20"/>
                              </w:rPr>
                              <w:t>Dec</w:t>
                            </w:r>
                            <w:r>
                              <w:rPr>
                                <w:sz w:val="18"/>
                                <w:szCs w:val="20"/>
                              </w:rPr>
                              <w:t>ember</w:t>
                            </w:r>
                            <w:r w:rsidRPr="00B61AA7">
                              <w:rPr>
                                <w:sz w:val="18"/>
                                <w:szCs w:val="20"/>
                              </w:rPr>
                              <w:t xml:space="preserve"> 2017</w:t>
                            </w:r>
                            <w:r>
                              <w:rPr>
                                <w:sz w:val="18"/>
                                <w:szCs w:val="20"/>
                              </w:rPr>
                              <w:t xml:space="preserve"> (</w:t>
                            </w:r>
                            <w:r w:rsidRPr="00B61AA7">
                              <w:rPr>
                                <w:b/>
                                <w:sz w:val="18"/>
                                <w:szCs w:val="20"/>
                              </w:rPr>
                              <w:t>&gt;2 million km</w:t>
                            </w:r>
                            <w:r w:rsidRPr="00B61AA7">
                              <w:rPr>
                                <w:b/>
                                <w:sz w:val="18"/>
                                <w:szCs w:val="20"/>
                                <w:vertAlign w:val="superscript"/>
                              </w:rPr>
                              <w:t>2</w:t>
                            </w:r>
                            <w:r w:rsidRPr="00B61AA7">
                              <w:rPr>
                                <w:sz w:val="18"/>
                                <w:szCs w:val="20"/>
                              </w:rPr>
                              <w:t>)</w:t>
                            </w:r>
                            <w:r>
                              <w:rPr>
                                <w:sz w:val="18"/>
                                <w:szCs w:val="20"/>
                              </w:rPr>
                              <w:t>.</w:t>
                            </w:r>
                          </w:p>
                          <w:p w:rsidR="009F758F" w:rsidRPr="00B61AA7" w:rsidRDefault="009F758F" w:rsidP="00A1247D">
                            <w:pPr>
                              <w:rPr>
                                <w:sz w:val="18"/>
                                <w:szCs w:val="20"/>
                              </w:rPr>
                            </w:pPr>
                          </w:p>
                          <w:p w:rsidR="009F758F" w:rsidRPr="00155860" w:rsidRDefault="009F758F" w:rsidP="00A1247D">
                            <w:pPr>
                              <w:rPr>
                                <w:sz w:val="18"/>
                                <w:szCs w:val="20"/>
                              </w:rPr>
                            </w:pPr>
                            <w:r>
                              <w:rPr>
                                <w:sz w:val="18"/>
                                <w:szCs w:val="20"/>
                              </w:rPr>
                              <w:t xml:space="preserve">In 2017, </w:t>
                            </w:r>
                            <w:r w:rsidRPr="00B61AA7">
                              <w:rPr>
                                <w:b/>
                                <w:sz w:val="18"/>
                                <w:szCs w:val="20"/>
                              </w:rPr>
                              <w:t>Cook Island</w:t>
                            </w:r>
                            <w:r>
                              <w:rPr>
                                <w:b/>
                                <w:sz w:val="18"/>
                                <w:szCs w:val="20"/>
                              </w:rPr>
                              <w:t xml:space="preserve"> </w:t>
                            </w:r>
                            <w:r>
                              <w:rPr>
                                <w:sz w:val="18"/>
                                <w:szCs w:val="20"/>
                              </w:rPr>
                              <w:t xml:space="preserve">designated its entire </w:t>
                            </w:r>
                            <w:r w:rsidRPr="00B61AA7">
                              <w:rPr>
                                <w:b/>
                                <w:sz w:val="18"/>
                                <w:szCs w:val="20"/>
                              </w:rPr>
                              <w:t>1.9 million km</w:t>
                            </w:r>
                            <w:r w:rsidRPr="00B61AA7">
                              <w:rPr>
                                <w:b/>
                                <w:sz w:val="18"/>
                                <w:szCs w:val="20"/>
                                <w:vertAlign w:val="superscript"/>
                              </w:rPr>
                              <w:t>2</w:t>
                            </w:r>
                            <w:r>
                              <w:rPr>
                                <w:b/>
                                <w:sz w:val="18"/>
                                <w:szCs w:val="20"/>
                                <w:vertAlign w:val="superscript"/>
                              </w:rPr>
                              <w:t xml:space="preserve"> </w:t>
                            </w:r>
                            <w:r>
                              <w:rPr>
                                <w:sz w:val="18"/>
                                <w:szCs w:val="20"/>
                              </w:rPr>
                              <w:t>EEZ as a protected area, with the Marae Moana Marine Park.</w:t>
                            </w:r>
                          </w:p>
                          <w:p w:rsidR="009F758F" w:rsidRPr="00B61AA7" w:rsidRDefault="009F758F" w:rsidP="00A1247D">
                            <w:pPr>
                              <w:rPr>
                                <w:b/>
                                <w:sz w:val="18"/>
                                <w:szCs w:val="20"/>
                              </w:rPr>
                            </w:pPr>
                          </w:p>
                          <w:p w:rsidR="009F758F" w:rsidRPr="00B61AA7" w:rsidRDefault="009F758F" w:rsidP="00A1247D">
                            <w:pPr>
                              <w:rPr>
                                <w:sz w:val="18"/>
                                <w:szCs w:val="20"/>
                              </w:rPr>
                            </w:pPr>
                            <w:r>
                              <w:rPr>
                                <w:sz w:val="18"/>
                                <w:szCs w:val="20"/>
                              </w:rPr>
                              <w:t xml:space="preserve">In 2017, </w:t>
                            </w:r>
                            <w:r w:rsidRPr="001272B1">
                              <w:rPr>
                                <w:b/>
                                <w:sz w:val="18"/>
                                <w:szCs w:val="20"/>
                              </w:rPr>
                              <w:t>France</w:t>
                            </w:r>
                            <w:r>
                              <w:rPr>
                                <w:sz w:val="18"/>
                                <w:szCs w:val="20"/>
                              </w:rPr>
                              <w:t xml:space="preserve"> expanded the </w:t>
                            </w:r>
                            <w:r w:rsidRPr="001272B1">
                              <w:rPr>
                                <w:sz w:val="18"/>
                                <w:szCs w:val="20"/>
                              </w:rPr>
                              <w:t>Réserve Naturelle Nationale des Terres australes françaises</w:t>
                            </w:r>
                            <w:r w:rsidRPr="001272B1">
                              <w:rPr>
                                <w:b/>
                                <w:sz w:val="18"/>
                                <w:szCs w:val="20"/>
                              </w:rPr>
                              <w:t xml:space="preserve"> </w:t>
                            </w:r>
                            <w:r w:rsidRPr="001272B1">
                              <w:rPr>
                                <w:sz w:val="18"/>
                                <w:szCs w:val="20"/>
                              </w:rPr>
                              <w:t>in its</w:t>
                            </w:r>
                            <w:r>
                              <w:rPr>
                                <w:b/>
                                <w:sz w:val="18"/>
                                <w:szCs w:val="20"/>
                              </w:rPr>
                              <w:t xml:space="preserve"> </w:t>
                            </w:r>
                            <w:r w:rsidRPr="00B61AA7">
                              <w:rPr>
                                <w:b/>
                                <w:sz w:val="18"/>
                                <w:szCs w:val="20"/>
                              </w:rPr>
                              <w:t>Southern and Antarctic</w:t>
                            </w:r>
                            <w:r>
                              <w:rPr>
                                <w:b/>
                                <w:sz w:val="18"/>
                                <w:szCs w:val="20"/>
                              </w:rPr>
                              <w:t xml:space="preserve"> Territories</w:t>
                            </w:r>
                            <w:r>
                              <w:rPr>
                                <w:sz w:val="18"/>
                                <w:szCs w:val="20"/>
                              </w:rPr>
                              <w:t xml:space="preserve">, increasing coverage by more than </w:t>
                            </w:r>
                            <w:r w:rsidRPr="00B61AA7">
                              <w:rPr>
                                <w:b/>
                                <w:sz w:val="18"/>
                                <w:szCs w:val="20"/>
                              </w:rPr>
                              <w:t>1.6 million km</w:t>
                            </w:r>
                            <w:r w:rsidRPr="00B61AA7">
                              <w:rPr>
                                <w:b/>
                                <w:sz w:val="18"/>
                                <w:szCs w:val="20"/>
                                <w:vertAlign w:val="superscript"/>
                              </w:rPr>
                              <w:t>2</w:t>
                            </w:r>
                            <w:r>
                              <w:rPr>
                                <w:sz w:val="18"/>
                                <w:szCs w:val="20"/>
                              </w:rPr>
                              <w:t>.</w:t>
                            </w:r>
                          </w:p>
                          <w:p w:rsidR="009F758F" w:rsidRPr="00B61AA7" w:rsidRDefault="009F758F" w:rsidP="00A1247D">
                            <w:pPr>
                              <w:rPr>
                                <w:sz w:val="18"/>
                                <w:szCs w:val="20"/>
                              </w:rPr>
                            </w:pPr>
                          </w:p>
                          <w:p w:rsidR="009F758F" w:rsidRPr="00B61AA7" w:rsidRDefault="009F758F" w:rsidP="00A1247D">
                            <w:pPr>
                              <w:rPr>
                                <w:b/>
                                <w:sz w:val="18"/>
                                <w:szCs w:val="20"/>
                              </w:rPr>
                            </w:pPr>
                            <w:r>
                              <w:rPr>
                                <w:sz w:val="18"/>
                                <w:szCs w:val="20"/>
                              </w:rPr>
                              <w:t xml:space="preserve">In 2016, the </w:t>
                            </w:r>
                            <w:r>
                              <w:rPr>
                                <w:b/>
                                <w:sz w:val="18"/>
                                <w:szCs w:val="20"/>
                              </w:rPr>
                              <w:t xml:space="preserve">United Kingdom </w:t>
                            </w:r>
                            <w:r>
                              <w:rPr>
                                <w:sz w:val="18"/>
                                <w:szCs w:val="20"/>
                              </w:rPr>
                              <w:t xml:space="preserve">designated as protected areas the entire EEZs of </w:t>
                            </w:r>
                            <w:r w:rsidRPr="004371C1">
                              <w:rPr>
                                <w:b/>
                                <w:sz w:val="18"/>
                                <w:szCs w:val="20"/>
                              </w:rPr>
                              <w:t>Pitcairn</w:t>
                            </w:r>
                            <w:r>
                              <w:rPr>
                                <w:sz w:val="18"/>
                                <w:szCs w:val="20"/>
                              </w:rPr>
                              <w:t xml:space="preserve"> </w:t>
                            </w:r>
                            <w:r w:rsidRPr="004371C1">
                              <w:rPr>
                                <w:b/>
                                <w:sz w:val="18"/>
                                <w:szCs w:val="20"/>
                              </w:rPr>
                              <w:t>(</w:t>
                            </w:r>
                            <w:r w:rsidRPr="00B61AA7">
                              <w:rPr>
                                <w:b/>
                                <w:sz w:val="18"/>
                                <w:szCs w:val="20"/>
                              </w:rPr>
                              <w:t>840,000 km</w:t>
                            </w:r>
                            <w:r w:rsidRPr="004371C1">
                              <w:rPr>
                                <w:b/>
                                <w:sz w:val="18"/>
                                <w:szCs w:val="20"/>
                                <w:vertAlign w:val="superscript"/>
                              </w:rPr>
                              <w:t>2</w:t>
                            </w:r>
                            <w:r>
                              <w:rPr>
                                <w:b/>
                                <w:sz w:val="18"/>
                                <w:szCs w:val="20"/>
                              </w:rPr>
                              <w:t xml:space="preserve">) </w:t>
                            </w:r>
                            <w:r>
                              <w:rPr>
                                <w:sz w:val="18"/>
                                <w:szCs w:val="20"/>
                              </w:rPr>
                              <w:t>in the South Pacific, and of</w:t>
                            </w:r>
                            <w:r w:rsidRPr="00B61AA7">
                              <w:rPr>
                                <w:b/>
                                <w:sz w:val="18"/>
                                <w:szCs w:val="20"/>
                              </w:rPr>
                              <w:t xml:space="preserve"> St Helena (&gt;4</w:t>
                            </w:r>
                            <w:r>
                              <w:rPr>
                                <w:b/>
                                <w:sz w:val="18"/>
                                <w:szCs w:val="20"/>
                              </w:rPr>
                              <w:t>4</w:t>
                            </w:r>
                            <w:r w:rsidRPr="00B61AA7">
                              <w:rPr>
                                <w:b/>
                                <w:sz w:val="18"/>
                                <w:szCs w:val="20"/>
                              </w:rPr>
                              <w:t>0,000 km</w:t>
                            </w:r>
                            <w:r w:rsidRPr="004371C1">
                              <w:rPr>
                                <w:b/>
                                <w:sz w:val="18"/>
                                <w:szCs w:val="20"/>
                                <w:vertAlign w:val="superscript"/>
                              </w:rPr>
                              <w:t>2</w:t>
                            </w:r>
                            <w:r w:rsidRPr="00B61AA7">
                              <w:rPr>
                                <w:b/>
                                <w:sz w:val="18"/>
                                <w:szCs w:val="20"/>
                              </w:rPr>
                              <w:t xml:space="preserve">) </w:t>
                            </w:r>
                            <w:r>
                              <w:rPr>
                                <w:sz w:val="18"/>
                                <w:szCs w:val="20"/>
                              </w:rPr>
                              <w:t>in the South Atlantic.</w:t>
                            </w:r>
                          </w:p>
                          <w:p w:rsidR="009F758F" w:rsidRDefault="009F758F" w:rsidP="00A1247D">
                            <w:pPr>
                              <w:rPr>
                                <w:b/>
                                <w:sz w:val="18"/>
                                <w:szCs w:val="20"/>
                              </w:rPr>
                            </w:pPr>
                          </w:p>
                          <w:p w:rsidR="009F758F" w:rsidRPr="00B61AA7" w:rsidRDefault="009F758F" w:rsidP="00A1247D">
                            <w:pPr>
                              <w:rPr>
                                <w:b/>
                                <w:sz w:val="18"/>
                                <w:szCs w:val="20"/>
                              </w:rPr>
                            </w:pPr>
                            <w:r>
                              <w:rPr>
                                <w:sz w:val="18"/>
                                <w:szCs w:val="20"/>
                              </w:rPr>
                              <w:t xml:space="preserve">In 2016, the </w:t>
                            </w:r>
                            <w:r w:rsidRPr="00B61AA7">
                              <w:rPr>
                                <w:b/>
                                <w:sz w:val="18"/>
                                <w:szCs w:val="20"/>
                              </w:rPr>
                              <w:t xml:space="preserve">United States of America </w:t>
                            </w:r>
                            <w:r>
                              <w:rPr>
                                <w:sz w:val="18"/>
                                <w:szCs w:val="20"/>
                              </w:rPr>
                              <w:t>ex</w:t>
                            </w:r>
                            <w:r w:rsidRPr="00B61AA7">
                              <w:rPr>
                                <w:sz w:val="18"/>
                                <w:szCs w:val="20"/>
                              </w:rPr>
                              <w:t>panded the Papahānaumok</w:t>
                            </w:r>
                            <w:r>
                              <w:rPr>
                                <w:sz w:val="18"/>
                                <w:szCs w:val="20"/>
                              </w:rPr>
                              <w:t xml:space="preserve">uākea Marine National Monument in </w:t>
                            </w:r>
                            <w:r w:rsidRPr="00B61AA7">
                              <w:rPr>
                                <w:sz w:val="18"/>
                                <w:szCs w:val="20"/>
                              </w:rPr>
                              <w:t>Hawaii</w:t>
                            </w:r>
                            <w:r>
                              <w:rPr>
                                <w:sz w:val="18"/>
                                <w:szCs w:val="20"/>
                              </w:rPr>
                              <w:t xml:space="preserve">, </w:t>
                            </w:r>
                            <w:r w:rsidRPr="00B61AA7">
                              <w:rPr>
                                <w:sz w:val="18"/>
                                <w:szCs w:val="20"/>
                              </w:rPr>
                              <w:t xml:space="preserve">adding more than </w:t>
                            </w:r>
                            <w:r>
                              <w:rPr>
                                <w:b/>
                                <w:sz w:val="18"/>
                                <w:szCs w:val="20"/>
                              </w:rPr>
                              <w:t>1.1 million</w:t>
                            </w:r>
                            <w:r w:rsidRPr="00B61AA7">
                              <w:rPr>
                                <w:b/>
                                <w:sz w:val="18"/>
                                <w:szCs w:val="20"/>
                              </w:rPr>
                              <w:t xml:space="preserve"> km</w:t>
                            </w:r>
                            <w:r w:rsidRPr="00B61AA7">
                              <w:rPr>
                                <w:b/>
                                <w:sz w:val="18"/>
                                <w:szCs w:val="20"/>
                                <w:vertAlign w:val="superscript"/>
                              </w:rPr>
                              <w:t>2</w:t>
                            </w:r>
                            <w:r w:rsidRPr="00B61AA7">
                              <w:rPr>
                                <w:b/>
                                <w:sz w:val="18"/>
                                <w:szCs w:val="20"/>
                              </w:rPr>
                              <w:t>.</w:t>
                            </w:r>
                          </w:p>
                          <w:p w:rsidR="009F758F" w:rsidRPr="00B61AA7" w:rsidRDefault="009F758F" w:rsidP="00A1247D">
                            <w:pPr>
                              <w:rPr>
                                <w:b/>
                                <w:sz w:val="18"/>
                                <w:szCs w:val="20"/>
                              </w:rPr>
                            </w:pPr>
                          </w:p>
                          <w:p w:rsidR="009F758F" w:rsidRPr="00D740F4" w:rsidRDefault="009F758F" w:rsidP="00A1247D">
                            <w:pPr>
                              <w:rPr>
                                <w:sz w:val="18"/>
                                <w:szCs w:val="20"/>
                              </w:rPr>
                            </w:pPr>
                            <w:r w:rsidRPr="00D740F4">
                              <w:rPr>
                                <w:sz w:val="18"/>
                                <w:szCs w:val="20"/>
                              </w:rPr>
                              <w:t xml:space="preserve">In March 2018, </w:t>
                            </w:r>
                            <w:r w:rsidRPr="00D740F4">
                              <w:rPr>
                                <w:b/>
                                <w:sz w:val="18"/>
                                <w:szCs w:val="20"/>
                              </w:rPr>
                              <w:t>Brazil</w:t>
                            </w:r>
                            <w:r w:rsidRPr="00D740F4">
                              <w:rPr>
                                <w:sz w:val="18"/>
                                <w:szCs w:val="20"/>
                              </w:rPr>
                              <w:t xml:space="preserve"> announced the designation of two large mosaics of MPAs, covering more than </w:t>
                            </w:r>
                            <w:r w:rsidRPr="00D740F4">
                              <w:rPr>
                                <w:b/>
                                <w:sz w:val="18"/>
                                <w:szCs w:val="20"/>
                              </w:rPr>
                              <w:t>900,000 km²</w:t>
                            </w:r>
                            <w:r w:rsidRPr="00D740F4">
                              <w:rPr>
                                <w:sz w:val="18"/>
                                <w:szCs w:val="20"/>
                              </w:rPr>
                              <w:t xml:space="preserve"> around the Archipelagos of São Pedro and São Paulo, and Trindade and Martim Vaz.</w:t>
                            </w:r>
                          </w:p>
                          <w:p w:rsidR="009F758F" w:rsidRPr="00B61AA7" w:rsidRDefault="009F758F" w:rsidP="00A1247D">
                            <w:pPr>
                              <w:rPr>
                                <w:b/>
                                <w:sz w:val="18"/>
                                <w:szCs w:val="20"/>
                              </w:rPr>
                            </w:pPr>
                          </w:p>
                          <w:p w:rsidR="009F758F" w:rsidRPr="00B61AA7" w:rsidRDefault="009F758F" w:rsidP="00A1247D">
                            <w:pPr>
                              <w:rPr>
                                <w:sz w:val="18"/>
                                <w:szCs w:val="20"/>
                              </w:rPr>
                            </w:pPr>
                            <w:r>
                              <w:rPr>
                                <w:sz w:val="18"/>
                                <w:szCs w:val="20"/>
                              </w:rPr>
                              <w:t>At COP13 (</w:t>
                            </w:r>
                            <w:r w:rsidRPr="00D740F4">
                              <w:rPr>
                                <w:sz w:val="18"/>
                                <w:szCs w:val="20"/>
                              </w:rPr>
                              <w:t>December 2016</w:t>
                            </w:r>
                            <w:r>
                              <w:rPr>
                                <w:sz w:val="18"/>
                                <w:szCs w:val="20"/>
                              </w:rPr>
                              <w:t>)</w:t>
                            </w:r>
                            <w:r w:rsidRPr="00D740F4">
                              <w:rPr>
                                <w:sz w:val="18"/>
                                <w:szCs w:val="20"/>
                              </w:rPr>
                              <w:t xml:space="preserve">, </w:t>
                            </w:r>
                            <w:r w:rsidRPr="00D740F4">
                              <w:rPr>
                                <w:b/>
                                <w:sz w:val="18"/>
                                <w:szCs w:val="20"/>
                              </w:rPr>
                              <w:t>Mexico</w:t>
                            </w:r>
                            <w:r w:rsidRPr="00D740F4">
                              <w:rPr>
                                <w:sz w:val="18"/>
                                <w:szCs w:val="20"/>
                              </w:rPr>
                              <w:t xml:space="preserve"> announced the</w:t>
                            </w:r>
                            <w:r>
                              <w:rPr>
                                <w:b/>
                                <w:sz w:val="18"/>
                                <w:szCs w:val="20"/>
                              </w:rPr>
                              <w:t xml:space="preserve"> </w:t>
                            </w:r>
                            <w:r w:rsidRPr="00B61AA7">
                              <w:rPr>
                                <w:sz w:val="18"/>
                                <w:szCs w:val="20"/>
                              </w:rPr>
                              <w:t>designat</w:t>
                            </w:r>
                            <w:r>
                              <w:rPr>
                                <w:sz w:val="18"/>
                                <w:szCs w:val="20"/>
                              </w:rPr>
                              <w:t>ion of three large MPAs</w:t>
                            </w:r>
                            <w:r w:rsidRPr="00B61AA7">
                              <w:rPr>
                                <w:sz w:val="18"/>
                                <w:szCs w:val="20"/>
                              </w:rPr>
                              <w:t xml:space="preserve"> </w:t>
                            </w:r>
                            <w:r>
                              <w:rPr>
                                <w:sz w:val="18"/>
                                <w:szCs w:val="20"/>
                              </w:rPr>
                              <w:t>(</w:t>
                            </w:r>
                            <w:r w:rsidRPr="00D740F4">
                              <w:rPr>
                                <w:sz w:val="18"/>
                                <w:szCs w:val="20"/>
                              </w:rPr>
                              <w:t>Pacífico Mexicano Profund, Reserva de la Biosfera Caribe Mexicano and Reserva de la Biosfera Islas del Pacífico</w:t>
                            </w:r>
                            <w:r>
                              <w:rPr>
                                <w:sz w:val="18"/>
                                <w:szCs w:val="20"/>
                              </w:rPr>
                              <w:t xml:space="preserve">) </w:t>
                            </w:r>
                            <w:r w:rsidRPr="00B61AA7">
                              <w:rPr>
                                <w:sz w:val="18"/>
                                <w:szCs w:val="20"/>
                              </w:rPr>
                              <w:t xml:space="preserve">adding over </w:t>
                            </w:r>
                            <w:r w:rsidRPr="00D740F4">
                              <w:rPr>
                                <w:b/>
                                <w:sz w:val="18"/>
                                <w:szCs w:val="20"/>
                              </w:rPr>
                              <w:t>600,000 km</w:t>
                            </w:r>
                            <w:r w:rsidRPr="00D740F4">
                              <w:rPr>
                                <w:b/>
                                <w:sz w:val="18"/>
                                <w:szCs w:val="20"/>
                                <w:vertAlign w:val="superscript"/>
                              </w:rPr>
                              <w:t>2</w:t>
                            </w:r>
                            <w:r w:rsidRPr="00B61AA7">
                              <w:rPr>
                                <w:sz w:val="18"/>
                                <w:szCs w:val="20"/>
                              </w:rPr>
                              <w:t>.</w:t>
                            </w:r>
                            <w:r w:rsidRPr="00D740F4">
                              <w:t xml:space="preserve"> </w:t>
                            </w:r>
                          </w:p>
                          <w:p w:rsidR="009F758F" w:rsidRPr="00B61AA7" w:rsidRDefault="009F758F" w:rsidP="00A1247D">
                            <w:pPr>
                              <w:rPr>
                                <w:b/>
                                <w:sz w:val="18"/>
                                <w:szCs w:val="20"/>
                              </w:rPr>
                            </w:pPr>
                          </w:p>
                          <w:p w:rsidR="009F758F" w:rsidRDefault="009F758F" w:rsidP="00A1247D">
                            <w:pPr>
                              <w:rPr>
                                <w:sz w:val="18"/>
                                <w:szCs w:val="20"/>
                              </w:rPr>
                            </w:pPr>
                            <w:r w:rsidRPr="004617C2">
                              <w:rPr>
                                <w:b/>
                                <w:sz w:val="18"/>
                                <w:szCs w:val="20"/>
                              </w:rPr>
                              <w:t>Palau</w:t>
                            </w:r>
                            <w:r w:rsidRPr="00B61AA7">
                              <w:rPr>
                                <w:b/>
                                <w:sz w:val="18"/>
                                <w:szCs w:val="20"/>
                              </w:rPr>
                              <w:t xml:space="preserve"> </w:t>
                            </w:r>
                            <w:r w:rsidRPr="001272B1">
                              <w:rPr>
                                <w:sz w:val="18"/>
                                <w:szCs w:val="20"/>
                              </w:rPr>
                              <w:t>c</w:t>
                            </w:r>
                            <w:r w:rsidRPr="00B61AA7">
                              <w:rPr>
                                <w:sz w:val="18"/>
                                <w:szCs w:val="20"/>
                              </w:rPr>
                              <w:t xml:space="preserve">losed </w:t>
                            </w:r>
                            <w:r>
                              <w:rPr>
                                <w:sz w:val="18"/>
                                <w:szCs w:val="20"/>
                              </w:rPr>
                              <w:t>over 80%</w:t>
                            </w:r>
                            <w:r w:rsidRPr="00B61AA7">
                              <w:rPr>
                                <w:sz w:val="18"/>
                                <w:szCs w:val="20"/>
                              </w:rPr>
                              <w:t xml:space="preserve"> of </w:t>
                            </w:r>
                            <w:r>
                              <w:rPr>
                                <w:sz w:val="18"/>
                                <w:szCs w:val="20"/>
                              </w:rPr>
                              <w:t>its</w:t>
                            </w:r>
                            <w:r w:rsidRPr="00B61AA7">
                              <w:rPr>
                                <w:sz w:val="18"/>
                                <w:szCs w:val="20"/>
                              </w:rPr>
                              <w:t xml:space="preserve"> EEZ</w:t>
                            </w:r>
                            <w:r>
                              <w:rPr>
                                <w:sz w:val="18"/>
                                <w:szCs w:val="20"/>
                              </w:rPr>
                              <w:t xml:space="preserve"> in 2016,</w:t>
                            </w:r>
                            <w:r w:rsidRPr="00B61AA7">
                              <w:rPr>
                                <w:sz w:val="18"/>
                                <w:szCs w:val="20"/>
                              </w:rPr>
                              <w:t xml:space="preserve"> keeping more than </w:t>
                            </w:r>
                            <w:r w:rsidRPr="001272B1">
                              <w:rPr>
                                <w:b/>
                                <w:sz w:val="18"/>
                                <w:szCs w:val="20"/>
                              </w:rPr>
                              <w:t>500,000 km²</w:t>
                            </w:r>
                            <w:r>
                              <w:rPr>
                                <w:sz w:val="18"/>
                                <w:szCs w:val="20"/>
                              </w:rPr>
                              <w:t xml:space="preserve"> </w:t>
                            </w:r>
                            <w:r w:rsidRPr="00E42743">
                              <w:rPr>
                                <w:sz w:val="18"/>
                                <w:szCs w:val="20"/>
                              </w:rPr>
                              <w:t xml:space="preserve">as a no-take </w:t>
                            </w:r>
                            <w:r>
                              <w:rPr>
                                <w:sz w:val="18"/>
                                <w:szCs w:val="20"/>
                              </w:rPr>
                              <w:t>marine reserve.</w:t>
                            </w:r>
                          </w:p>
                          <w:p w:rsidR="009F758F" w:rsidRPr="00B61AA7" w:rsidRDefault="009F758F" w:rsidP="00A1247D">
                            <w:pPr>
                              <w:rPr>
                                <w:bCs/>
                                <w:sz w:val="16"/>
                                <w:szCs w:val="20"/>
                              </w:rPr>
                            </w:pPr>
                            <w:r w:rsidRPr="00B61AA7">
                              <w:rPr>
                                <w:bCs/>
                                <w:sz w:val="16"/>
                                <w:szCs w:val="20"/>
                              </w:rPr>
                              <w:t xml:space="preserve"> </w:t>
                            </w:r>
                          </w:p>
                          <w:p w:rsidR="009F758F" w:rsidRDefault="009F758F" w:rsidP="00A1247D">
                            <w:pPr>
                              <w:rPr>
                                <w:sz w:val="18"/>
                                <w:szCs w:val="20"/>
                              </w:rPr>
                            </w:pPr>
                            <w:r w:rsidRPr="00B61AA7">
                              <w:rPr>
                                <w:b/>
                                <w:sz w:val="18"/>
                                <w:szCs w:val="20"/>
                              </w:rPr>
                              <w:t xml:space="preserve">Chile </w:t>
                            </w:r>
                            <w:r w:rsidRPr="00B61AA7">
                              <w:rPr>
                                <w:sz w:val="18"/>
                                <w:szCs w:val="20"/>
                              </w:rPr>
                              <w:t>designated</w:t>
                            </w:r>
                            <w:r w:rsidRPr="00B61AA7">
                              <w:rPr>
                                <w:b/>
                                <w:sz w:val="18"/>
                                <w:szCs w:val="20"/>
                              </w:rPr>
                              <w:t xml:space="preserve"> </w:t>
                            </w:r>
                            <w:r w:rsidRPr="00B61AA7">
                              <w:rPr>
                                <w:sz w:val="18"/>
                                <w:szCs w:val="20"/>
                              </w:rPr>
                              <w:t>the</w:t>
                            </w:r>
                            <w:r w:rsidRPr="00B61AA7">
                              <w:rPr>
                                <w:b/>
                                <w:sz w:val="18"/>
                                <w:szCs w:val="20"/>
                              </w:rPr>
                              <w:t xml:space="preserve"> </w:t>
                            </w:r>
                            <w:r w:rsidRPr="00B61AA7">
                              <w:rPr>
                                <w:sz w:val="18"/>
                                <w:szCs w:val="20"/>
                              </w:rPr>
                              <w:t xml:space="preserve">Nazca-Desventuradas marine park </w:t>
                            </w:r>
                            <w:r>
                              <w:rPr>
                                <w:sz w:val="18"/>
                                <w:szCs w:val="20"/>
                              </w:rPr>
                              <w:t xml:space="preserve">in 2016 </w:t>
                            </w:r>
                            <w:r w:rsidRPr="00B61AA7">
                              <w:rPr>
                                <w:sz w:val="18"/>
                                <w:szCs w:val="20"/>
                              </w:rPr>
                              <w:t xml:space="preserve">and </w:t>
                            </w:r>
                            <w:r>
                              <w:rPr>
                                <w:sz w:val="18"/>
                                <w:szCs w:val="20"/>
                              </w:rPr>
                              <w:t xml:space="preserve">the </w:t>
                            </w:r>
                            <w:r w:rsidRPr="00B61AA7">
                              <w:rPr>
                                <w:sz w:val="18"/>
                                <w:szCs w:val="20"/>
                              </w:rPr>
                              <w:t>Juan Fernández Archipelago MPA</w:t>
                            </w:r>
                            <w:r>
                              <w:rPr>
                                <w:sz w:val="18"/>
                                <w:szCs w:val="20"/>
                              </w:rPr>
                              <w:t xml:space="preserve"> in 2017, together adding over </w:t>
                            </w:r>
                            <w:r w:rsidRPr="001272B1">
                              <w:rPr>
                                <w:b/>
                                <w:sz w:val="18"/>
                                <w:szCs w:val="20"/>
                              </w:rPr>
                              <w:t>300,000 km²</w:t>
                            </w:r>
                            <w:r w:rsidRPr="00B61AA7">
                              <w:rPr>
                                <w:sz w:val="18"/>
                                <w:szCs w:val="20"/>
                              </w:rPr>
                              <w:t xml:space="preserve">. </w:t>
                            </w:r>
                          </w:p>
                          <w:p w:rsidR="009F758F" w:rsidRDefault="009F758F" w:rsidP="00A1247D">
                            <w:pPr>
                              <w:rPr>
                                <w:sz w:val="18"/>
                                <w:szCs w:val="20"/>
                              </w:rPr>
                            </w:pPr>
                          </w:p>
                          <w:p w:rsidR="009F758F" w:rsidRPr="00B52294" w:rsidRDefault="009F758F" w:rsidP="00A1247D">
                            <w:pPr>
                              <w:rPr>
                                <w:sz w:val="18"/>
                              </w:rPr>
                            </w:pPr>
                            <w:r w:rsidRPr="00826FC9">
                              <w:rPr>
                                <w:b/>
                                <w:sz w:val="18"/>
                              </w:rPr>
                              <w:t xml:space="preserve">Source: </w:t>
                            </w:r>
                            <w:r w:rsidRPr="00826FC9">
                              <w:rPr>
                                <w:sz w:val="18"/>
                              </w:rPr>
                              <w:t xml:space="preserve">Communications by the Secretariat with National Focal Points. Details regarding all commitments, and sources of information available at: </w:t>
                            </w:r>
                            <w:hyperlink r:id="rId25" w:history="1">
                              <w:r w:rsidRPr="00826FC9">
                                <w:rPr>
                                  <w:rStyle w:val="Hyperlink"/>
                                  <w:sz w:val="18"/>
                                </w:rPr>
                                <w:t>https://www.cbd.int/pa/UN-Ocean-Conference/MPA-commitments.xlsx</w:t>
                              </w:r>
                            </w:hyperlink>
                            <w:r w:rsidRPr="00826FC9">
                              <w:rPr>
                                <w:sz w:val="18"/>
                              </w:rPr>
                              <w:t>.</w:t>
                            </w:r>
                            <w:r>
                              <w:rPr>
                                <w:sz w:val="18"/>
                              </w:rPr>
                              <w:t xml:space="preserve"> </w:t>
                            </w:r>
                          </w:p>
                          <w:p w:rsidR="009F758F" w:rsidRDefault="009F758F" w:rsidP="00A1247D">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082FF" id="_x0000_t202" coordsize="21600,21600" o:spt="202" path="m,l,21600r21600,l21600,xe">
                <v:stroke joinstyle="miter"/>
                <v:path gradientshapeok="t" o:connecttype="rect"/>
              </v:shapetype>
              <v:shape id="Text Box 11" o:spid="_x0000_s1026" type="#_x0000_t202" style="position:absolute;left:0;text-align:left;margin-left:-.6pt;margin-top:1.6pt;width:471.15pt;height:310.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" fillcolor="#d8d8d8 [2732]" strokeweight="3.25pt">
                <v:stroke linestyle="thickThin"/>
                <v:textbox>
                  <w:txbxContent>
                    <w:p w:rsidR="009F758F" w:rsidRDefault="009F758F" w:rsidP="00A1247D">
                      <w:pPr>
                        <w:rPr>
                          <w:b/>
                          <w:sz w:val="20"/>
                          <w:szCs w:val="20"/>
                        </w:rPr>
                      </w:pPr>
                      <w:r>
                        <w:rPr>
                          <w:b/>
                          <w:sz w:val="20"/>
                          <w:szCs w:val="20"/>
                        </w:rPr>
                        <w:t>Box 1: More than 10 million km</w:t>
                      </w:r>
                      <w:r>
                        <w:rPr>
                          <w:b/>
                          <w:sz w:val="20"/>
                          <w:szCs w:val="20"/>
                          <w:vertAlign w:val="superscript"/>
                        </w:rPr>
                        <w:t>2</w:t>
                      </w:r>
                      <w:r>
                        <w:rPr>
                          <w:b/>
                          <w:sz w:val="20"/>
                          <w:szCs w:val="20"/>
                        </w:rPr>
                        <w:t xml:space="preserve"> in large MPAs were added between April 2016 and May 2018.</w:t>
                      </w:r>
                    </w:p>
                    <w:p w:rsidR="009F758F" w:rsidRDefault="009F758F" w:rsidP="00A1247D">
                      <w:pPr>
                        <w:rPr>
                          <w:b/>
                          <w:sz w:val="20"/>
                          <w:szCs w:val="20"/>
                        </w:rPr>
                      </w:pPr>
                    </w:p>
                    <w:p w:rsidR="009F758F" w:rsidRPr="00B61AA7" w:rsidRDefault="009F758F" w:rsidP="00A1247D">
                      <w:pPr>
                        <w:rPr>
                          <w:sz w:val="18"/>
                          <w:szCs w:val="20"/>
                        </w:rPr>
                      </w:pPr>
                      <w:r w:rsidRPr="00D32621">
                        <w:rPr>
                          <w:sz w:val="18"/>
                          <w:szCs w:val="20"/>
                        </w:rPr>
                        <w:t>The</w:t>
                      </w:r>
                      <w:r>
                        <w:rPr>
                          <w:b/>
                          <w:sz w:val="18"/>
                          <w:szCs w:val="20"/>
                        </w:rPr>
                        <w:t xml:space="preserve"> </w:t>
                      </w:r>
                      <w:r w:rsidRPr="0060477A">
                        <w:rPr>
                          <w:b/>
                          <w:sz w:val="18"/>
                          <w:szCs w:val="20"/>
                        </w:rPr>
                        <w:t>Commission for the Conservation of Antarctic Marine Living Resources (CCAMLR)</w:t>
                      </w:r>
                      <w:r>
                        <w:rPr>
                          <w:b/>
                          <w:sz w:val="18"/>
                          <w:szCs w:val="20"/>
                        </w:rPr>
                        <w:t xml:space="preserve"> </w:t>
                      </w:r>
                      <w:r w:rsidRPr="00D32621">
                        <w:rPr>
                          <w:sz w:val="18"/>
                          <w:szCs w:val="20"/>
                        </w:rPr>
                        <w:t>established</w:t>
                      </w:r>
                      <w:r>
                        <w:rPr>
                          <w:b/>
                          <w:sz w:val="18"/>
                          <w:szCs w:val="20"/>
                        </w:rPr>
                        <w:t xml:space="preserve"> </w:t>
                      </w:r>
                      <w:r>
                        <w:rPr>
                          <w:sz w:val="18"/>
                          <w:szCs w:val="20"/>
                        </w:rPr>
                        <w:t xml:space="preserve">the </w:t>
                      </w:r>
                      <w:r w:rsidRPr="00B61AA7">
                        <w:rPr>
                          <w:sz w:val="18"/>
                          <w:szCs w:val="20"/>
                        </w:rPr>
                        <w:t xml:space="preserve">Ross Sea </w:t>
                      </w:r>
                      <w:r>
                        <w:rPr>
                          <w:sz w:val="18"/>
                          <w:szCs w:val="20"/>
                        </w:rPr>
                        <w:t>Region marine protected area (</w:t>
                      </w:r>
                      <w:r w:rsidRPr="00B61AA7">
                        <w:rPr>
                          <w:sz w:val="18"/>
                          <w:szCs w:val="20"/>
                        </w:rPr>
                        <w:t>MPA</w:t>
                      </w:r>
                      <w:r>
                        <w:rPr>
                          <w:sz w:val="18"/>
                          <w:szCs w:val="20"/>
                        </w:rPr>
                        <w:t>)</w:t>
                      </w:r>
                      <w:r w:rsidRPr="00B61AA7">
                        <w:rPr>
                          <w:sz w:val="18"/>
                          <w:szCs w:val="20"/>
                        </w:rPr>
                        <w:t xml:space="preserve"> </w:t>
                      </w:r>
                      <w:r>
                        <w:rPr>
                          <w:sz w:val="18"/>
                          <w:szCs w:val="20"/>
                        </w:rPr>
                        <w:t xml:space="preserve">in </w:t>
                      </w:r>
                      <w:r w:rsidRPr="00B61AA7">
                        <w:rPr>
                          <w:sz w:val="18"/>
                          <w:szCs w:val="20"/>
                        </w:rPr>
                        <w:t>Dec</w:t>
                      </w:r>
                      <w:r>
                        <w:rPr>
                          <w:sz w:val="18"/>
                          <w:szCs w:val="20"/>
                        </w:rPr>
                        <w:t>ember</w:t>
                      </w:r>
                      <w:r w:rsidRPr="00B61AA7">
                        <w:rPr>
                          <w:sz w:val="18"/>
                          <w:szCs w:val="20"/>
                        </w:rPr>
                        <w:t xml:space="preserve"> 2017</w:t>
                      </w:r>
                      <w:r>
                        <w:rPr>
                          <w:sz w:val="18"/>
                          <w:szCs w:val="20"/>
                        </w:rPr>
                        <w:t xml:space="preserve"> (</w:t>
                      </w:r>
                      <w:r w:rsidRPr="00B61AA7">
                        <w:rPr>
                          <w:b/>
                          <w:sz w:val="18"/>
                          <w:szCs w:val="20"/>
                        </w:rPr>
                        <w:t>&gt;2 million km</w:t>
                      </w:r>
                      <w:r w:rsidRPr="00B61AA7">
                        <w:rPr>
                          <w:b/>
                          <w:sz w:val="18"/>
                          <w:szCs w:val="20"/>
                          <w:vertAlign w:val="superscript"/>
                        </w:rPr>
                        <w:t>2</w:t>
                      </w:r>
                      <w:r w:rsidRPr="00B61AA7">
                        <w:rPr>
                          <w:sz w:val="18"/>
                          <w:szCs w:val="20"/>
                        </w:rPr>
                        <w:t>)</w:t>
                      </w:r>
                      <w:r>
                        <w:rPr>
                          <w:sz w:val="18"/>
                          <w:szCs w:val="20"/>
                        </w:rPr>
                        <w:t>.</w:t>
                      </w:r>
                    </w:p>
                    <w:p w:rsidR="009F758F" w:rsidRPr="00B61AA7" w:rsidRDefault="009F758F" w:rsidP="00A1247D">
                      <w:pPr>
                        <w:rPr>
                          <w:sz w:val="18"/>
                          <w:szCs w:val="20"/>
                        </w:rPr>
                      </w:pPr>
                    </w:p>
                    <w:p w:rsidR="009F758F" w:rsidRPr="00155860" w:rsidRDefault="009F758F" w:rsidP="00A1247D">
                      <w:pPr>
                        <w:rPr>
                          <w:sz w:val="18"/>
                          <w:szCs w:val="20"/>
                        </w:rPr>
                      </w:pPr>
                      <w:r>
                        <w:rPr>
                          <w:sz w:val="18"/>
                          <w:szCs w:val="20"/>
                        </w:rPr>
                        <w:t xml:space="preserve">In 2017, </w:t>
                      </w:r>
                      <w:r w:rsidRPr="00B61AA7">
                        <w:rPr>
                          <w:b/>
                          <w:sz w:val="18"/>
                          <w:szCs w:val="20"/>
                        </w:rPr>
                        <w:t>Cook Island</w:t>
                      </w:r>
                      <w:r>
                        <w:rPr>
                          <w:b/>
                          <w:sz w:val="18"/>
                          <w:szCs w:val="20"/>
                        </w:rPr>
                        <w:t xml:space="preserve"> </w:t>
                      </w:r>
                      <w:r>
                        <w:rPr>
                          <w:sz w:val="18"/>
                          <w:szCs w:val="20"/>
                        </w:rPr>
                        <w:t xml:space="preserve">designated its entire </w:t>
                      </w:r>
                      <w:r w:rsidRPr="00B61AA7">
                        <w:rPr>
                          <w:b/>
                          <w:sz w:val="18"/>
                          <w:szCs w:val="20"/>
                        </w:rPr>
                        <w:t>1.9 million km</w:t>
                      </w:r>
                      <w:r w:rsidRPr="00B61AA7">
                        <w:rPr>
                          <w:b/>
                          <w:sz w:val="18"/>
                          <w:szCs w:val="20"/>
                          <w:vertAlign w:val="superscript"/>
                        </w:rPr>
                        <w:t>2</w:t>
                      </w:r>
                      <w:r>
                        <w:rPr>
                          <w:b/>
                          <w:sz w:val="18"/>
                          <w:szCs w:val="20"/>
                          <w:vertAlign w:val="superscript"/>
                        </w:rPr>
                        <w:t xml:space="preserve"> </w:t>
                      </w:r>
                      <w:r>
                        <w:rPr>
                          <w:sz w:val="18"/>
                          <w:szCs w:val="20"/>
                        </w:rPr>
                        <w:t>EEZ as a protected area, with the Marae Moana Marine Park.</w:t>
                      </w:r>
                    </w:p>
                    <w:p w:rsidR="009F758F" w:rsidRPr="00B61AA7" w:rsidRDefault="009F758F" w:rsidP="00A1247D">
                      <w:pPr>
                        <w:rPr>
                          <w:b/>
                          <w:sz w:val="18"/>
                          <w:szCs w:val="20"/>
                        </w:rPr>
                      </w:pPr>
                    </w:p>
                    <w:p w:rsidR="009F758F" w:rsidRPr="00B61AA7" w:rsidRDefault="009F758F" w:rsidP="00A1247D">
                      <w:pPr>
                        <w:rPr>
                          <w:sz w:val="18"/>
                          <w:szCs w:val="20"/>
                        </w:rPr>
                      </w:pPr>
                      <w:r>
                        <w:rPr>
                          <w:sz w:val="18"/>
                          <w:szCs w:val="20"/>
                        </w:rPr>
                        <w:t xml:space="preserve">In 2017, </w:t>
                      </w:r>
                      <w:r w:rsidRPr="001272B1">
                        <w:rPr>
                          <w:b/>
                          <w:sz w:val="18"/>
                          <w:szCs w:val="20"/>
                        </w:rPr>
                        <w:t>France</w:t>
                      </w:r>
                      <w:r>
                        <w:rPr>
                          <w:sz w:val="18"/>
                          <w:szCs w:val="20"/>
                        </w:rPr>
                        <w:t xml:space="preserve"> expanded the </w:t>
                      </w:r>
                      <w:r w:rsidRPr="001272B1">
                        <w:rPr>
                          <w:sz w:val="18"/>
                          <w:szCs w:val="20"/>
                        </w:rPr>
                        <w:t>Réserve Naturelle Nationale des Terres australes françaises</w:t>
                      </w:r>
                      <w:r w:rsidRPr="001272B1">
                        <w:rPr>
                          <w:b/>
                          <w:sz w:val="18"/>
                          <w:szCs w:val="20"/>
                        </w:rPr>
                        <w:t xml:space="preserve"> </w:t>
                      </w:r>
                      <w:r w:rsidRPr="001272B1">
                        <w:rPr>
                          <w:sz w:val="18"/>
                          <w:szCs w:val="20"/>
                        </w:rPr>
                        <w:t>in its</w:t>
                      </w:r>
                      <w:r>
                        <w:rPr>
                          <w:b/>
                          <w:sz w:val="18"/>
                          <w:szCs w:val="20"/>
                        </w:rPr>
                        <w:t xml:space="preserve"> </w:t>
                      </w:r>
                      <w:r w:rsidRPr="00B61AA7">
                        <w:rPr>
                          <w:b/>
                          <w:sz w:val="18"/>
                          <w:szCs w:val="20"/>
                        </w:rPr>
                        <w:t>Southern and Antarctic</w:t>
                      </w:r>
                      <w:r>
                        <w:rPr>
                          <w:b/>
                          <w:sz w:val="18"/>
                          <w:szCs w:val="20"/>
                        </w:rPr>
                        <w:t xml:space="preserve"> Territories</w:t>
                      </w:r>
                      <w:r>
                        <w:rPr>
                          <w:sz w:val="18"/>
                          <w:szCs w:val="20"/>
                        </w:rPr>
                        <w:t xml:space="preserve">, increasing coverage by more than </w:t>
                      </w:r>
                      <w:r w:rsidRPr="00B61AA7">
                        <w:rPr>
                          <w:b/>
                          <w:sz w:val="18"/>
                          <w:szCs w:val="20"/>
                        </w:rPr>
                        <w:t>1.6 million km</w:t>
                      </w:r>
                      <w:r w:rsidRPr="00B61AA7">
                        <w:rPr>
                          <w:b/>
                          <w:sz w:val="18"/>
                          <w:szCs w:val="20"/>
                          <w:vertAlign w:val="superscript"/>
                        </w:rPr>
                        <w:t>2</w:t>
                      </w:r>
                      <w:r>
                        <w:rPr>
                          <w:sz w:val="18"/>
                          <w:szCs w:val="20"/>
                        </w:rPr>
                        <w:t>.</w:t>
                      </w:r>
                    </w:p>
                    <w:p w:rsidR="009F758F" w:rsidRPr="00B61AA7" w:rsidRDefault="009F758F" w:rsidP="00A1247D">
                      <w:pPr>
                        <w:rPr>
                          <w:sz w:val="18"/>
                          <w:szCs w:val="20"/>
                        </w:rPr>
                      </w:pPr>
                    </w:p>
                    <w:p w:rsidR="009F758F" w:rsidRPr="00B61AA7" w:rsidRDefault="009F758F" w:rsidP="00A1247D">
                      <w:pPr>
                        <w:rPr>
                          <w:b/>
                          <w:sz w:val="18"/>
                          <w:szCs w:val="20"/>
                        </w:rPr>
                      </w:pPr>
                      <w:r>
                        <w:rPr>
                          <w:sz w:val="18"/>
                          <w:szCs w:val="20"/>
                        </w:rPr>
                        <w:t xml:space="preserve">In 2016, the </w:t>
                      </w:r>
                      <w:r>
                        <w:rPr>
                          <w:b/>
                          <w:sz w:val="18"/>
                          <w:szCs w:val="20"/>
                        </w:rPr>
                        <w:t xml:space="preserve">United Kingdom </w:t>
                      </w:r>
                      <w:r>
                        <w:rPr>
                          <w:sz w:val="18"/>
                          <w:szCs w:val="20"/>
                        </w:rPr>
                        <w:t xml:space="preserve">designated as protected areas the entire EEZs of </w:t>
                      </w:r>
                      <w:r w:rsidRPr="004371C1">
                        <w:rPr>
                          <w:b/>
                          <w:sz w:val="18"/>
                          <w:szCs w:val="20"/>
                        </w:rPr>
                        <w:t>Pitcairn</w:t>
                      </w:r>
                      <w:r>
                        <w:rPr>
                          <w:sz w:val="18"/>
                          <w:szCs w:val="20"/>
                        </w:rPr>
                        <w:t xml:space="preserve"> </w:t>
                      </w:r>
                      <w:r w:rsidRPr="004371C1">
                        <w:rPr>
                          <w:b/>
                          <w:sz w:val="18"/>
                          <w:szCs w:val="20"/>
                        </w:rPr>
                        <w:t>(</w:t>
                      </w:r>
                      <w:r w:rsidRPr="00B61AA7">
                        <w:rPr>
                          <w:b/>
                          <w:sz w:val="18"/>
                          <w:szCs w:val="20"/>
                        </w:rPr>
                        <w:t>840,000 km</w:t>
                      </w:r>
                      <w:r w:rsidRPr="004371C1">
                        <w:rPr>
                          <w:b/>
                          <w:sz w:val="18"/>
                          <w:szCs w:val="20"/>
                          <w:vertAlign w:val="superscript"/>
                        </w:rPr>
                        <w:t>2</w:t>
                      </w:r>
                      <w:r>
                        <w:rPr>
                          <w:b/>
                          <w:sz w:val="18"/>
                          <w:szCs w:val="20"/>
                        </w:rPr>
                        <w:t xml:space="preserve">) </w:t>
                      </w:r>
                      <w:r>
                        <w:rPr>
                          <w:sz w:val="18"/>
                          <w:szCs w:val="20"/>
                        </w:rPr>
                        <w:t>in the South Pacific, and of</w:t>
                      </w:r>
                      <w:r w:rsidRPr="00B61AA7">
                        <w:rPr>
                          <w:b/>
                          <w:sz w:val="18"/>
                          <w:szCs w:val="20"/>
                        </w:rPr>
                        <w:t xml:space="preserve"> St Helena (&gt;4</w:t>
                      </w:r>
                      <w:r>
                        <w:rPr>
                          <w:b/>
                          <w:sz w:val="18"/>
                          <w:szCs w:val="20"/>
                        </w:rPr>
                        <w:t>4</w:t>
                      </w:r>
                      <w:r w:rsidRPr="00B61AA7">
                        <w:rPr>
                          <w:b/>
                          <w:sz w:val="18"/>
                          <w:szCs w:val="20"/>
                        </w:rPr>
                        <w:t>0,000 km</w:t>
                      </w:r>
                      <w:r w:rsidRPr="004371C1">
                        <w:rPr>
                          <w:b/>
                          <w:sz w:val="18"/>
                          <w:szCs w:val="20"/>
                          <w:vertAlign w:val="superscript"/>
                        </w:rPr>
                        <w:t>2</w:t>
                      </w:r>
                      <w:r w:rsidRPr="00B61AA7">
                        <w:rPr>
                          <w:b/>
                          <w:sz w:val="18"/>
                          <w:szCs w:val="20"/>
                        </w:rPr>
                        <w:t xml:space="preserve">) </w:t>
                      </w:r>
                      <w:r>
                        <w:rPr>
                          <w:sz w:val="18"/>
                          <w:szCs w:val="20"/>
                        </w:rPr>
                        <w:t>in the South Atlantic.</w:t>
                      </w:r>
                    </w:p>
                    <w:p w:rsidR="009F758F" w:rsidRDefault="009F758F" w:rsidP="00A1247D">
                      <w:pPr>
                        <w:rPr>
                          <w:b/>
                          <w:sz w:val="18"/>
                          <w:szCs w:val="20"/>
                        </w:rPr>
                      </w:pPr>
                    </w:p>
                    <w:p w:rsidR="009F758F" w:rsidRPr="00B61AA7" w:rsidRDefault="009F758F" w:rsidP="00A1247D">
                      <w:pPr>
                        <w:rPr>
                          <w:b/>
                          <w:sz w:val="18"/>
                          <w:szCs w:val="20"/>
                        </w:rPr>
                      </w:pPr>
                      <w:r>
                        <w:rPr>
                          <w:sz w:val="18"/>
                          <w:szCs w:val="20"/>
                        </w:rPr>
                        <w:t xml:space="preserve">In 2016, the </w:t>
                      </w:r>
                      <w:r w:rsidRPr="00B61AA7">
                        <w:rPr>
                          <w:b/>
                          <w:sz w:val="18"/>
                          <w:szCs w:val="20"/>
                        </w:rPr>
                        <w:t xml:space="preserve">United States of America </w:t>
                      </w:r>
                      <w:r>
                        <w:rPr>
                          <w:sz w:val="18"/>
                          <w:szCs w:val="20"/>
                        </w:rPr>
                        <w:t>ex</w:t>
                      </w:r>
                      <w:r w:rsidRPr="00B61AA7">
                        <w:rPr>
                          <w:sz w:val="18"/>
                          <w:szCs w:val="20"/>
                        </w:rPr>
                        <w:t>panded the Papahānaumok</w:t>
                      </w:r>
                      <w:r>
                        <w:rPr>
                          <w:sz w:val="18"/>
                          <w:szCs w:val="20"/>
                        </w:rPr>
                        <w:t xml:space="preserve">uākea Marine National Monument in </w:t>
                      </w:r>
                      <w:r w:rsidRPr="00B61AA7">
                        <w:rPr>
                          <w:sz w:val="18"/>
                          <w:szCs w:val="20"/>
                        </w:rPr>
                        <w:t>Hawaii</w:t>
                      </w:r>
                      <w:r>
                        <w:rPr>
                          <w:sz w:val="18"/>
                          <w:szCs w:val="20"/>
                        </w:rPr>
                        <w:t xml:space="preserve">, </w:t>
                      </w:r>
                      <w:r w:rsidRPr="00B61AA7">
                        <w:rPr>
                          <w:sz w:val="18"/>
                          <w:szCs w:val="20"/>
                        </w:rPr>
                        <w:t xml:space="preserve">adding more than </w:t>
                      </w:r>
                      <w:r>
                        <w:rPr>
                          <w:b/>
                          <w:sz w:val="18"/>
                          <w:szCs w:val="20"/>
                        </w:rPr>
                        <w:t>1.1 million</w:t>
                      </w:r>
                      <w:r w:rsidRPr="00B61AA7">
                        <w:rPr>
                          <w:b/>
                          <w:sz w:val="18"/>
                          <w:szCs w:val="20"/>
                        </w:rPr>
                        <w:t xml:space="preserve"> km</w:t>
                      </w:r>
                      <w:r w:rsidRPr="00B61AA7">
                        <w:rPr>
                          <w:b/>
                          <w:sz w:val="18"/>
                          <w:szCs w:val="20"/>
                          <w:vertAlign w:val="superscript"/>
                        </w:rPr>
                        <w:t>2</w:t>
                      </w:r>
                      <w:r w:rsidRPr="00B61AA7">
                        <w:rPr>
                          <w:b/>
                          <w:sz w:val="18"/>
                          <w:szCs w:val="20"/>
                        </w:rPr>
                        <w:t>.</w:t>
                      </w:r>
                    </w:p>
                    <w:p w:rsidR="009F758F" w:rsidRPr="00B61AA7" w:rsidRDefault="009F758F" w:rsidP="00A1247D">
                      <w:pPr>
                        <w:rPr>
                          <w:b/>
                          <w:sz w:val="18"/>
                          <w:szCs w:val="20"/>
                        </w:rPr>
                      </w:pPr>
                    </w:p>
                    <w:p w:rsidR="009F758F" w:rsidRPr="00D740F4" w:rsidRDefault="009F758F" w:rsidP="00A1247D">
                      <w:pPr>
                        <w:rPr>
                          <w:sz w:val="18"/>
                          <w:szCs w:val="20"/>
                        </w:rPr>
                      </w:pPr>
                      <w:r w:rsidRPr="00D740F4">
                        <w:rPr>
                          <w:sz w:val="18"/>
                          <w:szCs w:val="20"/>
                        </w:rPr>
                        <w:t xml:space="preserve">In March 2018, </w:t>
                      </w:r>
                      <w:r w:rsidRPr="00D740F4">
                        <w:rPr>
                          <w:b/>
                          <w:sz w:val="18"/>
                          <w:szCs w:val="20"/>
                        </w:rPr>
                        <w:t>Brazil</w:t>
                      </w:r>
                      <w:r w:rsidRPr="00D740F4">
                        <w:rPr>
                          <w:sz w:val="18"/>
                          <w:szCs w:val="20"/>
                        </w:rPr>
                        <w:t xml:space="preserve"> announced the designation of two large mosaics of MPAs, covering more than </w:t>
                      </w:r>
                      <w:r w:rsidRPr="00D740F4">
                        <w:rPr>
                          <w:b/>
                          <w:sz w:val="18"/>
                          <w:szCs w:val="20"/>
                        </w:rPr>
                        <w:t>900,000 km²</w:t>
                      </w:r>
                      <w:r w:rsidRPr="00D740F4">
                        <w:rPr>
                          <w:sz w:val="18"/>
                          <w:szCs w:val="20"/>
                        </w:rPr>
                        <w:t xml:space="preserve"> around the Archipelagos of São Pedro and São Paulo, and Trindade and Martim Vaz.</w:t>
                      </w:r>
                    </w:p>
                    <w:p w:rsidR="009F758F" w:rsidRPr="00B61AA7" w:rsidRDefault="009F758F" w:rsidP="00A1247D">
                      <w:pPr>
                        <w:rPr>
                          <w:b/>
                          <w:sz w:val="18"/>
                          <w:szCs w:val="20"/>
                        </w:rPr>
                      </w:pPr>
                    </w:p>
                    <w:p w:rsidR="009F758F" w:rsidRPr="00B61AA7" w:rsidRDefault="009F758F" w:rsidP="00A1247D">
                      <w:pPr>
                        <w:rPr>
                          <w:sz w:val="18"/>
                          <w:szCs w:val="20"/>
                        </w:rPr>
                      </w:pPr>
                      <w:r>
                        <w:rPr>
                          <w:sz w:val="18"/>
                          <w:szCs w:val="20"/>
                        </w:rPr>
                        <w:t>At COP13 (</w:t>
                      </w:r>
                      <w:r w:rsidRPr="00D740F4">
                        <w:rPr>
                          <w:sz w:val="18"/>
                          <w:szCs w:val="20"/>
                        </w:rPr>
                        <w:t>December 2016</w:t>
                      </w:r>
                      <w:r>
                        <w:rPr>
                          <w:sz w:val="18"/>
                          <w:szCs w:val="20"/>
                        </w:rPr>
                        <w:t>)</w:t>
                      </w:r>
                      <w:r w:rsidRPr="00D740F4">
                        <w:rPr>
                          <w:sz w:val="18"/>
                          <w:szCs w:val="20"/>
                        </w:rPr>
                        <w:t xml:space="preserve">, </w:t>
                      </w:r>
                      <w:r w:rsidRPr="00D740F4">
                        <w:rPr>
                          <w:b/>
                          <w:sz w:val="18"/>
                          <w:szCs w:val="20"/>
                        </w:rPr>
                        <w:t>Mexico</w:t>
                      </w:r>
                      <w:r w:rsidRPr="00D740F4">
                        <w:rPr>
                          <w:sz w:val="18"/>
                          <w:szCs w:val="20"/>
                        </w:rPr>
                        <w:t xml:space="preserve"> announced the</w:t>
                      </w:r>
                      <w:r>
                        <w:rPr>
                          <w:b/>
                          <w:sz w:val="18"/>
                          <w:szCs w:val="20"/>
                        </w:rPr>
                        <w:t xml:space="preserve"> </w:t>
                      </w:r>
                      <w:r w:rsidRPr="00B61AA7">
                        <w:rPr>
                          <w:sz w:val="18"/>
                          <w:szCs w:val="20"/>
                        </w:rPr>
                        <w:t>designat</w:t>
                      </w:r>
                      <w:r>
                        <w:rPr>
                          <w:sz w:val="18"/>
                          <w:szCs w:val="20"/>
                        </w:rPr>
                        <w:t>ion of three large MPAs</w:t>
                      </w:r>
                      <w:r w:rsidRPr="00B61AA7">
                        <w:rPr>
                          <w:sz w:val="18"/>
                          <w:szCs w:val="20"/>
                        </w:rPr>
                        <w:t xml:space="preserve"> </w:t>
                      </w:r>
                      <w:r>
                        <w:rPr>
                          <w:sz w:val="18"/>
                          <w:szCs w:val="20"/>
                        </w:rPr>
                        <w:t>(</w:t>
                      </w:r>
                      <w:r w:rsidRPr="00D740F4">
                        <w:rPr>
                          <w:sz w:val="18"/>
                          <w:szCs w:val="20"/>
                        </w:rPr>
                        <w:t>Pacífico Mexicano Profund, Reserva de la Biosfera Caribe Mexicano and Reserva de la Biosfera Islas del Pacífico</w:t>
                      </w:r>
                      <w:r>
                        <w:rPr>
                          <w:sz w:val="18"/>
                          <w:szCs w:val="20"/>
                        </w:rPr>
                        <w:t xml:space="preserve">) </w:t>
                      </w:r>
                      <w:r w:rsidRPr="00B61AA7">
                        <w:rPr>
                          <w:sz w:val="18"/>
                          <w:szCs w:val="20"/>
                        </w:rPr>
                        <w:t xml:space="preserve">adding over </w:t>
                      </w:r>
                      <w:r w:rsidRPr="00D740F4">
                        <w:rPr>
                          <w:b/>
                          <w:sz w:val="18"/>
                          <w:szCs w:val="20"/>
                        </w:rPr>
                        <w:t>600,000 km</w:t>
                      </w:r>
                      <w:r w:rsidRPr="00D740F4">
                        <w:rPr>
                          <w:b/>
                          <w:sz w:val="18"/>
                          <w:szCs w:val="20"/>
                          <w:vertAlign w:val="superscript"/>
                        </w:rPr>
                        <w:t>2</w:t>
                      </w:r>
                      <w:r w:rsidRPr="00B61AA7">
                        <w:rPr>
                          <w:sz w:val="18"/>
                          <w:szCs w:val="20"/>
                        </w:rPr>
                        <w:t>.</w:t>
                      </w:r>
                      <w:r w:rsidRPr="00D740F4">
                        <w:t xml:space="preserve"> </w:t>
                      </w:r>
                    </w:p>
                    <w:p w:rsidR="009F758F" w:rsidRPr="00B61AA7" w:rsidRDefault="009F758F" w:rsidP="00A1247D">
                      <w:pPr>
                        <w:rPr>
                          <w:b/>
                          <w:sz w:val="18"/>
                          <w:szCs w:val="20"/>
                        </w:rPr>
                      </w:pPr>
                    </w:p>
                    <w:p w:rsidR="009F758F" w:rsidRDefault="009F758F" w:rsidP="00A1247D">
                      <w:pPr>
                        <w:rPr>
                          <w:sz w:val="18"/>
                          <w:szCs w:val="20"/>
                        </w:rPr>
                      </w:pPr>
                      <w:r w:rsidRPr="004617C2">
                        <w:rPr>
                          <w:b/>
                          <w:sz w:val="18"/>
                          <w:szCs w:val="20"/>
                        </w:rPr>
                        <w:t>Palau</w:t>
                      </w:r>
                      <w:r w:rsidRPr="00B61AA7">
                        <w:rPr>
                          <w:b/>
                          <w:sz w:val="18"/>
                          <w:szCs w:val="20"/>
                        </w:rPr>
                        <w:t xml:space="preserve"> </w:t>
                      </w:r>
                      <w:r w:rsidRPr="001272B1">
                        <w:rPr>
                          <w:sz w:val="18"/>
                          <w:szCs w:val="20"/>
                        </w:rPr>
                        <w:t>c</w:t>
                      </w:r>
                      <w:r w:rsidRPr="00B61AA7">
                        <w:rPr>
                          <w:sz w:val="18"/>
                          <w:szCs w:val="20"/>
                        </w:rPr>
                        <w:t xml:space="preserve">losed </w:t>
                      </w:r>
                      <w:r>
                        <w:rPr>
                          <w:sz w:val="18"/>
                          <w:szCs w:val="20"/>
                        </w:rPr>
                        <w:t>over 80%</w:t>
                      </w:r>
                      <w:r w:rsidRPr="00B61AA7">
                        <w:rPr>
                          <w:sz w:val="18"/>
                          <w:szCs w:val="20"/>
                        </w:rPr>
                        <w:t xml:space="preserve"> of </w:t>
                      </w:r>
                      <w:r>
                        <w:rPr>
                          <w:sz w:val="18"/>
                          <w:szCs w:val="20"/>
                        </w:rPr>
                        <w:t>its</w:t>
                      </w:r>
                      <w:r w:rsidRPr="00B61AA7">
                        <w:rPr>
                          <w:sz w:val="18"/>
                          <w:szCs w:val="20"/>
                        </w:rPr>
                        <w:t xml:space="preserve"> EEZ</w:t>
                      </w:r>
                      <w:r>
                        <w:rPr>
                          <w:sz w:val="18"/>
                          <w:szCs w:val="20"/>
                        </w:rPr>
                        <w:t xml:space="preserve"> in 2016,</w:t>
                      </w:r>
                      <w:r w:rsidRPr="00B61AA7">
                        <w:rPr>
                          <w:sz w:val="18"/>
                          <w:szCs w:val="20"/>
                        </w:rPr>
                        <w:t xml:space="preserve"> keeping more than </w:t>
                      </w:r>
                      <w:r w:rsidRPr="001272B1">
                        <w:rPr>
                          <w:b/>
                          <w:sz w:val="18"/>
                          <w:szCs w:val="20"/>
                        </w:rPr>
                        <w:t>500,000 km²</w:t>
                      </w:r>
                      <w:r>
                        <w:rPr>
                          <w:sz w:val="18"/>
                          <w:szCs w:val="20"/>
                        </w:rPr>
                        <w:t xml:space="preserve"> </w:t>
                      </w:r>
                      <w:r w:rsidRPr="00E42743">
                        <w:rPr>
                          <w:sz w:val="18"/>
                          <w:szCs w:val="20"/>
                        </w:rPr>
                        <w:t xml:space="preserve">as a no-take </w:t>
                      </w:r>
                      <w:r>
                        <w:rPr>
                          <w:sz w:val="18"/>
                          <w:szCs w:val="20"/>
                        </w:rPr>
                        <w:t>marine reserve.</w:t>
                      </w:r>
                    </w:p>
                    <w:p w:rsidR="009F758F" w:rsidRPr="00B61AA7" w:rsidRDefault="009F758F" w:rsidP="00A1247D">
                      <w:pPr>
                        <w:rPr>
                          <w:bCs/>
                          <w:sz w:val="16"/>
                          <w:szCs w:val="20"/>
                        </w:rPr>
                      </w:pPr>
                      <w:r w:rsidRPr="00B61AA7">
                        <w:rPr>
                          <w:bCs/>
                          <w:sz w:val="16"/>
                          <w:szCs w:val="20"/>
                        </w:rPr>
                        <w:t xml:space="preserve"> </w:t>
                      </w:r>
                    </w:p>
                    <w:p w:rsidR="009F758F" w:rsidRDefault="009F758F" w:rsidP="00A1247D">
                      <w:pPr>
                        <w:rPr>
                          <w:sz w:val="18"/>
                          <w:szCs w:val="20"/>
                        </w:rPr>
                      </w:pPr>
                      <w:r w:rsidRPr="00B61AA7">
                        <w:rPr>
                          <w:b/>
                          <w:sz w:val="18"/>
                          <w:szCs w:val="20"/>
                        </w:rPr>
                        <w:t xml:space="preserve">Chile </w:t>
                      </w:r>
                      <w:r w:rsidRPr="00B61AA7">
                        <w:rPr>
                          <w:sz w:val="18"/>
                          <w:szCs w:val="20"/>
                        </w:rPr>
                        <w:t>designated</w:t>
                      </w:r>
                      <w:r w:rsidRPr="00B61AA7">
                        <w:rPr>
                          <w:b/>
                          <w:sz w:val="18"/>
                          <w:szCs w:val="20"/>
                        </w:rPr>
                        <w:t xml:space="preserve"> </w:t>
                      </w:r>
                      <w:r w:rsidRPr="00B61AA7">
                        <w:rPr>
                          <w:sz w:val="18"/>
                          <w:szCs w:val="20"/>
                        </w:rPr>
                        <w:t>the</w:t>
                      </w:r>
                      <w:r w:rsidRPr="00B61AA7">
                        <w:rPr>
                          <w:b/>
                          <w:sz w:val="18"/>
                          <w:szCs w:val="20"/>
                        </w:rPr>
                        <w:t xml:space="preserve"> </w:t>
                      </w:r>
                      <w:r w:rsidRPr="00B61AA7">
                        <w:rPr>
                          <w:sz w:val="18"/>
                          <w:szCs w:val="20"/>
                        </w:rPr>
                        <w:t xml:space="preserve">Nazca-Desventuradas marine park </w:t>
                      </w:r>
                      <w:r>
                        <w:rPr>
                          <w:sz w:val="18"/>
                          <w:szCs w:val="20"/>
                        </w:rPr>
                        <w:t xml:space="preserve">in 2016 </w:t>
                      </w:r>
                      <w:r w:rsidRPr="00B61AA7">
                        <w:rPr>
                          <w:sz w:val="18"/>
                          <w:szCs w:val="20"/>
                        </w:rPr>
                        <w:t xml:space="preserve">and </w:t>
                      </w:r>
                      <w:r>
                        <w:rPr>
                          <w:sz w:val="18"/>
                          <w:szCs w:val="20"/>
                        </w:rPr>
                        <w:t xml:space="preserve">the </w:t>
                      </w:r>
                      <w:r w:rsidRPr="00B61AA7">
                        <w:rPr>
                          <w:sz w:val="18"/>
                          <w:szCs w:val="20"/>
                        </w:rPr>
                        <w:t>Juan Fernández Archipelago MPA</w:t>
                      </w:r>
                      <w:r>
                        <w:rPr>
                          <w:sz w:val="18"/>
                          <w:szCs w:val="20"/>
                        </w:rPr>
                        <w:t xml:space="preserve"> in 2017, together adding over </w:t>
                      </w:r>
                      <w:r w:rsidRPr="001272B1">
                        <w:rPr>
                          <w:b/>
                          <w:sz w:val="18"/>
                          <w:szCs w:val="20"/>
                        </w:rPr>
                        <w:t>300,000 km²</w:t>
                      </w:r>
                      <w:r w:rsidRPr="00B61AA7">
                        <w:rPr>
                          <w:sz w:val="18"/>
                          <w:szCs w:val="20"/>
                        </w:rPr>
                        <w:t xml:space="preserve">. </w:t>
                      </w:r>
                    </w:p>
                    <w:p w:rsidR="009F758F" w:rsidRDefault="009F758F" w:rsidP="00A1247D">
                      <w:pPr>
                        <w:rPr>
                          <w:sz w:val="18"/>
                          <w:szCs w:val="20"/>
                        </w:rPr>
                      </w:pPr>
                    </w:p>
                    <w:p w:rsidR="009F758F" w:rsidRPr="00B52294" w:rsidRDefault="009F758F" w:rsidP="00A1247D">
                      <w:pPr>
                        <w:rPr>
                          <w:sz w:val="18"/>
                        </w:rPr>
                      </w:pPr>
                      <w:r w:rsidRPr="00826FC9">
                        <w:rPr>
                          <w:b/>
                          <w:sz w:val="18"/>
                        </w:rPr>
                        <w:t xml:space="preserve">Source: </w:t>
                      </w:r>
                      <w:r w:rsidRPr="00826FC9">
                        <w:rPr>
                          <w:sz w:val="18"/>
                        </w:rPr>
                        <w:t xml:space="preserve">Communications by the Secretariat with National Focal Points. Details regarding all commitments, and sources of information available at: </w:t>
                      </w:r>
                      <w:hyperlink r:id="rId26" w:history="1">
                        <w:r w:rsidRPr="00826FC9">
                          <w:rPr>
                            <w:rStyle w:val="Hyperlink"/>
                            <w:sz w:val="18"/>
                          </w:rPr>
                          <w:t>https://www.cbd.int/pa/UN-Ocean-Conference/MPA-commitments.xlsx</w:t>
                        </w:r>
                      </w:hyperlink>
                      <w:r w:rsidRPr="00826FC9">
                        <w:rPr>
                          <w:sz w:val="18"/>
                        </w:rPr>
                        <w:t>.</w:t>
                      </w:r>
                      <w:r>
                        <w:rPr>
                          <w:sz w:val="18"/>
                        </w:rPr>
                        <w:t xml:space="preserve"> </w:t>
                      </w:r>
                    </w:p>
                    <w:p w:rsidR="009F758F" w:rsidRDefault="009F758F" w:rsidP="00A1247D">
                      <w:pPr>
                        <w:rPr>
                          <w:sz w:val="18"/>
                          <w:szCs w:val="20"/>
                        </w:rPr>
                      </w:pPr>
                    </w:p>
                  </w:txbxContent>
                </v:textbox>
              </v:shape>
            </w:pict>
          </mc:Fallback>
        </mc:AlternateContent>
      </w: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B7DEA" w:rsidRDefault="00AB7DEA" w:rsidP="00AB7DEA">
      <w:pPr>
        <w:pStyle w:val="Para1"/>
      </w:pPr>
      <w:r w:rsidRPr="00AB7DEA">
        <w:t xml:space="preserve">At least 16 Parties have made progress on the </w:t>
      </w:r>
      <w:r w:rsidR="00826FC9">
        <w:t xml:space="preserve">national </w:t>
      </w:r>
      <w:r w:rsidRPr="00AB7DEA">
        <w:t>priority actions identified during the regional workshops.</w:t>
      </w:r>
      <w:r>
        <w:t xml:space="preserve"> For instance, Brazil set out the target of e</w:t>
      </w:r>
      <w:r w:rsidRPr="00AB0B42">
        <w:t>xpand</w:t>
      </w:r>
      <w:r>
        <w:t>ing</w:t>
      </w:r>
      <w:r w:rsidRPr="00AB0B42">
        <w:t xml:space="preserve"> </w:t>
      </w:r>
      <w:r>
        <w:t xml:space="preserve">its </w:t>
      </w:r>
      <w:r w:rsidRPr="00AB0B42">
        <w:t xml:space="preserve">system of </w:t>
      </w:r>
      <w:r>
        <w:t>m</w:t>
      </w:r>
      <w:r w:rsidRPr="00AB0B42">
        <w:t xml:space="preserve">arine and </w:t>
      </w:r>
      <w:r>
        <w:t>c</w:t>
      </w:r>
      <w:r w:rsidRPr="00AB0B42">
        <w:t>o</w:t>
      </w:r>
      <w:r>
        <w:t>a</w:t>
      </w:r>
      <w:r w:rsidRPr="00AB0B42">
        <w:t>stal</w:t>
      </w:r>
      <w:r>
        <w:t xml:space="preserve"> protected areas</w:t>
      </w:r>
      <w:r w:rsidRPr="00AB0B42">
        <w:t xml:space="preserve"> to at least 5% </w:t>
      </w:r>
      <w:r>
        <w:t xml:space="preserve">of its </w:t>
      </w:r>
      <w:r w:rsidRPr="00AB0B42">
        <w:t>marine territory</w:t>
      </w:r>
      <w:r>
        <w:t>. With the designation of a mosaic of MPAs around the</w:t>
      </w:r>
      <w:r w:rsidRPr="00034475">
        <w:t xml:space="preserve"> Archipelagos of São Pedro and São Paulo, and Trindade and Martim Vaz,</w:t>
      </w:r>
      <w:r>
        <w:t xml:space="preserve"> in March </w:t>
      </w:r>
      <w:r w:rsidR="00097051">
        <w:t>2018</w:t>
      </w:r>
      <w:r>
        <w:t xml:space="preserve">, </w:t>
      </w:r>
      <w:r w:rsidR="004C6B3E">
        <w:t>Brazil</w:t>
      </w:r>
      <w:r>
        <w:t xml:space="preserve"> ha</w:t>
      </w:r>
      <w:r w:rsidR="004C6B3E">
        <w:t>s</w:t>
      </w:r>
      <w:r>
        <w:t xml:space="preserve"> far surpassed this goal, now having over 25% of </w:t>
      </w:r>
      <w:r w:rsidR="004C6B3E">
        <w:t>its</w:t>
      </w:r>
      <w:r>
        <w:t xml:space="preserve"> EEZ protected. Several countries have also met, or made progress towards, the marine protected area targets </w:t>
      </w:r>
      <w:r w:rsidR="004C6B3E">
        <w:t>set</w:t>
      </w:r>
      <w:r>
        <w:t xml:space="preserve"> in their NBSAPs. </w:t>
      </w:r>
    </w:p>
    <w:p w:rsidR="00AB7DEA" w:rsidRDefault="00AB7DEA" w:rsidP="00AB7DEA">
      <w:pPr>
        <w:pStyle w:val="Para1"/>
      </w:pPr>
      <w:r>
        <w:t xml:space="preserve">Progress has been made on some voluntary commitments made during the UN Ocean Conference in June 2017. For instance, Cook Islands and </w:t>
      </w:r>
      <w:r w:rsidRPr="00E12986">
        <w:t xml:space="preserve">Portugal </w:t>
      </w:r>
      <w:r w:rsidR="00E12986" w:rsidRPr="00E12986">
        <w:t xml:space="preserve">have both </w:t>
      </w:r>
      <w:r w:rsidRPr="00E12986">
        <w:t>complete</w:t>
      </w:r>
      <w:r w:rsidR="00E12986" w:rsidRPr="00E12986">
        <w:t>d</w:t>
      </w:r>
      <w:r w:rsidR="00E12986">
        <w:t xml:space="preserve"> their proposed MPA </w:t>
      </w:r>
      <w:r w:rsidR="00E12986">
        <w:lastRenderedPageBreak/>
        <w:t>expansions</w:t>
      </w:r>
      <w:r>
        <w:t xml:space="preserve">, while Greece is making progress towards </w:t>
      </w:r>
      <w:r w:rsidR="004C6B3E">
        <w:t>its</w:t>
      </w:r>
      <w:r>
        <w:t xml:space="preserve"> commitment</w:t>
      </w:r>
      <w:r w:rsidR="0098003F">
        <w:t xml:space="preserve"> of protecting 20% of their </w:t>
      </w:r>
      <w:r w:rsidR="00E12986">
        <w:t>territorial waters</w:t>
      </w:r>
      <w:r w:rsidR="0098003F">
        <w:t xml:space="preserve">, </w:t>
      </w:r>
      <w:r>
        <w:t>by adding 15,000 km</w:t>
      </w:r>
      <w:r w:rsidRPr="00AB7DEA">
        <w:rPr>
          <w:vertAlign w:val="superscript"/>
        </w:rPr>
        <w:t>2</w:t>
      </w:r>
      <w:r>
        <w:t xml:space="preserve"> (over 3% of its </w:t>
      </w:r>
      <w:r w:rsidR="00E12986">
        <w:t xml:space="preserve">entire </w:t>
      </w:r>
      <w:r>
        <w:t>EEZ).</w:t>
      </w:r>
      <w:r w:rsidRPr="007657A5">
        <w:t xml:space="preserve"> </w:t>
      </w:r>
      <w:r>
        <w:t xml:space="preserve">The Bahamas and Dominican Republic have both made progress towards their </w:t>
      </w:r>
      <w:r w:rsidRPr="00134763">
        <w:t>Caribbean Challenge Initiative</w:t>
      </w:r>
      <w:r>
        <w:t xml:space="preserve"> goal of effectively conserving and managing at </w:t>
      </w:r>
      <w:r w:rsidRPr="00134763">
        <w:t>least 20% of the</w:t>
      </w:r>
      <w:r>
        <w:t>ir</w:t>
      </w:r>
      <w:r w:rsidRPr="00134763">
        <w:t xml:space="preserve"> marine and coastal environment by 2020</w:t>
      </w:r>
      <w:r w:rsidR="0098003F">
        <w:t>; w</w:t>
      </w:r>
      <w:r>
        <w:t xml:space="preserve">hile Palau, by creating a </w:t>
      </w:r>
      <w:r w:rsidRPr="00134763">
        <w:t xml:space="preserve">no-take </w:t>
      </w:r>
      <w:r w:rsidR="0098003F">
        <w:t>marine</w:t>
      </w:r>
      <w:r w:rsidRPr="00134763">
        <w:t xml:space="preserve"> protected</w:t>
      </w:r>
      <w:r>
        <w:t xml:space="preserve"> area covering more than 80% of </w:t>
      </w:r>
      <w:r w:rsidR="004C6B3E">
        <w:t>its</w:t>
      </w:r>
      <w:r>
        <w:t xml:space="preserve"> EEZ, </w:t>
      </w:r>
      <w:r w:rsidR="004C6B3E">
        <w:t>has</w:t>
      </w:r>
      <w:r>
        <w:t xml:space="preserve"> surpassed </w:t>
      </w:r>
      <w:r w:rsidR="004C6B3E">
        <w:t>its</w:t>
      </w:r>
      <w:r>
        <w:t xml:space="preserve"> </w:t>
      </w:r>
      <w:r w:rsidRPr="00ED3086">
        <w:t xml:space="preserve">Micronesia Challenge </w:t>
      </w:r>
      <w:r>
        <w:t>commitment to</w:t>
      </w:r>
      <w:r w:rsidRPr="00ED3086">
        <w:t xml:space="preserve"> effectively conserve at least 30% of </w:t>
      </w:r>
      <w:r w:rsidR="004C6B3E">
        <w:t>its</w:t>
      </w:r>
      <w:r w:rsidRPr="00ED3086">
        <w:t xml:space="preserve"> near-shore marine resources by 2020</w:t>
      </w:r>
      <w:r>
        <w:t xml:space="preserve">. </w:t>
      </w:r>
    </w:p>
    <w:p w:rsidR="00826FC9" w:rsidRDefault="00587B93" w:rsidP="00CA0B56">
      <w:pPr>
        <w:pStyle w:val="Para1"/>
      </w:pPr>
      <w:r>
        <w:t>T</w:t>
      </w:r>
      <w:r w:rsidRPr="00576654">
        <w:t xml:space="preserve">hrough </w:t>
      </w:r>
      <w:r w:rsidR="00DE5946" w:rsidRPr="00587B93">
        <w:rPr>
          <w:lang w:val="en-US"/>
        </w:rPr>
        <w:t xml:space="preserve">their national priority actions, NBSAPs, </w:t>
      </w:r>
      <w:r w:rsidR="008471D0">
        <w:rPr>
          <w:lang w:val="en-US"/>
        </w:rPr>
        <w:t xml:space="preserve">or </w:t>
      </w:r>
      <w:r w:rsidR="00DE5946" w:rsidRPr="00587B93">
        <w:rPr>
          <w:lang w:val="en-US"/>
        </w:rPr>
        <w:t xml:space="preserve">other </w:t>
      </w:r>
      <w:r w:rsidR="00DE5946" w:rsidRPr="00576654">
        <w:t>national commitments</w:t>
      </w:r>
      <w:r w:rsidR="00DE5946">
        <w:t>, Parties have proposed the addition of over 3.9 million km</w:t>
      </w:r>
      <w:r w:rsidR="00DE5946" w:rsidRPr="00587B93">
        <w:rPr>
          <w:vertAlign w:val="superscript"/>
        </w:rPr>
        <w:t>2</w:t>
      </w:r>
      <w:r w:rsidR="00DE5946">
        <w:t xml:space="preserve"> in terrestrial and over 13 million km</w:t>
      </w:r>
      <w:r w:rsidR="00DE5946" w:rsidRPr="00587B93">
        <w:rPr>
          <w:vertAlign w:val="superscript"/>
        </w:rPr>
        <w:t>2</w:t>
      </w:r>
      <w:r w:rsidR="00DE5946">
        <w:t xml:space="preserve"> in marine protected areas (figure 3).</w:t>
      </w:r>
      <w:r w:rsidR="00021F5B">
        <w:rPr>
          <w:rStyle w:val="FootnoteReference"/>
        </w:rPr>
        <w:footnoteReference w:id="14"/>
      </w:r>
      <w:r w:rsidR="00DE5946">
        <w:t xml:space="preserve"> These include several large marine protected areas, presented in Box 2. </w:t>
      </w:r>
    </w:p>
    <w:p w:rsidR="00826FC9" w:rsidRDefault="00826FC9" w:rsidP="00826FC9">
      <w:pPr>
        <w:pStyle w:val="Para1"/>
        <w:numPr>
          <w:ilvl w:val="0"/>
          <w:numId w:val="0"/>
        </w:numPr>
      </w:pPr>
      <w:r>
        <w:rPr>
          <w:noProof/>
          <w:lang w:val="en-CA" w:eastAsia="en-CA"/>
        </w:rPr>
        <w:drawing>
          <wp:inline distT="0" distB="0" distL="0" distR="0" wp14:anchorId="5073D129" wp14:editId="062BFA46">
            <wp:extent cx="5943600" cy="3755418"/>
            <wp:effectExtent l="0" t="0" r="1905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26FC9" w:rsidRDefault="00826FC9" w:rsidP="00826FC9">
      <w:pPr>
        <w:pStyle w:val="Para1"/>
        <w:numPr>
          <w:ilvl w:val="0"/>
          <w:numId w:val="0"/>
        </w:numPr>
        <w:jc w:val="center"/>
        <w:rPr>
          <w:sz w:val="18"/>
          <w:lang w:val="en-US"/>
        </w:rPr>
      </w:pPr>
      <w:r w:rsidRPr="00DE5946">
        <w:rPr>
          <w:rFonts w:cs="Times New Roman"/>
          <w:b/>
          <w:sz w:val="18"/>
          <w:szCs w:val="20"/>
          <w:lang w:val="en-US"/>
        </w:rPr>
        <w:t>Figure 3.</w:t>
      </w:r>
      <w:r w:rsidRPr="00EA0278">
        <w:rPr>
          <w:rFonts w:cs="Times New Roman"/>
          <w:sz w:val="18"/>
          <w:szCs w:val="20"/>
          <w:lang w:val="en-US"/>
        </w:rPr>
        <w:t xml:space="preserve"> </w:t>
      </w:r>
      <w:r>
        <w:rPr>
          <w:sz w:val="18"/>
          <w:lang w:val="en-US"/>
        </w:rPr>
        <w:t>Cu</w:t>
      </w:r>
      <w:r w:rsidRPr="00EA0278">
        <w:rPr>
          <w:sz w:val="18"/>
          <w:lang w:val="en-US"/>
        </w:rPr>
        <w:t xml:space="preserve">rrent status and </w:t>
      </w:r>
      <w:r>
        <w:rPr>
          <w:sz w:val="18"/>
          <w:lang w:val="en-US"/>
        </w:rPr>
        <w:t xml:space="preserve">contribution of national </w:t>
      </w:r>
      <w:r w:rsidRPr="00EA0278">
        <w:rPr>
          <w:sz w:val="18"/>
          <w:lang w:val="en-US"/>
        </w:rPr>
        <w:t>commitments (marine and terrestrial)</w:t>
      </w:r>
    </w:p>
    <w:p w:rsidR="00FC4FFD" w:rsidRDefault="00DE5946" w:rsidP="00CA0B56">
      <w:pPr>
        <w:pStyle w:val="Para1"/>
      </w:pPr>
      <w:r>
        <w:t xml:space="preserve">For terrestrial protected areas, 97 countries have national commitments to be implemented by 2020: 34 Parties with national priority actions communicated through the regional workshops; 62 with approved </w:t>
      </w:r>
      <w:r>
        <w:rPr>
          <w:lang w:val="en-US"/>
        </w:rPr>
        <w:t xml:space="preserve">projects </w:t>
      </w:r>
      <w:r>
        <w:t>involving the creation of new, or expansion of existing protected areas</w:t>
      </w:r>
      <w:r w:rsidR="00AD1819">
        <w:t>,</w:t>
      </w:r>
      <w:r>
        <w:rPr>
          <w:lang w:val="en-US"/>
        </w:rPr>
        <w:t xml:space="preserve"> funded through the fifth and sixth replenishment of the Global Environment Facility (GEF-5 and GEF-6)</w:t>
      </w:r>
      <w:r>
        <w:t>; and 30 Parties with protected area targets in their post-COP10 NBSAPs.</w:t>
      </w:r>
      <w:r>
        <w:rPr>
          <w:rStyle w:val="FootnoteReference"/>
        </w:rPr>
        <w:footnoteReference w:id="15"/>
      </w:r>
      <w:r>
        <w:t xml:space="preserve"> For coastal and marine areas, 78 countries have commitments for increased protected area coverage, including: 19 with national priority actions communicated through the regional workshops; 22 with approved GEF-5 or GEF-6 projects involving the creation of new, or expansion of existing</w:t>
      </w:r>
      <w:r w:rsidR="008471D0">
        <w:t xml:space="preserve"> marine</w:t>
      </w:r>
      <w:r>
        <w:t xml:space="preserve"> protected areas; 19 with voluntary commitments made during the UN Ocean Conference; 12 countries with commitments under the </w:t>
      </w:r>
      <w:r w:rsidRPr="001C06A3">
        <w:t>Micronesia Challenge</w:t>
      </w:r>
      <w:r>
        <w:t xml:space="preserve"> or the Caribbean Challenge Initiative; 23 Parties with protected area targets in their post-COP10 NBSAPs,</w:t>
      </w:r>
      <w:r>
        <w:rPr>
          <w:rStyle w:val="FootnoteReference"/>
        </w:rPr>
        <w:footnoteReference w:id="16"/>
      </w:r>
      <w:r>
        <w:t xml:space="preserve"> and 3 countries with large MPA proposals not covered under other  commitments (</w:t>
      </w:r>
      <w:r w:rsidR="008471D0">
        <w:t xml:space="preserve">see </w:t>
      </w:r>
      <w:r>
        <w:t>box 2). I</w:t>
      </w:r>
      <w:r w:rsidRPr="00576654">
        <w:t xml:space="preserve">f implemented </w:t>
      </w:r>
      <w:r w:rsidRPr="00576654">
        <w:lastRenderedPageBreak/>
        <w:t xml:space="preserve">as </w:t>
      </w:r>
      <w:r>
        <w:t>planned, the minimum coverage targets for both terrestrial and inland waters, and for the global ocean</w:t>
      </w:r>
      <w:r w:rsidRPr="00576654">
        <w:t xml:space="preserve">, would </w:t>
      </w:r>
      <w:r>
        <w:t>be surpassed by 2020 (see figure 3).</w:t>
      </w:r>
      <w:r w:rsidR="008471D0">
        <w:t xml:space="preserve"> Coverage of terrestrial and inland waters would exceed 17.7%, while coverage of coastal and marine areas would exceed 24% and coverage of the global ocean would </w:t>
      </w:r>
      <w:r w:rsidR="004C6B3E">
        <w:t>sur</w:t>
      </w:r>
      <w:r w:rsidR="008471D0">
        <w:t>pass 10.5%. Coverage of marine areas beyond national jurisdiction would reach almost 2%.</w:t>
      </w:r>
    </w:p>
    <w:p w:rsidR="004F5C8C" w:rsidRDefault="00826FC9" w:rsidP="004F5C8C">
      <w:pPr>
        <w:pStyle w:val="Para1"/>
        <w:numPr>
          <w:ilvl w:val="0"/>
          <w:numId w:val="0"/>
        </w:numPr>
      </w:pPr>
      <w:r>
        <w:rPr>
          <w:noProof/>
          <w:lang w:val="en-CA" w:eastAsia="en-CA"/>
        </w:rPr>
        <mc:AlternateContent>
          <mc:Choice Requires="wps">
            <w:drawing>
              <wp:anchor distT="0" distB="0" distL="114300" distR="114300" simplePos="0" relativeHeight="251692544" behindDoc="0" locked="0" layoutInCell="1" allowOverlap="1" wp14:anchorId="0728E4A8" wp14:editId="46D8A42C">
                <wp:simplePos x="0" y="0"/>
                <wp:positionH relativeFrom="column">
                  <wp:posOffset>6985</wp:posOffset>
                </wp:positionH>
                <wp:positionV relativeFrom="paragraph">
                  <wp:posOffset>32385</wp:posOffset>
                </wp:positionV>
                <wp:extent cx="5917565" cy="2962275"/>
                <wp:effectExtent l="19050" t="19050" r="2603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7565" cy="2962275"/>
                        </a:xfrm>
                        <a:prstGeom prst="rect">
                          <a:avLst/>
                        </a:prstGeom>
                        <a:solidFill>
                          <a:schemeClr val="bg1">
                            <a:lumMod val="85000"/>
                          </a:schemeClr>
                        </a:solidFill>
                        <a:ln w="41275"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758F" w:rsidRDefault="009F758F" w:rsidP="004F5C8C">
                            <w:pPr>
                              <w:rPr>
                                <w:b/>
                                <w:sz w:val="20"/>
                                <w:szCs w:val="20"/>
                              </w:rPr>
                            </w:pPr>
                            <w:r>
                              <w:rPr>
                                <w:b/>
                                <w:sz w:val="20"/>
                                <w:szCs w:val="20"/>
                              </w:rPr>
                              <w:t>Box 2: More than 9 million km</w:t>
                            </w:r>
                            <w:r>
                              <w:rPr>
                                <w:b/>
                                <w:sz w:val="20"/>
                                <w:szCs w:val="20"/>
                                <w:vertAlign w:val="superscript"/>
                              </w:rPr>
                              <w:t>2</w:t>
                            </w:r>
                            <w:r>
                              <w:rPr>
                                <w:b/>
                                <w:sz w:val="20"/>
                                <w:szCs w:val="20"/>
                              </w:rPr>
                              <w:t xml:space="preserve"> in proposed large-scale MPAs still to be added.</w:t>
                            </w:r>
                          </w:p>
                          <w:p w:rsidR="009F758F" w:rsidRDefault="009F758F" w:rsidP="004F5C8C">
                            <w:pPr>
                              <w:rPr>
                                <w:b/>
                                <w:sz w:val="20"/>
                                <w:szCs w:val="20"/>
                              </w:rPr>
                            </w:pPr>
                          </w:p>
                          <w:p w:rsidR="009F758F" w:rsidRDefault="009F758F" w:rsidP="004F5C8C">
                            <w:pPr>
                              <w:rPr>
                                <w:sz w:val="18"/>
                                <w:szCs w:val="20"/>
                              </w:rPr>
                            </w:pPr>
                            <w:r w:rsidRPr="00B61AA7">
                              <w:rPr>
                                <w:b/>
                                <w:sz w:val="18"/>
                                <w:szCs w:val="20"/>
                              </w:rPr>
                              <w:t>French Polynesia</w:t>
                            </w:r>
                            <w:r w:rsidRPr="00B61AA7">
                              <w:rPr>
                                <w:sz w:val="18"/>
                                <w:szCs w:val="20"/>
                              </w:rPr>
                              <w:t xml:space="preserve"> plans to create a marine managed area, Taini Atea, covering their entire EEZ (</w:t>
                            </w:r>
                            <w:r w:rsidRPr="00B61AA7">
                              <w:rPr>
                                <w:b/>
                                <w:sz w:val="18"/>
                                <w:szCs w:val="20"/>
                              </w:rPr>
                              <w:t>&gt;4.79 million km</w:t>
                            </w:r>
                            <w:r w:rsidRPr="00B61AA7">
                              <w:rPr>
                                <w:b/>
                                <w:sz w:val="18"/>
                                <w:szCs w:val="20"/>
                                <w:vertAlign w:val="superscript"/>
                              </w:rPr>
                              <w:t>2</w:t>
                            </w:r>
                            <w:r w:rsidRPr="00B61AA7">
                              <w:rPr>
                                <w:sz w:val="18"/>
                                <w:szCs w:val="20"/>
                              </w:rPr>
                              <w:t>), which will be designated in 2018.</w:t>
                            </w:r>
                          </w:p>
                          <w:p w:rsidR="009F758F" w:rsidRDefault="009F758F" w:rsidP="004F5C8C">
                            <w:pPr>
                              <w:rPr>
                                <w:sz w:val="18"/>
                                <w:szCs w:val="20"/>
                              </w:rPr>
                            </w:pPr>
                          </w:p>
                          <w:p w:rsidR="009F758F" w:rsidRPr="003B2F2A" w:rsidRDefault="009F758F" w:rsidP="004F5C8C">
                            <w:pPr>
                              <w:rPr>
                                <w:sz w:val="18"/>
                                <w:szCs w:val="20"/>
                              </w:rPr>
                            </w:pPr>
                            <w:r w:rsidRPr="003B2F2A">
                              <w:rPr>
                                <w:sz w:val="18"/>
                                <w:szCs w:val="20"/>
                              </w:rPr>
                              <w:t xml:space="preserve">A proposal for a </w:t>
                            </w:r>
                            <w:r w:rsidRPr="003B2F2A">
                              <w:rPr>
                                <w:b/>
                                <w:sz w:val="18"/>
                                <w:szCs w:val="20"/>
                              </w:rPr>
                              <w:t>1.8 million km</w:t>
                            </w:r>
                            <w:r w:rsidRPr="003B2F2A">
                              <w:rPr>
                                <w:b/>
                                <w:sz w:val="18"/>
                                <w:szCs w:val="20"/>
                                <w:vertAlign w:val="superscript"/>
                              </w:rPr>
                              <w:t>2</w:t>
                            </w:r>
                            <w:r w:rsidRPr="003B2F2A">
                              <w:rPr>
                                <w:sz w:val="18"/>
                                <w:szCs w:val="20"/>
                              </w:rPr>
                              <w:t xml:space="preserve"> MPA network in the Weddell Sea (Western Antarctica) was developed by Germany and submitted by the European Union to the </w:t>
                            </w:r>
                            <w:r w:rsidRPr="003B2F2A">
                              <w:rPr>
                                <w:b/>
                                <w:sz w:val="18"/>
                                <w:szCs w:val="20"/>
                              </w:rPr>
                              <w:t>CCAMLR</w:t>
                            </w:r>
                            <w:r>
                              <w:rPr>
                                <w:sz w:val="18"/>
                                <w:szCs w:val="20"/>
                              </w:rPr>
                              <w:t xml:space="preserve">, which will be </w:t>
                            </w:r>
                            <w:r w:rsidRPr="003B2F2A">
                              <w:rPr>
                                <w:sz w:val="18"/>
                                <w:szCs w:val="20"/>
                              </w:rPr>
                              <w:t xml:space="preserve">discussed again at </w:t>
                            </w:r>
                            <w:r>
                              <w:rPr>
                                <w:sz w:val="18"/>
                                <w:szCs w:val="20"/>
                              </w:rPr>
                              <w:t xml:space="preserve">their </w:t>
                            </w:r>
                            <w:r w:rsidRPr="003B2F2A">
                              <w:rPr>
                                <w:sz w:val="18"/>
                                <w:szCs w:val="20"/>
                              </w:rPr>
                              <w:t>October meeting</w:t>
                            </w:r>
                            <w:r>
                              <w:rPr>
                                <w:sz w:val="18"/>
                                <w:szCs w:val="20"/>
                              </w:rPr>
                              <w:t>.</w:t>
                            </w:r>
                          </w:p>
                          <w:p w:rsidR="009F758F" w:rsidRPr="00B61AA7" w:rsidRDefault="009F758F" w:rsidP="004F5C8C">
                            <w:pPr>
                              <w:rPr>
                                <w:sz w:val="18"/>
                                <w:szCs w:val="20"/>
                              </w:rPr>
                            </w:pPr>
                          </w:p>
                          <w:p w:rsidR="009F758F" w:rsidRPr="00915597" w:rsidRDefault="009F758F" w:rsidP="004F5C8C">
                            <w:pPr>
                              <w:rPr>
                                <w:sz w:val="18"/>
                                <w:szCs w:val="20"/>
                              </w:rPr>
                            </w:pPr>
                            <w:r>
                              <w:rPr>
                                <w:b/>
                                <w:sz w:val="18"/>
                                <w:szCs w:val="20"/>
                              </w:rPr>
                              <w:t xml:space="preserve">The </w:t>
                            </w:r>
                            <w:r w:rsidRPr="00B61AA7">
                              <w:rPr>
                                <w:b/>
                                <w:sz w:val="18"/>
                                <w:szCs w:val="20"/>
                              </w:rPr>
                              <w:t xml:space="preserve">United Kingdom </w:t>
                            </w:r>
                            <w:r>
                              <w:rPr>
                                <w:sz w:val="18"/>
                                <w:szCs w:val="20"/>
                              </w:rPr>
                              <w:t>has pr</w:t>
                            </w:r>
                            <w:r w:rsidRPr="00B61AA7">
                              <w:rPr>
                                <w:sz w:val="18"/>
                                <w:szCs w:val="20"/>
                              </w:rPr>
                              <w:t xml:space="preserve">oposals for MPAs </w:t>
                            </w:r>
                            <w:r>
                              <w:rPr>
                                <w:sz w:val="18"/>
                                <w:szCs w:val="20"/>
                              </w:rPr>
                              <w:t xml:space="preserve">around </w:t>
                            </w:r>
                            <w:r w:rsidRPr="00B61AA7">
                              <w:rPr>
                                <w:sz w:val="18"/>
                                <w:szCs w:val="20"/>
                              </w:rPr>
                              <w:t xml:space="preserve">Ascension </w:t>
                            </w:r>
                            <w:r>
                              <w:rPr>
                                <w:sz w:val="18"/>
                                <w:szCs w:val="20"/>
                              </w:rPr>
                              <w:t>I</w:t>
                            </w:r>
                            <w:r w:rsidRPr="00B61AA7">
                              <w:rPr>
                                <w:sz w:val="18"/>
                                <w:szCs w:val="20"/>
                              </w:rPr>
                              <w:t xml:space="preserve">sland (2019) and Tristan de Cunha Island (2020) </w:t>
                            </w:r>
                            <w:r>
                              <w:rPr>
                                <w:sz w:val="18"/>
                                <w:szCs w:val="20"/>
                              </w:rPr>
                              <w:t>which will</w:t>
                            </w:r>
                            <w:r w:rsidRPr="00B61AA7">
                              <w:rPr>
                                <w:sz w:val="18"/>
                                <w:szCs w:val="20"/>
                              </w:rPr>
                              <w:t xml:space="preserve"> add more than </w:t>
                            </w:r>
                            <w:r w:rsidRPr="00155860">
                              <w:rPr>
                                <w:b/>
                                <w:sz w:val="18"/>
                                <w:szCs w:val="20"/>
                              </w:rPr>
                              <w:t>970,000 km</w:t>
                            </w:r>
                            <w:r w:rsidRPr="00155860">
                              <w:rPr>
                                <w:b/>
                                <w:sz w:val="18"/>
                                <w:szCs w:val="20"/>
                                <w:vertAlign w:val="superscript"/>
                              </w:rPr>
                              <w:t>2</w:t>
                            </w:r>
                            <w:r>
                              <w:rPr>
                                <w:sz w:val="18"/>
                                <w:szCs w:val="20"/>
                              </w:rPr>
                              <w:t>.</w:t>
                            </w:r>
                          </w:p>
                          <w:p w:rsidR="009F758F" w:rsidRDefault="009F758F" w:rsidP="004F5C8C">
                            <w:pPr>
                              <w:rPr>
                                <w:b/>
                                <w:sz w:val="18"/>
                                <w:szCs w:val="20"/>
                              </w:rPr>
                            </w:pPr>
                          </w:p>
                          <w:p w:rsidR="009F758F" w:rsidRPr="00915597" w:rsidRDefault="009F758F" w:rsidP="004F5C8C">
                            <w:pPr>
                              <w:rPr>
                                <w:sz w:val="18"/>
                                <w:szCs w:val="20"/>
                              </w:rPr>
                            </w:pPr>
                            <w:r>
                              <w:rPr>
                                <w:sz w:val="18"/>
                                <w:szCs w:val="20"/>
                              </w:rPr>
                              <w:t xml:space="preserve">In </w:t>
                            </w:r>
                            <w:r w:rsidRPr="00B61AA7">
                              <w:rPr>
                                <w:b/>
                                <w:sz w:val="18"/>
                                <w:szCs w:val="20"/>
                              </w:rPr>
                              <w:t>Chile</w:t>
                            </w:r>
                            <w:r>
                              <w:rPr>
                                <w:b/>
                                <w:sz w:val="18"/>
                                <w:szCs w:val="20"/>
                              </w:rPr>
                              <w:t xml:space="preserve">, </w:t>
                            </w:r>
                            <w:r>
                              <w:rPr>
                                <w:sz w:val="18"/>
                                <w:szCs w:val="20"/>
                              </w:rPr>
                              <w:t xml:space="preserve">the addition of the Rapa Nui Marine Park and the </w:t>
                            </w:r>
                            <w:r w:rsidRPr="00B61AA7">
                              <w:rPr>
                                <w:sz w:val="18"/>
                                <w:szCs w:val="20"/>
                              </w:rPr>
                              <w:t>Cape Horn Marine Protected Area</w:t>
                            </w:r>
                            <w:r>
                              <w:rPr>
                                <w:sz w:val="18"/>
                                <w:szCs w:val="20"/>
                              </w:rPr>
                              <w:t xml:space="preserve"> (around the southern tip of Patagonia) would add over </w:t>
                            </w:r>
                            <w:r w:rsidRPr="00915597">
                              <w:rPr>
                                <w:b/>
                                <w:sz w:val="18"/>
                                <w:szCs w:val="20"/>
                              </w:rPr>
                              <w:t>720,000 km</w:t>
                            </w:r>
                            <w:r w:rsidRPr="00915597">
                              <w:rPr>
                                <w:b/>
                                <w:sz w:val="18"/>
                                <w:szCs w:val="20"/>
                                <w:vertAlign w:val="superscript"/>
                              </w:rPr>
                              <w:t>2</w:t>
                            </w:r>
                            <w:r>
                              <w:rPr>
                                <w:sz w:val="18"/>
                                <w:szCs w:val="20"/>
                              </w:rPr>
                              <w:t>.</w:t>
                            </w:r>
                          </w:p>
                          <w:p w:rsidR="009F758F" w:rsidRDefault="009F758F" w:rsidP="004F5C8C">
                            <w:pPr>
                              <w:rPr>
                                <w:b/>
                                <w:sz w:val="18"/>
                                <w:szCs w:val="20"/>
                              </w:rPr>
                            </w:pPr>
                          </w:p>
                          <w:p w:rsidR="009F758F" w:rsidRDefault="009F758F" w:rsidP="004F5C8C">
                            <w:pPr>
                              <w:rPr>
                                <w:sz w:val="18"/>
                                <w:szCs w:val="20"/>
                              </w:rPr>
                            </w:pPr>
                            <w:r>
                              <w:rPr>
                                <w:sz w:val="18"/>
                                <w:szCs w:val="20"/>
                              </w:rPr>
                              <w:t>A</w:t>
                            </w:r>
                            <w:r w:rsidRPr="00B61AA7">
                              <w:rPr>
                                <w:sz w:val="18"/>
                                <w:szCs w:val="20"/>
                              </w:rPr>
                              <w:t>s part of a comprehensive marine spatial plan for its entire EEZ</w:t>
                            </w:r>
                            <w:r>
                              <w:rPr>
                                <w:sz w:val="18"/>
                                <w:szCs w:val="20"/>
                              </w:rPr>
                              <w:t>,</w:t>
                            </w:r>
                            <w:r w:rsidRPr="00B61AA7">
                              <w:rPr>
                                <w:b/>
                                <w:sz w:val="18"/>
                                <w:szCs w:val="20"/>
                              </w:rPr>
                              <w:t xml:space="preserve"> </w:t>
                            </w:r>
                            <w:r>
                              <w:rPr>
                                <w:b/>
                                <w:sz w:val="18"/>
                                <w:szCs w:val="20"/>
                              </w:rPr>
                              <w:t xml:space="preserve">Seychelles </w:t>
                            </w:r>
                            <w:r>
                              <w:rPr>
                                <w:sz w:val="18"/>
                                <w:szCs w:val="20"/>
                              </w:rPr>
                              <w:t xml:space="preserve">plans to designate MPAs </w:t>
                            </w:r>
                            <w:r w:rsidRPr="00B61AA7">
                              <w:rPr>
                                <w:sz w:val="18"/>
                                <w:szCs w:val="20"/>
                              </w:rPr>
                              <w:t>covering 30% of its EEZ (&gt;</w:t>
                            </w:r>
                            <w:r w:rsidRPr="00D92641">
                              <w:rPr>
                                <w:b/>
                                <w:sz w:val="18"/>
                                <w:szCs w:val="20"/>
                              </w:rPr>
                              <w:t>400,000 km</w:t>
                            </w:r>
                            <w:r w:rsidRPr="00D92641">
                              <w:rPr>
                                <w:b/>
                                <w:sz w:val="18"/>
                                <w:szCs w:val="20"/>
                                <w:vertAlign w:val="superscript"/>
                              </w:rPr>
                              <w:t>2</w:t>
                            </w:r>
                            <w:r w:rsidRPr="00B61AA7">
                              <w:rPr>
                                <w:sz w:val="18"/>
                                <w:szCs w:val="20"/>
                              </w:rPr>
                              <w:t xml:space="preserve">) by 2020, via </w:t>
                            </w:r>
                            <w:r>
                              <w:rPr>
                                <w:sz w:val="18"/>
                                <w:szCs w:val="20"/>
                              </w:rPr>
                              <w:t>a debt-for-nature swap.</w:t>
                            </w:r>
                          </w:p>
                          <w:p w:rsidR="009F758F" w:rsidRDefault="009F758F" w:rsidP="004F5C8C">
                            <w:pPr>
                              <w:rPr>
                                <w:sz w:val="18"/>
                                <w:szCs w:val="20"/>
                              </w:rPr>
                            </w:pPr>
                          </w:p>
                          <w:p w:rsidR="009F758F" w:rsidRPr="00D92641" w:rsidRDefault="009F758F" w:rsidP="004F5C8C">
                            <w:pPr>
                              <w:rPr>
                                <w:sz w:val="18"/>
                                <w:szCs w:val="20"/>
                              </w:rPr>
                            </w:pPr>
                            <w:r w:rsidRPr="003B2F2A">
                              <w:rPr>
                                <w:b/>
                                <w:sz w:val="18"/>
                                <w:szCs w:val="20"/>
                              </w:rPr>
                              <w:t>Fiji</w:t>
                            </w:r>
                            <w:r>
                              <w:rPr>
                                <w:b/>
                                <w:sz w:val="18"/>
                                <w:szCs w:val="20"/>
                              </w:rPr>
                              <w:t xml:space="preserve"> </w:t>
                            </w:r>
                            <w:r>
                              <w:rPr>
                                <w:sz w:val="18"/>
                                <w:szCs w:val="20"/>
                              </w:rPr>
                              <w:t>has set the goal of protecting 30% of its marine area (</w:t>
                            </w:r>
                            <w:r>
                              <w:rPr>
                                <w:b/>
                                <w:sz w:val="18"/>
                                <w:szCs w:val="20"/>
                              </w:rPr>
                              <w:t>~375,000 km</w:t>
                            </w:r>
                            <w:r>
                              <w:rPr>
                                <w:b/>
                                <w:sz w:val="18"/>
                                <w:szCs w:val="20"/>
                                <w:vertAlign w:val="superscript"/>
                              </w:rPr>
                              <w:t>2</w:t>
                            </w:r>
                            <w:r>
                              <w:rPr>
                                <w:sz w:val="18"/>
                                <w:szCs w:val="20"/>
                              </w:rPr>
                              <w:t>) by 2020.</w:t>
                            </w:r>
                          </w:p>
                          <w:p w:rsidR="009F758F" w:rsidRDefault="009F758F" w:rsidP="004F5C8C">
                            <w:pPr>
                              <w:rPr>
                                <w:sz w:val="20"/>
                              </w:rPr>
                            </w:pPr>
                          </w:p>
                          <w:p w:rsidR="009F758F" w:rsidRPr="00826FC9" w:rsidRDefault="009F758F" w:rsidP="004F5C8C">
                            <w:pPr>
                              <w:rPr>
                                <w:sz w:val="18"/>
                                <w:szCs w:val="18"/>
                              </w:rPr>
                            </w:pPr>
                            <w:r w:rsidRPr="00826FC9">
                              <w:rPr>
                                <w:b/>
                                <w:sz w:val="18"/>
                                <w:szCs w:val="18"/>
                              </w:rPr>
                              <w:t xml:space="preserve">Source: </w:t>
                            </w:r>
                            <w:r w:rsidRPr="00826FC9">
                              <w:rPr>
                                <w:sz w:val="18"/>
                                <w:szCs w:val="18"/>
                              </w:rPr>
                              <w:t xml:space="preserve">Communications by the Secretariat with National Focal Points. Details regarding all commitments, and sources of information available at: </w:t>
                            </w:r>
                            <w:hyperlink r:id="rId28" w:history="1">
                              <w:r w:rsidRPr="00826FC9">
                                <w:rPr>
                                  <w:rStyle w:val="Hyperlink"/>
                                  <w:sz w:val="18"/>
                                  <w:szCs w:val="18"/>
                                </w:rPr>
                                <w:t>https://www.cbd.int/pa/UN-Ocean-Conference/MPA-commitments.xlsx</w:t>
                              </w:r>
                            </w:hyperlink>
                            <w:r w:rsidRPr="00826FC9">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28E4A8" id="Text Box 16" o:spid="_x0000_s1027" type="#_x0000_t202" style="position:absolute;left:0;text-align:left;margin-left:.55pt;margin-top:2.55pt;width:465.95pt;height:23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" fillcolor="#d8d8d8 [2732]" strokeweight="3.25pt">
                <v:stroke linestyle="thickThin"/>
                <v:path arrowok="t"/>
                <v:textbox>
                  <w:txbxContent>
                    <w:p w:rsidR="009F758F" w:rsidRDefault="009F758F" w:rsidP="004F5C8C">
                      <w:pPr>
                        <w:rPr>
                          <w:b/>
                          <w:sz w:val="20"/>
                          <w:szCs w:val="20"/>
                        </w:rPr>
                      </w:pPr>
                      <w:r>
                        <w:rPr>
                          <w:b/>
                          <w:sz w:val="20"/>
                          <w:szCs w:val="20"/>
                        </w:rPr>
                        <w:t>Box 2: More than 9 million km</w:t>
                      </w:r>
                      <w:r>
                        <w:rPr>
                          <w:b/>
                          <w:sz w:val="20"/>
                          <w:szCs w:val="20"/>
                          <w:vertAlign w:val="superscript"/>
                        </w:rPr>
                        <w:t>2</w:t>
                      </w:r>
                      <w:r>
                        <w:rPr>
                          <w:b/>
                          <w:sz w:val="20"/>
                          <w:szCs w:val="20"/>
                        </w:rPr>
                        <w:t xml:space="preserve"> in proposed large-scale MPAs still to be added.</w:t>
                      </w:r>
                    </w:p>
                    <w:p w:rsidR="009F758F" w:rsidRDefault="009F758F" w:rsidP="004F5C8C">
                      <w:pPr>
                        <w:rPr>
                          <w:b/>
                          <w:sz w:val="20"/>
                          <w:szCs w:val="20"/>
                        </w:rPr>
                      </w:pPr>
                    </w:p>
                    <w:p w:rsidR="009F758F" w:rsidRDefault="009F758F" w:rsidP="004F5C8C">
                      <w:pPr>
                        <w:rPr>
                          <w:sz w:val="18"/>
                          <w:szCs w:val="20"/>
                        </w:rPr>
                      </w:pPr>
                      <w:r w:rsidRPr="00B61AA7">
                        <w:rPr>
                          <w:b/>
                          <w:sz w:val="18"/>
                          <w:szCs w:val="20"/>
                        </w:rPr>
                        <w:t>French Polynesia</w:t>
                      </w:r>
                      <w:r w:rsidRPr="00B61AA7">
                        <w:rPr>
                          <w:sz w:val="18"/>
                          <w:szCs w:val="20"/>
                        </w:rPr>
                        <w:t xml:space="preserve"> plans to create a marine managed area, Taini Atea, covering their entire EEZ (</w:t>
                      </w:r>
                      <w:r w:rsidRPr="00B61AA7">
                        <w:rPr>
                          <w:b/>
                          <w:sz w:val="18"/>
                          <w:szCs w:val="20"/>
                        </w:rPr>
                        <w:t>&gt;4.79 million km</w:t>
                      </w:r>
                      <w:r w:rsidRPr="00B61AA7">
                        <w:rPr>
                          <w:b/>
                          <w:sz w:val="18"/>
                          <w:szCs w:val="20"/>
                          <w:vertAlign w:val="superscript"/>
                        </w:rPr>
                        <w:t>2</w:t>
                      </w:r>
                      <w:r w:rsidRPr="00B61AA7">
                        <w:rPr>
                          <w:sz w:val="18"/>
                          <w:szCs w:val="20"/>
                        </w:rPr>
                        <w:t>), which will be designated in 2018.</w:t>
                      </w:r>
                    </w:p>
                    <w:p w:rsidR="009F758F" w:rsidRDefault="009F758F" w:rsidP="004F5C8C">
                      <w:pPr>
                        <w:rPr>
                          <w:sz w:val="18"/>
                          <w:szCs w:val="20"/>
                        </w:rPr>
                      </w:pPr>
                    </w:p>
                    <w:p w:rsidR="009F758F" w:rsidRPr="003B2F2A" w:rsidRDefault="009F758F" w:rsidP="004F5C8C">
                      <w:pPr>
                        <w:rPr>
                          <w:sz w:val="18"/>
                          <w:szCs w:val="20"/>
                        </w:rPr>
                      </w:pPr>
                      <w:r w:rsidRPr="003B2F2A">
                        <w:rPr>
                          <w:sz w:val="18"/>
                          <w:szCs w:val="20"/>
                        </w:rPr>
                        <w:t xml:space="preserve">A proposal for a </w:t>
                      </w:r>
                      <w:r w:rsidRPr="003B2F2A">
                        <w:rPr>
                          <w:b/>
                          <w:sz w:val="18"/>
                          <w:szCs w:val="20"/>
                        </w:rPr>
                        <w:t>1.8 million km</w:t>
                      </w:r>
                      <w:r w:rsidRPr="003B2F2A">
                        <w:rPr>
                          <w:b/>
                          <w:sz w:val="18"/>
                          <w:szCs w:val="20"/>
                          <w:vertAlign w:val="superscript"/>
                        </w:rPr>
                        <w:t>2</w:t>
                      </w:r>
                      <w:r w:rsidRPr="003B2F2A">
                        <w:rPr>
                          <w:sz w:val="18"/>
                          <w:szCs w:val="20"/>
                        </w:rPr>
                        <w:t xml:space="preserve"> MPA network in the Weddell Sea (Western Antarctica) was developed by Germany and submitted by the European Union to the </w:t>
                      </w:r>
                      <w:r w:rsidRPr="003B2F2A">
                        <w:rPr>
                          <w:b/>
                          <w:sz w:val="18"/>
                          <w:szCs w:val="20"/>
                        </w:rPr>
                        <w:t>CCAMLR</w:t>
                      </w:r>
                      <w:r>
                        <w:rPr>
                          <w:sz w:val="18"/>
                          <w:szCs w:val="20"/>
                        </w:rPr>
                        <w:t xml:space="preserve">, which will be </w:t>
                      </w:r>
                      <w:r w:rsidRPr="003B2F2A">
                        <w:rPr>
                          <w:sz w:val="18"/>
                          <w:szCs w:val="20"/>
                        </w:rPr>
                        <w:t xml:space="preserve">discussed again at </w:t>
                      </w:r>
                      <w:r>
                        <w:rPr>
                          <w:sz w:val="18"/>
                          <w:szCs w:val="20"/>
                        </w:rPr>
                        <w:t xml:space="preserve">their </w:t>
                      </w:r>
                      <w:r w:rsidRPr="003B2F2A">
                        <w:rPr>
                          <w:sz w:val="18"/>
                          <w:szCs w:val="20"/>
                        </w:rPr>
                        <w:t>October meeting</w:t>
                      </w:r>
                      <w:r>
                        <w:rPr>
                          <w:sz w:val="18"/>
                          <w:szCs w:val="20"/>
                        </w:rPr>
                        <w:t>.</w:t>
                      </w:r>
                    </w:p>
                    <w:p w:rsidR="009F758F" w:rsidRPr="00B61AA7" w:rsidRDefault="009F758F" w:rsidP="004F5C8C">
                      <w:pPr>
                        <w:rPr>
                          <w:sz w:val="18"/>
                          <w:szCs w:val="20"/>
                        </w:rPr>
                      </w:pPr>
                    </w:p>
                    <w:p w:rsidR="009F758F" w:rsidRPr="00915597" w:rsidRDefault="009F758F" w:rsidP="004F5C8C">
                      <w:pPr>
                        <w:rPr>
                          <w:sz w:val="18"/>
                          <w:szCs w:val="20"/>
                        </w:rPr>
                      </w:pPr>
                      <w:r>
                        <w:rPr>
                          <w:b/>
                          <w:sz w:val="18"/>
                          <w:szCs w:val="20"/>
                        </w:rPr>
                        <w:t xml:space="preserve">The </w:t>
                      </w:r>
                      <w:r w:rsidRPr="00B61AA7">
                        <w:rPr>
                          <w:b/>
                          <w:sz w:val="18"/>
                          <w:szCs w:val="20"/>
                        </w:rPr>
                        <w:t xml:space="preserve">United Kingdom </w:t>
                      </w:r>
                      <w:r>
                        <w:rPr>
                          <w:sz w:val="18"/>
                          <w:szCs w:val="20"/>
                        </w:rPr>
                        <w:t>has pr</w:t>
                      </w:r>
                      <w:r w:rsidRPr="00B61AA7">
                        <w:rPr>
                          <w:sz w:val="18"/>
                          <w:szCs w:val="20"/>
                        </w:rPr>
                        <w:t xml:space="preserve">oposals for MPAs </w:t>
                      </w:r>
                      <w:r>
                        <w:rPr>
                          <w:sz w:val="18"/>
                          <w:szCs w:val="20"/>
                        </w:rPr>
                        <w:t xml:space="preserve">around </w:t>
                      </w:r>
                      <w:r w:rsidRPr="00B61AA7">
                        <w:rPr>
                          <w:sz w:val="18"/>
                          <w:szCs w:val="20"/>
                        </w:rPr>
                        <w:t xml:space="preserve">Ascension </w:t>
                      </w:r>
                      <w:r>
                        <w:rPr>
                          <w:sz w:val="18"/>
                          <w:szCs w:val="20"/>
                        </w:rPr>
                        <w:t>I</w:t>
                      </w:r>
                      <w:r w:rsidRPr="00B61AA7">
                        <w:rPr>
                          <w:sz w:val="18"/>
                          <w:szCs w:val="20"/>
                        </w:rPr>
                        <w:t xml:space="preserve">sland (2019) and Tristan de Cunha Island (2020) </w:t>
                      </w:r>
                      <w:r>
                        <w:rPr>
                          <w:sz w:val="18"/>
                          <w:szCs w:val="20"/>
                        </w:rPr>
                        <w:t>which will</w:t>
                      </w:r>
                      <w:r w:rsidRPr="00B61AA7">
                        <w:rPr>
                          <w:sz w:val="18"/>
                          <w:szCs w:val="20"/>
                        </w:rPr>
                        <w:t xml:space="preserve"> add more than </w:t>
                      </w:r>
                      <w:r w:rsidRPr="00155860">
                        <w:rPr>
                          <w:b/>
                          <w:sz w:val="18"/>
                          <w:szCs w:val="20"/>
                        </w:rPr>
                        <w:t>970,000 km</w:t>
                      </w:r>
                      <w:r w:rsidRPr="00155860">
                        <w:rPr>
                          <w:b/>
                          <w:sz w:val="18"/>
                          <w:szCs w:val="20"/>
                          <w:vertAlign w:val="superscript"/>
                        </w:rPr>
                        <w:t>2</w:t>
                      </w:r>
                      <w:r>
                        <w:rPr>
                          <w:sz w:val="18"/>
                          <w:szCs w:val="20"/>
                        </w:rPr>
                        <w:t>.</w:t>
                      </w:r>
                    </w:p>
                    <w:p w:rsidR="009F758F" w:rsidRDefault="009F758F" w:rsidP="004F5C8C">
                      <w:pPr>
                        <w:rPr>
                          <w:b/>
                          <w:sz w:val="18"/>
                          <w:szCs w:val="20"/>
                        </w:rPr>
                      </w:pPr>
                    </w:p>
                    <w:p w:rsidR="009F758F" w:rsidRPr="00915597" w:rsidRDefault="009F758F" w:rsidP="004F5C8C">
                      <w:pPr>
                        <w:rPr>
                          <w:sz w:val="18"/>
                          <w:szCs w:val="20"/>
                        </w:rPr>
                      </w:pPr>
                      <w:r>
                        <w:rPr>
                          <w:sz w:val="18"/>
                          <w:szCs w:val="20"/>
                        </w:rPr>
                        <w:t xml:space="preserve">In </w:t>
                      </w:r>
                      <w:r w:rsidRPr="00B61AA7">
                        <w:rPr>
                          <w:b/>
                          <w:sz w:val="18"/>
                          <w:szCs w:val="20"/>
                        </w:rPr>
                        <w:t>Chile</w:t>
                      </w:r>
                      <w:r>
                        <w:rPr>
                          <w:b/>
                          <w:sz w:val="18"/>
                          <w:szCs w:val="20"/>
                        </w:rPr>
                        <w:t xml:space="preserve">, </w:t>
                      </w:r>
                      <w:r>
                        <w:rPr>
                          <w:sz w:val="18"/>
                          <w:szCs w:val="20"/>
                        </w:rPr>
                        <w:t xml:space="preserve">the addition of the Rapa Nui Marine Park and the </w:t>
                      </w:r>
                      <w:r w:rsidRPr="00B61AA7">
                        <w:rPr>
                          <w:sz w:val="18"/>
                          <w:szCs w:val="20"/>
                        </w:rPr>
                        <w:t>Cape Horn Marine Protected Area</w:t>
                      </w:r>
                      <w:r>
                        <w:rPr>
                          <w:sz w:val="18"/>
                          <w:szCs w:val="20"/>
                        </w:rPr>
                        <w:t xml:space="preserve"> (around the southern tip of Patagonia) would add over </w:t>
                      </w:r>
                      <w:r w:rsidRPr="00915597">
                        <w:rPr>
                          <w:b/>
                          <w:sz w:val="18"/>
                          <w:szCs w:val="20"/>
                        </w:rPr>
                        <w:t>720,000 km</w:t>
                      </w:r>
                      <w:r w:rsidRPr="00915597">
                        <w:rPr>
                          <w:b/>
                          <w:sz w:val="18"/>
                          <w:szCs w:val="20"/>
                          <w:vertAlign w:val="superscript"/>
                        </w:rPr>
                        <w:t>2</w:t>
                      </w:r>
                      <w:r>
                        <w:rPr>
                          <w:sz w:val="18"/>
                          <w:szCs w:val="20"/>
                        </w:rPr>
                        <w:t>.</w:t>
                      </w:r>
                    </w:p>
                    <w:p w:rsidR="009F758F" w:rsidRDefault="009F758F" w:rsidP="004F5C8C">
                      <w:pPr>
                        <w:rPr>
                          <w:b/>
                          <w:sz w:val="18"/>
                          <w:szCs w:val="20"/>
                        </w:rPr>
                      </w:pPr>
                    </w:p>
                    <w:p w:rsidR="009F758F" w:rsidRDefault="009F758F" w:rsidP="004F5C8C">
                      <w:pPr>
                        <w:rPr>
                          <w:sz w:val="18"/>
                          <w:szCs w:val="20"/>
                        </w:rPr>
                      </w:pPr>
                      <w:r>
                        <w:rPr>
                          <w:sz w:val="18"/>
                          <w:szCs w:val="20"/>
                        </w:rPr>
                        <w:t>A</w:t>
                      </w:r>
                      <w:r w:rsidRPr="00B61AA7">
                        <w:rPr>
                          <w:sz w:val="18"/>
                          <w:szCs w:val="20"/>
                        </w:rPr>
                        <w:t>s part of a comprehensive marine spatial plan for its entire EEZ</w:t>
                      </w:r>
                      <w:r>
                        <w:rPr>
                          <w:sz w:val="18"/>
                          <w:szCs w:val="20"/>
                        </w:rPr>
                        <w:t>,</w:t>
                      </w:r>
                      <w:r w:rsidRPr="00B61AA7">
                        <w:rPr>
                          <w:b/>
                          <w:sz w:val="18"/>
                          <w:szCs w:val="20"/>
                        </w:rPr>
                        <w:t xml:space="preserve"> </w:t>
                      </w:r>
                      <w:r>
                        <w:rPr>
                          <w:b/>
                          <w:sz w:val="18"/>
                          <w:szCs w:val="20"/>
                        </w:rPr>
                        <w:t xml:space="preserve">Seychelles </w:t>
                      </w:r>
                      <w:r>
                        <w:rPr>
                          <w:sz w:val="18"/>
                          <w:szCs w:val="20"/>
                        </w:rPr>
                        <w:t xml:space="preserve">plans to designate MPAs </w:t>
                      </w:r>
                      <w:r w:rsidRPr="00B61AA7">
                        <w:rPr>
                          <w:sz w:val="18"/>
                          <w:szCs w:val="20"/>
                        </w:rPr>
                        <w:t>covering 30% of its EEZ (&gt;</w:t>
                      </w:r>
                      <w:r w:rsidRPr="00D92641">
                        <w:rPr>
                          <w:b/>
                          <w:sz w:val="18"/>
                          <w:szCs w:val="20"/>
                        </w:rPr>
                        <w:t>400,000 km</w:t>
                      </w:r>
                      <w:r w:rsidRPr="00D92641">
                        <w:rPr>
                          <w:b/>
                          <w:sz w:val="18"/>
                          <w:szCs w:val="20"/>
                          <w:vertAlign w:val="superscript"/>
                        </w:rPr>
                        <w:t>2</w:t>
                      </w:r>
                      <w:r w:rsidRPr="00B61AA7">
                        <w:rPr>
                          <w:sz w:val="18"/>
                          <w:szCs w:val="20"/>
                        </w:rPr>
                        <w:t xml:space="preserve">) by 2020, via </w:t>
                      </w:r>
                      <w:r>
                        <w:rPr>
                          <w:sz w:val="18"/>
                          <w:szCs w:val="20"/>
                        </w:rPr>
                        <w:t>a debt-for-nature swap.</w:t>
                      </w:r>
                    </w:p>
                    <w:p w:rsidR="009F758F" w:rsidRDefault="009F758F" w:rsidP="004F5C8C">
                      <w:pPr>
                        <w:rPr>
                          <w:sz w:val="18"/>
                          <w:szCs w:val="20"/>
                        </w:rPr>
                      </w:pPr>
                    </w:p>
                    <w:p w:rsidR="009F758F" w:rsidRPr="00D92641" w:rsidRDefault="009F758F" w:rsidP="004F5C8C">
                      <w:pPr>
                        <w:rPr>
                          <w:sz w:val="18"/>
                          <w:szCs w:val="20"/>
                        </w:rPr>
                      </w:pPr>
                      <w:r w:rsidRPr="003B2F2A">
                        <w:rPr>
                          <w:b/>
                          <w:sz w:val="18"/>
                          <w:szCs w:val="20"/>
                        </w:rPr>
                        <w:t>Fiji</w:t>
                      </w:r>
                      <w:r>
                        <w:rPr>
                          <w:b/>
                          <w:sz w:val="18"/>
                          <w:szCs w:val="20"/>
                        </w:rPr>
                        <w:t xml:space="preserve"> </w:t>
                      </w:r>
                      <w:r>
                        <w:rPr>
                          <w:sz w:val="18"/>
                          <w:szCs w:val="20"/>
                        </w:rPr>
                        <w:t>has set the goal of protecting 30% of its marine area (</w:t>
                      </w:r>
                      <w:r>
                        <w:rPr>
                          <w:b/>
                          <w:sz w:val="18"/>
                          <w:szCs w:val="20"/>
                        </w:rPr>
                        <w:t>~375,000 km</w:t>
                      </w:r>
                      <w:r>
                        <w:rPr>
                          <w:b/>
                          <w:sz w:val="18"/>
                          <w:szCs w:val="20"/>
                          <w:vertAlign w:val="superscript"/>
                        </w:rPr>
                        <w:t>2</w:t>
                      </w:r>
                      <w:r>
                        <w:rPr>
                          <w:sz w:val="18"/>
                          <w:szCs w:val="20"/>
                        </w:rPr>
                        <w:t>) by 2020.</w:t>
                      </w:r>
                    </w:p>
                    <w:p w:rsidR="009F758F" w:rsidRDefault="009F758F" w:rsidP="004F5C8C">
                      <w:pPr>
                        <w:rPr>
                          <w:sz w:val="20"/>
                        </w:rPr>
                      </w:pPr>
                    </w:p>
                    <w:p w:rsidR="009F758F" w:rsidRPr="00826FC9" w:rsidRDefault="009F758F" w:rsidP="004F5C8C">
                      <w:pPr>
                        <w:rPr>
                          <w:sz w:val="18"/>
                          <w:szCs w:val="18"/>
                        </w:rPr>
                      </w:pPr>
                      <w:r w:rsidRPr="00826FC9">
                        <w:rPr>
                          <w:b/>
                          <w:sz w:val="18"/>
                          <w:szCs w:val="18"/>
                        </w:rPr>
                        <w:t xml:space="preserve">Source: </w:t>
                      </w:r>
                      <w:r w:rsidRPr="00826FC9">
                        <w:rPr>
                          <w:sz w:val="18"/>
                          <w:szCs w:val="18"/>
                        </w:rPr>
                        <w:t xml:space="preserve">Communications by the Secretariat with National Focal Points. Details regarding all commitments, and sources of information available at: </w:t>
                      </w:r>
                      <w:hyperlink r:id="rId29" w:history="1">
                        <w:r w:rsidRPr="00826FC9">
                          <w:rPr>
                            <w:rStyle w:val="Hyperlink"/>
                            <w:sz w:val="18"/>
                            <w:szCs w:val="18"/>
                          </w:rPr>
                          <w:t>https://www.cbd.int/pa/UN-Ocean-Conference/MPA-commitments.xlsx</w:t>
                        </w:r>
                      </w:hyperlink>
                      <w:r w:rsidRPr="00826FC9">
                        <w:rPr>
                          <w:sz w:val="18"/>
                          <w:szCs w:val="18"/>
                        </w:rPr>
                        <w:t xml:space="preserve">. </w:t>
                      </w:r>
                    </w:p>
                  </w:txbxContent>
                </v:textbox>
              </v:shape>
            </w:pict>
          </mc:Fallback>
        </mc:AlternateContent>
      </w:r>
    </w:p>
    <w:p w:rsidR="0054271B" w:rsidRDefault="0054271B" w:rsidP="0054271B">
      <w:pPr>
        <w:widowControl w:val="0"/>
        <w:autoSpaceDE w:val="0"/>
        <w:autoSpaceDN w:val="0"/>
        <w:adjustRightInd w:val="0"/>
        <w:spacing w:before="120" w:after="120"/>
        <w:jc w:val="center"/>
        <w:rPr>
          <w:rFonts w:cs="Times New Roman"/>
          <w:sz w:val="20"/>
          <w:szCs w:val="20"/>
          <w:lang w:val="en-US"/>
        </w:rPr>
      </w:pPr>
    </w:p>
    <w:p w:rsidR="00826FC9" w:rsidRDefault="00826FC9" w:rsidP="00832EC3">
      <w:pPr>
        <w:pStyle w:val="Para1"/>
      </w:pPr>
    </w:p>
    <w:p w:rsidR="00826FC9" w:rsidRDefault="00826FC9" w:rsidP="00832EC3">
      <w:pPr>
        <w:pStyle w:val="Para1"/>
      </w:pPr>
    </w:p>
    <w:p w:rsidR="00826FC9" w:rsidRDefault="00826FC9" w:rsidP="00832EC3">
      <w:pPr>
        <w:pStyle w:val="Para1"/>
      </w:pPr>
    </w:p>
    <w:p w:rsidR="00826FC9" w:rsidRDefault="00826FC9" w:rsidP="00832EC3">
      <w:pPr>
        <w:pStyle w:val="Para1"/>
      </w:pPr>
    </w:p>
    <w:p w:rsidR="00826FC9" w:rsidRDefault="00826FC9" w:rsidP="00832EC3">
      <w:pPr>
        <w:pStyle w:val="Para1"/>
      </w:pPr>
    </w:p>
    <w:p w:rsidR="00826FC9" w:rsidRDefault="00826FC9" w:rsidP="00832EC3">
      <w:pPr>
        <w:pStyle w:val="Para1"/>
      </w:pPr>
    </w:p>
    <w:p w:rsidR="00826FC9" w:rsidRDefault="00826FC9" w:rsidP="00832EC3">
      <w:pPr>
        <w:pStyle w:val="Para1"/>
      </w:pPr>
    </w:p>
    <w:p w:rsidR="00826FC9" w:rsidRDefault="00826FC9" w:rsidP="00832EC3">
      <w:pPr>
        <w:pStyle w:val="Para1"/>
      </w:pPr>
    </w:p>
    <w:p w:rsidR="00826FC9" w:rsidRDefault="00826FC9" w:rsidP="00832EC3">
      <w:pPr>
        <w:pStyle w:val="Para1"/>
      </w:pPr>
    </w:p>
    <w:p w:rsidR="00826FC9" w:rsidRDefault="00826FC9" w:rsidP="00832EC3">
      <w:pPr>
        <w:pStyle w:val="Para1"/>
      </w:pPr>
    </w:p>
    <w:p w:rsidR="00826FC9" w:rsidRDefault="00826FC9" w:rsidP="00832EC3">
      <w:pPr>
        <w:pStyle w:val="Para1"/>
      </w:pPr>
    </w:p>
    <w:p w:rsidR="00832EC3" w:rsidRDefault="008471D0" w:rsidP="00832EC3">
      <w:pPr>
        <w:pStyle w:val="Para1"/>
      </w:pPr>
      <w:r w:rsidRPr="008471D0">
        <w:t>It has been noted that there are some categories of protected areas which may be under-reported to the WDPA, for</w:t>
      </w:r>
      <w:r>
        <w:t xml:space="preserve"> example privately protected areas</w:t>
      </w:r>
      <w:r>
        <w:rPr>
          <w:rStyle w:val="FootnoteReference"/>
        </w:rPr>
        <w:footnoteReference w:id="17"/>
      </w:r>
      <w:r>
        <w:t xml:space="preserve"> and territories and areas conserved by indigenous peoples and local communities (ICCAs).</w:t>
      </w:r>
      <w:r>
        <w:rPr>
          <w:rStyle w:val="FootnoteReference"/>
        </w:rPr>
        <w:footnoteReference w:id="18"/>
      </w:r>
      <w:r>
        <w:t xml:space="preserve"> </w:t>
      </w:r>
      <w:r w:rsidR="00CB2105">
        <w:t>T</w:t>
      </w:r>
      <w:r>
        <w:t xml:space="preserve">he Programme of Work on Protected Areas and successive decisions of </w:t>
      </w:r>
      <w:r w:rsidR="00832EC3">
        <w:t>the COP</w:t>
      </w:r>
      <w:r>
        <w:t xml:space="preserve"> (</w:t>
      </w:r>
      <w:r w:rsidR="00832EC3">
        <w:t xml:space="preserve">e.g. Decisions </w:t>
      </w:r>
      <w:hyperlink r:id="rId30" w:history="1">
        <w:r w:rsidRPr="00E6384B">
          <w:rPr>
            <w:rStyle w:val="Hyperlink"/>
          </w:rPr>
          <w:t>IX/1</w:t>
        </w:r>
        <w:r w:rsidR="00E6384B" w:rsidRPr="00E6384B">
          <w:rPr>
            <w:rStyle w:val="Hyperlink"/>
          </w:rPr>
          <w:t>8</w:t>
        </w:r>
      </w:hyperlink>
      <w:r>
        <w:t xml:space="preserve"> and </w:t>
      </w:r>
      <w:hyperlink r:id="rId31" w:history="1">
        <w:r w:rsidRPr="00E6384B">
          <w:rPr>
            <w:rStyle w:val="Hyperlink"/>
          </w:rPr>
          <w:t>X/31</w:t>
        </w:r>
      </w:hyperlink>
      <w:r>
        <w:t xml:space="preserve">) </w:t>
      </w:r>
      <w:r w:rsidR="00832EC3">
        <w:t xml:space="preserve">have </w:t>
      </w:r>
      <w:r>
        <w:t>accord</w:t>
      </w:r>
      <w:r w:rsidR="00832EC3">
        <w:t>ed</w:t>
      </w:r>
      <w:r>
        <w:t xml:space="preserve"> recognition to private</w:t>
      </w:r>
      <w:r w:rsidR="00CB2105">
        <w:t>ly</w:t>
      </w:r>
      <w:r>
        <w:t xml:space="preserve"> protected areas and ICCAs</w:t>
      </w:r>
      <w:r w:rsidR="00CB2105">
        <w:t>. D</w:t>
      </w:r>
      <w:r>
        <w:t xml:space="preserve">ue </w:t>
      </w:r>
      <w:r w:rsidR="00832EC3">
        <w:t xml:space="preserve">in part to the </w:t>
      </w:r>
      <w:r w:rsidR="00832EC3" w:rsidRPr="00832EC3">
        <w:t>national reporting</w:t>
      </w:r>
      <w:r w:rsidR="00E12986">
        <w:t xml:space="preserve"> process by which most sites are added to the WDPA,</w:t>
      </w:r>
      <w:r w:rsidR="00FF6A1D">
        <w:rPr>
          <w:rStyle w:val="FootnoteReference"/>
        </w:rPr>
        <w:footnoteReference w:id="19"/>
      </w:r>
      <w:r w:rsidR="00E12986">
        <w:t xml:space="preserve"> it is possible that many </w:t>
      </w:r>
      <w:r w:rsidR="00CB2105">
        <w:t xml:space="preserve">of these </w:t>
      </w:r>
      <w:r w:rsidR="00E12986">
        <w:t xml:space="preserve">existing </w:t>
      </w:r>
      <w:r w:rsidR="00CB2105">
        <w:t>sites</w:t>
      </w:r>
      <w:r w:rsidR="00E12986">
        <w:t xml:space="preserve"> are not currently </w:t>
      </w:r>
      <w:r w:rsidR="00BE2606">
        <w:t>recorded</w:t>
      </w:r>
      <w:r w:rsidR="00E6384B">
        <w:t>.</w:t>
      </w:r>
      <w:r w:rsidR="00FF6A1D">
        <w:t xml:space="preserve"> </w:t>
      </w:r>
    </w:p>
    <w:p w:rsidR="00AC1D11" w:rsidRDefault="007E68EB" w:rsidP="007E68EB">
      <w:pPr>
        <w:pStyle w:val="Para1"/>
      </w:pPr>
      <w:r w:rsidRPr="000002B0">
        <w:t xml:space="preserve">One study, carried out in 64 countries, </w:t>
      </w:r>
      <w:r w:rsidRPr="000879C1">
        <w:t>finds that 1.9 billion hectares</w:t>
      </w:r>
      <w:r w:rsidR="000879C1" w:rsidRPr="000879C1">
        <w:t xml:space="preserve"> of</w:t>
      </w:r>
      <w:r w:rsidR="000879C1">
        <w:t xml:space="preserve"> land</w:t>
      </w:r>
      <w:r w:rsidRPr="000002B0">
        <w:t xml:space="preserve"> is designated for or </w:t>
      </w:r>
      <w:r w:rsidR="008A24A6">
        <w:t>o</w:t>
      </w:r>
      <w:r w:rsidRPr="000002B0">
        <w:t>wned by Indigenous Peoples and Local Communities (IPLC).</w:t>
      </w:r>
      <w:r w:rsidRPr="000002B0">
        <w:rPr>
          <w:rStyle w:val="FootnoteReference"/>
        </w:rPr>
        <w:footnoteReference w:id="20"/>
      </w:r>
      <w:r w:rsidRPr="000002B0">
        <w:t xml:space="preserve"> </w:t>
      </w:r>
      <w:r w:rsidR="001E4710" w:rsidRPr="000002B0">
        <w:t xml:space="preserve">By </w:t>
      </w:r>
      <w:r w:rsidRPr="000002B0">
        <w:t xml:space="preserve">another </w:t>
      </w:r>
      <w:r w:rsidR="001E4710" w:rsidRPr="000002B0">
        <w:t xml:space="preserve">estimate, as much as </w:t>
      </w:r>
      <w:r w:rsidR="00B65C52" w:rsidRPr="000002B0">
        <w:t>8.5</w:t>
      </w:r>
      <w:r w:rsidR="002349D4" w:rsidRPr="000002B0">
        <w:t xml:space="preserve"> billion hectares </w:t>
      </w:r>
      <w:r w:rsidR="001E4710" w:rsidRPr="000002B0">
        <w:t>of the world’s terrestrial s</w:t>
      </w:r>
      <w:r w:rsidR="002349D4" w:rsidRPr="000002B0">
        <w:t xml:space="preserve">urface could be considered as </w:t>
      </w:r>
      <w:r w:rsidRPr="000002B0">
        <w:t>potential commons, and “may be presumed to be the property of rural communities under customary norms.”</w:t>
      </w:r>
      <w:r w:rsidR="00E6384B" w:rsidRPr="000002B0">
        <w:rPr>
          <w:rStyle w:val="FootnoteReference"/>
        </w:rPr>
        <w:footnoteReference w:id="21"/>
      </w:r>
      <w:r w:rsidR="00832EC3" w:rsidRPr="000002B0">
        <w:t xml:space="preserve"> </w:t>
      </w:r>
      <w:r w:rsidR="00B65C52" w:rsidRPr="000002B0">
        <w:t xml:space="preserve">Some of this area falls under existing protected areas, both state-owned and those under other governance </w:t>
      </w:r>
      <w:r w:rsidR="00B65C52" w:rsidRPr="00B52294">
        <w:t>arrangements.</w:t>
      </w:r>
      <w:r w:rsidR="004C6B3E" w:rsidRPr="00B52294">
        <w:rPr>
          <w:rStyle w:val="FootnoteReference"/>
        </w:rPr>
        <w:footnoteReference w:id="22"/>
      </w:r>
      <w:r w:rsidR="00B65C52" w:rsidRPr="00B52294">
        <w:t xml:space="preserve"> </w:t>
      </w:r>
      <w:r w:rsidR="001E4710" w:rsidRPr="00B52294">
        <w:t xml:space="preserve">While </w:t>
      </w:r>
      <w:r w:rsidR="00832EC3" w:rsidRPr="00B52294">
        <w:t xml:space="preserve">not all of </w:t>
      </w:r>
      <w:r w:rsidR="00476A0E" w:rsidRPr="00B52294">
        <w:t>the remaining</w:t>
      </w:r>
      <w:r w:rsidR="00832EC3" w:rsidRPr="00B52294">
        <w:t xml:space="preserve"> area would qualify as ICCA</w:t>
      </w:r>
      <w:r w:rsidRPr="00B52294">
        <w:t>s</w:t>
      </w:r>
      <w:r w:rsidR="00832EC3" w:rsidRPr="00B52294">
        <w:t>, some portion of it certainly does</w:t>
      </w:r>
      <w:r w:rsidR="000002B0" w:rsidRPr="00B52294">
        <w:t xml:space="preserve">, and would make a </w:t>
      </w:r>
      <w:r w:rsidR="004464C8" w:rsidRPr="00B52294">
        <w:t xml:space="preserve">substantial </w:t>
      </w:r>
      <w:r w:rsidR="000002B0" w:rsidRPr="00B52294">
        <w:t>contribution to</w:t>
      </w:r>
      <w:r w:rsidR="004464C8" w:rsidRPr="00B52294">
        <w:t xml:space="preserve"> both quantitative and qualitative elements of</w:t>
      </w:r>
      <w:r w:rsidR="000002B0" w:rsidRPr="00B52294">
        <w:t xml:space="preserve"> Target 11</w:t>
      </w:r>
      <w:r w:rsidR="00832EC3" w:rsidRPr="00B52294">
        <w:t>.</w:t>
      </w:r>
      <w:r w:rsidR="000002B0" w:rsidRPr="000002B0">
        <w:t xml:space="preserve"> However, t</w:t>
      </w:r>
      <w:r w:rsidRPr="000002B0">
        <w:t xml:space="preserve">he aim needs to be not just </w:t>
      </w:r>
      <w:r w:rsidR="000002B0" w:rsidRPr="000002B0">
        <w:t>to</w:t>
      </w:r>
      <w:r w:rsidRPr="000002B0">
        <w:t xml:space="preserve"> identify and report on these areas, but to recognise, respect and support them in a way that strengthens or establishes the governance and management rights of the relevant communities, and in ways that do not undermine the diversity of governance mechanisms that exist (see </w:t>
      </w:r>
      <w:r w:rsidR="000002B0" w:rsidRPr="000002B0">
        <w:t>s</w:t>
      </w:r>
      <w:r w:rsidRPr="000002B0">
        <w:t xml:space="preserve">ection </w:t>
      </w:r>
      <w:r w:rsidRPr="008F6D53">
        <w:t>III.G</w:t>
      </w:r>
      <w:r w:rsidRPr="000002B0">
        <w:t>)</w:t>
      </w:r>
      <w:r w:rsidR="000002B0" w:rsidRPr="000002B0">
        <w:t>.</w:t>
      </w:r>
      <w:r w:rsidRPr="000002B0">
        <w:t xml:space="preserve"> Custodian </w:t>
      </w:r>
      <w:r w:rsidR="000002B0" w:rsidRPr="000002B0">
        <w:t xml:space="preserve">IPLCs </w:t>
      </w:r>
      <w:r w:rsidRPr="000002B0">
        <w:t>need appropriate recognition of their collective rights and responsibilities to land, water and natural resources—</w:t>
      </w:r>
      <w:r w:rsidR="00556312">
        <w:lastRenderedPageBreak/>
        <w:t>for</w:t>
      </w:r>
      <w:r w:rsidRPr="000002B0">
        <w:t xml:space="preserve"> which secure collective land tenure is the backbone</w:t>
      </w:r>
      <w:r w:rsidR="000002B0" w:rsidRPr="000002B0">
        <w:t>; and in all cases they need</w:t>
      </w:r>
      <w:r w:rsidRPr="000002B0">
        <w:t xml:space="preserve"> the capacity to exercise their </w:t>
      </w:r>
      <w:r w:rsidR="004A1978">
        <w:t>free, prior and i</w:t>
      </w:r>
      <w:r w:rsidRPr="000002B0">
        <w:t>nformed</w:t>
      </w:r>
      <w:r w:rsidR="004A1978">
        <w:t xml:space="preserve"> c</w:t>
      </w:r>
      <w:r w:rsidR="000002B0" w:rsidRPr="000002B0">
        <w:t>onsent</w:t>
      </w:r>
      <w:r w:rsidRPr="000002B0">
        <w:t>.</w:t>
      </w:r>
      <w:r w:rsidR="000002B0" w:rsidRPr="000002B0">
        <w:t xml:space="preserve"> </w:t>
      </w:r>
      <w:r w:rsidR="004464C8">
        <w:t xml:space="preserve">The </w:t>
      </w:r>
      <w:r w:rsidR="000002B0" w:rsidRPr="000002B0">
        <w:t>CBD</w:t>
      </w:r>
      <w:r w:rsidR="000002B0">
        <w:t xml:space="preserve"> </w:t>
      </w:r>
      <w:r w:rsidR="004464C8">
        <w:t>has provided guidance in this regard over the years.</w:t>
      </w:r>
    </w:p>
    <w:p w:rsidR="00832EC3" w:rsidRDefault="00832EC3" w:rsidP="00832EC3">
      <w:pPr>
        <w:pStyle w:val="Para1"/>
      </w:pPr>
      <w:r w:rsidRPr="005D2F4D">
        <w:t>Other effective area-based conservation measures (OECMs) also provide opportunity to improve the coverage of both terrestrial and marine areas</w:t>
      </w:r>
      <w:r w:rsidR="004464C8">
        <w:t>, with implications for all qualitative elements</w:t>
      </w:r>
      <w:r w:rsidRPr="005D2F4D">
        <w:t xml:space="preserve">, and will be discussed further in </w:t>
      </w:r>
      <w:r w:rsidRPr="007F5C56">
        <w:rPr>
          <w:b/>
        </w:rPr>
        <w:t>section</w:t>
      </w:r>
      <w:r w:rsidRPr="005D2F4D">
        <w:t xml:space="preserve"> </w:t>
      </w:r>
      <w:r w:rsidRPr="005D2F4D">
        <w:rPr>
          <w:b/>
        </w:rPr>
        <w:t>I</w:t>
      </w:r>
      <w:r w:rsidR="00C80E29">
        <w:rPr>
          <w:b/>
        </w:rPr>
        <w:t>V</w:t>
      </w:r>
      <w:r w:rsidR="004464C8" w:rsidRPr="004464C8">
        <w:t>.</w:t>
      </w:r>
    </w:p>
    <w:p w:rsidR="003E5ACE" w:rsidRPr="00A208AF" w:rsidRDefault="0054271B" w:rsidP="00F44E90">
      <w:pPr>
        <w:pStyle w:val="Heading1"/>
        <w:numPr>
          <w:ilvl w:val="0"/>
          <w:numId w:val="9"/>
        </w:numPr>
      </w:pPr>
      <w:r w:rsidRPr="00A208AF">
        <w:t>Qualitative Elements</w:t>
      </w:r>
    </w:p>
    <w:p w:rsidR="00D17FE3" w:rsidRDefault="009859A9" w:rsidP="009859A9">
      <w:pPr>
        <w:pStyle w:val="Para1"/>
      </w:pPr>
      <w:r w:rsidRPr="009859A9">
        <w:t>With the rapid growth in protected areas in recent years, there is some concern being raised that the most important areas for biodiversity in terms of their values and threats are not being conserved.</w:t>
      </w:r>
      <w:r w:rsidRPr="009859A9">
        <w:rPr>
          <w:vertAlign w:val="superscript"/>
        </w:rPr>
        <w:footnoteReference w:id="23"/>
      </w:r>
      <w:r w:rsidRPr="009859A9">
        <w:t xml:space="preserve"> To address these concerns, there will need to be increased efforts to ensure progress in all of Target 11’s qualitative elements, namely: ecological representation, the coverage of areas important for biodiversity and ecosystem services, connectivity, integration into the wider landscapes and seascapes, and effective and equitable management. Given the indivisible nature of the target, for successful achievement, progress is needed on all of its elements, not only the quantitative aspects.</w:t>
      </w:r>
    </w:p>
    <w:p w:rsidR="000D559E" w:rsidRDefault="000D559E" w:rsidP="00F44E90">
      <w:pPr>
        <w:pStyle w:val="Heading2"/>
        <w:numPr>
          <w:ilvl w:val="0"/>
          <w:numId w:val="8"/>
        </w:numPr>
        <w:rPr>
          <w:rFonts w:cs="Times New Roman"/>
        </w:rPr>
      </w:pPr>
      <w:r w:rsidRPr="00576654">
        <w:rPr>
          <w:rFonts w:cs="Times New Roman"/>
        </w:rPr>
        <w:t xml:space="preserve">Ecological representation </w:t>
      </w:r>
    </w:p>
    <w:tbl>
      <w:tblPr>
        <w:tblW w:w="9558" w:type="dxa"/>
        <w:tblLook w:val="04A0" w:firstRow="1" w:lastRow="0" w:firstColumn="1" w:lastColumn="0" w:noHBand="0" w:noVBand="1"/>
      </w:tblPr>
      <w:tblGrid>
        <w:gridCol w:w="1368"/>
        <w:gridCol w:w="1980"/>
        <w:gridCol w:w="2070"/>
        <w:gridCol w:w="1980"/>
        <w:gridCol w:w="2160"/>
      </w:tblGrid>
      <w:tr w:rsidR="00B13214" w:rsidRPr="00BD6B4B" w:rsidTr="009C7723">
        <w:tc>
          <w:tcPr>
            <w:tcW w:w="3348" w:type="dxa"/>
            <w:gridSpan w:val="2"/>
            <w:tcBorders>
              <w:top w:val="single" w:sz="18" w:space="0" w:color="auto"/>
              <w:bottom w:val="single" w:sz="12" w:space="0" w:color="auto"/>
            </w:tcBorders>
            <w:shd w:val="clear" w:color="auto" w:fill="auto"/>
            <w:vAlign w:val="center"/>
          </w:tcPr>
          <w:p w:rsidR="00B13214" w:rsidRPr="00A26FA9" w:rsidRDefault="00B13214" w:rsidP="00B13214">
            <w:pPr>
              <w:pStyle w:val="NoSpacing"/>
              <w:spacing w:line="276" w:lineRule="auto"/>
              <w:jc w:val="center"/>
              <w:rPr>
                <w:rFonts w:ascii="Times New Roman" w:hAnsi="Times New Roman"/>
                <w:b/>
                <w:sz w:val="18"/>
              </w:rPr>
            </w:pPr>
            <w:r w:rsidRPr="00A26FA9">
              <w:rPr>
                <w:rFonts w:ascii="Times New Roman" w:hAnsi="Times New Roman"/>
                <w:b/>
                <w:sz w:val="18"/>
              </w:rPr>
              <w:t>Element of Target 11</w:t>
            </w:r>
          </w:p>
          <w:p w:rsidR="00B13214" w:rsidRPr="00A26FA9" w:rsidRDefault="00B13214" w:rsidP="00B13214">
            <w:pPr>
              <w:pStyle w:val="NoSpacing"/>
              <w:spacing w:line="276" w:lineRule="auto"/>
              <w:jc w:val="center"/>
              <w:rPr>
                <w:rFonts w:ascii="Times New Roman" w:hAnsi="Times New Roman"/>
                <w:sz w:val="18"/>
              </w:rPr>
            </w:pPr>
            <w:r w:rsidRPr="00A26FA9">
              <w:rPr>
                <w:rFonts w:ascii="Times New Roman" w:hAnsi="Times New Roman"/>
                <w:sz w:val="18"/>
              </w:rPr>
              <w:t>(and status from GBO-4 in 2014)</w:t>
            </w:r>
          </w:p>
        </w:tc>
        <w:tc>
          <w:tcPr>
            <w:tcW w:w="2070" w:type="dxa"/>
            <w:tcBorders>
              <w:top w:val="single" w:sz="18" w:space="0" w:color="auto"/>
              <w:bottom w:val="single" w:sz="12" w:space="0" w:color="auto"/>
            </w:tcBorders>
            <w:shd w:val="clear" w:color="auto" w:fill="auto"/>
            <w:vAlign w:val="center"/>
          </w:tcPr>
          <w:p w:rsidR="00B13214" w:rsidRPr="000516B5" w:rsidRDefault="00B13214" w:rsidP="00B13214">
            <w:pPr>
              <w:pStyle w:val="NoSpacing"/>
              <w:spacing w:line="276" w:lineRule="auto"/>
              <w:jc w:val="center"/>
              <w:rPr>
                <w:rFonts w:ascii="Times New Roman" w:hAnsi="Times New Roman"/>
                <w:b/>
                <w:sz w:val="18"/>
              </w:rPr>
            </w:pPr>
            <w:r w:rsidRPr="000516B5">
              <w:rPr>
                <w:rFonts w:ascii="Times New Roman" w:hAnsi="Times New Roman"/>
                <w:b/>
                <w:sz w:val="18"/>
              </w:rPr>
              <w:t>Status in 2016</w:t>
            </w:r>
          </w:p>
          <w:p w:rsidR="00B13214" w:rsidRPr="000879C1" w:rsidRDefault="00B13214" w:rsidP="002D76A7">
            <w:pPr>
              <w:pStyle w:val="NoSpacing"/>
              <w:spacing w:line="276" w:lineRule="auto"/>
              <w:jc w:val="center"/>
              <w:rPr>
                <w:rFonts w:ascii="Times New Roman" w:hAnsi="Times New Roman"/>
                <w:sz w:val="18"/>
                <w:highlight w:val="yellow"/>
              </w:rPr>
            </w:pPr>
            <w:r w:rsidRPr="000516B5">
              <w:rPr>
                <w:rFonts w:ascii="Times New Roman" w:hAnsi="Times New Roman"/>
                <w:sz w:val="18"/>
              </w:rPr>
              <w:t>(</w:t>
            </w:r>
            <w:r w:rsidR="002D76A7">
              <w:rPr>
                <w:rFonts w:ascii="Times New Roman" w:hAnsi="Times New Roman"/>
                <w:sz w:val="18"/>
              </w:rPr>
              <w:t>as per the</w:t>
            </w:r>
            <w:r w:rsidRPr="000516B5">
              <w:rPr>
                <w:rFonts w:ascii="Times New Roman" w:hAnsi="Times New Roman"/>
                <w:sz w:val="18"/>
              </w:rPr>
              <w:t xml:space="preserve"> </w:t>
            </w:r>
            <w:r w:rsidRPr="000516B5">
              <w:rPr>
                <w:rFonts w:ascii="Times New Roman" w:hAnsi="Times New Roman"/>
                <w:i/>
                <w:sz w:val="18"/>
              </w:rPr>
              <w:t>Protected Planet 2016</w:t>
            </w:r>
            <w:r w:rsidRPr="000516B5">
              <w:rPr>
                <w:rFonts w:ascii="Times New Roman" w:hAnsi="Times New Roman"/>
                <w:sz w:val="18"/>
              </w:rPr>
              <w:t>)</w:t>
            </w:r>
          </w:p>
        </w:tc>
        <w:tc>
          <w:tcPr>
            <w:tcW w:w="1980" w:type="dxa"/>
            <w:tcBorders>
              <w:top w:val="single" w:sz="18" w:space="0" w:color="auto"/>
              <w:bottom w:val="single" w:sz="12" w:space="0" w:color="auto"/>
            </w:tcBorders>
            <w:shd w:val="clear" w:color="auto" w:fill="auto"/>
            <w:vAlign w:val="center"/>
          </w:tcPr>
          <w:p w:rsidR="00B13214" w:rsidRPr="006E1F2B" w:rsidRDefault="00B13214" w:rsidP="00B13214">
            <w:pPr>
              <w:pStyle w:val="NoSpacing"/>
              <w:spacing w:line="276" w:lineRule="auto"/>
              <w:jc w:val="center"/>
              <w:rPr>
                <w:rFonts w:ascii="Times New Roman" w:hAnsi="Times New Roman"/>
                <w:b/>
                <w:sz w:val="18"/>
              </w:rPr>
            </w:pPr>
            <w:r w:rsidRPr="006E1F2B">
              <w:rPr>
                <w:rFonts w:ascii="Times New Roman" w:hAnsi="Times New Roman"/>
                <w:b/>
                <w:sz w:val="18"/>
              </w:rPr>
              <w:t>Current Status</w:t>
            </w:r>
          </w:p>
          <w:p w:rsidR="00B13214" w:rsidRPr="000879C1" w:rsidRDefault="00B13214" w:rsidP="00E52470">
            <w:pPr>
              <w:pStyle w:val="NoSpacing"/>
              <w:spacing w:line="276" w:lineRule="auto"/>
              <w:jc w:val="center"/>
              <w:rPr>
                <w:rFonts w:ascii="Times New Roman" w:hAnsi="Times New Roman"/>
                <w:sz w:val="18"/>
                <w:highlight w:val="yellow"/>
              </w:rPr>
            </w:pPr>
            <w:r w:rsidRPr="006E1F2B">
              <w:rPr>
                <w:rFonts w:ascii="Times New Roman" w:hAnsi="Times New Roman"/>
                <w:sz w:val="18"/>
                <w:szCs w:val="18"/>
              </w:rPr>
              <w:t>(</w:t>
            </w:r>
            <w:r w:rsidR="002D76A7" w:rsidRPr="00EA41D1">
              <w:rPr>
                <w:rFonts w:ascii="Times New Roman" w:hAnsi="Times New Roman"/>
                <w:sz w:val="18"/>
                <w:szCs w:val="18"/>
              </w:rPr>
              <w:t xml:space="preserve">from analysis of the </w:t>
            </w:r>
            <w:r w:rsidR="002D76A7">
              <w:rPr>
                <w:rFonts w:ascii="Times New Roman" w:hAnsi="Times New Roman"/>
                <w:sz w:val="18"/>
                <w:szCs w:val="18"/>
              </w:rPr>
              <w:t>April 2018 WDPA</w:t>
            </w:r>
            <w:r w:rsidRPr="006E1F2B">
              <w:rPr>
                <w:rFonts w:ascii="Times New Roman" w:hAnsi="Times New Roman"/>
                <w:sz w:val="18"/>
                <w:szCs w:val="18"/>
              </w:rPr>
              <w:t>)</w:t>
            </w:r>
          </w:p>
        </w:tc>
        <w:tc>
          <w:tcPr>
            <w:tcW w:w="2160" w:type="dxa"/>
            <w:tcBorders>
              <w:top w:val="single" w:sz="18" w:space="0" w:color="auto"/>
              <w:bottom w:val="single" w:sz="12" w:space="0" w:color="auto"/>
            </w:tcBorders>
            <w:shd w:val="clear" w:color="auto" w:fill="auto"/>
            <w:vAlign w:val="center"/>
          </w:tcPr>
          <w:p w:rsidR="00B13214" w:rsidRPr="00A26FA9" w:rsidRDefault="00B13214" w:rsidP="00B13214">
            <w:pPr>
              <w:pStyle w:val="NoSpacing"/>
              <w:spacing w:line="276" w:lineRule="auto"/>
              <w:jc w:val="center"/>
              <w:rPr>
                <w:rFonts w:ascii="Times New Roman" w:hAnsi="Times New Roman"/>
                <w:sz w:val="18"/>
              </w:rPr>
            </w:pPr>
            <w:r w:rsidRPr="00A26FA9">
              <w:rPr>
                <w:rFonts w:ascii="Times New Roman" w:hAnsi="Times New Roman"/>
                <w:b/>
                <w:sz w:val="18"/>
              </w:rPr>
              <w:t>Opportunities for 2020</w:t>
            </w:r>
          </w:p>
          <w:p w:rsidR="00B13214" w:rsidRPr="00A26FA9" w:rsidRDefault="00B13214" w:rsidP="00B13214">
            <w:pPr>
              <w:pStyle w:val="NoSpacing"/>
              <w:spacing w:line="276" w:lineRule="auto"/>
              <w:jc w:val="center"/>
              <w:rPr>
                <w:rFonts w:ascii="Times New Roman" w:hAnsi="Times New Roman"/>
                <w:b/>
                <w:sz w:val="18"/>
              </w:rPr>
            </w:pPr>
          </w:p>
        </w:tc>
      </w:tr>
      <w:tr w:rsidR="00B13214" w:rsidRPr="00BD6B4B" w:rsidTr="00AD3628">
        <w:trPr>
          <w:trHeight w:val="530"/>
        </w:trPr>
        <w:tc>
          <w:tcPr>
            <w:tcW w:w="1368" w:type="dxa"/>
            <w:vMerge w:val="restart"/>
            <w:tcBorders>
              <w:top w:val="single" w:sz="12" w:space="0" w:color="auto"/>
            </w:tcBorders>
            <w:shd w:val="clear" w:color="auto" w:fill="auto"/>
            <w:vAlign w:val="center"/>
          </w:tcPr>
          <w:p w:rsidR="00B13214" w:rsidRPr="00BD6B4B" w:rsidRDefault="00B13214" w:rsidP="00B13214">
            <w:pPr>
              <w:autoSpaceDE w:val="0"/>
              <w:autoSpaceDN w:val="0"/>
              <w:adjustRightInd w:val="0"/>
              <w:rPr>
                <w:rFonts w:cs="Times New Roman"/>
                <w:b/>
                <w:sz w:val="18"/>
                <w:szCs w:val="18"/>
                <w:lang w:eastAsia="en-GB"/>
              </w:rPr>
            </w:pPr>
            <w:r w:rsidRPr="00BD6B4B">
              <w:rPr>
                <w:rFonts w:cs="Times New Roman"/>
                <w:b/>
                <w:sz w:val="18"/>
                <w:szCs w:val="18"/>
                <w:lang w:eastAsia="en-GB"/>
              </w:rPr>
              <w:t>Ecologically</w:t>
            </w:r>
          </w:p>
          <w:p w:rsidR="00B13214" w:rsidRPr="00BD6B4B" w:rsidRDefault="00B13214" w:rsidP="00B13214">
            <w:pPr>
              <w:autoSpaceDE w:val="0"/>
              <w:autoSpaceDN w:val="0"/>
              <w:adjustRightInd w:val="0"/>
              <w:rPr>
                <w:rFonts w:cs="Times New Roman"/>
                <w:sz w:val="18"/>
                <w:szCs w:val="18"/>
                <w:lang w:eastAsia="en-GB"/>
              </w:rPr>
            </w:pPr>
            <w:r w:rsidRPr="00BD6B4B">
              <w:rPr>
                <w:rFonts w:cs="Times New Roman"/>
                <w:b/>
                <w:sz w:val="18"/>
                <w:szCs w:val="18"/>
                <w:lang w:eastAsia="en-GB"/>
              </w:rPr>
              <w:t>representative</w:t>
            </w:r>
            <w:r w:rsidRPr="00BD6B4B">
              <w:rPr>
                <w:rFonts w:cs="Times New Roman"/>
                <w:sz w:val="18"/>
                <w:szCs w:val="18"/>
                <w:lang w:eastAsia="en-GB"/>
              </w:rPr>
              <w:t xml:space="preserve"> </w:t>
            </w:r>
          </w:p>
          <w:p w:rsidR="00B13214" w:rsidRPr="00BD6B4B" w:rsidRDefault="00B13214" w:rsidP="00B13214">
            <w:pPr>
              <w:autoSpaceDE w:val="0"/>
              <w:autoSpaceDN w:val="0"/>
              <w:adjustRightInd w:val="0"/>
              <w:rPr>
                <w:rFonts w:cs="Times New Roman"/>
                <w:sz w:val="18"/>
                <w:szCs w:val="18"/>
                <w:lang w:eastAsia="en-GB"/>
              </w:rPr>
            </w:pPr>
          </w:p>
          <w:p w:rsidR="00B13214" w:rsidRPr="00BD6B4B" w:rsidRDefault="00B13214" w:rsidP="00B13214">
            <w:pPr>
              <w:autoSpaceDE w:val="0"/>
              <w:autoSpaceDN w:val="0"/>
              <w:adjustRightInd w:val="0"/>
              <w:rPr>
                <w:rFonts w:cs="Times New Roman"/>
                <w:sz w:val="18"/>
                <w:szCs w:val="18"/>
                <w:lang w:eastAsia="en-GB"/>
              </w:rPr>
            </w:pPr>
          </w:p>
          <w:p w:rsidR="00B13214" w:rsidRPr="00BD6B4B" w:rsidRDefault="00B13214" w:rsidP="00B13214">
            <w:pPr>
              <w:autoSpaceDE w:val="0"/>
              <w:autoSpaceDN w:val="0"/>
              <w:adjustRightInd w:val="0"/>
              <w:rPr>
                <w:rFonts w:cs="Times New Roman"/>
                <w:sz w:val="18"/>
                <w:szCs w:val="18"/>
              </w:rPr>
            </w:pPr>
            <w:r w:rsidRPr="00BD6B4B">
              <w:rPr>
                <w:rFonts w:cs="Times New Roman"/>
                <w:noProof/>
                <w:sz w:val="18"/>
                <w:szCs w:val="18"/>
                <w:lang w:val="en-CA" w:eastAsia="en-CA"/>
              </w:rPr>
              <w:drawing>
                <wp:inline distT="0" distB="0" distL="0" distR="0" wp14:anchorId="456DEC35" wp14:editId="250B8E83">
                  <wp:extent cx="630936" cy="4114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 cy="411480"/>
                          </a:xfrm>
                          <a:prstGeom prst="rect">
                            <a:avLst/>
                          </a:prstGeom>
                        </pic:spPr>
                      </pic:pic>
                    </a:graphicData>
                  </a:graphic>
                </wp:inline>
              </w:drawing>
            </w:r>
          </w:p>
        </w:tc>
        <w:tc>
          <w:tcPr>
            <w:tcW w:w="1980" w:type="dxa"/>
            <w:tcBorders>
              <w:top w:val="single" w:sz="12" w:space="0" w:color="auto"/>
            </w:tcBorders>
            <w:shd w:val="clear" w:color="auto" w:fill="auto"/>
            <w:vAlign w:val="center"/>
          </w:tcPr>
          <w:p w:rsidR="00B13214" w:rsidRPr="00BD6B4B" w:rsidRDefault="00B13214" w:rsidP="00AD3628">
            <w:pPr>
              <w:jc w:val="center"/>
              <w:rPr>
                <w:rFonts w:cs="Times New Roman"/>
                <w:sz w:val="18"/>
                <w:szCs w:val="18"/>
              </w:rPr>
            </w:pPr>
            <w:r w:rsidRPr="00BD6B4B">
              <w:rPr>
                <w:rFonts w:cs="Times New Roman"/>
                <w:b/>
                <w:sz w:val="18"/>
                <w:szCs w:val="18"/>
              </w:rPr>
              <w:t>Terrestrial ecoregions</w:t>
            </w:r>
            <w:r w:rsidRPr="00BD6B4B">
              <w:rPr>
                <w:rFonts w:cs="Times New Roman"/>
                <w:sz w:val="18"/>
                <w:szCs w:val="18"/>
              </w:rPr>
              <w:t xml:space="preserve"> (at least 17% covered)</w:t>
            </w:r>
          </w:p>
        </w:tc>
        <w:tc>
          <w:tcPr>
            <w:tcW w:w="2070" w:type="dxa"/>
            <w:tcBorders>
              <w:top w:val="single" w:sz="12" w:space="0" w:color="auto"/>
            </w:tcBorders>
            <w:shd w:val="clear" w:color="auto" w:fill="auto"/>
            <w:vAlign w:val="center"/>
          </w:tcPr>
          <w:p w:rsidR="00B13214" w:rsidRPr="002D76A7" w:rsidRDefault="00B13214" w:rsidP="00AD3628">
            <w:pPr>
              <w:jc w:val="center"/>
              <w:rPr>
                <w:rFonts w:cs="Times New Roman"/>
                <w:sz w:val="18"/>
                <w:szCs w:val="18"/>
              </w:rPr>
            </w:pPr>
            <w:r w:rsidRPr="002D76A7">
              <w:rPr>
                <w:rFonts w:cs="Times New Roman"/>
                <w:sz w:val="18"/>
                <w:szCs w:val="18"/>
              </w:rPr>
              <w:t>4</w:t>
            </w:r>
            <w:r w:rsidR="00E177BD" w:rsidRPr="002D76A7">
              <w:rPr>
                <w:rFonts w:cs="Times New Roman"/>
                <w:sz w:val="18"/>
                <w:szCs w:val="18"/>
              </w:rPr>
              <w:t>2.6</w:t>
            </w:r>
            <w:r w:rsidRPr="002D76A7">
              <w:rPr>
                <w:rFonts w:cs="Times New Roman"/>
                <w:sz w:val="18"/>
                <w:szCs w:val="18"/>
              </w:rPr>
              <w:t>% (351)</w:t>
            </w:r>
          </w:p>
        </w:tc>
        <w:tc>
          <w:tcPr>
            <w:tcW w:w="1980" w:type="dxa"/>
            <w:tcBorders>
              <w:top w:val="single" w:sz="12" w:space="0" w:color="auto"/>
            </w:tcBorders>
            <w:shd w:val="clear" w:color="auto" w:fill="auto"/>
            <w:vAlign w:val="center"/>
          </w:tcPr>
          <w:p w:rsidR="00B13214" w:rsidRPr="002D76A7" w:rsidRDefault="00B13214" w:rsidP="00AD3628">
            <w:pPr>
              <w:jc w:val="center"/>
              <w:rPr>
                <w:rFonts w:cs="Times New Roman"/>
                <w:sz w:val="18"/>
                <w:szCs w:val="18"/>
              </w:rPr>
            </w:pPr>
            <w:r w:rsidRPr="002D76A7">
              <w:rPr>
                <w:rFonts w:cs="Times New Roman"/>
                <w:sz w:val="18"/>
                <w:szCs w:val="18"/>
              </w:rPr>
              <w:t>4</w:t>
            </w:r>
            <w:r w:rsidR="00E177BD" w:rsidRPr="002D76A7">
              <w:rPr>
                <w:rFonts w:cs="Times New Roman"/>
                <w:sz w:val="18"/>
                <w:szCs w:val="18"/>
              </w:rPr>
              <w:t>3.4</w:t>
            </w:r>
            <w:r w:rsidRPr="002D76A7">
              <w:rPr>
                <w:rFonts w:cs="Times New Roman"/>
                <w:sz w:val="18"/>
                <w:szCs w:val="18"/>
              </w:rPr>
              <w:t>% (</w:t>
            </w:r>
            <w:r w:rsidR="00E177BD" w:rsidRPr="002D76A7">
              <w:rPr>
                <w:rFonts w:cs="Times New Roman"/>
                <w:sz w:val="18"/>
                <w:szCs w:val="18"/>
              </w:rPr>
              <w:t>357</w:t>
            </w:r>
            <w:r w:rsidRPr="002D76A7">
              <w:rPr>
                <w:rFonts w:cs="Times New Roman"/>
                <w:sz w:val="18"/>
                <w:szCs w:val="18"/>
              </w:rPr>
              <w:t>)</w:t>
            </w:r>
          </w:p>
        </w:tc>
        <w:tc>
          <w:tcPr>
            <w:tcW w:w="2160" w:type="dxa"/>
            <w:vMerge w:val="restart"/>
            <w:tcBorders>
              <w:top w:val="single" w:sz="12" w:space="0" w:color="auto"/>
            </w:tcBorders>
            <w:shd w:val="clear" w:color="auto" w:fill="auto"/>
            <w:vAlign w:val="bottom"/>
          </w:tcPr>
          <w:p w:rsidR="00B13214" w:rsidRDefault="00B13214" w:rsidP="00B13214">
            <w:pPr>
              <w:jc w:val="center"/>
              <w:rPr>
                <w:sz w:val="18"/>
                <w:szCs w:val="18"/>
              </w:rPr>
            </w:pPr>
            <w:r>
              <w:rPr>
                <w:sz w:val="18"/>
                <w:szCs w:val="18"/>
              </w:rPr>
              <w:t>Implementation of all national commitments, r</w:t>
            </w:r>
            <w:r w:rsidRPr="00565A85">
              <w:rPr>
                <w:sz w:val="18"/>
                <w:szCs w:val="18"/>
              </w:rPr>
              <w:t>ecognition and support of ICCAs, and systematic collection of information</w:t>
            </w:r>
            <w:r>
              <w:rPr>
                <w:sz w:val="18"/>
                <w:szCs w:val="18"/>
              </w:rPr>
              <w:t xml:space="preserve"> </w:t>
            </w:r>
            <w:r w:rsidRPr="00565A85">
              <w:rPr>
                <w:sz w:val="18"/>
                <w:szCs w:val="18"/>
              </w:rPr>
              <w:t>on OECMs</w:t>
            </w:r>
            <w:r w:rsidR="00AD3628">
              <w:rPr>
                <w:sz w:val="18"/>
                <w:szCs w:val="18"/>
              </w:rPr>
              <w:t xml:space="preserve"> and PPAs</w:t>
            </w:r>
            <w:r>
              <w:rPr>
                <w:sz w:val="18"/>
                <w:szCs w:val="18"/>
              </w:rPr>
              <w:t>.</w:t>
            </w:r>
          </w:p>
          <w:p w:rsidR="00B13214" w:rsidRPr="00BD6B4B" w:rsidRDefault="00B13214" w:rsidP="00B13214">
            <w:pPr>
              <w:jc w:val="center"/>
              <w:rPr>
                <w:rFonts w:cs="Times New Roman"/>
                <w:sz w:val="18"/>
                <w:szCs w:val="18"/>
              </w:rPr>
            </w:pPr>
            <w:r w:rsidRPr="00BD6B4B">
              <w:rPr>
                <w:rFonts w:cs="Times New Roman"/>
                <w:noProof/>
                <w:sz w:val="18"/>
                <w:szCs w:val="18"/>
                <w:lang w:val="en-CA" w:eastAsia="en-CA"/>
              </w:rPr>
              <w:drawing>
                <wp:inline distT="0" distB="0" distL="0" distR="0" wp14:anchorId="10198668" wp14:editId="3E45F8AE">
                  <wp:extent cx="640080" cy="41148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411480"/>
                          </a:xfrm>
                          <a:prstGeom prst="rect">
                            <a:avLst/>
                          </a:prstGeom>
                        </pic:spPr>
                      </pic:pic>
                    </a:graphicData>
                  </a:graphic>
                </wp:inline>
              </w:drawing>
            </w:r>
          </w:p>
        </w:tc>
      </w:tr>
      <w:tr w:rsidR="00B13214" w:rsidRPr="00BD6B4B" w:rsidTr="00AD3628">
        <w:trPr>
          <w:trHeight w:val="530"/>
        </w:trPr>
        <w:tc>
          <w:tcPr>
            <w:tcW w:w="1368" w:type="dxa"/>
            <w:vMerge/>
            <w:shd w:val="clear" w:color="auto" w:fill="auto"/>
            <w:vAlign w:val="center"/>
          </w:tcPr>
          <w:p w:rsidR="00B13214" w:rsidRPr="00BD6B4B" w:rsidRDefault="00B13214" w:rsidP="00B13214">
            <w:pPr>
              <w:autoSpaceDE w:val="0"/>
              <w:autoSpaceDN w:val="0"/>
              <w:adjustRightInd w:val="0"/>
              <w:rPr>
                <w:rFonts w:cs="Times New Roman"/>
                <w:sz w:val="18"/>
                <w:szCs w:val="18"/>
                <w:lang w:eastAsia="en-GB"/>
              </w:rPr>
            </w:pPr>
          </w:p>
        </w:tc>
        <w:tc>
          <w:tcPr>
            <w:tcW w:w="1980" w:type="dxa"/>
            <w:shd w:val="clear" w:color="auto" w:fill="auto"/>
            <w:vAlign w:val="center"/>
          </w:tcPr>
          <w:p w:rsidR="00B13214" w:rsidRPr="00BD6B4B" w:rsidRDefault="00B13214" w:rsidP="00AD3628">
            <w:pPr>
              <w:jc w:val="center"/>
              <w:rPr>
                <w:rFonts w:cs="Times New Roman"/>
                <w:sz w:val="18"/>
                <w:szCs w:val="18"/>
              </w:rPr>
            </w:pPr>
            <w:r w:rsidRPr="00BD6B4B">
              <w:rPr>
                <w:rFonts w:cs="Times New Roman"/>
                <w:b/>
                <w:sz w:val="18"/>
                <w:szCs w:val="18"/>
              </w:rPr>
              <w:t>Marine ecoregions</w:t>
            </w:r>
            <w:r w:rsidRPr="00BD6B4B">
              <w:rPr>
                <w:rFonts w:cs="Times New Roman"/>
                <w:sz w:val="18"/>
                <w:szCs w:val="18"/>
              </w:rPr>
              <w:t xml:space="preserve">    (at least 10% covered)</w:t>
            </w:r>
          </w:p>
        </w:tc>
        <w:tc>
          <w:tcPr>
            <w:tcW w:w="2070" w:type="dxa"/>
            <w:shd w:val="clear" w:color="auto" w:fill="auto"/>
            <w:vAlign w:val="center"/>
          </w:tcPr>
          <w:p w:rsidR="00B13214" w:rsidRPr="002D76A7" w:rsidRDefault="00B13214" w:rsidP="00AD3628">
            <w:pPr>
              <w:jc w:val="center"/>
              <w:rPr>
                <w:rFonts w:cs="Times New Roman"/>
                <w:sz w:val="18"/>
                <w:szCs w:val="18"/>
              </w:rPr>
            </w:pPr>
            <w:r w:rsidRPr="002D76A7">
              <w:rPr>
                <w:rFonts w:cs="Times New Roman"/>
                <w:sz w:val="18"/>
                <w:szCs w:val="18"/>
              </w:rPr>
              <w:t>36</w:t>
            </w:r>
            <w:r w:rsidR="00E177BD" w:rsidRPr="002D76A7">
              <w:rPr>
                <w:rFonts w:cs="Times New Roman"/>
                <w:sz w:val="18"/>
                <w:szCs w:val="18"/>
              </w:rPr>
              <w:t>.2</w:t>
            </w:r>
            <w:r w:rsidRPr="002D76A7">
              <w:rPr>
                <w:rFonts w:cs="Times New Roman"/>
                <w:sz w:val="18"/>
                <w:szCs w:val="18"/>
              </w:rPr>
              <w:t>% (84)</w:t>
            </w:r>
          </w:p>
        </w:tc>
        <w:tc>
          <w:tcPr>
            <w:tcW w:w="1980" w:type="dxa"/>
            <w:shd w:val="clear" w:color="auto" w:fill="auto"/>
            <w:vAlign w:val="center"/>
          </w:tcPr>
          <w:p w:rsidR="00B13214" w:rsidRPr="002D76A7" w:rsidRDefault="00B13214" w:rsidP="00AD3628">
            <w:pPr>
              <w:jc w:val="center"/>
              <w:rPr>
                <w:rFonts w:cs="Times New Roman"/>
                <w:sz w:val="18"/>
                <w:szCs w:val="18"/>
              </w:rPr>
            </w:pPr>
            <w:r w:rsidRPr="002D76A7">
              <w:rPr>
                <w:rFonts w:cs="Times New Roman"/>
                <w:sz w:val="18"/>
                <w:szCs w:val="18"/>
              </w:rPr>
              <w:t>4</w:t>
            </w:r>
            <w:r w:rsidR="00E40184" w:rsidRPr="002D76A7">
              <w:rPr>
                <w:rFonts w:cs="Times New Roman"/>
                <w:sz w:val="18"/>
                <w:szCs w:val="18"/>
              </w:rPr>
              <w:t>2</w:t>
            </w:r>
            <w:r w:rsidR="00E177BD" w:rsidRPr="002D76A7">
              <w:rPr>
                <w:rFonts w:cs="Times New Roman"/>
                <w:sz w:val="18"/>
                <w:szCs w:val="18"/>
              </w:rPr>
              <w:t>.</w:t>
            </w:r>
            <w:r w:rsidR="00E40184" w:rsidRPr="002D76A7">
              <w:rPr>
                <w:rFonts w:cs="Times New Roman"/>
                <w:sz w:val="18"/>
                <w:szCs w:val="18"/>
              </w:rPr>
              <w:t>7</w:t>
            </w:r>
            <w:r w:rsidRPr="002D76A7">
              <w:rPr>
                <w:rFonts w:cs="Times New Roman"/>
                <w:sz w:val="18"/>
                <w:szCs w:val="18"/>
              </w:rPr>
              <w:t>% (9</w:t>
            </w:r>
            <w:r w:rsidR="00E40184" w:rsidRPr="002D76A7">
              <w:rPr>
                <w:rFonts w:cs="Times New Roman"/>
                <w:sz w:val="18"/>
                <w:szCs w:val="18"/>
              </w:rPr>
              <w:t>9</w:t>
            </w:r>
            <w:r w:rsidRPr="002D76A7">
              <w:rPr>
                <w:rFonts w:cs="Times New Roman"/>
                <w:sz w:val="18"/>
                <w:szCs w:val="18"/>
              </w:rPr>
              <w:t>)</w:t>
            </w:r>
          </w:p>
        </w:tc>
        <w:tc>
          <w:tcPr>
            <w:tcW w:w="2160" w:type="dxa"/>
            <w:vMerge/>
            <w:shd w:val="clear" w:color="auto" w:fill="auto"/>
            <w:vAlign w:val="center"/>
          </w:tcPr>
          <w:p w:rsidR="00B13214" w:rsidRPr="00BD6B4B" w:rsidRDefault="00B13214" w:rsidP="00B13214">
            <w:pPr>
              <w:jc w:val="center"/>
              <w:rPr>
                <w:rFonts w:cs="Times New Roman"/>
                <w:sz w:val="18"/>
                <w:szCs w:val="18"/>
              </w:rPr>
            </w:pPr>
          </w:p>
        </w:tc>
      </w:tr>
      <w:tr w:rsidR="00B13214" w:rsidRPr="00BD6B4B" w:rsidTr="00AD3628">
        <w:trPr>
          <w:trHeight w:val="542"/>
        </w:trPr>
        <w:tc>
          <w:tcPr>
            <w:tcW w:w="1368" w:type="dxa"/>
            <w:vMerge/>
            <w:shd w:val="clear" w:color="auto" w:fill="auto"/>
            <w:vAlign w:val="center"/>
          </w:tcPr>
          <w:p w:rsidR="00B13214" w:rsidRPr="00BD6B4B" w:rsidRDefault="00B13214" w:rsidP="00B13214">
            <w:pPr>
              <w:autoSpaceDE w:val="0"/>
              <w:autoSpaceDN w:val="0"/>
              <w:adjustRightInd w:val="0"/>
              <w:rPr>
                <w:rFonts w:cs="Times New Roman"/>
                <w:sz w:val="18"/>
                <w:szCs w:val="18"/>
                <w:lang w:eastAsia="en-GB"/>
              </w:rPr>
            </w:pPr>
          </w:p>
        </w:tc>
        <w:tc>
          <w:tcPr>
            <w:tcW w:w="1980" w:type="dxa"/>
            <w:shd w:val="clear" w:color="auto" w:fill="auto"/>
            <w:vAlign w:val="center"/>
          </w:tcPr>
          <w:p w:rsidR="00B13214" w:rsidRPr="00BD6B4B" w:rsidRDefault="00B13214" w:rsidP="00AD3628">
            <w:pPr>
              <w:jc w:val="center"/>
              <w:rPr>
                <w:rFonts w:cs="Times New Roman"/>
                <w:sz w:val="18"/>
                <w:szCs w:val="18"/>
              </w:rPr>
            </w:pPr>
            <w:r w:rsidRPr="00BD6B4B">
              <w:rPr>
                <w:rFonts w:cs="Times New Roman"/>
                <w:b/>
                <w:sz w:val="18"/>
                <w:szCs w:val="18"/>
              </w:rPr>
              <w:t>Pelagic provinces</w:t>
            </w:r>
            <w:r w:rsidRPr="00BD6B4B">
              <w:rPr>
                <w:rFonts w:cs="Times New Roman"/>
                <w:sz w:val="18"/>
                <w:szCs w:val="18"/>
              </w:rPr>
              <w:t xml:space="preserve">      (at least 10% covered)</w:t>
            </w:r>
          </w:p>
        </w:tc>
        <w:tc>
          <w:tcPr>
            <w:tcW w:w="2070" w:type="dxa"/>
            <w:shd w:val="clear" w:color="auto" w:fill="auto"/>
            <w:vAlign w:val="center"/>
          </w:tcPr>
          <w:p w:rsidR="00B13214" w:rsidRPr="002D76A7" w:rsidRDefault="00B13214" w:rsidP="00AD3628">
            <w:pPr>
              <w:jc w:val="center"/>
              <w:rPr>
                <w:rFonts w:cs="Times New Roman"/>
                <w:sz w:val="18"/>
                <w:szCs w:val="18"/>
              </w:rPr>
            </w:pPr>
            <w:r w:rsidRPr="002D76A7">
              <w:rPr>
                <w:rFonts w:cs="Times New Roman"/>
                <w:sz w:val="18"/>
                <w:szCs w:val="18"/>
              </w:rPr>
              <w:t>8</w:t>
            </w:r>
            <w:r w:rsidR="00E177BD" w:rsidRPr="002D76A7">
              <w:rPr>
                <w:rFonts w:cs="Times New Roman"/>
                <w:sz w:val="18"/>
                <w:szCs w:val="18"/>
              </w:rPr>
              <w:t>.1</w:t>
            </w:r>
            <w:r w:rsidRPr="002D76A7">
              <w:rPr>
                <w:rFonts w:cs="Times New Roman"/>
                <w:sz w:val="18"/>
                <w:szCs w:val="18"/>
              </w:rPr>
              <w:t>% (3)</w:t>
            </w:r>
          </w:p>
        </w:tc>
        <w:tc>
          <w:tcPr>
            <w:tcW w:w="1980" w:type="dxa"/>
            <w:shd w:val="clear" w:color="auto" w:fill="auto"/>
            <w:vAlign w:val="center"/>
          </w:tcPr>
          <w:p w:rsidR="00B13214" w:rsidRPr="002D76A7" w:rsidRDefault="00B13214" w:rsidP="00AD3628">
            <w:pPr>
              <w:jc w:val="center"/>
              <w:rPr>
                <w:rFonts w:cs="Times New Roman"/>
                <w:sz w:val="18"/>
                <w:szCs w:val="18"/>
              </w:rPr>
            </w:pPr>
            <w:r w:rsidRPr="002D76A7">
              <w:rPr>
                <w:rFonts w:cs="Times New Roman"/>
                <w:sz w:val="18"/>
                <w:szCs w:val="18"/>
              </w:rPr>
              <w:t>1</w:t>
            </w:r>
            <w:r w:rsidR="00E177BD" w:rsidRPr="002D76A7">
              <w:rPr>
                <w:rFonts w:cs="Times New Roman"/>
                <w:sz w:val="18"/>
                <w:szCs w:val="18"/>
              </w:rPr>
              <w:t>0.8</w:t>
            </w:r>
            <w:r w:rsidRPr="002D76A7">
              <w:rPr>
                <w:rFonts w:cs="Times New Roman"/>
                <w:sz w:val="18"/>
                <w:szCs w:val="18"/>
              </w:rPr>
              <w:t>% (4)</w:t>
            </w:r>
          </w:p>
        </w:tc>
        <w:tc>
          <w:tcPr>
            <w:tcW w:w="2160" w:type="dxa"/>
            <w:vMerge/>
            <w:shd w:val="clear" w:color="auto" w:fill="auto"/>
            <w:vAlign w:val="center"/>
          </w:tcPr>
          <w:p w:rsidR="00B13214" w:rsidRPr="00BD6B4B" w:rsidRDefault="00B13214" w:rsidP="00B13214">
            <w:pPr>
              <w:jc w:val="center"/>
              <w:rPr>
                <w:rFonts w:cs="Times New Roman"/>
                <w:sz w:val="18"/>
                <w:szCs w:val="18"/>
              </w:rPr>
            </w:pPr>
          </w:p>
        </w:tc>
      </w:tr>
      <w:tr w:rsidR="00B13214" w:rsidRPr="00BD6B4B" w:rsidTr="009C7723">
        <w:trPr>
          <w:trHeight w:val="436"/>
        </w:trPr>
        <w:tc>
          <w:tcPr>
            <w:tcW w:w="1368" w:type="dxa"/>
            <w:vMerge/>
            <w:tcBorders>
              <w:bottom w:val="single" w:sz="18" w:space="0" w:color="auto"/>
            </w:tcBorders>
            <w:shd w:val="clear" w:color="auto" w:fill="auto"/>
            <w:vAlign w:val="center"/>
          </w:tcPr>
          <w:p w:rsidR="00B13214" w:rsidRPr="00BD6B4B" w:rsidRDefault="00B13214" w:rsidP="00B13214">
            <w:pPr>
              <w:autoSpaceDE w:val="0"/>
              <w:autoSpaceDN w:val="0"/>
              <w:adjustRightInd w:val="0"/>
              <w:rPr>
                <w:sz w:val="18"/>
                <w:szCs w:val="18"/>
                <w:lang w:eastAsia="en-GB"/>
              </w:rPr>
            </w:pPr>
          </w:p>
        </w:tc>
        <w:tc>
          <w:tcPr>
            <w:tcW w:w="1980" w:type="dxa"/>
            <w:tcBorders>
              <w:bottom w:val="single" w:sz="18" w:space="0" w:color="auto"/>
            </w:tcBorders>
            <w:shd w:val="clear" w:color="auto" w:fill="auto"/>
            <w:vAlign w:val="center"/>
          </w:tcPr>
          <w:p w:rsidR="00B13214" w:rsidRPr="00BD6B4B" w:rsidRDefault="00B13214" w:rsidP="00B13214">
            <w:pPr>
              <w:jc w:val="center"/>
              <w:rPr>
                <w:b/>
                <w:sz w:val="18"/>
                <w:szCs w:val="18"/>
              </w:rPr>
            </w:pPr>
          </w:p>
        </w:tc>
        <w:tc>
          <w:tcPr>
            <w:tcW w:w="2070" w:type="dxa"/>
            <w:tcBorders>
              <w:bottom w:val="single" w:sz="18" w:space="0" w:color="auto"/>
            </w:tcBorders>
            <w:shd w:val="clear" w:color="auto" w:fill="auto"/>
            <w:vAlign w:val="center"/>
          </w:tcPr>
          <w:p w:rsidR="00B13214" w:rsidRPr="00BD6B4B" w:rsidRDefault="00B13214" w:rsidP="00B13214">
            <w:pPr>
              <w:jc w:val="center"/>
              <w:rPr>
                <w:sz w:val="18"/>
                <w:szCs w:val="18"/>
              </w:rPr>
            </w:pPr>
          </w:p>
        </w:tc>
        <w:tc>
          <w:tcPr>
            <w:tcW w:w="1980" w:type="dxa"/>
            <w:tcBorders>
              <w:bottom w:val="single" w:sz="18" w:space="0" w:color="auto"/>
            </w:tcBorders>
            <w:shd w:val="clear" w:color="auto" w:fill="auto"/>
            <w:vAlign w:val="center"/>
          </w:tcPr>
          <w:p w:rsidR="00B13214" w:rsidRPr="00BD6B4B" w:rsidRDefault="00B13214" w:rsidP="00B13214">
            <w:pPr>
              <w:jc w:val="center"/>
              <w:rPr>
                <w:sz w:val="18"/>
                <w:szCs w:val="18"/>
              </w:rPr>
            </w:pPr>
          </w:p>
        </w:tc>
        <w:tc>
          <w:tcPr>
            <w:tcW w:w="2160" w:type="dxa"/>
            <w:vMerge/>
            <w:tcBorders>
              <w:bottom w:val="single" w:sz="18" w:space="0" w:color="auto"/>
            </w:tcBorders>
            <w:shd w:val="clear" w:color="auto" w:fill="auto"/>
            <w:vAlign w:val="center"/>
          </w:tcPr>
          <w:p w:rsidR="00B13214" w:rsidRPr="00BD6B4B" w:rsidRDefault="00B13214" w:rsidP="00B13214">
            <w:pPr>
              <w:jc w:val="center"/>
              <w:rPr>
                <w:sz w:val="18"/>
                <w:szCs w:val="18"/>
              </w:rPr>
            </w:pPr>
          </w:p>
        </w:tc>
      </w:tr>
    </w:tbl>
    <w:p w:rsidR="002C5561" w:rsidRDefault="00D0252D" w:rsidP="002C5561">
      <w:pPr>
        <w:pStyle w:val="Para1"/>
        <w:rPr>
          <w:lang w:val="en-CA"/>
        </w:rPr>
      </w:pPr>
      <w:r w:rsidRPr="00E3082A">
        <w:rPr>
          <w:lang w:val="en-CA"/>
        </w:rPr>
        <w:t xml:space="preserve">At the global level, ecological representation may be assessed based on the </w:t>
      </w:r>
      <w:r w:rsidR="00097051">
        <w:rPr>
          <w:lang w:val="en-CA"/>
        </w:rPr>
        <w:t>coverage</w:t>
      </w:r>
      <w:r w:rsidRPr="00E3082A">
        <w:rPr>
          <w:lang w:val="en-CA"/>
        </w:rPr>
        <w:t xml:space="preserve"> of different </w:t>
      </w:r>
      <w:r w:rsidRPr="00B921B6">
        <w:rPr>
          <w:lang w:val="en-CA"/>
        </w:rPr>
        <w:t>ecoregions within protected area networks</w:t>
      </w:r>
      <w:r w:rsidR="00C80E29" w:rsidRPr="00B921B6">
        <w:rPr>
          <w:lang w:val="en-CA"/>
        </w:rPr>
        <w:t>.</w:t>
      </w:r>
      <w:r w:rsidRPr="00B921B6">
        <w:rPr>
          <w:rStyle w:val="FootnoteReference"/>
          <w:lang w:val="en-CA"/>
        </w:rPr>
        <w:footnoteReference w:id="24"/>
      </w:r>
      <w:r w:rsidRPr="00B921B6">
        <w:rPr>
          <w:lang w:val="en-CA"/>
        </w:rPr>
        <w:t xml:space="preserve"> </w:t>
      </w:r>
      <w:r w:rsidR="00C80E29" w:rsidRPr="00B921B6">
        <w:rPr>
          <w:lang w:val="en-CA"/>
        </w:rPr>
        <w:t>O</w:t>
      </w:r>
      <w:r w:rsidRPr="00B921B6">
        <w:rPr>
          <w:lang w:val="en-CA"/>
        </w:rPr>
        <w:t xml:space="preserve">ther methods for assessing the ecological representation of protected area networks </w:t>
      </w:r>
      <w:r w:rsidR="00C441BF" w:rsidRPr="00B921B6">
        <w:rPr>
          <w:lang w:val="en-CA"/>
        </w:rPr>
        <w:t xml:space="preserve">which </w:t>
      </w:r>
      <w:r w:rsidR="00B65C52" w:rsidRPr="00B921B6">
        <w:rPr>
          <w:lang w:val="en-CA"/>
        </w:rPr>
        <w:t xml:space="preserve">may </w:t>
      </w:r>
      <w:r w:rsidR="00C441BF" w:rsidRPr="00B921B6">
        <w:rPr>
          <w:lang w:val="en-CA"/>
        </w:rPr>
        <w:t>provide a finer-scale</w:t>
      </w:r>
      <w:r w:rsidR="00B65C52" w:rsidRPr="00B921B6">
        <w:rPr>
          <w:lang w:val="en-CA"/>
        </w:rPr>
        <w:t xml:space="preserve"> of analysis more suited to national assessments</w:t>
      </w:r>
      <w:r w:rsidR="00FD0890" w:rsidRPr="00B921B6">
        <w:rPr>
          <w:lang w:val="en-CA"/>
        </w:rPr>
        <w:t xml:space="preserve"> have been proposed</w:t>
      </w:r>
      <w:r w:rsidRPr="00B921B6">
        <w:rPr>
          <w:lang w:val="en-CA"/>
        </w:rPr>
        <w:t>.</w:t>
      </w:r>
      <w:r w:rsidRPr="00B921B6">
        <w:rPr>
          <w:rStyle w:val="FootnoteReference"/>
          <w:lang w:val="en-CA"/>
        </w:rPr>
        <w:footnoteReference w:id="25"/>
      </w:r>
      <w:r w:rsidR="00C441BF" w:rsidRPr="00B921B6">
        <w:rPr>
          <w:lang w:val="en-CA"/>
        </w:rPr>
        <w:t xml:space="preserve"> </w:t>
      </w:r>
      <w:r w:rsidR="008E07E3" w:rsidRPr="00B921B6">
        <w:rPr>
          <w:lang w:val="en-CA"/>
        </w:rPr>
        <w:t xml:space="preserve">Globally, ecoregions </w:t>
      </w:r>
      <w:r w:rsidR="00861B00" w:rsidRPr="00B921B6">
        <w:rPr>
          <w:lang w:val="en-CA"/>
        </w:rPr>
        <w:t xml:space="preserve">have been </w:t>
      </w:r>
      <w:r w:rsidR="008E07E3" w:rsidRPr="00B921B6">
        <w:rPr>
          <w:lang w:val="en-CA"/>
        </w:rPr>
        <w:t>mapped for both terrestrial and marine areas</w:t>
      </w:r>
      <w:r w:rsidR="00861B00" w:rsidRPr="00B921B6">
        <w:rPr>
          <w:lang w:val="en-CA"/>
        </w:rPr>
        <w:t xml:space="preserve">. They include </w:t>
      </w:r>
      <w:r w:rsidR="002C5561" w:rsidRPr="00B921B6">
        <w:rPr>
          <w:lang w:val="en-CA"/>
        </w:rPr>
        <w:t>823 terrestrial ecoregions</w:t>
      </w:r>
      <w:r w:rsidR="002C5561" w:rsidRPr="00B921B6">
        <w:rPr>
          <w:rStyle w:val="FootnoteReference"/>
          <w:lang w:val="en-CA"/>
        </w:rPr>
        <w:footnoteReference w:id="26"/>
      </w:r>
      <w:r w:rsidR="002C5561" w:rsidRPr="00B921B6">
        <w:rPr>
          <w:lang w:val="en-CA"/>
        </w:rPr>
        <w:t xml:space="preserve"> </w:t>
      </w:r>
      <w:r w:rsidR="008E07E3" w:rsidRPr="00B921B6">
        <w:rPr>
          <w:lang w:val="en-CA"/>
        </w:rPr>
        <w:t>(excluding Antarctica)</w:t>
      </w:r>
      <w:r w:rsidR="00100B67" w:rsidRPr="00B921B6">
        <w:rPr>
          <w:lang w:val="en-CA"/>
        </w:rPr>
        <w:t xml:space="preserve">, </w:t>
      </w:r>
      <w:r w:rsidR="002C5561" w:rsidRPr="00B921B6">
        <w:rPr>
          <w:lang w:val="en-CA"/>
        </w:rPr>
        <w:t>232 marine ecoregions covering shallow coastal waters (&lt;200m in depth) and 37 pelagic provinces covering all open oce</w:t>
      </w:r>
      <w:r w:rsidR="00E7554F" w:rsidRPr="00B921B6">
        <w:rPr>
          <w:lang w:val="en-CA"/>
        </w:rPr>
        <w:t xml:space="preserve">an areas (accounting for over </w:t>
      </w:r>
      <w:r w:rsidR="002C5561" w:rsidRPr="00B921B6">
        <w:rPr>
          <w:lang w:val="en-CA"/>
        </w:rPr>
        <w:t>90% of the ocean).</w:t>
      </w:r>
      <w:r w:rsidRPr="00B921B6">
        <w:rPr>
          <w:rStyle w:val="FootnoteReference"/>
          <w:lang w:val="en-CA"/>
        </w:rPr>
        <w:t xml:space="preserve"> </w:t>
      </w:r>
      <w:r w:rsidRPr="00B921B6">
        <w:rPr>
          <w:rStyle w:val="FootnoteReference"/>
          <w:lang w:val="en-CA"/>
        </w:rPr>
        <w:footnoteReference w:id="27"/>
      </w:r>
      <w:r w:rsidR="002C5561" w:rsidRPr="00B921B6">
        <w:rPr>
          <w:lang w:val="en-CA"/>
        </w:rPr>
        <w:t xml:space="preserve">  </w:t>
      </w:r>
    </w:p>
    <w:p w:rsidR="00BB7864" w:rsidRPr="00B921B6" w:rsidRDefault="00BB7864" w:rsidP="002C5561">
      <w:pPr>
        <w:pStyle w:val="Para1"/>
        <w:rPr>
          <w:lang w:val="en-CA"/>
        </w:rPr>
      </w:pPr>
      <w:r w:rsidRPr="00AE0AF2">
        <w:t>As of April 2018, 3</w:t>
      </w:r>
      <w:r w:rsidRPr="00AE49C4">
        <w:t>57</w:t>
      </w:r>
      <w:r>
        <w:t xml:space="preserve"> (</w:t>
      </w:r>
      <w:r w:rsidRPr="004078AE">
        <w:t>43</w:t>
      </w:r>
      <w:r>
        <w:t>.4</w:t>
      </w:r>
      <w:r w:rsidRPr="004078AE">
        <w:t xml:space="preserve">%) terrestrial </w:t>
      </w:r>
      <w:r>
        <w:t xml:space="preserve">ecoregions </w:t>
      </w:r>
      <w:r w:rsidRPr="00AE0AF2">
        <w:t>had at least 17% coverage; 9</w:t>
      </w:r>
      <w:r w:rsidRPr="00745C6A">
        <w:t>9</w:t>
      </w:r>
      <w:r w:rsidRPr="00AE0AF2">
        <w:t xml:space="preserve"> </w:t>
      </w:r>
      <w:r>
        <w:t xml:space="preserve">(42.7%) </w:t>
      </w:r>
      <w:r w:rsidRPr="00AE0AF2">
        <w:t xml:space="preserve">marine ecoregions and </w:t>
      </w:r>
      <w:r>
        <w:t xml:space="preserve">4 (10.8%) </w:t>
      </w:r>
      <w:r w:rsidRPr="00AE0AF2">
        <w:t xml:space="preserve"> pelagic provinces </w:t>
      </w:r>
      <w:r>
        <w:t>had at least 10% coverage by protected areas, as reported by</w:t>
      </w:r>
      <w:r w:rsidRPr="0089446D">
        <w:t xml:space="preserve"> the Digital Observatory for Protected Areas (DOPA) of the </w:t>
      </w:r>
      <w:r>
        <w:t xml:space="preserve">European Commission – Joint Research Centre </w:t>
      </w:r>
      <w:r>
        <w:lastRenderedPageBreak/>
        <w:t>(EC-JRC)</w:t>
      </w:r>
      <w:r>
        <w:rPr>
          <w:rStyle w:val="FootnoteReference"/>
        </w:rPr>
        <w:footnoteReference w:id="28"/>
      </w:r>
      <w:r>
        <w:t xml:space="preserve"> using the WDPA. </w:t>
      </w:r>
      <w:r w:rsidRPr="00B921B6">
        <w:t xml:space="preserve">Due to MPAs added by Brazil </w:t>
      </w:r>
      <w:r w:rsidR="00AD3628">
        <w:t xml:space="preserve">(designated in March and added to the WDPA </w:t>
      </w:r>
      <w:r w:rsidRPr="00B921B6">
        <w:t>in May 2018</w:t>
      </w:r>
      <w:r w:rsidR="00AD3628">
        <w:t>)</w:t>
      </w:r>
      <w:r w:rsidRPr="00B921B6">
        <w:t>, two more marine ecoregions (Sao Pedro and Sao Paulo Islands and Trindade and Martin Vaz Islands) now have coverage of more than 10%.</w:t>
      </w:r>
      <w:r>
        <w:t xml:space="preserve"> </w:t>
      </w:r>
      <w:r w:rsidRPr="00D6459B">
        <w:t>Figure 4 shows the protected area coverage for terrestrial ecoregions, marine ecoregions and pelagic provinces, as of April</w:t>
      </w:r>
      <w:r>
        <w:t xml:space="preserve"> 2018. </w:t>
      </w:r>
    </w:p>
    <w:p w:rsidR="00125DE7" w:rsidRPr="00B921B6" w:rsidRDefault="00D6459B" w:rsidP="00BB7864">
      <w:pPr>
        <w:pStyle w:val="Para1"/>
        <w:numPr>
          <w:ilvl w:val="0"/>
          <w:numId w:val="0"/>
        </w:numPr>
        <w:jc w:val="center"/>
        <w:rPr>
          <w:lang w:val="en-CA"/>
        </w:rPr>
      </w:pPr>
      <w:r>
        <w:rPr>
          <w:noProof/>
          <w:lang w:val="en-CA" w:eastAsia="en-CA"/>
        </w:rPr>
        <w:drawing>
          <wp:anchor distT="0" distB="0" distL="114300" distR="114300" simplePos="0" relativeHeight="251697664" behindDoc="1" locked="0" layoutInCell="1" allowOverlap="1" wp14:anchorId="24B6D461" wp14:editId="14FE5B2B">
            <wp:simplePos x="0" y="0"/>
            <wp:positionH relativeFrom="column">
              <wp:posOffset>-168275</wp:posOffset>
            </wp:positionH>
            <wp:positionV relativeFrom="paragraph">
              <wp:posOffset>62230</wp:posOffset>
            </wp:positionV>
            <wp:extent cx="6272530" cy="4615815"/>
            <wp:effectExtent l="0" t="0" r="0" b="0"/>
            <wp:wrapTight wrapText="bothSides">
              <wp:wrapPolygon edited="0">
                <wp:start x="0" y="0"/>
                <wp:lineTo x="0" y="21484"/>
                <wp:lineTo x="21517" y="21484"/>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gannon\Documents\sbstta22_sbi2\ECOREGION_PROTECTION_STATISTICS_2016_2018_FOR_CBD\Terrestrial_Marine_Ecoregions_2018_A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87" t="1874" r="1847" b="846"/>
                    <a:stretch/>
                  </pic:blipFill>
                  <pic:spPr bwMode="auto">
                    <a:xfrm>
                      <a:off x="0" y="0"/>
                      <a:ext cx="6272530" cy="4615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DE7" w:rsidRPr="00B921B6">
        <w:rPr>
          <w:rFonts w:cs="Times New Roman"/>
          <w:b/>
          <w:sz w:val="18"/>
          <w:lang w:val="en-US"/>
        </w:rPr>
        <w:t>Figure 4.</w:t>
      </w:r>
      <w:r w:rsidR="00125DE7" w:rsidRPr="00B921B6">
        <w:rPr>
          <w:rFonts w:cs="Times New Roman"/>
          <w:sz w:val="18"/>
          <w:lang w:val="en-US"/>
        </w:rPr>
        <w:t xml:space="preserve"> P</w:t>
      </w:r>
      <w:r>
        <w:rPr>
          <w:sz w:val="18"/>
          <w:szCs w:val="18"/>
          <w:lang w:val="en-US"/>
        </w:rPr>
        <w:t xml:space="preserve">rotected area coverage of </w:t>
      </w:r>
      <w:r w:rsidR="00125DE7" w:rsidRPr="00B921B6">
        <w:rPr>
          <w:sz w:val="18"/>
          <w:szCs w:val="18"/>
          <w:lang w:val="en-US"/>
        </w:rPr>
        <w:t xml:space="preserve">terrestrial and marine ecoregions </w:t>
      </w:r>
      <w:r>
        <w:rPr>
          <w:sz w:val="18"/>
          <w:szCs w:val="18"/>
          <w:lang w:val="en-US"/>
        </w:rPr>
        <w:t xml:space="preserve">and pelagic provinces, </w:t>
      </w:r>
      <w:r w:rsidR="00125DE7" w:rsidRPr="00B921B6">
        <w:rPr>
          <w:sz w:val="18"/>
          <w:szCs w:val="18"/>
          <w:lang w:val="en-US"/>
        </w:rPr>
        <w:t>as of April 2018.</w:t>
      </w:r>
      <w:r w:rsidR="00125DE7" w:rsidRPr="00B921B6">
        <w:rPr>
          <w:rStyle w:val="FootnoteReference"/>
          <w:szCs w:val="18"/>
          <w:lang w:val="en-US"/>
        </w:rPr>
        <w:footnoteReference w:id="29"/>
      </w:r>
    </w:p>
    <w:p w:rsidR="00D6459B" w:rsidRPr="00714CB5" w:rsidRDefault="00D6459B" w:rsidP="00D6459B">
      <w:pPr>
        <w:pStyle w:val="Para1"/>
      </w:pPr>
      <w:r w:rsidRPr="00714CB5">
        <w:rPr>
          <w:lang w:val="en-CA"/>
        </w:rPr>
        <w:t xml:space="preserve">There </w:t>
      </w:r>
      <w:r w:rsidRPr="00714CB5">
        <w:t xml:space="preserve">has been </w:t>
      </w:r>
      <w:r w:rsidR="00714CB5" w:rsidRPr="00714CB5">
        <w:t>general</w:t>
      </w:r>
      <w:r w:rsidRPr="00714CB5">
        <w:t xml:space="preserve"> improvement in the coverage of </w:t>
      </w:r>
      <w:r w:rsidR="00714CB5" w:rsidRPr="00714CB5">
        <w:t xml:space="preserve">both </w:t>
      </w:r>
      <w:r w:rsidRPr="00714CB5">
        <w:t xml:space="preserve">marine ecoregions </w:t>
      </w:r>
      <w:r w:rsidR="003D5BDC" w:rsidRPr="00714CB5">
        <w:t xml:space="preserve">and pelagic provinces </w:t>
      </w:r>
      <w:r w:rsidRPr="00714CB5">
        <w:t>over the last two years</w:t>
      </w:r>
      <w:r w:rsidR="003D5BDC" w:rsidRPr="00714CB5">
        <w:t xml:space="preserve"> (figure 5)</w:t>
      </w:r>
      <w:r w:rsidRPr="00714CB5">
        <w:t xml:space="preserve">. On the other hand, </w:t>
      </w:r>
      <w:r w:rsidRPr="00714CB5">
        <w:rPr>
          <w:lang w:val="en-CA"/>
        </w:rPr>
        <w:t xml:space="preserve">there </w:t>
      </w:r>
      <w:r w:rsidRPr="00714CB5">
        <w:t xml:space="preserve">has been </w:t>
      </w:r>
      <w:r w:rsidR="003D5BDC" w:rsidRPr="00714CB5">
        <w:t xml:space="preserve">only limited </w:t>
      </w:r>
      <w:r w:rsidRPr="00714CB5">
        <w:t>improvement in the coverage of the terrestrial ecoregions.</w:t>
      </w:r>
      <w:r w:rsidR="00714CB5" w:rsidRPr="00714CB5">
        <w:t xml:space="preserve"> While many terrestrial ecoregions increased in protected area coverage, a significant number also showed decreased coverage.</w:t>
      </w:r>
      <w:r w:rsidRPr="00714CB5">
        <w:t xml:space="preserve"> </w:t>
      </w:r>
      <w:r w:rsidR="003D5BDC" w:rsidRPr="00714CB5">
        <w:t xml:space="preserve">Figure 5 shows the changes in protected area coverage of terrestrial </w:t>
      </w:r>
      <w:r w:rsidR="00714CB5" w:rsidRPr="00714CB5">
        <w:t xml:space="preserve">ecoregions, </w:t>
      </w:r>
      <w:r w:rsidR="003D5BDC" w:rsidRPr="00714CB5">
        <w:t xml:space="preserve">marine ecoregions and pelagic provinces over the period from April 2016 to April 2018. </w:t>
      </w:r>
    </w:p>
    <w:p w:rsidR="00AD3628" w:rsidRPr="00AD3628" w:rsidRDefault="00AD3628" w:rsidP="00AD3628">
      <w:pPr>
        <w:pStyle w:val="Para1"/>
        <w:numPr>
          <w:ilvl w:val="0"/>
          <w:numId w:val="0"/>
        </w:numPr>
        <w:jc w:val="center"/>
        <w:rPr>
          <w:sz w:val="18"/>
        </w:rPr>
      </w:pPr>
      <w:r w:rsidRPr="00AD3628">
        <w:rPr>
          <w:b/>
          <w:sz w:val="18"/>
        </w:rPr>
        <w:lastRenderedPageBreak/>
        <w:t>Figure 5.</w:t>
      </w:r>
      <w:r w:rsidRPr="00AD3628">
        <w:rPr>
          <w:sz w:val="18"/>
        </w:rPr>
        <w:t xml:space="preserve"> Changes in protected area coverage of terrestrial ecoregions, marine ecoregions and pelagic provinces between April 2016 and April 2018.</w:t>
      </w:r>
      <w:r>
        <w:rPr>
          <w:rStyle w:val="FootnoteReference"/>
        </w:rPr>
        <w:footnoteReference w:id="30"/>
      </w:r>
      <w:r w:rsidRPr="00AD3628">
        <w:rPr>
          <w:noProof/>
          <w:sz w:val="18"/>
          <w:lang w:val="en-CA" w:eastAsia="en-CA"/>
        </w:rPr>
        <w:drawing>
          <wp:anchor distT="0" distB="0" distL="114300" distR="114300" simplePos="0" relativeHeight="251699712" behindDoc="1" locked="0" layoutInCell="1" allowOverlap="1" wp14:anchorId="1E24C77C" wp14:editId="0405AA28">
            <wp:simplePos x="0" y="0"/>
            <wp:positionH relativeFrom="column">
              <wp:posOffset>-45720</wp:posOffset>
            </wp:positionH>
            <wp:positionV relativeFrom="paragraph">
              <wp:posOffset>66040</wp:posOffset>
            </wp:positionV>
            <wp:extent cx="6272530" cy="4533900"/>
            <wp:effectExtent l="0" t="0" r="0" b="0"/>
            <wp:wrapTight wrapText="bothSides">
              <wp:wrapPolygon edited="0">
                <wp:start x="0" y="0"/>
                <wp:lineTo x="0" y="21509"/>
                <wp:lineTo x="21517" y="21509"/>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gannon\Documents\sbstta22_sbi2\ECOREGION_PROTECTION_STATISTICS_2016_2018_FOR_CBD\Terrestrial_Marine_Ecoregions_2018_A0.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272530" cy="453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0B67" w:rsidRPr="00714CB5" w:rsidRDefault="003D5BDC" w:rsidP="00D732EE">
      <w:pPr>
        <w:pStyle w:val="Para1"/>
      </w:pPr>
      <w:r w:rsidRPr="00714CB5">
        <w:t>F</w:t>
      </w:r>
      <w:r w:rsidR="00C427BB" w:rsidRPr="00714CB5">
        <w:t xml:space="preserve">igure </w:t>
      </w:r>
      <w:r w:rsidR="00D6459B" w:rsidRPr="00714CB5">
        <w:t>6</w:t>
      </w:r>
      <w:r w:rsidR="00C427BB" w:rsidRPr="00714CB5">
        <w:t xml:space="preserve"> shows </w:t>
      </w:r>
      <w:r w:rsidR="00714CB5" w:rsidRPr="00714CB5">
        <w:t>the protected area coverage for all ecoregions and pelagic provinces</w:t>
      </w:r>
      <w:r w:rsidR="00AD3628">
        <w:t xml:space="preserve"> as of April 2018</w:t>
      </w:r>
      <w:r w:rsidR="008F6D53">
        <w:t xml:space="preserve"> and </w:t>
      </w:r>
      <w:r w:rsidR="00AD3628">
        <w:t>compares this</w:t>
      </w:r>
      <w:r w:rsidR="00C427BB" w:rsidRPr="00714CB5">
        <w:t xml:space="preserve"> </w:t>
      </w:r>
      <w:r w:rsidR="00100B67" w:rsidRPr="00714CB5">
        <w:t xml:space="preserve">with biogeographic analyses carried out by </w:t>
      </w:r>
      <w:r w:rsidR="00C61177" w:rsidRPr="00714CB5">
        <w:t xml:space="preserve">the </w:t>
      </w:r>
      <w:r w:rsidR="00682022" w:rsidRPr="00714CB5">
        <w:t>DOPA</w:t>
      </w:r>
      <w:r w:rsidR="00100B67" w:rsidRPr="00714CB5">
        <w:t xml:space="preserve"> for the 2014 and 2016 </w:t>
      </w:r>
      <w:r w:rsidR="00100B67" w:rsidRPr="00714CB5">
        <w:rPr>
          <w:i/>
        </w:rPr>
        <w:t>Protected Planet Reports</w:t>
      </w:r>
      <w:r w:rsidR="00100B67" w:rsidRPr="00714CB5">
        <w:t xml:space="preserve">. </w:t>
      </w:r>
      <w:r w:rsidR="00EF30CC" w:rsidRPr="00714CB5">
        <w:t>A</w:t>
      </w:r>
      <w:r w:rsidR="00100B67" w:rsidRPr="00714CB5">
        <w:rPr>
          <w:lang w:val="en-CA"/>
        </w:rPr>
        <w:t>n increase in the number of ecoregions at higher levels of protected area coverage, as well as a decrease in the number of ecoregions at lower levels of protected area coverage (&lt;5%), show</w:t>
      </w:r>
      <w:r w:rsidR="00EF30CC" w:rsidRPr="00714CB5">
        <w:rPr>
          <w:lang w:val="en-CA"/>
        </w:rPr>
        <w:t>s</w:t>
      </w:r>
      <w:r w:rsidR="00100B67" w:rsidRPr="00714CB5">
        <w:rPr>
          <w:lang w:val="en-CA"/>
        </w:rPr>
        <w:t xml:space="preserve"> a general improvement in the ecological representation of the world’s protected areas.</w:t>
      </w:r>
      <w:r w:rsidR="00827E5A" w:rsidRPr="00714CB5">
        <w:rPr>
          <w:lang w:val="en-CA"/>
        </w:rPr>
        <w:t xml:space="preserve"> The improvement is most noticeable for </w:t>
      </w:r>
      <w:r w:rsidR="00C427BB" w:rsidRPr="00714CB5">
        <w:rPr>
          <w:lang w:val="en-CA"/>
        </w:rPr>
        <w:t xml:space="preserve">marine </w:t>
      </w:r>
      <w:r w:rsidR="00C61177" w:rsidRPr="00714CB5">
        <w:rPr>
          <w:lang w:val="en-CA"/>
        </w:rPr>
        <w:t>areas</w:t>
      </w:r>
      <w:r w:rsidR="00C427BB" w:rsidRPr="00714CB5">
        <w:rPr>
          <w:lang w:val="en-CA"/>
        </w:rPr>
        <w:t xml:space="preserve">, with an additional </w:t>
      </w:r>
      <w:r w:rsidR="00E40184" w:rsidRPr="00714CB5">
        <w:rPr>
          <w:lang w:val="en-CA"/>
        </w:rPr>
        <w:t>15</w:t>
      </w:r>
      <w:r w:rsidR="00C427BB" w:rsidRPr="00714CB5">
        <w:rPr>
          <w:lang w:val="en-CA"/>
        </w:rPr>
        <w:t xml:space="preserve"> </w:t>
      </w:r>
      <w:r w:rsidR="00C61177" w:rsidRPr="00714CB5">
        <w:rPr>
          <w:lang w:val="en-CA"/>
        </w:rPr>
        <w:t>marine ecoregions and one pelagic province sur</w:t>
      </w:r>
      <w:r w:rsidR="00C427BB" w:rsidRPr="00714CB5">
        <w:rPr>
          <w:lang w:val="en-CA"/>
        </w:rPr>
        <w:t>passing the 10% coverage target compared to the analysis from April 2016.</w:t>
      </w:r>
    </w:p>
    <w:p w:rsidR="00682022" w:rsidRPr="00C92459" w:rsidRDefault="00044EC3" w:rsidP="00C92459">
      <w:pPr>
        <w:pStyle w:val="Para1"/>
      </w:pPr>
      <w:r w:rsidRPr="00C92459">
        <w:rPr>
          <w:lang w:val="en-CA"/>
        </w:rPr>
        <w:t xml:space="preserve">Examples of improved coverage of marine ecoregions can be found in the </w:t>
      </w:r>
      <w:r w:rsidR="00C92459" w:rsidRPr="00C92459">
        <w:rPr>
          <w:lang w:val="en-CA"/>
        </w:rPr>
        <w:t>Chile (</w:t>
      </w:r>
      <w:r w:rsidR="00C92459" w:rsidRPr="00C92459">
        <w:t xml:space="preserve">Juan Fernández </w:t>
      </w:r>
      <w:r w:rsidR="00C92459" w:rsidRPr="00C92459">
        <w:rPr>
          <w:lang w:val="en-CA"/>
        </w:rPr>
        <w:t>and Desventuradas</w:t>
      </w:r>
      <w:r w:rsidR="00714CB5">
        <w:rPr>
          <w:lang w:val="en-CA"/>
        </w:rPr>
        <w:t>)</w:t>
      </w:r>
      <w:r w:rsidR="00C92459" w:rsidRPr="00C92459">
        <w:rPr>
          <w:lang w:val="en-CA"/>
        </w:rPr>
        <w:t>,</w:t>
      </w:r>
      <w:r w:rsidRPr="00C92459">
        <w:rPr>
          <w:lang w:val="en-CA"/>
        </w:rPr>
        <w:t xml:space="preserve"> following the establishment of the </w:t>
      </w:r>
      <w:r w:rsidR="00C92459" w:rsidRPr="00C92459">
        <w:t>Juan Fernández Archipelago MPA</w:t>
      </w:r>
      <w:r w:rsidRPr="00C92459">
        <w:t xml:space="preserve">, </w:t>
      </w:r>
      <w:r w:rsidRPr="00C92459">
        <w:rPr>
          <w:lang w:val="en-CA"/>
        </w:rPr>
        <w:t xml:space="preserve">and in Gabon (Gulf of Guinea South) following the creation an MPA network which </w:t>
      </w:r>
      <w:r w:rsidR="00714CB5">
        <w:rPr>
          <w:lang w:val="en-CA"/>
        </w:rPr>
        <w:t xml:space="preserve">now covers </w:t>
      </w:r>
      <w:r w:rsidRPr="00C92459">
        <w:rPr>
          <w:lang w:val="en-CA"/>
        </w:rPr>
        <w:t>28.8% of its EEZ.</w:t>
      </w:r>
      <w:r w:rsidR="00541156" w:rsidRPr="00C92459">
        <w:rPr>
          <w:lang w:val="en-CA"/>
        </w:rPr>
        <w:t xml:space="preserve"> Fo</w:t>
      </w:r>
      <w:r w:rsidR="003D5BDC" w:rsidRPr="00C92459">
        <w:rPr>
          <w:lang w:val="en-CA"/>
        </w:rPr>
        <w:t>llowing the establishment of large MPAs in the Cook Islands and Pitcairn</w:t>
      </w:r>
      <w:r w:rsidR="00C92459" w:rsidRPr="00C92459">
        <w:rPr>
          <w:lang w:val="en-CA"/>
        </w:rPr>
        <w:t>, two marine ecoregions (Southern Cook/Austral Islands and Rapa-Pitcairn) and one</w:t>
      </w:r>
      <w:r w:rsidR="00541156" w:rsidRPr="00C92459">
        <w:rPr>
          <w:lang w:val="en-CA"/>
        </w:rPr>
        <w:t xml:space="preserve"> pelagic province</w:t>
      </w:r>
      <w:r w:rsidR="00C92459" w:rsidRPr="00C92459">
        <w:rPr>
          <w:lang w:val="en-CA"/>
        </w:rPr>
        <w:t xml:space="preserve"> (</w:t>
      </w:r>
      <w:r w:rsidR="00541156" w:rsidRPr="00C92459">
        <w:rPr>
          <w:lang w:val="en-CA"/>
        </w:rPr>
        <w:t>South Central Pacific Gyre</w:t>
      </w:r>
      <w:r w:rsidR="00C92459" w:rsidRPr="00C92459">
        <w:rPr>
          <w:lang w:val="en-CA"/>
        </w:rPr>
        <w:t>)</w:t>
      </w:r>
      <w:r w:rsidR="00541156" w:rsidRPr="00C92459">
        <w:rPr>
          <w:lang w:val="en-CA"/>
        </w:rPr>
        <w:t xml:space="preserve"> now ha</w:t>
      </w:r>
      <w:r w:rsidR="00C92459" w:rsidRPr="00C92459">
        <w:rPr>
          <w:lang w:val="en-CA"/>
        </w:rPr>
        <w:t>ve</w:t>
      </w:r>
      <w:r w:rsidR="00541156" w:rsidRPr="00C92459">
        <w:rPr>
          <w:lang w:val="en-CA"/>
        </w:rPr>
        <w:t xml:space="preserve"> protected area coverage surpassing 10%</w:t>
      </w:r>
      <w:r w:rsidR="00C92459" w:rsidRPr="00C92459">
        <w:rPr>
          <w:lang w:val="en-CA"/>
        </w:rPr>
        <w:t>. The creation of the Ross Sea MPA in Antarctica and the expansion of MPAs in the</w:t>
      </w:r>
      <w:r w:rsidR="00C92459" w:rsidRPr="00C92459">
        <w:t xml:space="preserve"> French </w:t>
      </w:r>
      <w:r w:rsidR="00C92459" w:rsidRPr="00C92459">
        <w:rPr>
          <w:lang w:val="en-CA"/>
        </w:rPr>
        <w:t xml:space="preserve">Southern and Antarctic Territories has improved coverage for five marine ecoregions (three of which previously had coverage below the 10% target) as well as several pelagic provinces (figure 5). </w:t>
      </w:r>
    </w:p>
    <w:p w:rsidR="00044EC3" w:rsidRPr="00044EC3" w:rsidRDefault="00714CB5" w:rsidP="00044EC3">
      <w:pPr>
        <w:pStyle w:val="Para1"/>
      </w:pPr>
      <w:r w:rsidRPr="00714CB5">
        <w:rPr>
          <w:lang w:val="en-CA"/>
        </w:rPr>
        <w:t xml:space="preserve">In addition, </w:t>
      </w:r>
      <w:r w:rsidR="00044EC3" w:rsidRPr="00714CB5">
        <w:rPr>
          <w:lang w:val="en-CA"/>
        </w:rPr>
        <w:t>Romania added over 4,000 km</w:t>
      </w:r>
      <w:r w:rsidR="00044EC3" w:rsidRPr="00714CB5">
        <w:rPr>
          <w:vertAlign w:val="superscript"/>
          <w:lang w:val="en-CA"/>
        </w:rPr>
        <w:t>2</w:t>
      </w:r>
      <w:r w:rsidR="00044EC3" w:rsidRPr="00714CB5">
        <w:rPr>
          <w:lang w:val="en-CA"/>
        </w:rPr>
        <w:t xml:space="preserve"> (~15% of its EEZ), improving coverage of the Black Sea marine ecoregion </w:t>
      </w:r>
      <w:r w:rsidRPr="00714CB5">
        <w:rPr>
          <w:lang w:val="en-CA"/>
        </w:rPr>
        <w:t>to 9.5</w:t>
      </w:r>
      <w:r w:rsidR="00044EC3" w:rsidRPr="00714CB5">
        <w:rPr>
          <w:lang w:val="en-CA"/>
        </w:rPr>
        <w:t>%. Malta, in fulfillment of its voluntary commitment made during the UN Ocean Conference, added several sites (covering</w:t>
      </w:r>
      <w:r w:rsidR="00044EC3" w:rsidRPr="00556312">
        <w:rPr>
          <w:lang w:val="en-CA"/>
        </w:rPr>
        <w:t xml:space="preserve"> over 3,000 km</w:t>
      </w:r>
      <w:r w:rsidR="00044EC3" w:rsidRPr="00556312">
        <w:rPr>
          <w:vertAlign w:val="superscript"/>
          <w:lang w:val="en-CA"/>
        </w:rPr>
        <w:t>2</w:t>
      </w:r>
      <w:r w:rsidR="00044EC3" w:rsidRPr="00556312">
        <w:rPr>
          <w:lang w:val="en-CA"/>
        </w:rPr>
        <w:t xml:space="preserve"> and almost 6% of its EEZ), improving </w:t>
      </w:r>
      <w:r w:rsidR="00044EC3" w:rsidRPr="00556312">
        <w:rPr>
          <w:lang w:val="en-CA"/>
        </w:rPr>
        <w:lastRenderedPageBreak/>
        <w:t>coverage of the Ionian Sea marine ecoregion, which is now 9.6% covered by protected areas</w:t>
      </w:r>
      <w:r>
        <w:rPr>
          <w:lang w:val="en-CA"/>
        </w:rPr>
        <w:t xml:space="preserve">. Both marine ecoregions now fall </w:t>
      </w:r>
      <w:r w:rsidR="00044EC3" w:rsidRPr="00556312">
        <w:rPr>
          <w:lang w:val="en-CA"/>
        </w:rPr>
        <w:t>just short of the 10% target.</w:t>
      </w:r>
    </w:p>
    <w:p w:rsidR="00044EC3" w:rsidRPr="00556312" w:rsidRDefault="00E65912" w:rsidP="00044EC3">
      <w:pPr>
        <w:pStyle w:val="Para1"/>
      </w:pPr>
      <w:r>
        <w:rPr>
          <w:rFonts w:cs="Times New Roman"/>
          <w:b/>
          <w:noProof/>
          <w:sz w:val="18"/>
          <w:lang w:val="en-CA" w:eastAsia="en-CA"/>
        </w:rPr>
        <mc:AlternateContent>
          <mc:Choice Requires="wpg">
            <w:drawing>
              <wp:anchor distT="0" distB="0" distL="114300" distR="114300" simplePos="0" relativeHeight="251695616" behindDoc="0" locked="0" layoutInCell="1" allowOverlap="1" wp14:anchorId="0E84EF3A" wp14:editId="1CDA3FF1">
                <wp:simplePos x="0" y="0"/>
                <wp:positionH relativeFrom="column">
                  <wp:posOffset>-29845</wp:posOffset>
                </wp:positionH>
                <wp:positionV relativeFrom="paragraph">
                  <wp:posOffset>1983105</wp:posOffset>
                </wp:positionV>
                <wp:extent cx="6042025" cy="4242435"/>
                <wp:effectExtent l="0" t="0" r="15875" b="24765"/>
                <wp:wrapTight wrapText="bothSides">
                  <wp:wrapPolygon edited="0">
                    <wp:start x="0" y="0"/>
                    <wp:lineTo x="0" y="10766"/>
                    <wp:lineTo x="4154" y="10863"/>
                    <wp:lineTo x="4154" y="20174"/>
                    <wp:lineTo x="3133" y="20853"/>
                    <wp:lineTo x="2997" y="21047"/>
                    <wp:lineTo x="2997" y="21629"/>
                    <wp:lineTo x="21589" y="21629"/>
                    <wp:lineTo x="21589" y="20853"/>
                    <wp:lineTo x="18115" y="20174"/>
                    <wp:lineTo x="18115" y="10863"/>
                    <wp:lineTo x="21589" y="10766"/>
                    <wp:lineTo x="21589" y="0"/>
                    <wp:lineTo x="0" y="0"/>
                  </wp:wrapPolygon>
                </wp:wrapTight>
                <wp:docPr id="51" name="Group 51"/>
                <wp:cNvGraphicFramePr/>
                <a:graphic xmlns:a="http://schemas.openxmlformats.org/drawingml/2006/main">
                  <a:graphicData uri="http://schemas.microsoft.com/office/word/2010/wordprocessingGroup">
                    <wpg:wgp>
                      <wpg:cNvGrpSpPr/>
                      <wpg:grpSpPr>
                        <a:xfrm>
                          <a:off x="0" y="0"/>
                          <a:ext cx="6042025" cy="4242435"/>
                          <a:chOff x="0" y="-1"/>
                          <a:chExt cx="6042355" cy="4140018"/>
                        </a:xfrm>
                      </wpg:grpSpPr>
                      <wpg:graphicFrame>
                        <wpg:cNvPr id="46" name="Chart 46"/>
                        <wpg:cNvFrPr/>
                        <wpg:xfrm>
                          <a:off x="0" y="-1"/>
                          <a:ext cx="3021177" cy="2040555"/>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48" name="Chart 48"/>
                        <wpg:cNvFrPr/>
                        <wpg:xfrm>
                          <a:off x="3021177" y="0"/>
                          <a:ext cx="3021178" cy="2040555"/>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50" name="Chart 50"/>
                        <wpg:cNvFrPr/>
                        <wpg:xfrm>
                          <a:off x="1206713" y="2040555"/>
                          <a:ext cx="3818534" cy="2099462"/>
                        </wpg:xfrm>
                        <a:graphic>
                          <a:graphicData uri="http://schemas.openxmlformats.org/drawingml/2006/chart">
                            <c:chart xmlns:c="http://schemas.openxmlformats.org/drawingml/2006/chart" xmlns:r="http://schemas.openxmlformats.org/officeDocument/2006/relationships" r:id="rId36"/>
                          </a:graphicData>
                        </a:graphic>
                      </wpg:graphicFrame>
                    </wpg:wgp>
                  </a:graphicData>
                </a:graphic>
                <wp14:sizeRelV relativeFrom="margin">
                  <wp14:pctHeight>0</wp14:pctHeight>
                </wp14:sizeRelV>
              </wp:anchor>
            </w:drawing>
          </mc:Choice>
          <mc:Fallback>
            <w:pict>
              <v:group w14:anchorId="6F18E6A9" id="Group 51" o:spid="_x0000_s1026" style="position:absolute;margin-left:-2.35pt;margin-top:156.15pt;width:475.75pt;height:334.05pt;z-index:251695616;mso-height-relative:margin" coordorigin="" coordsize="60423,41400" o:gfxdata="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6" o:spid="_x0000_s1027" type="#_x0000_t75" style="position:absolute;width:30237;height:20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">
                  <v:imagedata r:id="rId37" o:title=""/>
                  <o:lock v:ext="edit" aspectratio="f"/>
                </v:shape>
                <v:shape id="Chart 48" o:spid="_x0000_s1028" type="#_x0000_t75" style="position:absolute;left:30176;width:30299;height:20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">
                  <v:imagedata r:id="rId38" o:title=""/>
                  <o:lock v:ext="edit" aspectratio="f"/>
                </v:shape>
                <v:shape id="Chart 50" o:spid="_x0000_s1029" type="#_x0000_t75" style="position:absolute;left:12009;top:20404;width:38285;height:209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">
                  <v:imagedata r:id="rId39" o:title=""/>
                  <o:lock v:ext="edit" aspectratio="f"/>
                </v:shape>
                <w10:wrap type="tight"/>
              </v:group>
            </w:pict>
          </mc:Fallback>
        </mc:AlternateContent>
      </w:r>
      <w:r w:rsidR="00044EC3" w:rsidRPr="00556312">
        <w:rPr>
          <w:lang w:val="en-CA"/>
        </w:rPr>
        <w:t xml:space="preserve">Cuba increased terrestrial protected area coverage from 12.4% in the April 2016 WDPA release to over 16.5% in May 2018, which has led to improved protected area coverage of five terrestrial ecoregions. Two of these ecoregions, Cuban cactus scrub and Cuban moist forests, now have protected area coverage surpassing the 17% target. This follows the commitments presented in Cuba’s NBSAP and their national priority actions: </w:t>
      </w:r>
      <w:r w:rsidR="00044EC3" w:rsidRPr="00576654">
        <w:t>to increase the protection of different landscape</w:t>
      </w:r>
      <w:r w:rsidR="00044EC3">
        <w:t>s</w:t>
      </w:r>
      <w:r w:rsidR="00044EC3" w:rsidRPr="00576654">
        <w:t xml:space="preserve"> and ecosystem types</w:t>
      </w:r>
      <w:r w:rsidR="00044EC3">
        <w:t xml:space="preserve">, including, </w:t>
      </w:r>
      <w:r w:rsidR="00044EC3" w:rsidRPr="00556312">
        <w:rPr>
          <w:i/>
        </w:rPr>
        <w:t xml:space="preserve">inter alia, </w:t>
      </w:r>
      <w:r w:rsidR="00044EC3">
        <w:t xml:space="preserve">a 3% increase in the coverage of natural wetlands and natural plant formations. The </w:t>
      </w:r>
      <w:r w:rsidR="00044EC3" w:rsidRPr="00556312">
        <w:rPr>
          <w:rFonts w:eastAsia="Times New Roman" w:cs="Arial"/>
          <w:lang w:eastAsia="en-CA"/>
        </w:rPr>
        <w:t xml:space="preserve">Cuban cactus scrub was identified as one of three ecoregions </w:t>
      </w:r>
      <w:r w:rsidR="00044EC3">
        <w:t>with</w:t>
      </w:r>
      <w:r w:rsidR="00044EC3" w:rsidRPr="00A30DDA">
        <w:t xml:space="preserve"> the highest priority for further protection </w:t>
      </w:r>
      <w:r w:rsidR="00044EC3">
        <w:t>in the data dossier prepared in advance of the regional capacity-building workshop</w:t>
      </w:r>
      <w:r w:rsidR="00044EC3" w:rsidRPr="00A30DDA">
        <w:t>.</w:t>
      </w:r>
      <w:r w:rsidR="00044EC3">
        <w:t xml:space="preserve"> Republic of Korea increased terrestrial protected area coverage by over 3,600 km</w:t>
      </w:r>
      <w:r w:rsidR="00044EC3" w:rsidRPr="00556312">
        <w:rPr>
          <w:vertAlign w:val="superscript"/>
        </w:rPr>
        <w:t>2</w:t>
      </w:r>
      <w:r w:rsidR="00044EC3">
        <w:t xml:space="preserve"> (3.65% of the country) over the last two years, improving protection of the </w:t>
      </w:r>
      <w:r w:rsidR="00044EC3" w:rsidRPr="002D5598">
        <w:t>Southern Korea evergreen forests</w:t>
      </w:r>
      <w:r w:rsidR="00044EC3">
        <w:t xml:space="preserve">. </w:t>
      </w:r>
      <w:r w:rsidR="00044EC3" w:rsidRPr="00556312">
        <w:t xml:space="preserve">This was the sole terrestrial ecoregion in the country given the highest priority as a candidate site for further protection, as it occurs entirely within the country and its protected area coverage was below the target. </w:t>
      </w:r>
    </w:p>
    <w:p w:rsidR="00541156" w:rsidRDefault="00541156" w:rsidP="00021F5B">
      <w:pPr>
        <w:spacing w:before="120"/>
        <w:jc w:val="center"/>
        <w:rPr>
          <w:rFonts w:cs="Times New Roman"/>
          <w:b/>
          <w:sz w:val="18"/>
          <w:lang w:val="en-US"/>
        </w:rPr>
      </w:pPr>
    </w:p>
    <w:p w:rsidR="00541156" w:rsidRDefault="00541156" w:rsidP="00021F5B">
      <w:pPr>
        <w:spacing w:before="120"/>
        <w:jc w:val="center"/>
        <w:rPr>
          <w:rFonts w:cs="Times New Roman"/>
          <w:b/>
          <w:sz w:val="18"/>
          <w:lang w:val="en-US"/>
        </w:rPr>
      </w:pPr>
    </w:p>
    <w:p w:rsidR="00541156" w:rsidRDefault="00541156" w:rsidP="00021F5B">
      <w:pPr>
        <w:spacing w:before="120"/>
        <w:jc w:val="center"/>
        <w:rPr>
          <w:rFonts w:cs="Times New Roman"/>
          <w:b/>
          <w:sz w:val="18"/>
          <w:lang w:val="en-US"/>
        </w:rPr>
      </w:pPr>
    </w:p>
    <w:p w:rsidR="00541156" w:rsidRDefault="00541156" w:rsidP="00021F5B">
      <w:pPr>
        <w:spacing w:before="120"/>
        <w:jc w:val="center"/>
        <w:rPr>
          <w:rFonts w:cs="Times New Roman"/>
          <w:b/>
          <w:sz w:val="18"/>
          <w:lang w:val="en-US"/>
        </w:rPr>
      </w:pPr>
    </w:p>
    <w:p w:rsidR="00541156" w:rsidRDefault="00541156" w:rsidP="00021F5B">
      <w:pPr>
        <w:spacing w:before="120"/>
        <w:jc w:val="center"/>
        <w:rPr>
          <w:rFonts w:cs="Times New Roman"/>
          <w:b/>
          <w:sz w:val="18"/>
          <w:lang w:val="en-US"/>
        </w:rPr>
      </w:pPr>
    </w:p>
    <w:p w:rsidR="00541156" w:rsidRDefault="00541156" w:rsidP="00021F5B">
      <w:pPr>
        <w:spacing w:before="120"/>
        <w:jc w:val="center"/>
        <w:rPr>
          <w:rFonts w:cs="Times New Roman"/>
          <w:b/>
          <w:sz w:val="18"/>
          <w:lang w:val="en-US"/>
        </w:rPr>
      </w:pPr>
    </w:p>
    <w:p w:rsidR="000F50BC" w:rsidRDefault="000F50BC" w:rsidP="00021F5B">
      <w:pPr>
        <w:spacing w:before="120"/>
        <w:jc w:val="center"/>
        <w:rPr>
          <w:rFonts w:cs="Times New Roman"/>
          <w:b/>
          <w:sz w:val="18"/>
          <w:lang w:val="en-US"/>
        </w:rPr>
      </w:pPr>
    </w:p>
    <w:p w:rsidR="005E33F8" w:rsidRDefault="005E33F8" w:rsidP="00021F5B">
      <w:pPr>
        <w:spacing w:before="120"/>
        <w:jc w:val="center"/>
        <w:rPr>
          <w:rFonts w:cs="Times New Roman"/>
          <w:b/>
          <w:sz w:val="18"/>
          <w:lang w:val="en-US"/>
        </w:rPr>
      </w:pPr>
    </w:p>
    <w:p w:rsidR="00777596" w:rsidRDefault="00777596" w:rsidP="00021F5B">
      <w:pPr>
        <w:spacing w:before="120"/>
        <w:jc w:val="center"/>
        <w:rPr>
          <w:rFonts w:cs="Times New Roman"/>
          <w:b/>
          <w:sz w:val="18"/>
          <w:lang w:val="en-US"/>
        </w:rPr>
      </w:pPr>
    </w:p>
    <w:p w:rsidR="009859A9" w:rsidRDefault="009859A9" w:rsidP="00021F5B">
      <w:pPr>
        <w:spacing w:before="120"/>
        <w:jc w:val="center"/>
        <w:rPr>
          <w:rFonts w:cs="Times New Roman"/>
          <w:b/>
          <w:sz w:val="18"/>
          <w:lang w:val="en-US"/>
        </w:rPr>
      </w:pPr>
    </w:p>
    <w:p w:rsidR="00777596" w:rsidRDefault="00777596" w:rsidP="00021F5B">
      <w:pPr>
        <w:spacing w:before="120"/>
        <w:jc w:val="center"/>
        <w:rPr>
          <w:rFonts w:cs="Times New Roman"/>
          <w:b/>
          <w:sz w:val="18"/>
          <w:lang w:val="en-US"/>
        </w:rPr>
      </w:pPr>
    </w:p>
    <w:p w:rsidR="00021F5B" w:rsidRPr="00B921B6" w:rsidRDefault="00021F5B" w:rsidP="00021F5B">
      <w:pPr>
        <w:spacing w:before="120"/>
        <w:jc w:val="center"/>
        <w:rPr>
          <w:rFonts w:cs="Times New Roman"/>
          <w:sz w:val="18"/>
          <w:lang w:val="en-US"/>
        </w:rPr>
      </w:pPr>
      <w:r w:rsidRPr="000924F0">
        <w:rPr>
          <w:rFonts w:cs="Times New Roman"/>
          <w:b/>
          <w:sz w:val="18"/>
          <w:lang w:val="en-US"/>
        </w:rPr>
        <w:t xml:space="preserve">Figure </w:t>
      </w:r>
      <w:r w:rsidR="000F50BC" w:rsidRPr="000924F0">
        <w:rPr>
          <w:rFonts w:cs="Times New Roman"/>
          <w:b/>
          <w:sz w:val="18"/>
          <w:lang w:val="en-US"/>
        </w:rPr>
        <w:t>6</w:t>
      </w:r>
      <w:r w:rsidRPr="000924F0">
        <w:rPr>
          <w:rFonts w:cs="Times New Roman"/>
          <w:b/>
          <w:sz w:val="18"/>
          <w:lang w:val="en-US"/>
        </w:rPr>
        <w:t>.</w:t>
      </w:r>
      <w:r w:rsidRPr="000924F0">
        <w:rPr>
          <w:rFonts w:cs="Times New Roman"/>
          <w:sz w:val="18"/>
          <w:lang w:val="en-US"/>
        </w:rPr>
        <w:t xml:space="preserve"> </w:t>
      </w:r>
      <w:r w:rsidR="00682022" w:rsidRPr="000924F0">
        <w:rPr>
          <w:sz w:val="18"/>
          <w:szCs w:val="18"/>
          <w:lang w:val="en-US"/>
        </w:rPr>
        <w:t>Number</w:t>
      </w:r>
      <w:r w:rsidR="00682022" w:rsidRPr="00C57140">
        <w:rPr>
          <w:sz w:val="18"/>
          <w:szCs w:val="18"/>
          <w:lang w:val="en-US"/>
        </w:rPr>
        <w:t xml:space="preserve"> of marine ecoregions, pelagic provinces, and terrestrial ecoregions at different levels of protected area coverage in August 2014, April 2016</w:t>
      </w:r>
      <w:r w:rsidR="00C61177">
        <w:rPr>
          <w:sz w:val="18"/>
          <w:szCs w:val="18"/>
          <w:lang w:val="en-US"/>
        </w:rPr>
        <w:t xml:space="preserve">, </w:t>
      </w:r>
      <w:r w:rsidR="00C61177" w:rsidRPr="000F50BC">
        <w:rPr>
          <w:sz w:val="18"/>
          <w:szCs w:val="18"/>
          <w:lang w:val="en-US"/>
        </w:rPr>
        <w:t>and</w:t>
      </w:r>
      <w:r w:rsidR="00C61177">
        <w:rPr>
          <w:sz w:val="18"/>
          <w:szCs w:val="18"/>
          <w:lang w:val="en-US"/>
        </w:rPr>
        <w:t xml:space="preserve"> </w:t>
      </w:r>
      <w:r w:rsidR="00C61177" w:rsidRPr="00C57140">
        <w:rPr>
          <w:sz w:val="18"/>
          <w:szCs w:val="18"/>
          <w:lang w:val="en-US"/>
        </w:rPr>
        <w:t>April 2018</w:t>
      </w:r>
      <w:r w:rsidR="00C61177">
        <w:rPr>
          <w:sz w:val="18"/>
          <w:szCs w:val="18"/>
          <w:lang w:val="en-US"/>
        </w:rPr>
        <w:t>.</w:t>
      </w:r>
      <w:r w:rsidR="00682022">
        <w:rPr>
          <w:rStyle w:val="FootnoteReference"/>
          <w:szCs w:val="18"/>
          <w:lang w:val="en-US"/>
        </w:rPr>
        <w:footnoteReference w:id="31"/>
      </w:r>
    </w:p>
    <w:p w:rsidR="00021F5B" w:rsidRPr="00B921B6" w:rsidRDefault="00021F5B" w:rsidP="001C5580">
      <w:pPr>
        <w:pStyle w:val="Para1"/>
      </w:pPr>
      <w:r w:rsidRPr="001C5580">
        <w:rPr>
          <w:lang w:val="en-CA"/>
        </w:rPr>
        <w:t xml:space="preserve">Another positive development is the reduction in the number of ecoregions with </w:t>
      </w:r>
      <w:r w:rsidR="001C5580" w:rsidRPr="001C5580">
        <w:rPr>
          <w:lang w:val="en-CA"/>
        </w:rPr>
        <w:t xml:space="preserve">lower levels of </w:t>
      </w:r>
      <w:r w:rsidRPr="001C5580">
        <w:rPr>
          <w:lang w:val="en-CA"/>
        </w:rPr>
        <w:t xml:space="preserve">protected area coverage (see figure </w:t>
      </w:r>
      <w:r w:rsidR="000F50BC" w:rsidRPr="001C5580">
        <w:rPr>
          <w:lang w:val="en-CA"/>
        </w:rPr>
        <w:t>6</w:t>
      </w:r>
      <w:r w:rsidRPr="001C5580">
        <w:rPr>
          <w:lang w:val="en-CA"/>
        </w:rPr>
        <w:t>)</w:t>
      </w:r>
      <w:r w:rsidR="001C5580" w:rsidRPr="001C5580">
        <w:rPr>
          <w:lang w:val="en-CA"/>
        </w:rPr>
        <w:t>, including those which previously had no protected areas</w:t>
      </w:r>
      <w:r w:rsidRPr="001C5580">
        <w:rPr>
          <w:lang w:val="en-CA"/>
        </w:rPr>
        <w:t xml:space="preserve">. For example, </w:t>
      </w:r>
      <w:r w:rsidRPr="00B921B6">
        <w:t>in Chad, terrestrial protected area coverage increased by more than 20,000 km</w:t>
      </w:r>
      <w:r w:rsidRPr="001C5580">
        <w:rPr>
          <w:vertAlign w:val="superscript"/>
        </w:rPr>
        <w:t>2</w:t>
      </w:r>
      <w:r w:rsidRPr="00B921B6">
        <w:t xml:space="preserve"> over the last two years. This has increased coverage for the East Saharan montane xeric woodlands to almost 50%, f</w:t>
      </w:r>
      <w:r w:rsidR="00777596">
        <w:t>or</w:t>
      </w:r>
      <w:r w:rsidRPr="00B921B6">
        <w:t xml:space="preserve"> an ecoregion which had 0% coverage in April 2016.</w:t>
      </w:r>
      <w:r w:rsidR="001C5580">
        <w:t xml:space="preserve"> Additionally, the increase in marine protected area coverage in Japan (from 0.5% in the April 2016 WDPA to over 8.2% in 2018) has led to improved coverage </w:t>
      </w:r>
      <w:r w:rsidR="001C5580">
        <w:lastRenderedPageBreak/>
        <w:t>for a number of marine ecoregions and pelagic provinces, including two pelagic provinces (Sea of Japan/East Sea and the Kuroshio-Oyashio Current) which previously had no recorded protected area coverage.</w:t>
      </w:r>
      <w:r w:rsidR="001C5580">
        <w:rPr>
          <w:rStyle w:val="FootnoteReference"/>
        </w:rPr>
        <w:footnoteReference w:id="32"/>
      </w:r>
    </w:p>
    <w:p w:rsidR="00100B67" w:rsidRPr="00576654" w:rsidRDefault="00100B67" w:rsidP="00607F23">
      <w:pPr>
        <w:pStyle w:val="Para1"/>
        <w:rPr>
          <w:lang w:val="en-CA"/>
        </w:rPr>
      </w:pPr>
      <w:r w:rsidRPr="00B921B6">
        <w:rPr>
          <w:lang w:val="en-CA"/>
        </w:rPr>
        <w:t xml:space="preserve">There remain </w:t>
      </w:r>
      <w:r w:rsidR="009A64FF" w:rsidRPr="00B921B6">
        <w:rPr>
          <w:lang w:val="en-CA"/>
        </w:rPr>
        <w:t>466</w:t>
      </w:r>
      <w:r w:rsidRPr="00B921B6">
        <w:rPr>
          <w:lang w:val="en-CA"/>
        </w:rPr>
        <w:t xml:space="preserve"> </w:t>
      </w:r>
      <w:r w:rsidR="00AD3628">
        <w:rPr>
          <w:lang w:val="en-CA"/>
        </w:rPr>
        <w:t xml:space="preserve">non-Antarctic </w:t>
      </w:r>
      <w:r w:rsidRPr="00B921B6">
        <w:rPr>
          <w:lang w:val="en-CA"/>
        </w:rPr>
        <w:t xml:space="preserve">terrestrial ecoregions with less than 17% coverage by protected areas, as well as </w:t>
      </w:r>
      <w:r w:rsidR="002D76A7">
        <w:rPr>
          <w:lang w:val="en-CA"/>
        </w:rPr>
        <w:t>13</w:t>
      </w:r>
      <w:r w:rsidR="00756872">
        <w:rPr>
          <w:lang w:val="en-CA"/>
        </w:rPr>
        <w:t>1</w:t>
      </w:r>
      <w:r w:rsidRPr="00B921B6">
        <w:rPr>
          <w:lang w:val="en-CA"/>
        </w:rPr>
        <w:t xml:space="preserve"> marine ecoregions and 33 pelagic provinces with less than 10% protection.</w:t>
      </w:r>
      <w:r w:rsidR="00E12986" w:rsidRPr="00B921B6">
        <w:rPr>
          <w:lang w:val="en-CA"/>
        </w:rPr>
        <w:t xml:space="preserve"> However, </w:t>
      </w:r>
      <w:r w:rsidR="002D5598" w:rsidRPr="00B921B6">
        <w:rPr>
          <w:lang w:val="en-CA"/>
        </w:rPr>
        <w:t>reaching</w:t>
      </w:r>
      <w:r w:rsidR="00E12986" w:rsidRPr="00B921B6">
        <w:t xml:space="preserve"> 17% in all terrestrial ecoregions</w:t>
      </w:r>
      <w:r w:rsidR="002D5598" w:rsidRPr="00B921B6">
        <w:t xml:space="preserve"> </w:t>
      </w:r>
      <w:r w:rsidR="00E12986" w:rsidRPr="00B921B6">
        <w:t>may be unrealistic due to the small size and fragmentation of remaining habitat in some ecore</w:t>
      </w:r>
      <w:r w:rsidR="00607F23" w:rsidRPr="00B921B6">
        <w:t xml:space="preserve">gions; more than </w:t>
      </w:r>
      <w:r w:rsidR="002D5598" w:rsidRPr="00B921B6">
        <w:t>180</w:t>
      </w:r>
      <w:r w:rsidR="00607F23" w:rsidRPr="00B921B6">
        <w:t xml:space="preserve"> ecoregions may </w:t>
      </w:r>
      <w:r w:rsidR="00E12986" w:rsidRPr="00B921B6">
        <w:t>not have</w:t>
      </w:r>
      <w:r w:rsidR="00E12986" w:rsidRPr="002D5598">
        <w:t xml:space="preserve"> enough remaining</w:t>
      </w:r>
      <w:r w:rsidR="00607F23">
        <w:t xml:space="preserve"> </w:t>
      </w:r>
      <w:r w:rsidR="00E12986" w:rsidRPr="00E12986">
        <w:t>natural or</w:t>
      </w:r>
      <w:r w:rsidR="00607F23">
        <w:t xml:space="preserve"> semi-natural habitat to reach this target.</w:t>
      </w:r>
      <w:r w:rsidR="00607F23">
        <w:rPr>
          <w:rStyle w:val="FootnoteReference"/>
        </w:rPr>
        <w:footnoteReference w:id="33"/>
      </w:r>
      <w:r w:rsidRPr="00576654">
        <w:rPr>
          <w:lang w:val="en-CA"/>
        </w:rPr>
        <w:t xml:space="preserve"> </w:t>
      </w:r>
    </w:p>
    <w:p w:rsidR="00100B67" w:rsidRPr="00607F23" w:rsidRDefault="00100B67" w:rsidP="00100B67">
      <w:pPr>
        <w:pStyle w:val="Para1"/>
        <w:rPr>
          <w:lang w:val="en-CA"/>
        </w:rPr>
      </w:pPr>
      <w:r w:rsidRPr="00607F23">
        <w:rPr>
          <w:lang w:val="en-CA"/>
        </w:rPr>
        <w:t xml:space="preserve">There were 174 priority actions addressing ecological representation of protected area networks identified by 93 Parties following the six regional capacity-building workshops, in addition to a range of commitments made </w:t>
      </w:r>
      <w:r w:rsidR="00FD0890">
        <w:rPr>
          <w:lang w:val="en-CA"/>
        </w:rPr>
        <w:t>by Parties in their</w:t>
      </w:r>
      <w:r w:rsidRPr="00607F23">
        <w:rPr>
          <w:lang w:val="en-CA"/>
        </w:rPr>
        <w:t xml:space="preserve"> NBSAP. For example,</w:t>
      </w:r>
      <w:r w:rsidRPr="00EE5636">
        <w:t xml:space="preserve"> </w:t>
      </w:r>
      <w:r>
        <w:t>Brazil has set specific targets for each of its six biomes: 30% protected area coverage for the Amazon, and 17% for the remaining five biomes. Some of these biomes (</w:t>
      </w:r>
      <w:r w:rsidRPr="002215EE">
        <w:t xml:space="preserve">Cerrado, Caatinga, Pantanal, </w:t>
      </w:r>
      <w:r>
        <w:t xml:space="preserve">and </w:t>
      </w:r>
      <w:r w:rsidRPr="002215EE">
        <w:t>Pampas)</w:t>
      </w:r>
      <w:r>
        <w:t xml:space="preserve"> are roughly aligned with a single terrestrial ecoregion, while the Amazon and Atlantic Forest biomes have a diverse array of ecoregions. Achievement of this target would provide positive impacts for ecological representation of the terrestrial protected area estate.</w:t>
      </w:r>
    </w:p>
    <w:p w:rsidR="00F122F9" w:rsidRDefault="00100B67" w:rsidP="00476A0E">
      <w:pPr>
        <w:pStyle w:val="Para1"/>
        <w:rPr>
          <w:lang w:val="en-CA"/>
        </w:rPr>
      </w:pPr>
      <w:r w:rsidRPr="00D732EE">
        <w:rPr>
          <w:lang w:val="en-CA"/>
        </w:rPr>
        <w:t xml:space="preserve">These </w:t>
      </w:r>
      <w:r w:rsidR="00D732EE" w:rsidRPr="00D732EE">
        <w:rPr>
          <w:lang w:val="en-CA"/>
        </w:rPr>
        <w:t xml:space="preserve">actions, together with the commitments for expanding protected area networks </w:t>
      </w:r>
      <w:r w:rsidRPr="00D732EE">
        <w:rPr>
          <w:lang w:val="en-CA"/>
        </w:rPr>
        <w:t>(</w:t>
      </w:r>
      <w:r w:rsidRPr="00476A0E">
        <w:rPr>
          <w:b/>
          <w:lang w:val="en-CA"/>
        </w:rPr>
        <w:t>Section II</w:t>
      </w:r>
      <w:r w:rsidRPr="00D732EE">
        <w:rPr>
          <w:lang w:val="en-CA"/>
        </w:rPr>
        <w:t xml:space="preserve">), will improve the status of this element of the target. As would </w:t>
      </w:r>
      <w:r w:rsidR="00D732EE" w:rsidRPr="00D732EE">
        <w:rPr>
          <w:lang w:val="en-CA"/>
        </w:rPr>
        <w:t>the recognition and support of ICCAs, and the systematic collection of information on private</w:t>
      </w:r>
      <w:r w:rsidR="00756872">
        <w:rPr>
          <w:lang w:val="en-CA"/>
        </w:rPr>
        <w:t>ly</w:t>
      </w:r>
      <w:r w:rsidR="00D732EE" w:rsidRPr="00D732EE">
        <w:rPr>
          <w:lang w:val="en-CA"/>
        </w:rPr>
        <w:t xml:space="preserve"> protected areas</w:t>
      </w:r>
      <w:r w:rsidR="00756872">
        <w:rPr>
          <w:lang w:val="en-CA"/>
        </w:rPr>
        <w:t xml:space="preserve"> (PPAs)</w:t>
      </w:r>
      <w:r w:rsidR="00D732EE" w:rsidRPr="00D732EE">
        <w:rPr>
          <w:lang w:val="en-CA"/>
        </w:rPr>
        <w:t xml:space="preserve"> and OECMs. The next step will need to involve </w:t>
      </w:r>
      <w:r w:rsidR="00FD0890">
        <w:rPr>
          <w:lang w:val="en-CA"/>
        </w:rPr>
        <w:t xml:space="preserve">the </w:t>
      </w:r>
      <w:r w:rsidR="00D732EE" w:rsidRPr="00D732EE">
        <w:rPr>
          <w:lang w:val="en-CA"/>
        </w:rPr>
        <w:t xml:space="preserve">mapping </w:t>
      </w:r>
      <w:r w:rsidR="00FD0890">
        <w:rPr>
          <w:lang w:val="en-CA"/>
        </w:rPr>
        <w:t xml:space="preserve">of </w:t>
      </w:r>
      <w:r w:rsidR="00D732EE" w:rsidRPr="00D732EE">
        <w:rPr>
          <w:lang w:val="en-CA"/>
        </w:rPr>
        <w:t xml:space="preserve">these areas with respect to their coverage of ecological regions. </w:t>
      </w:r>
    </w:p>
    <w:p w:rsidR="00F81B0D" w:rsidRDefault="003E5ACE" w:rsidP="00F44E90">
      <w:pPr>
        <w:pStyle w:val="Heading2"/>
        <w:numPr>
          <w:ilvl w:val="0"/>
          <w:numId w:val="8"/>
        </w:numPr>
      </w:pPr>
      <w:r w:rsidRPr="00576654">
        <w:t>Areas important for biodiversity</w:t>
      </w:r>
    </w:p>
    <w:tbl>
      <w:tblPr>
        <w:tblW w:w="9648" w:type="dxa"/>
        <w:tblLook w:val="04A0" w:firstRow="1" w:lastRow="0" w:firstColumn="1" w:lastColumn="0" w:noHBand="0" w:noVBand="1"/>
      </w:tblPr>
      <w:tblGrid>
        <w:gridCol w:w="1458"/>
        <w:gridCol w:w="1620"/>
        <w:gridCol w:w="1890"/>
        <w:gridCol w:w="1980"/>
        <w:gridCol w:w="2700"/>
      </w:tblGrid>
      <w:tr w:rsidR="00021F5B" w:rsidRPr="00BD6B4B" w:rsidTr="00756872">
        <w:tc>
          <w:tcPr>
            <w:tcW w:w="3078" w:type="dxa"/>
            <w:gridSpan w:val="2"/>
            <w:tcBorders>
              <w:top w:val="single" w:sz="18" w:space="0" w:color="auto"/>
              <w:bottom w:val="single" w:sz="12" w:space="0" w:color="auto"/>
            </w:tcBorders>
            <w:shd w:val="clear" w:color="auto" w:fill="auto"/>
            <w:vAlign w:val="center"/>
          </w:tcPr>
          <w:p w:rsidR="00021F5B" w:rsidRPr="004B4E8C" w:rsidRDefault="00021F5B" w:rsidP="006E1F2B">
            <w:pPr>
              <w:pStyle w:val="NoSpacing"/>
              <w:jc w:val="center"/>
              <w:rPr>
                <w:rFonts w:ascii="Times New Roman" w:hAnsi="Times New Roman"/>
                <w:b/>
                <w:sz w:val="18"/>
              </w:rPr>
            </w:pPr>
            <w:r w:rsidRPr="004B4E8C">
              <w:rPr>
                <w:rFonts w:ascii="Times New Roman" w:hAnsi="Times New Roman"/>
                <w:b/>
                <w:sz w:val="18"/>
              </w:rPr>
              <w:t>Element of Target 11</w:t>
            </w:r>
          </w:p>
          <w:p w:rsidR="00021F5B" w:rsidRPr="00BD6B4B" w:rsidRDefault="00021F5B" w:rsidP="006E1F2B">
            <w:pPr>
              <w:pStyle w:val="NoSpacing"/>
              <w:jc w:val="center"/>
            </w:pPr>
            <w:r w:rsidRPr="004B4E8C">
              <w:rPr>
                <w:rFonts w:ascii="Times New Roman" w:hAnsi="Times New Roman"/>
                <w:sz w:val="18"/>
              </w:rPr>
              <w:t>(and status from GBO-4 in 2014)</w:t>
            </w:r>
          </w:p>
        </w:tc>
        <w:tc>
          <w:tcPr>
            <w:tcW w:w="1890" w:type="dxa"/>
            <w:tcBorders>
              <w:top w:val="single" w:sz="18" w:space="0" w:color="auto"/>
              <w:bottom w:val="single" w:sz="12" w:space="0" w:color="auto"/>
            </w:tcBorders>
            <w:shd w:val="clear" w:color="auto" w:fill="auto"/>
            <w:vAlign w:val="center"/>
          </w:tcPr>
          <w:p w:rsidR="00021F5B" w:rsidRPr="004B4E8C" w:rsidRDefault="00021F5B" w:rsidP="006E1F2B">
            <w:pPr>
              <w:pStyle w:val="NoSpacing"/>
              <w:jc w:val="center"/>
              <w:rPr>
                <w:rFonts w:ascii="Times New Roman" w:hAnsi="Times New Roman"/>
                <w:b/>
                <w:sz w:val="18"/>
              </w:rPr>
            </w:pPr>
            <w:r w:rsidRPr="004B4E8C">
              <w:rPr>
                <w:rFonts w:ascii="Times New Roman" w:hAnsi="Times New Roman"/>
                <w:b/>
                <w:sz w:val="18"/>
              </w:rPr>
              <w:t>Status in 2016</w:t>
            </w:r>
          </w:p>
          <w:p w:rsidR="00021F5B" w:rsidRPr="00BD6B4B" w:rsidRDefault="00021F5B" w:rsidP="002D76A7">
            <w:pPr>
              <w:pStyle w:val="NoSpacing"/>
              <w:jc w:val="center"/>
            </w:pPr>
            <w:r w:rsidRPr="000516B5">
              <w:rPr>
                <w:rFonts w:ascii="Times New Roman" w:hAnsi="Times New Roman"/>
                <w:sz w:val="18"/>
              </w:rPr>
              <w:t>(</w:t>
            </w:r>
            <w:r w:rsidR="002D76A7">
              <w:rPr>
                <w:rFonts w:ascii="Times New Roman" w:hAnsi="Times New Roman"/>
                <w:sz w:val="18"/>
              </w:rPr>
              <w:t>as per the</w:t>
            </w:r>
            <w:r w:rsidR="006E1F2B">
              <w:rPr>
                <w:rFonts w:ascii="Times New Roman" w:hAnsi="Times New Roman"/>
                <w:sz w:val="18"/>
              </w:rPr>
              <w:t xml:space="preserve"> </w:t>
            </w:r>
            <w:r w:rsidRPr="000516B5">
              <w:rPr>
                <w:rFonts w:ascii="Times New Roman" w:hAnsi="Times New Roman"/>
                <w:i/>
                <w:sz w:val="18"/>
              </w:rPr>
              <w:t>Protected Planet Report 2016</w:t>
            </w:r>
            <w:r w:rsidRPr="000516B5">
              <w:rPr>
                <w:rFonts w:ascii="Times New Roman" w:hAnsi="Times New Roman"/>
                <w:sz w:val="18"/>
              </w:rPr>
              <w:t>)</w:t>
            </w:r>
          </w:p>
        </w:tc>
        <w:tc>
          <w:tcPr>
            <w:tcW w:w="1980" w:type="dxa"/>
            <w:tcBorders>
              <w:top w:val="single" w:sz="18" w:space="0" w:color="auto"/>
              <w:bottom w:val="single" w:sz="12" w:space="0" w:color="auto"/>
            </w:tcBorders>
            <w:shd w:val="clear" w:color="auto" w:fill="auto"/>
            <w:vAlign w:val="center"/>
          </w:tcPr>
          <w:p w:rsidR="00021F5B" w:rsidRPr="004B4E8C" w:rsidRDefault="00021F5B" w:rsidP="006E1F2B">
            <w:pPr>
              <w:pStyle w:val="NoSpacing"/>
              <w:jc w:val="center"/>
              <w:rPr>
                <w:rFonts w:ascii="Times New Roman" w:hAnsi="Times New Roman"/>
                <w:b/>
                <w:sz w:val="18"/>
              </w:rPr>
            </w:pPr>
            <w:r w:rsidRPr="004B4E8C">
              <w:rPr>
                <w:rFonts w:ascii="Times New Roman" w:hAnsi="Times New Roman"/>
                <w:b/>
                <w:sz w:val="18"/>
              </w:rPr>
              <w:t>Current Status</w:t>
            </w:r>
          </w:p>
          <w:p w:rsidR="00021F5B" w:rsidRPr="00E96E86" w:rsidRDefault="00021F5B" w:rsidP="006E1F2B">
            <w:pPr>
              <w:pStyle w:val="NoSpacing"/>
              <w:jc w:val="center"/>
              <w:rPr>
                <w:rFonts w:ascii="Times New Roman" w:hAnsi="Times New Roman"/>
              </w:rPr>
            </w:pPr>
            <w:r w:rsidRPr="004F5C8C">
              <w:rPr>
                <w:rFonts w:ascii="Times New Roman" w:hAnsi="Times New Roman"/>
                <w:sz w:val="18"/>
              </w:rPr>
              <w:t>(</w:t>
            </w:r>
            <w:r w:rsidR="004F5C8C" w:rsidRPr="004F5C8C">
              <w:rPr>
                <w:rFonts w:ascii="Times New Roman" w:hAnsi="Times New Roman"/>
                <w:sz w:val="18"/>
              </w:rPr>
              <w:t>from the 2018 SDG Report</w:t>
            </w:r>
            <w:r w:rsidRPr="004F5C8C">
              <w:rPr>
                <w:rFonts w:ascii="Times New Roman" w:hAnsi="Times New Roman"/>
                <w:sz w:val="18"/>
              </w:rPr>
              <w:t>)</w:t>
            </w:r>
          </w:p>
        </w:tc>
        <w:tc>
          <w:tcPr>
            <w:tcW w:w="2700" w:type="dxa"/>
            <w:tcBorders>
              <w:top w:val="single" w:sz="18" w:space="0" w:color="auto"/>
              <w:bottom w:val="single" w:sz="12" w:space="0" w:color="auto"/>
            </w:tcBorders>
            <w:shd w:val="clear" w:color="auto" w:fill="auto"/>
            <w:vAlign w:val="center"/>
          </w:tcPr>
          <w:p w:rsidR="00021F5B" w:rsidRPr="00BD6B4B" w:rsidRDefault="00021F5B" w:rsidP="006E1F2B">
            <w:pPr>
              <w:jc w:val="center"/>
              <w:rPr>
                <w:rFonts w:cs="Times New Roman"/>
                <w:b/>
                <w:sz w:val="18"/>
                <w:szCs w:val="18"/>
              </w:rPr>
            </w:pPr>
            <w:r w:rsidRPr="00BD6B4B">
              <w:rPr>
                <w:rFonts w:cs="Times New Roman"/>
                <w:b/>
                <w:sz w:val="18"/>
                <w:szCs w:val="18"/>
              </w:rPr>
              <w:t>Opportunities for 2020</w:t>
            </w:r>
          </w:p>
        </w:tc>
      </w:tr>
      <w:tr w:rsidR="000879C1" w:rsidRPr="00BD6B4B" w:rsidTr="00756872">
        <w:trPr>
          <w:trHeight w:val="775"/>
        </w:trPr>
        <w:tc>
          <w:tcPr>
            <w:tcW w:w="1458" w:type="dxa"/>
            <w:vMerge w:val="restart"/>
            <w:tcBorders>
              <w:top w:val="single" w:sz="12" w:space="0" w:color="auto"/>
            </w:tcBorders>
            <w:shd w:val="clear" w:color="auto" w:fill="auto"/>
            <w:vAlign w:val="center"/>
          </w:tcPr>
          <w:p w:rsidR="000879C1" w:rsidRPr="00BD6B4B" w:rsidRDefault="000879C1" w:rsidP="009A64FF">
            <w:pPr>
              <w:autoSpaceDE w:val="0"/>
              <w:autoSpaceDN w:val="0"/>
              <w:adjustRightInd w:val="0"/>
              <w:jc w:val="center"/>
              <w:rPr>
                <w:rFonts w:cs="Times New Roman"/>
                <w:b/>
                <w:sz w:val="18"/>
                <w:szCs w:val="18"/>
                <w:lang w:eastAsia="en-GB"/>
              </w:rPr>
            </w:pPr>
            <w:r w:rsidRPr="00BD6B4B">
              <w:rPr>
                <w:rFonts w:cs="Times New Roman"/>
                <w:b/>
                <w:sz w:val="18"/>
                <w:szCs w:val="18"/>
                <w:lang w:eastAsia="en-GB"/>
              </w:rPr>
              <w:t>Areas of particular importance for</w:t>
            </w:r>
          </w:p>
          <w:p w:rsidR="000879C1" w:rsidRDefault="000879C1" w:rsidP="009A64FF">
            <w:pPr>
              <w:autoSpaceDE w:val="0"/>
              <w:autoSpaceDN w:val="0"/>
              <w:adjustRightInd w:val="0"/>
              <w:jc w:val="center"/>
              <w:rPr>
                <w:b/>
                <w:sz w:val="18"/>
                <w:szCs w:val="18"/>
                <w:lang w:eastAsia="en-GB"/>
              </w:rPr>
            </w:pPr>
            <w:r w:rsidRPr="00BD6B4B">
              <w:rPr>
                <w:b/>
                <w:sz w:val="18"/>
                <w:szCs w:val="18"/>
                <w:lang w:eastAsia="en-GB"/>
              </w:rPr>
              <w:t>B</w:t>
            </w:r>
            <w:r w:rsidRPr="00BD6B4B">
              <w:rPr>
                <w:rFonts w:cs="Times New Roman"/>
                <w:b/>
                <w:sz w:val="18"/>
                <w:szCs w:val="18"/>
                <w:lang w:eastAsia="en-GB"/>
              </w:rPr>
              <w:t>iodiversity</w:t>
            </w:r>
          </w:p>
          <w:p w:rsidR="000879C1" w:rsidRDefault="000879C1" w:rsidP="000154FB">
            <w:pPr>
              <w:autoSpaceDE w:val="0"/>
              <w:autoSpaceDN w:val="0"/>
              <w:adjustRightInd w:val="0"/>
              <w:rPr>
                <w:b/>
                <w:sz w:val="18"/>
                <w:szCs w:val="18"/>
                <w:lang w:eastAsia="en-GB"/>
              </w:rPr>
            </w:pPr>
          </w:p>
          <w:p w:rsidR="000879C1" w:rsidRPr="00BD6B4B" w:rsidRDefault="000879C1" w:rsidP="009A64FF">
            <w:pPr>
              <w:autoSpaceDE w:val="0"/>
              <w:autoSpaceDN w:val="0"/>
              <w:adjustRightInd w:val="0"/>
              <w:jc w:val="center"/>
              <w:rPr>
                <w:rFonts w:cs="Times New Roman"/>
                <w:sz w:val="18"/>
                <w:szCs w:val="18"/>
              </w:rPr>
            </w:pPr>
            <w:r w:rsidRPr="00BD6B4B">
              <w:rPr>
                <w:rFonts w:cs="Times New Roman"/>
                <w:noProof/>
                <w:sz w:val="18"/>
                <w:szCs w:val="18"/>
                <w:lang w:val="en-CA" w:eastAsia="en-CA"/>
              </w:rPr>
              <w:drawing>
                <wp:inline distT="0" distB="0" distL="0" distR="0" wp14:anchorId="06F04BEC" wp14:editId="4B9D3E3A">
                  <wp:extent cx="630936" cy="411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 cy="411480"/>
                          </a:xfrm>
                          <a:prstGeom prst="rect">
                            <a:avLst/>
                          </a:prstGeom>
                        </pic:spPr>
                      </pic:pic>
                    </a:graphicData>
                  </a:graphic>
                </wp:inline>
              </w:drawing>
            </w:r>
          </w:p>
        </w:tc>
        <w:tc>
          <w:tcPr>
            <w:tcW w:w="1620" w:type="dxa"/>
            <w:tcBorders>
              <w:top w:val="single" w:sz="12" w:space="0" w:color="auto"/>
            </w:tcBorders>
            <w:shd w:val="clear" w:color="auto" w:fill="auto"/>
            <w:vAlign w:val="center"/>
          </w:tcPr>
          <w:p w:rsidR="000879C1" w:rsidRPr="00BD6B4B" w:rsidRDefault="000879C1" w:rsidP="000879C1">
            <w:pPr>
              <w:jc w:val="center"/>
              <w:rPr>
                <w:rFonts w:cs="Times New Roman"/>
                <w:sz w:val="18"/>
                <w:szCs w:val="18"/>
              </w:rPr>
            </w:pPr>
            <w:r>
              <w:rPr>
                <w:sz w:val="18"/>
                <w:szCs w:val="18"/>
              </w:rPr>
              <w:t xml:space="preserve">Mean % area of </w:t>
            </w:r>
            <w:r w:rsidRPr="00A26FA9">
              <w:rPr>
                <w:b/>
                <w:sz w:val="18"/>
                <w:szCs w:val="18"/>
              </w:rPr>
              <w:t>Terrestrial KBAs</w:t>
            </w:r>
            <w:r>
              <w:rPr>
                <w:sz w:val="18"/>
                <w:szCs w:val="18"/>
              </w:rPr>
              <w:t xml:space="preserve"> covered by PAs</w:t>
            </w:r>
          </w:p>
        </w:tc>
        <w:tc>
          <w:tcPr>
            <w:tcW w:w="1890" w:type="dxa"/>
            <w:tcBorders>
              <w:top w:val="single" w:sz="12" w:space="0" w:color="auto"/>
            </w:tcBorders>
            <w:shd w:val="clear" w:color="auto" w:fill="auto"/>
            <w:vAlign w:val="center"/>
          </w:tcPr>
          <w:p w:rsidR="000879C1" w:rsidRPr="00BD6B4B" w:rsidRDefault="000879C1" w:rsidP="000879C1">
            <w:pPr>
              <w:jc w:val="center"/>
              <w:rPr>
                <w:rFonts w:cs="Times New Roman"/>
                <w:sz w:val="18"/>
                <w:szCs w:val="18"/>
              </w:rPr>
            </w:pPr>
            <w:r>
              <w:rPr>
                <w:sz w:val="18"/>
                <w:szCs w:val="18"/>
              </w:rPr>
              <w:t>45.5%</w:t>
            </w:r>
          </w:p>
        </w:tc>
        <w:tc>
          <w:tcPr>
            <w:tcW w:w="1980" w:type="dxa"/>
            <w:tcBorders>
              <w:top w:val="single" w:sz="12" w:space="0" w:color="auto"/>
            </w:tcBorders>
            <w:shd w:val="clear" w:color="auto" w:fill="auto"/>
            <w:vAlign w:val="center"/>
          </w:tcPr>
          <w:p w:rsidR="000879C1" w:rsidRPr="00BD6B4B" w:rsidRDefault="000879C1" w:rsidP="000879C1">
            <w:pPr>
              <w:jc w:val="center"/>
              <w:rPr>
                <w:rFonts w:cs="Times New Roman"/>
                <w:sz w:val="18"/>
                <w:szCs w:val="18"/>
              </w:rPr>
            </w:pPr>
            <w:r>
              <w:rPr>
                <w:sz w:val="18"/>
                <w:szCs w:val="18"/>
              </w:rPr>
              <w:t>46.6%</w:t>
            </w:r>
          </w:p>
        </w:tc>
        <w:tc>
          <w:tcPr>
            <w:tcW w:w="2700" w:type="dxa"/>
            <w:vMerge w:val="restart"/>
            <w:tcBorders>
              <w:top w:val="single" w:sz="12" w:space="0" w:color="auto"/>
            </w:tcBorders>
            <w:shd w:val="clear" w:color="auto" w:fill="auto"/>
            <w:vAlign w:val="center"/>
          </w:tcPr>
          <w:p w:rsidR="000879C1" w:rsidRDefault="000879C1" w:rsidP="004F5C8C">
            <w:pPr>
              <w:jc w:val="center"/>
              <w:rPr>
                <w:sz w:val="18"/>
                <w:szCs w:val="18"/>
              </w:rPr>
            </w:pPr>
            <w:r>
              <w:rPr>
                <w:sz w:val="18"/>
                <w:szCs w:val="18"/>
              </w:rPr>
              <w:t>Implementation of all national commitments, r</w:t>
            </w:r>
            <w:r w:rsidRPr="00565A85">
              <w:rPr>
                <w:sz w:val="18"/>
                <w:szCs w:val="18"/>
              </w:rPr>
              <w:t>ecognition and support of ICCAs, and systematic collection of information</w:t>
            </w:r>
            <w:r>
              <w:rPr>
                <w:sz w:val="18"/>
                <w:szCs w:val="18"/>
              </w:rPr>
              <w:t xml:space="preserve"> </w:t>
            </w:r>
            <w:r w:rsidRPr="00565A85">
              <w:rPr>
                <w:sz w:val="18"/>
                <w:szCs w:val="18"/>
              </w:rPr>
              <w:t>on OECMs</w:t>
            </w:r>
            <w:r w:rsidR="00756872">
              <w:rPr>
                <w:sz w:val="18"/>
                <w:szCs w:val="18"/>
              </w:rPr>
              <w:t xml:space="preserve"> and PPAs</w:t>
            </w:r>
            <w:r>
              <w:rPr>
                <w:sz w:val="18"/>
                <w:szCs w:val="18"/>
              </w:rPr>
              <w:t>.</w:t>
            </w:r>
          </w:p>
          <w:p w:rsidR="000879C1" w:rsidRPr="00BD6B4B" w:rsidRDefault="000879C1" w:rsidP="000154FB">
            <w:pPr>
              <w:jc w:val="center"/>
              <w:rPr>
                <w:rFonts w:cs="Times New Roman"/>
                <w:sz w:val="18"/>
                <w:szCs w:val="18"/>
              </w:rPr>
            </w:pPr>
            <w:r w:rsidRPr="00BD6B4B">
              <w:rPr>
                <w:rFonts w:cs="Times New Roman"/>
                <w:noProof/>
                <w:sz w:val="18"/>
                <w:szCs w:val="18"/>
                <w:lang w:val="en-CA" w:eastAsia="en-CA"/>
              </w:rPr>
              <w:drawing>
                <wp:inline distT="0" distB="0" distL="0" distR="0" wp14:anchorId="6A691853" wp14:editId="5CD71F83">
                  <wp:extent cx="640080" cy="4114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411480"/>
                          </a:xfrm>
                          <a:prstGeom prst="rect">
                            <a:avLst/>
                          </a:prstGeom>
                        </pic:spPr>
                      </pic:pic>
                    </a:graphicData>
                  </a:graphic>
                </wp:inline>
              </w:drawing>
            </w:r>
          </w:p>
        </w:tc>
      </w:tr>
      <w:tr w:rsidR="000879C1" w:rsidRPr="00BD6B4B" w:rsidTr="00756872">
        <w:trPr>
          <w:trHeight w:val="814"/>
        </w:trPr>
        <w:tc>
          <w:tcPr>
            <w:tcW w:w="1458" w:type="dxa"/>
            <w:vMerge/>
            <w:shd w:val="clear" w:color="auto" w:fill="auto"/>
            <w:vAlign w:val="center"/>
          </w:tcPr>
          <w:p w:rsidR="000879C1" w:rsidRPr="00BD6B4B" w:rsidRDefault="000879C1" w:rsidP="000154FB">
            <w:pPr>
              <w:autoSpaceDE w:val="0"/>
              <w:autoSpaceDN w:val="0"/>
              <w:adjustRightInd w:val="0"/>
              <w:rPr>
                <w:b/>
                <w:sz w:val="18"/>
                <w:szCs w:val="18"/>
                <w:lang w:eastAsia="en-GB"/>
              </w:rPr>
            </w:pPr>
          </w:p>
        </w:tc>
        <w:tc>
          <w:tcPr>
            <w:tcW w:w="1620" w:type="dxa"/>
            <w:shd w:val="clear" w:color="auto" w:fill="auto"/>
            <w:vAlign w:val="center"/>
          </w:tcPr>
          <w:p w:rsidR="000879C1" w:rsidRPr="00BD6B4B" w:rsidRDefault="000879C1" w:rsidP="000879C1">
            <w:pPr>
              <w:jc w:val="center"/>
              <w:rPr>
                <w:sz w:val="18"/>
                <w:szCs w:val="18"/>
              </w:rPr>
            </w:pPr>
            <w:r>
              <w:rPr>
                <w:sz w:val="18"/>
                <w:szCs w:val="18"/>
              </w:rPr>
              <w:t xml:space="preserve">Mean % area of </w:t>
            </w:r>
            <w:r w:rsidRPr="00A26FA9">
              <w:rPr>
                <w:b/>
                <w:sz w:val="18"/>
                <w:szCs w:val="18"/>
              </w:rPr>
              <w:t>Marine KBAs</w:t>
            </w:r>
            <w:r>
              <w:rPr>
                <w:sz w:val="18"/>
                <w:szCs w:val="18"/>
              </w:rPr>
              <w:t xml:space="preserve"> covered by PAs</w:t>
            </w:r>
          </w:p>
        </w:tc>
        <w:tc>
          <w:tcPr>
            <w:tcW w:w="1890" w:type="dxa"/>
            <w:shd w:val="clear" w:color="auto" w:fill="auto"/>
            <w:vAlign w:val="center"/>
          </w:tcPr>
          <w:p w:rsidR="000879C1" w:rsidRDefault="000879C1" w:rsidP="000879C1">
            <w:pPr>
              <w:jc w:val="center"/>
              <w:rPr>
                <w:sz w:val="18"/>
                <w:szCs w:val="18"/>
              </w:rPr>
            </w:pPr>
            <w:r>
              <w:rPr>
                <w:sz w:val="18"/>
                <w:szCs w:val="18"/>
              </w:rPr>
              <w:t>41.3%</w:t>
            </w:r>
          </w:p>
        </w:tc>
        <w:tc>
          <w:tcPr>
            <w:tcW w:w="1980" w:type="dxa"/>
            <w:shd w:val="clear" w:color="auto" w:fill="auto"/>
            <w:vAlign w:val="center"/>
          </w:tcPr>
          <w:p w:rsidR="000879C1" w:rsidRPr="00BD6B4B" w:rsidRDefault="000879C1" w:rsidP="000879C1">
            <w:pPr>
              <w:jc w:val="center"/>
              <w:rPr>
                <w:sz w:val="18"/>
                <w:szCs w:val="18"/>
              </w:rPr>
            </w:pPr>
            <w:r>
              <w:rPr>
                <w:sz w:val="18"/>
                <w:szCs w:val="18"/>
              </w:rPr>
              <w:t>44.3%</w:t>
            </w:r>
          </w:p>
        </w:tc>
        <w:tc>
          <w:tcPr>
            <w:tcW w:w="2700" w:type="dxa"/>
            <w:vMerge/>
            <w:shd w:val="clear" w:color="auto" w:fill="auto"/>
            <w:vAlign w:val="center"/>
          </w:tcPr>
          <w:p w:rsidR="000879C1" w:rsidRPr="00BD6B4B" w:rsidRDefault="000879C1" w:rsidP="000154FB">
            <w:pPr>
              <w:jc w:val="center"/>
              <w:rPr>
                <w:sz w:val="18"/>
                <w:szCs w:val="18"/>
              </w:rPr>
            </w:pPr>
          </w:p>
        </w:tc>
      </w:tr>
      <w:tr w:rsidR="000879C1" w:rsidRPr="00BD6B4B" w:rsidTr="00756872">
        <w:trPr>
          <w:trHeight w:val="301"/>
        </w:trPr>
        <w:tc>
          <w:tcPr>
            <w:tcW w:w="1458" w:type="dxa"/>
            <w:vMerge/>
            <w:tcBorders>
              <w:bottom w:val="single" w:sz="18" w:space="0" w:color="auto"/>
            </w:tcBorders>
            <w:shd w:val="clear" w:color="auto" w:fill="auto"/>
            <w:vAlign w:val="center"/>
          </w:tcPr>
          <w:p w:rsidR="000879C1" w:rsidRPr="00BD6B4B" w:rsidRDefault="000879C1" w:rsidP="000154FB">
            <w:pPr>
              <w:autoSpaceDE w:val="0"/>
              <w:autoSpaceDN w:val="0"/>
              <w:adjustRightInd w:val="0"/>
              <w:rPr>
                <w:b/>
                <w:sz w:val="18"/>
                <w:szCs w:val="18"/>
                <w:lang w:eastAsia="en-GB"/>
              </w:rPr>
            </w:pPr>
          </w:p>
        </w:tc>
        <w:tc>
          <w:tcPr>
            <w:tcW w:w="1620" w:type="dxa"/>
            <w:tcBorders>
              <w:bottom w:val="single" w:sz="18" w:space="0" w:color="auto"/>
            </w:tcBorders>
            <w:shd w:val="clear" w:color="auto" w:fill="auto"/>
            <w:vAlign w:val="center"/>
          </w:tcPr>
          <w:p w:rsidR="000879C1" w:rsidRDefault="000879C1" w:rsidP="004F5C8C">
            <w:pPr>
              <w:jc w:val="center"/>
              <w:rPr>
                <w:sz w:val="18"/>
                <w:szCs w:val="18"/>
              </w:rPr>
            </w:pPr>
          </w:p>
        </w:tc>
        <w:tc>
          <w:tcPr>
            <w:tcW w:w="1890" w:type="dxa"/>
            <w:tcBorders>
              <w:bottom w:val="single" w:sz="18" w:space="0" w:color="auto"/>
            </w:tcBorders>
            <w:shd w:val="clear" w:color="auto" w:fill="auto"/>
            <w:vAlign w:val="center"/>
          </w:tcPr>
          <w:p w:rsidR="000879C1" w:rsidRDefault="000879C1" w:rsidP="000154FB">
            <w:pPr>
              <w:jc w:val="center"/>
              <w:rPr>
                <w:sz w:val="18"/>
                <w:szCs w:val="18"/>
              </w:rPr>
            </w:pPr>
          </w:p>
        </w:tc>
        <w:tc>
          <w:tcPr>
            <w:tcW w:w="1980" w:type="dxa"/>
            <w:tcBorders>
              <w:bottom w:val="single" w:sz="18" w:space="0" w:color="auto"/>
            </w:tcBorders>
            <w:shd w:val="clear" w:color="auto" w:fill="auto"/>
            <w:vAlign w:val="center"/>
          </w:tcPr>
          <w:p w:rsidR="000879C1" w:rsidRDefault="000879C1" w:rsidP="000154FB">
            <w:pPr>
              <w:jc w:val="center"/>
              <w:rPr>
                <w:sz w:val="18"/>
                <w:szCs w:val="18"/>
              </w:rPr>
            </w:pPr>
          </w:p>
        </w:tc>
        <w:tc>
          <w:tcPr>
            <w:tcW w:w="2700" w:type="dxa"/>
            <w:vMerge/>
            <w:tcBorders>
              <w:bottom w:val="single" w:sz="18" w:space="0" w:color="auto"/>
            </w:tcBorders>
            <w:shd w:val="clear" w:color="auto" w:fill="auto"/>
            <w:vAlign w:val="center"/>
          </w:tcPr>
          <w:p w:rsidR="000879C1" w:rsidRPr="00BD6B4B" w:rsidRDefault="000879C1" w:rsidP="000154FB">
            <w:pPr>
              <w:jc w:val="center"/>
              <w:rPr>
                <w:sz w:val="18"/>
                <w:szCs w:val="18"/>
              </w:rPr>
            </w:pPr>
          </w:p>
        </w:tc>
      </w:tr>
    </w:tbl>
    <w:p w:rsidR="003B3F35" w:rsidRDefault="0073019C" w:rsidP="006D13C6">
      <w:pPr>
        <w:pStyle w:val="Para1"/>
      </w:pPr>
      <w:r w:rsidRPr="00576654">
        <w:t>For assessing progress towards the conservation of areas important for biodiversity, protected area coverage of Key Biodiversity Areas (KBAs) provides the most commonly used indicator.</w:t>
      </w:r>
      <w:r w:rsidR="00323722">
        <w:rPr>
          <w:rStyle w:val="FootnoteReference"/>
        </w:rPr>
        <w:footnoteReference w:id="34"/>
      </w:r>
      <w:r w:rsidRPr="00576654">
        <w:t xml:space="preserve"> </w:t>
      </w:r>
      <w:r w:rsidR="006A2728">
        <w:t xml:space="preserve">KBAs are </w:t>
      </w:r>
      <w:r w:rsidR="006D13C6">
        <w:t>identified using global criteria with quantitative thresholds, and aim to identify sites that contribute significantly to the global persistence of biodiversity. Sites may qualify as a</w:t>
      </w:r>
      <w:r w:rsidR="00AB57B8">
        <w:t xml:space="preserve"> global</w:t>
      </w:r>
      <w:r w:rsidR="006D13C6">
        <w:t xml:space="preserve"> KBA by meeting at least </w:t>
      </w:r>
      <w:r w:rsidR="00AB57B8">
        <w:t xml:space="preserve">one </w:t>
      </w:r>
      <w:r w:rsidR="006D13C6" w:rsidRPr="002D5598">
        <w:t>of the designated criteria, grouped</w:t>
      </w:r>
      <w:r w:rsidR="006D13C6">
        <w:t xml:space="preserve"> under five categories: threatened biodiversity</w:t>
      </w:r>
      <w:r w:rsidR="006A0370">
        <w:t>,</w:t>
      </w:r>
      <w:r w:rsidR="006D13C6">
        <w:t xml:space="preserve"> geographically restricted biodiversity</w:t>
      </w:r>
      <w:r w:rsidR="006A0370">
        <w:t>,</w:t>
      </w:r>
      <w:r w:rsidR="006D13C6">
        <w:t xml:space="preserve"> ecological integrity</w:t>
      </w:r>
      <w:r w:rsidR="006A0370">
        <w:t xml:space="preserve">, </w:t>
      </w:r>
      <w:r w:rsidR="006D13C6">
        <w:t xml:space="preserve">biological </w:t>
      </w:r>
      <w:r w:rsidR="006A0370">
        <w:t>processes,</w:t>
      </w:r>
      <w:r w:rsidR="006D13C6">
        <w:t xml:space="preserve"> and irreplaceability.</w:t>
      </w:r>
      <w:r w:rsidR="002D5598">
        <w:rPr>
          <w:rStyle w:val="FootnoteReference"/>
        </w:rPr>
        <w:footnoteReference w:id="35"/>
      </w:r>
    </w:p>
    <w:p w:rsidR="002D5598" w:rsidRPr="00556312" w:rsidRDefault="006D13C6" w:rsidP="00CC5385">
      <w:pPr>
        <w:pStyle w:val="Para1"/>
      </w:pPr>
      <w:r>
        <w:t xml:space="preserve">KBAs </w:t>
      </w:r>
      <w:r w:rsidR="000E70F1">
        <w:t xml:space="preserve">currently </w:t>
      </w:r>
      <w:r>
        <w:t xml:space="preserve">include </w:t>
      </w:r>
      <w:r w:rsidR="000E70F1" w:rsidRPr="000E70F1">
        <w:t>Alliance for Zero Extinction sites (</w:t>
      </w:r>
      <w:r w:rsidR="000E70F1">
        <w:t>which contain</w:t>
      </w:r>
      <w:r w:rsidR="000E70F1" w:rsidRPr="000E70F1">
        <w:t xml:space="preserve"> more than 95</w:t>
      </w:r>
      <w:r w:rsidR="000E70F1">
        <w:t>%</w:t>
      </w:r>
      <w:r w:rsidR="000E70F1" w:rsidRPr="000E70F1">
        <w:t xml:space="preserve"> per cent of the global</w:t>
      </w:r>
      <w:r w:rsidR="000E70F1">
        <w:t xml:space="preserve"> </w:t>
      </w:r>
      <w:r w:rsidR="000E70F1" w:rsidRPr="000E70F1">
        <w:t>population of highly threatened species</w:t>
      </w:r>
      <w:r w:rsidR="000E70F1">
        <w:t>),</w:t>
      </w:r>
      <w:r w:rsidR="000E70F1" w:rsidRPr="000E70F1">
        <w:t xml:space="preserve"> Important Bird and Biodiversity Areas (</w:t>
      </w:r>
      <w:r w:rsidR="000E70F1">
        <w:t>sites of global significance for the conservation of birds and other biodiversity</w:t>
      </w:r>
      <w:r w:rsidR="00AB57B8">
        <w:t>,</w:t>
      </w:r>
      <w:r w:rsidR="000E70F1">
        <w:t xml:space="preserve"> identified by the BirdLife International Partnership</w:t>
      </w:r>
      <w:r w:rsidR="000E70F1" w:rsidRPr="000E70F1">
        <w:t>), IUCN Freshwater KBAs</w:t>
      </w:r>
      <w:r w:rsidR="000E70F1">
        <w:t>,</w:t>
      </w:r>
      <w:r w:rsidR="000E70F1" w:rsidRPr="000E70F1">
        <w:t xml:space="preserve"> </w:t>
      </w:r>
      <w:r w:rsidR="000E70F1">
        <w:t>as well as</w:t>
      </w:r>
      <w:r w:rsidR="000E70F1" w:rsidRPr="000E70F1">
        <w:t xml:space="preserve"> KBAs identified through the Criti</w:t>
      </w:r>
      <w:r w:rsidR="000E70F1">
        <w:t xml:space="preserve">cal Ecosystem Partnership Fund </w:t>
      </w:r>
      <w:r w:rsidR="000E70F1" w:rsidRPr="000E70F1">
        <w:t>hotspot profiling process</w:t>
      </w:r>
      <w:r w:rsidR="00FA660B">
        <w:t xml:space="preserve">. The global network of KBAs </w:t>
      </w:r>
      <w:r w:rsidR="003F0F5B">
        <w:t xml:space="preserve">is still growing, </w:t>
      </w:r>
      <w:r w:rsidR="003F0F5B">
        <w:lastRenderedPageBreak/>
        <w:t xml:space="preserve">following the </w:t>
      </w:r>
      <w:r w:rsidR="00E16BDF" w:rsidRPr="00E16BDF">
        <w:t>develop</w:t>
      </w:r>
      <w:r w:rsidR="00E16BDF">
        <w:t>ment</w:t>
      </w:r>
      <w:r w:rsidR="00E16BDF" w:rsidRPr="00E16BDF">
        <w:t xml:space="preserve"> of a new global standard for the</w:t>
      </w:r>
      <w:r w:rsidR="00E16BDF">
        <w:t>ir</w:t>
      </w:r>
      <w:r w:rsidR="00E16BDF" w:rsidRPr="00E16BDF">
        <w:t xml:space="preserve"> identification</w:t>
      </w:r>
      <w:r w:rsidR="002D5598">
        <w:t>,</w:t>
      </w:r>
      <w:r w:rsidR="00AB57B8">
        <w:rPr>
          <w:rStyle w:val="FootnoteReference"/>
        </w:rPr>
        <w:footnoteReference w:id="36"/>
      </w:r>
      <w:r w:rsidR="002D5598">
        <w:t xml:space="preserve"> as it continues to incorporate </w:t>
      </w:r>
      <w:r w:rsidR="002D5598" w:rsidRPr="00556312">
        <w:t xml:space="preserve">further taxonomic groups and </w:t>
      </w:r>
      <w:r w:rsidR="00CB239B" w:rsidRPr="00556312">
        <w:t>different levels of biodiversity</w:t>
      </w:r>
      <w:r w:rsidR="002D5598" w:rsidRPr="00556312">
        <w:t>.</w:t>
      </w:r>
    </w:p>
    <w:p w:rsidR="00CC5385" w:rsidRPr="00576654" w:rsidRDefault="00CC5385" w:rsidP="00CC5385">
      <w:pPr>
        <w:pStyle w:val="Para1"/>
      </w:pPr>
      <w:r w:rsidRPr="00556312">
        <w:t xml:space="preserve">There has been a </w:t>
      </w:r>
      <w:r w:rsidR="00FD0890" w:rsidRPr="00556312">
        <w:t>change</w:t>
      </w:r>
      <w:r w:rsidRPr="00556312">
        <w:t xml:space="preserve"> in the way that this indicator is presented since the update provided for COP13</w:t>
      </w:r>
      <w:r w:rsidR="000E2DDE" w:rsidRPr="00556312">
        <w:t xml:space="preserve"> (</w:t>
      </w:r>
      <w:hyperlink r:id="rId40" w:history="1">
        <w:r w:rsidR="000E2DDE" w:rsidRPr="00556312">
          <w:rPr>
            <w:rStyle w:val="Hyperlink"/>
          </w:rPr>
          <w:t>UNEP/CBD/COP/13/INF/17</w:t>
        </w:r>
      </w:hyperlink>
      <w:r w:rsidR="000E2DDE" w:rsidRPr="00556312">
        <w:t xml:space="preserve">) and </w:t>
      </w:r>
      <w:r w:rsidR="00556312" w:rsidRPr="00556312">
        <w:t>from</w:t>
      </w:r>
      <w:r w:rsidR="000E2DDE" w:rsidRPr="00556312">
        <w:t xml:space="preserve"> earlier assessments.</w:t>
      </w:r>
      <w:r w:rsidRPr="00556312">
        <w:t xml:space="preserve"> Previously it was </w:t>
      </w:r>
      <w:r w:rsidRPr="00556312">
        <w:rPr>
          <w:lang w:eastAsia="en-GB"/>
        </w:rPr>
        <w:t xml:space="preserve">presented as the </w:t>
      </w:r>
      <w:r w:rsidR="00CB239B" w:rsidRPr="00556312">
        <w:rPr>
          <w:lang w:eastAsia="en-GB"/>
        </w:rPr>
        <w:t>number</w:t>
      </w:r>
      <w:r w:rsidRPr="00556312">
        <w:rPr>
          <w:lang w:eastAsia="en-GB"/>
        </w:rPr>
        <w:t xml:space="preserve"> of KBA sites that are completely covered by protected areas; however, it is now</w:t>
      </w:r>
      <w:r>
        <w:rPr>
          <w:lang w:eastAsia="en-GB"/>
        </w:rPr>
        <w:t xml:space="preserve"> presented as the mean percent of each KBA that is covered by </w:t>
      </w:r>
      <w:r w:rsidR="00CB239B">
        <w:rPr>
          <w:lang w:eastAsia="en-GB"/>
        </w:rPr>
        <w:t xml:space="preserve">reported </w:t>
      </w:r>
      <w:r>
        <w:rPr>
          <w:lang w:eastAsia="en-GB"/>
        </w:rPr>
        <w:t>protected areas. This change was made in order to better reflect trends in protected area coverage for countries or regions with few or no KBAs that are completely covered by protected areas.</w:t>
      </w:r>
      <w:r>
        <w:rPr>
          <w:rStyle w:val="FootnoteReference"/>
          <w:lang w:eastAsia="en-GB"/>
        </w:rPr>
        <w:footnoteReference w:id="37"/>
      </w:r>
      <w:r w:rsidRPr="00576654">
        <w:t xml:space="preserve"> </w:t>
      </w:r>
      <w:r w:rsidRPr="002D5598">
        <w:rPr>
          <w:color w:val="FF0000"/>
        </w:rPr>
        <w:t xml:space="preserve"> </w:t>
      </w:r>
    </w:p>
    <w:p w:rsidR="00556312" w:rsidRDefault="00CC5385" w:rsidP="003A380E">
      <w:pPr>
        <w:pStyle w:val="Para1"/>
      </w:pPr>
      <w:r w:rsidRPr="00576654">
        <w:t xml:space="preserve">As </w:t>
      </w:r>
      <w:r>
        <w:t xml:space="preserve">of 2018, </w:t>
      </w:r>
      <w:r w:rsidRPr="00C76DEE">
        <w:t xml:space="preserve">the </w:t>
      </w:r>
      <w:r>
        <w:t>m</w:t>
      </w:r>
      <w:r w:rsidRPr="00C76DEE">
        <w:t>ean percent</w:t>
      </w:r>
      <w:r w:rsidR="00323722">
        <w:t>age</w:t>
      </w:r>
      <w:r w:rsidRPr="00C76DEE">
        <w:t xml:space="preserve"> area of </w:t>
      </w:r>
      <w:r>
        <w:t>marine KBA</w:t>
      </w:r>
      <w:r w:rsidR="00323722">
        <w:t>s</w:t>
      </w:r>
      <w:r>
        <w:t xml:space="preserve"> </w:t>
      </w:r>
      <w:r w:rsidRPr="00C76DEE">
        <w:t xml:space="preserve">covered by </w:t>
      </w:r>
      <w:r w:rsidR="00CB239B">
        <w:t xml:space="preserve">reported </w:t>
      </w:r>
      <w:r w:rsidRPr="00C76DEE">
        <w:t>protected areas</w:t>
      </w:r>
      <w:r>
        <w:t xml:space="preserve"> is 44.31%; for terrestrial and freshwater KBAs together, the mean percent coverage in 2018 is 46.6%.</w:t>
      </w:r>
      <w:r>
        <w:rPr>
          <w:rStyle w:val="FootnoteReference"/>
        </w:rPr>
        <w:footnoteReference w:id="38"/>
      </w:r>
      <w:r>
        <w:t xml:space="preserve"> </w:t>
      </w:r>
      <w:r w:rsidRPr="00556312">
        <w:t xml:space="preserve">Figure </w:t>
      </w:r>
      <w:r w:rsidR="000F50BC">
        <w:t>7</w:t>
      </w:r>
      <w:r w:rsidRPr="00556312">
        <w:t xml:space="preserve"> shows the change in mean percent coverage of KBAs since 2000. We see a significant increase, with marine KBAs showing the greatest improvement in coverage o</w:t>
      </w:r>
      <w:r w:rsidR="006A0370" w:rsidRPr="00556312">
        <w:t>ver</w:t>
      </w:r>
      <w:r w:rsidRPr="00556312">
        <w:t xml:space="preserve"> the 18-year period, as well as the largest improvement over the </w:t>
      </w:r>
      <w:r w:rsidR="00556312" w:rsidRPr="00556312">
        <w:t>last three years</w:t>
      </w:r>
      <w:r w:rsidR="00607F23" w:rsidRPr="00556312">
        <w:t xml:space="preserve"> (2015 to 2018)</w:t>
      </w:r>
      <w:r w:rsidRPr="00556312">
        <w:t xml:space="preserve">. This is in line with the significant expansion of marine protected areas </w:t>
      </w:r>
      <w:r w:rsidR="00FD0890" w:rsidRPr="00556312">
        <w:t>in recent years</w:t>
      </w:r>
      <w:r w:rsidRPr="00556312">
        <w:t xml:space="preserve"> (see </w:t>
      </w:r>
      <w:r w:rsidRPr="00556312">
        <w:rPr>
          <w:b/>
        </w:rPr>
        <w:t>Section II</w:t>
      </w:r>
      <w:r w:rsidRPr="00556312">
        <w:t>).</w:t>
      </w:r>
    </w:p>
    <w:p w:rsidR="00A827F4" w:rsidRDefault="00556312" w:rsidP="00556312">
      <w:pPr>
        <w:pStyle w:val="Para1"/>
        <w:numPr>
          <w:ilvl w:val="0"/>
          <w:numId w:val="0"/>
        </w:numPr>
      </w:pPr>
      <w:r>
        <w:rPr>
          <w:noProof/>
          <w:lang w:val="en-CA" w:eastAsia="en-CA"/>
        </w:rPr>
        <w:drawing>
          <wp:anchor distT="0" distB="0" distL="114300" distR="114300" simplePos="0" relativeHeight="251675136" behindDoc="1" locked="0" layoutInCell="1" allowOverlap="1" wp14:anchorId="4155D05C" wp14:editId="14272135">
            <wp:simplePos x="0" y="0"/>
            <wp:positionH relativeFrom="column">
              <wp:posOffset>572135</wp:posOffset>
            </wp:positionH>
            <wp:positionV relativeFrom="paragraph">
              <wp:posOffset>29845</wp:posOffset>
            </wp:positionV>
            <wp:extent cx="4953635" cy="2440940"/>
            <wp:effectExtent l="0" t="0" r="18415" b="16510"/>
            <wp:wrapTight wrapText="bothSides">
              <wp:wrapPolygon edited="0">
                <wp:start x="0" y="0"/>
                <wp:lineTo x="0" y="21578"/>
                <wp:lineTo x="21597" y="21578"/>
                <wp:lineTo x="21597"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F54F50" w:rsidRDefault="00F54F50" w:rsidP="00F54F50">
      <w:pPr>
        <w:pStyle w:val="Para1"/>
        <w:numPr>
          <w:ilvl w:val="0"/>
          <w:numId w:val="0"/>
        </w:numPr>
      </w:pPr>
    </w:p>
    <w:p w:rsidR="00F54F50" w:rsidRDefault="00F54F50" w:rsidP="00F54F50">
      <w:pPr>
        <w:pStyle w:val="Para1"/>
        <w:numPr>
          <w:ilvl w:val="0"/>
          <w:numId w:val="0"/>
        </w:numPr>
      </w:pPr>
    </w:p>
    <w:p w:rsidR="00F54F50" w:rsidRDefault="00F54F50" w:rsidP="00F54F50">
      <w:pPr>
        <w:pStyle w:val="Para1"/>
        <w:numPr>
          <w:ilvl w:val="0"/>
          <w:numId w:val="0"/>
        </w:numPr>
      </w:pPr>
    </w:p>
    <w:p w:rsidR="000343B1" w:rsidRDefault="000343B1" w:rsidP="002D11EC">
      <w:pPr>
        <w:pStyle w:val="Para1"/>
        <w:numPr>
          <w:ilvl w:val="0"/>
          <w:numId w:val="0"/>
        </w:numPr>
      </w:pPr>
    </w:p>
    <w:p w:rsidR="00CD1859" w:rsidRDefault="00CD1859" w:rsidP="002D11EC">
      <w:pPr>
        <w:pStyle w:val="Para1"/>
        <w:numPr>
          <w:ilvl w:val="0"/>
          <w:numId w:val="0"/>
        </w:numPr>
      </w:pPr>
    </w:p>
    <w:p w:rsidR="00CD1859" w:rsidRDefault="00CD1859" w:rsidP="002D11EC">
      <w:pPr>
        <w:pStyle w:val="Para1"/>
        <w:numPr>
          <w:ilvl w:val="0"/>
          <w:numId w:val="0"/>
        </w:numPr>
      </w:pPr>
    </w:p>
    <w:p w:rsidR="002877E1" w:rsidRDefault="002877E1" w:rsidP="002D11EC">
      <w:pPr>
        <w:pStyle w:val="Para1"/>
        <w:numPr>
          <w:ilvl w:val="0"/>
          <w:numId w:val="0"/>
        </w:numPr>
      </w:pPr>
    </w:p>
    <w:p w:rsidR="00A73FAB" w:rsidRDefault="00A73FAB" w:rsidP="001E3D3A">
      <w:pPr>
        <w:pStyle w:val="Para1"/>
        <w:numPr>
          <w:ilvl w:val="0"/>
          <w:numId w:val="0"/>
        </w:numPr>
        <w:jc w:val="center"/>
        <w:rPr>
          <w:sz w:val="20"/>
        </w:rPr>
      </w:pPr>
    </w:p>
    <w:p w:rsidR="00A73FAB" w:rsidRDefault="00A73FAB" w:rsidP="001E3D3A">
      <w:pPr>
        <w:pStyle w:val="Para1"/>
        <w:numPr>
          <w:ilvl w:val="0"/>
          <w:numId w:val="0"/>
        </w:numPr>
        <w:jc w:val="center"/>
        <w:rPr>
          <w:sz w:val="20"/>
        </w:rPr>
      </w:pPr>
    </w:p>
    <w:p w:rsidR="00A73FAB" w:rsidRDefault="00A73FAB" w:rsidP="001E3D3A">
      <w:pPr>
        <w:pStyle w:val="Para1"/>
        <w:numPr>
          <w:ilvl w:val="0"/>
          <w:numId w:val="0"/>
        </w:numPr>
        <w:jc w:val="center"/>
        <w:rPr>
          <w:sz w:val="20"/>
        </w:rPr>
      </w:pPr>
    </w:p>
    <w:p w:rsidR="0073019C" w:rsidRPr="000343B1" w:rsidRDefault="00CA057E" w:rsidP="001E3D3A">
      <w:pPr>
        <w:pStyle w:val="Para1"/>
        <w:numPr>
          <w:ilvl w:val="0"/>
          <w:numId w:val="0"/>
        </w:numPr>
        <w:jc w:val="center"/>
        <w:rPr>
          <w:sz w:val="20"/>
        </w:rPr>
      </w:pPr>
      <w:r w:rsidRPr="00F50D89">
        <w:rPr>
          <w:b/>
          <w:sz w:val="18"/>
        </w:rPr>
        <w:t xml:space="preserve">Figure </w:t>
      </w:r>
      <w:r w:rsidR="000F50BC">
        <w:rPr>
          <w:b/>
          <w:sz w:val="18"/>
        </w:rPr>
        <w:t>7</w:t>
      </w:r>
      <w:r w:rsidRPr="000343B1">
        <w:rPr>
          <w:sz w:val="18"/>
        </w:rPr>
        <w:t xml:space="preserve">. </w:t>
      </w:r>
      <w:r w:rsidR="00A73FAB">
        <w:rPr>
          <w:sz w:val="18"/>
        </w:rPr>
        <w:t xml:space="preserve">Change in mean </w:t>
      </w:r>
      <w:r w:rsidR="005C2B2F" w:rsidRPr="000343B1">
        <w:rPr>
          <w:sz w:val="18"/>
        </w:rPr>
        <w:t>percent coverage of KBAs</w:t>
      </w:r>
      <w:r w:rsidR="00A73FAB">
        <w:rPr>
          <w:sz w:val="18"/>
        </w:rPr>
        <w:t xml:space="preserve"> in different ecosystems from 2000 to 2018.</w:t>
      </w:r>
      <w:r w:rsidR="00A73FAB">
        <w:rPr>
          <w:rStyle w:val="FootnoteReference"/>
        </w:rPr>
        <w:footnoteReference w:id="39"/>
      </w:r>
    </w:p>
    <w:p w:rsidR="00CD3B28" w:rsidRPr="00D732EE" w:rsidRDefault="00CD3B28" w:rsidP="00CD3B28">
      <w:pPr>
        <w:pStyle w:val="Para1"/>
        <w:rPr>
          <w:strike/>
        </w:rPr>
      </w:pPr>
      <w:r w:rsidRPr="00576654">
        <w:t xml:space="preserve">Priority Actions directly addressing the </w:t>
      </w:r>
      <w:r>
        <w:t>protected area</w:t>
      </w:r>
      <w:r w:rsidRPr="00C76DEE">
        <w:t xml:space="preserve"> coverage of KBAs (with the number of sites indicated) were identified by 15 Parties, and will increase coverage in at least </w:t>
      </w:r>
      <w:r>
        <w:t xml:space="preserve">96 KBAs. Another 11 Parties identified plans to improve protection of KBAs but did not indicate the specific number of sites that will be protected. For example, the Marshall Islands plans to bring some unprotected or partially protected </w:t>
      </w:r>
      <w:r w:rsidRPr="000E70F1">
        <w:t xml:space="preserve">Important Bird and Biodiversity Areas </w:t>
      </w:r>
      <w:r>
        <w:t xml:space="preserve">(IBAs) </w:t>
      </w:r>
      <w:r w:rsidRPr="00D732EE">
        <w:t xml:space="preserve">under protected areas </w:t>
      </w:r>
      <w:r>
        <w:t xml:space="preserve">as well as </w:t>
      </w:r>
      <w:r w:rsidRPr="00D732EE">
        <w:t>improving</w:t>
      </w:r>
      <w:r>
        <w:t xml:space="preserve"> the</w:t>
      </w:r>
      <w:r w:rsidRPr="00D732EE">
        <w:t xml:space="preserve"> management effectiveness of IBA </w:t>
      </w:r>
      <w:r>
        <w:t>protected areas. Marshall Islands currently has 15 identified KBAs, five of which are partially covered by protected areas and 10 of which have no protection.</w:t>
      </w:r>
    </w:p>
    <w:p w:rsidR="00CC5385" w:rsidRPr="001246BD" w:rsidRDefault="001909EC" w:rsidP="00CC5385">
      <w:pPr>
        <w:pStyle w:val="Para1"/>
        <w:rPr>
          <w:strike/>
        </w:rPr>
      </w:pPr>
      <w:r>
        <w:t xml:space="preserve">Many other Parties provided plans for identifying and </w:t>
      </w:r>
      <w:r w:rsidRPr="00556312">
        <w:t>protecting areas important for biodiversity</w:t>
      </w:r>
      <w:r w:rsidR="0042237A" w:rsidRPr="00556312">
        <w:t xml:space="preserve"> more broadly (not necessarily limited to KBAs)</w:t>
      </w:r>
      <w:r w:rsidRPr="00556312">
        <w:t>. In total, 207 actions were identified for addressing this</w:t>
      </w:r>
      <w:r>
        <w:t xml:space="preserve"> element of the target, which together with commitments made </w:t>
      </w:r>
      <w:r w:rsidR="00FD0890">
        <w:t>by</w:t>
      </w:r>
      <w:r w:rsidRPr="007F24E2">
        <w:t xml:space="preserve"> Parties</w:t>
      </w:r>
      <w:r w:rsidR="00FD0890">
        <w:t xml:space="preserve"> in their </w:t>
      </w:r>
      <w:r w:rsidRPr="007F24E2">
        <w:t xml:space="preserve">NBSAP will </w:t>
      </w:r>
      <w:r w:rsidR="007F24E2" w:rsidRPr="007F24E2">
        <w:t xml:space="preserve">support progress towards the conservation of areas important for biodiversity. Additionally, </w:t>
      </w:r>
      <w:r w:rsidR="00CC5385" w:rsidRPr="007F24E2">
        <w:t xml:space="preserve">many of the actions aimed at expanding protected area networks </w:t>
      </w:r>
      <w:r w:rsidR="00304D7D">
        <w:t>(</w:t>
      </w:r>
      <w:r w:rsidR="00304D7D" w:rsidRPr="00304D7D">
        <w:rPr>
          <w:b/>
        </w:rPr>
        <w:t>section II</w:t>
      </w:r>
      <w:r w:rsidR="00304D7D">
        <w:t xml:space="preserve">) </w:t>
      </w:r>
      <w:r w:rsidR="00CC5385" w:rsidRPr="007F24E2">
        <w:t>may also have positive impacts for the coverage of KBAs.</w:t>
      </w:r>
      <w:r w:rsidR="00CC5385">
        <w:t xml:space="preserve"> </w:t>
      </w:r>
    </w:p>
    <w:p w:rsidR="00CC5385" w:rsidRDefault="00CC5385" w:rsidP="00CC5385">
      <w:pPr>
        <w:pStyle w:val="Para1"/>
      </w:pPr>
      <w:r w:rsidRPr="00C76DEE">
        <w:lastRenderedPageBreak/>
        <w:t xml:space="preserve">Opportunities </w:t>
      </w:r>
      <w:r w:rsidR="007F24E2">
        <w:t xml:space="preserve">also </w:t>
      </w:r>
      <w:r w:rsidRPr="00C76DEE">
        <w:t xml:space="preserve">exist for the recognition and reporting of </w:t>
      </w:r>
      <w:r w:rsidR="007F24E2">
        <w:t>OECMs</w:t>
      </w:r>
      <w:r w:rsidRPr="00C76DEE">
        <w:t xml:space="preserve"> to improve </w:t>
      </w:r>
      <w:r w:rsidR="00BF6E14">
        <w:t xml:space="preserve">the </w:t>
      </w:r>
      <w:r w:rsidRPr="00C76DEE">
        <w:t xml:space="preserve">protection of KBAs. For example, </w:t>
      </w:r>
      <w:r>
        <w:t xml:space="preserve">an ongoing study of the </w:t>
      </w:r>
      <w:r w:rsidRPr="002877E1">
        <w:t>current role of OECMs in conserving</w:t>
      </w:r>
      <w:r>
        <w:t xml:space="preserve"> KBAs in 10 </w:t>
      </w:r>
      <w:r w:rsidRPr="00C76DEE">
        <w:t>countries</w:t>
      </w:r>
      <w:r>
        <w:rPr>
          <w:rStyle w:val="FootnoteReference"/>
        </w:rPr>
        <w:footnoteReference w:id="40"/>
      </w:r>
      <w:r>
        <w:t xml:space="preserve"> has found </w:t>
      </w:r>
      <w:r w:rsidRPr="007F24E2">
        <w:t>that “around 80% of the 754 unprotected KBAs examined by BirdLife International were at least partly covered by one or more potential OECMs.”</w:t>
      </w:r>
      <w:r w:rsidRPr="007F24E2">
        <w:rPr>
          <w:rStyle w:val="FootnoteReference"/>
        </w:rPr>
        <w:footnoteReference w:id="41"/>
      </w:r>
      <w:r>
        <w:t xml:space="preserve"> ICCAs could </w:t>
      </w:r>
      <w:r w:rsidR="00323722">
        <w:t xml:space="preserve">also </w:t>
      </w:r>
      <w:r>
        <w:t>provide a significant contribution to the protection of KBAs. In the Philippines, out of 101 terrestrial KBAs, it was noted that “approximately 96 of these sites are part of the ancestral land and/or domains of IPs [Indigenous Peoples].”</w:t>
      </w:r>
      <w:r>
        <w:rPr>
          <w:rStyle w:val="FootnoteReference"/>
        </w:rPr>
        <w:footnoteReference w:id="42"/>
      </w:r>
    </w:p>
    <w:p w:rsidR="00D7123B" w:rsidRDefault="00D7123B" w:rsidP="000E2402">
      <w:pPr>
        <w:pStyle w:val="Heading2"/>
        <w:numPr>
          <w:ilvl w:val="0"/>
          <w:numId w:val="8"/>
        </w:numPr>
        <w:spacing w:before="240"/>
      </w:pPr>
      <w:r w:rsidRPr="00576654">
        <w:t>Areas important for ecosystem service</w:t>
      </w:r>
      <w:r w:rsidR="00AB229D" w:rsidRPr="00576654">
        <w:t>s</w:t>
      </w:r>
    </w:p>
    <w:tbl>
      <w:tblPr>
        <w:tblW w:w="9558" w:type="dxa"/>
        <w:tblLook w:val="04A0" w:firstRow="1" w:lastRow="0" w:firstColumn="1" w:lastColumn="0" w:noHBand="0" w:noVBand="1"/>
      </w:tblPr>
      <w:tblGrid>
        <w:gridCol w:w="2628"/>
        <w:gridCol w:w="2340"/>
        <w:gridCol w:w="2340"/>
        <w:gridCol w:w="2250"/>
      </w:tblGrid>
      <w:tr w:rsidR="0042237A" w:rsidRPr="00BD6B4B" w:rsidTr="00A04F5A">
        <w:tc>
          <w:tcPr>
            <w:tcW w:w="2628" w:type="dxa"/>
            <w:tcBorders>
              <w:top w:val="single" w:sz="18" w:space="0" w:color="auto"/>
              <w:bottom w:val="single" w:sz="12" w:space="0" w:color="auto"/>
            </w:tcBorders>
            <w:shd w:val="clear" w:color="auto" w:fill="auto"/>
            <w:vAlign w:val="center"/>
          </w:tcPr>
          <w:p w:rsidR="0042237A" w:rsidRPr="00BD6B4B" w:rsidRDefault="0042237A" w:rsidP="00FD1FC1">
            <w:pPr>
              <w:jc w:val="center"/>
              <w:rPr>
                <w:b/>
                <w:sz w:val="18"/>
                <w:szCs w:val="18"/>
              </w:rPr>
            </w:pPr>
            <w:r w:rsidRPr="00BD6B4B">
              <w:rPr>
                <w:b/>
                <w:sz w:val="18"/>
                <w:szCs w:val="18"/>
              </w:rPr>
              <w:t xml:space="preserve">Element of Target 11 </w:t>
            </w:r>
            <w:r>
              <w:rPr>
                <w:b/>
                <w:sz w:val="18"/>
                <w:szCs w:val="18"/>
              </w:rPr>
              <w:t xml:space="preserve">             </w:t>
            </w:r>
            <w:r w:rsidRPr="00BD6B4B">
              <w:rPr>
                <w:sz w:val="18"/>
                <w:szCs w:val="18"/>
              </w:rPr>
              <w:t>(and status from GBO-4</w:t>
            </w:r>
            <w:r>
              <w:rPr>
                <w:sz w:val="18"/>
                <w:szCs w:val="18"/>
              </w:rPr>
              <w:t xml:space="preserve"> in 2014</w:t>
            </w:r>
            <w:r w:rsidRPr="00BD6B4B">
              <w:rPr>
                <w:sz w:val="18"/>
                <w:szCs w:val="18"/>
              </w:rPr>
              <w:t>)</w:t>
            </w:r>
          </w:p>
        </w:tc>
        <w:tc>
          <w:tcPr>
            <w:tcW w:w="2340" w:type="dxa"/>
            <w:tcBorders>
              <w:top w:val="single" w:sz="18" w:space="0" w:color="auto"/>
              <w:bottom w:val="single" w:sz="12" w:space="0" w:color="auto"/>
            </w:tcBorders>
            <w:shd w:val="clear" w:color="auto" w:fill="auto"/>
            <w:vAlign w:val="center"/>
          </w:tcPr>
          <w:p w:rsidR="0042237A" w:rsidRPr="00BD6B4B" w:rsidRDefault="0042237A" w:rsidP="00A04F5A">
            <w:pPr>
              <w:jc w:val="center"/>
              <w:rPr>
                <w:sz w:val="18"/>
                <w:szCs w:val="18"/>
              </w:rPr>
            </w:pPr>
            <w:r w:rsidRPr="00BD6B4B">
              <w:rPr>
                <w:b/>
                <w:sz w:val="18"/>
                <w:szCs w:val="18"/>
              </w:rPr>
              <w:t>Status in 2016</w:t>
            </w:r>
          </w:p>
        </w:tc>
        <w:tc>
          <w:tcPr>
            <w:tcW w:w="2340" w:type="dxa"/>
            <w:tcBorders>
              <w:top w:val="single" w:sz="18" w:space="0" w:color="auto"/>
              <w:bottom w:val="single" w:sz="12" w:space="0" w:color="auto"/>
            </w:tcBorders>
            <w:shd w:val="clear" w:color="auto" w:fill="auto"/>
            <w:vAlign w:val="center"/>
          </w:tcPr>
          <w:p w:rsidR="0042237A" w:rsidRPr="004B4E8C" w:rsidRDefault="0042237A" w:rsidP="00A04F5A">
            <w:pPr>
              <w:jc w:val="center"/>
              <w:rPr>
                <w:b/>
                <w:sz w:val="18"/>
                <w:szCs w:val="18"/>
              </w:rPr>
            </w:pPr>
            <w:r w:rsidRPr="00BD6B4B">
              <w:rPr>
                <w:b/>
                <w:sz w:val="18"/>
                <w:szCs w:val="18"/>
              </w:rPr>
              <w:t>Current Status</w:t>
            </w:r>
          </w:p>
        </w:tc>
        <w:tc>
          <w:tcPr>
            <w:tcW w:w="2250" w:type="dxa"/>
            <w:tcBorders>
              <w:top w:val="single" w:sz="18" w:space="0" w:color="auto"/>
              <w:bottom w:val="single" w:sz="12" w:space="0" w:color="auto"/>
            </w:tcBorders>
            <w:shd w:val="clear" w:color="auto" w:fill="auto"/>
            <w:vAlign w:val="center"/>
          </w:tcPr>
          <w:p w:rsidR="0042237A" w:rsidRPr="00BD6B4B" w:rsidRDefault="0042237A" w:rsidP="00A04F5A">
            <w:pPr>
              <w:jc w:val="center"/>
              <w:rPr>
                <w:b/>
                <w:sz w:val="18"/>
                <w:szCs w:val="18"/>
              </w:rPr>
            </w:pPr>
            <w:r w:rsidRPr="00BD6B4B">
              <w:rPr>
                <w:b/>
                <w:sz w:val="18"/>
                <w:szCs w:val="18"/>
              </w:rPr>
              <w:t>Opportunities for 2020</w:t>
            </w:r>
          </w:p>
        </w:tc>
      </w:tr>
      <w:tr w:rsidR="0042237A" w:rsidRPr="00BD6B4B" w:rsidTr="00FD1FC1">
        <w:tc>
          <w:tcPr>
            <w:tcW w:w="2628" w:type="dxa"/>
            <w:tcBorders>
              <w:top w:val="single" w:sz="12" w:space="0" w:color="auto"/>
              <w:bottom w:val="single" w:sz="18" w:space="0" w:color="auto"/>
            </w:tcBorders>
            <w:shd w:val="clear" w:color="auto" w:fill="auto"/>
            <w:vAlign w:val="center"/>
          </w:tcPr>
          <w:p w:rsidR="0042237A" w:rsidRDefault="0042237A" w:rsidP="00FD1FC1">
            <w:pPr>
              <w:autoSpaceDE w:val="0"/>
              <w:autoSpaceDN w:val="0"/>
              <w:adjustRightInd w:val="0"/>
              <w:jc w:val="center"/>
              <w:rPr>
                <w:sz w:val="18"/>
                <w:szCs w:val="18"/>
                <w:lang w:eastAsia="en-GB"/>
              </w:rPr>
            </w:pPr>
            <w:r w:rsidRPr="00BD6B4B">
              <w:rPr>
                <w:b/>
                <w:sz w:val="18"/>
                <w:szCs w:val="18"/>
                <w:lang w:eastAsia="en-GB"/>
              </w:rPr>
              <w:t>Areas of particular importance for</w:t>
            </w:r>
            <w:r>
              <w:rPr>
                <w:b/>
                <w:sz w:val="18"/>
                <w:szCs w:val="18"/>
                <w:lang w:eastAsia="en-GB"/>
              </w:rPr>
              <w:t xml:space="preserve"> E</w:t>
            </w:r>
            <w:r w:rsidRPr="00BD6B4B">
              <w:rPr>
                <w:b/>
                <w:sz w:val="18"/>
                <w:szCs w:val="18"/>
                <w:lang w:eastAsia="en-GB"/>
              </w:rPr>
              <w:t>cosystem services</w:t>
            </w:r>
          </w:p>
          <w:p w:rsidR="0042237A" w:rsidRDefault="0042237A" w:rsidP="00FD1FC1">
            <w:pPr>
              <w:autoSpaceDE w:val="0"/>
              <w:autoSpaceDN w:val="0"/>
              <w:adjustRightInd w:val="0"/>
              <w:jc w:val="center"/>
              <w:rPr>
                <w:sz w:val="18"/>
                <w:szCs w:val="18"/>
                <w:lang w:eastAsia="en-GB"/>
              </w:rPr>
            </w:pPr>
          </w:p>
          <w:p w:rsidR="0042237A" w:rsidRPr="00BD6B4B" w:rsidRDefault="0042237A" w:rsidP="00FD1FC1">
            <w:pPr>
              <w:jc w:val="center"/>
              <w:rPr>
                <w:sz w:val="18"/>
                <w:szCs w:val="18"/>
              </w:rPr>
            </w:pPr>
            <w:r w:rsidRPr="00BD6B4B">
              <w:rPr>
                <w:noProof/>
                <w:sz w:val="18"/>
                <w:szCs w:val="18"/>
                <w:lang w:val="en-CA" w:eastAsia="en-CA"/>
              </w:rPr>
              <w:drawing>
                <wp:inline distT="0" distB="0" distL="0" distR="0" wp14:anchorId="6A073F1D" wp14:editId="330D2B67">
                  <wp:extent cx="630936" cy="411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 cy="411480"/>
                          </a:xfrm>
                          <a:prstGeom prst="rect">
                            <a:avLst/>
                          </a:prstGeom>
                        </pic:spPr>
                      </pic:pic>
                    </a:graphicData>
                  </a:graphic>
                </wp:inline>
              </w:drawing>
            </w:r>
          </w:p>
        </w:tc>
        <w:tc>
          <w:tcPr>
            <w:tcW w:w="2340" w:type="dxa"/>
            <w:tcBorders>
              <w:top w:val="single" w:sz="12" w:space="0" w:color="auto"/>
              <w:bottom w:val="single" w:sz="18" w:space="0" w:color="auto"/>
            </w:tcBorders>
            <w:shd w:val="clear" w:color="auto" w:fill="auto"/>
            <w:vAlign w:val="center"/>
          </w:tcPr>
          <w:p w:rsidR="0042237A" w:rsidRPr="00BD6B4B" w:rsidRDefault="0042237A" w:rsidP="00FD1FC1">
            <w:pPr>
              <w:jc w:val="center"/>
              <w:rPr>
                <w:sz w:val="18"/>
                <w:szCs w:val="18"/>
              </w:rPr>
            </w:pPr>
            <w:r w:rsidRPr="00BD6B4B">
              <w:rPr>
                <w:sz w:val="18"/>
                <w:szCs w:val="18"/>
              </w:rPr>
              <w:t xml:space="preserve">The role of PAs for securing ecosystem services is recognized, </w:t>
            </w:r>
            <w:r>
              <w:rPr>
                <w:sz w:val="18"/>
                <w:szCs w:val="18"/>
              </w:rPr>
              <w:t>but s</w:t>
            </w:r>
            <w:r w:rsidRPr="00336B37">
              <w:rPr>
                <w:sz w:val="18"/>
                <w:szCs w:val="18"/>
              </w:rPr>
              <w:t>ystematic information is not available.</w:t>
            </w:r>
          </w:p>
        </w:tc>
        <w:tc>
          <w:tcPr>
            <w:tcW w:w="2340" w:type="dxa"/>
            <w:tcBorders>
              <w:top w:val="single" w:sz="12" w:space="0" w:color="auto"/>
              <w:bottom w:val="single" w:sz="18" w:space="0" w:color="auto"/>
            </w:tcBorders>
            <w:shd w:val="clear" w:color="auto" w:fill="auto"/>
            <w:vAlign w:val="center"/>
          </w:tcPr>
          <w:p w:rsidR="0042237A" w:rsidRPr="00BD6B4B" w:rsidRDefault="0042237A" w:rsidP="00FD1FC1">
            <w:pPr>
              <w:jc w:val="center"/>
              <w:rPr>
                <w:sz w:val="18"/>
                <w:szCs w:val="18"/>
              </w:rPr>
            </w:pPr>
            <w:r w:rsidRPr="00BD6B4B">
              <w:rPr>
                <w:sz w:val="18"/>
                <w:szCs w:val="18"/>
              </w:rPr>
              <w:t xml:space="preserve">Approaches to mapping ecosystem services have continued to improve, though </w:t>
            </w:r>
            <w:r w:rsidRPr="00BD6B4B">
              <w:rPr>
                <w:bCs/>
                <w:sz w:val="18"/>
                <w:szCs w:val="18"/>
              </w:rPr>
              <w:t>there is currently no global indicator to assess their coverage by PAs</w:t>
            </w:r>
            <w:r>
              <w:rPr>
                <w:bCs/>
                <w:sz w:val="18"/>
                <w:szCs w:val="18"/>
              </w:rPr>
              <w:t>.</w:t>
            </w:r>
          </w:p>
        </w:tc>
        <w:tc>
          <w:tcPr>
            <w:tcW w:w="2250" w:type="dxa"/>
            <w:tcBorders>
              <w:top w:val="single" w:sz="12" w:space="0" w:color="auto"/>
              <w:bottom w:val="single" w:sz="18" w:space="0" w:color="auto"/>
            </w:tcBorders>
            <w:shd w:val="clear" w:color="auto" w:fill="auto"/>
            <w:vAlign w:val="center"/>
          </w:tcPr>
          <w:p w:rsidR="0042237A" w:rsidRDefault="0042237A" w:rsidP="00FD1FC1">
            <w:pPr>
              <w:jc w:val="center"/>
              <w:rPr>
                <w:sz w:val="18"/>
                <w:szCs w:val="18"/>
              </w:rPr>
            </w:pPr>
            <w:r w:rsidRPr="00336B37">
              <w:rPr>
                <w:sz w:val="18"/>
                <w:szCs w:val="18"/>
              </w:rPr>
              <w:t>Identification and mapping of areas important for ecosystem services</w:t>
            </w:r>
            <w:r>
              <w:rPr>
                <w:sz w:val="18"/>
                <w:szCs w:val="18"/>
              </w:rPr>
              <w:t xml:space="preserve"> </w:t>
            </w:r>
          </w:p>
          <w:p w:rsidR="00304D7D" w:rsidRDefault="00304D7D" w:rsidP="00FD1FC1">
            <w:pPr>
              <w:jc w:val="center"/>
              <w:rPr>
                <w:sz w:val="18"/>
                <w:szCs w:val="18"/>
              </w:rPr>
            </w:pPr>
          </w:p>
          <w:p w:rsidR="0042237A" w:rsidRDefault="0042237A" w:rsidP="00FD1FC1">
            <w:pPr>
              <w:jc w:val="center"/>
              <w:rPr>
                <w:sz w:val="4"/>
                <w:szCs w:val="4"/>
              </w:rPr>
            </w:pPr>
            <w:r w:rsidRPr="00BD6B4B">
              <w:rPr>
                <w:noProof/>
                <w:sz w:val="18"/>
                <w:szCs w:val="18"/>
                <w:lang w:val="en-CA" w:eastAsia="en-CA"/>
              </w:rPr>
              <w:drawing>
                <wp:inline distT="0" distB="0" distL="0" distR="0" wp14:anchorId="1B46EF87" wp14:editId="0B5FD11B">
                  <wp:extent cx="630936" cy="4114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 cy="411480"/>
                          </a:xfrm>
                          <a:prstGeom prst="rect">
                            <a:avLst/>
                          </a:prstGeom>
                        </pic:spPr>
                      </pic:pic>
                    </a:graphicData>
                  </a:graphic>
                </wp:inline>
              </w:drawing>
            </w:r>
          </w:p>
          <w:p w:rsidR="00950336" w:rsidRPr="00950336" w:rsidRDefault="00950336" w:rsidP="00FD1FC1">
            <w:pPr>
              <w:jc w:val="center"/>
              <w:rPr>
                <w:sz w:val="4"/>
                <w:szCs w:val="4"/>
              </w:rPr>
            </w:pPr>
          </w:p>
        </w:tc>
      </w:tr>
    </w:tbl>
    <w:p w:rsidR="00534BF1" w:rsidRPr="00576654" w:rsidRDefault="00534BF1" w:rsidP="00534BF1">
      <w:pPr>
        <w:pStyle w:val="Para1"/>
      </w:pPr>
      <w:r w:rsidRPr="00576654">
        <w:t>While there is currently no indicator identified for assessing coverage of areas important for ecosystem services</w:t>
      </w:r>
      <w:r w:rsidR="00C427BB">
        <w:t xml:space="preserve"> at the global level</w:t>
      </w:r>
      <w:r w:rsidRPr="00576654">
        <w:t>,</w:t>
      </w:r>
      <w:r w:rsidR="00417C86">
        <w:rPr>
          <w:rStyle w:val="FootnoteReference"/>
        </w:rPr>
        <w:footnoteReference w:id="43"/>
      </w:r>
      <w:r w:rsidRPr="00576654">
        <w:t xml:space="preserve"> many countries have conducted assessments to identify areas important for sustaining essential ecosystem services at a national or local level, and </w:t>
      </w:r>
      <w:r>
        <w:t xml:space="preserve">many </w:t>
      </w:r>
      <w:r w:rsidRPr="00576654">
        <w:t xml:space="preserve">offer some form of legal protection or other effective means for their conservation. </w:t>
      </w:r>
    </w:p>
    <w:p w:rsidR="00FC0204" w:rsidRDefault="0056127F" w:rsidP="00FC0204">
      <w:pPr>
        <w:pStyle w:val="Para1"/>
      </w:pPr>
      <w:r>
        <w:t xml:space="preserve">For example, </w:t>
      </w:r>
      <w:r w:rsidR="00676450">
        <w:t xml:space="preserve">Hungary is in the midst </w:t>
      </w:r>
      <w:r w:rsidR="00676450" w:rsidRPr="006E1F2B">
        <w:t>of a large-scale project</w:t>
      </w:r>
      <w:r w:rsidR="006E1F2B" w:rsidRPr="006E1F2B">
        <w:t>,</w:t>
      </w:r>
      <w:r w:rsidR="006E1F2B" w:rsidRPr="006E1F2B">
        <w:rPr>
          <w:rStyle w:val="FootnoteReference"/>
        </w:rPr>
        <w:footnoteReference w:id="44"/>
      </w:r>
      <w:r w:rsidR="00676450" w:rsidRPr="006E1F2B">
        <w:t xml:space="preserve"> which</w:t>
      </w:r>
      <w:r w:rsidR="00676450">
        <w:t xml:space="preserve"> among other aims will involve the i</w:t>
      </w:r>
      <w:r w:rsidR="00676450" w:rsidRPr="00676450">
        <w:t>dentification and assessment of ecosystems and their services on a national scale.</w:t>
      </w:r>
      <w:r w:rsidR="00676450">
        <w:t xml:space="preserve"> In China, the </w:t>
      </w:r>
      <w:r w:rsidR="00676450" w:rsidRPr="00DD623B">
        <w:rPr>
          <w:snapToGrid w:val="0"/>
          <w:lang w:eastAsia="zh-CN"/>
        </w:rPr>
        <w:t xml:space="preserve">Sanjiangyuan National Nature Reserve </w:t>
      </w:r>
      <w:r w:rsidR="00676450">
        <w:rPr>
          <w:snapToGrid w:val="0"/>
          <w:lang w:eastAsia="zh-CN"/>
        </w:rPr>
        <w:t>was</w:t>
      </w:r>
      <w:r w:rsidR="00676450">
        <w:rPr>
          <w:rFonts w:hint="eastAsia"/>
          <w:snapToGrid w:val="0"/>
          <w:lang w:eastAsia="zh-CN"/>
        </w:rPr>
        <w:t xml:space="preserve"> established to conserve the</w:t>
      </w:r>
      <w:r w:rsidR="00676450" w:rsidRPr="00DD623B">
        <w:rPr>
          <w:snapToGrid w:val="0"/>
          <w:lang w:eastAsia="zh-CN"/>
        </w:rPr>
        <w:t xml:space="preserve"> headwaters of the </w:t>
      </w:r>
      <w:r w:rsidR="00676450">
        <w:rPr>
          <w:snapToGrid w:val="0"/>
          <w:lang w:eastAsia="zh-CN"/>
        </w:rPr>
        <w:t>Yellow River, the Yangtze River and the Mekong River</w:t>
      </w:r>
      <w:r w:rsidR="00676450">
        <w:rPr>
          <w:rFonts w:hint="eastAsia"/>
          <w:snapToGrid w:val="0"/>
          <w:lang w:eastAsia="zh-CN"/>
        </w:rPr>
        <w:t xml:space="preserve">, </w:t>
      </w:r>
      <w:r w:rsidR="00676450">
        <w:rPr>
          <w:snapToGrid w:val="0"/>
          <w:lang w:eastAsia="zh-CN"/>
        </w:rPr>
        <w:t xml:space="preserve">while the </w:t>
      </w:r>
      <w:r w:rsidR="00676450">
        <w:rPr>
          <w:rFonts w:hint="eastAsia"/>
          <w:snapToGrid w:val="0"/>
          <w:lang w:eastAsia="zh-CN"/>
        </w:rPr>
        <w:t xml:space="preserve">Saihan Dam National Nature Reserve </w:t>
      </w:r>
      <w:r w:rsidR="00676450" w:rsidRPr="00FC0204">
        <w:rPr>
          <w:rFonts w:hint="eastAsia"/>
          <w:snapToGrid w:val="0"/>
          <w:lang w:eastAsia="zh-CN"/>
        </w:rPr>
        <w:t xml:space="preserve">has an important role in the windbreak and sand control </w:t>
      </w:r>
      <w:r w:rsidR="00676450" w:rsidRPr="00FC0204">
        <w:rPr>
          <w:snapToGrid w:val="0"/>
          <w:lang w:eastAsia="zh-CN"/>
        </w:rPr>
        <w:t>of the Hunshandak</w:t>
      </w:r>
      <w:r w:rsidR="00676450" w:rsidRPr="00FC0204">
        <w:rPr>
          <w:rFonts w:hint="eastAsia"/>
          <w:snapToGrid w:val="0"/>
          <w:lang w:eastAsia="zh-CN"/>
        </w:rPr>
        <w:t xml:space="preserve"> </w:t>
      </w:r>
      <w:r w:rsidR="00676450" w:rsidRPr="00FC0204">
        <w:rPr>
          <w:snapToGrid w:val="0"/>
          <w:lang w:eastAsia="zh-CN"/>
        </w:rPr>
        <w:t>Sandland</w:t>
      </w:r>
      <w:r w:rsidR="00676450" w:rsidRPr="00FC0204">
        <w:rPr>
          <w:rFonts w:hint="eastAsia"/>
          <w:snapToGrid w:val="0"/>
          <w:lang w:eastAsia="zh-CN"/>
        </w:rPr>
        <w:t>.</w:t>
      </w:r>
    </w:p>
    <w:p w:rsidR="002A30D3" w:rsidRPr="006E1F2B" w:rsidRDefault="0099061C" w:rsidP="00FC0204">
      <w:pPr>
        <w:pStyle w:val="Para1"/>
      </w:pPr>
      <w:r w:rsidRPr="006E1F2B">
        <w:t xml:space="preserve">Over the past </w:t>
      </w:r>
      <w:r w:rsidR="00FC7691" w:rsidRPr="006E1F2B">
        <w:t>decade, a large number of studies have attempted to map ecosystem services at the global level</w:t>
      </w:r>
      <w:r w:rsidR="00BE5D1D" w:rsidRPr="006E1F2B">
        <w:t>, and have often focused on those services which can be assessed based on remote sensing data.</w:t>
      </w:r>
      <w:r w:rsidR="00FC7691" w:rsidRPr="006E1F2B">
        <w:rPr>
          <w:rStyle w:val="FootnoteReference"/>
        </w:rPr>
        <w:footnoteReference w:id="45"/>
      </w:r>
      <w:r w:rsidR="00D42B38" w:rsidRPr="006E1F2B">
        <w:t xml:space="preserve"> </w:t>
      </w:r>
      <w:r w:rsidR="00BE5D1D" w:rsidRPr="006E1F2B">
        <w:t xml:space="preserve">Ecosystem services </w:t>
      </w:r>
      <w:r w:rsidR="00BE2606" w:rsidRPr="006E1F2B">
        <w:t xml:space="preserve">being </w:t>
      </w:r>
      <w:r w:rsidR="00BE5D1D" w:rsidRPr="006E1F2B">
        <w:t xml:space="preserve">assessed often include </w:t>
      </w:r>
      <w:r w:rsidR="00D42B38" w:rsidRPr="006E1F2B">
        <w:t xml:space="preserve">carbon </w:t>
      </w:r>
      <w:r w:rsidR="00BE5D1D" w:rsidRPr="006E1F2B">
        <w:t xml:space="preserve">sequestration, </w:t>
      </w:r>
      <w:r w:rsidR="00BE2606" w:rsidRPr="006E1F2B">
        <w:t xml:space="preserve">water and food provisioning services </w:t>
      </w:r>
      <w:r w:rsidR="00D42B38" w:rsidRPr="006E1F2B">
        <w:t>and primary production.</w:t>
      </w:r>
      <w:r w:rsidR="00FC0204" w:rsidRPr="006E1F2B">
        <w:t xml:space="preserve"> </w:t>
      </w:r>
      <w:r w:rsidR="00B154EF" w:rsidRPr="006E1F2B">
        <w:t>T</w:t>
      </w:r>
      <w:r w:rsidR="00FC0204" w:rsidRPr="006E1F2B">
        <w:t>he mapping of important ecosystem services</w:t>
      </w:r>
      <w:r w:rsidR="00B154EF" w:rsidRPr="006E1F2B">
        <w:t xml:space="preserve"> has “developed over the past years into a mature scientific field.”</w:t>
      </w:r>
      <w:r w:rsidR="00B154EF" w:rsidRPr="006E1F2B">
        <w:rPr>
          <w:rStyle w:val="FootnoteReference"/>
        </w:rPr>
        <w:footnoteReference w:id="46"/>
      </w:r>
      <w:r w:rsidR="00B154EF" w:rsidRPr="006E1F2B">
        <w:t xml:space="preserve"> Despite these advances </w:t>
      </w:r>
      <w:r w:rsidR="004B437A" w:rsidRPr="006E1F2B">
        <w:t>“substantial data gaps remain to be filled before a fully integrated and complete ecosystem assessment can be carried out</w:t>
      </w:r>
      <w:r w:rsidR="00B154EF" w:rsidRPr="006E1F2B">
        <w:t>,</w:t>
      </w:r>
      <w:r w:rsidR="004B437A" w:rsidRPr="006E1F2B">
        <w:t>”</w:t>
      </w:r>
      <w:r w:rsidR="00B154EF" w:rsidRPr="006E1F2B">
        <w:t xml:space="preserve"> though a range of indicators are available for different ecosystems, which could support national-level evaluations.</w:t>
      </w:r>
      <w:r w:rsidR="00B154EF" w:rsidRPr="006E1F2B">
        <w:rPr>
          <w:rStyle w:val="FootnoteReference"/>
        </w:rPr>
        <w:footnoteReference w:id="47"/>
      </w:r>
    </w:p>
    <w:p w:rsidR="00FC0204" w:rsidRPr="00B921B6" w:rsidRDefault="00FC0204" w:rsidP="00FC0204">
      <w:pPr>
        <w:pStyle w:val="Para1"/>
      </w:pPr>
      <w:r w:rsidRPr="00B921B6">
        <w:t xml:space="preserve">Conservation of areas important for ecosystem services can also provide opportunity for positive synergies among the three Rio Conventions, and with other biodiversity-related multi-lateral environmental agreements. </w:t>
      </w:r>
      <w:r w:rsidR="00B154EF" w:rsidRPr="00B921B6">
        <w:t xml:space="preserve">Many </w:t>
      </w:r>
      <w:r w:rsidRPr="00B921B6">
        <w:t>GEF projects</w:t>
      </w:r>
      <w:r w:rsidR="00B154EF" w:rsidRPr="00B921B6">
        <w:t xml:space="preserve"> in protected areas </w:t>
      </w:r>
      <w:r w:rsidR="00FF3D22" w:rsidRPr="00B921B6">
        <w:t>report on their impacts for carbon emission reductions or the maintenance of terrestrial carbon stocks</w:t>
      </w:r>
      <w:r w:rsidR="00097051" w:rsidRPr="00B921B6">
        <w:t xml:space="preserve">. Additionally, </w:t>
      </w:r>
      <w:r w:rsidRPr="00B921B6">
        <w:t>sustainable land management forms an important component of many GEF-funded biodiversity projects.</w:t>
      </w:r>
    </w:p>
    <w:p w:rsidR="00D42B38" w:rsidRDefault="00B51C43" w:rsidP="00D42B38">
      <w:pPr>
        <w:pStyle w:val="Para1"/>
      </w:pPr>
      <w:r w:rsidRPr="00B921B6">
        <w:lastRenderedPageBreak/>
        <w:t>Areas important for ecosystem services may also be poorly correlated with those areas of importance for biodiversity,</w:t>
      </w:r>
      <w:r w:rsidRPr="00B921B6">
        <w:rPr>
          <w:rStyle w:val="FootnoteReference"/>
        </w:rPr>
        <w:footnoteReference w:id="48"/>
      </w:r>
      <w:r w:rsidRPr="00B921B6">
        <w:t xml:space="preserve"> or their correlation may depend on the scale of the assessment.</w:t>
      </w:r>
      <w:r w:rsidRPr="00B921B6">
        <w:rPr>
          <w:rStyle w:val="FootnoteReference"/>
        </w:rPr>
        <w:footnoteReference w:id="49"/>
      </w:r>
      <w:r w:rsidRPr="00B921B6">
        <w:t xml:space="preserve"> Even in situations where the</w:t>
      </w:r>
      <w:r w:rsidR="006A0370" w:rsidRPr="00B921B6">
        <w:t>y</w:t>
      </w:r>
      <w:r w:rsidRPr="00B921B6">
        <w:t xml:space="preserve"> are spatially correlated, protected areas may not conserve both biodiversity and</w:t>
      </w:r>
      <w:r w:rsidRPr="004B5C2C">
        <w:t xml:space="preserve"> ecosystem services to the same extent.</w:t>
      </w:r>
      <w:r w:rsidRPr="004B5C2C">
        <w:rPr>
          <w:rStyle w:val="FootnoteReference"/>
        </w:rPr>
        <w:footnoteReference w:id="50"/>
      </w:r>
      <w:r w:rsidRPr="004B5C2C">
        <w:t xml:space="preserve"> </w:t>
      </w:r>
      <w:r w:rsidRPr="004B5C2C">
        <w:rPr>
          <w:lang w:eastAsia="en-GB"/>
        </w:rPr>
        <w:t>There is, therefore, a need to consider separately those areas important for biodiversity and for ecosystem services.</w:t>
      </w:r>
      <w:r w:rsidR="00B921B6">
        <w:rPr>
          <w:rStyle w:val="FootnoteReference"/>
          <w:lang w:eastAsia="en-GB"/>
        </w:rPr>
        <w:footnoteReference w:id="51"/>
      </w:r>
      <w:r w:rsidR="004B5C2C" w:rsidRPr="004B5C2C">
        <w:rPr>
          <w:lang w:eastAsia="en-GB"/>
        </w:rPr>
        <w:t xml:space="preserve"> </w:t>
      </w:r>
      <w:r w:rsidR="00D42B38" w:rsidRPr="004B5C2C">
        <w:t xml:space="preserve">Attention should be paid to potential trade-offs </w:t>
      </w:r>
      <w:r w:rsidR="005E065B" w:rsidRPr="004B5C2C">
        <w:t>between biodiversity and certain ecosystem services, as well as between different ecosystem services.</w:t>
      </w:r>
      <w:r w:rsidR="005E065B" w:rsidRPr="004B5C2C">
        <w:rPr>
          <w:rStyle w:val="FootnoteReference"/>
        </w:rPr>
        <w:footnoteReference w:id="52"/>
      </w:r>
      <w:r w:rsidR="005E065B" w:rsidRPr="004B5C2C">
        <w:t xml:space="preserve"> </w:t>
      </w:r>
    </w:p>
    <w:p w:rsidR="001863ED" w:rsidRPr="00323722" w:rsidRDefault="00556312" w:rsidP="00D42B38">
      <w:pPr>
        <w:pStyle w:val="Para1"/>
      </w:pPr>
      <w:r w:rsidRPr="00323722">
        <w:t>The lack of c</w:t>
      </w:r>
      <w:r w:rsidR="00DF3156" w:rsidRPr="00323722">
        <w:t>larity regarding this e</w:t>
      </w:r>
      <w:r w:rsidRPr="00323722">
        <w:t>lement persists; as such</w:t>
      </w:r>
      <w:r w:rsidR="00C427BB" w:rsidRPr="00323722">
        <w:t>,</w:t>
      </w:r>
      <w:r w:rsidRPr="00323722">
        <w:t xml:space="preserve"> assessing progress over the last two years remains difficult. Nevertheless, actions being taken by Parties, including the identification and mapping of areas important for ecosystem services at a national or local level, should support continued efforts towards th</w:t>
      </w:r>
      <w:r w:rsidR="00CD3B28" w:rsidRPr="00323722">
        <w:t xml:space="preserve">e achievement of this element of the target. </w:t>
      </w:r>
      <w:r w:rsidR="00C427BB" w:rsidRPr="00323722">
        <w:t>T</w:t>
      </w:r>
      <w:r w:rsidR="00CD3B28" w:rsidRPr="00323722">
        <w:t>he support and recognition of ICCAs and the systematic collection of information on OECMs</w:t>
      </w:r>
      <w:r w:rsidR="00C427BB" w:rsidRPr="00323722">
        <w:t xml:space="preserve"> would also enhance the conservation of areas important for ecosystem services</w:t>
      </w:r>
      <w:r w:rsidR="00CD3B28" w:rsidRPr="00323722">
        <w:t>.</w:t>
      </w:r>
    </w:p>
    <w:p w:rsidR="003E5ACE" w:rsidRDefault="001E3D3A" w:rsidP="00F44E90">
      <w:pPr>
        <w:pStyle w:val="Heading2"/>
        <w:numPr>
          <w:ilvl w:val="0"/>
          <w:numId w:val="8"/>
        </w:numPr>
        <w:rPr>
          <w:rFonts w:cs="Times New Roman"/>
        </w:rPr>
      </w:pPr>
      <w:r w:rsidRPr="00576654">
        <w:rPr>
          <w:rFonts w:cs="Times New Roman"/>
        </w:rPr>
        <w:t>Well-connected systems of protected areas</w:t>
      </w:r>
    </w:p>
    <w:tbl>
      <w:tblPr>
        <w:tblW w:w="9558" w:type="dxa"/>
        <w:tblLook w:val="04A0" w:firstRow="1" w:lastRow="0" w:firstColumn="1" w:lastColumn="0" w:noHBand="0" w:noVBand="1"/>
      </w:tblPr>
      <w:tblGrid>
        <w:gridCol w:w="2628"/>
        <w:gridCol w:w="2250"/>
        <w:gridCol w:w="2430"/>
        <w:gridCol w:w="2250"/>
      </w:tblGrid>
      <w:tr w:rsidR="0042237A" w:rsidRPr="00BD6B4B" w:rsidTr="00C61177">
        <w:tc>
          <w:tcPr>
            <w:tcW w:w="2628" w:type="dxa"/>
            <w:tcBorders>
              <w:top w:val="single" w:sz="18" w:space="0" w:color="auto"/>
              <w:bottom w:val="single" w:sz="12" w:space="0" w:color="auto"/>
            </w:tcBorders>
            <w:shd w:val="clear" w:color="auto" w:fill="auto"/>
            <w:vAlign w:val="center"/>
          </w:tcPr>
          <w:p w:rsidR="0042237A" w:rsidRPr="00BD6B4B" w:rsidRDefault="0042237A" w:rsidP="00FD1FC1">
            <w:pPr>
              <w:jc w:val="center"/>
              <w:rPr>
                <w:b/>
                <w:sz w:val="18"/>
                <w:szCs w:val="18"/>
              </w:rPr>
            </w:pPr>
            <w:r w:rsidRPr="00BD6B4B">
              <w:rPr>
                <w:b/>
                <w:sz w:val="18"/>
                <w:szCs w:val="18"/>
              </w:rPr>
              <w:t xml:space="preserve">Element of Target 11 </w:t>
            </w:r>
            <w:r>
              <w:rPr>
                <w:b/>
                <w:sz w:val="18"/>
                <w:szCs w:val="18"/>
              </w:rPr>
              <w:t xml:space="preserve">             </w:t>
            </w:r>
            <w:r w:rsidRPr="00BD6B4B">
              <w:rPr>
                <w:sz w:val="18"/>
                <w:szCs w:val="18"/>
              </w:rPr>
              <w:t>(and status from GBO-4</w:t>
            </w:r>
            <w:r>
              <w:rPr>
                <w:sz w:val="18"/>
                <w:szCs w:val="18"/>
              </w:rPr>
              <w:t xml:space="preserve"> in 2014</w:t>
            </w:r>
            <w:r w:rsidRPr="00BD6B4B">
              <w:rPr>
                <w:sz w:val="18"/>
                <w:szCs w:val="18"/>
              </w:rPr>
              <w:t>)</w:t>
            </w:r>
          </w:p>
        </w:tc>
        <w:tc>
          <w:tcPr>
            <w:tcW w:w="2250" w:type="dxa"/>
            <w:tcBorders>
              <w:top w:val="single" w:sz="18" w:space="0" w:color="auto"/>
              <w:bottom w:val="single" w:sz="12" w:space="0" w:color="auto"/>
            </w:tcBorders>
            <w:shd w:val="clear" w:color="auto" w:fill="auto"/>
            <w:vAlign w:val="center"/>
          </w:tcPr>
          <w:p w:rsidR="000516B5" w:rsidRPr="002D76A7" w:rsidRDefault="0042237A" w:rsidP="00FD1FC1">
            <w:pPr>
              <w:jc w:val="center"/>
              <w:rPr>
                <w:b/>
                <w:sz w:val="18"/>
                <w:szCs w:val="18"/>
              </w:rPr>
            </w:pPr>
            <w:r w:rsidRPr="00BD6B4B">
              <w:rPr>
                <w:b/>
                <w:sz w:val="18"/>
                <w:szCs w:val="18"/>
              </w:rPr>
              <w:t>Status in 2016</w:t>
            </w:r>
          </w:p>
        </w:tc>
        <w:tc>
          <w:tcPr>
            <w:tcW w:w="2430" w:type="dxa"/>
            <w:tcBorders>
              <w:top w:val="single" w:sz="18" w:space="0" w:color="auto"/>
              <w:bottom w:val="single" w:sz="12" w:space="0" w:color="auto"/>
            </w:tcBorders>
            <w:shd w:val="clear" w:color="auto" w:fill="auto"/>
            <w:vAlign w:val="center"/>
          </w:tcPr>
          <w:p w:rsidR="0042237A" w:rsidRPr="004B4E8C" w:rsidRDefault="0042237A" w:rsidP="00FD1FC1">
            <w:pPr>
              <w:jc w:val="center"/>
              <w:rPr>
                <w:b/>
                <w:sz w:val="18"/>
                <w:szCs w:val="18"/>
              </w:rPr>
            </w:pPr>
            <w:r w:rsidRPr="00BD6B4B">
              <w:rPr>
                <w:b/>
                <w:sz w:val="18"/>
                <w:szCs w:val="18"/>
              </w:rPr>
              <w:t>Current Status</w:t>
            </w:r>
          </w:p>
        </w:tc>
        <w:tc>
          <w:tcPr>
            <w:tcW w:w="2250" w:type="dxa"/>
            <w:tcBorders>
              <w:top w:val="single" w:sz="18" w:space="0" w:color="auto"/>
              <w:bottom w:val="single" w:sz="12" w:space="0" w:color="auto"/>
            </w:tcBorders>
            <w:shd w:val="clear" w:color="auto" w:fill="auto"/>
            <w:vAlign w:val="center"/>
          </w:tcPr>
          <w:p w:rsidR="0042237A" w:rsidRPr="00BD6B4B" w:rsidRDefault="0042237A" w:rsidP="00FD1FC1">
            <w:pPr>
              <w:jc w:val="center"/>
              <w:rPr>
                <w:b/>
                <w:sz w:val="18"/>
                <w:szCs w:val="18"/>
              </w:rPr>
            </w:pPr>
            <w:r w:rsidRPr="00BD6B4B">
              <w:rPr>
                <w:b/>
                <w:sz w:val="18"/>
                <w:szCs w:val="18"/>
              </w:rPr>
              <w:t>Opportunities for 2020</w:t>
            </w:r>
          </w:p>
        </w:tc>
      </w:tr>
      <w:tr w:rsidR="0042237A" w:rsidRPr="00BD6B4B" w:rsidTr="00C61177">
        <w:tc>
          <w:tcPr>
            <w:tcW w:w="2628" w:type="dxa"/>
            <w:tcBorders>
              <w:top w:val="single" w:sz="12" w:space="0" w:color="auto"/>
              <w:bottom w:val="single" w:sz="18" w:space="0" w:color="auto"/>
            </w:tcBorders>
            <w:shd w:val="clear" w:color="auto" w:fill="auto"/>
            <w:vAlign w:val="center"/>
          </w:tcPr>
          <w:p w:rsidR="0042237A" w:rsidRPr="00BD6B4B" w:rsidRDefault="0042237A" w:rsidP="00FD1FC1">
            <w:pPr>
              <w:autoSpaceDE w:val="0"/>
              <w:autoSpaceDN w:val="0"/>
              <w:adjustRightInd w:val="0"/>
              <w:jc w:val="center"/>
              <w:rPr>
                <w:b/>
                <w:sz w:val="18"/>
                <w:szCs w:val="18"/>
                <w:lang w:eastAsia="en-GB"/>
              </w:rPr>
            </w:pPr>
            <w:r>
              <w:rPr>
                <w:b/>
                <w:sz w:val="18"/>
                <w:szCs w:val="18"/>
                <w:lang w:eastAsia="en-GB"/>
              </w:rPr>
              <w:t>W</w:t>
            </w:r>
            <w:r w:rsidRPr="00BD6B4B">
              <w:rPr>
                <w:b/>
                <w:sz w:val="18"/>
                <w:szCs w:val="18"/>
                <w:lang w:eastAsia="en-GB"/>
              </w:rPr>
              <w:t>ell-connected</w:t>
            </w:r>
          </w:p>
          <w:p w:rsidR="0042237A" w:rsidRDefault="0042237A" w:rsidP="00FD1FC1">
            <w:pPr>
              <w:autoSpaceDE w:val="0"/>
              <w:autoSpaceDN w:val="0"/>
              <w:adjustRightInd w:val="0"/>
              <w:jc w:val="center"/>
              <w:rPr>
                <w:sz w:val="18"/>
                <w:szCs w:val="18"/>
                <w:lang w:eastAsia="en-GB"/>
              </w:rPr>
            </w:pPr>
            <w:r w:rsidRPr="00BD6B4B">
              <w:rPr>
                <w:b/>
                <w:sz w:val="18"/>
                <w:szCs w:val="18"/>
                <w:lang w:eastAsia="en-GB"/>
              </w:rPr>
              <w:t>systems</w:t>
            </w:r>
            <w:r w:rsidRPr="00BD6B4B">
              <w:rPr>
                <w:sz w:val="18"/>
                <w:szCs w:val="18"/>
                <w:lang w:eastAsia="en-GB"/>
              </w:rPr>
              <w:t xml:space="preserve"> of PAs and OECMs</w:t>
            </w:r>
          </w:p>
          <w:p w:rsidR="0042237A" w:rsidRDefault="0042237A" w:rsidP="00FD1FC1">
            <w:pPr>
              <w:autoSpaceDE w:val="0"/>
              <w:autoSpaceDN w:val="0"/>
              <w:adjustRightInd w:val="0"/>
              <w:jc w:val="center"/>
              <w:rPr>
                <w:sz w:val="18"/>
                <w:szCs w:val="18"/>
                <w:lang w:eastAsia="en-GB"/>
              </w:rPr>
            </w:pPr>
          </w:p>
          <w:p w:rsidR="0042237A" w:rsidRDefault="0042237A" w:rsidP="00FD1FC1">
            <w:pPr>
              <w:autoSpaceDE w:val="0"/>
              <w:autoSpaceDN w:val="0"/>
              <w:adjustRightInd w:val="0"/>
              <w:jc w:val="center"/>
              <w:rPr>
                <w:sz w:val="18"/>
                <w:szCs w:val="18"/>
                <w:lang w:eastAsia="en-GB"/>
              </w:rPr>
            </w:pPr>
          </w:p>
          <w:p w:rsidR="0042237A" w:rsidRPr="00BD6B4B" w:rsidRDefault="0042237A" w:rsidP="00FD1FC1">
            <w:pPr>
              <w:autoSpaceDE w:val="0"/>
              <w:autoSpaceDN w:val="0"/>
              <w:adjustRightInd w:val="0"/>
              <w:jc w:val="center"/>
              <w:rPr>
                <w:sz w:val="18"/>
                <w:szCs w:val="18"/>
              </w:rPr>
            </w:pPr>
          </w:p>
          <w:p w:rsidR="0042237A" w:rsidRPr="00BD6B4B" w:rsidRDefault="0042237A" w:rsidP="00FD1FC1">
            <w:pPr>
              <w:jc w:val="center"/>
              <w:rPr>
                <w:sz w:val="18"/>
                <w:szCs w:val="18"/>
              </w:rPr>
            </w:pPr>
            <w:r w:rsidRPr="00BD6B4B">
              <w:rPr>
                <w:noProof/>
                <w:sz w:val="18"/>
                <w:szCs w:val="18"/>
                <w:lang w:val="en-CA" w:eastAsia="en-CA"/>
              </w:rPr>
              <w:drawing>
                <wp:inline distT="0" distB="0" distL="0" distR="0" wp14:anchorId="32090366" wp14:editId="1ED42391">
                  <wp:extent cx="630936" cy="411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 cy="411480"/>
                          </a:xfrm>
                          <a:prstGeom prst="rect">
                            <a:avLst/>
                          </a:prstGeom>
                        </pic:spPr>
                      </pic:pic>
                    </a:graphicData>
                  </a:graphic>
                </wp:inline>
              </w:drawing>
            </w:r>
          </w:p>
        </w:tc>
        <w:tc>
          <w:tcPr>
            <w:tcW w:w="2250" w:type="dxa"/>
            <w:tcBorders>
              <w:top w:val="single" w:sz="12" w:space="0" w:color="auto"/>
              <w:bottom w:val="single" w:sz="18" w:space="0" w:color="auto"/>
            </w:tcBorders>
            <w:shd w:val="clear" w:color="auto" w:fill="auto"/>
            <w:vAlign w:val="center"/>
          </w:tcPr>
          <w:p w:rsidR="0042237A" w:rsidRDefault="0042237A" w:rsidP="00FD1FC1">
            <w:pPr>
              <w:jc w:val="center"/>
              <w:rPr>
                <w:sz w:val="18"/>
                <w:szCs w:val="18"/>
              </w:rPr>
            </w:pPr>
            <w:r w:rsidRPr="000516B5">
              <w:rPr>
                <w:sz w:val="18"/>
                <w:szCs w:val="18"/>
              </w:rPr>
              <w:t xml:space="preserve">ACC guidelines </w:t>
            </w:r>
            <w:r w:rsidR="00556312" w:rsidRPr="000516B5">
              <w:rPr>
                <w:sz w:val="18"/>
                <w:szCs w:val="18"/>
              </w:rPr>
              <w:t xml:space="preserve">being developed; </w:t>
            </w:r>
            <w:r w:rsidRPr="000516B5">
              <w:rPr>
                <w:sz w:val="18"/>
                <w:szCs w:val="18"/>
              </w:rPr>
              <w:t xml:space="preserve">progress </w:t>
            </w:r>
            <w:r w:rsidR="00556312" w:rsidRPr="000516B5">
              <w:rPr>
                <w:sz w:val="18"/>
                <w:szCs w:val="18"/>
              </w:rPr>
              <w:t>b</w:t>
            </w:r>
            <w:r w:rsidR="002B2F91" w:rsidRPr="000516B5">
              <w:rPr>
                <w:sz w:val="18"/>
                <w:szCs w:val="18"/>
              </w:rPr>
              <w:t xml:space="preserve">eing made </w:t>
            </w:r>
            <w:r w:rsidRPr="000516B5">
              <w:rPr>
                <w:sz w:val="18"/>
                <w:szCs w:val="18"/>
              </w:rPr>
              <w:t>towards indicators.</w:t>
            </w:r>
          </w:p>
          <w:p w:rsidR="0042237A" w:rsidRPr="00BD6B4B" w:rsidRDefault="0042237A" w:rsidP="00FD1FC1">
            <w:pPr>
              <w:jc w:val="center"/>
              <w:rPr>
                <w:sz w:val="18"/>
                <w:szCs w:val="18"/>
              </w:rPr>
            </w:pPr>
            <w:r w:rsidRPr="00336B37">
              <w:rPr>
                <w:sz w:val="18"/>
                <w:szCs w:val="18"/>
              </w:rPr>
              <w:t>9.3</w:t>
            </w:r>
            <w:r>
              <w:rPr>
                <w:sz w:val="18"/>
                <w:szCs w:val="18"/>
              </w:rPr>
              <w:t xml:space="preserve">% </w:t>
            </w:r>
            <w:r w:rsidRPr="00336B37">
              <w:rPr>
                <w:sz w:val="18"/>
                <w:szCs w:val="18"/>
              </w:rPr>
              <w:t xml:space="preserve">of the world is covered by protected connected lands </w:t>
            </w:r>
            <w:r>
              <w:rPr>
                <w:sz w:val="18"/>
                <w:szCs w:val="18"/>
              </w:rPr>
              <w:t>(compared to 14.7% total protected).</w:t>
            </w:r>
          </w:p>
        </w:tc>
        <w:tc>
          <w:tcPr>
            <w:tcW w:w="2430" w:type="dxa"/>
            <w:tcBorders>
              <w:top w:val="single" w:sz="12" w:space="0" w:color="auto"/>
              <w:bottom w:val="single" w:sz="18" w:space="0" w:color="auto"/>
            </w:tcBorders>
            <w:shd w:val="clear" w:color="auto" w:fill="auto"/>
            <w:vAlign w:val="center"/>
          </w:tcPr>
          <w:p w:rsidR="0042237A" w:rsidRPr="0049161F" w:rsidRDefault="0042237A" w:rsidP="00FD1FC1">
            <w:pPr>
              <w:jc w:val="center"/>
              <w:rPr>
                <w:sz w:val="18"/>
                <w:szCs w:val="18"/>
              </w:rPr>
            </w:pPr>
            <w:r w:rsidRPr="0049161F">
              <w:rPr>
                <w:sz w:val="18"/>
                <w:szCs w:val="18"/>
              </w:rPr>
              <w:t>PARC-connectedness index -- global value ~0.5</w:t>
            </w:r>
            <w:r w:rsidR="000516B5">
              <w:rPr>
                <w:sz w:val="18"/>
                <w:szCs w:val="18"/>
              </w:rPr>
              <w:t>.</w:t>
            </w:r>
          </w:p>
          <w:p w:rsidR="0042237A" w:rsidRPr="00BD6B4B" w:rsidRDefault="0042237A" w:rsidP="00C61177">
            <w:pPr>
              <w:jc w:val="center"/>
              <w:rPr>
                <w:sz w:val="18"/>
                <w:szCs w:val="18"/>
              </w:rPr>
            </w:pPr>
            <w:r w:rsidRPr="0049161F">
              <w:rPr>
                <w:sz w:val="18"/>
                <w:szCs w:val="18"/>
              </w:rPr>
              <w:t>2</w:t>
            </w:r>
            <w:r w:rsidR="00C61177">
              <w:rPr>
                <w:sz w:val="18"/>
                <w:szCs w:val="18"/>
              </w:rPr>
              <w:t>7.9</w:t>
            </w:r>
            <w:r w:rsidRPr="0049161F">
              <w:rPr>
                <w:sz w:val="18"/>
                <w:szCs w:val="18"/>
              </w:rPr>
              <w:t xml:space="preserve">% of terrestrial ecoregions and 30.5% of countries and territories have protected and connected lands covering at least 17% </w:t>
            </w:r>
            <w:r>
              <w:rPr>
                <w:sz w:val="18"/>
                <w:szCs w:val="18"/>
              </w:rPr>
              <w:t>(</w:t>
            </w:r>
            <w:r w:rsidRPr="0049161F">
              <w:rPr>
                <w:sz w:val="18"/>
                <w:szCs w:val="18"/>
              </w:rPr>
              <w:t>ProtConn</w:t>
            </w:r>
            <w:r>
              <w:rPr>
                <w:sz w:val="18"/>
                <w:szCs w:val="18"/>
              </w:rPr>
              <w:t>).</w:t>
            </w:r>
          </w:p>
        </w:tc>
        <w:tc>
          <w:tcPr>
            <w:tcW w:w="2250" w:type="dxa"/>
            <w:tcBorders>
              <w:top w:val="single" w:sz="12" w:space="0" w:color="auto"/>
              <w:bottom w:val="single" w:sz="18" w:space="0" w:color="auto"/>
            </w:tcBorders>
            <w:shd w:val="clear" w:color="auto" w:fill="auto"/>
            <w:vAlign w:val="center"/>
          </w:tcPr>
          <w:p w:rsidR="0042237A" w:rsidRDefault="0042237A" w:rsidP="00FD1FC1">
            <w:pPr>
              <w:jc w:val="center"/>
              <w:rPr>
                <w:sz w:val="18"/>
                <w:szCs w:val="18"/>
              </w:rPr>
            </w:pPr>
            <w:r>
              <w:rPr>
                <w:sz w:val="18"/>
                <w:szCs w:val="18"/>
              </w:rPr>
              <w:t>Implementation of all national commitments.</w:t>
            </w:r>
          </w:p>
          <w:p w:rsidR="00304D7D" w:rsidRDefault="00304D7D" w:rsidP="00FD1FC1">
            <w:pPr>
              <w:jc w:val="center"/>
              <w:rPr>
                <w:sz w:val="18"/>
                <w:szCs w:val="18"/>
              </w:rPr>
            </w:pPr>
          </w:p>
          <w:p w:rsidR="0042237A" w:rsidRDefault="0042237A" w:rsidP="00556312">
            <w:pPr>
              <w:jc w:val="center"/>
              <w:rPr>
                <w:sz w:val="4"/>
                <w:szCs w:val="4"/>
              </w:rPr>
            </w:pPr>
            <w:r>
              <w:rPr>
                <w:sz w:val="18"/>
                <w:szCs w:val="18"/>
              </w:rPr>
              <w:t>At a minimum, each country develops at least one connectivity conservation initiative.</w:t>
            </w:r>
            <w:r w:rsidRPr="00BD6B4B">
              <w:rPr>
                <w:noProof/>
                <w:sz w:val="18"/>
                <w:szCs w:val="18"/>
                <w:lang w:val="en-CA" w:eastAsia="en-CA"/>
              </w:rPr>
              <w:drawing>
                <wp:inline distT="0" distB="0" distL="0" distR="0" wp14:anchorId="4B653E67" wp14:editId="0617CF43">
                  <wp:extent cx="640080" cy="4114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411480"/>
                          </a:xfrm>
                          <a:prstGeom prst="rect">
                            <a:avLst/>
                          </a:prstGeom>
                        </pic:spPr>
                      </pic:pic>
                    </a:graphicData>
                  </a:graphic>
                </wp:inline>
              </w:drawing>
            </w:r>
          </w:p>
          <w:p w:rsidR="00950336" w:rsidRPr="00950336" w:rsidRDefault="00950336" w:rsidP="00556312">
            <w:pPr>
              <w:jc w:val="center"/>
              <w:rPr>
                <w:sz w:val="4"/>
                <w:szCs w:val="4"/>
              </w:rPr>
            </w:pPr>
          </w:p>
        </w:tc>
      </w:tr>
    </w:tbl>
    <w:p w:rsidR="004D1E95" w:rsidRPr="004D1E95" w:rsidRDefault="00C27349" w:rsidP="005E065B">
      <w:pPr>
        <w:pStyle w:val="Para1"/>
      </w:pPr>
      <w:r w:rsidRPr="00576654">
        <w:t xml:space="preserve">Well-connected systems of protected areas are important for </w:t>
      </w:r>
      <w:r w:rsidR="00304D7D">
        <w:t>maintaining</w:t>
      </w:r>
      <w:r w:rsidRPr="00576654">
        <w:t xml:space="preserve"> of ecological and evolutionary processes, especially given the impacts of climate change and increasingly fragmented natural landscapes.</w:t>
      </w:r>
      <w:r w:rsidR="00304D7D">
        <w:t xml:space="preserve"> </w:t>
      </w:r>
      <w:r w:rsidR="005E065B">
        <w:t>Conserving ecological connectivity is necessary to maintain and enhance the effectiveness of protected areas.</w:t>
      </w:r>
      <w:r w:rsidRPr="00576654">
        <w:t xml:space="preserve"> </w:t>
      </w:r>
      <w:r w:rsidR="000E2DDE" w:rsidRPr="005E065B">
        <w:t xml:space="preserve">Guidelines are being developed </w:t>
      </w:r>
      <w:r w:rsidR="0064773E" w:rsidRPr="005E065B">
        <w:t xml:space="preserve">to define </w:t>
      </w:r>
      <w:r w:rsidR="005E065B" w:rsidRPr="005E065B">
        <w:rPr>
          <w:sz w:val="23"/>
          <w:szCs w:val="23"/>
        </w:rPr>
        <w:t xml:space="preserve">and describe </w:t>
      </w:r>
      <w:r w:rsidR="0064773E" w:rsidRPr="005E065B">
        <w:t>areas of connectivity conservation (ACCs)</w:t>
      </w:r>
      <w:r w:rsidR="005E065B" w:rsidRPr="005E065B">
        <w:t>, as well</w:t>
      </w:r>
      <w:r w:rsidR="005E065B">
        <w:t xml:space="preserve"> as presenting identification criteria and possible governance arrangement</w:t>
      </w:r>
      <w:r w:rsidR="001863ED">
        <w:t>s</w:t>
      </w:r>
      <w:r w:rsidR="005E065B">
        <w:t xml:space="preserve"> for them.</w:t>
      </w:r>
      <w:r w:rsidR="00E93C03">
        <w:rPr>
          <w:rStyle w:val="FootnoteReference"/>
        </w:rPr>
        <w:footnoteReference w:id="53"/>
      </w:r>
      <w:r w:rsidR="005E065B">
        <w:t xml:space="preserve"> </w:t>
      </w:r>
      <w:r w:rsidR="003400D7" w:rsidRPr="004D1E95">
        <w:t xml:space="preserve">ACCs </w:t>
      </w:r>
      <w:r w:rsidR="005E065B" w:rsidRPr="004D1E95">
        <w:t>could be recognised f</w:t>
      </w:r>
      <w:r w:rsidR="003400D7" w:rsidRPr="004D1E95">
        <w:t xml:space="preserve">or species movement or for large-scale migration </w:t>
      </w:r>
      <w:r w:rsidR="004D1E95" w:rsidRPr="004D1E95">
        <w:t>in</w:t>
      </w:r>
      <w:r w:rsidR="003400D7" w:rsidRPr="004D1E95">
        <w:t xml:space="preserve"> terrestrial, freshwater and marine areas, as well as </w:t>
      </w:r>
      <w:r w:rsidR="004D1E95" w:rsidRPr="004D1E95">
        <w:t xml:space="preserve">for bird and non-bird </w:t>
      </w:r>
      <w:r w:rsidR="003400D7" w:rsidRPr="004D1E95">
        <w:t>flight migration</w:t>
      </w:r>
      <w:r w:rsidR="004D1E95" w:rsidRPr="004D1E95">
        <w:t>.</w:t>
      </w:r>
      <w:r w:rsidR="00323722">
        <w:rPr>
          <w:b/>
        </w:rPr>
        <w:t xml:space="preserve"> </w:t>
      </w:r>
      <w:r w:rsidR="00323722">
        <w:t>The development of ACC initiatives could provide one means</w:t>
      </w:r>
      <w:r w:rsidR="00D3026D">
        <w:t xml:space="preserve"> for assessing progress on the connectivity element of Target 11.</w:t>
      </w:r>
    </w:p>
    <w:p w:rsidR="00A04DA9" w:rsidRDefault="000924F0" w:rsidP="008B4736">
      <w:pPr>
        <w:pStyle w:val="Para1"/>
      </w:pPr>
      <w:r>
        <w:t>E</w:t>
      </w:r>
      <w:r w:rsidR="00201520" w:rsidRPr="00B921B6">
        <w:t>arlier assessments noted a lack of available indicators for tracking progress</w:t>
      </w:r>
      <w:r w:rsidR="004D1E95" w:rsidRPr="00B921B6">
        <w:t xml:space="preserve"> on the connectivity of protected area networks</w:t>
      </w:r>
      <w:r w:rsidR="00D3026D">
        <w:t>;</w:t>
      </w:r>
      <w:r w:rsidR="004D1E95" w:rsidRPr="00B921B6">
        <w:rPr>
          <w:rStyle w:val="FootnoteReference"/>
        </w:rPr>
        <w:footnoteReference w:id="54"/>
      </w:r>
      <w:r w:rsidR="004D1E95" w:rsidRPr="00B921B6">
        <w:t xml:space="preserve"> </w:t>
      </w:r>
      <w:r w:rsidR="00FC0204" w:rsidRPr="00B921B6">
        <w:t xml:space="preserve">in </w:t>
      </w:r>
      <w:r w:rsidR="001863ED" w:rsidRPr="00B921B6">
        <w:t>recent</w:t>
      </w:r>
      <w:r w:rsidR="00FC0204" w:rsidRPr="00B921B6">
        <w:t xml:space="preserve"> year</w:t>
      </w:r>
      <w:r w:rsidR="001863ED" w:rsidRPr="00B921B6">
        <w:t>s</w:t>
      </w:r>
      <w:r w:rsidR="00FC0204" w:rsidRPr="00B921B6">
        <w:t xml:space="preserve"> </w:t>
      </w:r>
      <w:r w:rsidR="004D1E95" w:rsidRPr="00B921B6">
        <w:t>advances have</w:t>
      </w:r>
      <w:r w:rsidR="00201520" w:rsidRPr="00B921B6">
        <w:t xml:space="preserve"> been made in developing them</w:t>
      </w:r>
      <w:r w:rsidR="004D1E95" w:rsidRPr="00B921B6">
        <w:t>. One is t</w:t>
      </w:r>
      <w:r w:rsidR="000E2DDE" w:rsidRPr="00B921B6">
        <w:t xml:space="preserve">he </w:t>
      </w:r>
      <w:r w:rsidR="00A04DA9" w:rsidRPr="00B921B6">
        <w:t>PARC-connectedness index</w:t>
      </w:r>
      <w:r w:rsidR="000E2DDE" w:rsidRPr="00B921B6">
        <w:t>.</w:t>
      </w:r>
      <w:r w:rsidR="002A30D3" w:rsidRPr="00B921B6">
        <w:rPr>
          <w:rStyle w:val="FootnoteReference"/>
        </w:rPr>
        <w:footnoteReference w:id="55"/>
      </w:r>
      <w:r w:rsidR="000E2DDE" w:rsidRPr="00B921B6">
        <w:t xml:space="preserve"> </w:t>
      </w:r>
      <w:r w:rsidR="00777596">
        <w:t>It</w:t>
      </w:r>
      <w:r w:rsidR="008B4736" w:rsidRPr="00B921B6">
        <w:t xml:space="preserve"> makes use of a cost-benefit analysis (CBA) technique,</w:t>
      </w:r>
      <w:r w:rsidR="007B33EE" w:rsidRPr="00B921B6">
        <w:rPr>
          <w:rStyle w:val="FootnoteReference"/>
        </w:rPr>
        <w:footnoteReference w:id="56"/>
      </w:r>
      <w:r w:rsidR="008B4736" w:rsidRPr="00B921B6">
        <w:t xml:space="preserve"> with the ‘benefit’ assigned as the proportion of a cell included in protected areas or covered by primary vegetation (outside of protected areas), while the ‘cost’ indicates permeability to dispersal</w:t>
      </w:r>
      <w:r w:rsidR="00FC0204" w:rsidRPr="00B921B6">
        <w:t>,</w:t>
      </w:r>
      <w:r w:rsidR="008B4736" w:rsidRPr="00B921B6">
        <w:t xml:space="preserve"> and ranges from 0.1 (areas with no protection or primary vegetation) to 1.0 (fully protected or covered by primary vegetation). </w:t>
      </w:r>
      <w:r w:rsidR="000E2DDE" w:rsidRPr="00B921B6">
        <w:t xml:space="preserve">The index </w:t>
      </w:r>
      <w:r w:rsidR="00A04DA9" w:rsidRPr="00B921B6">
        <w:t xml:space="preserve">shows little change </w:t>
      </w:r>
      <w:r w:rsidR="00A04DA9" w:rsidRPr="00B921B6">
        <w:lastRenderedPageBreak/>
        <w:t xml:space="preserve">in </w:t>
      </w:r>
      <w:r w:rsidR="004D1E95" w:rsidRPr="00B921B6">
        <w:t xml:space="preserve">the </w:t>
      </w:r>
      <w:r w:rsidR="00A04DA9" w:rsidRPr="00B921B6">
        <w:t>connectivity of the world’s protected area network between 2000 and</w:t>
      </w:r>
      <w:r w:rsidR="00A04DA9">
        <w:t xml:space="preserve"> 2012</w:t>
      </w:r>
      <w:r w:rsidR="004D1E95">
        <w:t xml:space="preserve">. </w:t>
      </w:r>
      <w:r w:rsidR="00FC0204">
        <w:t>In 2012, t</w:t>
      </w:r>
      <w:r w:rsidR="004D1E95" w:rsidRPr="004D1E95">
        <w:t xml:space="preserve">he global value </w:t>
      </w:r>
      <w:r w:rsidR="004D1E95">
        <w:t xml:space="preserve">was just over 0.5, </w:t>
      </w:r>
      <w:r w:rsidR="008B4736">
        <w:t xml:space="preserve">indicating that, on average, </w:t>
      </w:r>
      <w:r w:rsidR="008B4736" w:rsidRPr="00013ED1">
        <w:t>“</w:t>
      </w:r>
      <w:r w:rsidR="004D1E95" w:rsidRPr="00013ED1">
        <w:t>the connectedness of protected grid-cells is midway between that of a cell surrounded by a continuous</w:t>
      </w:r>
      <w:r w:rsidR="004D1E95" w:rsidRPr="004D1E95">
        <w:t xml:space="preserve"> expanse of unprotected transformed habitat (within a 500km radius), and a cell instead surrounded by a continuous expanse of protected areas and/or primary vegetation</w:t>
      </w:r>
      <w:r w:rsidR="004D1E95">
        <w:t>.”</w:t>
      </w:r>
      <w:r w:rsidR="008B4736">
        <w:rPr>
          <w:rStyle w:val="FootnoteReference"/>
        </w:rPr>
        <w:footnoteReference w:id="57"/>
      </w:r>
      <w:r w:rsidR="00A04DA9">
        <w:t xml:space="preserve"> </w:t>
      </w:r>
      <w:r w:rsidR="004D1E95">
        <w:t xml:space="preserve">Further updates are expected this year. </w:t>
      </w:r>
    </w:p>
    <w:p w:rsidR="00E3082A" w:rsidRPr="00E3082A" w:rsidRDefault="00A04DA9" w:rsidP="00E93C03">
      <w:pPr>
        <w:pStyle w:val="Para1"/>
      </w:pPr>
      <w:r>
        <w:t xml:space="preserve">Another </w:t>
      </w:r>
      <w:r w:rsidR="004D1E95">
        <w:t xml:space="preserve">is the </w:t>
      </w:r>
      <w:r>
        <w:t>proposed</w:t>
      </w:r>
      <w:r w:rsidR="004D1E95">
        <w:t xml:space="preserve"> </w:t>
      </w:r>
      <w:r w:rsidR="004D1E95" w:rsidRPr="004D1E95">
        <w:t>Protected Connected (ProtConn)</w:t>
      </w:r>
      <w:r w:rsidR="004D1E95">
        <w:t xml:space="preserve"> indicator, </w:t>
      </w:r>
      <w:r w:rsidR="00C61177">
        <w:t xml:space="preserve">developed by the EC-JRC. ProtConn  </w:t>
      </w:r>
      <w:r w:rsidR="00FC0204">
        <w:t>applies a graph theoretic approach to quantify</w:t>
      </w:r>
      <w:r w:rsidR="00FC0204" w:rsidRPr="004B437A">
        <w:t xml:space="preserve"> the percentage of a study region </w:t>
      </w:r>
      <w:r w:rsidR="00FC0204">
        <w:t xml:space="preserve">(e.g. continent, country, ecoregion) that is </w:t>
      </w:r>
      <w:r w:rsidR="00FC0204" w:rsidRPr="004B437A">
        <w:t>covered by protected connected lands</w:t>
      </w:r>
      <w:r w:rsidR="00FC0204">
        <w:t xml:space="preserve">, and can differentiate between </w:t>
      </w:r>
      <w:r w:rsidR="00FC0204" w:rsidRPr="004B437A">
        <w:t xml:space="preserve">several categories of land (unprotected, protected or transboundary) through which movement between protected </w:t>
      </w:r>
      <w:r w:rsidR="00FC0204">
        <w:t>areas</w:t>
      </w:r>
      <w:r w:rsidR="00FC0204" w:rsidRPr="004B437A">
        <w:t xml:space="preserve"> may occur</w:t>
      </w:r>
      <w:r w:rsidR="00FC0204">
        <w:t>.</w:t>
      </w:r>
      <w:r w:rsidR="00FC0204">
        <w:rPr>
          <w:rStyle w:val="FootnoteReference"/>
        </w:rPr>
        <w:footnoteReference w:id="58"/>
      </w:r>
      <w:r w:rsidR="00FC0204">
        <w:t xml:space="preserve"> The ProtConn indicator has since been adapted to be able to </w:t>
      </w:r>
      <w:r w:rsidR="00FC0204" w:rsidRPr="00FC0204">
        <w:t xml:space="preserve">distinguish different causes of </w:t>
      </w:r>
      <w:r w:rsidR="00FC0204">
        <w:t>protected area isolation, including</w:t>
      </w:r>
      <w:r w:rsidR="00627D60">
        <w:t xml:space="preserve"> limitations in the design of a country’s protected area system, and natural isolation by the sea or due to intervening lands of other countries.</w:t>
      </w:r>
      <w:r w:rsidR="00627D60">
        <w:rPr>
          <w:rStyle w:val="FootnoteReference"/>
        </w:rPr>
        <w:footnoteReference w:id="59"/>
      </w:r>
      <w:r w:rsidR="00E3082A">
        <w:t xml:space="preserve"> </w:t>
      </w:r>
      <w:r w:rsidRPr="00201520">
        <w:t xml:space="preserve">Currently, </w:t>
      </w:r>
      <w:r w:rsidRPr="00E3082A">
        <w:rPr>
          <w:lang w:val="en-US"/>
        </w:rPr>
        <w:t>2</w:t>
      </w:r>
      <w:r w:rsidR="00C61177">
        <w:rPr>
          <w:lang w:val="en-US"/>
        </w:rPr>
        <w:t>7.9</w:t>
      </w:r>
      <w:r w:rsidRPr="00E3082A">
        <w:rPr>
          <w:lang w:val="en-US"/>
        </w:rPr>
        <w:t>% of</w:t>
      </w:r>
      <w:r w:rsidR="009E0614">
        <w:rPr>
          <w:lang w:val="en-US"/>
        </w:rPr>
        <w:t xml:space="preserve"> the world’s</w:t>
      </w:r>
      <w:r w:rsidRPr="00E3082A">
        <w:rPr>
          <w:lang w:val="en-US"/>
        </w:rPr>
        <w:t xml:space="preserve"> terrestrial ecoregions</w:t>
      </w:r>
      <w:r w:rsidR="00E93C03" w:rsidRPr="00201520">
        <w:rPr>
          <w:rStyle w:val="FootnoteReference"/>
          <w:lang w:val="en-US"/>
        </w:rPr>
        <w:footnoteReference w:id="60"/>
      </w:r>
      <w:r w:rsidRPr="00E3082A">
        <w:rPr>
          <w:lang w:val="en-US"/>
        </w:rPr>
        <w:t xml:space="preserve"> and 30.5% of countries and territories</w:t>
      </w:r>
      <w:r w:rsidR="00E93C03" w:rsidRPr="00201520">
        <w:rPr>
          <w:rStyle w:val="FootnoteReference"/>
          <w:lang w:val="en-US"/>
        </w:rPr>
        <w:footnoteReference w:id="61"/>
      </w:r>
      <w:r w:rsidRPr="00E3082A">
        <w:rPr>
          <w:lang w:val="en-US"/>
        </w:rPr>
        <w:t xml:space="preserve"> have </w:t>
      </w:r>
      <w:r w:rsidR="00FD45F4" w:rsidRPr="00E3082A">
        <w:rPr>
          <w:lang w:val="en-US"/>
        </w:rPr>
        <w:t>protected and connected lands</w:t>
      </w:r>
      <w:r w:rsidRPr="00E3082A">
        <w:rPr>
          <w:lang w:val="en-US"/>
        </w:rPr>
        <w:t xml:space="preserve"> covering at least </w:t>
      </w:r>
      <w:r w:rsidRPr="00CD3B28">
        <w:rPr>
          <w:lang w:val="en-US"/>
        </w:rPr>
        <w:t>17%</w:t>
      </w:r>
      <w:r w:rsidR="00FD45F4" w:rsidRPr="00CD3B28">
        <w:rPr>
          <w:lang w:val="en-US"/>
        </w:rPr>
        <w:t xml:space="preserve"> of the </w:t>
      </w:r>
      <w:r w:rsidR="00CD3B28">
        <w:rPr>
          <w:lang w:val="en-US"/>
        </w:rPr>
        <w:t>ecoregion/country</w:t>
      </w:r>
      <w:r w:rsidR="00EE0458" w:rsidRPr="00E3082A">
        <w:rPr>
          <w:lang w:val="en-US"/>
        </w:rPr>
        <w:t>, based on the Prot</w:t>
      </w:r>
      <w:r w:rsidRPr="00E3082A">
        <w:rPr>
          <w:lang w:val="en-US"/>
        </w:rPr>
        <w:t>Conn indicator for a median dispersal distance of 10km</w:t>
      </w:r>
      <w:r w:rsidR="00D3026D">
        <w:rPr>
          <w:lang w:val="en-US"/>
        </w:rPr>
        <w:t>.</w:t>
      </w:r>
      <w:r w:rsidR="00C37BB8">
        <w:rPr>
          <w:rStyle w:val="FootnoteReference"/>
          <w:lang w:val="en-US"/>
        </w:rPr>
        <w:footnoteReference w:id="62"/>
      </w:r>
      <w:r w:rsidRPr="00E3082A">
        <w:rPr>
          <w:lang w:val="en-US"/>
        </w:rPr>
        <w:t xml:space="preserve"> This increases to 3</w:t>
      </w:r>
      <w:r w:rsidR="00C37BB8">
        <w:rPr>
          <w:lang w:val="en-US"/>
        </w:rPr>
        <w:t>6.6</w:t>
      </w:r>
      <w:r w:rsidRPr="00E3082A">
        <w:rPr>
          <w:lang w:val="en-US"/>
        </w:rPr>
        <w:t xml:space="preserve">% of terrestrial ecoregions and 38.6% of countries for a median dispersal distance of 100km. This indicates that many countries, and many terrestrial ecoregions, fall short of </w:t>
      </w:r>
      <w:r w:rsidR="00FD45F4" w:rsidRPr="00E3082A">
        <w:rPr>
          <w:lang w:val="en-US"/>
        </w:rPr>
        <w:t xml:space="preserve">the goal of maintaining </w:t>
      </w:r>
      <w:r w:rsidRPr="00E3082A">
        <w:rPr>
          <w:lang w:val="en-US"/>
        </w:rPr>
        <w:t>well-connected systems of protected areas</w:t>
      </w:r>
      <w:r w:rsidR="00FD45F4" w:rsidRPr="00E3082A">
        <w:rPr>
          <w:lang w:val="en-US"/>
        </w:rPr>
        <w:t xml:space="preserve">, when </w:t>
      </w:r>
      <w:r w:rsidR="00201520" w:rsidRPr="00E3082A">
        <w:rPr>
          <w:lang w:val="en-US"/>
        </w:rPr>
        <w:t>considering</w:t>
      </w:r>
      <w:r w:rsidR="00FD45F4" w:rsidRPr="00E3082A">
        <w:rPr>
          <w:lang w:val="en-US"/>
        </w:rPr>
        <w:t xml:space="preserve"> a range of dispersal</w:t>
      </w:r>
      <w:r w:rsidR="00627D60" w:rsidRPr="00E3082A">
        <w:rPr>
          <w:lang w:val="en-US"/>
        </w:rPr>
        <w:t xml:space="preserve"> distances</w:t>
      </w:r>
      <w:r w:rsidR="00FD45F4" w:rsidRPr="00E3082A">
        <w:rPr>
          <w:lang w:val="en-US"/>
        </w:rPr>
        <w:t xml:space="preserve"> covering </w:t>
      </w:r>
      <w:r w:rsidR="00201520" w:rsidRPr="00E3082A">
        <w:rPr>
          <w:lang w:val="en-US"/>
        </w:rPr>
        <w:t xml:space="preserve">the abilities of </w:t>
      </w:r>
      <w:r w:rsidR="00FD45F4" w:rsidRPr="00E3082A">
        <w:rPr>
          <w:lang w:val="en-US"/>
        </w:rPr>
        <w:t>most terrestrial birds and mammals</w:t>
      </w:r>
      <w:r w:rsidR="004D1E95" w:rsidRPr="00E3082A">
        <w:rPr>
          <w:lang w:val="en-US"/>
        </w:rPr>
        <w:t>.</w:t>
      </w:r>
      <w:r w:rsidR="00B51C43" w:rsidRPr="00E3082A">
        <w:rPr>
          <w:lang w:val="en-US"/>
        </w:rPr>
        <w:t xml:space="preserve"> </w:t>
      </w:r>
    </w:p>
    <w:p w:rsidR="00827E5A" w:rsidRDefault="00E93C03" w:rsidP="00E93C03">
      <w:pPr>
        <w:pStyle w:val="Para1"/>
      </w:pPr>
      <w:r w:rsidRPr="00E93C03">
        <w:t>To improve connectivity, many countries would require an overall increase in protected area coverage. For countries which are already approaching 17% terrestrial protected area coverage, the designation of new sites in strategic locations for connectivity</w:t>
      </w:r>
      <w:r w:rsidR="00FD45F4">
        <w:t>, either as corridors or stepping-stones</w:t>
      </w:r>
      <w:r w:rsidR="00013ED1">
        <w:t>,</w:t>
      </w:r>
      <w:r w:rsidRPr="00E93C03">
        <w:t xml:space="preserve"> will be necessary.</w:t>
      </w:r>
      <w:r w:rsidRPr="00E93C03">
        <w:rPr>
          <w:rStyle w:val="FootnoteReference"/>
        </w:rPr>
        <w:footnoteReference w:id="63"/>
      </w:r>
      <w:r w:rsidRPr="00827E5A">
        <w:rPr>
          <w:vertAlign w:val="superscript"/>
        </w:rPr>
        <w:t xml:space="preserve"> </w:t>
      </w:r>
      <w:r w:rsidRPr="00E93C03">
        <w:t>For some countries (mainly in Micronesia and the European Union, and some countries in Latin America and Southern Africa), protected area networks are already well-</w:t>
      </w:r>
      <w:r w:rsidR="00C37BB8">
        <w:t xml:space="preserve">designed for </w:t>
      </w:r>
      <w:r w:rsidRPr="00E93C03">
        <w:t>connect</w:t>
      </w:r>
      <w:r w:rsidR="00C37BB8">
        <w:t>ivity,</w:t>
      </w:r>
      <w:r w:rsidRPr="00E93C03">
        <w:t xml:space="preserve"> therefore management to ensure the permeability of unprotected lands and/or the coordinated management of neighbouring protected areas and transboundary sites will be needed to </w:t>
      </w:r>
      <w:r w:rsidR="00C37BB8">
        <w:t>sustain or improve</w:t>
      </w:r>
      <w:r w:rsidRPr="00E93C03">
        <w:t xml:space="preserve"> connectivity (see figure </w:t>
      </w:r>
      <w:r w:rsidR="000F50BC">
        <w:t>8</w:t>
      </w:r>
      <w:r w:rsidRPr="00E93C03">
        <w:t xml:space="preserve">). In all cases, it is necessary to ensure the effective management of existing </w:t>
      </w:r>
      <w:r w:rsidRPr="00D5328C">
        <w:t>protected areas, if connectivity is to be maintained.</w:t>
      </w:r>
    </w:p>
    <w:p w:rsidR="003B164C" w:rsidRDefault="00D30E24" w:rsidP="00417C86">
      <w:pPr>
        <w:pStyle w:val="Para1"/>
        <w:numPr>
          <w:ilvl w:val="0"/>
          <w:numId w:val="0"/>
        </w:numPr>
        <w:jc w:val="center"/>
      </w:pPr>
      <w:r>
        <w:rPr>
          <w:noProof/>
          <w:lang w:val="en-CA" w:eastAsia="en-CA"/>
        </w:rPr>
        <w:lastRenderedPageBreak/>
        <w:drawing>
          <wp:anchor distT="0" distB="0" distL="114300" distR="114300" simplePos="0" relativeHeight="251700736" behindDoc="1" locked="0" layoutInCell="1" allowOverlap="1">
            <wp:simplePos x="0" y="0"/>
            <wp:positionH relativeFrom="column">
              <wp:posOffset>-88900</wp:posOffset>
            </wp:positionH>
            <wp:positionV relativeFrom="paragraph">
              <wp:posOffset>-2540</wp:posOffset>
            </wp:positionV>
            <wp:extent cx="6222365" cy="3583940"/>
            <wp:effectExtent l="0" t="0" r="6985" b="0"/>
            <wp:wrapTight wrapText="bothSides">
              <wp:wrapPolygon edited="0">
                <wp:start x="0" y="0"/>
                <wp:lineTo x="0" y="21470"/>
                <wp:lineTo x="21558" y="21470"/>
                <wp:lineTo x="215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ect1.tif"/>
                    <pic:cNvPicPr/>
                  </pic:nvPicPr>
                  <pic:blipFill rotWithShape="1">
                    <a:blip r:embed="rId42" cstate="print">
                      <a:extLst>
                        <a:ext uri="{28A0092B-C50C-407E-A947-70E740481C1C}">
                          <a14:useLocalDpi xmlns:a14="http://schemas.microsoft.com/office/drawing/2010/main" val="0"/>
                        </a:ext>
                      </a:extLst>
                    </a:blip>
                    <a:srcRect t="2056" b="1646"/>
                    <a:stretch/>
                  </pic:blipFill>
                  <pic:spPr bwMode="auto">
                    <a:xfrm>
                      <a:off x="0" y="0"/>
                      <a:ext cx="6222365" cy="358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64C" w:rsidRPr="00F50D89">
        <w:rPr>
          <w:b/>
          <w:sz w:val="18"/>
        </w:rPr>
        <w:t>Fig</w:t>
      </w:r>
      <w:r w:rsidR="003B164C" w:rsidRPr="00B51C43">
        <w:rPr>
          <w:b/>
          <w:sz w:val="18"/>
        </w:rPr>
        <w:t xml:space="preserve">ure </w:t>
      </w:r>
      <w:r w:rsidR="000F50BC">
        <w:rPr>
          <w:b/>
          <w:sz w:val="18"/>
        </w:rPr>
        <w:t>8</w:t>
      </w:r>
      <w:r w:rsidR="003B164C" w:rsidRPr="00B51C43">
        <w:rPr>
          <w:sz w:val="18"/>
        </w:rPr>
        <w:t xml:space="preserve">. </w:t>
      </w:r>
      <w:r w:rsidR="00FD0890">
        <w:rPr>
          <w:sz w:val="18"/>
        </w:rPr>
        <w:t>P</w:t>
      </w:r>
      <w:r w:rsidR="003B164C" w:rsidRPr="00B51C43">
        <w:rPr>
          <w:sz w:val="18"/>
        </w:rPr>
        <w:t xml:space="preserve">riorities for </w:t>
      </w:r>
      <w:r w:rsidR="00A04DA9" w:rsidRPr="00B51C43">
        <w:rPr>
          <w:sz w:val="18"/>
        </w:rPr>
        <w:t xml:space="preserve">improving </w:t>
      </w:r>
      <w:r w:rsidR="003B164C" w:rsidRPr="00B51C43">
        <w:rPr>
          <w:sz w:val="18"/>
        </w:rPr>
        <w:t>protected area connectivity</w:t>
      </w:r>
      <w:r w:rsidR="00617707" w:rsidRPr="00B51C43">
        <w:rPr>
          <w:sz w:val="18"/>
        </w:rPr>
        <w:t>, based on the ProtConn indicator</w:t>
      </w:r>
      <w:r w:rsidR="00B51C43" w:rsidRPr="00B51C43">
        <w:rPr>
          <w:sz w:val="18"/>
        </w:rPr>
        <w:t xml:space="preserve"> (</w:t>
      </w:r>
      <w:r w:rsidR="00FD0890">
        <w:rPr>
          <w:sz w:val="18"/>
        </w:rPr>
        <w:t>Source:</w:t>
      </w:r>
      <w:r w:rsidR="00B51C43" w:rsidRPr="00B51C43">
        <w:rPr>
          <w:sz w:val="18"/>
        </w:rPr>
        <w:t xml:space="preserve"> Sa</w:t>
      </w:r>
      <w:r w:rsidR="00C37BB8">
        <w:rPr>
          <w:sz w:val="18"/>
        </w:rPr>
        <w:t>u</w:t>
      </w:r>
      <w:r w:rsidR="00B51C43" w:rsidRPr="00B51C43">
        <w:rPr>
          <w:sz w:val="18"/>
        </w:rPr>
        <w:t>ra et al., 2018)</w:t>
      </w:r>
      <w:r w:rsidR="00617707" w:rsidRPr="00B51C43">
        <w:rPr>
          <w:sz w:val="18"/>
        </w:rPr>
        <w:t>.</w:t>
      </w:r>
      <w:r w:rsidR="00617707">
        <w:rPr>
          <w:sz w:val="18"/>
        </w:rPr>
        <w:t xml:space="preserve">  </w:t>
      </w:r>
    </w:p>
    <w:p w:rsidR="00A04DA9" w:rsidRDefault="00A04DA9" w:rsidP="00A04DA9">
      <w:pPr>
        <w:pStyle w:val="Para1"/>
      </w:pPr>
      <w:r>
        <w:t>One example of a national protected area network successfully designe</w:t>
      </w:r>
      <w:r w:rsidR="0005616A">
        <w:t xml:space="preserve">d for connectivity is in </w:t>
      </w:r>
      <w:r w:rsidR="0005616A" w:rsidRPr="00CD3B28">
        <w:t>Bhutan</w:t>
      </w:r>
      <w:r w:rsidR="00A1247D" w:rsidRPr="00CD3B28">
        <w:t xml:space="preserve"> (figure </w:t>
      </w:r>
      <w:r w:rsidR="000F50BC">
        <w:t>9</w:t>
      </w:r>
      <w:r w:rsidR="00A1247D" w:rsidRPr="00CD3B28">
        <w:t>)</w:t>
      </w:r>
      <w:r w:rsidRPr="00CD3B28">
        <w:t>, where all protected areas are connected to each other, either directly or through other intermediate sites, ensuring</w:t>
      </w:r>
      <w:r>
        <w:t xml:space="preserve"> that </w:t>
      </w:r>
      <w:r w:rsidRPr="00576654">
        <w:t xml:space="preserve">movement between all </w:t>
      </w:r>
      <w:r>
        <w:t xml:space="preserve">protected areas is </w:t>
      </w:r>
      <w:r w:rsidRPr="00576654">
        <w:t xml:space="preserve">possible without </w:t>
      </w:r>
      <w:r>
        <w:t xml:space="preserve">the need to move through </w:t>
      </w:r>
      <w:r w:rsidRPr="00576654">
        <w:t>unprotected lands</w:t>
      </w:r>
      <w:r>
        <w:t>.</w:t>
      </w:r>
      <w:r w:rsidR="008A47A6">
        <w:t xml:space="preserve"> The system of biological corridors was designated in 1999, and has been </w:t>
      </w:r>
      <w:r w:rsidR="008A47A6" w:rsidRPr="00BE2606">
        <w:t>s</w:t>
      </w:r>
      <w:r w:rsidR="00BE2606" w:rsidRPr="00BE2606">
        <w:t xml:space="preserve">hown to be used </w:t>
      </w:r>
      <w:r w:rsidR="008A47A6" w:rsidRPr="00BE2606">
        <w:t>by different wildlife species, including large mammals.</w:t>
      </w:r>
      <w:r w:rsidR="008A47A6" w:rsidRPr="00BE2606">
        <w:rPr>
          <w:rStyle w:val="FootnoteReference"/>
        </w:rPr>
        <w:footnoteReference w:id="64"/>
      </w:r>
      <w:r w:rsidR="008A47A6" w:rsidRPr="00BE2606">
        <w:t xml:space="preserve"> </w:t>
      </w:r>
      <w:r w:rsidR="00201520" w:rsidRPr="00BE2606">
        <w:t>T</w:t>
      </w:r>
      <w:r w:rsidR="008A47A6" w:rsidRPr="00BE2606">
        <w:t>ogether with the country’s existing protected area network</w:t>
      </w:r>
      <w:r w:rsidR="00FD0890">
        <w:t>, it</w:t>
      </w:r>
      <w:r w:rsidR="008A47A6" w:rsidRPr="00BE2606">
        <w:t xml:space="preserve"> forms the ‘Bhutan Biological Conservation Complex (B2C2)’</w:t>
      </w:r>
    </w:p>
    <w:p w:rsidR="00A1247D" w:rsidRDefault="00304D7D" w:rsidP="00A1247D">
      <w:pPr>
        <w:pStyle w:val="Para1"/>
        <w:numPr>
          <w:ilvl w:val="0"/>
          <w:numId w:val="0"/>
        </w:numPr>
      </w:pPr>
      <w:r>
        <w:rPr>
          <w:noProof/>
          <w:lang w:val="en-CA" w:eastAsia="en-CA"/>
        </w:rPr>
        <w:drawing>
          <wp:anchor distT="0" distB="0" distL="114300" distR="114300" simplePos="0" relativeHeight="251696640" behindDoc="1" locked="0" layoutInCell="1" allowOverlap="1" wp14:anchorId="12A35D36" wp14:editId="203B8915">
            <wp:simplePos x="0" y="0"/>
            <wp:positionH relativeFrom="column">
              <wp:posOffset>723265</wp:posOffset>
            </wp:positionH>
            <wp:positionV relativeFrom="paragraph">
              <wp:posOffset>58420</wp:posOffset>
            </wp:positionV>
            <wp:extent cx="4169410" cy="2668905"/>
            <wp:effectExtent l="0" t="0" r="2540" b="0"/>
            <wp:wrapTight wrapText="bothSides">
              <wp:wrapPolygon edited="0">
                <wp:start x="0" y="0"/>
                <wp:lineTo x="0" y="21430"/>
                <wp:lineTo x="21514" y="21430"/>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n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69410" cy="2668905"/>
                    </a:xfrm>
                    <a:prstGeom prst="rect">
                      <a:avLst/>
                    </a:prstGeom>
                  </pic:spPr>
                </pic:pic>
              </a:graphicData>
            </a:graphic>
            <wp14:sizeRelH relativeFrom="page">
              <wp14:pctWidth>0</wp14:pctWidth>
            </wp14:sizeRelH>
            <wp14:sizeRelV relativeFrom="page">
              <wp14:pctHeight>0</wp14:pctHeight>
            </wp14:sizeRelV>
          </wp:anchor>
        </w:drawing>
      </w: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304D7D">
      <w:pPr>
        <w:pStyle w:val="Para1"/>
        <w:numPr>
          <w:ilvl w:val="0"/>
          <w:numId w:val="0"/>
        </w:numPr>
        <w:jc w:val="cente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A1247D" w:rsidRDefault="00A1247D" w:rsidP="00A1247D">
      <w:pPr>
        <w:pStyle w:val="Para1"/>
        <w:numPr>
          <w:ilvl w:val="0"/>
          <w:numId w:val="0"/>
        </w:numPr>
      </w:pPr>
    </w:p>
    <w:p w:rsidR="00304D7D" w:rsidRDefault="00304D7D" w:rsidP="00A1247D">
      <w:pPr>
        <w:pStyle w:val="Para1"/>
        <w:numPr>
          <w:ilvl w:val="0"/>
          <w:numId w:val="0"/>
        </w:numPr>
      </w:pPr>
    </w:p>
    <w:p w:rsidR="00304D7D" w:rsidRDefault="00304D7D" w:rsidP="00A1247D">
      <w:pPr>
        <w:pStyle w:val="Para1"/>
        <w:numPr>
          <w:ilvl w:val="0"/>
          <w:numId w:val="0"/>
        </w:numPr>
      </w:pPr>
    </w:p>
    <w:p w:rsidR="00FD0890" w:rsidRDefault="00FD0890" w:rsidP="00FD0890">
      <w:pPr>
        <w:pStyle w:val="Para1"/>
        <w:numPr>
          <w:ilvl w:val="0"/>
          <w:numId w:val="0"/>
        </w:numPr>
        <w:jc w:val="center"/>
        <w:rPr>
          <w:sz w:val="18"/>
        </w:rPr>
      </w:pPr>
      <w:r w:rsidRPr="008A47A6">
        <w:rPr>
          <w:b/>
          <w:sz w:val="18"/>
        </w:rPr>
        <w:t xml:space="preserve">Figure </w:t>
      </w:r>
      <w:r w:rsidR="000F50BC">
        <w:rPr>
          <w:b/>
          <w:sz w:val="18"/>
        </w:rPr>
        <w:t>9</w:t>
      </w:r>
      <w:r w:rsidRPr="008A47A6">
        <w:rPr>
          <w:b/>
          <w:sz w:val="18"/>
        </w:rPr>
        <w:t>.</w:t>
      </w:r>
      <w:r>
        <w:rPr>
          <w:sz w:val="18"/>
        </w:rPr>
        <w:t xml:space="preserve"> Connectivity of protected areas in Bhutan and neighbouring countries (Source: Suara et al., 2018).</w:t>
      </w:r>
    </w:p>
    <w:p w:rsidR="00E65912" w:rsidRDefault="00E65912" w:rsidP="00E65912">
      <w:pPr>
        <w:pStyle w:val="Para1"/>
      </w:pPr>
      <w:r w:rsidRPr="00D5328C">
        <w:lastRenderedPageBreak/>
        <w:t xml:space="preserve">To date, </w:t>
      </w:r>
      <w:r>
        <w:t>an</w:t>
      </w:r>
      <w:r w:rsidRPr="00D5328C">
        <w:t xml:space="preserve"> assessment of </w:t>
      </w:r>
      <w:r>
        <w:t xml:space="preserve">the </w:t>
      </w:r>
      <w:r w:rsidRPr="00D5328C">
        <w:t xml:space="preserve">connectivity </w:t>
      </w:r>
      <w:r>
        <w:t>of</w:t>
      </w:r>
      <w:r w:rsidRPr="00D5328C">
        <w:t xml:space="preserve"> marine protected areas has not been </w:t>
      </w:r>
      <w:r>
        <w:t>conducted, though with some modification the ProtConn indicator could be applied.</w:t>
      </w:r>
      <w:r>
        <w:rPr>
          <w:rStyle w:val="FootnoteReference"/>
        </w:rPr>
        <w:footnoteReference w:id="65"/>
      </w:r>
      <w:r w:rsidRPr="00D5328C">
        <w:t xml:space="preserve"> </w:t>
      </w:r>
    </w:p>
    <w:p w:rsidR="00A04DA9" w:rsidRPr="008B4736" w:rsidRDefault="00A04DA9" w:rsidP="00A04DA9">
      <w:pPr>
        <w:pStyle w:val="Para1"/>
      </w:pPr>
      <w:r>
        <w:t xml:space="preserve">Over the last two years, two new transboundary World Heritage Sites have been inscribed: </w:t>
      </w:r>
      <w:r w:rsidRPr="0071054C">
        <w:t>Western Tien-Shan</w:t>
      </w:r>
      <w:r>
        <w:t xml:space="preserve"> (Kazakhstan, Kyrgyzstan, and Uzbekistan) in </w:t>
      </w:r>
      <w:r w:rsidR="00BE2606">
        <w:t>2016</w:t>
      </w:r>
      <w:r>
        <w:t xml:space="preserve"> and </w:t>
      </w:r>
      <w:r w:rsidRPr="0071054C">
        <w:t>Landscapes of Dauria</w:t>
      </w:r>
      <w:r>
        <w:t xml:space="preserve"> (Mongolia, Russian Federation) in </w:t>
      </w:r>
      <w:r w:rsidRPr="00CD3B28">
        <w:t>2017. Kyrgyzstan was one of the countries where coordinated management of transboundary protected areas was highlighted as a priority for improving or sustaining protected area connectivity</w:t>
      </w:r>
      <w:r w:rsidR="00CD3B28" w:rsidRPr="00CD3B28">
        <w:t>, based on results using the ProtConn indicator</w:t>
      </w:r>
      <w:r w:rsidR="00BE2606" w:rsidRPr="00CD3B28">
        <w:t xml:space="preserve"> (figure </w:t>
      </w:r>
      <w:r w:rsidR="000F50BC">
        <w:t>8</w:t>
      </w:r>
      <w:r w:rsidR="00BE2606" w:rsidRPr="00CD3B28">
        <w:t>)</w:t>
      </w:r>
      <w:r w:rsidRPr="00CD3B28">
        <w:t>.</w:t>
      </w:r>
      <w:r w:rsidRPr="00CD3B28">
        <w:rPr>
          <w:rStyle w:val="FootnoteReference"/>
        </w:rPr>
        <w:footnoteReference w:id="66"/>
      </w:r>
      <w:r w:rsidRPr="00CD3B28">
        <w:t xml:space="preserve"> The Landscapes of Dauria </w:t>
      </w:r>
      <w:r w:rsidR="00BE2606" w:rsidRPr="00CD3B28">
        <w:t>will protect</w:t>
      </w:r>
      <w:r w:rsidRPr="00CD3B28">
        <w:t xml:space="preserve"> key natural habitats </w:t>
      </w:r>
      <w:r w:rsidR="00BE2606" w:rsidRPr="00CD3B28">
        <w:t>necessary for the annual migration of</w:t>
      </w:r>
      <w:r w:rsidRPr="00CD3B28">
        <w:t xml:space="preserve"> </w:t>
      </w:r>
      <w:r w:rsidR="00BE2606" w:rsidRPr="00CD3B28">
        <w:t xml:space="preserve">a range of different </w:t>
      </w:r>
      <w:r w:rsidRPr="00CD3B28">
        <w:t>animal species</w:t>
      </w:r>
      <w:r w:rsidR="00BE2606" w:rsidRPr="00CD3B28">
        <w:t xml:space="preserve">, and will also protect </w:t>
      </w:r>
      <w:r w:rsidRPr="00CD3B28">
        <w:t>essential breeding and resting habitat for birds along the East Asian-Australasian Flyway</w:t>
      </w:r>
      <w:r w:rsidR="00BE2606" w:rsidRPr="00CD3B28">
        <w:t xml:space="preserve">. Both of these new sites will help to </w:t>
      </w:r>
      <w:r w:rsidRPr="00CD3B28">
        <w:t>enhanc</w:t>
      </w:r>
      <w:r w:rsidR="00BE2606" w:rsidRPr="00CD3B28">
        <w:t xml:space="preserve">e </w:t>
      </w:r>
      <w:r w:rsidRPr="00CD3B28">
        <w:t>connectivity in the region.</w:t>
      </w:r>
    </w:p>
    <w:p w:rsidR="00A04DA9" w:rsidRDefault="00552D24" w:rsidP="007A1D8A">
      <w:pPr>
        <w:pStyle w:val="Para1"/>
      </w:pPr>
      <w:r w:rsidRPr="008B4736">
        <w:t xml:space="preserve">Priority actions to address protected area connectivity were provided by 91 Parties. These 173 actions </w:t>
      </w:r>
      <w:r w:rsidR="00FD0890">
        <w:t>cover</w:t>
      </w:r>
      <w:r w:rsidRPr="008B4736">
        <w:t xml:space="preserve"> a range of activities, including the creation of new, or improved management of existing</w:t>
      </w:r>
      <w:r w:rsidR="00627D60">
        <w:t>,</w:t>
      </w:r>
      <w:r w:rsidRPr="008B4736">
        <w:t xml:space="preserve"> biological corridors and connectivity areas (e.g. Timor-Leste and Samoa), or the development of transboundary conservation</w:t>
      </w:r>
      <w:r w:rsidR="00627D60">
        <w:t xml:space="preserve"> initiatives</w:t>
      </w:r>
      <w:r w:rsidRPr="008B4736">
        <w:t xml:space="preserve"> </w:t>
      </w:r>
      <w:r w:rsidR="00FD0890">
        <w:t xml:space="preserve">in some cases </w:t>
      </w:r>
      <w:r w:rsidRPr="008B4736">
        <w:t>(e.g. several projects between Togo and its neighbours)</w:t>
      </w:r>
      <w:r w:rsidR="008B4736">
        <w:t xml:space="preserve">. These actions, together with the commitments </w:t>
      </w:r>
      <w:r w:rsidR="00FD0890">
        <w:t>by</w:t>
      </w:r>
      <w:r w:rsidR="008B4736">
        <w:t xml:space="preserve"> Parties</w:t>
      </w:r>
      <w:r w:rsidR="00FD0890">
        <w:t xml:space="preserve"> in their</w:t>
      </w:r>
      <w:r w:rsidR="008B4736">
        <w:t xml:space="preserve"> NBSAP and </w:t>
      </w:r>
      <w:r w:rsidR="00627D60">
        <w:t>proposed actions under the other spatial elements of Target 11 (protected area coverage, representation, and areas important for biodiversity and ecosystem services) should improve protected area connectivity.</w:t>
      </w:r>
      <w:r w:rsidR="007A1D8A">
        <w:t xml:space="preserve"> Further opportunities for the improvement of connectivity </w:t>
      </w:r>
      <w:r w:rsidR="00E1737A">
        <w:t>could arise through the</w:t>
      </w:r>
      <w:r w:rsidR="007A1D8A">
        <w:t xml:space="preserve"> </w:t>
      </w:r>
      <w:r w:rsidR="007A1D8A" w:rsidRPr="007A1D8A">
        <w:t xml:space="preserve">recognition and support of ICCAs, and </w:t>
      </w:r>
      <w:r w:rsidR="00E1737A">
        <w:t xml:space="preserve">the </w:t>
      </w:r>
      <w:r w:rsidR="007A1D8A" w:rsidRPr="007A1D8A">
        <w:t>systematic collection of information on OECMs</w:t>
      </w:r>
      <w:r w:rsidR="00956525">
        <w:t xml:space="preserve"> and </w:t>
      </w:r>
      <w:r w:rsidR="00D3026D">
        <w:t>PPAs</w:t>
      </w:r>
      <w:r w:rsidR="00E1737A">
        <w:t>.</w:t>
      </w:r>
      <w:r w:rsidR="007A1D8A">
        <w:t xml:space="preserve"> </w:t>
      </w:r>
    </w:p>
    <w:p w:rsidR="007A5DD5" w:rsidRDefault="001E3D3A" w:rsidP="004341D3">
      <w:pPr>
        <w:pStyle w:val="Heading2"/>
        <w:numPr>
          <w:ilvl w:val="0"/>
          <w:numId w:val="8"/>
        </w:numPr>
        <w:rPr>
          <w:rFonts w:cs="Times New Roman"/>
        </w:rPr>
      </w:pPr>
      <w:r w:rsidRPr="00576654">
        <w:rPr>
          <w:rFonts w:cs="Times New Roman"/>
        </w:rPr>
        <w:t>Integration into the wider landscape and seascape</w:t>
      </w:r>
    </w:p>
    <w:tbl>
      <w:tblPr>
        <w:tblW w:w="9558" w:type="dxa"/>
        <w:tblLook w:val="04A0" w:firstRow="1" w:lastRow="0" w:firstColumn="1" w:lastColumn="0" w:noHBand="0" w:noVBand="1"/>
      </w:tblPr>
      <w:tblGrid>
        <w:gridCol w:w="2628"/>
        <w:gridCol w:w="1890"/>
        <w:gridCol w:w="2070"/>
        <w:gridCol w:w="2970"/>
      </w:tblGrid>
      <w:tr w:rsidR="00DF3156" w:rsidRPr="00BD6B4B" w:rsidTr="00950336">
        <w:tc>
          <w:tcPr>
            <w:tcW w:w="2628" w:type="dxa"/>
            <w:tcBorders>
              <w:top w:val="single" w:sz="18" w:space="0" w:color="auto"/>
              <w:bottom w:val="single" w:sz="12" w:space="0" w:color="auto"/>
            </w:tcBorders>
            <w:shd w:val="clear" w:color="auto" w:fill="auto"/>
            <w:vAlign w:val="center"/>
          </w:tcPr>
          <w:p w:rsidR="00DF3156" w:rsidRPr="00BD6B4B" w:rsidRDefault="00DF3156" w:rsidP="000879C1">
            <w:pPr>
              <w:jc w:val="center"/>
              <w:rPr>
                <w:b/>
                <w:sz w:val="18"/>
                <w:szCs w:val="18"/>
              </w:rPr>
            </w:pPr>
            <w:r w:rsidRPr="00BD6B4B">
              <w:rPr>
                <w:b/>
                <w:sz w:val="18"/>
                <w:szCs w:val="18"/>
              </w:rPr>
              <w:t xml:space="preserve">Element of Target 11 </w:t>
            </w:r>
            <w:r>
              <w:rPr>
                <w:b/>
                <w:sz w:val="18"/>
                <w:szCs w:val="18"/>
              </w:rPr>
              <w:t xml:space="preserve">             </w:t>
            </w:r>
            <w:r w:rsidRPr="00BD6B4B">
              <w:rPr>
                <w:sz w:val="18"/>
                <w:szCs w:val="18"/>
              </w:rPr>
              <w:t>(and status from GBO-4</w:t>
            </w:r>
            <w:r>
              <w:rPr>
                <w:sz w:val="18"/>
                <w:szCs w:val="18"/>
              </w:rPr>
              <w:t xml:space="preserve"> in 2014</w:t>
            </w:r>
            <w:r w:rsidRPr="00BD6B4B">
              <w:rPr>
                <w:sz w:val="18"/>
                <w:szCs w:val="18"/>
              </w:rPr>
              <w:t>)</w:t>
            </w:r>
          </w:p>
        </w:tc>
        <w:tc>
          <w:tcPr>
            <w:tcW w:w="1890" w:type="dxa"/>
            <w:tcBorders>
              <w:top w:val="single" w:sz="18" w:space="0" w:color="auto"/>
              <w:bottom w:val="single" w:sz="12" w:space="0" w:color="auto"/>
            </w:tcBorders>
            <w:shd w:val="clear" w:color="auto" w:fill="auto"/>
            <w:vAlign w:val="center"/>
          </w:tcPr>
          <w:p w:rsidR="00DF3156" w:rsidRPr="00BD6B4B" w:rsidRDefault="00DF3156" w:rsidP="000879C1">
            <w:pPr>
              <w:jc w:val="center"/>
              <w:rPr>
                <w:sz w:val="18"/>
                <w:szCs w:val="18"/>
              </w:rPr>
            </w:pPr>
            <w:r w:rsidRPr="00BD6B4B">
              <w:rPr>
                <w:b/>
                <w:sz w:val="18"/>
                <w:szCs w:val="18"/>
              </w:rPr>
              <w:t>Status in 2016</w:t>
            </w:r>
          </w:p>
        </w:tc>
        <w:tc>
          <w:tcPr>
            <w:tcW w:w="2070" w:type="dxa"/>
            <w:tcBorders>
              <w:top w:val="single" w:sz="18" w:space="0" w:color="auto"/>
              <w:bottom w:val="single" w:sz="12" w:space="0" w:color="auto"/>
            </w:tcBorders>
            <w:shd w:val="clear" w:color="auto" w:fill="auto"/>
            <w:vAlign w:val="center"/>
          </w:tcPr>
          <w:p w:rsidR="00DF3156" w:rsidRPr="004B4E8C" w:rsidRDefault="00DF3156" w:rsidP="000879C1">
            <w:pPr>
              <w:jc w:val="center"/>
              <w:rPr>
                <w:b/>
                <w:sz w:val="18"/>
                <w:szCs w:val="18"/>
              </w:rPr>
            </w:pPr>
            <w:r w:rsidRPr="00BD6B4B">
              <w:rPr>
                <w:b/>
                <w:sz w:val="18"/>
                <w:szCs w:val="18"/>
              </w:rPr>
              <w:t>Current Status</w:t>
            </w:r>
          </w:p>
        </w:tc>
        <w:tc>
          <w:tcPr>
            <w:tcW w:w="2970" w:type="dxa"/>
            <w:tcBorders>
              <w:top w:val="single" w:sz="18" w:space="0" w:color="auto"/>
              <w:bottom w:val="single" w:sz="12" w:space="0" w:color="auto"/>
            </w:tcBorders>
            <w:shd w:val="clear" w:color="auto" w:fill="auto"/>
            <w:vAlign w:val="center"/>
          </w:tcPr>
          <w:p w:rsidR="00DF3156" w:rsidRPr="00BD6B4B" w:rsidRDefault="00DF3156" w:rsidP="000879C1">
            <w:pPr>
              <w:jc w:val="center"/>
              <w:rPr>
                <w:b/>
                <w:sz w:val="18"/>
                <w:szCs w:val="18"/>
              </w:rPr>
            </w:pPr>
            <w:r w:rsidRPr="00BD6B4B">
              <w:rPr>
                <w:b/>
                <w:sz w:val="18"/>
                <w:szCs w:val="18"/>
              </w:rPr>
              <w:t>Opportunities for 2020</w:t>
            </w:r>
          </w:p>
        </w:tc>
      </w:tr>
      <w:tr w:rsidR="00DF3156" w:rsidRPr="00BD6B4B" w:rsidTr="000D65B0">
        <w:tc>
          <w:tcPr>
            <w:tcW w:w="2628" w:type="dxa"/>
            <w:tcBorders>
              <w:bottom w:val="single" w:sz="18" w:space="0" w:color="auto"/>
            </w:tcBorders>
            <w:shd w:val="clear" w:color="auto" w:fill="auto"/>
            <w:vAlign w:val="bottom"/>
          </w:tcPr>
          <w:p w:rsidR="00DF3156" w:rsidRDefault="00DF3156" w:rsidP="000D65B0">
            <w:pPr>
              <w:jc w:val="center"/>
              <w:rPr>
                <w:b/>
                <w:sz w:val="18"/>
                <w:szCs w:val="18"/>
                <w:lang w:eastAsia="en-GB"/>
              </w:rPr>
            </w:pPr>
            <w:r>
              <w:rPr>
                <w:b/>
                <w:sz w:val="18"/>
                <w:szCs w:val="18"/>
                <w:lang w:eastAsia="en-GB"/>
              </w:rPr>
              <w:t>I</w:t>
            </w:r>
            <w:r w:rsidRPr="00BD6B4B">
              <w:rPr>
                <w:b/>
                <w:sz w:val="18"/>
                <w:szCs w:val="18"/>
                <w:lang w:eastAsia="en-GB"/>
              </w:rPr>
              <w:t>ntegrat</w:t>
            </w:r>
            <w:r>
              <w:rPr>
                <w:b/>
                <w:sz w:val="18"/>
                <w:szCs w:val="18"/>
                <w:lang w:eastAsia="en-GB"/>
              </w:rPr>
              <w:t>ion</w:t>
            </w:r>
            <w:r w:rsidRPr="00BD6B4B">
              <w:rPr>
                <w:b/>
                <w:sz w:val="18"/>
                <w:szCs w:val="18"/>
                <w:lang w:eastAsia="en-GB"/>
              </w:rPr>
              <w:t xml:space="preserve"> into the wider landscapes and seascapes</w:t>
            </w:r>
          </w:p>
          <w:p w:rsidR="00DF3156" w:rsidRDefault="00DF3156" w:rsidP="000D65B0">
            <w:pPr>
              <w:jc w:val="center"/>
              <w:rPr>
                <w:b/>
                <w:sz w:val="18"/>
                <w:szCs w:val="18"/>
                <w:lang w:eastAsia="en-GB"/>
              </w:rPr>
            </w:pPr>
          </w:p>
          <w:p w:rsidR="000D65B0" w:rsidRDefault="000D65B0" w:rsidP="000D65B0">
            <w:pPr>
              <w:jc w:val="center"/>
              <w:rPr>
                <w:b/>
                <w:sz w:val="18"/>
                <w:szCs w:val="18"/>
                <w:lang w:eastAsia="en-GB"/>
              </w:rPr>
            </w:pPr>
          </w:p>
          <w:p w:rsidR="000D65B0" w:rsidRDefault="000D65B0" w:rsidP="000D65B0">
            <w:pPr>
              <w:jc w:val="center"/>
              <w:rPr>
                <w:b/>
                <w:sz w:val="18"/>
                <w:szCs w:val="18"/>
                <w:lang w:eastAsia="en-GB"/>
              </w:rPr>
            </w:pPr>
          </w:p>
          <w:p w:rsidR="000D65B0" w:rsidRDefault="000D65B0" w:rsidP="000D65B0">
            <w:pPr>
              <w:jc w:val="center"/>
              <w:rPr>
                <w:b/>
                <w:sz w:val="18"/>
                <w:szCs w:val="18"/>
                <w:lang w:eastAsia="en-GB"/>
              </w:rPr>
            </w:pPr>
          </w:p>
          <w:p w:rsidR="00DF3156" w:rsidRPr="00BD6B4B" w:rsidRDefault="00DF3156" w:rsidP="000D65B0">
            <w:pPr>
              <w:jc w:val="center"/>
              <w:rPr>
                <w:sz w:val="18"/>
                <w:szCs w:val="18"/>
              </w:rPr>
            </w:pPr>
            <w:r w:rsidRPr="00BD6B4B">
              <w:rPr>
                <w:noProof/>
                <w:sz w:val="18"/>
                <w:szCs w:val="18"/>
                <w:lang w:val="en-CA" w:eastAsia="en-CA"/>
              </w:rPr>
              <w:drawing>
                <wp:inline distT="0" distB="0" distL="0" distR="0" wp14:anchorId="15699C35" wp14:editId="0F9A4F9C">
                  <wp:extent cx="630936" cy="411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 cy="411480"/>
                          </a:xfrm>
                          <a:prstGeom prst="rect">
                            <a:avLst/>
                          </a:prstGeom>
                        </pic:spPr>
                      </pic:pic>
                    </a:graphicData>
                  </a:graphic>
                </wp:inline>
              </w:drawing>
            </w:r>
          </w:p>
        </w:tc>
        <w:tc>
          <w:tcPr>
            <w:tcW w:w="1890" w:type="dxa"/>
            <w:tcBorders>
              <w:bottom w:val="single" w:sz="18" w:space="0" w:color="auto"/>
            </w:tcBorders>
            <w:shd w:val="clear" w:color="auto" w:fill="auto"/>
            <w:vAlign w:val="center"/>
          </w:tcPr>
          <w:p w:rsidR="0042237A" w:rsidRDefault="00DF3156" w:rsidP="000879C1">
            <w:pPr>
              <w:jc w:val="center"/>
              <w:rPr>
                <w:sz w:val="18"/>
                <w:szCs w:val="18"/>
              </w:rPr>
            </w:pPr>
            <w:r w:rsidRPr="00F54997">
              <w:rPr>
                <w:sz w:val="18"/>
                <w:szCs w:val="18"/>
              </w:rPr>
              <w:t>Lack of detailed information.</w:t>
            </w:r>
          </w:p>
          <w:p w:rsidR="00DF3156" w:rsidRDefault="00DF3156" w:rsidP="000879C1">
            <w:pPr>
              <w:jc w:val="center"/>
              <w:rPr>
                <w:sz w:val="18"/>
                <w:szCs w:val="18"/>
              </w:rPr>
            </w:pPr>
            <w:r w:rsidRPr="00F54997">
              <w:rPr>
                <w:sz w:val="18"/>
                <w:szCs w:val="18"/>
              </w:rPr>
              <w:t xml:space="preserve"> </w:t>
            </w:r>
          </w:p>
          <w:p w:rsidR="00DF3156" w:rsidRPr="00BD6B4B" w:rsidRDefault="00DF3156" w:rsidP="000879C1">
            <w:pPr>
              <w:jc w:val="center"/>
              <w:rPr>
                <w:sz w:val="18"/>
                <w:szCs w:val="18"/>
              </w:rPr>
            </w:pPr>
            <w:r w:rsidRPr="00F54997">
              <w:rPr>
                <w:sz w:val="18"/>
                <w:szCs w:val="18"/>
              </w:rPr>
              <w:t>More guidance is needed.</w:t>
            </w:r>
          </w:p>
        </w:tc>
        <w:tc>
          <w:tcPr>
            <w:tcW w:w="2070" w:type="dxa"/>
            <w:tcBorders>
              <w:bottom w:val="single" w:sz="18" w:space="0" w:color="auto"/>
            </w:tcBorders>
            <w:shd w:val="clear" w:color="auto" w:fill="auto"/>
            <w:vAlign w:val="center"/>
          </w:tcPr>
          <w:p w:rsidR="00DF3156" w:rsidRPr="00BD6B4B" w:rsidRDefault="00DF3156" w:rsidP="000879C1">
            <w:pPr>
              <w:jc w:val="center"/>
              <w:rPr>
                <w:sz w:val="18"/>
                <w:szCs w:val="18"/>
              </w:rPr>
            </w:pPr>
            <w:r w:rsidRPr="00BD6B4B">
              <w:rPr>
                <w:sz w:val="18"/>
                <w:szCs w:val="18"/>
              </w:rPr>
              <w:t xml:space="preserve">Development of voluntary </w:t>
            </w:r>
            <w:r>
              <w:rPr>
                <w:sz w:val="18"/>
                <w:szCs w:val="18"/>
              </w:rPr>
              <w:t xml:space="preserve">guidance on integration of PAs and OECMs into wider landscapes and seascapes and mainstreaming across sectors. </w:t>
            </w:r>
          </w:p>
        </w:tc>
        <w:tc>
          <w:tcPr>
            <w:tcW w:w="2970" w:type="dxa"/>
            <w:tcBorders>
              <w:bottom w:val="single" w:sz="18" w:space="0" w:color="auto"/>
            </w:tcBorders>
            <w:shd w:val="clear" w:color="auto" w:fill="auto"/>
            <w:vAlign w:val="center"/>
          </w:tcPr>
          <w:p w:rsidR="00A04F5A" w:rsidRDefault="00DF3156" w:rsidP="000879C1">
            <w:pPr>
              <w:jc w:val="center"/>
              <w:rPr>
                <w:sz w:val="18"/>
                <w:szCs w:val="18"/>
              </w:rPr>
            </w:pPr>
            <w:r>
              <w:rPr>
                <w:sz w:val="18"/>
                <w:szCs w:val="18"/>
              </w:rPr>
              <w:t>Implementation of all national commitments.</w:t>
            </w:r>
          </w:p>
          <w:p w:rsidR="0078250A" w:rsidRDefault="0078250A" w:rsidP="000879C1">
            <w:pPr>
              <w:jc w:val="center"/>
              <w:rPr>
                <w:sz w:val="18"/>
                <w:szCs w:val="18"/>
              </w:rPr>
            </w:pPr>
          </w:p>
          <w:p w:rsidR="00DF3156" w:rsidRDefault="00DF3156" w:rsidP="000879C1">
            <w:pPr>
              <w:jc w:val="center"/>
              <w:rPr>
                <w:sz w:val="18"/>
                <w:szCs w:val="18"/>
              </w:rPr>
            </w:pPr>
            <w:r>
              <w:rPr>
                <w:sz w:val="18"/>
                <w:szCs w:val="18"/>
              </w:rPr>
              <w:t xml:space="preserve"> </w:t>
            </w:r>
            <w:r w:rsidRPr="00A14A9C">
              <w:rPr>
                <w:sz w:val="18"/>
                <w:szCs w:val="18"/>
              </w:rPr>
              <w:t xml:space="preserve">At a </w:t>
            </w:r>
            <w:r>
              <w:rPr>
                <w:sz w:val="18"/>
                <w:szCs w:val="18"/>
              </w:rPr>
              <w:t>minimum</w:t>
            </w:r>
            <w:r w:rsidRPr="00A14A9C">
              <w:rPr>
                <w:sz w:val="18"/>
                <w:szCs w:val="18"/>
              </w:rPr>
              <w:t>, each country integrates their PAs into local, regional, and national spatial planning and into important sectors</w:t>
            </w:r>
          </w:p>
          <w:p w:rsidR="00DF3156" w:rsidRPr="00BD6B4B" w:rsidRDefault="00DF3156" w:rsidP="000879C1">
            <w:pPr>
              <w:jc w:val="center"/>
              <w:rPr>
                <w:sz w:val="18"/>
                <w:szCs w:val="18"/>
              </w:rPr>
            </w:pPr>
            <w:r w:rsidRPr="00BD6B4B">
              <w:rPr>
                <w:noProof/>
                <w:sz w:val="18"/>
                <w:szCs w:val="18"/>
                <w:lang w:val="en-CA" w:eastAsia="en-CA"/>
              </w:rPr>
              <w:drawing>
                <wp:inline distT="0" distB="0" distL="0" distR="0" wp14:anchorId="0DD4D88C" wp14:editId="39841DCB">
                  <wp:extent cx="630936" cy="411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 cy="411480"/>
                          </a:xfrm>
                          <a:prstGeom prst="rect">
                            <a:avLst/>
                          </a:prstGeom>
                        </pic:spPr>
                      </pic:pic>
                    </a:graphicData>
                  </a:graphic>
                </wp:inline>
              </w:drawing>
            </w:r>
          </w:p>
        </w:tc>
      </w:tr>
    </w:tbl>
    <w:p w:rsidR="00A04DA9" w:rsidRPr="00F76BC2" w:rsidRDefault="006A0370" w:rsidP="00A04DA9">
      <w:pPr>
        <w:pStyle w:val="Para1"/>
      </w:pPr>
      <w:r w:rsidRPr="00F76BC2">
        <w:t xml:space="preserve">In order to yield their full benefits, protected areas should be integrated into the wider landscapes and seascapes, as well as into broader sectoral plans and policies. This includes </w:t>
      </w:r>
      <w:r w:rsidR="000D65B0" w:rsidRPr="00F76BC2">
        <w:t>connecting</w:t>
      </w:r>
      <w:r w:rsidRPr="00F76BC2">
        <w:t xml:space="preserve"> </w:t>
      </w:r>
      <w:r w:rsidR="000D65B0">
        <w:t xml:space="preserve">individual </w:t>
      </w:r>
      <w:r w:rsidRPr="00F76BC2">
        <w:t>protected areas into wider networks and with managed lands and waters</w:t>
      </w:r>
      <w:r w:rsidR="000D65B0">
        <w:t xml:space="preserve"> in the</w:t>
      </w:r>
      <w:r w:rsidRPr="00F76BC2">
        <w:t xml:space="preserve"> </w:t>
      </w:r>
      <w:r w:rsidR="000D65B0">
        <w:t xml:space="preserve">wider landscape and seascapes </w:t>
      </w:r>
      <w:r w:rsidR="00CA737C">
        <w:t xml:space="preserve">in order </w:t>
      </w:r>
      <w:r w:rsidR="000D65B0">
        <w:t>to limit the impact of habitat fragmentation</w:t>
      </w:r>
      <w:r w:rsidR="00CA737C">
        <w:t xml:space="preserve">; </w:t>
      </w:r>
      <w:r w:rsidR="000D65B0">
        <w:t xml:space="preserve">as well as </w:t>
      </w:r>
      <w:r w:rsidRPr="00F76BC2">
        <w:t xml:space="preserve">incorporating the design and management of protected areas into national and regional land-use plans, other relevant laws and </w:t>
      </w:r>
      <w:r w:rsidR="00A04DA9" w:rsidRPr="00F76BC2">
        <w:t>policies</w:t>
      </w:r>
      <w:r w:rsidR="000D65B0">
        <w:t>, and into other related sectoral plans, strategies and programmes</w:t>
      </w:r>
      <w:r w:rsidR="00A04DA9" w:rsidRPr="00F76BC2">
        <w:t>.</w:t>
      </w:r>
      <w:r w:rsidR="00A04DA9" w:rsidRPr="00F76BC2">
        <w:rPr>
          <w:rStyle w:val="FootnoteReference"/>
        </w:rPr>
        <w:footnoteReference w:id="67"/>
      </w:r>
    </w:p>
    <w:p w:rsidR="00C441BF" w:rsidRDefault="00A04DA9" w:rsidP="00BF6E14">
      <w:pPr>
        <w:pStyle w:val="Para1"/>
      </w:pPr>
      <w:r w:rsidRPr="0078250A">
        <w:t xml:space="preserve">There is no indicator identified for tracking progress </w:t>
      </w:r>
      <w:r w:rsidR="006A0370" w:rsidRPr="0078250A">
        <w:t>on the integration of protected areas into wider landscapes, seascapes and sectors</w:t>
      </w:r>
      <w:r w:rsidRPr="0078250A">
        <w:t xml:space="preserve">, and to date limited information on </w:t>
      </w:r>
      <w:r w:rsidR="006A0370" w:rsidRPr="0078250A">
        <w:t>the</w:t>
      </w:r>
      <w:r w:rsidRPr="0078250A">
        <w:t xml:space="preserve"> status </w:t>
      </w:r>
      <w:r w:rsidR="006A0370" w:rsidRPr="0078250A">
        <w:t xml:space="preserve">of this element </w:t>
      </w:r>
      <w:r w:rsidRPr="0078250A">
        <w:t>is available.</w:t>
      </w:r>
      <w:r w:rsidR="00C441BF" w:rsidRPr="0078250A">
        <w:rPr>
          <w:rStyle w:val="FootnoteReference"/>
        </w:rPr>
        <w:footnoteReference w:id="68"/>
      </w:r>
      <w:r w:rsidRPr="0078250A">
        <w:t xml:space="preserve"> However,</w:t>
      </w:r>
      <w:r w:rsidR="0099061C" w:rsidRPr="0078250A">
        <w:t xml:space="preserve"> some </w:t>
      </w:r>
      <w:r w:rsidR="00C441BF" w:rsidRPr="0078250A">
        <w:t>r</w:t>
      </w:r>
      <w:r w:rsidR="0099061C" w:rsidRPr="0078250A">
        <w:t>ecently completed GEF-5 project</w:t>
      </w:r>
      <w:r w:rsidR="00BF45FE" w:rsidRPr="0078250A">
        <w:t>s</w:t>
      </w:r>
      <w:r w:rsidR="0099061C" w:rsidRPr="0078250A">
        <w:t xml:space="preserve"> </w:t>
      </w:r>
      <w:r w:rsidR="00BF45FE" w:rsidRPr="0078250A">
        <w:t xml:space="preserve">indicate that actions are being taken to improve the integration of protected area networks. </w:t>
      </w:r>
      <w:r w:rsidR="00C441BF" w:rsidRPr="0078250A">
        <w:t>For</w:t>
      </w:r>
      <w:r w:rsidR="00C441BF">
        <w:t xml:space="preserve"> example, in Costa Rica </w:t>
      </w:r>
      <w:r w:rsidR="00BF45FE">
        <w:t xml:space="preserve">alternative </w:t>
      </w:r>
      <w:r w:rsidR="00BF45FE" w:rsidRPr="00C441BF">
        <w:t>sustainable livelihood opportunities</w:t>
      </w:r>
      <w:r w:rsidR="00BF45FE">
        <w:t xml:space="preserve"> are being provided to </w:t>
      </w:r>
      <w:r w:rsidR="001E4710">
        <w:t xml:space="preserve">more than 1000 </w:t>
      </w:r>
      <w:r w:rsidR="00C441BF" w:rsidRPr="00C441BF">
        <w:t xml:space="preserve">families living in corridors and </w:t>
      </w:r>
      <w:r w:rsidR="001E4710">
        <w:t xml:space="preserve">protected area </w:t>
      </w:r>
      <w:r w:rsidR="00C441BF" w:rsidRPr="00C441BF">
        <w:t>buffer zones</w:t>
      </w:r>
      <w:r w:rsidR="001E4710">
        <w:t>, to ensure the</w:t>
      </w:r>
      <w:r w:rsidR="00C441BF" w:rsidRPr="00C441BF">
        <w:t xml:space="preserve"> conserv</w:t>
      </w:r>
      <w:r w:rsidR="001E4710">
        <w:t xml:space="preserve">ation of </w:t>
      </w:r>
      <w:r w:rsidR="00C441BF" w:rsidRPr="00C441BF">
        <w:t>biodiversity</w:t>
      </w:r>
      <w:r w:rsidR="001E4710">
        <w:t>.</w:t>
      </w:r>
      <w:r w:rsidR="00A66AD6">
        <w:t xml:space="preserve"> </w:t>
      </w:r>
      <w:r w:rsidR="0011256D">
        <w:t>I</w:t>
      </w:r>
      <w:r w:rsidR="00A66AD6">
        <w:t xml:space="preserve">n Ecuador, </w:t>
      </w:r>
      <w:r w:rsidR="00A66AD6">
        <w:rPr>
          <w:lang w:val="en-US"/>
        </w:rPr>
        <w:t>a</w:t>
      </w:r>
      <w:r w:rsidR="00A66AD6" w:rsidRPr="00DC49F5">
        <w:rPr>
          <w:lang w:val="en-US"/>
        </w:rPr>
        <w:t xml:space="preserve"> mosaic of conservation and sustainable </w:t>
      </w:r>
      <w:r w:rsidR="00A66AD6" w:rsidRPr="00DC49F5">
        <w:rPr>
          <w:lang w:val="en-US"/>
        </w:rPr>
        <w:lastRenderedPageBreak/>
        <w:t xml:space="preserve">livelihood initiatives </w:t>
      </w:r>
      <w:r w:rsidR="00A66AD6">
        <w:rPr>
          <w:lang w:val="en-US"/>
        </w:rPr>
        <w:t xml:space="preserve">were developed, </w:t>
      </w:r>
      <w:r w:rsidR="00A66AD6" w:rsidRPr="00DC49F5">
        <w:rPr>
          <w:lang w:val="en-US"/>
        </w:rPr>
        <w:t xml:space="preserve">leading to </w:t>
      </w:r>
      <w:r w:rsidR="00A66AD6">
        <w:rPr>
          <w:lang w:val="en-US"/>
        </w:rPr>
        <w:t xml:space="preserve">improved </w:t>
      </w:r>
      <w:r w:rsidR="00A66AD6" w:rsidRPr="00DC49F5">
        <w:rPr>
          <w:lang w:val="en-US"/>
        </w:rPr>
        <w:t xml:space="preserve">connectivity </w:t>
      </w:r>
      <w:r w:rsidR="00A66AD6">
        <w:rPr>
          <w:lang w:val="en-US"/>
        </w:rPr>
        <w:t xml:space="preserve">for a </w:t>
      </w:r>
      <w:r w:rsidR="00A66AD6" w:rsidRPr="001D19E1">
        <w:rPr>
          <w:lang w:val="en-US"/>
        </w:rPr>
        <w:t>range of ecosystems, including páramo ecosystems in the Northern and Central-</w:t>
      </w:r>
      <w:r w:rsidR="00A66AD6" w:rsidRPr="007F5C56">
        <w:rPr>
          <w:lang w:val="en-US"/>
        </w:rPr>
        <w:t xml:space="preserve">Southern Highlands, mangroves, dry forests, and tropical rainforest. </w:t>
      </w:r>
      <w:r w:rsidR="00126EF8" w:rsidRPr="007F5C56">
        <w:t>Additionally,</w:t>
      </w:r>
      <w:r w:rsidR="00EE0458" w:rsidRPr="007F5C56">
        <w:t xml:space="preserve"> a project in Laos</w:t>
      </w:r>
      <w:r w:rsidR="001D19E1" w:rsidRPr="007F5C56">
        <w:t>,</w:t>
      </w:r>
      <w:r w:rsidR="004F5393" w:rsidRPr="007F5C56">
        <w:t xml:space="preserve"> through </w:t>
      </w:r>
      <w:r w:rsidR="0078250A">
        <w:t xml:space="preserve">the </w:t>
      </w:r>
      <w:r w:rsidR="004F5393" w:rsidRPr="007F5C56">
        <w:t>Deutsche Gesellschaft für Internationale Zusammenarbeit (GIZ)</w:t>
      </w:r>
      <w:r w:rsidR="00BF6E14">
        <w:t xml:space="preserve"> </w:t>
      </w:r>
      <w:r w:rsidR="00BF6E14" w:rsidRPr="00BF6E14">
        <w:t>GmbH</w:t>
      </w:r>
      <w:r w:rsidR="004F5393" w:rsidRPr="007F5C56">
        <w:t>,</w:t>
      </w:r>
      <w:r w:rsidR="00EE0458" w:rsidRPr="007F5C56">
        <w:t xml:space="preserve"> concluding this year</w:t>
      </w:r>
      <w:r w:rsidR="001D19E1" w:rsidRPr="007F5C56">
        <w:t>, focused on integrated nature conservation and sustainable resource management in the Hin Nam No region and</w:t>
      </w:r>
      <w:r w:rsidR="001D19E1" w:rsidRPr="001D19E1">
        <w:t xml:space="preserve"> has helped to harmonise protected area planning with district and provincial plans</w:t>
      </w:r>
      <w:r w:rsidR="004F5393">
        <w:t>, among other aims</w:t>
      </w:r>
      <w:r w:rsidR="00EE0458" w:rsidRPr="001D19E1">
        <w:t>.</w:t>
      </w:r>
      <w:r w:rsidR="001D19E1" w:rsidRPr="001D19E1">
        <w:rPr>
          <w:rStyle w:val="FootnoteReference"/>
        </w:rPr>
        <w:footnoteReference w:id="69"/>
      </w:r>
      <w:r w:rsidR="001D19E1" w:rsidRPr="001D19E1">
        <w:t xml:space="preserve"> </w:t>
      </w:r>
      <w:r w:rsidR="00E92D1A">
        <w:t>It</w:t>
      </w:r>
      <w:r w:rsidR="001D19E1" w:rsidRPr="001D19E1">
        <w:t xml:space="preserve"> also led to </w:t>
      </w:r>
      <w:r w:rsidR="0099061C" w:rsidRPr="001D19E1">
        <w:t>Hin Nam No</w:t>
      </w:r>
      <w:r w:rsidR="001D19E1" w:rsidRPr="001D19E1">
        <w:t xml:space="preserve"> being </w:t>
      </w:r>
      <w:r w:rsidR="00C37BB8">
        <w:t>included</w:t>
      </w:r>
      <w:r w:rsidR="00C37BB8" w:rsidRPr="001D19E1">
        <w:t xml:space="preserve"> </w:t>
      </w:r>
      <w:r w:rsidR="00C37BB8">
        <w:t>as the first natural site on</w:t>
      </w:r>
      <w:r w:rsidR="00C37BB8" w:rsidRPr="001D19E1">
        <w:t xml:space="preserve"> </w:t>
      </w:r>
      <w:r w:rsidR="0099061C" w:rsidRPr="001D19E1">
        <w:t xml:space="preserve">Laos' </w:t>
      </w:r>
      <w:r w:rsidR="00C37BB8">
        <w:t>Tentative List of candidate</w:t>
      </w:r>
      <w:r w:rsidR="0099061C" w:rsidRPr="001D19E1">
        <w:t xml:space="preserve"> </w:t>
      </w:r>
      <w:r w:rsidR="006A0370">
        <w:t>W</w:t>
      </w:r>
      <w:r w:rsidR="0099061C" w:rsidRPr="001D19E1">
        <w:t xml:space="preserve">orld </w:t>
      </w:r>
      <w:r w:rsidR="006A0370">
        <w:t>H</w:t>
      </w:r>
      <w:r w:rsidR="0099061C" w:rsidRPr="001D19E1">
        <w:t>eritage</w:t>
      </w:r>
      <w:r w:rsidR="00C37BB8">
        <w:t xml:space="preserve"> S</w:t>
      </w:r>
      <w:r w:rsidR="0099061C" w:rsidRPr="001D19E1">
        <w:t>ite</w:t>
      </w:r>
      <w:r w:rsidR="00C37BB8">
        <w:t>s</w:t>
      </w:r>
      <w:r w:rsidR="00E92D1A">
        <w:t>,</w:t>
      </w:r>
      <w:r w:rsidR="0099061C" w:rsidRPr="001D19E1">
        <w:t xml:space="preserve"> in 2016. </w:t>
      </w:r>
    </w:p>
    <w:p w:rsidR="00A04DA9" w:rsidRDefault="00A04DA9" w:rsidP="00A04DA9">
      <w:pPr>
        <w:pStyle w:val="Para1"/>
      </w:pPr>
      <w:r>
        <w:t>From the roadmaps submitted during the series of regional capacity-building workshops in 2015 and 2016, there were fewer actions submitted for this element (92) than for any other (the average for all elements was 181 actions). This is echoed in the limited number of specific strategies for integration and mainstreaming of protected areas that are presented in countries’ NBSAPs.</w:t>
      </w:r>
      <w:r>
        <w:rPr>
          <w:rStyle w:val="FootnoteReference"/>
        </w:rPr>
        <w:footnoteReference w:id="70"/>
      </w:r>
    </w:p>
    <w:p w:rsidR="00A04DA9" w:rsidRDefault="00A04DA9" w:rsidP="001D19E1">
      <w:pPr>
        <w:pStyle w:val="Para1"/>
      </w:pPr>
      <w:r w:rsidRPr="001D19E1">
        <w:t xml:space="preserve">Examples </w:t>
      </w:r>
      <w:r w:rsidR="00A66AD6" w:rsidRPr="001D19E1">
        <w:t xml:space="preserve">of efforts being made to improve the integration of protected areas into landscapes, seascapes and sectors include </w:t>
      </w:r>
      <w:r w:rsidR="003A51CA" w:rsidRPr="001D19E1">
        <w:t xml:space="preserve">Slovenia’s </w:t>
      </w:r>
      <w:r w:rsidR="00A66AD6" w:rsidRPr="001D19E1">
        <w:t>Spatial Development Strategy (currently in preparation), which include</w:t>
      </w:r>
      <w:r w:rsidR="003A51CA" w:rsidRPr="001D19E1">
        <w:t>s</w:t>
      </w:r>
      <w:r w:rsidR="00A66AD6" w:rsidRPr="001D19E1">
        <w:t xml:space="preserve"> significant national infrastructure, including green infrastructure, as strategically planned multifunctional system of different spatial/landscape elements on national level with the guidelines for developing it in spatial plans at regional and local levels</w:t>
      </w:r>
      <w:r w:rsidR="0011256D" w:rsidRPr="001D19E1">
        <w:t xml:space="preserve">. </w:t>
      </w:r>
      <w:r w:rsidR="003A51CA" w:rsidRPr="001D19E1">
        <w:rPr>
          <w:rFonts w:cs="Arial"/>
        </w:rPr>
        <w:t>Slovenia has also established a network of Natura 2000 sites</w:t>
      </w:r>
      <w:r w:rsidR="001D19E1" w:rsidRPr="001D19E1">
        <w:rPr>
          <w:rFonts w:cs="Arial"/>
        </w:rPr>
        <w:t xml:space="preserve"> (</w:t>
      </w:r>
      <w:r w:rsidR="003A51CA" w:rsidRPr="001D19E1">
        <w:rPr>
          <w:rFonts w:cs="Arial"/>
        </w:rPr>
        <w:t>now cover</w:t>
      </w:r>
      <w:r w:rsidR="001D19E1" w:rsidRPr="001D19E1">
        <w:rPr>
          <w:rFonts w:cs="Arial"/>
        </w:rPr>
        <w:t>ing 3</w:t>
      </w:r>
      <w:r w:rsidR="003A51CA" w:rsidRPr="001D19E1">
        <w:rPr>
          <w:rFonts w:cs="Arial"/>
        </w:rPr>
        <w:t>8% of the country</w:t>
      </w:r>
      <w:r w:rsidR="001D19E1" w:rsidRPr="001D19E1">
        <w:rPr>
          <w:rFonts w:cs="Arial"/>
        </w:rPr>
        <w:t>) which is contributing to</w:t>
      </w:r>
      <w:r w:rsidR="003A51CA" w:rsidRPr="001D19E1">
        <w:rPr>
          <w:rFonts w:cs="Arial"/>
        </w:rPr>
        <w:t xml:space="preserve"> greater inclusion of nature protection considerations in spatial planning and </w:t>
      </w:r>
      <w:r w:rsidR="0078250A">
        <w:rPr>
          <w:rFonts w:cs="Arial"/>
        </w:rPr>
        <w:t xml:space="preserve">natural resource </w:t>
      </w:r>
      <w:r w:rsidR="003A51CA" w:rsidRPr="001D19E1">
        <w:rPr>
          <w:rFonts w:cs="Arial"/>
        </w:rPr>
        <w:t>planning</w:t>
      </w:r>
      <w:r w:rsidR="001D19E1" w:rsidRPr="001D19E1">
        <w:rPr>
          <w:rFonts w:cs="Arial"/>
        </w:rPr>
        <w:t xml:space="preserve">, and </w:t>
      </w:r>
      <w:r w:rsidR="001D19E1" w:rsidRPr="001D19E1">
        <w:rPr>
          <w:rFonts w:cs="Arial"/>
          <w:lang w:eastAsia="en-GB"/>
        </w:rPr>
        <w:t>forms the core of the EU's (and Slovenia’s) Green Infrastructure</w:t>
      </w:r>
      <w:r w:rsidR="003A51CA" w:rsidRPr="001D19E1">
        <w:rPr>
          <w:rFonts w:cs="Arial"/>
        </w:rPr>
        <w:t>.</w:t>
      </w:r>
      <w:r w:rsidR="001D19E1" w:rsidRPr="001D19E1">
        <w:rPr>
          <w:rFonts w:cs="Arial"/>
        </w:rPr>
        <w:t xml:space="preserve"> </w:t>
      </w:r>
      <w:r w:rsidRPr="001D19E1">
        <w:t>In Australia</w:t>
      </w:r>
      <w:r w:rsidR="001D19E1">
        <w:t>,</w:t>
      </w:r>
      <w:r w:rsidRPr="001D19E1">
        <w:t xml:space="preserve"> zoning arrangements </w:t>
      </w:r>
      <w:r w:rsidR="0011256D" w:rsidRPr="001D19E1">
        <w:t xml:space="preserve">and </w:t>
      </w:r>
      <w:r w:rsidRPr="001D19E1">
        <w:t>spatial planning</w:t>
      </w:r>
      <w:r w:rsidR="0011256D" w:rsidRPr="001D19E1">
        <w:t xml:space="preserve"> aim to ensure </w:t>
      </w:r>
      <w:r w:rsidRPr="001D19E1">
        <w:t>ecologically sustainable uses alongside no-take reserves</w:t>
      </w:r>
      <w:r w:rsidR="0011256D" w:rsidRPr="001D19E1">
        <w:t xml:space="preserve">, to ensure </w:t>
      </w:r>
      <w:r w:rsidRPr="001D19E1">
        <w:t>benefit</w:t>
      </w:r>
      <w:r w:rsidR="0011256D" w:rsidRPr="001D19E1">
        <w:t>s</w:t>
      </w:r>
      <w:r w:rsidRPr="001D19E1">
        <w:t xml:space="preserve"> </w:t>
      </w:r>
      <w:r w:rsidR="0011256D" w:rsidRPr="001D19E1">
        <w:t xml:space="preserve">to </w:t>
      </w:r>
      <w:r w:rsidRPr="001D19E1">
        <w:t>overall ecosystem health and resilience</w:t>
      </w:r>
      <w:r w:rsidR="0011256D" w:rsidRPr="001D19E1">
        <w:t>.</w:t>
      </w:r>
      <w:r w:rsidR="0099061C" w:rsidRPr="001D19E1">
        <w:t xml:space="preserve"> </w:t>
      </w:r>
    </w:p>
    <w:p w:rsidR="00CA737C" w:rsidRPr="00767AF4" w:rsidRDefault="00CA737C" w:rsidP="00CA737C">
      <w:pPr>
        <w:pStyle w:val="Para1"/>
        <w:rPr>
          <w:rStyle w:val="Strong"/>
          <w:rFonts w:cs="Times New Roman"/>
          <w:bCs/>
        </w:rPr>
      </w:pPr>
      <w:r w:rsidRPr="0078250A">
        <w:t xml:space="preserve">Pursuant to paragraph 9(a(i-iv)) of decision </w:t>
      </w:r>
      <w:hyperlink r:id="rId44" w:history="1">
        <w:r w:rsidRPr="0078250A">
          <w:rPr>
            <w:rStyle w:val="Hyperlink"/>
          </w:rPr>
          <w:t>XIII/2</w:t>
        </w:r>
      </w:hyperlink>
      <w:r w:rsidRPr="0078250A">
        <w:t xml:space="preserve">  of the Conference of the Parties to the Convention, the Secretariat issued notification</w:t>
      </w:r>
      <w:r w:rsidRPr="0078250A">
        <w:rPr>
          <w:snapToGrid w:val="0"/>
          <w:kern w:val="22"/>
        </w:rPr>
        <w:t xml:space="preserve"> </w:t>
      </w:r>
      <w:hyperlink r:id="rId45" w:history="1">
        <w:r w:rsidRPr="0078250A">
          <w:rPr>
            <w:rStyle w:val="Hyperlink"/>
            <w:rFonts w:cs="Times New Roman"/>
            <w:snapToGrid w:val="0"/>
            <w:kern w:val="22"/>
          </w:rPr>
          <w:t>2017-065</w:t>
        </w:r>
      </w:hyperlink>
      <w:r w:rsidRPr="0078250A">
        <w:t xml:space="preserve">, inviting, </w:t>
      </w:r>
      <w:r w:rsidRPr="0078250A">
        <w:rPr>
          <w:i/>
        </w:rPr>
        <w:t>inter alia</w:t>
      </w:r>
      <w:r w:rsidRPr="0078250A">
        <w:t xml:space="preserve">, Parties and other </w:t>
      </w:r>
      <w:r w:rsidR="00F55BA8" w:rsidRPr="0078250A">
        <w:t>G</w:t>
      </w:r>
      <w:r w:rsidRPr="0078250A">
        <w:t xml:space="preserve">overnments, relevant partners and regional agencies to submit information and experiences on the various sub-items. These include: (ii) additional measures to enhance integration of protected areas and other effective area-based conversation measures into the wider land- and seascapes; and (iii) mainstreaming of protected areas and OECMs across sectors to contribute, </w:t>
      </w:r>
      <w:r w:rsidRPr="0078250A">
        <w:rPr>
          <w:i/>
        </w:rPr>
        <w:t>inter alia</w:t>
      </w:r>
      <w:r w:rsidRPr="0078250A">
        <w:t>, to the Sustainable Development Goals and as natural solutions to combat climate change. A total of 23 Parties and organizations had responded and 39 documents were submitted. Then, pursuant to paragraph 10(a) of the same decision the corresponding voluntary guidance</w:t>
      </w:r>
      <w:r w:rsidRPr="0078250A">
        <w:rPr>
          <w:rStyle w:val="FootnoteReference"/>
          <w:rFonts w:cs="Times New Roman"/>
        </w:rPr>
        <w:footnoteReference w:id="71"/>
      </w:r>
      <w:r w:rsidRPr="0078250A">
        <w:t xml:space="preserve"> is prepared and presented as annex I</w:t>
      </w:r>
      <w:r w:rsidRPr="0078250A">
        <w:rPr>
          <w:rStyle w:val="FootnoteReference"/>
          <w:rFonts w:cs="Times New Roman"/>
        </w:rPr>
        <w:footnoteReference w:id="72"/>
      </w:r>
      <w:r w:rsidRPr="0078250A">
        <w:t xml:space="preserve"> in the pre-session document submitted to SBSTTA 22</w:t>
      </w:r>
      <w:r w:rsidRPr="0078250A">
        <w:rPr>
          <w:rStyle w:val="Strong"/>
          <w:rFonts w:cs="Times New Roman"/>
        </w:rPr>
        <w:t xml:space="preserve">. </w:t>
      </w:r>
      <w:r w:rsidRPr="0078250A">
        <w:rPr>
          <w:rStyle w:val="Strong"/>
          <w:rFonts w:cs="Times New Roman"/>
          <w:b w:val="0"/>
        </w:rPr>
        <w:t>Two information documents</w:t>
      </w:r>
      <w:r w:rsidRPr="0078250A">
        <w:rPr>
          <w:rStyle w:val="FootnoteReference"/>
          <w:rFonts w:cs="Times New Roman"/>
          <w:b/>
        </w:rPr>
        <w:footnoteReference w:id="73"/>
      </w:r>
      <w:r w:rsidRPr="0078250A">
        <w:rPr>
          <w:rStyle w:val="Strong"/>
          <w:rFonts w:cs="Times New Roman"/>
          <w:b w:val="0"/>
        </w:rPr>
        <w:t xml:space="preserve"> were also presented to SBSTTA 22 in support of the relevant sections of the voluntary guidance.</w:t>
      </w:r>
      <w:r w:rsidRPr="0078250A">
        <w:rPr>
          <w:rStyle w:val="Strong"/>
          <w:rFonts w:cs="Times New Roman"/>
        </w:rPr>
        <w:t xml:space="preserve"> </w:t>
      </w:r>
    </w:p>
    <w:p w:rsidR="00767AF4" w:rsidRPr="00767AF4" w:rsidRDefault="00767AF4" w:rsidP="00767AF4">
      <w:pPr>
        <w:pStyle w:val="Para1"/>
      </w:pPr>
      <w:r w:rsidRPr="00767AF4">
        <w:t>At a minimum, to ensure progress on this element of Target 11, each country should begin integrating their protected areas into local, regional, and national spatial planning and mainstream</w:t>
      </w:r>
      <w:r w:rsidR="009859A9">
        <w:t>ing</w:t>
      </w:r>
      <w:r w:rsidRPr="00767AF4">
        <w:t xml:space="preserve"> them into important sectors. The voluntary guidance provides possible steps for supporting </w:t>
      </w:r>
      <w:r w:rsidR="009859A9">
        <w:t>these aims</w:t>
      </w:r>
      <w:r w:rsidRPr="00767AF4">
        <w:t>.</w:t>
      </w:r>
    </w:p>
    <w:p w:rsidR="00767AF4" w:rsidRPr="0078250A" w:rsidRDefault="00767AF4" w:rsidP="00767AF4">
      <w:pPr>
        <w:pStyle w:val="Para1"/>
        <w:numPr>
          <w:ilvl w:val="0"/>
          <w:numId w:val="0"/>
        </w:numPr>
        <w:rPr>
          <w:rStyle w:val="Strong"/>
          <w:rFonts w:cs="Times New Roman"/>
          <w:bCs/>
        </w:rPr>
      </w:pPr>
    </w:p>
    <w:p w:rsidR="00E65912" w:rsidRDefault="00E65912" w:rsidP="00E65912">
      <w:pPr>
        <w:pStyle w:val="Para1"/>
        <w:numPr>
          <w:ilvl w:val="0"/>
          <w:numId w:val="0"/>
        </w:numPr>
        <w:rPr>
          <w:rStyle w:val="Strong"/>
          <w:rFonts w:cs="Times New Roman"/>
          <w:highlight w:val="yellow"/>
        </w:rPr>
      </w:pPr>
    </w:p>
    <w:p w:rsidR="003E5ACE" w:rsidRDefault="001E3D3A" w:rsidP="00F44E90">
      <w:pPr>
        <w:pStyle w:val="Heading2"/>
        <w:numPr>
          <w:ilvl w:val="0"/>
          <w:numId w:val="8"/>
        </w:numPr>
        <w:rPr>
          <w:rFonts w:cs="Times New Roman"/>
        </w:rPr>
      </w:pPr>
      <w:r w:rsidRPr="00576654">
        <w:rPr>
          <w:rFonts w:cs="Times New Roman"/>
        </w:rPr>
        <w:t>Effectively managed</w:t>
      </w:r>
    </w:p>
    <w:tbl>
      <w:tblPr>
        <w:tblW w:w="9558" w:type="dxa"/>
        <w:jc w:val="center"/>
        <w:tblLook w:val="04A0" w:firstRow="1" w:lastRow="0" w:firstColumn="1" w:lastColumn="0" w:noHBand="0" w:noVBand="1"/>
      </w:tblPr>
      <w:tblGrid>
        <w:gridCol w:w="1209"/>
        <w:gridCol w:w="2049"/>
        <w:gridCol w:w="1980"/>
        <w:gridCol w:w="2126"/>
        <w:gridCol w:w="2194"/>
      </w:tblGrid>
      <w:tr w:rsidR="00DF3156" w:rsidRPr="005A7127" w:rsidTr="000879C1">
        <w:trPr>
          <w:jc w:val="center"/>
        </w:trPr>
        <w:tc>
          <w:tcPr>
            <w:tcW w:w="3258" w:type="dxa"/>
            <w:gridSpan w:val="2"/>
            <w:tcBorders>
              <w:top w:val="single" w:sz="18" w:space="0" w:color="auto"/>
              <w:bottom w:val="single" w:sz="12" w:space="0" w:color="auto"/>
            </w:tcBorders>
            <w:shd w:val="clear" w:color="auto" w:fill="auto"/>
            <w:vAlign w:val="center"/>
          </w:tcPr>
          <w:p w:rsidR="00DF3156" w:rsidRPr="005A7127" w:rsidRDefault="00DF3156" w:rsidP="000879C1">
            <w:pPr>
              <w:pStyle w:val="NoSpacing"/>
              <w:spacing w:line="276" w:lineRule="auto"/>
              <w:jc w:val="center"/>
              <w:rPr>
                <w:rFonts w:ascii="Times New Roman" w:hAnsi="Times New Roman"/>
                <w:b/>
                <w:sz w:val="18"/>
              </w:rPr>
            </w:pPr>
            <w:r w:rsidRPr="005A7127">
              <w:rPr>
                <w:rFonts w:ascii="Times New Roman" w:hAnsi="Times New Roman"/>
                <w:b/>
                <w:sz w:val="18"/>
              </w:rPr>
              <w:t>Element of Target 11</w:t>
            </w:r>
          </w:p>
          <w:p w:rsidR="00DF3156" w:rsidRPr="005A7127" w:rsidRDefault="00DF3156" w:rsidP="000879C1">
            <w:pPr>
              <w:pStyle w:val="NoSpacing"/>
              <w:spacing w:line="276" w:lineRule="auto"/>
              <w:jc w:val="center"/>
              <w:rPr>
                <w:rFonts w:ascii="Times New Roman" w:hAnsi="Times New Roman"/>
                <w:sz w:val="18"/>
              </w:rPr>
            </w:pPr>
            <w:r w:rsidRPr="005A7127">
              <w:rPr>
                <w:rFonts w:ascii="Times New Roman" w:hAnsi="Times New Roman"/>
                <w:sz w:val="18"/>
              </w:rPr>
              <w:t>(and status from GBO-4 in 2014)</w:t>
            </w:r>
          </w:p>
        </w:tc>
        <w:tc>
          <w:tcPr>
            <w:tcW w:w="1980" w:type="dxa"/>
            <w:tcBorders>
              <w:top w:val="single" w:sz="18" w:space="0" w:color="auto"/>
              <w:bottom w:val="single" w:sz="12" w:space="0" w:color="auto"/>
            </w:tcBorders>
            <w:shd w:val="clear" w:color="auto" w:fill="auto"/>
            <w:vAlign w:val="center"/>
          </w:tcPr>
          <w:p w:rsidR="00DF3156" w:rsidRPr="005A7127" w:rsidRDefault="00DF3156" w:rsidP="000879C1">
            <w:pPr>
              <w:pStyle w:val="NoSpacing"/>
              <w:spacing w:line="276" w:lineRule="auto"/>
              <w:jc w:val="center"/>
              <w:rPr>
                <w:rFonts w:ascii="Times New Roman" w:hAnsi="Times New Roman"/>
                <w:b/>
                <w:sz w:val="18"/>
                <w:szCs w:val="18"/>
              </w:rPr>
            </w:pPr>
            <w:r w:rsidRPr="005A7127">
              <w:rPr>
                <w:rFonts w:ascii="Times New Roman" w:hAnsi="Times New Roman"/>
                <w:b/>
                <w:sz w:val="18"/>
                <w:szCs w:val="18"/>
              </w:rPr>
              <w:t>Status in 2015</w:t>
            </w:r>
          </w:p>
          <w:p w:rsidR="00DF3156" w:rsidRPr="005A7127" w:rsidRDefault="00DF3156" w:rsidP="000879C1">
            <w:pPr>
              <w:pStyle w:val="NoSpacing"/>
              <w:spacing w:line="276" w:lineRule="auto"/>
              <w:jc w:val="center"/>
              <w:rPr>
                <w:rFonts w:ascii="Times New Roman" w:hAnsi="Times New Roman"/>
                <w:sz w:val="18"/>
                <w:szCs w:val="18"/>
              </w:rPr>
            </w:pPr>
            <w:r>
              <w:rPr>
                <w:rFonts w:ascii="Times New Roman" w:hAnsi="Times New Roman"/>
                <w:sz w:val="18"/>
                <w:szCs w:val="18"/>
              </w:rPr>
              <w:t>(GD-PAME, Jan 2015)</w:t>
            </w:r>
          </w:p>
        </w:tc>
        <w:tc>
          <w:tcPr>
            <w:tcW w:w="2126" w:type="dxa"/>
            <w:tcBorders>
              <w:top w:val="single" w:sz="18" w:space="0" w:color="auto"/>
              <w:bottom w:val="single" w:sz="12" w:space="0" w:color="auto"/>
            </w:tcBorders>
            <w:shd w:val="clear" w:color="auto" w:fill="auto"/>
            <w:vAlign w:val="center"/>
          </w:tcPr>
          <w:p w:rsidR="00DF3156" w:rsidRDefault="00DF3156" w:rsidP="000879C1">
            <w:pPr>
              <w:pStyle w:val="NoSpacing"/>
              <w:spacing w:line="276" w:lineRule="auto"/>
              <w:jc w:val="center"/>
              <w:rPr>
                <w:rFonts w:ascii="Times New Roman" w:hAnsi="Times New Roman"/>
                <w:b/>
                <w:sz w:val="18"/>
                <w:szCs w:val="18"/>
              </w:rPr>
            </w:pPr>
            <w:r w:rsidRPr="005A7127">
              <w:rPr>
                <w:rFonts w:ascii="Times New Roman" w:hAnsi="Times New Roman"/>
                <w:b/>
                <w:sz w:val="18"/>
                <w:szCs w:val="18"/>
              </w:rPr>
              <w:t>Current Status</w:t>
            </w:r>
          </w:p>
          <w:p w:rsidR="00DF3156" w:rsidRPr="005A7127" w:rsidRDefault="00DF3156" w:rsidP="000879C1">
            <w:pPr>
              <w:pStyle w:val="NoSpacing"/>
              <w:spacing w:line="276" w:lineRule="auto"/>
              <w:jc w:val="center"/>
              <w:rPr>
                <w:rFonts w:ascii="Times New Roman" w:hAnsi="Times New Roman"/>
                <w:b/>
                <w:sz w:val="18"/>
                <w:szCs w:val="18"/>
              </w:rPr>
            </w:pPr>
            <w:r>
              <w:rPr>
                <w:rFonts w:ascii="Times New Roman" w:hAnsi="Times New Roman"/>
                <w:sz w:val="18"/>
                <w:szCs w:val="18"/>
              </w:rPr>
              <w:t>(GD-PAME, May 2018)</w:t>
            </w:r>
          </w:p>
        </w:tc>
        <w:tc>
          <w:tcPr>
            <w:tcW w:w="2194" w:type="dxa"/>
            <w:tcBorders>
              <w:top w:val="single" w:sz="18" w:space="0" w:color="auto"/>
              <w:bottom w:val="single" w:sz="12" w:space="0" w:color="auto"/>
            </w:tcBorders>
            <w:shd w:val="clear" w:color="auto" w:fill="auto"/>
            <w:vAlign w:val="center"/>
          </w:tcPr>
          <w:p w:rsidR="00DF3156" w:rsidRPr="00A14A9C" w:rsidRDefault="00DF3156" w:rsidP="000879C1">
            <w:pPr>
              <w:pStyle w:val="NoSpacing"/>
              <w:spacing w:line="276" w:lineRule="auto"/>
              <w:jc w:val="center"/>
              <w:rPr>
                <w:rFonts w:ascii="Times New Roman" w:hAnsi="Times New Roman"/>
                <w:b/>
                <w:sz w:val="18"/>
                <w:szCs w:val="18"/>
              </w:rPr>
            </w:pPr>
            <w:r w:rsidRPr="00A14A9C">
              <w:rPr>
                <w:rFonts w:ascii="Times New Roman" w:hAnsi="Times New Roman"/>
                <w:b/>
                <w:sz w:val="18"/>
                <w:szCs w:val="18"/>
              </w:rPr>
              <w:t>Opportunities for 2020</w:t>
            </w:r>
          </w:p>
        </w:tc>
      </w:tr>
      <w:tr w:rsidR="00DF3156" w:rsidRPr="005A7127" w:rsidTr="000879C1">
        <w:trPr>
          <w:trHeight w:val="780"/>
          <w:jc w:val="center"/>
        </w:trPr>
        <w:tc>
          <w:tcPr>
            <w:tcW w:w="1209" w:type="dxa"/>
            <w:vMerge w:val="restart"/>
            <w:tcBorders>
              <w:top w:val="single" w:sz="12" w:space="0" w:color="auto"/>
            </w:tcBorders>
            <w:shd w:val="clear" w:color="auto" w:fill="auto"/>
            <w:vAlign w:val="center"/>
          </w:tcPr>
          <w:p w:rsidR="00DF3156" w:rsidRPr="00B3500E" w:rsidRDefault="00DF3156" w:rsidP="000879C1">
            <w:pPr>
              <w:pStyle w:val="NoSpacing"/>
              <w:jc w:val="center"/>
              <w:rPr>
                <w:rFonts w:ascii="Times New Roman" w:hAnsi="Times New Roman"/>
                <w:b/>
                <w:sz w:val="18"/>
                <w:szCs w:val="18"/>
                <w:lang w:eastAsia="en-GB"/>
              </w:rPr>
            </w:pPr>
            <w:r w:rsidRPr="00B3500E">
              <w:rPr>
                <w:rFonts w:ascii="Times New Roman" w:hAnsi="Times New Roman"/>
                <w:b/>
                <w:sz w:val="18"/>
                <w:szCs w:val="18"/>
                <w:lang w:eastAsia="en-GB"/>
              </w:rPr>
              <w:lastRenderedPageBreak/>
              <w:t>Effectively managed</w:t>
            </w:r>
          </w:p>
          <w:p w:rsidR="00DF3156" w:rsidRDefault="00DF3156" w:rsidP="000879C1">
            <w:pPr>
              <w:pStyle w:val="NoSpacing"/>
              <w:jc w:val="center"/>
              <w:rPr>
                <w:rFonts w:ascii="Times New Roman" w:hAnsi="Times New Roman"/>
                <w:sz w:val="18"/>
                <w:szCs w:val="18"/>
                <w:lang w:eastAsia="en-GB"/>
              </w:rPr>
            </w:pPr>
          </w:p>
          <w:p w:rsidR="00DF3156" w:rsidRPr="005A7127" w:rsidRDefault="00DF3156" w:rsidP="000879C1">
            <w:pPr>
              <w:pStyle w:val="NoSpacing"/>
              <w:rPr>
                <w:rFonts w:ascii="Times New Roman" w:hAnsi="Times New Roman"/>
                <w:sz w:val="18"/>
                <w:szCs w:val="18"/>
                <w:lang w:eastAsia="en-GB"/>
              </w:rPr>
            </w:pPr>
            <w:r w:rsidRPr="005A7127">
              <w:rPr>
                <w:rFonts w:ascii="Times New Roman" w:hAnsi="Times New Roman"/>
                <w:noProof/>
                <w:sz w:val="18"/>
                <w:szCs w:val="18"/>
                <w:lang w:val="en-CA" w:eastAsia="en-CA"/>
              </w:rPr>
              <w:drawing>
                <wp:inline distT="0" distB="0" distL="0" distR="0" wp14:anchorId="4B9F4642" wp14:editId="3857357B">
                  <wp:extent cx="630936" cy="411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 cy="411480"/>
                          </a:xfrm>
                          <a:prstGeom prst="rect">
                            <a:avLst/>
                          </a:prstGeom>
                        </pic:spPr>
                      </pic:pic>
                    </a:graphicData>
                  </a:graphic>
                </wp:inline>
              </w:drawing>
            </w:r>
          </w:p>
        </w:tc>
        <w:tc>
          <w:tcPr>
            <w:tcW w:w="2049" w:type="dxa"/>
            <w:tcBorders>
              <w:top w:val="single" w:sz="12" w:space="0" w:color="auto"/>
            </w:tcBorders>
            <w:shd w:val="clear" w:color="auto" w:fill="auto"/>
            <w:vAlign w:val="center"/>
          </w:tcPr>
          <w:p w:rsidR="00DF3156" w:rsidRPr="005A7127" w:rsidRDefault="00DF3156" w:rsidP="000879C1">
            <w:pPr>
              <w:pStyle w:val="NoSpacing"/>
              <w:spacing w:line="276" w:lineRule="auto"/>
              <w:jc w:val="center"/>
              <w:rPr>
                <w:rFonts w:ascii="Times New Roman" w:hAnsi="Times New Roman"/>
                <w:sz w:val="18"/>
                <w:szCs w:val="18"/>
              </w:rPr>
            </w:pPr>
            <w:r>
              <w:rPr>
                <w:rFonts w:ascii="Times New Roman" w:hAnsi="Times New Roman"/>
                <w:sz w:val="18"/>
                <w:szCs w:val="18"/>
              </w:rPr>
              <w:t>C</w:t>
            </w:r>
            <w:r w:rsidRPr="00B3500E">
              <w:rPr>
                <w:rFonts w:ascii="Times New Roman" w:hAnsi="Times New Roman"/>
                <w:sz w:val="18"/>
                <w:szCs w:val="18"/>
              </w:rPr>
              <w:t xml:space="preserve">ountries and territories </w:t>
            </w:r>
            <w:r>
              <w:rPr>
                <w:rFonts w:ascii="Times New Roman" w:hAnsi="Times New Roman"/>
                <w:sz w:val="18"/>
                <w:szCs w:val="18"/>
              </w:rPr>
              <w:t>with ME</w:t>
            </w:r>
            <w:r w:rsidRPr="00B3500E">
              <w:rPr>
                <w:rFonts w:ascii="Times New Roman" w:hAnsi="Times New Roman"/>
                <w:sz w:val="18"/>
                <w:szCs w:val="18"/>
              </w:rPr>
              <w:t xml:space="preserve"> evaluations in at least 60</w:t>
            </w:r>
            <w:r>
              <w:rPr>
                <w:rFonts w:ascii="Times New Roman" w:hAnsi="Times New Roman"/>
                <w:sz w:val="18"/>
                <w:szCs w:val="18"/>
              </w:rPr>
              <w:t>% of PAs</w:t>
            </w:r>
          </w:p>
        </w:tc>
        <w:tc>
          <w:tcPr>
            <w:tcW w:w="1980" w:type="dxa"/>
            <w:tcBorders>
              <w:top w:val="single" w:sz="12" w:space="0" w:color="auto"/>
            </w:tcBorders>
            <w:shd w:val="clear" w:color="auto" w:fill="auto"/>
            <w:vAlign w:val="center"/>
          </w:tcPr>
          <w:p w:rsidR="00DF3156" w:rsidRPr="005A7127" w:rsidRDefault="00DF3156" w:rsidP="000879C1">
            <w:pPr>
              <w:pStyle w:val="NoSpacing"/>
              <w:jc w:val="center"/>
              <w:rPr>
                <w:rFonts w:ascii="Times New Roman" w:hAnsi="Times New Roman"/>
                <w:sz w:val="18"/>
                <w:szCs w:val="18"/>
              </w:rPr>
            </w:pPr>
            <w:r w:rsidRPr="00B3500E">
              <w:rPr>
                <w:rFonts w:ascii="Times New Roman" w:hAnsi="Times New Roman"/>
                <w:sz w:val="18"/>
                <w:szCs w:val="18"/>
              </w:rPr>
              <w:t>17.5%</w:t>
            </w:r>
          </w:p>
        </w:tc>
        <w:tc>
          <w:tcPr>
            <w:tcW w:w="2126" w:type="dxa"/>
            <w:tcBorders>
              <w:top w:val="single" w:sz="12" w:space="0" w:color="auto"/>
            </w:tcBorders>
            <w:shd w:val="clear" w:color="auto" w:fill="auto"/>
            <w:vAlign w:val="center"/>
          </w:tcPr>
          <w:p w:rsidR="00DF3156" w:rsidRDefault="00DF3156" w:rsidP="000879C1">
            <w:pPr>
              <w:pStyle w:val="NoSpacing"/>
              <w:jc w:val="center"/>
              <w:rPr>
                <w:rFonts w:ascii="Times New Roman" w:hAnsi="Times New Roman"/>
                <w:sz w:val="18"/>
                <w:szCs w:val="18"/>
              </w:rPr>
            </w:pPr>
            <w:r>
              <w:rPr>
                <w:rFonts w:ascii="Times New Roman" w:hAnsi="Times New Roman"/>
                <w:sz w:val="18"/>
                <w:szCs w:val="18"/>
              </w:rPr>
              <w:t>21% terrestrial</w:t>
            </w:r>
          </w:p>
          <w:p w:rsidR="00DF3156" w:rsidRPr="005A7127" w:rsidRDefault="00DF3156" w:rsidP="000879C1">
            <w:pPr>
              <w:pStyle w:val="NoSpacing"/>
              <w:jc w:val="center"/>
              <w:rPr>
                <w:rFonts w:ascii="Times New Roman" w:hAnsi="Times New Roman"/>
                <w:sz w:val="18"/>
                <w:szCs w:val="18"/>
              </w:rPr>
            </w:pPr>
            <w:r>
              <w:rPr>
                <w:rFonts w:ascii="Times New Roman" w:hAnsi="Times New Roman"/>
                <w:sz w:val="18"/>
                <w:szCs w:val="18"/>
              </w:rPr>
              <w:t>16% marine</w:t>
            </w:r>
          </w:p>
        </w:tc>
        <w:tc>
          <w:tcPr>
            <w:tcW w:w="2194" w:type="dxa"/>
            <w:vMerge w:val="restart"/>
            <w:tcBorders>
              <w:top w:val="single" w:sz="12" w:space="0" w:color="auto"/>
            </w:tcBorders>
            <w:shd w:val="clear" w:color="auto" w:fill="auto"/>
            <w:vAlign w:val="center"/>
          </w:tcPr>
          <w:p w:rsidR="00DF3156" w:rsidRDefault="00DF3156" w:rsidP="000879C1">
            <w:pPr>
              <w:jc w:val="center"/>
              <w:rPr>
                <w:sz w:val="18"/>
                <w:szCs w:val="18"/>
              </w:rPr>
            </w:pPr>
            <w:r>
              <w:rPr>
                <w:sz w:val="18"/>
                <w:szCs w:val="18"/>
              </w:rPr>
              <w:t xml:space="preserve">Implementation of all national commitments. </w:t>
            </w:r>
          </w:p>
          <w:p w:rsidR="0078250A" w:rsidRDefault="0078250A" w:rsidP="000879C1">
            <w:pPr>
              <w:jc w:val="center"/>
              <w:rPr>
                <w:sz w:val="18"/>
                <w:szCs w:val="18"/>
              </w:rPr>
            </w:pPr>
          </w:p>
          <w:p w:rsidR="00DF3156" w:rsidRDefault="00DF3156" w:rsidP="000879C1">
            <w:pPr>
              <w:jc w:val="center"/>
              <w:rPr>
                <w:sz w:val="18"/>
                <w:szCs w:val="18"/>
              </w:rPr>
            </w:pPr>
            <w:r>
              <w:rPr>
                <w:sz w:val="18"/>
                <w:szCs w:val="18"/>
              </w:rPr>
              <w:t xml:space="preserve">Continued efforts to carry out </w:t>
            </w:r>
            <w:r w:rsidRPr="00A14A9C">
              <w:rPr>
                <w:sz w:val="18"/>
                <w:szCs w:val="18"/>
              </w:rPr>
              <w:t>national assessments of management effectiveness in PAs</w:t>
            </w:r>
            <w:r>
              <w:rPr>
                <w:sz w:val="18"/>
                <w:szCs w:val="18"/>
              </w:rPr>
              <w:t xml:space="preserve"> and improve management effectiveness scores of assessed PAs.</w:t>
            </w:r>
          </w:p>
          <w:p w:rsidR="00DF3156" w:rsidRPr="005A7127" w:rsidRDefault="00DF3156" w:rsidP="000879C1">
            <w:pPr>
              <w:jc w:val="center"/>
              <w:rPr>
                <w:sz w:val="18"/>
                <w:szCs w:val="18"/>
              </w:rPr>
            </w:pPr>
            <w:r w:rsidRPr="00BD6B4B">
              <w:rPr>
                <w:noProof/>
                <w:sz w:val="18"/>
                <w:szCs w:val="18"/>
                <w:lang w:val="en-CA" w:eastAsia="en-CA"/>
              </w:rPr>
              <w:drawing>
                <wp:inline distT="0" distB="0" distL="0" distR="0" wp14:anchorId="04AB91EB" wp14:editId="45099CDE">
                  <wp:extent cx="640080" cy="411480"/>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411480"/>
                          </a:xfrm>
                          <a:prstGeom prst="rect">
                            <a:avLst/>
                          </a:prstGeom>
                        </pic:spPr>
                      </pic:pic>
                    </a:graphicData>
                  </a:graphic>
                </wp:inline>
              </w:drawing>
            </w:r>
          </w:p>
        </w:tc>
      </w:tr>
      <w:tr w:rsidR="00DF3156" w:rsidRPr="005A7127" w:rsidTr="000879C1">
        <w:trPr>
          <w:trHeight w:val="326"/>
          <w:jc w:val="center"/>
        </w:trPr>
        <w:tc>
          <w:tcPr>
            <w:tcW w:w="1209" w:type="dxa"/>
            <w:vMerge/>
            <w:shd w:val="clear" w:color="auto" w:fill="auto"/>
            <w:vAlign w:val="center"/>
          </w:tcPr>
          <w:p w:rsidR="00DF3156" w:rsidRPr="005A7127" w:rsidRDefault="00DF3156" w:rsidP="000879C1">
            <w:pPr>
              <w:pStyle w:val="NoSpacing"/>
              <w:rPr>
                <w:rFonts w:ascii="Times New Roman" w:hAnsi="Times New Roman"/>
                <w:sz w:val="18"/>
                <w:szCs w:val="18"/>
                <w:lang w:eastAsia="en-GB"/>
              </w:rPr>
            </w:pPr>
          </w:p>
        </w:tc>
        <w:tc>
          <w:tcPr>
            <w:tcW w:w="2049" w:type="dxa"/>
            <w:shd w:val="clear" w:color="auto" w:fill="auto"/>
            <w:vAlign w:val="center"/>
          </w:tcPr>
          <w:p w:rsidR="00DF3156" w:rsidRPr="005A7127" w:rsidRDefault="00DF3156" w:rsidP="000879C1">
            <w:pPr>
              <w:pStyle w:val="NoSpacing"/>
              <w:spacing w:line="276" w:lineRule="auto"/>
              <w:jc w:val="center"/>
              <w:rPr>
                <w:rFonts w:ascii="Times New Roman" w:hAnsi="Times New Roman"/>
                <w:sz w:val="18"/>
                <w:szCs w:val="18"/>
              </w:rPr>
            </w:pPr>
            <w:r>
              <w:rPr>
                <w:rFonts w:ascii="Times New Roman" w:hAnsi="Times New Roman"/>
                <w:sz w:val="18"/>
                <w:szCs w:val="18"/>
              </w:rPr>
              <w:t>CBD Parties missing 60% target</w:t>
            </w:r>
          </w:p>
        </w:tc>
        <w:tc>
          <w:tcPr>
            <w:tcW w:w="1980" w:type="dxa"/>
            <w:shd w:val="clear" w:color="auto" w:fill="auto"/>
            <w:vAlign w:val="center"/>
          </w:tcPr>
          <w:p w:rsidR="00DF3156" w:rsidRPr="00B3500E" w:rsidRDefault="00DF3156" w:rsidP="000879C1">
            <w:pPr>
              <w:pStyle w:val="NoSpacing"/>
              <w:jc w:val="center"/>
              <w:rPr>
                <w:rFonts w:ascii="Times New Roman" w:hAnsi="Times New Roman"/>
                <w:sz w:val="18"/>
                <w:szCs w:val="18"/>
              </w:rPr>
            </w:pPr>
            <w:r>
              <w:rPr>
                <w:rFonts w:ascii="Times New Roman" w:hAnsi="Times New Roman"/>
                <w:sz w:val="18"/>
                <w:szCs w:val="18"/>
              </w:rPr>
              <w:t>154</w:t>
            </w:r>
          </w:p>
        </w:tc>
        <w:tc>
          <w:tcPr>
            <w:tcW w:w="2126" w:type="dxa"/>
            <w:shd w:val="clear" w:color="auto" w:fill="auto"/>
            <w:vAlign w:val="center"/>
          </w:tcPr>
          <w:p w:rsidR="00DF3156" w:rsidRDefault="00DF3156" w:rsidP="000879C1">
            <w:pPr>
              <w:pStyle w:val="NoSpacing"/>
              <w:jc w:val="center"/>
              <w:rPr>
                <w:rFonts w:ascii="Times New Roman" w:hAnsi="Times New Roman"/>
                <w:sz w:val="18"/>
                <w:szCs w:val="18"/>
              </w:rPr>
            </w:pPr>
            <w:r>
              <w:rPr>
                <w:rFonts w:ascii="Times New Roman" w:hAnsi="Times New Roman"/>
                <w:sz w:val="18"/>
                <w:szCs w:val="18"/>
              </w:rPr>
              <w:t>148 terrestrial</w:t>
            </w:r>
          </w:p>
          <w:p w:rsidR="00DF3156" w:rsidRPr="005A7127" w:rsidRDefault="00DF3156" w:rsidP="000879C1">
            <w:pPr>
              <w:pStyle w:val="NoSpacing"/>
              <w:jc w:val="center"/>
              <w:rPr>
                <w:rFonts w:ascii="Times New Roman" w:hAnsi="Times New Roman"/>
                <w:sz w:val="18"/>
                <w:szCs w:val="18"/>
              </w:rPr>
            </w:pPr>
            <w:r>
              <w:rPr>
                <w:rFonts w:ascii="Times New Roman" w:hAnsi="Times New Roman"/>
                <w:sz w:val="18"/>
                <w:szCs w:val="18"/>
              </w:rPr>
              <w:t>123 marine</w:t>
            </w:r>
          </w:p>
        </w:tc>
        <w:tc>
          <w:tcPr>
            <w:tcW w:w="2194" w:type="dxa"/>
            <w:vMerge/>
            <w:shd w:val="clear" w:color="auto" w:fill="auto"/>
            <w:vAlign w:val="center"/>
          </w:tcPr>
          <w:p w:rsidR="00DF3156" w:rsidRPr="005A7127" w:rsidRDefault="00DF3156" w:rsidP="000879C1">
            <w:pPr>
              <w:pStyle w:val="NoSpacing"/>
              <w:rPr>
                <w:rFonts w:ascii="Times New Roman" w:hAnsi="Times New Roman"/>
                <w:sz w:val="18"/>
                <w:szCs w:val="18"/>
              </w:rPr>
            </w:pPr>
          </w:p>
        </w:tc>
      </w:tr>
      <w:tr w:rsidR="00DF3156" w:rsidRPr="005A7127" w:rsidTr="000879C1">
        <w:trPr>
          <w:trHeight w:val="326"/>
          <w:jc w:val="center"/>
        </w:trPr>
        <w:tc>
          <w:tcPr>
            <w:tcW w:w="1209" w:type="dxa"/>
            <w:vMerge/>
            <w:tcBorders>
              <w:bottom w:val="single" w:sz="18" w:space="0" w:color="auto"/>
            </w:tcBorders>
            <w:shd w:val="clear" w:color="auto" w:fill="auto"/>
            <w:vAlign w:val="center"/>
          </w:tcPr>
          <w:p w:rsidR="00DF3156" w:rsidRPr="005A7127" w:rsidRDefault="00DF3156" w:rsidP="000879C1">
            <w:pPr>
              <w:pStyle w:val="NoSpacing"/>
              <w:rPr>
                <w:rFonts w:ascii="Times New Roman" w:hAnsi="Times New Roman"/>
                <w:sz w:val="18"/>
                <w:szCs w:val="18"/>
                <w:lang w:eastAsia="en-GB"/>
              </w:rPr>
            </w:pPr>
          </w:p>
        </w:tc>
        <w:tc>
          <w:tcPr>
            <w:tcW w:w="2049" w:type="dxa"/>
            <w:tcBorders>
              <w:bottom w:val="single" w:sz="18" w:space="0" w:color="auto"/>
            </w:tcBorders>
            <w:shd w:val="clear" w:color="auto" w:fill="auto"/>
            <w:vAlign w:val="center"/>
          </w:tcPr>
          <w:p w:rsidR="00DF3156" w:rsidRPr="005A7127" w:rsidRDefault="00DF3156" w:rsidP="000879C1">
            <w:pPr>
              <w:pStyle w:val="NoSpacing"/>
              <w:jc w:val="center"/>
              <w:rPr>
                <w:rFonts w:ascii="Times New Roman" w:hAnsi="Times New Roman"/>
                <w:sz w:val="18"/>
                <w:szCs w:val="18"/>
              </w:rPr>
            </w:pPr>
          </w:p>
        </w:tc>
        <w:tc>
          <w:tcPr>
            <w:tcW w:w="1980" w:type="dxa"/>
            <w:tcBorders>
              <w:bottom w:val="single" w:sz="18" w:space="0" w:color="auto"/>
            </w:tcBorders>
            <w:shd w:val="clear" w:color="auto" w:fill="auto"/>
            <w:vAlign w:val="center"/>
          </w:tcPr>
          <w:p w:rsidR="00DF3156" w:rsidRPr="00B3500E" w:rsidRDefault="00DF3156" w:rsidP="000879C1">
            <w:pPr>
              <w:pStyle w:val="NoSpacing"/>
              <w:jc w:val="center"/>
              <w:rPr>
                <w:rFonts w:ascii="Times New Roman" w:hAnsi="Times New Roman"/>
                <w:sz w:val="18"/>
                <w:szCs w:val="18"/>
              </w:rPr>
            </w:pPr>
            <w:r w:rsidRPr="005A7127">
              <w:rPr>
                <w:rFonts w:ascii="Times New Roman" w:hAnsi="Times New Roman"/>
                <w:sz w:val="18"/>
                <w:szCs w:val="18"/>
              </w:rPr>
              <w:t>Information lacking for</w:t>
            </w:r>
            <w:r>
              <w:rPr>
                <w:rFonts w:ascii="Times New Roman" w:hAnsi="Times New Roman"/>
                <w:sz w:val="18"/>
                <w:szCs w:val="18"/>
              </w:rPr>
              <w:t xml:space="preserve"> other aspects of effective management.</w:t>
            </w:r>
          </w:p>
        </w:tc>
        <w:tc>
          <w:tcPr>
            <w:tcW w:w="2126" w:type="dxa"/>
            <w:tcBorders>
              <w:bottom w:val="single" w:sz="18" w:space="0" w:color="auto"/>
            </w:tcBorders>
            <w:shd w:val="clear" w:color="auto" w:fill="auto"/>
            <w:vAlign w:val="center"/>
          </w:tcPr>
          <w:p w:rsidR="00DF3156" w:rsidRPr="005A7127" w:rsidRDefault="00DF3156" w:rsidP="000879C1">
            <w:pPr>
              <w:pStyle w:val="NoSpacing"/>
              <w:jc w:val="center"/>
              <w:rPr>
                <w:rFonts w:ascii="Times New Roman" w:hAnsi="Times New Roman"/>
                <w:sz w:val="18"/>
                <w:szCs w:val="18"/>
              </w:rPr>
            </w:pPr>
            <w:r>
              <w:rPr>
                <w:rFonts w:ascii="Times New Roman" w:hAnsi="Times New Roman"/>
                <w:sz w:val="18"/>
                <w:szCs w:val="18"/>
              </w:rPr>
              <w:t>Studies indicate capacity and funding as best predictors of conservation outcomes</w:t>
            </w:r>
          </w:p>
        </w:tc>
        <w:tc>
          <w:tcPr>
            <w:tcW w:w="2194" w:type="dxa"/>
            <w:vMerge/>
            <w:tcBorders>
              <w:bottom w:val="single" w:sz="18" w:space="0" w:color="auto"/>
            </w:tcBorders>
            <w:shd w:val="clear" w:color="auto" w:fill="auto"/>
            <w:vAlign w:val="center"/>
          </w:tcPr>
          <w:p w:rsidR="00DF3156" w:rsidRPr="005A7127" w:rsidRDefault="00DF3156" w:rsidP="000879C1">
            <w:pPr>
              <w:pStyle w:val="NoSpacing"/>
              <w:rPr>
                <w:rFonts w:ascii="Times New Roman" w:hAnsi="Times New Roman"/>
                <w:sz w:val="18"/>
                <w:szCs w:val="18"/>
              </w:rPr>
            </w:pPr>
          </w:p>
        </w:tc>
      </w:tr>
    </w:tbl>
    <w:p w:rsidR="000D5271" w:rsidRDefault="005D1A7B" w:rsidP="00625D34">
      <w:pPr>
        <w:pStyle w:val="Para1"/>
      </w:pPr>
      <w:r>
        <w:t xml:space="preserve">Establishing protected areas will not be enough to ensure </w:t>
      </w:r>
      <w:r w:rsidR="00EE0458">
        <w:t>the</w:t>
      </w:r>
      <w:r>
        <w:t xml:space="preserve"> conservation of biodiversity if they are not effectively managed.</w:t>
      </w:r>
      <w:r w:rsidR="00C400E3">
        <w:rPr>
          <w:rStyle w:val="FootnoteReference"/>
        </w:rPr>
        <w:footnoteReference w:id="74"/>
      </w:r>
      <w:r w:rsidR="00452A08">
        <w:t xml:space="preserve"> </w:t>
      </w:r>
    </w:p>
    <w:p w:rsidR="00EE0458" w:rsidRDefault="0013296D" w:rsidP="004B5C2C">
      <w:pPr>
        <w:pStyle w:val="Para1"/>
      </w:pPr>
      <w:r w:rsidRPr="0013296D">
        <w:t>In 2010,</w:t>
      </w:r>
      <w:r>
        <w:t xml:space="preserve"> </w:t>
      </w:r>
      <w:r w:rsidRPr="0013296D">
        <w:t>Parties were invited to implement management</w:t>
      </w:r>
      <w:r>
        <w:t xml:space="preserve"> </w:t>
      </w:r>
      <w:r w:rsidRPr="0013296D">
        <w:t>effectiveness evaluations in at least 60</w:t>
      </w:r>
      <w:r w:rsidR="002855EA">
        <w:t xml:space="preserve">% </w:t>
      </w:r>
      <w:r w:rsidRPr="0013296D">
        <w:t>of their</w:t>
      </w:r>
      <w:r>
        <w:t xml:space="preserve"> </w:t>
      </w:r>
      <w:r w:rsidRPr="0013296D">
        <w:t>total protected areas</w:t>
      </w:r>
      <w:r>
        <w:t xml:space="preserve"> </w:t>
      </w:r>
      <w:r w:rsidR="00EE0458">
        <w:t>by 2015</w:t>
      </w:r>
      <w:r w:rsidR="00557368">
        <w:t xml:space="preserve"> </w:t>
      </w:r>
      <w:r>
        <w:t xml:space="preserve">(COP Decision </w:t>
      </w:r>
      <w:hyperlink r:id="rId46" w:history="1">
        <w:r w:rsidRPr="00E6384B">
          <w:rPr>
            <w:rStyle w:val="Hyperlink"/>
          </w:rPr>
          <w:t>X/31</w:t>
        </w:r>
      </w:hyperlink>
      <w:r w:rsidR="00EE0458">
        <w:t xml:space="preserve">). </w:t>
      </w:r>
      <w:r w:rsidR="002855EA">
        <w:t>In</w:t>
      </w:r>
      <w:r w:rsidR="00EE0458">
        <w:t xml:space="preserve"> </w:t>
      </w:r>
      <w:r w:rsidR="00625D34">
        <w:t xml:space="preserve">January </w:t>
      </w:r>
      <w:r w:rsidR="00EE0458">
        <w:t xml:space="preserve">2015, </w:t>
      </w:r>
      <w:r w:rsidR="002855EA">
        <w:t>as per</w:t>
      </w:r>
      <w:r w:rsidR="004B437A">
        <w:t xml:space="preserve"> the Global Database on Protected Areas Management Effectiveness (GD-PAME)</w:t>
      </w:r>
      <w:r w:rsidR="002855EA">
        <w:t xml:space="preserve"> managed and maintained by the UNEP-WCMC,</w:t>
      </w:r>
      <w:r w:rsidR="00C501B6">
        <w:t xml:space="preserve"> only </w:t>
      </w:r>
      <w:r w:rsidR="00EE0458">
        <w:t>17.5% of countries</w:t>
      </w:r>
      <w:r w:rsidR="00C501B6">
        <w:t xml:space="preserve"> and territories</w:t>
      </w:r>
      <w:r w:rsidR="00EE0458">
        <w:t xml:space="preserve"> had met his target.</w:t>
      </w:r>
      <w:r w:rsidR="00C501B6">
        <w:rPr>
          <w:rStyle w:val="FootnoteReference"/>
        </w:rPr>
        <w:footnoteReference w:id="75"/>
      </w:r>
      <w:r w:rsidR="00EE0458">
        <w:t xml:space="preserve"> </w:t>
      </w:r>
      <w:r w:rsidR="00C501B6">
        <w:t xml:space="preserve">The following year, </w:t>
      </w:r>
      <w:r w:rsidR="002855EA">
        <w:t>in</w:t>
      </w:r>
      <w:r w:rsidR="00C501B6">
        <w:t xml:space="preserve"> decision </w:t>
      </w:r>
      <w:hyperlink r:id="rId47" w:history="1">
        <w:r w:rsidR="00C501B6" w:rsidRPr="006E6336">
          <w:rPr>
            <w:rStyle w:val="Hyperlink"/>
          </w:rPr>
          <w:t>XIII/2</w:t>
        </w:r>
      </w:hyperlink>
      <w:r w:rsidR="00C501B6">
        <w:t xml:space="preserve">, </w:t>
      </w:r>
      <w:r w:rsidR="002855EA">
        <w:t xml:space="preserve">the COP </w:t>
      </w:r>
      <w:r w:rsidR="00C501B6">
        <w:t xml:space="preserve">encouraged </w:t>
      </w:r>
      <w:r w:rsidR="002855EA">
        <w:t xml:space="preserve">Parties </w:t>
      </w:r>
      <w:r w:rsidR="00C501B6">
        <w:t>to expand, institutionalize, and undertake more systematic assessments of management effectiveness within their protected areas system, as well as to update and share the relevant information on management effectiveness in the GD-PAME.</w:t>
      </w:r>
      <w:r w:rsidR="00201667">
        <w:t xml:space="preserve"> </w:t>
      </w:r>
      <w:r w:rsidR="004B5C2C">
        <w:t xml:space="preserve">In response, </w:t>
      </w:r>
      <w:r w:rsidR="002855EA">
        <w:t xml:space="preserve">through </w:t>
      </w:r>
      <w:r w:rsidR="004B5C2C">
        <w:t>a notification (</w:t>
      </w:r>
      <w:hyperlink r:id="rId48" w:history="1">
        <w:r w:rsidR="004B5C2C" w:rsidRPr="004B5C2C">
          <w:rPr>
            <w:rStyle w:val="Hyperlink"/>
          </w:rPr>
          <w:t>2017-066</w:t>
        </w:r>
      </w:hyperlink>
      <w:r w:rsidR="002855EA">
        <w:t xml:space="preserve">), </w:t>
      </w:r>
      <w:r w:rsidR="004B5C2C">
        <w:t xml:space="preserve">Parties and other governments </w:t>
      </w:r>
      <w:r w:rsidR="002855EA">
        <w:t xml:space="preserve">were invited </w:t>
      </w:r>
      <w:r w:rsidR="004B5C2C">
        <w:t xml:space="preserve">to </w:t>
      </w:r>
      <w:r w:rsidR="002855EA">
        <w:t>review the existing information</w:t>
      </w:r>
      <w:r w:rsidR="002855EA" w:rsidRPr="002855EA">
        <w:t xml:space="preserve"> </w:t>
      </w:r>
      <w:r w:rsidR="002855EA">
        <w:t>in the GD-PAME</w:t>
      </w:r>
      <w:r w:rsidR="004B5C2C">
        <w:t>,</w:t>
      </w:r>
      <w:r w:rsidR="002855EA">
        <w:t xml:space="preserve"> and</w:t>
      </w:r>
      <w:r w:rsidR="004B5C2C" w:rsidRPr="004B5C2C">
        <w:t xml:space="preserve"> </w:t>
      </w:r>
      <w:r w:rsidR="004B5C2C">
        <w:t>submit an official and up-to-date version of their records</w:t>
      </w:r>
      <w:r w:rsidR="002855EA">
        <w:t>.</w:t>
      </w:r>
      <w:r w:rsidR="00761069">
        <w:t xml:space="preserve"> </w:t>
      </w:r>
    </w:p>
    <w:p w:rsidR="0013296D" w:rsidRDefault="004B437A" w:rsidP="0013296D">
      <w:pPr>
        <w:pStyle w:val="Para1"/>
      </w:pPr>
      <w:r>
        <w:t xml:space="preserve">Some progress has been made </w:t>
      </w:r>
      <w:r w:rsidR="002855EA">
        <w:t>on this element of Target 11</w:t>
      </w:r>
      <w:r>
        <w:t xml:space="preserve">. </w:t>
      </w:r>
      <w:r w:rsidR="00201667">
        <w:t xml:space="preserve">As of May 2018, </w:t>
      </w:r>
      <w:r w:rsidR="00625D34">
        <w:t>21%</w:t>
      </w:r>
      <w:r w:rsidR="006079CF">
        <w:t xml:space="preserve"> </w:t>
      </w:r>
      <w:r w:rsidR="00201667">
        <w:t>of countries and territories had reached the target</w:t>
      </w:r>
      <w:r w:rsidR="00BF45FE">
        <w:t xml:space="preserve"> for terrestrial protected areas and 16% had reached the target for marine protected areas</w:t>
      </w:r>
      <w:r w:rsidR="00F46B3B">
        <w:t xml:space="preserve"> (figure </w:t>
      </w:r>
      <w:r w:rsidR="009A7522">
        <w:t>10</w:t>
      </w:r>
      <w:r w:rsidR="00F46B3B">
        <w:t>)</w:t>
      </w:r>
      <w:r w:rsidR="00BF45FE">
        <w:t>.</w:t>
      </w:r>
      <w:r w:rsidR="00201667">
        <w:t xml:space="preserve"> </w:t>
      </w:r>
      <w:r w:rsidR="0064773E">
        <w:t>This rep</w:t>
      </w:r>
      <w:r w:rsidR="00625D34">
        <w:t xml:space="preserve">resents an improvement over </w:t>
      </w:r>
      <w:r w:rsidR="00DF4453">
        <w:t>the 17.5%</w:t>
      </w:r>
      <w:r w:rsidR="0064773E">
        <w:t xml:space="preserve"> of countries which had met the target as of January 2015. </w:t>
      </w:r>
      <w:r w:rsidR="006079CF" w:rsidRPr="006079CF">
        <w:rPr>
          <w:color w:val="000000" w:themeColor="text1"/>
        </w:rPr>
        <w:t xml:space="preserve">For </w:t>
      </w:r>
      <w:r w:rsidR="0013296D" w:rsidRPr="006079CF">
        <w:rPr>
          <w:color w:val="000000" w:themeColor="text1"/>
        </w:rPr>
        <w:t>CBD Parties</w:t>
      </w:r>
      <w:r w:rsidR="0013296D" w:rsidRPr="00576654">
        <w:t xml:space="preserve">, excluding overseas territories, </w:t>
      </w:r>
      <w:r w:rsidR="006079CF">
        <w:t xml:space="preserve">148 </w:t>
      </w:r>
      <w:r w:rsidR="0013296D" w:rsidRPr="00576654">
        <w:t>ha</w:t>
      </w:r>
      <w:r w:rsidR="006079CF">
        <w:t>ve not</w:t>
      </w:r>
      <w:r w:rsidR="0013296D" w:rsidRPr="00576654">
        <w:t xml:space="preserve"> met </w:t>
      </w:r>
      <w:r w:rsidR="006079CF">
        <w:t>the</w:t>
      </w:r>
      <w:r w:rsidR="0013296D">
        <w:t xml:space="preserve"> target</w:t>
      </w:r>
      <w:r w:rsidR="006079CF">
        <w:t xml:space="preserve"> for terrestrial protected areas, and 123 have not met the target for marine protected areas.</w:t>
      </w:r>
      <w:r w:rsidR="0064773E">
        <w:t xml:space="preserve"> This includes a large number of countries where no </w:t>
      </w:r>
      <w:r w:rsidR="00DF4453">
        <w:t>protected areas have been assessed for management effectiveness, as recorded in the GD-PAME</w:t>
      </w:r>
      <w:r w:rsidR="009A7522">
        <w:t xml:space="preserve"> (figure 10)</w:t>
      </w:r>
      <w:r w:rsidR="00DF4453">
        <w:t>.</w:t>
      </w:r>
      <w:r w:rsidR="0013296D">
        <w:t xml:space="preserve"> </w:t>
      </w:r>
    </w:p>
    <w:p w:rsidR="00F46B3B" w:rsidRDefault="00E65912" w:rsidP="00F46B3B">
      <w:pPr>
        <w:pStyle w:val="Para1"/>
        <w:numPr>
          <w:ilvl w:val="0"/>
          <w:numId w:val="0"/>
        </w:numPr>
      </w:pPr>
      <w:r>
        <w:rPr>
          <w:noProof/>
          <w:lang w:val="en-CA" w:eastAsia="en-CA"/>
        </w:rPr>
        <mc:AlternateContent>
          <mc:Choice Requires="wpg">
            <w:drawing>
              <wp:anchor distT="0" distB="0" distL="114300" distR="114300" simplePos="0" relativeHeight="251680256" behindDoc="0" locked="0" layoutInCell="1" allowOverlap="1" wp14:anchorId="69A57751" wp14:editId="0BDF53B1">
                <wp:simplePos x="0" y="0"/>
                <wp:positionH relativeFrom="column">
                  <wp:posOffset>102235</wp:posOffset>
                </wp:positionH>
                <wp:positionV relativeFrom="paragraph">
                  <wp:posOffset>26035</wp:posOffset>
                </wp:positionV>
                <wp:extent cx="5544820" cy="1725930"/>
                <wp:effectExtent l="0" t="0" r="0" b="0"/>
                <wp:wrapTight wrapText="bothSides">
                  <wp:wrapPolygon edited="0">
                    <wp:start x="5417" y="238"/>
                    <wp:lineTo x="3785" y="715"/>
                    <wp:lineTo x="3933" y="1669"/>
                    <wp:lineTo x="10760" y="4530"/>
                    <wp:lineTo x="3191" y="5245"/>
                    <wp:lineTo x="3191" y="7391"/>
                    <wp:lineTo x="10760" y="8344"/>
                    <wp:lineTo x="9870" y="8344"/>
                    <wp:lineTo x="9647" y="9060"/>
                    <wp:lineTo x="9721" y="12159"/>
                    <wp:lineTo x="2523" y="14066"/>
                    <wp:lineTo x="2523" y="15497"/>
                    <wp:lineTo x="6382" y="15974"/>
                    <wp:lineTo x="5046" y="18358"/>
                    <wp:lineTo x="4601" y="19550"/>
                    <wp:lineTo x="4601" y="20503"/>
                    <wp:lineTo x="5863" y="20503"/>
                    <wp:lineTo x="5863" y="19788"/>
                    <wp:lineTo x="15955" y="18596"/>
                    <wp:lineTo x="15955" y="17166"/>
                    <wp:lineTo x="7569" y="15974"/>
                    <wp:lineTo x="8905" y="15974"/>
                    <wp:lineTo x="14619" y="12874"/>
                    <wp:lineTo x="14619" y="12159"/>
                    <wp:lineTo x="18998" y="10252"/>
                    <wp:lineTo x="18849" y="9060"/>
                    <wp:lineTo x="10760" y="8344"/>
                    <wp:lineTo x="15955" y="7391"/>
                    <wp:lineTo x="15955" y="5245"/>
                    <wp:lineTo x="10760" y="4530"/>
                    <wp:lineTo x="17068" y="1907"/>
                    <wp:lineTo x="17365" y="1192"/>
                    <wp:lineTo x="16623" y="238"/>
                    <wp:lineTo x="5417" y="238"/>
                  </wp:wrapPolygon>
                </wp:wrapTight>
                <wp:docPr id="19" name="Group 19"/>
                <wp:cNvGraphicFramePr/>
                <a:graphic xmlns:a="http://schemas.openxmlformats.org/drawingml/2006/main">
                  <a:graphicData uri="http://schemas.microsoft.com/office/word/2010/wordprocessingGroup">
                    <wpg:wgp>
                      <wpg:cNvGrpSpPr/>
                      <wpg:grpSpPr>
                        <a:xfrm>
                          <a:off x="0" y="0"/>
                          <a:ext cx="5544820" cy="1725930"/>
                          <a:chOff x="-1" y="0"/>
                          <a:chExt cx="5544923" cy="1234139"/>
                        </a:xfrm>
                      </wpg:grpSpPr>
                      <wpg:graphicFrame>
                        <wpg:cNvPr id="18" name="Chart 18"/>
                        <wpg:cNvFrPr/>
                        <wpg:xfrm>
                          <a:off x="2926080" y="0"/>
                          <a:ext cx="2618842" cy="1234139"/>
                        </wpg:xfrm>
                        <a:graphic>
                          <a:graphicData uri="http://schemas.openxmlformats.org/drawingml/2006/chart">
                            <c:chart xmlns:c="http://schemas.openxmlformats.org/drawingml/2006/chart" xmlns:r="http://schemas.openxmlformats.org/officeDocument/2006/relationships" r:id="rId49"/>
                          </a:graphicData>
                        </a:graphic>
                      </wpg:graphicFrame>
                      <wpg:graphicFrame>
                        <wpg:cNvPr id="17" name="Chart 17"/>
                        <wpg:cNvFrPr/>
                        <wpg:xfrm>
                          <a:off x="-1" y="0"/>
                          <a:ext cx="2991917" cy="1234139"/>
                        </wpg:xfrm>
                        <a:graphic>
                          <a:graphicData uri="http://schemas.openxmlformats.org/drawingml/2006/chart">
                            <c:chart xmlns:c="http://schemas.openxmlformats.org/drawingml/2006/chart" xmlns:r="http://schemas.openxmlformats.org/officeDocument/2006/relationships" r:id="rId50"/>
                          </a:graphicData>
                        </a:graphic>
                      </wpg:graphicFrame>
                    </wpg:wgp>
                  </a:graphicData>
                </a:graphic>
                <wp14:sizeRelV relativeFrom="margin">
                  <wp14:pctHeight>0</wp14:pctHeight>
                </wp14:sizeRelV>
              </wp:anchor>
            </w:drawing>
          </mc:Choice>
          <mc:Fallback>
            <w:pict>
              <v:group w14:anchorId="37CECA1A" id="Group 19" o:spid="_x0000_s1026" style="position:absolute;margin-left:8.05pt;margin-top:2.05pt;width:436.6pt;height:135.9pt;z-index:251680256;mso-height-relative:margin" coordorigin="" coordsize="55449,12341"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">
                <v:shape id="Chart 18" o:spid="_x0000_s1027" type="#_x0000_t75" style="position:absolute;left:29261;width:26213;height:12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">
                  <v:imagedata r:id="rId51" o:title=""/>
                  <o:lock v:ext="edit" aspectratio="f"/>
                </v:shape>
                <v:shape id="Chart 17" o:spid="_x0000_s1028" type="#_x0000_t75" style="position:absolute;width:29931;height:12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">
                  <v:imagedata r:id="rId52" o:title=""/>
                  <o:lock v:ext="edit" aspectratio="f"/>
                </v:shape>
                <w10:wrap type="tight"/>
              </v:group>
            </w:pict>
          </mc:Fallback>
        </mc:AlternateContent>
      </w:r>
      <w:r>
        <w:rPr>
          <w:noProof/>
          <w:lang w:val="en-CA" w:eastAsia="en-CA"/>
        </w:rPr>
        <mc:AlternateContent>
          <mc:Choice Requires="wps">
            <w:drawing>
              <wp:anchor distT="0" distB="0" distL="114300" distR="114300" simplePos="0" relativeHeight="251682304" behindDoc="0" locked="0" layoutInCell="1" allowOverlap="1" wp14:anchorId="2EE06B6D" wp14:editId="72860584">
                <wp:simplePos x="0" y="0"/>
                <wp:positionH relativeFrom="column">
                  <wp:posOffset>2420620</wp:posOffset>
                </wp:positionH>
                <wp:positionV relativeFrom="paragraph">
                  <wp:posOffset>152400</wp:posOffset>
                </wp:positionV>
                <wp:extent cx="892175" cy="335915"/>
                <wp:effectExtent l="0" t="0" r="0" b="6985"/>
                <wp:wrapNone/>
                <wp:docPr id="20" name="Text Box 20"/>
                <wp:cNvGraphicFramePr/>
                <a:graphic xmlns:a="http://schemas.openxmlformats.org/drawingml/2006/main">
                  <a:graphicData uri="http://schemas.microsoft.com/office/word/2010/wordprocessingShape">
                    <wps:wsp>
                      <wps:cNvSpPr txBox="1"/>
                      <wps:spPr>
                        <a:xfrm>
                          <a:off x="0" y="0"/>
                          <a:ext cx="89217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58F" w:rsidRPr="009964B8" w:rsidRDefault="009F758F" w:rsidP="009964B8">
                            <w:pPr>
                              <w:jc w:val="left"/>
                              <w:rPr>
                                <w:rFonts w:asciiTheme="minorHAnsi" w:hAnsiTheme="minorHAnsi"/>
                                <w:sz w:val="16"/>
                                <w:lang w:val="en-US"/>
                              </w:rPr>
                            </w:pPr>
                            <w:r w:rsidRPr="009964B8">
                              <w:rPr>
                                <w:rFonts w:asciiTheme="minorHAnsi" w:hAnsiTheme="minorHAnsi"/>
                                <w:sz w:val="16"/>
                                <w:lang w:val="en-US"/>
                              </w:rPr>
                              <w:t>% of PA network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06B6D" id="Text Box 20" o:spid="_x0000_s1028" type="#_x0000_t202" style="position:absolute;left:0;text-align:left;margin-left:190.6pt;margin-top:12pt;width:70.25pt;height:2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" filled="f" stroked="f" strokeweight=".5pt">
                <v:textbox>
                  <w:txbxContent>
                    <w:p w:rsidR="009F758F" w:rsidRPr="009964B8" w:rsidRDefault="009F758F" w:rsidP="009964B8">
                      <w:pPr>
                        <w:jc w:val="left"/>
                        <w:rPr>
                          <w:rFonts w:asciiTheme="minorHAnsi" w:hAnsiTheme="minorHAnsi"/>
                          <w:sz w:val="16"/>
                          <w:lang w:val="en-US"/>
                        </w:rPr>
                      </w:pPr>
                      <w:r w:rsidRPr="009964B8">
                        <w:rPr>
                          <w:rFonts w:asciiTheme="minorHAnsi" w:hAnsiTheme="minorHAnsi"/>
                          <w:sz w:val="16"/>
                          <w:lang w:val="en-US"/>
                        </w:rPr>
                        <w:t>% of PA network assessed</w:t>
                      </w:r>
                    </w:p>
                  </w:txbxContent>
                </v:textbox>
              </v:shape>
            </w:pict>
          </mc:Fallback>
        </mc:AlternateContent>
      </w:r>
    </w:p>
    <w:p w:rsidR="0005616A" w:rsidRDefault="0005616A" w:rsidP="00F46B3B">
      <w:pPr>
        <w:pStyle w:val="Para1"/>
        <w:numPr>
          <w:ilvl w:val="0"/>
          <w:numId w:val="0"/>
        </w:numPr>
      </w:pPr>
    </w:p>
    <w:p w:rsidR="0005616A" w:rsidRDefault="0005616A" w:rsidP="00F46B3B">
      <w:pPr>
        <w:pStyle w:val="Para1"/>
        <w:numPr>
          <w:ilvl w:val="0"/>
          <w:numId w:val="0"/>
        </w:numPr>
      </w:pPr>
    </w:p>
    <w:p w:rsidR="0005616A" w:rsidRDefault="0005616A" w:rsidP="00F46B3B">
      <w:pPr>
        <w:pStyle w:val="Para1"/>
        <w:numPr>
          <w:ilvl w:val="0"/>
          <w:numId w:val="0"/>
        </w:numPr>
      </w:pPr>
    </w:p>
    <w:p w:rsidR="0005616A" w:rsidRDefault="0005616A" w:rsidP="00F46B3B">
      <w:pPr>
        <w:pStyle w:val="Para1"/>
        <w:numPr>
          <w:ilvl w:val="0"/>
          <w:numId w:val="0"/>
        </w:numPr>
      </w:pPr>
    </w:p>
    <w:p w:rsidR="0005616A" w:rsidRDefault="0005616A" w:rsidP="00F46B3B">
      <w:pPr>
        <w:pStyle w:val="Para1"/>
        <w:numPr>
          <w:ilvl w:val="0"/>
          <w:numId w:val="0"/>
        </w:numPr>
      </w:pPr>
    </w:p>
    <w:p w:rsidR="00EE0458" w:rsidRDefault="00EE0458" w:rsidP="00F46B3B">
      <w:pPr>
        <w:pStyle w:val="Para1"/>
        <w:numPr>
          <w:ilvl w:val="0"/>
          <w:numId w:val="0"/>
        </w:numPr>
      </w:pPr>
    </w:p>
    <w:p w:rsidR="00EE0458" w:rsidRDefault="00EE0458" w:rsidP="00F46B3B">
      <w:pPr>
        <w:pStyle w:val="Para1"/>
        <w:numPr>
          <w:ilvl w:val="0"/>
          <w:numId w:val="0"/>
        </w:numPr>
      </w:pPr>
    </w:p>
    <w:p w:rsidR="00F46B3B" w:rsidRPr="00F46B3B" w:rsidRDefault="00F46B3B" w:rsidP="00F46B3B">
      <w:pPr>
        <w:pStyle w:val="Para1"/>
        <w:numPr>
          <w:ilvl w:val="0"/>
          <w:numId w:val="0"/>
        </w:numPr>
        <w:jc w:val="center"/>
        <w:rPr>
          <w:sz w:val="18"/>
        </w:rPr>
      </w:pPr>
      <w:r>
        <w:rPr>
          <w:b/>
          <w:sz w:val="18"/>
        </w:rPr>
        <w:t xml:space="preserve">Figure </w:t>
      </w:r>
      <w:r w:rsidR="009A7522">
        <w:rPr>
          <w:b/>
          <w:sz w:val="18"/>
        </w:rPr>
        <w:t>10</w:t>
      </w:r>
      <w:r w:rsidRPr="002C1000">
        <w:rPr>
          <w:b/>
          <w:sz w:val="18"/>
        </w:rPr>
        <w:t xml:space="preserve">. </w:t>
      </w:r>
      <w:r w:rsidRPr="002C1000">
        <w:rPr>
          <w:sz w:val="18"/>
        </w:rPr>
        <w:t>Percent</w:t>
      </w:r>
      <w:r w:rsidR="00761069">
        <w:rPr>
          <w:sz w:val="18"/>
        </w:rPr>
        <w:t>age</w:t>
      </w:r>
      <w:r w:rsidRPr="002C1000">
        <w:rPr>
          <w:sz w:val="18"/>
        </w:rPr>
        <w:t xml:space="preserve"> of </w:t>
      </w:r>
      <w:r w:rsidR="00A8331B" w:rsidRPr="002C1000">
        <w:rPr>
          <w:sz w:val="18"/>
        </w:rPr>
        <w:t xml:space="preserve">countries </w:t>
      </w:r>
      <w:r w:rsidR="004B5C2C" w:rsidRPr="002C1000">
        <w:rPr>
          <w:sz w:val="18"/>
        </w:rPr>
        <w:t xml:space="preserve">with varying levels of progress towards the 60% </w:t>
      </w:r>
      <w:r w:rsidR="0013296D" w:rsidRPr="002C1000">
        <w:rPr>
          <w:sz w:val="18"/>
        </w:rPr>
        <w:t xml:space="preserve">management effectiveness </w:t>
      </w:r>
      <w:r w:rsidRPr="002C1000">
        <w:rPr>
          <w:sz w:val="18"/>
        </w:rPr>
        <w:t>assessment</w:t>
      </w:r>
      <w:r w:rsidR="002C1000" w:rsidRPr="002C1000">
        <w:rPr>
          <w:sz w:val="18"/>
        </w:rPr>
        <w:t xml:space="preserve"> target, a</w:t>
      </w:r>
      <w:r w:rsidRPr="002C1000">
        <w:rPr>
          <w:sz w:val="18"/>
        </w:rPr>
        <w:t>s</w:t>
      </w:r>
      <w:r w:rsidR="002C1000" w:rsidRPr="002C1000">
        <w:rPr>
          <w:sz w:val="18"/>
        </w:rPr>
        <w:t xml:space="preserve"> per information contained in</w:t>
      </w:r>
      <w:r w:rsidR="00A8331B" w:rsidRPr="002C1000">
        <w:rPr>
          <w:sz w:val="18"/>
        </w:rPr>
        <w:t xml:space="preserve"> the GD-PAME</w:t>
      </w:r>
      <w:r w:rsidR="002C1000" w:rsidRPr="002C1000">
        <w:rPr>
          <w:sz w:val="18"/>
        </w:rPr>
        <w:t xml:space="preserve"> in May 2018.</w:t>
      </w:r>
      <w:r w:rsidR="002C1000">
        <w:rPr>
          <w:rStyle w:val="FootnoteReference"/>
        </w:rPr>
        <w:footnoteReference w:id="76"/>
      </w:r>
    </w:p>
    <w:p w:rsidR="00E65912" w:rsidRDefault="00E65912" w:rsidP="001E3D3A">
      <w:pPr>
        <w:pStyle w:val="Para1"/>
      </w:pPr>
      <w:r>
        <w:t xml:space="preserve">Commitments for improving the effective management of protected areas </w:t>
      </w:r>
      <w:r w:rsidRPr="009964B8">
        <w:t>have been submitted in the roadmaps of 95 Parties</w:t>
      </w:r>
      <w:r>
        <w:t xml:space="preserve">. These include 240 individual </w:t>
      </w:r>
      <w:r w:rsidR="009A7522">
        <w:t xml:space="preserve">national </w:t>
      </w:r>
      <w:r>
        <w:t xml:space="preserve">priority actions, and contain a range of commitments to improve management effectiveness in protected area networks, including: over 70 actions relating to protected area management plans, more than 45 actions involving management effectiveness </w:t>
      </w:r>
      <w:r>
        <w:lastRenderedPageBreak/>
        <w:t>evaluations, and over 100 other actions aimed at general improvements to protected area management effectiveness.</w:t>
      </w:r>
    </w:p>
    <w:p w:rsidR="0013296D" w:rsidRDefault="006F70E2" w:rsidP="001E3D3A">
      <w:pPr>
        <w:pStyle w:val="Para1"/>
      </w:pPr>
      <w:r>
        <w:t xml:space="preserve">A large number of </w:t>
      </w:r>
      <w:r w:rsidR="00F55CFD">
        <w:t xml:space="preserve">GEF-5 and GEF-6 </w:t>
      </w:r>
      <w:r>
        <w:t xml:space="preserve">projects </w:t>
      </w:r>
      <w:r w:rsidR="009964B8">
        <w:t xml:space="preserve">also </w:t>
      </w:r>
      <w:r>
        <w:t xml:space="preserve">provide for the improved management effectiveness of existing protected areas, as well as the assessment of </w:t>
      </w:r>
      <w:r w:rsidR="00F55CFD">
        <w:t xml:space="preserve">protected area management effectiveness for newly designated sites. </w:t>
      </w:r>
      <w:r w:rsidR="00AA7AFB">
        <w:t xml:space="preserve">Table </w:t>
      </w:r>
      <w:r w:rsidR="00C94376">
        <w:t>2</w:t>
      </w:r>
      <w:r w:rsidR="00AA7AFB">
        <w:t xml:space="preserve"> provides a few examples of the expected outputs of approved</w:t>
      </w:r>
      <w:r>
        <w:t xml:space="preserve"> GEF-5 and GEF-6</w:t>
      </w:r>
      <w:r w:rsidR="009964B8">
        <w:t xml:space="preserve"> projects</w:t>
      </w:r>
      <w:r w:rsidR="00AA7AFB">
        <w:t xml:space="preserve">. </w:t>
      </w:r>
    </w:p>
    <w:p w:rsidR="00C0510A" w:rsidRPr="00C0510A" w:rsidRDefault="00C0510A" w:rsidP="00C0510A">
      <w:pPr>
        <w:pStyle w:val="Para1"/>
        <w:numPr>
          <w:ilvl w:val="0"/>
          <w:numId w:val="0"/>
        </w:numPr>
        <w:rPr>
          <w:b/>
          <w:sz w:val="20"/>
        </w:rPr>
      </w:pPr>
      <w:r w:rsidRPr="00C0510A">
        <w:rPr>
          <w:b/>
          <w:sz w:val="20"/>
        </w:rPr>
        <w:t xml:space="preserve">Table </w:t>
      </w:r>
      <w:r w:rsidR="00C94376">
        <w:rPr>
          <w:b/>
          <w:sz w:val="20"/>
        </w:rPr>
        <w:t>2</w:t>
      </w:r>
      <w:r w:rsidRPr="00C0510A">
        <w:rPr>
          <w:b/>
          <w:sz w:val="20"/>
        </w:rPr>
        <w:t xml:space="preserve"> </w:t>
      </w:r>
      <w:r w:rsidR="00F819BB">
        <w:rPr>
          <w:sz w:val="20"/>
        </w:rPr>
        <w:t xml:space="preserve">Examples of GEF-5 and GEF-6 projects </w:t>
      </w:r>
      <w:r w:rsidR="00761069">
        <w:rPr>
          <w:sz w:val="20"/>
        </w:rPr>
        <w:t>that included</w:t>
      </w:r>
      <w:r w:rsidR="00F819BB">
        <w:rPr>
          <w:sz w:val="20"/>
        </w:rPr>
        <w:t xml:space="preserve"> protected area management effectiveness.</w:t>
      </w:r>
    </w:p>
    <w:tbl>
      <w:tblPr>
        <w:tblStyle w:val="TableGrid"/>
        <w:tblpPr w:leftFromText="180" w:rightFromText="180" w:vertAnchor="text" w:horzAnchor="margin" w:tblpY="6"/>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1170"/>
        <w:gridCol w:w="6750"/>
      </w:tblGrid>
      <w:tr w:rsidR="00C0510A" w:rsidTr="0042237A">
        <w:trPr>
          <w:trHeight w:val="581"/>
        </w:trPr>
        <w:tc>
          <w:tcPr>
            <w:tcW w:w="1818" w:type="dxa"/>
            <w:tcBorders>
              <w:top w:val="single" w:sz="18" w:space="0" w:color="auto"/>
              <w:bottom w:val="single" w:sz="12" w:space="0" w:color="auto"/>
            </w:tcBorders>
            <w:vAlign w:val="center"/>
          </w:tcPr>
          <w:p w:rsidR="00C0510A" w:rsidRDefault="00C0510A" w:rsidP="00E4410B">
            <w:pPr>
              <w:pStyle w:val="Para1"/>
              <w:numPr>
                <w:ilvl w:val="0"/>
                <w:numId w:val="0"/>
              </w:numPr>
              <w:jc w:val="left"/>
              <w:rPr>
                <w:b/>
                <w:sz w:val="20"/>
              </w:rPr>
            </w:pPr>
            <w:r>
              <w:rPr>
                <w:b/>
                <w:sz w:val="20"/>
              </w:rPr>
              <w:t>Country</w:t>
            </w:r>
          </w:p>
        </w:tc>
        <w:tc>
          <w:tcPr>
            <w:tcW w:w="1170" w:type="dxa"/>
            <w:tcBorders>
              <w:top w:val="single" w:sz="18" w:space="0" w:color="auto"/>
              <w:bottom w:val="single" w:sz="12" w:space="0" w:color="auto"/>
            </w:tcBorders>
          </w:tcPr>
          <w:p w:rsidR="00C0510A" w:rsidRDefault="00C0510A" w:rsidP="00C0510A">
            <w:pPr>
              <w:pStyle w:val="Para1"/>
              <w:numPr>
                <w:ilvl w:val="0"/>
                <w:numId w:val="0"/>
              </w:numPr>
              <w:jc w:val="left"/>
              <w:rPr>
                <w:b/>
                <w:sz w:val="20"/>
              </w:rPr>
            </w:pPr>
            <w:r>
              <w:rPr>
                <w:b/>
                <w:sz w:val="20"/>
              </w:rPr>
              <w:t>GEF project ID</w:t>
            </w:r>
          </w:p>
        </w:tc>
        <w:tc>
          <w:tcPr>
            <w:tcW w:w="6750" w:type="dxa"/>
            <w:tcBorders>
              <w:top w:val="single" w:sz="18" w:space="0" w:color="auto"/>
              <w:bottom w:val="single" w:sz="12" w:space="0" w:color="auto"/>
            </w:tcBorders>
          </w:tcPr>
          <w:p w:rsidR="00C0510A" w:rsidRDefault="00E4410B" w:rsidP="00E4410B">
            <w:pPr>
              <w:pStyle w:val="Para1"/>
              <w:numPr>
                <w:ilvl w:val="0"/>
                <w:numId w:val="0"/>
              </w:numPr>
              <w:jc w:val="left"/>
              <w:rPr>
                <w:b/>
                <w:sz w:val="20"/>
              </w:rPr>
            </w:pPr>
            <w:r>
              <w:rPr>
                <w:b/>
                <w:sz w:val="20"/>
              </w:rPr>
              <w:t>Expected project output with impacts for protected area management effectiveness</w:t>
            </w:r>
          </w:p>
        </w:tc>
      </w:tr>
      <w:tr w:rsidR="00761069" w:rsidTr="00767AF4">
        <w:trPr>
          <w:trHeight w:val="945"/>
        </w:trPr>
        <w:tc>
          <w:tcPr>
            <w:tcW w:w="1818" w:type="dxa"/>
            <w:tcBorders>
              <w:top w:val="single" w:sz="12" w:space="0" w:color="auto"/>
            </w:tcBorders>
            <w:vAlign w:val="center"/>
          </w:tcPr>
          <w:p w:rsidR="00761069" w:rsidRPr="00AA7AFB" w:rsidRDefault="00761069" w:rsidP="009A7522">
            <w:pPr>
              <w:jc w:val="left"/>
              <w:rPr>
                <w:sz w:val="18"/>
              </w:rPr>
            </w:pPr>
            <w:r>
              <w:rPr>
                <w:sz w:val="18"/>
              </w:rPr>
              <w:t>China</w:t>
            </w:r>
          </w:p>
        </w:tc>
        <w:tc>
          <w:tcPr>
            <w:tcW w:w="1170" w:type="dxa"/>
            <w:tcBorders>
              <w:top w:val="single" w:sz="12" w:space="0" w:color="auto"/>
            </w:tcBorders>
            <w:vAlign w:val="center"/>
          </w:tcPr>
          <w:p w:rsidR="00761069" w:rsidRPr="00AA7AFB" w:rsidRDefault="00761069" w:rsidP="009A7522">
            <w:pPr>
              <w:pStyle w:val="Para1"/>
              <w:numPr>
                <w:ilvl w:val="0"/>
                <w:numId w:val="0"/>
              </w:numPr>
              <w:jc w:val="left"/>
              <w:rPr>
                <w:sz w:val="18"/>
              </w:rPr>
            </w:pPr>
            <w:r>
              <w:rPr>
                <w:sz w:val="18"/>
              </w:rPr>
              <w:t>4868</w:t>
            </w:r>
          </w:p>
        </w:tc>
        <w:tc>
          <w:tcPr>
            <w:tcW w:w="6750" w:type="dxa"/>
            <w:tcBorders>
              <w:top w:val="single" w:sz="12" w:space="0" w:color="auto"/>
            </w:tcBorders>
            <w:vAlign w:val="center"/>
          </w:tcPr>
          <w:p w:rsidR="00761069" w:rsidRPr="00761069" w:rsidRDefault="00761069" w:rsidP="009A7522">
            <w:pPr>
              <w:jc w:val="left"/>
              <w:rPr>
                <w:rFonts w:eastAsia="MS Mincho"/>
                <w:bCs/>
                <w:sz w:val="12"/>
                <w:szCs w:val="22"/>
              </w:rPr>
            </w:pPr>
          </w:p>
          <w:p w:rsidR="00761069" w:rsidRPr="0042237A" w:rsidRDefault="00761069" w:rsidP="009A7522">
            <w:pPr>
              <w:jc w:val="left"/>
              <w:rPr>
                <w:rFonts w:eastAsia="MS Mincho"/>
                <w:bCs/>
                <w:sz w:val="18"/>
                <w:szCs w:val="22"/>
              </w:rPr>
            </w:pPr>
            <w:r w:rsidRPr="00761069">
              <w:rPr>
                <w:rFonts w:eastAsia="MS Mincho"/>
                <w:bCs/>
                <w:sz w:val="18"/>
                <w:szCs w:val="22"/>
              </w:rPr>
              <w:t>Strengthened management of Daxing’anling wetland PA Complex provides effective landscape level biodiversity conservation indicated by: (i) improvement in the average METT scores of the PAs; (ii) improvement in the biodiversity health index2 especially designed for the PAs in the landscape</w:t>
            </w:r>
          </w:p>
        </w:tc>
      </w:tr>
      <w:tr w:rsidR="00761069" w:rsidTr="00180050">
        <w:trPr>
          <w:trHeight w:val="957"/>
        </w:trPr>
        <w:tc>
          <w:tcPr>
            <w:tcW w:w="1818" w:type="dxa"/>
            <w:vAlign w:val="center"/>
          </w:tcPr>
          <w:p w:rsidR="00761069" w:rsidRPr="00AA7AFB" w:rsidRDefault="00761069" w:rsidP="009A7522">
            <w:pPr>
              <w:jc w:val="left"/>
              <w:rPr>
                <w:sz w:val="18"/>
              </w:rPr>
            </w:pPr>
            <w:r w:rsidRPr="00AA7AFB">
              <w:rPr>
                <w:sz w:val="18"/>
              </w:rPr>
              <w:t>Colombia</w:t>
            </w:r>
          </w:p>
        </w:tc>
        <w:tc>
          <w:tcPr>
            <w:tcW w:w="1170" w:type="dxa"/>
            <w:vAlign w:val="center"/>
          </w:tcPr>
          <w:p w:rsidR="00761069" w:rsidRPr="00AA7AFB" w:rsidRDefault="00761069" w:rsidP="009A7522">
            <w:pPr>
              <w:pStyle w:val="Para1"/>
              <w:numPr>
                <w:ilvl w:val="0"/>
                <w:numId w:val="0"/>
              </w:numPr>
              <w:jc w:val="left"/>
              <w:rPr>
                <w:sz w:val="18"/>
              </w:rPr>
            </w:pPr>
            <w:r w:rsidRPr="00AA7AFB">
              <w:rPr>
                <w:sz w:val="18"/>
              </w:rPr>
              <w:t>5560</w:t>
            </w:r>
          </w:p>
        </w:tc>
        <w:tc>
          <w:tcPr>
            <w:tcW w:w="6750" w:type="dxa"/>
            <w:vAlign w:val="center"/>
          </w:tcPr>
          <w:p w:rsidR="00761069" w:rsidRPr="00761069" w:rsidRDefault="00761069" w:rsidP="009A7522">
            <w:pPr>
              <w:jc w:val="left"/>
              <w:rPr>
                <w:rFonts w:eastAsia="MS Mincho"/>
                <w:bCs/>
                <w:sz w:val="12"/>
                <w:szCs w:val="22"/>
              </w:rPr>
            </w:pPr>
          </w:p>
          <w:p w:rsidR="00761069" w:rsidRPr="0042237A" w:rsidRDefault="00761069" w:rsidP="009A7522">
            <w:pPr>
              <w:jc w:val="left"/>
              <w:rPr>
                <w:rFonts w:eastAsia="MS Mincho"/>
                <w:bCs/>
                <w:sz w:val="18"/>
                <w:szCs w:val="22"/>
              </w:rPr>
            </w:pPr>
            <w:r w:rsidRPr="00AA7AFB">
              <w:rPr>
                <w:rFonts w:eastAsia="MS Mincho"/>
                <w:bCs/>
                <w:sz w:val="18"/>
                <w:szCs w:val="22"/>
              </w:rPr>
              <w:t>1.2 million hectares of existing PAs meet or exceed their management effectiveness targets, and 2.7 million hectares of Amazon Protected Areas (including some of the new and existing PAs) meet their targets for reducing the PA management funding gap of their financial plans</w:t>
            </w:r>
          </w:p>
        </w:tc>
      </w:tr>
      <w:tr w:rsidR="00C0510A" w:rsidTr="009A7522">
        <w:trPr>
          <w:trHeight w:val="633"/>
        </w:trPr>
        <w:tc>
          <w:tcPr>
            <w:tcW w:w="1818" w:type="dxa"/>
            <w:vAlign w:val="center"/>
          </w:tcPr>
          <w:p w:rsidR="00C0510A" w:rsidRPr="00AA7AFB" w:rsidRDefault="00C0510A" w:rsidP="009A7522">
            <w:pPr>
              <w:jc w:val="left"/>
              <w:rPr>
                <w:sz w:val="18"/>
              </w:rPr>
            </w:pPr>
            <w:r w:rsidRPr="00AA7AFB">
              <w:rPr>
                <w:sz w:val="18"/>
              </w:rPr>
              <w:t>Democratic Republic of Congo</w:t>
            </w:r>
          </w:p>
        </w:tc>
        <w:tc>
          <w:tcPr>
            <w:tcW w:w="1170" w:type="dxa"/>
            <w:vAlign w:val="center"/>
          </w:tcPr>
          <w:p w:rsidR="00C0510A" w:rsidRPr="00AA7AFB" w:rsidRDefault="00C0510A" w:rsidP="009A7522">
            <w:pPr>
              <w:pStyle w:val="Para1"/>
              <w:numPr>
                <w:ilvl w:val="0"/>
                <w:numId w:val="0"/>
              </w:numPr>
              <w:jc w:val="left"/>
              <w:rPr>
                <w:sz w:val="18"/>
              </w:rPr>
            </w:pPr>
            <w:r w:rsidRPr="00AA7AFB">
              <w:rPr>
                <w:sz w:val="18"/>
              </w:rPr>
              <w:t>4640</w:t>
            </w:r>
          </w:p>
        </w:tc>
        <w:tc>
          <w:tcPr>
            <w:tcW w:w="6750" w:type="dxa"/>
            <w:vAlign w:val="center"/>
          </w:tcPr>
          <w:p w:rsidR="00C0510A" w:rsidRPr="00AA7AFB" w:rsidRDefault="00C0510A" w:rsidP="009A7522">
            <w:pPr>
              <w:jc w:val="left"/>
              <w:rPr>
                <w:sz w:val="18"/>
              </w:rPr>
            </w:pPr>
            <w:r w:rsidRPr="00AA7AFB">
              <w:rPr>
                <w:sz w:val="18"/>
              </w:rPr>
              <w:t>Improved management effectiveness of three protected areas (Garamba NP, Kahuzi-BiegaNP &amp; Salonga NP), as indicated by METT.</w:t>
            </w:r>
          </w:p>
        </w:tc>
      </w:tr>
      <w:tr w:rsidR="00C0510A" w:rsidTr="009A7522">
        <w:trPr>
          <w:trHeight w:val="986"/>
        </w:trPr>
        <w:tc>
          <w:tcPr>
            <w:tcW w:w="1818" w:type="dxa"/>
            <w:vAlign w:val="center"/>
          </w:tcPr>
          <w:p w:rsidR="00C0510A" w:rsidRPr="00AA7AFB" w:rsidRDefault="00C0510A" w:rsidP="009A7522">
            <w:pPr>
              <w:jc w:val="left"/>
              <w:rPr>
                <w:sz w:val="18"/>
              </w:rPr>
            </w:pPr>
            <w:r w:rsidRPr="00AA7AFB">
              <w:rPr>
                <w:sz w:val="18"/>
              </w:rPr>
              <w:t>Guatemala</w:t>
            </w:r>
          </w:p>
        </w:tc>
        <w:tc>
          <w:tcPr>
            <w:tcW w:w="1170" w:type="dxa"/>
            <w:vAlign w:val="center"/>
          </w:tcPr>
          <w:p w:rsidR="00C0510A" w:rsidRPr="00AA7AFB" w:rsidRDefault="00C0510A" w:rsidP="009A7522">
            <w:pPr>
              <w:pStyle w:val="Para1"/>
              <w:numPr>
                <w:ilvl w:val="0"/>
                <w:numId w:val="0"/>
              </w:numPr>
              <w:jc w:val="left"/>
              <w:rPr>
                <w:sz w:val="18"/>
              </w:rPr>
            </w:pPr>
            <w:r w:rsidRPr="00AA7AFB">
              <w:rPr>
                <w:sz w:val="18"/>
              </w:rPr>
              <w:t>9059</w:t>
            </w:r>
          </w:p>
        </w:tc>
        <w:tc>
          <w:tcPr>
            <w:tcW w:w="6750" w:type="dxa"/>
            <w:vAlign w:val="center"/>
          </w:tcPr>
          <w:p w:rsidR="00C0510A" w:rsidRPr="00AA7AFB" w:rsidRDefault="00C0510A" w:rsidP="009A7522">
            <w:pPr>
              <w:jc w:val="left"/>
              <w:rPr>
                <w:sz w:val="18"/>
              </w:rPr>
            </w:pPr>
            <w:r w:rsidRPr="00AA7AFB">
              <w:rPr>
                <w:sz w:val="18"/>
              </w:rPr>
              <w:t xml:space="preserve">Improvement of the management effectiveness for </w:t>
            </w:r>
            <w:r>
              <w:rPr>
                <w:sz w:val="18"/>
              </w:rPr>
              <w:t>6 national-level and 5 regional-</w:t>
            </w:r>
            <w:r w:rsidRPr="00AA7AFB">
              <w:rPr>
                <w:sz w:val="18"/>
              </w:rPr>
              <w:t>level PAs, as measured by METT; and at least a 15% increase in the management and technical capacity of 80 PA officials, municipal officials, and local communities, as measured by UNDP capacity development indicators.</w:t>
            </w:r>
          </w:p>
        </w:tc>
      </w:tr>
      <w:tr w:rsidR="00C0510A" w:rsidTr="009A7522">
        <w:trPr>
          <w:trHeight w:val="545"/>
        </w:trPr>
        <w:tc>
          <w:tcPr>
            <w:tcW w:w="1818" w:type="dxa"/>
            <w:vAlign w:val="center"/>
          </w:tcPr>
          <w:p w:rsidR="00C0510A" w:rsidRPr="00AA7AFB" w:rsidRDefault="00C0510A" w:rsidP="009A7522">
            <w:pPr>
              <w:jc w:val="left"/>
              <w:rPr>
                <w:sz w:val="18"/>
              </w:rPr>
            </w:pPr>
            <w:r w:rsidRPr="00AA7AFB">
              <w:rPr>
                <w:sz w:val="18"/>
              </w:rPr>
              <w:t>Kenya</w:t>
            </w:r>
          </w:p>
        </w:tc>
        <w:tc>
          <w:tcPr>
            <w:tcW w:w="1170" w:type="dxa"/>
            <w:vAlign w:val="center"/>
          </w:tcPr>
          <w:p w:rsidR="00C0510A" w:rsidRPr="00AA7AFB" w:rsidRDefault="00C0510A" w:rsidP="009A7522">
            <w:pPr>
              <w:pStyle w:val="Para1"/>
              <w:numPr>
                <w:ilvl w:val="0"/>
                <w:numId w:val="0"/>
              </w:numPr>
              <w:jc w:val="left"/>
              <w:rPr>
                <w:sz w:val="18"/>
              </w:rPr>
            </w:pPr>
            <w:r w:rsidRPr="00AA7AFB">
              <w:rPr>
                <w:sz w:val="18"/>
              </w:rPr>
              <w:t>4362</w:t>
            </w:r>
          </w:p>
        </w:tc>
        <w:tc>
          <w:tcPr>
            <w:tcW w:w="6750" w:type="dxa"/>
            <w:vAlign w:val="center"/>
          </w:tcPr>
          <w:p w:rsidR="00C0510A" w:rsidRPr="00AA7AFB" w:rsidRDefault="00C0510A" w:rsidP="009A7522">
            <w:pPr>
              <w:jc w:val="left"/>
              <w:rPr>
                <w:sz w:val="18"/>
              </w:rPr>
            </w:pPr>
            <w:r w:rsidRPr="00AA7AFB">
              <w:rPr>
                <w:sz w:val="18"/>
              </w:rPr>
              <w:t xml:space="preserve">Enhanced management effectiveness of </w:t>
            </w:r>
            <w:r>
              <w:rPr>
                <w:sz w:val="18"/>
              </w:rPr>
              <w:t>at least</w:t>
            </w:r>
            <w:r w:rsidRPr="00AA7AFB">
              <w:rPr>
                <w:sz w:val="18"/>
              </w:rPr>
              <w:t xml:space="preserve"> 6 </w:t>
            </w:r>
            <w:r>
              <w:rPr>
                <w:sz w:val="18"/>
              </w:rPr>
              <w:t>C</w:t>
            </w:r>
            <w:r w:rsidRPr="00AA7AFB">
              <w:rPr>
                <w:sz w:val="18"/>
              </w:rPr>
              <w:t>ommunity Conservancies (</w:t>
            </w:r>
            <w:r>
              <w:rPr>
                <w:sz w:val="18"/>
              </w:rPr>
              <w:t xml:space="preserve">a </w:t>
            </w:r>
            <w:r w:rsidRPr="00AA7AFB">
              <w:rPr>
                <w:sz w:val="18"/>
              </w:rPr>
              <w:t>20% increase in adapted METT scores).</w:t>
            </w:r>
          </w:p>
        </w:tc>
      </w:tr>
      <w:tr w:rsidR="00C0510A" w:rsidTr="009A7522">
        <w:trPr>
          <w:trHeight w:val="536"/>
        </w:trPr>
        <w:tc>
          <w:tcPr>
            <w:tcW w:w="1818" w:type="dxa"/>
            <w:tcBorders>
              <w:bottom w:val="single" w:sz="18" w:space="0" w:color="auto"/>
            </w:tcBorders>
            <w:vAlign w:val="center"/>
          </w:tcPr>
          <w:p w:rsidR="00C0510A" w:rsidRPr="00AA7AFB" w:rsidRDefault="00C0510A" w:rsidP="009A7522">
            <w:pPr>
              <w:jc w:val="left"/>
              <w:rPr>
                <w:sz w:val="18"/>
              </w:rPr>
            </w:pPr>
            <w:r w:rsidRPr="00AA7AFB">
              <w:rPr>
                <w:sz w:val="18"/>
              </w:rPr>
              <w:t>Philippines</w:t>
            </w:r>
          </w:p>
        </w:tc>
        <w:tc>
          <w:tcPr>
            <w:tcW w:w="1170" w:type="dxa"/>
            <w:tcBorders>
              <w:bottom w:val="single" w:sz="18" w:space="0" w:color="auto"/>
            </w:tcBorders>
            <w:vAlign w:val="center"/>
          </w:tcPr>
          <w:p w:rsidR="00C0510A" w:rsidRPr="00AA7AFB" w:rsidRDefault="00C0510A" w:rsidP="009A7522">
            <w:pPr>
              <w:pStyle w:val="Para1"/>
              <w:numPr>
                <w:ilvl w:val="0"/>
                <w:numId w:val="0"/>
              </w:numPr>
              <w:jc w:val="left"/>
              <w:rPr>
                <w:sz w:val="18"/>
              </w:rPr>
            </w:pPr>
            <w:r w:rsidRPr="00AA7AFB">
              <w:rPr>
                <w:sz w:val="18"/>
              </w:rPr>
              <w:t>4338</w:t>
            </w:r>
          </w:p>
        </w:tc>
        <w:tc>
          <w:tcPr>
            <w:tcW w:w="6750" w:type="dxa"/>
            <w:tcBorders>
              <w:bottom w:val="single" w:sz="18" w:space="0" w:color="auto"/>
            </w:tcBorders>
            <w:vAlign w:val="center"/>
          </w:tcPr>
          <w:p w:rsidR="00C0510A" w:rsidRPr="00AA7AFB" w:rsidRDefault="00C0510A" w:rsidP="009A7522">
            <w:pPr>
              <w:jc w:val="left"/>
              <w:rPr>
                <w:sz w:val="18"/>
              </w:rPr>
            </w:pPr>
            <w:r w:rsidRPr="00AA7AFB">
              <w:rPr>
                <w:sz w:val="18"/>
              </w:rPr>
              <w:t>A 40% increase in PA management effectiveness, as recorded by METT.</w:t>
            </w:r>
          </w:p>
        </w:tc>
      </w:tr>
    </w:tbl>
    <w:p w:rsidR="00A1247D" w:rsidRDefault="00A1247D" w:rsidP="00180050">
      <w:pPr>
        <w:pStyle w:val="Para1"/>
      </w:pPr>
      <w:r>
        <w:t xml:space="preserve">There are </w:t>
      </w:r>
      <w:r w:rsidR="009A7522">
        <w:t xml:space="preserve">also </w:t>
      </w:r>
      <w:r>
        <w:t>some</w:t>
      </w:r>
      <w:r w:rsidR="009A7522">
        <w:t xml:space="preserve"> other </w:t>
      </w:r>
      <w:r>
        <w:t>bilateral</w:t>
      </w:r>
      <w:r w:rsidR="009A7522">
        <w:t>-funded</w:t>
      </w:r>
      <w:r>
        <w:t xml:space="preserve"> projects which </w:t>
      </w:r>
      <w:r w:rsidR="009A7522">
        <w:t xml:space="preserve">will </w:t>
      </w:r>
      <w:r>
        <w:t>also have implications for improving management effectiveness</w:t>
      </w:r>
      <w:r w:rsidR="00956525">
        <w:t xml:space="preserve"> in protected areas</w:t>
      </w:r>
      <w:r>
        <w:t xml:space="preserve">. </w:t>
      </w:r>
      <w:r w:rsidRPr="00CD3B28">
        <w:t>Examples</w:t>
      </w:r>
      <w:r w:rsidR="0042237A">
        <w:t xml:space="preserve"> include</w:t>
      </w:r>
      <w:r w:rsidR="00CD3B28">
        <w:t xml:space="preserve"> the recently completed GIZ project, “P</w:t>
      </w:r>
      <w:r w:rsidR="00CD3B28" w:rsidRPr="00983896">
        <w:t>rotected area management enhancement in the Philippines</w:t>
      </w:r>
      <w:r w:rsidR="00CD3B28">
        <w:t>”</w:t>
      </w:r>
      <w:r w:rsidR="00180050">
        <w:t xml:space="preserve"> aimed at </w:t>
      </w:r>
      <w:r w:rsidR="00180050" w:rsidRPr="00180050">
        <w:t>survey</w:t>
      </w:r>
      <w:r w:rsidR="00180050">
        <w:t>ing</w:t>
      </w:r>
      <w:r w:rsidR="00180050" w:rsidRPr="00180050">
        <w:t xml:space="preserve"> management effectiveness existing nature protection areas</w:t>
      </w:r>
      <w:r w:rsidR="00180050">
        <w:t>, to serve as</w:t>
      </w:r>
      <w:r w:rsidR="00180050" w:rsidRPr="00180050">
        <w:t xml:space="preserve"> a basis for </w:t>
      </w:r>
      <w:r w:rsidR="00180050">
        <w:t xml:space="preserve">establishing </w:t>
      </w:r>
      <w:r w:rsidR="00180050" w:rsidRPr="00180050">
        <w:t>new protected areas</w:t>
      </w:r>
      <w:r w:rsidR="00180050">
        <w:t xml:space="preserve"> in identified key biodiversity areas,</w:t>
      </w:r>
      <w:r w:rsidR="00180050">
        <w:rPr>
          <w:rStyle w:val="FootnoteReference"/>
        </w:rPr>
        <w:footnoteReference w:id="77"/>
      </w:r>
      <w:r w:rsidR="0042237A">
        <w:t xml:space="preserve"> </w:t>
      </w:r>
      <w:r w:rsidR="00CD3B28">
        <w:t>among many others.</w:t>
      </w:r>
      <w:r w:rsidR="0042237A">
        <w:t xml:space="preserve"> </w:t>
      </w:r>
    </w:p>
    <w:p w:rsidR="00180050" w:rsidRPr="00C55596" w:rsidRDefault="00180050" w:rsidP="00180050">
      <w:pPr>
        <w:pStyle w:val="Para1"/>
      </w:pPr>
      <w:r w:rsidRPr="00C55596">
        <w:t xml:space="preserve">The completion of management effectiveness evaluations is only one component of ensuring </w:t>
      </w:r>
      <w:r>
        <w:t xml:space="preserve">that </w:t>
      </w:r>
      <w:r w:rsidRPr="00C55596">
        <w:t>protected areas are effectively managed. It is important that management effectiveness assessments are repeated at the same site (or system) to track changes over time and implement remedial measures as needed.</w:t>
      </w:r>
      <w:r w:rsidRPr="00C55596">
        <w:rPr>
          <w:rStyle w:val="FootnoteReference"/>
        </w:rPr>
        <w:footnoteReference w:id="78"/>
      </w:r>
      <w:r w:rsidRPr="00C55596">
        <w:t xml:space="preserve"> An analysis of management effectiveness assessments from 722 protected areas in 74 countries (with multiple assessments carried out in different years), found the majority (69.5%) showed improvements in management over time, while 5.4% saw no change and 25.1% saw a decrease in management scores.</w:t>
      </w:r>
      <w:r w:rsidRPr="00C55596">
        <w:rPr>
          <w:rStyle w:val="FootnoteReference"/>
        </w:rPr>
        <w:footnoteReference w:id="79"/>
      </w:r>
      <w:r w:rsidRPr="00C55596">
        <w:t xml:space="preserve"> There is also need to link these assessments to actual conservation outcomes, and to better understand the types of management interventions </w:t>
      </w:r>
      <w:r>
        <w:t xml:space="preserve">that </w:t>
      </w:r>
      <w:r w:rsidRPr="00C55596">
        <w:t xml:space="preserve">yield effective biodiversity </w:t>
      </w:r>
      <w:r>
        <w:t>outcomes</w:t>
      </w:r>
      <w:r w:rsidRPr="00C55596">
        <w:t xml:space="preserve">. </w:t>
      </w:r>
    </w:p>
    <w:p w:rsidR="00521291" w:rsidRDefault="00521291" w:rsidP="00521291">
      <w:pPr>
        <w:pStyle w:val="Para1"/>
      </w:pPr>
      <w:r w:rsidRPr="00521291">
        <w:t>One recent study found that the only aspect of protected area management associated with positive</w:t>
      </w:r>
      <w:r>
        <w:t xml:space="preserve"> changes in the populations of </w:t>
      </w:r>
      <w:r w:rsidRPr="00521291">
        <w:t xml:space="preserve">native birds, mammals and reptiles was ‘Capacity and Resources’, which </w:t>
      </w:r>
      <w:r w:rsidRPr="00521291">
        <w:lastRenderedPageBreak/>
        <w:t xml:space="preserve">includes factors like </w:t>
      </w:r>
      <w:r w:rsidR="00466656">
        <w:t xml:space="preserve">adequate staff and budgets and </w:t>
      </w:r>
      <w:r w:rsidRPr="00521291">
        <w:t>the availability of equipment.</w:t>
      </w:r>
      <w:r>
        <w:rPr>
          <w:rStyle w:val="FootnoteReference"/>
        </w:rPr>
        <w:footnoteReference w:id="80"/>
      </w:r>
      <w:r w:rsidRPr="00521291">
        <w:t xml:space="preserve"> Another recent study, addressing marine protected areas, found that the strongest predictors of conservation impact were staff and budget capacity.</w:t>
      </w:r>
      <w:r>
        <w:rPr>
          <w:rStyle w:val="FootnoteReference"/>
        </w:rPr>
        <w:footnoteReference w:id="81"/>
      </w:r>
      <w:r w:rsidRPr="00521291">
        <w:t xml:space="preserve"> In fact, those protected areas with adequate staff capacity showed positive conservation effects almost three times greater than t</w:t>
      </w:r>
      <w:r w:rsidR="00466656">
        <w:t>hose with inadequate capacity.</w:t>
      </w:r>
      <w:r w:rsidR="00956525">
        <w:rPr>
          <w:rStyle w:val="FootnoteReference"/>
        </w:rPr>
        <w:footnoteReference w:id="82"/>
      </w:r>
      <w:r w:rsidR="00466656">
        <w:t xml:space="preserve"> </w:t>
      </w:r>
      <w:r w:rsidRPr="00521291">
        <w:t>Funding and capacity</w:t>
      </w:r>
      <w:r w:rsidR="009E0614">
        <w:t xml:space="preserve"> were</w:t>
      </w:r>
      <w:r w:rsidRPr="00521291">
        <w:t xml:space="preserve"> also among the most commonly identified gaps hindering progress on achieving </w:t>
      </w:r>
      <w:r w:rsidR="00FF3266">
        <w:t xml:space="preserve">the </w:t>
      </w:r>
      <w:r w:rsidRPr="00521291">
        <w:t>elements of Target 11 identified during the six regional workshops carried out in 2015 and 2016.</w:t>
      </w:r>
    </w:p>
    <w:p w:rsidR="00466656" w:rsidRPr="00875044" w:rsidRDefault="00466656" w:rsidP="00466656">
      <w:pPr>
        <w:pStyle w:val="Para1"/>
      </w:pPr>
      <w:r>
        <w:t xml:space="preserve">Improving the utility of data on management effectiveness </w:t>
      </w:r>
      <w:r w:rsidR="0042237A">
        <w:t>to</w:t>
      </w:r>
      <w:r>
        <w:t xml:space="preserve"> address the performance of protected areas will require streamlining assessment process</w:t>
      </w:r>
      <w:r w:rsidR="0042237A">
        <w:t>es</w:t>
      </w:r>
      <w:r>
        <w:t xml:space="preserve">, improving systems for collating data, and </w:t>
      </w:r>
      <w:r w:rsidRPr="00875044">
        <w:t>ensuring the application of counterfactual thinking</w:t>
      </w:r>
      <w:r w:rsidRPr="00875044">
        <w:rPr>
          <w:rStyle w:val="FootnoteReference"/>
        </w:rPr>
        <w:footnoteReference w:id="83"/>
      </w:r>
      <w:r w:rsidRPr="00875044">
        <w:t xml:space="preserve"> which often </w:t>
      </w:r>
      <w:r w:rsidR="00FF3266" w:rsidRPr="00875044">
        <w:t>lacks</w:t>
      </w:r>
      <w:r w:rsidRPr="00875044">
        <w:t xml:space="preserve"> in assessments of protected areas.</w:t>
      </w:r>
      <w:r w:rsidRPr="00875044">
        <w:rPr>
          <w:rStyle w:val="FootnoteReference"/>
        </w:rPr>
        <w:footnoteReference w:id="84"/>
      </w:r>
    </w:p>
    <w:p w:rsidR="00956525" w:rsidRPr="00180050" w:rsidRDefault="00F55BA8" w:rsidP="00466656">
      <w:pPr>
        <w:pStyle w:val="Para1"/>
      </w:pPr>
      <w:r w:rsidRPr="00180050">
        <w:t xml:space="preserve">Pursuant to paragraph 9(b)) of decision </w:t>
      </w:r>
      <w:hyperlink r:id="rId53" w:history="1">
        <w:r w:rsidRPr="00180050">
          <w:rPr>
            <w:rStyle w:val="Hyperlink"/>
          </w:rPr>
          <w:t>XIII/2</w:t>
        </w:r>
      </w:hyperlink>
      <w:r w:rsidRPr="00180050">
        <w:t>, the COP invited Parties and other Governments, relevant partners, regional agencies, bilateral and multilateral funding agencies, to promote the development of global or regional projects which could support national assessments of management effectiveness and equity in protected areas and encourage the sharing of best practices and lessons learned with interested Parties</w:t>
      </w:r>
      <w:r w:rsidR="00956525" w:rsidRPr="00180050">
        <w:t>.</w:t>
      </w:r>
    </w:p>
    <w:p w:rsidR="00931F79" w:rsidRPr="00180050" w:rsidRDefault="00875044" w:rsidP="00466656">
      <w:pPr>
        <w:pStyle w:val="Para1"/>
      </w:pPr>
      <w:r w:rsidRPr="00180050">
        <w:t xml:space="preserve">There is a need for need for aligning all of these ongoing initiatives, to ensure that protected areas are effectively addressing threats to biodiversity. </w:t>
      </w:r>
      <w:r w:rsidR="007F2B3A" w:rsidRPr="00180050">
        <w:t>As the number and extent of protected areas</w:t>
      </w:r>
      <w:r w:rsidR="00F55BA8" w:rsidRPr="00180050">
        <w:t xml:space="preserve"> </w:t>
      </w:r>
      <w:r w:rsidR="007F2B3A" w:rsidRPr="00180050">
        <w:t>continues to increase,</w:t>
      </w:r>
      <w:r w:rsidRPr="00180050">
        <w:t xml:space="preserve"> there is a need to address protected area quality, as well</w:t>
      </w:r>
      <w:r w:rsidR="00180050">
        <w:t xml:space="preserve"> as quantity</w:t>
      </w:r>
      <w:r w:rsidRPr="00180050">
        <w:t>.</w:t>
      </w:r>
      <w:r w:rsidR="007F2B3A" w:rsidRPr="00180050">
        <w:t xml:space="preserve"> </w:t>
      </w:r>
      <w:r w:rsidRPr="00180050">
        <w:t>At a minimum, e</w:t>
      </w:r>
      <w:r w:rsidR="00F55BA8" w:rsidRPr="00180050">
        <w:t>ach country should strive, as requested by the COP</w:t>
      </w:r>
      <w:r w:rsidRPr="00180050">
        <w:t xml:space="preserve">, to increase the assessment of management effectiveness in their protected areas, and </w:t>
      </w:r>
      <w:r w:rsidR="00F55BA8" w:rsidRPr="00180050">
        <w:t xml:space="preserve">for an increase in the number of their protected areas falling under sound management. </w:t>
      </w:r>
      <w:r w:rsidRPr="00180050">
        <w:t>There is a need to address not only the assessment of management effectiveness, but also enhancing protected area management, overall, and its contribution to improved biodiversity outcomes.</w:t>
      </w:r>
    </w:p>
    <w:p w:rsidR="003E5ACE" w:rsidRDefault="001E3D3A" w:rsidP="00F44E90">
      <w:pPr>
        <w:pStyle w:val="Heading2"/>
        <w:numPr>
          <w:ilvl w:val="0"/>
          <w:numId w:val="8"/>
        </w:numPr>
        <w:rPr>
          <w:rFonts w:cs="Times New Roman"/>
        </w:rPr>
      </w:pPr>
      <w:r w:rsidRPr="00576654">
        <w:rPr>
          <w:rFonts w:cs="Times New Roman"/>
        </w:rPr>
        <w:t>Equity and Governance</w:t>
      </w:r>
    </w:p>
    <w:tbl>
      <w:tblPr>
        <w:tblW w:w="9558" w:type="dxa"/>
        <w:tblLook w:val="04A0" w:firstRow="1" w:lastRow="0" w:firstColumn="1" w:lastColumn="0" w:noHBand="0" w:noVBand="1"/>
      </w:tblPr>
      <w:tblGrid>
        <w:gridCol w:w="1209"/>
        <w:gridCol w:w="1689"/>
        <w:gridCol w:w="1800"/>
        <w:gridCol w:w="2070"/>
        <w:gridCol w:w="2790"/>
      </w:tblGrid>
      <w:tr w:rsidR="00B13214" w:rsidRPr="00317A46" w:rsidTr="00B13214">
        <w:tc>
          <w:tcPr>
            <w:tcW w:w="2898" w:type="dxa"/>
            <w:gridSpan w:val="2"/>
            <w:tcBorders>
              <w:top w:val="single" w:sz="18" w:space="0" w:color="auto"/>
              <w:bottom w:val="single" w:sz="12" w:space="0" w:color="auto"/>
            </w:tcBorders>
            <w:shd w:val="clear" w:color="auto" w:fill="auto"/>
            <w:vAlign w:val="center"/>
          </w:tcPr>
          <w:p w:rsidR="00B13214" w:rsidRPr="00317A46" w:rsidRDefault="00B13214" w:rsidP="00B13214">
            <w:pPr>
              <w:pStyle w:val="NoSpacing"/>
              <w:spacing w:line="276" w:lineRule="auto"/>
              <w:jc w:val="center"/>
              <w:rPr>
                <w:rFonts w:ascii="Times New Roman" w:hAnsi="Times New Roman"/>
                <w:b/>
                <w:sz w:val="18"/>
              </w:rPr>
            </w:pPr>
            <w:r w:rsidRPr="00317A46">
              <w:rPr>
                <w:rFonts w:ascii="Times New Roman" w:hAnsi="Times New Roman"/>
                <w:b/>
                <w:sz w:val="18"/>
              </w:rPr>
              <w:t>Element of Target 11</w:t>
            </w:r>
          </w:p>
          <w:p w:rsidR="00B13214" w:rsidRPr="00317A46" w:rsidRDefault="00B13214" w:rsidP="00B13214">
            <w:pPr>
              <w:pStyle w:val="NoSpacing"/>
              <w:spacing w:line="276" w:lineRule="auto"/>
              <w:jc w:val="center"/>
              <w:rPr>
                <w:rFonts w:ascii="Times New Roman" w:hAnsi="Times New Roman"/>
                <w:sz w:val="18"/>
              </w:rPr>
            </w:pPr>
            <w:r w:rsidRPr="00317A46">
              <w:rPr>
                <w:rFonts w:ascii="Times New Roman" w:hAnsi="Times New Roman"/>
                <w:sz w:val="18"/>
              </w:rPr>
              <w:t>(and status from GBO-4 in 2014)</w:t>
            </w:r>
          </w:p>
        </w:tc>
        <w:tc>
          <w:tcPr>
            <w:tcW w:w="1800" w:type="dxa"/>
            <w:tcBorders>
              <w:top w:val="single" w:sz="18" w:space="0" w:color="auto"/>
              <w:bottom w:val="single" w:sz="12" w:space="0" w:color="auto"/>
            </w:tcBorders>
            <w:shd w:val="clear" w:color="auto" w:fill="auto"/>
            <w:vAlign w:val="bottom"/>
          </w:tcPr>
          <w:p w:rsidR="00B13214" w:rsidRPr="00317A46" w:rsidRDefault="00B13214" w:rsidP="00B13214">
            <w:pPr>
              <w:pStyle w:val="NoSpacing"/>
              <w:spacing w:line="276" w:lineRule="auto"/>
              <w:jc w:val="center"/>
              <w:rPr>
                <w:rFonts w:ascii="Times New Roman" w:hAnsi="Times New Roman"/>
                <w:b/>
                <w:sz w:val="18"/>
              </w:rPr>
            </w:pPr>
            <w:r w:rsidRPr="00317A46">
              <w:rPr>
                <w:rFonts w:ascii="Times New Roman" w:hAnsi="Times New Roman"/>
                <w:b/>
                <w:sz w:val="18"/>
              </w:rPr>
              <w:t>Status in 2016</w:t>
            </w:r>
          </w:p>
          <w:p w:rsidR="00B13214" w:rsidRPr="00317A46" w:rsidRDefault="00B13214" w:rsidP="00B13214">
            <w:pPr>
              <w:pStyle w:val="NoSpacing"/>
              <w:spacing w:line="276" w:lineRule="auto"/>
              <w:jc w:val="center"/>
              <w:rPr>
                <w:rFonts w:ascii="Times New Roman" w:hAnsi="Times New Roman"/>
                <w:sz w:val="18"/>
              </w:rPr>
            </w:pPr>
            <w:r w:rsidRPr="00317A46">
              <w:rPr>
                <w:rFonts w:ascii="Times New Roman" w:hAnsi="Times New Roman"/>
                <w:sz w:val="18"/>
              </w:rPr>
              <w:t>(as per</w:t>
            </w:r>
            <w:r w:rsidR="002D76A7">
              <w:rPr>
                <w:rFonts w:ascii="Times New Roman" w:hAnsi="Times New Roman"/>
                <w:sz w:val="18"/>
              </w:rPr>
              <w:t xml:space="preserve"> the</w:t>
            </w:r>
            <w:r w:rsidRPr="00317A46">
              <w:rPr>
                <w:rFonts w:ascii="Times New Roman" w:hAnsi="Times New Roman"/>
                <w:sz w:val="18"/>
              </w:rPr>
              <w:t xml:space="preserve"> </w:t>
            </w:r>
            <w:r w:rsidRPr="00317A46">
              <w:rPr>
                <w:rFonts w:ascii="Times New Roman" w:hAnsi="Times New Roman"/>
                <w:i/>
                <w:sz w:val="18"/>
              </w:rPr>
              <w:t>Protected Planet Report 2016</w:t>
            </w:r>
            <w:r w:rsidRPr="00317A46">
              <w:rPr>
                <w:rFonts w:ascii="Times New Roman" w:hAnsi="Times New Roman"/>
                <w:sz w:val="18"/>
              </w:rPr>
              <w:t>)</w:t>
            </w:r>
          </w:p>
        </w:tc>
        <w:tc>
          <w:tcPr>
            <w:tcW w:w="2070" w:type="dxa"/>
            <w:tcBorders>
              <w:top w:val="single" w:sz="18" w:space="0" w:color="auto"/>
              <w:bottom w:val="single" w:sz="12" w:space="0" w:color="auto"/>
            </w:tcBorders>
            <w:shd w:val="clear" w:color="auto" w:fill="auto"/>
            <w:vAlign w:val="bottom"/>
          </w:tcPr>
          <w:p w:rsidR="00B13214" w:rsidRPr="00317A46" w:rsidRDefault="00B13214" w:rsidP="00B13214">
            <w:pPr>
              <w:pStyle w:val="NoSpacing"/>
              <w:spacing w:line="276" w:lineRule="auto"/>
              <w:jc w:val="center"/>
              <w:rPr>
                <w:rFonts w:ascii="Times New Roman" w:hAnsi="Times New Roman"/>
                <w:b/>
                <w:sz w:val="18"/>
              </w:rPr>
            </w:pPr>
            <w:r w:rsidRPr="00317A46">
              <w:rPr>
                <w:rFonts w:ascii="Times New Roman" w:hAnsi="Times New Roman"/>
                <w:b/>
                <w:sz w:val="18"/>
              </w:rPr>
              <w:t>Current Status</w:t>
            </w:r>
          </w:p>
          <w:p w:rsidR="00B13214" w:rsidRPr="00317A46" w:rsidRDefault="00B13214" w:rsidP="00B13214">
            <w:pPr>
              <w:pStyle w:val="NoSpacing"/>
              <w:spacing w:line="276" w:lineRule="auto"/>
              <w:jc w:val="center"/>
              <w:rPr>
                <w:rFonts w:ascii="Times New Roman" w:hAnsi="Times New Roman"/>
                <w:sz w:val="18"/>
              </w:rPr>
            </w:pPr>
            <w:r w:rsidRPr="00317A46">
              <w:rPr>
                <w:rFonts w:ascii="Times New Roman" w:hAnsi="Times New Roman"/>
                <w:sz w:val="18"/>
                <w:szCs w:val="18"/>
              </w:rPr>
              <w:t>(as per the May 2018 release of the WDPA)</w:t>
            </w:r>
          </w:p>
        </w:tc>
        <w:tc>
          <w:tcPr>
            <w:tcW w:w="2790" w:type="dxa"/>
            <w:tcBorders>
              <w:top w:val="single" w:sz="18" w:space="0" w:color="auto"/>
              <w:bottom w:val="single" w:sz="12" w:space="0" w:color="auto"/>
            </w:tcBorders>
            <w:shd w:val="clear" w:color="auto" w:fill="auto"/>
            <w:vAlign w:val="center"/>
          </w:tcPr>
          <w:p w:rsidR="00B13214" w:rsidRPr="00317A46" w:rsidRDefault="00B13214" w:rsidP="00B13214">
            <w:pPr>
              <w:pStyle w:val="NoSpacing"/>
              <w:jc w:val="center"/>
              <w:rPr>
                <w:rFonts w:ascii="Times New Roman" w:hAnsi="Times New Roman"/>
                <w:b/>
                <w:sz w:val="18"/>
              </w:rPr>
            </w:pPr>
            <w:r w:rsidRPr="00317A46">
              <w:rPr>
                <w:rFonts w:ascii="Times New Roman" w:hAnsi="Times New Roman"/>
                <w:b/>
                <w:sz w:val="18"/>
              </w:rPr>
              <w:t>Opportunities for 2020</w:t>
            </w:r>
          </w:p>
        </w:tc>
      </w:tr>
      <w:tr w:rsidR="00B13214" w:rsidRPr="00317A46" w:rsidTr="00180050">
        <w:trPr>
          <w:trHeight w:val="505"/>
        </w:trPr>
        <w:tc>
          <w:tcPr>
            <w:tcW w:w="1209" w:type="dxa"/>
            <w:vMerge w:val="restart"/>
            <w:tcBorders>
              <w:top w:val="single" w:sz="12" w:space="0" w:color="auto"/>
            </w:tcBorders>
            <w:shd w:val="clear" w:color="auto" w:fill="auto"/>
            <w:vAlign w:val="center"/>
          </w:tcPr>
          <w:p w:rsidR="00B13214" w:rsidRDefault="00B13214" w:rsidP="00B13214">
            <w:pPr>
              <w:pStyle w:val="NoSpacing"/>
              <w:jc w:val="center"/>
              <w:rPr>
                <w:rFonts w:ascii="Times New Roman" w:hAnsi="Times New Roman"/>
                <w:b/>
                <w:sz w:val="18"/>
                <w:szCs w:val="18"/>
                <w:lang w:eastAsia="en-GB"/>
              </w:rPr>
            </w:pPr>
            <w:r w:rsidRPr="00317A46">
              <w:rPr>
                <w:rFonts w:ascii="Times New Roman" w:hAnsi="Times New Roman"/>
                <w:b/>
                <w:sz w:val="18"/>
                <w:szCs w:val="18"/>
                <w:lang w:eastAsia="en-GB"/>
              </w:rPr>
              <w:t>Equitably managed</w:t>
            </w:r>
          </w:p>
          <w:p w:rsidR="00B13214" w:rsidRDefault="00B13214" w:rsidP="00B13214">
            <w:pPr>
              <w:pStyle w:val="NoSpacing"/>
              <w:rPr>
                <w:rFonts w:ascii="Times New Roman" w:hAnsi="Times New Roman"/>
                <w:b/>
                <w:sz w:val="18"/>
                <w:szCs w:val="18"/>
                <w:lang w:eastAsia="en-GB"/>
              </w:rPr>
            </w:pPr>
          </w:p>
          <w:p w:rsidR="00B13214" w:rsidRDefault="00B13214" w:rsidP="00B13214">
            <w:pPr>
              <w:pStyle w:val="NoSpacing"/>
              <w:rPr>
                <w:rFonts w:ascii="Times New Roman" w:hAnsi="Times New Roman"/>
                <w:b/>
                <w:sz w:val="18"/>
                <w:szCs w:val="18"/>
                <w:lang w:eastAsia="en-GB"/>
              </w:rPr>
            </w:pPr>
          </w:p>
          <w:p w:rsidR="00B13214" w:rsidRDefault="00B13214" w:rsidP="00B13214">
            <w:pPr>
              <w:pStyle w:val="NoSpacing"/>
              <w:rPr>
                <w:rFonts w:ascii="Times New Roman" w:hAnsi="Times New Roman"/>
                <w:b/>
                <w:sz w:val="18"/>
                <w:szCs w:val="18"/>
                <w:lang w:eastAsia="en-GB"/>
              </w:rPr>
            </w:pPr>
          </w:p>
          <w:p w:rsidR="00B13214" w:rsidRDefault="00B13214" w:rsidP="00B13214">
            <w:pPr>
              <w:pStyle w:val="NoSpacing"/>
              <w:rPr>
                <w:rFonts w:ascii="Times New Roman" w:hAnsi="Times New Roman"/>
                <w:b/>
                <w:sz w:val="18"/>
                <w:szCs w:val="18"/>
                <w:lang w:eastAsia="en-GB"/>
              </w:rPr>
            </w:pPr>
          </w:p>
          <w:p w:rsidR="00B13214" w:rsidRDefault="00B13214" w:rsidP="00B13214">
            <w:pPr>
              <w:pStyle w:val="NoSpacing"/>
              <w:rPr>
                <w:rFonts w:ascii="Times New Roman" w:hAnsi="Times New Roman"/>
                <w:b/>
                <w:sz w:val="18"/>
                <w:szCs w:val="18"/>
                <w:lang w:eastAsia="en-GB"/>
              </w:rPr>
            </w:pPr>
          </w:p>
          <w:p w:rsidR="00B13214" w:rsidRDefault="00B13214" w:rsidP="00B13214">
            <w:pPr>
              <w:pStyle w:val="NoSpacing"/>
              <w:rPr>
                <w:rFonts w:ascii="Times New Roman" w:hAnsi="Times New Roman"/>
                <w:b/>
                <w:sz w:val="18"/>
                <w:szCs w:val="18"/>
                <w:lang w:eastAsia="en-GB"/>
              </w:rPr>
            </w:pPr>
          </w:p>
          <w:p w:rsidR="00B13214" w:rsidRDefault="00B13214" w:rsidP="00B13214">
            <w:pPr>
              <w:pStyle w:val="NoSpacing"/>
              <w:rPr>
                <w:rFonts w:ascii="Times New Roman" w:hAnsi="Times New Roman"/>
                <w:b/>
                <w:sz w:val="18"/>
                <w:szCs w:val="18"/>
                <w:lang w:eastAsia="en-GB"/>
              </w:rPr>
            </w:pPr>
          </w:p>
          <w:p w:rsidR="00B13214" w:rsidRPr="00317A46" w:rsidRDefault="00B13214" w:rsidP="00B13214">
            <w:pPr>
              <w:pStyle w:val="NoSpacing"/>
              <w:rPr>
                <w:rFonts w:ascii="Times New Roman" w:hAnsi="Times New Roman"/>
                <w:sz w:val="18"/>
                <w:szCs w:val="18"/>
                <w:lang w:eastAsia="en-GB"/>
              </w:rPr>
            </w:pPr>
          </w:p>
          <w:p w:rsidR="00B13214" w:rsidRPr="00317A46" w:rsidRDefault="00B13214" w:rsidP="00B13214">
            <w:pPr>
              <w:pStyle w:val="NoSpacing"/>
              <w:rPr>
                <w:rFonts w:ascii="Times New Roman" w:hAnsi="Times New Roman"/>
                <w:sz w:val="18"/>
                <w:szCs w:val="18"/>
              </w:rPr>
            </w:pPr>
            <w:r w:rsidRPr="00317A46">
              <w:rPr>
                <w:rFonts w:ascii="Times New Roman" w:hAnsi="Times New Roman"/>
                <w:noProof/>
                <w:sz w:val="18"/>
                <w:szCs w:val="18"/>
                <w:lang w:val="en-CA" w:eastAsia="en-CA"/>
              </w:rPr>
              <w:drawing>
                <wp:inline distT="0" distB="0" distL="0" distR="0" wp14:anchorId="5BF81C90" wp14:editId="586CA132">
                  <wp:extent cx="630936" cy="411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 cy="411480"/>
                          </a:xfrm>
                          <a:prstGeom prst="rect">
                            <a:avLst/>
                          </a:prstGeom>
                        </pic:spPr>
                      </pic:pic>
                    </a:graphicData>
                  </a:graphic>
                </wp:inline>
              </w:drawing>
            </w:r>
          </w:p>
        </w:tc>
        <w:tc>
          <w:tcPr>
            <w:tcW w:w="1689" w:type="dxa"/>
            <w:tcBorders>
              <w:top w:val="single" w:sz="12" w:space="0" w:color="auto"/>
            </w:tcBorders>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 of sites governed by government</w:t>
            </w:r>
          </w:p>
        </w:tc>
        <w:tc>
          <w:tcPr>
            <w:tcW w:w="1800" w:type="dxa"/>
            <w:tcBorders>
              <w:top w:val="single" w:sz="12" w:space="0" w:color="auto"/>
            </w:tcBorders>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84%</w:t>
            </w:r>
          </w:p>
        </w:tc>
        <w:tc>
          <w:tcPr>
            <w:tcW w:w="2070" w:type="dxa"/>
            <w:tcBorders>
              <w:top w:val="single" w:sz="12" w:space="0" w:color="auto"/>
            </w:tcBorders>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81.5%</w:t>
            </w:r>
          </w:p>
        </w:tc>
        <w:tc>
          <w:tcPr>
            <w:tcW w:w="2790" w:type="dxa"/>
            <w:vMerge w:val="restart"/>
            <w:tcBorders>
              <w:top w:val="single" w:sz="12" w:space="0" w:color="auto"/>
            </w:tcBorders>
            <w:shd w:val="clear" w:color="auto" w:fill="auto"/>
            <w:vAlign w:val="center"/>
          </w:tcPr>
          <w:p w:rsidR="00B13214" w:rsidRDefault="00B13214" w:rsidP="00B13214">
            <w:pPr>
              <w:pStyle w:val="NoSpacing"/>
              <w:jc w:val="center"/>
              <w:rPr>
                <w:rFonts w:ascii="Times New Roman" w:hAnsi="Times New Roman"/>
                <w:sz w:val="18"/>
                <w:szCs w:val="18"/>
              </w:rPr>
            </w:pPr>
            <w:r w:rsidRPr="00317A46">
              <w:rPr>
                <w:rFonts w:ascii="Times New Roman" w:hAnsi="Times New Roman"/>
                <w:sz w:val="18"/>
                <w:szCs w:val="18"/>
              </w:rPr>
              <w:t>Continued</w:t>
            </w:r>
            <w:r>
              <w:rPr>
                <w:rFonts w:ascii="Times New Roman" w:hAnsi="Times New Roman"/>
                <w:sz w:val="18"/>
                <w:szCs w:val="18"/>
              </w:rPr>
              <w:t xml:space="preserve"> reporting on governance type for all PAs.</w:t>
            </w:r>
          </w:p>
          <w:p w:rsidR="00B13214" w:rsidRDefault="00B13214" w:rsidP="00B13214">
            <w:pPr>
              <w:pStyle w:val="NoSpacing"/>
              <w:jc w:val="center"/>
              <w:rPr>
                <w:rFonts w:ascii="Times New Roman" w:hAnsi="Times New Roman"/>
                <w:sz w:val="18"/>
                <w:szCs w:val="18"/>
              </w:rPr>
            </w:pPr>
            <w:r>
              <w:rPr>
                <w:rFonts w:ascii="Times New Roman" w:hAnsi="Times New Roman"/>
                <w:sz w:val="18"/>
                <w:szCs w:val="18"/>
              </w:rPr>
              <w:t>I</w:t>
            </w:r>
            <w:r w:rsidRPr="00317A46">
              <w:rPr>
                <w:rFonts w:ascii="Times New Roman" w:hAnsi="Times New Roman"/>
                <w:sz w:val="18"/>
                <w:szCs w:val="18"/>
              </w:rPr>
              <w:t>ncrease in the number of sites governed by non-state actors.</w:t>
            </w:r>
          </w:p>
          <w:p w:rsidR="00B13214" w:rsidRDefault="00B13214" w:rsidP="00B13214">
            <w:pPr>
              <w:pStyle w:val="NoSpacing"/>
              <w:jc w:val="center"/>
              <w:rPr>
                <w:rFonts w:ascii="Times New Roman" w:hAnsi="Times New Roman"/>
                <w:sz w:val="18"/>
                <w:szCs w:val="18"/>
              </w:rPr>
            </w:pPr>
            <w:r>
              <w:rPr>
                <w:rFonts w:ascii="Times New Roman" w:hAnsi="Times New Roman"/>
                <w:sz w:val="18"/>
                <w:szCs w:val="18"/>
              </w:rPr>
              <w:t>Systematic application of g</w:t>
            </w:r>
            <w:r w:rsidRPr="00317A46">
              <w:rPr>
                <w:rFonts w:ascii="Times New Roman" w:hAnsi="Times New Roman"/>
                <w:sz w:val="18"/>
                <w:szCs w:val="18"/>
              </w:rPr>
              <w:t xml:space="preserve">overnance </w:t>
            </w:r>
            <w:r>
              <w:rPr>
                <w:rFonts w:ascii="Times New Roman" w:hAnsi="Times New Roman"/>
                <w:sz w:val="18"/>
                <w:szCs w:val="18"/>
              </w:rPr>
              <w:t xml:space="preserve">and social </w:t>
            </w:r>
            <w:r w:rsidRPr="00317A46">
              <w:rPr>
                <w:rFonts w:ascii="Times New Roman" w:hAnsi="Times New Roman"/>
                <w:sz w:val="18"/>
                <w:szCs w:val="18"/>
              </w:rPr>
              <w:t xml:space="preserve">assessments </w:t>
            </w:r>
            <w:r>
              <w:rPr>
                <w:rFonts w:ascii="Times New Roman" w:hAnsi="Times New Roman"/>
                <w:sz w:val="18"/>
                <w:szCs w:val="18"/>
              </w:rPr>
              <w:t>at PA (and OECM) site and system level, to establish baselines and identify relevant actions.</w:t>
            </w:r>
          </w:p>
          <w:p w:rsidR="00B13214" w:rsidRDefault="00B13214" w:rsidP="00B13214">
            <w:pPr>
              <w:pStyle w:val="NoSpacing"/>
              <w:jc w:val="center"/>
              <w:rPr>
                <w:rFonts w:ascii="Times New Roman" w:hAnsi="Times New Roman"/>
                <w:sz w:val="18"/>
                <w:szCs w:val="18"/>
              </w:rPr>
            </w:pPr>
          </w:p>
          <w:p w:rsidR="00B13214" w:rsidRPr="00317A46" w:rsidRDefault="00B13214" w:rsidP="00B13214">
            <w:pPr>
              <w:pStyle w:val="NoSpacing"/>
              <w:jc w:val="center"/>
              <w:rPr>
                <w:rFonts w:ascii="Times New Roman" w:hAnsi="Times New Roman"/>
                <w:sz w:val="18"/>
                <w:szCs w:val="18"/>
              </w:rPr>
            </w:pPr>
            <w:r w:rsidRPr="00BD6B4B">
              <w:rPr>
                <w:rFonts w:ascii="Times New Roman" w:hAnsi="Times New Roman"/>
                <w:noProof/>
                <w:sz w:val="18"/>
                <w:szCs w:val="18"/>
                <w:lang w:val="en-CA" w:eastAsia="en-CA"/>
              </w:rPr>
              <w:drawing>
                <wp:inline distT="0" distB="0" distL="0" distR="0" wp14:anchorId="5A70CFAF" wp14:editId="34DC4238">
                  <wp:extent cx="640080" cy="4114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411480"/>
                          </a:xfrm>
                          <a:prstGeom prst="rect">
                            <a:avLst/>
                          </a:prstGeom>
                        </pic:spPr>
                      </pic:pic>
                    </a:graphicData>
                  </a:graphic>
                </wp:inline>
              </w:drawing>
            </w:r>
          </w:p>
        </w:tc>
      </w:tr>
      <w:tr w:rsidR="00B13214" w:rsidRPr="00317A46" w:rsidTr="00180050">
        <w:trPr>
          <w:trHeight w:val="364"/>
        </w:trPr>
        <w:tc>
          <w:tcPr>
            <w:tcW w:w="1209" w:type="dxa"/>
            <w:vMerge/>
            <w:shd w:val="clear" w:color="auto" w:fill="auto"/>
            <w:vAlign w:val="center"/>
          </w:tcPr>
          <w:p w:rsidR="00B13214" w:rsidRPr="00317A46" w:rsidRDefault="00B13214" w:rsidP="00B13214">
            <w:pPr>
              <w:pStyle w:val="NoSpacing"/>
              <w:rPr>
                <w:rFonts w:ascii="Times New Roman" w:hAnsi="Times New Roman"/>
                <w:sz w:val="18"/>
                <w:szCs w:val="18"/>
                <w:lang w:eastAsia="en-GB"/>
              </w:rPr>
            </w:pPr>
          </w:p>
        </w:tc>
        <w:tc>
          <w:tcPr>
            <w:tcW w:w="1689" w:type="dxa"/>
            <w:shd w:val="clear" w:color="auto" w:fill="auto"/>
            <w:vAlign w:val="center"/>
          </w:tcPr>
          <w:p w:rsidR="00B13214" w:rsidRPr="00317A46" w:rsidRDefault="00B13214" w:rsidP="00CD3B28">
            <w:pPr>
              <w:pStyle w:val="NoSpacing"/>
              <w:jc w:val="center"/>
              <w:rPr>
                <w:rFonts w:ascii="Times New Roman" w:hAnsi="Times New Roman"/>
                <w:sz w:val="18"/>
                <w:szCs w:val="18"/>
              </w:rPr>
            </w:pPr>
            <w:r w:rsidRPr="00317A46">
              <w:rPr>
                <w:rFonts w:ascii="Times New Roman" w:hAnsi="Times New Roman"/>
                <w:sz w:val="18"/>
                <w:szCs w:val="18"/>
              </w:rPr>
              <w:t xml:space="preserve">% private </w:t>
            </w:r>
          </w:p>
        </w:tc>
        <w:tc>
          <w:tcPr>
            <w:tcW w:w="1800" w:type="dxa"/>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4.5%</w:t>
            </w:r>
          </w:p>
        </w:tc>
        <w:tc>
          <w:tcPr>
            <w:tcW w:w="2070" w:type="dxa"/>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5.7%</w:t>
            </w:r>
          </w:p>
        </w:tc>
        <w:tc>
          <w:tcPr>
            <w:tcW w:w="2790" w:type="dxa"/>
            <w:vMerge/>
            <w:shd w:val="clear" w:color="auto" w:fill="auto"/>
            <w:vAlign w:val="center"/>
          </w:tcPr>
          <w:p w:rsidR="00B13214" w:rsidRPr="00317A46" w:rsidRDefault="00B13214" w:rsidP="00B13214">
            <w:pPr>
              <w:pStyle w:val="NoSpacing"/>
              <w:rPr>
                <w:rFonts w:ascii="Times New Roman" w:hAnsi="Times New Roman"/>
                <w:sz w:val="18"/>
                <w:szCs w:val="18"/>
              </w:rPr>
            </w:pPr>
          </w:p>
        </w:tc>
      </w:tr>
      <w:tr w:rsidR="00B13214" w:rsidRPr="00317A46" w:rsidTr="00180050">
        <w:trPr>
          <w:trHeight w:val="355"/>
        </w:trPr>
        <w:tc>
          <w:tcPr>
            <w:tcW w:w="1209" w:type="dxa"/>
            <w:vMerge/>
            <w:shd w:val="clear" w:color="auto" w:fill="auto"/>
            <w:vAlign w:val="center"/>
          </w:tcPr>
          <w:p w:rsidR="00B13214" w:rsidRPr="00317A46" w:rsidRDefault="00B13214" w:rsidP="00B13214">
            <w:pPr>
              <w:pStyle w:val="NoSpacing"/>
              <w:rPr>
                <w:rFonts w:ascii="Times New Roman" w:hAnsi="Times New Roman"/>
                <w:sz w:val="18"/>
                <w:szCs w:val="18"/>
                <w:lang w:eastAsia="en-GB"/>
              </w:rPr>
            </w:pPr>
          </w:p>
        </w:tc>
        <w:tc>
          <w:tcPr>
            <w:tcW w:w="1689" w:type="dxa"/>
            <w:shd w:val="clear" w:color="auto" w:fill="auto"/>
            <w:vAlign w:val="center"/>
          </w:tcPr>
          <w:p w:rsidR="00B13214" w:rsidRPr="00317A46" w:rsidRDefault="00B13214" w:rsidP="00CD3B28">
            <w:pPr>
              <w:pStyle w:val="NoSpacing"/>
              <w:jc w:val="center"/>
              <w:rPr>
                <w:rFonts w:ascii="Times New Roman" w:hAnsi="Times New Roman"/>
                <w:sz w:val="18"/>
                <w:szCs w:val="18"/>
              </w:rPr>
            </w:pPr>
            <w:r w:rsidRPr="00317A46">
              <w:rPr>
                <w:rFonts w:ascii="Times New Roman" w:hAnsi="Times New Roman"/>
                <w:sz w:val="18"/>
                <w:szCs w:val="18"/>
              </w:rPr>
              <w:t xml:space="preserve">% shared </w:t>
            </w:r>
          </w:p>
        </w:tc>
        <w:tc>
          <w:tcPr>
            <w:tcW w:w="1800" w:type="dxa"/>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1.8%</w:t>
            </w:r>
          </w:p>
        </w:tc>
        <w:tc>
          <w:tcPr>
            <w:tcW w:w="2070" w:type="dxa"/>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3.3%</w:t>
            </w:r>
          </w:p>
        </w:tc>
        <w:tc>
          <w:tcPr>
            <w:tcW w:w="2790" w:type="dxa"/>
            <w:vMerge/>
            <w:shd w:val="clear" w:color="auto" w:fill="auto"/>
            <w:vAlign w:val="center"/>
          </w:tcPr>
          <w:p w:rsidR="00B13214" w:rsidRPr="00317A46" w:rsidRDefault="00B13214" w:rsidP="00B13214">
            <w:pPr>
              <w:pStyle w:val="NoSpacing"/>
              <w:rPr>
                <w:rFonts w:ascii="Times New Roman" w:hAnsi="Times New Roman"/>
                <w:sz w:val="18"/>
                <w:szCs w:val="18"/>
              </w:rPr>
            </w:pPr>
          </w:p>
        </w:tc>
      </w:tr>
      <w:tr w:rsidR="00B13214" w:rsidRPr="00317A46" w:rsidTr="00180050">
        <w:trPr>
          <w:trHeight w:val="355"/>
        </w:trPr>
        <w:tc>
          <w:tcPr>
            <w:tcW w:w="1209" w:type="dxa"/>
            <w:vMerge/>
            <w:shd w:val="clear" w:color="auto" w:fill="auto"/>
            <w:vAlign w:val="center"/>
          </w:tcPr>
          <w:p w:rsidR="00B13214" w:rsidRPr="00317A46" w:rsidRDefault="00B13214" w:rsidP="00B13214">
            <w:pPr>
              <w:pStyle w:val="NoSpacing"/>
              <w:rPr>
                <w:rFonts w:ascii="Times New Roman" w:hAnsi="Times New Roman"/>
                <w:sz w:val="18"/>
                <w:szCs w:val="18"/>
                <w:lang w:eastAsia="en-GB"/>
              </w:rPr>
            </w:pPr>
          </w:p>
        </w:tc>
        <w:tc>
          <w:tcPr>
            <w:tcW w:w="1689" w:type="dxa"/>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 IPLC governance</w:t>
            </w:r>
          </w:p>
        </w:tc>
        <w:tc>
          <w:tcPr>
            <w:tcW w:w="1800" w:type="dxa"/>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0.6%</w:t>
            </w:r>
          </w:p>
        </w:tc>
        <w:tc>
          <w:tcPr>
            <w:tcW w:w="2070" w:type="dxa"/>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0.6%</w:t>
            </w:r>
          </w:p>
        </w:tc>
        <w:tc>
          <w:tcPr>
            <w:tcW w:w="2790" w:type="dxa"/>
            <w:vMerge/>
            <w:shd w:val="clear" w:color="auto" w:fill="auto"/>
            <w:vAlign w:val="center"/>
          </w:tcPr>
          <w:p w:rsidR="00B13214" w:rsidRPr="00317A46" w:rsidRDefault="00B13214" w:rsidP="00B13214">
            <w:pPr>
              <w:pStyle w:val="NoSpacing"/>
              <w:rPr>
                <w:rFonts w:ascii="Times New Roman" w:hAnsi="Times New Roman"/>
                <w:sz w:val="18"/>
                <w:szCs w:val="18"/>
              </w:rPr>
            </w:pPr>
          </w:p>
        </w:tc>
      </w:tr>
      <w:tr w:rsidR="00B13214" w:rsidRPr="00317A46" w:rsidTr="00180050">
        <w:trPr>
          <w:trHeight w:val="283"/>
        </w:trPr>
        <w:tc>
          <w:tcPr>
            <w:tcW w:w="1209" w:type="dxa"/>
            <w:vMerge/>
            <w:shd w:val="clear" w:color="auto" w:fill="auto"/>
            <w:vAlign w:val="center"/>
          </w:tcPr>
          <w:p w:rsidR="00B13214" w:rsidRPr="00317A46" w:rsidRDefault="00B13214" w:rsidP="00B13214">
            <w:pPr>
              <w:pStyle w:val="NoSpacing"/>
              <w:rPr>
                <w:rFonts w:ascii="Times New Roman" w:hAnsi="Times New Roman"/>
                <w:sz w:val="18"/>
                <w:szCs w:val="18"/>
                <w:lang w:eastAsia="en-GB"/>
              </w:rPr>
            </w:pPr>
          </w:p>
        </w:tc>
        <w:tc>
          <w:tcPr>
            <w:tcW w:w="1689" w:type="dxa"/>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 not reported</w:t>
            </w:r>
          </w:p>
        </w:tc>
        <w:tc>
          <w:tcPr>
            <w:tcW w:w="1800" w:type="dxa"/>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9%</w:t>
            </w:r>
          </w:p>
        </w:tc>
        <w:tc>
          <w:tcPr>
            <w:tcW w:w="2070" w:type="dxa"/>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9%</w:t>
            </w:r>
          </w:p>
        </w:tc>
        <w:tc>
          <w:tcPr>
            <w:tcW w:w="2790" w:type="dxa"/>
            <w:vMerge/>
            <w:shd w:val="clear" w:color="auto" w:fill="auto"/>
            <w:vAlign w:val="center"/>
          </w:tcPr>
          <w:p w:rsidR="00B13214" w:rsidRPr="00317A46" w:rsidRDefault="00B13214" w:rsidP="00B13214">
            <w:pPr>
              <w:pStyle w:val="NoSpacing"/>
              <w:rPr>
                <w:rFonts w:ascii="Times New Roman" w:hAnsi="Times New Roman"/>
                <w:sz w:val="18"/>
                <w:szCs w:val="18"/>
              </w:rPr>
            </w:pPr>
          </w:p>
        </w:tc>
      </w:tr>
      <w:tr w:rsidR="00B13214" w:rsidRPr="00317A46" w:rsidTr="00B13214">
        <w:trPr>
          <w:trHeight w:val="495"/>
        </w:trPr>
        <w:tc>
          <w:tcPr>
            <w:tcW w:w="1209" w:type="dxa"/>
            <w:vMerge/>
            <w:tcBorders>
              <w:bottom w:val="single" w:sz="18" w:space="0" w:color="auto"/>
            </w:tcBorders>
            <w:shd w:val="clear" w:color="auto" w:fill="auto"/>
            <w:vAlign w:val="center"/>
          </w:tcPr>
          <w:p w:rsidR="00B13214" w:rsidRPr="00317A46" w:rsidRDefault="00B13214" w:rsidP="00B13214">
            <w:pPr>
              <w:pStyle w:val="NoSpacing"/>
              <w:rPr>
                <w:rFonts w:ascii="Times New Roman" w:hAnsi="Times New Roman"/>
                <w:sz w:val="18"/>
                <w:szCs w:val="18"/>
                <w:lang w:eastAsia="en-GB"/>
              </w:rPr>
            </w:pPr>
          </w:p>
        </w:tc>
        <w:tc>
          <w:tcPr>
            <w:tcW w:w="1689" w:type="dxa"/>
            <w:tcBorders>
              <w:bottom w:val="single" w:sz="18" w:space="0" w:color="auto"/>
            </w:tcBorders>
            <w:shd w:val="clear" w:color="auto" w:fill="auto"/>
            <w:vAlign w:val="center"/>
          </w:tcPr>
          <w:p w:rsidR="00B13214" w:rsidRPr="00317A46" w:rsidRDefault="00B13214" w:rsidP="00B13214">
            <w:pPr>
              <w:pStyle w:val="NoSpacing"/>
              <w:jc w:val="center"/>
              <w:rPr>
                <w:rFonts w:ascii="Times New Roman" w:hAnsi="Times New Roman"/>
                <w:sz w:val="18"/>
                <w:szCs w:val="18"/>
              </w:rPr>
            </w:pPr>
          </w:p>
        </w:tc>
        <w:tc>
          <w:tcPr>
            <w:tcW w:w="1800" w:type="dxa"/>
            <w:tcBorders>
              <w:bottom w:val="single" w:sz="18" w:space="0" w:color="auto"/>
            </w:tcBorders>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Information lacking for other aspects of this element.</w:t>
            </w:r>
          </w:p>
        </w:tc>
        <w:tc>
          <w:tcPr>
            <w:tcW w:w="2070" w:type="dxa"/>
            <w:tcBorders>
              <w:bottom w:val="single" w:sz="18" w:space="0" w:color="auto"/>
            </w:tcBorders>
            <w:shd w:val="clear" w:color="auto" w:fill="auto"/>
            <w:vAlign w:val="center"/>
          </w:tcPr>
          <w:p w:rsidR="00B13214" w:rsidRPr="00317A46" w:rsidRDefault="00B13214" w:rsidP="00B13214">
            <w:pPr>
              <w:pStyle w:val="NoSpacing"/>
              <w:jc w:val="center"/>
              <w:rPr>
                <w:rFonts w:ascii="Times New Roman" w:hAnsi="Times New Roman"/>
                <w:sz w:val="18"/>
                <w:szCs w:val="18"/>
              </w:rPr>
            </w:pPr>
            <w:r w:rsidRPr="00317A46">
              <w:rPr>
                <w:rFonts w:ascii="Times New Roman" w:hAnsi="Times New Roman"/>
                <w:sz w:val="18"/>
                <w:szCs w:val="18"/>
              </w:rPr>
              <w:t>Development of voluntary guidance.</w:t>
            </w:r>
          </w:p>
        </w:tc>
        <w:tc>
          <w:tcPr>
            <w:tcW w:w="2790" w:type="dxa"/>
            <w:vMerge/>
            <w:tcBorders>
              <w:bottom w:val="single" w:sz="18" w:space="0" w:color="auto"/>
            </w:tcBorders>
            <w:shd w:val="clear" w:color="auto" w:fill="auto"/>
            <w:vAlign w:val="center"/>
          </w:tcPr>
          <w:p w:rsidR="00B13214" w:rsidRPr="00317A46" w:rsidRDefault="00B13214" w:rsidP="00B13214">
            <w:pPr>
              <w:pStyle w:val="NoSpacing"/>
              <w:rPr>
                <w:rFonts w:ascii="Times New Roman" w:hAnsi="Times New Roman"/>
                <w:sz w:val="18"/>
                <w:szCs w:val="18"/>
              </w:rPr>
            </w:pPr>
          </w:p>
        </w:tc>
      </w:tr>
    </w:tbl>
    <w:p w:rsidR="00147AF5" w:rsidRPr="00576654" w:rsidRDefault="00527B39" w:rsidP="00FA00FD">
      <w:pPr>
        <w:pStyle w:val="Para1"/>
      </w:pPr>
      <w:r w:rsidRPr="00576654">
        <w:t xml:space="preserve">Governance </w:t>
      </w:r>
      <w:r>
        <w:t xml:space="preserve">relates to </w:t>
      </w:r>
      <w:r w:rsidRPr="00576654">
        <w:t xml:space="preserve">who holds power, authority and responsibility and who is, or </w:t>
      </w:r>
      <w:r w:rsidR="00C0327E">
        <w:t>should be, held accountable</w:t>
      </w:r>
      <w:r w:rsidR="00FA00FD">
        <w:t xml:space="preserve">. Governance arrangements should be “tailored to the specifics </w:t>
      </w:r>
      <w:r w:rsidR="00FA00FD" w:rsidRPr="00CD3B28">
        <w:t xml:space="preserve">of </w:t>
      </w:r>
      <w:r w:rsidR="006A0370" w:rsidRPr="00CD3B28">
        <w:t>[their]</w:t>
      </w:r>
      <w:r w:rsidR="00FA00FD" w:rsidRPr="00CD3B28">
        <w:t xml:space="preserve"> context</w:t>
      </w:r>
      <w:r w:rsidR="00FA00FD">
        <w:t xml:space="preserve"> and effective in delivering lasting conservation results, livelihood benefits and the respect of rights</w:t>
      </w:r>
      <w:r>
        <w:t>.</w:t>
      </w:r>
      <w:r w:rsidR="00FA00FD">
        <w:t>”</w:t>
      </w:r>
      <w:r w:rsidR="00FA00FD">
        <w:rPr>
          <w:rStyle w:val="FootnoteReference"/>
        </w:rPr>
        <w:footnoteReference w:id="85"/>
      </w:r>
      <w:r>
        <w:t xml:space="preserve"> </w:t>
      </w:r>
      <w:r w:rsidR="00147AF5" w:rsidRPr="00576654">
        <w:t xml:space="preserve">There is no single </w:t>
      </w:r>
      <w:r w:rsidR="00147AF5" w:rsidRPr="00576654">
        <w:lastRenderedPageBreak/>
        <w:t xml:space="preserve">indicator available for </w:t>
      </w:r>
      <w:r w:rsidR="00147AF5">
        <w:t xml:space="preserve">this element of Target 11: for progress on this element, there is a need to enhance protected area governance in terms of diversity, quality, effectiveness and equity. </w:t>
      </w:r>
    </w:p>
    <w:p w:rsidR="00147AF5" w:rsidRPr="00147AF5" w:rsidRDefault="00147AF5" w:rsidP="00147AF5">
      <w:pPr>
        <w:pStyle w:val="Para1"/>
      </w:pPr>
      <w:r w:rsidRPr="00147AF5">
        <w:t xml:space="preserve">Governance diversity relates to </w:t>
      </w:r>
      <w:r>
        <w:t xml:space="preserve">the </w:t>
      </w:r>
      <w:r w:rsidRPr="00147AF5">
        <w:t>ran</w:t>
      </w:r>
      <w:r>
        <w:t>ge of different governance types</w:t>
      </w:r>
      <w:r w:rsidRPr="00147AF5">
        <w:t>, concerning both legal provisions and practices, and their complementarity in achieving</w:t>
      </w:r>
      <w:r>
        <w:t xml:space="preserve"> effective</w:t>
      </w:r>
      <w:r w:rsidRPr="00147AF5">
        <w:t xml:space="preserve"> </w:t>
      </w:r>
      <w:r w:rsidRPr="00147AF5">
        <w:rPr>
          <w:i/>
        </w:rPr>
        <w:t>in situ</w:t>
      </w:r>
      <w:r w:rsidRPr="00147AF5">
        <w:t xml:space="preserve"> conservation</w:t>
      </w:r>
      <w:r>
        <w:t xml:space="preserve"> of biodiversity</w:t>
      </w:r>
      <w:r w:rsidRPr="00147AF5">
        <w:t>.</w:t>
      </w:r>
      <w:r>
        <w:t xml:space="preserve"> </w:t>
      </w:r>
      <w:r w:rsidRPr="00147AF5">
        <w:t>Recognized protected area governance</w:t>
      </w:r>
      <w:r w:rsidR="00CF6098">
        <w:t xml:space="preserve"> types</w:t>
      </w:r>
      <w:r w:rsidRPr="00147AF5">
        <w:t xml:space="preserve"> include: governance by government (at various levels and possibly combining various institutions); shared governance (by two or more actors working in collaboration); governance by private individuals and/or organizations; and governance by Indigenous peoples and/or local communities</w:t>
      </w:r>
      <w:r>
        <w:t>.</w:t>
      </w:r>
      <w:r>
        <w:rPr>
          <w:rStyle w:val="FootnoteReference"/>
        </w:rPr>
        <w:footnoteReference w:id="86"/>
      </w:r>
    </w:p>
    <w:p w:rsidR="0056127F" w:rsidRDefault="001E3D3A" w:rsidP="00C006F2">
      <w:pPr>
        <w:pStyle w:val="Para1"/>
      </w:pPr>
      <w:r w:rsidRPr="00576654">
        <w:t>Currently, the global protected area system, as presented in the WDPA, is dominated b</w:t>
      </w:r>
      <w:r w:rsidR="00527B39">
        <w:t>y state-managed protected areas</w:t>
      </w:r>
      <w:r w:rsidR="00070367">
        <w:t xml:space="preserve"> (84% of sites)</w:t>
      </w:r>
      <w:r w:rsidR="00527B39">
        <w:t xml:space="preserve">, though </w:t>
      </w:r>
      <w:r w:rsidRPr="00576654">
        <w:t xml:space="preserve">there has been </w:t>
      </w:r>
      <w:r w:rsidR="00341D34">
        <w:t>some</w:t>
      </w:r>
      <w:r w:rsidRPr="00576654">
        <w:t xml:space="preserve"> increase in the number and extent o</w:t>
      </w:r>
      <w:r w:rsidR="00341D34">
        <w:t xml:space="preserve">f protected areas under </w:t>
      </w:r>
      <w:r w:rsidRPr="00576654">
        <w:t>private governance, or governance by indigenous people</w:t>
      </w:r>
      <w:r w:rsidR="00527B39">
        <w:t>s or local communities</w:t>
      </w:r>
      <w:r w:rsidR="00DF4453">
        <w:t xml:space="preserve"> over the last two decades</w:t>
      </w:r>
      <w:r w:rsidR="00527B39">
        <w:t xml:space="preserve"> (figure </w:t>
      </w:r>
      <w:r w:rsidR="00AB5D33">
        <w:t>1</w:t>
      </w:r>
      <w:r w:rsidR="00180050">
        <w:t>1</w:t>
      </w:r>
      <w:r w:rsidRPr="00576654">
        <w:t xml:space="preserve">). However, </w:t>
      </w:r>
      <w:r w:rsidR="00341D34">
        <w:t>there remain a large number of sites (~</w:t>
      </w:r>
      <w:r w:rsidR="0031139F">
        <w:t>9</w:t>
      </w:r>
      <w:r w:rsidRPr="00576654">
        <w:t>%</w:t>
      </w:r>
      <w:r w:rsidR="00341D34">
        <w:t>)</w:t>
      </w:r>
      <w:r w:rsidRPr="00576654">
        <w:t xml:space="preserve">, covering </w:t>
      </w:r>
      <w:r w:rsidR="00D641F5">
        <w:t>more than</w:t>
      </w:r>
      <w:r w:rsidRPr="00576654">
        <w:t xml:space="preserve"> a quarter of all area protected, </w:t>
      </w:r>
      <w:r w:rsidR="00341D34">
        <w:t xml:space="preserve">that </w:t>
      </w:r>
      <w:r w:rsidRPr="00576654">
        <w:t xml:space="preserve">still do not have </w:t>
      </w:r>
      <w:r w:rsidRPr="00C55596">
        <w:t>their governance type reported to the WDPA.</w:t>
      </w:r>
      <w:r w:rsidR="00C0510A" w:rsidRPr="00C55596">
        <w:rPr>
          <w:rStyle w:val="FootnoteReference"/>
        </w:rPr>
        <w:footnoteReference w:id="87"/>
      </w:r>
      <w:r w:rsidRPr="00C55596">
        <w:t xml:space="preserve"> </w:t>
      </w:r>
      <w:r w:rsidR="006D226B" w:rsidRPr="00C55596">
        <w:t>Some of these</w:t>
      </w:r>
      <w:r w:rsidR="008B172E" w:rsidRPr="00C55596">
        <w:t xml:space="preserve"> </w:t>
      </w:r>
      <w:r w:rsidR="006D226B" w:rsidRPr="00C55596">
        <w:t xml:space="preserve">fall under </w:t>
      </w:r>
      <w:r w:rsidR="008B172E" w:rsidRPr="00C55596">
        <w:t>international designations (e.g. most Ramsar sites</w:t>
      </w:r>
      <w:r w:rsidR="006D226B" w:rsidRPr="00C55596">
        <w:t>)</w:t>
      </w:r>
      <w:r w:rsidR="008B172E" w:rsidRPr="00C55596">
        <w:t xml:space="preserve">. Others, </w:t>
      </w:r>
      <w:r w:rsidR="006D226B" w:rsidRPr="00C55596">
        <w:t>such as</w:t>
      </w:r>
      <w:r w:rsidR="008B172E" w:rsidRPr="00C55596">
        <w:t xml:space="preserve"> some</w:t>
      </w:r>
      <w:r w:rsidR="008B172E">
        <w:t xml:space="preserve"> commun</w:t>
      </w:r>
      <w:r w:rsidR="0056127F" w:rsidRPr="00576654">
        <w:t>al forests in Malaysia, communal reserves in Peru, or</w:t>
      </w:r>
      <w:r w:rsidR="00EB73BE">
        <w:t xml:space="preserve"> some</w:t>
      </w:r>
      <w:r w:rsidR="0056127F" w:rsidRPr="00576654">
        <w:t xml:space="preserve"> ra-</w:t>
      </w:r>
      <w:r w:rsidR="00EB73BE">
        <w:t>ui marine areas in Cook Islands</w:t>
      </w:r>
      <w:r w:rsidR="00C55596">
        <w:t xml:space="preserve">, could potentially be </w:t>
      </w:r>
      <w:r w:rsidR="00013ED1" w:rsidRPr="00CD3B28">
        <w:t>considered as governed by indigenous peoples or local communities.</w:t>
      </w:r>
      <w:r w:rsidR="00C55596" w:rsidRPr="00CD3B28">
        <w:t xml:space="preserve"> </w:t>
      </w:r>
      <w:r w:rsidR="00EB73BE" w:rsidRPr="00CD3B28">
        <w:t>There are also a r</w:t>
      </w:r>
      <w:r w:rsidR="0056127F" w:rsidRPr="00CD3B28">
        <w:t>ange of private conservation lands, private nature reserves, private protected areas, conservation easements and local non-profit preserves</w:t>
      </w:r>
      <w:r w:rsidR="00EB73BE" w:rsidRPr="00CD3B28">
        <w:t xml:space="preserve">, </w:t>
      </w:r>
      <w:r w:rsidR="00CD3B28" w:rsidRPr="00CD3B28">
        <w:t xml:space="preserve">among others, </w:t>
      </w:r>
      <w:r w:rsidR="00EB73BE" w:rsidRPr="00CD3B28">
        <w:t>which do not have their governance type reported</w:t>
      </w:r>
      <w:r w:rsidR="0056127F" w:rsidRPr="00CD3B28">
        <w:t xml:space="preserve">.  As such, the proportion of sites governed privately, or by indigenous peoples </w:t>
      </w:r>
      <w:r w:rsidR="00013ED1" w:rsidRPr="00CD3B28">
        <w:t>and</w:t>
      </w:r>
      <w:r w:rsidR="0056127F" w:rsidRPr="00CD3B28">
        <w:t xml:space="preserve"> local communities is likely under-estimated in the current WDPA</w:t>
      </w:r>
      <w:r w:rsidR="003701A3" w:rsidRPr="00CD3B28">
        <w:t xml:space="preserve">, </w:t>
      </w:r>
      <w:r w:rsidR="00CD3B28" w:rsidRPr="00CD3B28">
        <w:t>where the true extent of these sites may also be under-estimated due to insufficient reporting</w:t>
      </w:r>
      <w:r w:rsidR="00070367" w:rsidRPr="00CD3B28">
        <w:t>.</w:t>
      </w:r>
    </w:p>
    <w:p w:rsidR="003400D7" w:rsidRDefault="003400D7" w:rsidP="004B437A">
      <w:pPr>
        <w:pStyle w:val="Para1"/>
        <w:numPr>
          <w:ilvl w:val="0"/>
          <w:numId w:val="0"/>
        </w:numPr>
        <w:rPr>
          <w:b/>
          <w:sz w:val="18"/>
        </w:rPr>
      </w:pPr>
      <w:r>
        <w:rPr>
          <w:noProof/>
          <w:lang w:val="en-CA" w:eastAsia="en-CA"/>
        </w:rPr>
        <w:drawing>
          <wp:anchor distT="0" distB="0" distL="114300" distR="114300" simplePos="0" relativeHeight="251678208" behindDoc="1" locked="0" layoutInCell="1" allowOverlap="1" wp14:anchorId="12ADB072" wp14:editId="2C56C242">
            <wp:simplePos x="0" y="0"/>
            <wp:positionH relativeFrom="column">
              <wp:posOffset>511810</wp:posOffset>
            </wp:positionH>
            <wp:positionV relativeFrom="paragraph">
              <wp:posOffset>36830</wp:posOffset>
            </wp:positionV>
            <wp:extent cx="4842510" cy="2413635"/>
            <wp:effectExtent l="0" t="0" r="15240" b="24765"/>
            <wp:wrapTight wrapText="bothSides">
              <wp:wrapPolygon edited="0">
                <wp:start x="0" y="0"/>
                <wp:lineTo x="0" y="21651"/>
                <wp:lineTo x="21583" y="21651"/>
                <wp:lineTo x="21583"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4B437A" w:rsidRDefault="004B437A" w:rsidP="004B437A">
      <w:pPr>
        <w:pStyle w:val="Para1"/>
        <w:numPr>
          <w:ilvl w:val="0"/>
          <w:numId w:val="0"/>
        </w:numPr>
        <w:rPr>
          <w:b/>
          <w:sz w:val="18"/>
        </w:rPr>
      </w:pPr>
    </w:p>
    <w:p w:rsidR="004B437A" w:rsidRDefault="004B437A" w:rsidP="004B437A">
      <w:pPr>
        <w:pStyle w:val="Para1"/>
        <w:numPr>
          <w:ilvl w:val="0"/>
          <w:numId w:val="0"/>
        </w:numPr>
        <w:rPr>
          <w:b/>
          <w:sz w:val="18"/>
        </w:rPr>
      </w:pPr>
    </w:p>
    <w:p w:rsidR="004B437A" w:rsidRDefault="004B437A" w:rsidP="004B437A">
      <w:pPr>
        <w:pStyle w:val="Para1"/>
        <w:numPr>
          <w:ilvl w:val="0"/>
          <w:numId w:val="0"/>
        </w:numPr>
        <w:rPr>
          <w:b/>
          <w:sz w:val="18"/>
        </w:rPr>
      </w:pPr>
    </w:p>
    <w:p w:rsidR="004B437A" w:rsidRDefault="004B437A" w:rsidP="004B437A">
      <w:pPr>
        <w:pStyle w:val="Para1"/>
        <w:numPr>
          <w:ilvl w:val="0"/>
          <w:numId w:val="0"/>
        </w:numPr>
        <w:rPr>
          <w:b/>
          <w:sz w:val="18"/>
        </w:rPr>
      </w:pPr>
    </w:p>
    <w:p w:rsidR="003400D7" w:rsidRDefault="003400D7" w:rsidP="00F50D89">
      <w:pPr>
        <w:pStyle w:val="Para1"/>
        <w:numPr>
          <w:ilvl w:val="0"/>
          <w:numId w:val="0"/>
        </w:numPr>
        <w:jc w:val="center"/>
        <w:rPr>
          <w:b/>
          <w:sz w:val="18"/>
        </w:rPr>
      </w:pPr>
    </w:p>
    <w:p w:rsidR="003400D7" w:rsidRDefault="003400D7" w:rsidP="00F50D89">
      <w:pPr>
        <w:pStyle w:val="Para1"/>
        <w:numPr>
          <w:ilvl w:val="0"/>
          <w:numId w:val="0"/>
        </w:numPr>
        <w:jc w:val="center"/>
        <w:rPr>
          <w:b/>
          <w:sz w:val="18"/>
        </w:rPr>
      </w:pPr>
    </w:p>
    <w:p w:rsidR="003400D7" w:rsidRDefault="003400D7" w:rsidP="00F50D89">
      <w:pPr>
        <w:pStyle w:val="Para1"/>
        <w:numPr>
          <w:ilvl w:val="0"/>
          <w:numId w:val="0"/>
        </w:numPr>
        <w:jc w:val="center"/>
        <w:rPr>
          <w:b/>
          <w:sz w:val="18"/>
        </w:rPr>
      </w:pPr>
    </w:p>
    <w:p w:rsidR="003400D7" w:rsidRDefault="003400D7" w:rsidP="00F50D89">
      <w:pPr>
        <w:pStyle w:val="Para1"/>
        <w:numPr>
          <w:ilvl w:val="0"/>
          <w:numId w:val="0"/>
        </w:numPr>
        <w:jc w:val="center"/>
        <w:rPr>
          <w:b/>
          <w:sz w:val="18"/>
        </w:rPr>
      </w:pPr>
    </w:p>
    <w:p w:rsidR="003400D7" w:rsidRDefault="003400D7" w:rsidP="00F50D89">
      <w:pPr>
        <w:pStyle w:val="Para1"/>
        <w:numPr>
          <w:ilvl w:val="0"/>
          <w:numId w:val="0"/>
        </w:numPr>
        <w:jc w:val="center"/>
        <w:rPr>
          <w:b/>
          <w:sz w:val="18"/>
        </w:rPr>
      </w:pPr>
    </w:p>
    <w:p w:rsidR="003400D7" w:rsidRDefault="003400D7" w:rsidP="00F50D89">
      <w:pPr>
        <w:pStyle w:val="Para1"/>
        <w:numPr>
          <w:ilvl w:val="0"/>
          <w:numId w:val="0"/>
        </w:numPr>
        <w:jc w:val="center"/>
        <w:rPr>
          <w:b/>
          <w:sz w:val="18"/>
        </w:rPr>
      </w:pPr>
    </w:p>
    <w:p w:rsidR="003400D7" w:rsidRDefault="003400D7" w:rsidP="00F50D89">
      <w:pPr>
        <w:pStyle w:val="Para1"/>
        <w:numPr>
          <w:ilvl w:val="0"/>
          <w:numId w:val="0"/>
        </w:numPr>
        <w:jc w:val="center"/>
        <w:rPr>
          <w:b/>
          <w:sz w:val="18"/>
        </w:rPr>
      </w:pPr>
    </w:p>
    <w:p w:rsidR="00F50D89" w:rsidRPr="00CD3B28" w:rsidRDefault="00F46B3B" w:rsidP="00CD3B28">
      <w:pPr>
        <w:pStyle w:val="Para1"/>
        <w:numPr>
          <w:ilvl w:val="0"/>
          <w:numId w:val="0"/>
        </w:numPr>
        <w:jc w:val="center"/>
        <w:rPr>
          <w:sz w:val="18"/>
        </w:rPr>
      </w:pPr>
      <w:r w:rsidRPr="007F5C56">
        <w:rPr>
          <w:b/>
          <w:sz w:val="18"/>
        </w:rPr>
        <w:t xml:space="preserve">Figure </w:t>
      </w:r>
      <w:r w:rsidR="00AB5D33">
        <w:rPr>
          <w:b/>
          <w:sz w:val="18"/>
        </w:rPr>
        <w:t>1</w:t>
      </w:r>
      <w:r w:rsidR="00180050">
        <w:rPr>
          <w:b/>
          <w:sz w:val="18"/>
        </w:rPr>
        <w:t>1</w:t>
      </w:r>
      <w:r w:rsidR="00F50D89" w:rsidRPr="007F5C56">
        <w:rPr>
          <w:b/>
          <w:sz w:val="18"/>
        </w:rPr>
        <w:t xml:space="preserve">. </w:t>
      </w:r>
      <w:r w:rsidR="00CD3B28" w:rsidRPr="007F5C56">
        <w:rPr>
          <w:sz w:val="18"/>
        </w:rPr>
        <w:t>Percentage</w:t>
      </w:r>
      <w:r w:rsidR="00CD3B28" w:rsidRPr="00CD3B28">
        <w:rPr>
          <w:sz w:val="18"/>
        </w:rPr>
        <w:t xml:space="preserve"> changes in the proportion of sites in the WDPA under non-state governance. Note: During this time, sites governed by governments increased from 82 to 84%, and those with their governance type unreported fell from 11 to 8%</w:t>
      </w:r>
      <w:r w:rsidR="00EE0458" w:rsidRPr="00CD3B28">
        <w:rPr>
          <w:sz w:val="18"/>
        </w:rPr>
        <w:t>.</w:t>
      </w:r>
      <w:r w:rsidR="00F55CFD">
        <w:rPr>
          <w:rStyle w:val="FootnoteReference"/>
        </w:rPr>
        <w:footnoteReference w:id="88"/>
      </w:r>
      <w:r w:rsidR="00F50D89" w:rsidRPr="00CD3B28">
        <w:rPr>
          <w:sz w:val="18"/>
        </w:rPr>
        <w:t xml:space="preserve"> </w:t>
      </w:r>
    </w:p>
    <w:p w:rsidR="005F2AC7" w:rsidRPr="005F2AC7" w:rsidRDefault="005F2AC7" w:rsidP="00FA00FD">
      <w:pPr>
        <w:pStyle w:val="Para1"/>
      </w:pPr>
      <w:r>
        <w:t>Effective and equitable governance in protected areas requires the application of ‘good governance’ principles.</w:t>
      </w:r>
      <w:r w:rsidR="00FA00FD">
        <w:t xml:space="preserve"> </w:t>
      </w:r>
      <w:r w:rsidR="00FA00FD" w:rsidRPr="00FA00FD">
        <w:t xml:space="preserve">Good governance </w:t>
      </w:r>
      <w:r w:rsidR="00FA00FD">
        <w:t xml:space="preserve">requires that any potential negative impacts are evaluated and </w:t>
      </w:r>
      <w:r w:rsidR="00FA00FD" w:rsidRPr="00FA00FD">
        <w:t xml:space="preserve">monitored and </w:t>
      </w:r>
      <w:r w:rsidR="009E0614">
        <w:t xml:space="preserve">then </w:t>
      </w:r>
      <w:r w:rsidR="00FA00FD" w:rsidRPr="00FA00FD">
        <w:t xml:space="preserve">avoided or mitigated, </w:t>
      </w:r>
      <w:r w:rsidR="009E0614">
        <w:t xml:space="preserve">as well as enhancing </w:t>
      </w:r>
      <w:r w:rsidR="009E0614" w:rsidRPr="00FA00FD">
        <w:t xml:space="preserve">positive impacts </w:t>
      </w:r>
      <w:r w:rsidR="009E0614">
        <w:t>of protecte</w:t>
      </w:r>
      <w:r w:rsidR="00FA00FD" w:rsidRPr="00FA00FD">
        <w:t>d</w:t>
      </w:r>
      <w:r w:rsidR="009E0614">
        <w:t xml:space="preserve"> areas.</w:t>
      </w:r>
      <w:r w:rsidR="009E0614">
        <w:rPr>
          <w:rStyle w:val="FootnoteReference"/>
        </w:rPr>
        <w:footnoteReference w:id="89"/>
      </w:r>
      <w:r w:rsidR="00FA00FD" w:rsidRPr="00FA00FD">
        <w:t xml:space="preserve"> The IUCN principles of good governance for protected areas highlight the need for legitimacy and voice; direction; performance; accountability; and fairness and rights.</w:t>
      </w:r>
    </w:p>
    <w:p w:rsidR="00074E3B" w:rsidRDefault="00DE3CAF" w:rsidP="00324E6F">
      <w:pPr>
        <w:pStyle w:val="Para1"/>
      </w:pPr>
      <w:r>
        <w:lastRenderedPageBreak/>
        <w:t>One of the e</w:t>
      </w:r>
      <w:r w:rsidR="00324E6F" w:rsidRPr="00DE3CAF">
        <w:t>lement</w:t>
      </w:r>
      <w:r>
        <w:t>s</w:t>
      </w:r>
      <w:r w:rsidR="00324E6F" w:rsidRPr="00DE3CAF">
        <w:t xml:space="preserve"> of good governance</w:t>
      </w:r>
      <w:r>
        <w:t xml:space="preserve"> is equity</w:t>
      </w:r>
      <w:r w:rsidR="00324E6F" w:rsidRPr="00DE3CAF">
        <w:t>. In simple terms, equity means fairness, and is closely related to the concept of justice.</w:t>
      </w:r>
      <w:r w:rsidR="00324E6F" w:rsidRPr="00DE3CAF">
        <w:rPr>
          <w:b/>
        </w:rPr>
        <w:t xml:space="preserve">  </w:t>
      </w:r>
      <w:r w:rsidR="00324E6F" w:rsidRPr="00DE3CAF">
        <w:t>It can be divided into three dimensions</w:t>
      </w:r>
      <w:r>
        <w:t>, including: ‘</w:t>
      </w:r>
      <w:r w:rsidR="0047530C" w:rsidRPr="0047530C">
        <w:t>recognition</w:t>
      </w:r>
      <w:r>
        <w:t>’, meaning acknowledgement and respect for rights, knowledge systems, values and institutions of involved actors; ‘procedure’, referring to participation in decision-making, transparency, and accountability; and ‘distribution’ of costs and benefits across the set of actors.</w:t>
      </w:r>
      <w:r>
        <w:rPr>
          <w:rStyle w:val="FootnoteReference"/>
        </w:rPr>
        <w:footnoteReference w:id="90"/>
      </w:r>
      <w:r>
        <w:t xml:space="preserve"> </w:t>
      </w:r>
    </w:p>
    <w:p w:rsidR="0047530C" w:rsidRPr="00CF6098" w:rsidRDefault="00074E3B" w:rsidP="00324E6F">
      <w:pPr>
        <w:pStyle w:val="Para1"/>
      </w:pPr>
      <w:r w:rsidRPr="00485383">
        <w:t>To assess equity</w:t>
      </w:r>
      <w:r w:rsidR="006F435A">
        <w:t xml:space="preserve"> in protected areas</w:t>
      </w:r>
      <w:r w:rsidR="006F435A" w:rsidRPr="006F435A">
        <w:rPr>
          <w:b/>
        </w:rPr>
        <w:t xml:space="preserve"> </w:t>
      </w:r>
      <w:r w:rsidRPr="00485383">
        <w:t xml:space="preserve">a mix of social and governance assessments </w:t>
      </w:r>
      <w:r w:rsidR="006F435A">
        <w:t>could be used. G</w:t>
      </w:r>
      <w:r w:rsidRPr="00074E3B">
        <w:t xml:space="preserve">overnance assessment </w:t>
      </w:r>
      <w:r>
        <w:t>looks at</w:t>
      </w:r>
      <w:r w:rsidRPr="00074E3B">
        <w:t xml:space="preserve"> the quality of the governance arrangements</w:t>
      </w:r>
      <w:r>
        <w:t xml:space="preserve"> in relation to goo</w:t>
      </w:r>
      <w:r w:rsidRPr="00074E3B">
        <w:t xml:space="preserve">d governance </w:t>
      </w:r>
      <w:r w:rsidR="006F435A" w:rsidRPr="00074E3B">
        <w:t>principles</w:t>
      </w:r>
      <w:r w:rsidR="006F435A">
        <w:t>;</w:t>
      </w:r>
      <w:r>
        <w:t xml:space="preserve"> while social assessment</w:t>
      </w:r>
      <w:r w:rsidR="006F435A">
        <w:t xml:space="preserve">s go further to </w:t>
      </w:r>
      <w:r w:rsidR="006F435A" w:rsidRPr="006F435A">
        <w:t>understand the impact</w:t>
      </w:r>
      <w:r w:rsidR="006F435A">
        <w:t>s</w:t>
      </w:r>
      <w:r w:rsidR="006F435A" w:rsidRPr="006F435A">
        <w:t xml:space="preserve"> on human wellbeing</w:t>
      </w:r>
      <w:r w:rsidR="006F435A">
        <w:t xml:space="preserve">, which is an important aspect of equity. </w:t>
      </w:r>
      <w:r w:rsidR="005F2AC7">
        <w:t>An equity framework, proposed to assess progress on equitable protected area management</w:t>
      </w:r>
      <w:r>
        <w:t>,</w:t>
      </w:r>
      <w:r w:rsidR="005F2AC7">
        <w:t xml:space="preserve"> includes 16 principles nested under the three key dimensions</w:t>
      </w:r>
      <w:r w:rsidR="00D5328C">
        <w:t xml:space="preserve"> of equity</w:t>
      </w:r>
      <w:r w:rsidR="005F2AC7">
        <w:t xml:space="preserve">, </w:t>
      </w:r>
      <w:r w:rsidR="0047530C">
        <w:t>all embedded within a set of enabling conditions.</w:t>
      </w:r>
      <w:r w:rsidR="0047530C">
        <w:rPr>
          <w:rStyle w:val="FootnoteReference"/>
        </w:rPr>
        <w:footnoteReference w:id="91"/>
      </w:r>
      <w:r w:rsidR="0047530C">
        <w:t xml:space="preserve"> </w:t>
      </w:r>
      <w:r w:rsidR="0047530C" w:rsidRPr="00DE3CAF">
        <w:t xml:space="preserve">A preliminary set of 10 indicators, covering the three dimensions of equity has been proposed, and could provide </w:t>
      </w:r>
      <w:r w:rsidR="00DE3CAF">
        <w:t>one</w:t>
      </w:r>
      <w:r w:rsidR="0047530C" w:rsidRPr="00DE3CAF">
        <w:t xml:space="preserve"> </w:t>
      </w:r>
      <w:r w:rsidR="00097051">
        <w:t>method</w:t>
      </w:r>
      <w:r w:rsidR="0047530C" w:rsidRPr="00DE3CAF">
        <w:t xml:space="preserve"> to address reporting on </w:t>
      </w:r>
      <w:r w:rsidR="005F2AC7" w:rsidRPr="00DE3CAF">
        <w:t>this</w:t>
      </w:r>
      <w:r w:rsidR="0047530C" w:rsidRPr="00DE3CAF">
        <w:t xml:space="preserve"> element.</w:t>
      </w:r>
      <w:r w:rsidR="00DE3CAF">
        <w:rPr>
          <w:rStyle w:val="FootnoteReference"/>
        </w:rPr>
        <w:footnoteReference w:id="92"/>
      </w:r>
      <w:r w:rsidR="0047530C" w:rsidRPr="006F435A">
        <w:rPr>
          <w:b/>
        </w:rPr>
        <w:t xml:space="preserve"> </w:t>
      </w:r>
      <w:r w:rsidRPr="006F435A">
        <w:rPr>
          <w:rFonts w:cs="Times New Roman"/>
          <w:lang w:eastAsia="en-GB"/>
        </w:rPr>
        <w:t>This sort of ‘</w:t>
      </w:r>
      <w:r w:rsidR="0047530C" w:rsidRPr="006F435A">
        <w:rPr>
          <w:rFonts w:cs="Times New Roman"/>
          <w:lang w:eastAsia="en-GB"/>
        </w:rPr>
        <w:t>universal scorecard approach</w:t>
      </w:r>
      <w:r w:rsidRPr="006F435A">
        <w:rPr>
          <w:rFonts w:cs="Times New Roman"/>
          <w:lang w:eastAsia="en-GB"/>
        </w:rPr>
        <w:t>’ despite the limitations with its use at a site level, would be useful for the a</w:t>
      </w:r>
      <w:r w:rsidR="0047530C" w:rsidRPr="006F435A">
        <w:rPr>
          <w:rFonts w:cs="Times New Roman"/>
          <w:lang w:eastAsia="en-GB"/>
        </w:rPr>
        <w:t>ggregat</w:t>
      </w:r>
      <w:r w:rsidRPr="006F435A">
        <w:rPr>
          <w:rFonts w:cs="Times New Roman"/>
          <w:lang w:eastAsia="en-GB"/>
        </w:rPr>
        <w:t xml:space="preserve">ion of </w:t>
      </w:r>
      <w:r w:rsidR="0047530C" w:rsidRPr="006F435A">
        <w:rPr>
          <w:rFonts w:cs="Times New Roman"/>
          <w:lang w:eastAsia="en-GB"/>
        </w:rPr>
        <w:t>results at national and global levels, and</w:t>
      </w:r>
      <w:r w:rsidRPr="006F435A">
        <w:rPr>
          <w:rFonts w:cs="Times New Roman"/>
          <w:lang w:eastAsia="en-GB"/>
        </w:rPr>
        <w:t xml:space="preserve"> could be a </w:t>
      </w:r>
      <w:r w:rsidR="0047530C" w:rsidRPr="006F435A">
        <w:rPr>
          <w:rFonts w:cs="Times New Roman"/>
          <w:lang w:eastAsia="en-GB"/>
        </w:rPr>
        <w:t>good starting point.</w:t>
      </w:r>
      <w:r>
        <w:rPr>
          <w:rStyle w:val="FootnoteReference"/>
          <w:rFonts w:cs="Times New Roman"/>
          <w:lang w:eastAsia="en-GB"/>
        </w:rPr>
        <w:footnoteReference w:id="93"/>
      </w:r>
    </w:p>
    <w:p w:rsidR="005F2AC7" w:rsidRDefault="00CF6098" w:rsidP="005F2AC7">
      <w:pPr>
        <w:pStyle w:val="Para1"/>
      </w:pPr>
      <w:r w:rsidRPr="00D1214D">
        <w:t>Despite advances in guidance with respect to governance assessment, and with at least 29 different governance assessment methodologies for protected areas and related contexts, applications of site-based assessments remain limited, with the notable exception of Nepal.</w:t>
      </w:r>
      <w:r>
        <w:rPr>
          <w:rStyle w:val="FootnoteReference"/>
        </w:rPr>
        <w:footnoteReference w:id="94"/>
      </w:r>
      <w:r w:rsidR="005F2AC7">
        <w:t xml:space="preserve"> Further work needs to be done to ensure that criteria for assessing and reporting on this element of Target 11 are more systematically and broadly applied. </w:t>
      </w:r>
    </w:p>
    <w:p w:rsidR="00235D30" w:rsidRDefault="00235D30" w:rsidP="00235D30">
      <w:pPr>
        <w:pStyle w:val="Para1"/>
      </w:pPr>
      <w:r>
        <w:t>Eighty</w:t>
      </w:r>
      <w:r w:rsidRPr="00115263">
        <w:t xml:space="preserve"> countries, following the six regional workshops, have submitted 16</w:t>
      </w:r>
      <w:r>
        <w:t>3</w:t>
      </w:r>
      <w:r w:rsidRPr="00115263">
        <w:t xml:space="preserve"> priority actions addressing equity and governance issues in </w:t>
      </w:r>
      <w:r>
        <w:t xml:space="preserve">their </w:t>
      </w:r>
      <w:r w:rsidRPr="00115263">
        <w:t>protected areas</w:t>
      </w:r>
      <w:r>
        <w:t xml:space="preserve">. These cover a range of priorities, including but not limited to: recognizing a diversity of governance types in protected and conserved areas; ensuring active stakeholder participation; carrying out governance assessments in protected areas; and ensuring equity in the distribution of benefits arising from protected areas. </w:t>
      </w:r>
    </w:p>
    <w:p w:rsidR="009D450A" w:rsidRPr="009354EF" w:rsidRDefault="009D450A" w:rsidP="009D450A">
      <w:pPr>
        <w:pStyle w:val="Para1"/>
        <w:rPr>
          <w:rStyle w:val="Strong"/>
          <w:rFonts w:cs="Times New Roman"/>
          <w:bCs/>
        </w:rPr>
      </w:pPr>
      <w:r w:rsidRPr="00CD3B28">
        <w:t xml:space="preserve">Pursuant to paragraph 9(a(i-iv)) of decision </w:t>
      </w:r>
      <w:hyperlink r:id="rId55" w:history="1">
        <w:r w:rsidRPr="00437D3B">
          <w:rPr>
            <w:rStyle w:val="Hyperlink"/>
          </w:rPr>
          <w:t>XIII/2</w:t>
        </w:r>
      </w:hyperlink>
      <w:r w:rsidRPr="00CD3B28">
        <w:t>, the Secretariat had issued notification</w:t>
      </w:r>
      <w:r w:rsidRPr="00CD3B28">
        <w:rPr>
          <w:snapToGrid w:val="0"/>
          <w:kern w:val="22"/>
        </w:rPr>
        <w:t xml:space="preserve"> </w:t>
      </w:r>
      <w:hyperlink r:id="rId56" w:history="1">
        <w:r w:rsidRPr="00CD3B28">
          <w:rPr>
            <w:rStyle w:val="Hyperlink"/>
            <w:rFonts w:cs="Times New Roman"/>
            <w:snapToGrid w:val="0"/>
            <w:kern w:val="22"/>
          </w:rPr>
          <w:t>2017-065</w:t>
        </w:r>
      </w:hyperlink>
      <w:r w:rsidRPr="00CD3B28">
        <w:t xml:space="preserve">, inviting, </w:t>
      </w:r>
      <w:r w:rsidRPr="00CD3B28">
        <w:rPr>
          <w:i/>
        </w:rPr>
        <w:t>inter alia</w:t>
      </w:r>
      <w:r w:rsidRPr="00CD3B28">
        <w:t xml:space="preserve">, Parties and other </w:t>
      </w:r>
      <w:r w:rsidR="00F55BA8">
        <w:t>G</w:t>
      </w:r>
      <w:r w:rsidRPr="00CD3B28">
        <w:t>overnments, relevant partners and regional agencies to submit information and experiences on the various</w:t>
      </w:r>
      <w:r w:rsidR="00FD1FC1" w:rsidRPr="00CD3B28">
        <w:t xml:space="preserve"> </w:t>
      </w:r>
      <w:r w:rsidRPr="00CD3B28">
        <w:t>su</w:t>
      </w:r>
      <w:r w:rsidR="00FD1FC1" w:rsidRPr="00CD3B28">
        <w:t xml:space="preserve">b-items, including </w:t>
      </w:r>
      <w:r w:rsidR="002B2F91" w:rsidRPr="00CD3B28">
        <w:t xml:space="preserve">(iv) on </w:t>
      </w:r>
      <w:r w:rsidRPr="00CD3B28">
        <w:t>effective governance models for management of protected areas, including equity, taking into account work being undertaken under</w:t>
      </w:r>
      <w:r w:rsidRPr="009354EF">
        <w:t xml:space="preserve"> Article 8(j). A total of 23 Parties and organizations had responded and 39 documents were submitted. Then, pursuant to paragraph 10(a) of the same decision the corresponding voluntary guidance</w:t>
      </w:r>
      <w:r w:rsidRPr="009354EF">
        <w:rPr>
          <w:rStyle w:val="FootnoteReference"/>
          <w:rFonts w:cs="Times New Roman"/>
        </w:rPr>
        <w:footnoteReference w:id="95"/>
      </w:r>
      <w:r w:rsidRPr="009354EF">
        <w:t xml:space="preserve"> is prepared and presented as annex II</w:t>
      </w:r>
      <w:r w:rsidRPr="009354EF">
        <w:rPr>
          <w:rStyle w:val="FootnoteReference"/>
          <w:rFonts w:cs="Times New Roman"/>
        </w:rPr>
        <w:footnoteReference w:id="96"/>
      </w:r>
      <w:r w:rsidRPr="009354EF">
        <w:t xml:space="preserve"> in the pre</w:t>
      </w:r>
      <w:r>
        <w:t>-</w:t>
      </w:r>
      <w:r w:rsidRPr="009354EF">
        <w:t>session document submitted to SBSTTA 22</w:t>
      </w:r>
      <w:r w:rsidRPr="009354EF">
        <w:rPr>
          <w:rStyle w:val="Strong"/>
          <w:rFonts w:cs="Times New Roman"/>
        </w:rPr>
        <w:t xml:space="preserve">. </w:t>
      </w:r>
      <w:r w:rsidRPr="009D450A">
        <w:rPr>
          <w:rStyle w:val="Strong"/>
          <w:rFonts w:cs="Times New Roman"/>
          <w:b w:val="0"/>
        </w:rPr>
        <w:t>An information document</w:t>
      </w:r>
      <w:r>
        <w:rPr>
          <w:rStyle w:val="FootnoteReference"/>
          <w:rFonts w:cs="Times New Roman"/>
          <w:bCs w:val="0"/>
        </w:rPr>
        <w:footnoteReference w:id="97"/>
      </w:r>
      <w:r w:rsidRPr="009D450A">
        <w:rPr>
          <w:rStyle w:val="Strong"/>
          <w:rFonts w:cs="Times New Roman"/>
          <w:b w:val="0"/>
        </w:rPr>
        <w:t xml:space="preserve"> is also presented to SBSTTA 22 in support of this voluntary guidance.</w:t>
      </w:r>
      <w:r w:rsidRPr="009354EF">
        <w:rPr>
          <w:rStyle w:val="Strong"/>
          <w:rFonts w:cs="Times New Roman"/>
        </w:rPr>
        <w:t xml:space="preserve"> </w:t>
      </w:r>
    </w:p>
    <w:p w:rsidR="0047530C" w:rsidRDefault="0047530C" w:rsidP="0047530C">
      <w:pPr>
        <w:pStyle w:val="Para1"/>
      </w:pPr>
      <w:r w:rsidRPr="0047530C">
        <w:t>The IUCN Green List of Protected and Conserved Areas Standard includes four components, addressing all aspects of the management elements of Target 11, namely, good governance, sound design and planning, and effective management, which all support successful conservation outcomes</w:t>
      </w:r>
      <w:r w:rsidR="00851844">
        <w:t>.</w:t>
      </w:r>
      <w:r w:rsidR="00851844">
        <w:rPr>
          <w:rStyle w:val="FootnoteReference"/>
        </w:rPr>
        <w:footnoteReference w:id="98"/>
      </w:r>
      <w:r w:rsidRPr="0047530C">
        <w:t xml:space="preserve"> The goal of the Green List is to “increase the number of Protected and Conserved Areas (PAs) that are effectively </w:t>
      </w:r>
      <w:r w:rsidRPr="0047530C">
        <w:lastRenderedPageBreak/>
        <w:t>and equitably managed and deliver conservation outcomes</w:t>
      </w:r>
      <w:r w:rsidR="00851844">
        <w:t>.</w:t>
      </w:r>
      <w:r w:rsidRPr="0047530C">
        <w:t>”</w:t>
      </w:r>
      <w:r w:rsidR="00851844">
        <w:rPr>
          <w:rStyle w:val="FootnoteReference"/>
        </w:rPr>
        <w:footnoteReference w:id="99"/>
      </w:r>
      <w:r w:rsidRPr="0047530C">
        <w:t xml:space="preserve"> Criteria for assessing good governance include: guaranteeing legitimacy and voice; achiev</w:t>
      </w:r>
      <w:r w:rsidR="006A0370">
        <w:t>ing</w:t>
      </w:r>
      <w:r w:rsidRPr="0047530C">
        <w:t xml:space="preserve"> transparency and accountability; and enabling capacity to respond adaptively. </w:t>
      </w:r>
      <w:r>
        <w:t xml:space="preserve">In Decision </w:t>
      </w:r>
      <w:hyperlink r:id="rId57" w:history="1">
        <w:r w:rsidRPr="00437D3B">
          <w:rPr>
            <w:rStyle w:val="Hyperlink"/>
          </w:rPr>
          <w:t>XIII/2</w:t>
        </w:r>
      </w:hyperlink>
      <w:r>
        <w:t xml:space="preserve">, </w:t>
      </w:r>
      <w:r w:rsidR="00851844">
        <w:t xml:space="preserve">the COP invited </w:t>
      </w:r>
      <w:r w:rsidRPr="0047530C">
        <w:t>Parties to promote the IUCN Green List of Protected and Conserved Areas as a voluntary standard to promote and encourage protected area management effectiveness; and to undertake or participate in, where relevant, national protected area governance assessments with a view to promoting, recognising and improving governance diversity, efficiency and equity in protected area systems</w:t>
      </w:r>
      <w:r>
        <w:t>.</w:t>
      </w:r>
    </w:p>
    <w:p w:rsidR="00B13214" w:rsidRPr="00180050" w:rsidRDefault="00FD1FC1" w:rsidP="00FD1FC1">
      <w:pPr>
        <w:pStyle w:val="Para1"/>
      </w:pPr>
      <w:r w:rsidRPr="00180050">
        <w:t xml:space="preserve">With </w:t>
      </w:r>
      <w:r w:rsidR="00CA737C" w:rsidRPr="00180050">
        <w:t>increased</w:t>
      </w:r>
      <w:r w:rsidRPr="00180050">
        <w:t xml:space="preserve"> reporting on governance type for all protected areas, and </w:t>
      </w:r>
      <w:r w:rsidR="00A04F5A" w:rsidRPr="00180050">
        <w:t>a continued increase</w:t>
      </w:r>
      <w:r w:rsidRPr="00180050">
        <w:t xml:space="preserve"> in the number of sites governed by non-state actors, progress with respect to </w:t>
      </w:r>
      <w:r w:rsidR="00482CA3" w:rsidRPr="00180050">
        <w:t xml:space="preserve">the </w:t>
      </w:r>
      <w:r w:rsidRPr="00180050">
        <w:t>governance diversity</w:t>
      </w:r>
      <w:r w:rsidR="00482CA3" w:rsidRPr="00180050">
        <w:t xml:space="preserve"> aspect of this element will </w:t>
      </w:r>
      <w:r w:rsidRPr="00180050">
        <w:t xml:space="preserve">continue. Systematic application of governance and social assessments at </w:t>
      </w:r>
      <w:r w:rsidR="00A04F5A" w:rsidRPr="00180050">
        <w:t>the</w:t>
      </w:r>
      <w:r w:rsidRPr="00180050">
        <w:t xml:space="preserve"> site and system </w:t>
      </w:r>
      <w:r w:rsidR="00A04F5A" w:rsidRPr="00180050">
        <w:t>level</w:t>
      </w:r>
      <w:r w:rsidRPr="00180050">
        <w:t xml:space="preserve"> </w:t>
      </w:r>
      <w:r w:rsidR="00F55BA8" w:rsidRPr="00180050">
        <w:t>would</w:t>
      </w:r>
      <w:r w:rsidR="00A04F5A" w:rsidRPr="00180050">
        <w:t xml:space="preserve"> help to </w:t>
      </w:r>
      <w:r w:rsidRPr="00180050">
        <w:t>establish baselines and identify relevant actions</w:t>
      </w:r>
      <w:r w:rsidR="004D5D5D" w:rsidRPr="00180050">
        <w:t xml:space="preserve"> necessary</w:t>
      </w:r>
      <w:r w:rsidRPr="00180050">
        <w:t xml:space="preserve"> </w:t>
      </w:r>
      <w:r w:rsidR="00A04F5A" w:rsidRPr="00180050">
        <w:t>for enhancing the quality, effectiveness and equity of protected area governance.</w:t>
      </w:r>
    </w:p>
    <w:p w:rsidR="006F70E2" w:rsidRDefault="006F70E2" w:rsidP="006F70E2">
      <w:pPr>
        <w:pStyle w:val="Heading1"/>
        <w:numPr>
          <w:ilvl w:val="0"/>
          <w:numId w:val="9"/>
        </w:numPr>
      </w:pPr>
      <w:r w:rsidRPr="00576654">
        <w:t>O</w:t>
      </w:r>
      <w:r>
        <w:t>THER EFFECTIVE AREA-BASED CONSERVATION MEASURES</w:t>
      </w:r>
    </w:p>
    <w:p w:rsidR="009D450A" w:rsidRDefault="006F70E2" w:rsidP="00C006F2">
      <w:pPr>
        <w:pStyle w:val="Para1"/>
      </w:pPr>
      <w:r w:rsidRPr="00576654">
        <w:t xml:space="preserve">In recognition of the important role that areas outside of formally recognised protected area </w:t>
      </w:r>
      <w:r w:rsidRPr="006E6336">
        <w:t xml:space="preserve">networks may offer for the effective </w:t>
      </w:r>
      <w:r w:rsidRPr="006E6336">
        <w:rPr>
          <w:i/>
        </w:rPr>
        <w:t>in-situ</w:t>
      </w:r>
      <w:r w:rsidRPr="006E6336">
        <w:t xml:space="preserve"> conservation of biodiversity, </w:t>
      </w:r>
      <w:r w:rsidR="00C83A1A" w:rsidRPr="006E6336">
        <w:t>Target 11 allows for both p</w:t>
      </w:r>
      <w:r w:rsidRPr="006E6336">
        <w:t>rotected areas and other effective area-based conservation measures (OECMs)</w:t>
      </w:r>
      <w:r w:rsidR="00C83A1A" w:rsidRPr="006E6336">
        <w:t xml:space="preserve"> to be designated to meet the requirements of the target</w:t>
      </w:r>
      <w:r w:rsidRPr="006E6336">
        <w:t>. Partly due to the lack of an agreed definition for OECMs</w:t>
      </w:r>
      <w:r w:rsidR="00C006F2" w:rsidRPr="006E6336">
        <w:t>,</w:t>
      </w:r>
      <w:r w:rsidRPr="006E6336">
        <w:t xml:space="preserve"> and guidance on their identification, to date protected areas have been the primary focus of efforts to achieve Target 11.</w:t>
      </w:r>
    </w:p>
    <w:p w:rsidR="009D450A" w:rsidRPr="000D0685" w:rsidRDefault="009D450A" w:rsidP="009D450A">
      <w:pPr>
        <w:pStyle w:val="Para1"/>
      </w:pPr>
      <w:r w:rsidRPr="000D0685">
        <w:t xml:space="preserve">In response to paragraphs 9(a(i)), 10(a) and 10(b) of decision </w:t>
      </w:r>
      <w:hyperlink r:id="rId58" w:history="1">
        <w:r w:rsidRPr="00437D3B">
          <w:rPr>
            <w:rStyle w:val="Hyperlink"/>
          </w:rPr>
          <w:t>XIII/2</w:t>
        </w:r>
      </w:hyperlink>
      <w:r>
        <w:t xml:space="preserve"> of the Conference of the Parties to the Convention</w:t>
      </w:r>
      <w:r w:rsidRPr="000D0685">
        <w:t>, the Executive Secretary convened the Technical Expert Workshop on Other Effective Area-based Conservation Measures for Achieving Aichi Biodiversity Target</w:t>
      </w:r>
      <w:r>
        <w:t> </w:t>
      </w:r>
      <w:r w:rsidRPr="000D0685">
        <w:t>11(</w:t>
      </w:r>
      <w:hyperlink r:id="rId59" w:history="1">
        <w:r w:rsidRPr="000D0685">
          <w:rPr>
            <w:color w:val="0000FF"/>
            <w:u w:val="single"/>
          </w:rPr>
          <w:t>2017-099</w:t>
        </w:r>
      </w:hyperlink>
      <w:r w:rsidRPr="000D0685">
        <w:t>)</w:t>
      </w:r>
      <w:r w:rsidRPr="001B06B5">
        <w:rPr>
          <w:rStyle w:val="FootnoteReference"/>
        </w:rPr>
        <w:footnoteReference w:id="100"/>
      </w:r>
      <w:r w:rsidRPr="000D0685">
        <w:t xml:space="preserve"> in Montreal, from 6 to 9 February 2018.</w:t>
      </w:r>
      <w:r>
        <w:t xml:space="preserve"> </w:t>
      </w:r>
      <w:r>
        <w:rPr>
          <w:lang w:val="en-CA" w:eastAsia="en-CA"/>
        </w:rPr>
        <w:t>The resulting “Scientific and technical advice on definition, management approaches and identification of other effective area-based conservation measures and their role in achieving Aichi Biodiversity Target 11” is presented in annex III of the pre-session document submitted to SBSTTA 22.</w:t>
      </w:r>
      <w:r w:rsidR="00FD1FC1">
        <w:rPr>
          <w:rStyle w:val="FootnoteReference"/>
          <w:lang w:val="en-CA" w:eastAsia="en-CA"/>
        </w:rPr>
        <w:footnoteReference w:id="101"/>
      </w:r>
      <w:r>
        <w:rPr>
          <w:lang w:val="en-CA" w:eastAsia="en-CA"/>
        </w:rPr>
        <w:t xml:space="preserve"> The report of the workshop was also presented as information document</w:t>
      </w:r>
      <w:r w:rsidR="008B3E21">
        <w:rPr>
          <w:rStyle w:val="FootnoteReference"/>
          <w:lang w:val="en-CA" w:eastAsia="en-CA"/>
        </w:rPr>
        <w:footnoteReference w:id="102"/>
      </w:r>
      <w:r>
        <w:rPr>
          <w:lang w:val="en-CA" w:eastAsia="en-CA"/>
        </w:rPr>
        <w:t xml:space="preserve"> to support the advice. </w:t>
      </w:r>
    </w:p>
    <w:p w:rsidR="006E6336" w:rsidRPr="006E6336" w:rsidRDefault="006E6336" w:rsidP="00C6509A">
      <w:pPr>
        <w:pStyle w:val="Para1"/>
      </w:pPr>
      <w:r w:rsidRPr="006E6336">
        <w:t>The p</w:t>
      </w:r>
      <w:r w:rsidR="006F70E2" w:rsidRPr="006E6336">
        <w:t xml:space="preserve">otential </w:t>
      </w:r>
      <w:r w:rsidRPr="006E6336">
        <w:t xml:space="preserve">exists </w:t>
      </w:r>
      <w:r w:rsidR="006F70E2" w:rsidRPr="006E6336">
        <w:t>for OECMs to su</w:t>
      </w:r>
      <w:r w:rsidR="006834D3" w:rsidRPr="006E6336">
        <w:t>pport all elements of Target 11</w:t>
      </w:r>
      <w:r w:rsidRPr="006E6336">
        <w:t>. They will increase coverage of both terrestrial and marine areas, and may</w:t>
      </w:r>
      <w:r w:rsidRPr="0028256D">
        <w:t xml:space="preserve"> help fill some of </w:t>
      </w:r>
      <w:r>
        <w:t>the</w:t>
      </w:r>
      <w:r w:rsidRPr="0028256D">
        <w:t xml:space="preserve"> gaps in ecological representation</w:t>
      </w:r>
      <w:r>
        <w:t xml:space="preserve"> and the coverage of areas important for biodiversity and ecosystem services. OECMs may enhance </w:t>
      </w:r>
      <w:r w:rsidRPr="00984C64">
        <w:t xml:space="preserve">connectivity </w:t>
      </w:r>
      <w:r>
        <w:t>by acting as</w:t>
      </w:r>
      <w:r w:rsidRPr="00984C64">
        <w:t xml:space="preserve"> stepping stones or corridors</w:t>
      </w:r>
      <w:r>
        <w:t xml:space="preserve"> and may help to </w:t>
      </w:r>
      <w:r w:rsidRPr="004C47C7">
        <w:t xml:space="preserve">integrate </w:t>
      </w:r>
      <w:r>
        <w:t xml:space="preserve">sustainable </w:t>
      </w:r>
      <w:r w:rsidRPr="004C47C7">
        <w:t>productive activities</w:t>
      </w:r>
      <w:r>
        <w:t xml:space="preserve"> within networks of protected. It is expected that </w:t>
      </w:r>
      <w:r w:rsidRPr="002B67B8">
        <w:t xml:space="preserve">the tools developed for </w:t>
      </w:r>
      <w:r>
        <w:t xml:space="preserve">assessing </w:t>
      </w:r>
      <w:r w:rsidRPr="002B67B8">
        <w:t xml:space="preserve">protected area management effectiveness evaluations, </w:t>
      </w:r>
      <w:r>
        <w:t>with</w:t>
      </w:r>
      <w:r w:rsidRPr="002B67B8">
        <w:t xml:space="preserve"> additional quantitative information on biodiversity outcomes</w:t>
      </w:r>
      <w:r>
        <w:t>, will also support the management effectiveness of OECMs.</w:t>
      </w:r>
      <w:r w:rsidR="004108C9">
        <w:t xml:space="preserve"> The same set of</w:t>
      </w:r>
      <w:r w:rsidR="004108C9" w:rsidRPr="00E252E6">
        <w:t xml:space="preserve"> governance types defined for protected areas </w:t>
      </w:r>
      <w:r w:rsidR="004108C9">
        <w:t>will</w:t>
      </w:r>
      <w:r w:rsidR="004108C9" w:rsidRPr="00E252E6">
        <w:t xml:space="preserve"> be applied to OECMs</w:t>
      </w:r>
      <w:r w:rsidR="004108C9">
        <w:t>, and with their focus on the delivery of</w:t>
      </w:r>
      <w:r w:rsidR="004108C9" w:rsidRPr="00516909">
        <w:t xml:space="preserve"> effective </w:t>
      </w:r>
      <w:r w:rsidR="004108C9" w:rsidRPr="00516909">
        <w:rPr>
          <w:i/>
          <w:iCs/>
        </w:rPr>
        <w:t>in-situ</w:t>
      </w:r>
      <w:r w:rsidR="004108C9" w:rsidRPr="00516909">
        <w:rPr>
          <w:iCs/>
        </w:rPr>
        <w:t xml:space="preserve"> </w:t>
      </w:r>
      <w:r w:rsidR="004108C9" w:rsidRPr="00516909">
        <w:t xml:space="preserve">conservation, </w:t>
      </w:r>
      <w:r w:rsidR="004108C9" w:rsidRPr="00516909">
        <w:rPr>
          <w:iCs/>
        </w:rPr>
        <w:t xml:space="preserve">regardless of </w:t>
      </w:r>
      <w:r w:rsidR="004108C9">
        <w:rPr>
          <w:iCs/>
        </w:rPr>
        <w:t>the primary management</w:t>
      </w:r>
      <w:r w:rsidR="004108C9" w:rsidRPr="00516909">
        <w:rPr>
          <w:iCs/>
        </w:rPr>
        <w:t xml:space="preserve"> objective</w:t>
      </w:r>
      <w:r w:rsidR="004108C9">
        <w:rPr>
          <w:iCs/>
        </w:rPr>
        <w:t xml:space="preserve">, OECMs may </w:t>
      </w:r>
      <w:r w:rsidR="0083616D">
        <w:rPr>
          <w:iCs/>
        </w:rPr>
        <w:t xml:space="preserve">help to increase governance diversity and </w:t>
      </w:r>
      <w:r w:rsidR="00097051">
        <w:rPr>
          <w:iCs/>
        </w:rPr>
        <w:t xml:space="preserve">address </w:t>
      </w:r>
      <w:r w:rsidR="0083616D">
        <w:rPr>
          <w:iCs/>
        </w:rPr>
        <w:t>equity aspects of Target 11.</w:t>
      </w:r>
      <w:r w:rsidR="004108C9">
        <w:rPr>
          <w:iCs/>
        </w:rPr>
        <w:t xml:space="preserve"> </w:t>
      </w:r>
    </w:p>
    <w:p w:rsidR="006F70E2" w:rsidRPr="00482CA3" w:rsidRDefault="00920CC7" w:rsidP="00A04F5A">
      <w:pPr>
        <w:pStyle w:val="Para1"/>
      </w:pPr>
      <w:r w:rsidRPr="00482CA3">
        <w:t>OECMs may also offer an important opportunity to increase recognition and support for ICCAs, subject to important caveats</w:t>
      </w:r>
      <w:r w:rsidR="00FD1FC1" w:rsidRPr="00482CA3">
        <w:t xml:space="preserve">. These </w:t>
      </w:r>
      <w:r w:rsidRPr="00482CA3">
        <w:t>includ</w:t>
      </w:r>
      <w:r w:rsidR="00FD1FC1" w:rsidRPr="00482CA3">
        <w:t>e</w:t>
      </w:r>
      <w:r w:rsidRPr="00482CA3">
        <w:t xml:space="preserve"> t</w:t>
      </w:r>
      <w:r w:rsidR="00C6509A" w:rsidRPr="00482CA3">
        <w:t xml:space="preserve">he </w:t>
      </w:r>
      <w:r w:rsidRPr="00482CA3">
        <w:t xml:space="preserve">need for </w:t>
      </w:r>
      <w:r w:rsidR="00FD1FC1" w:rsidRPr="00482CA3">
        <w:t xml:space="preserve">the </w:t>
      </w:r>
      <w:r w:rsidR="00C6509A" w:rsidRPr="00482CA3">
        <w:t>recognition</w:t>
      </w:r>
      <w:r w:rsidRPr="00482CA3">
        <w:t xml:space="preserve"> and reporting of O</w:t>
      </w:r>
      <w:r w:rsidR="00C6509A" w:rsidRPr="00482CA3">
        <w:t>ECM</w:t>
      </w:r>
      <w:r w:rsidRPr="00482CA3">
        <w:t xml:space="preserve">s to </w:t>
      </w:r>
      <w:r w:rsidR="003A51CA" w:rsidRPr="00482CA3">
        <w:t>“</w:t>
      </w:r>
      <w:r w:rsidR="00C6509A" w:rsidRPr="00482CA3">
        <w:t>fully respect the rights of the Indigenous peoples and local communities (including their authorities and organisations responsible for such areas) and be based on their free, prior and informed consent</w:t>
      </w:r>
      <w:r w:rsidR="00A04F5A">
        <w:t>.</w:t>
      </w:r>
      <w:r w:rsidR="003A51CA" w:rsidRPr="00482CA3">
        <w:t>”</w:t>
      </w:r>
      <w:r w:rsidR="003A51CA" w:rsidRPr="00482CA3">
        <w:rPr>
          <w:rStyle w:val="FootnoteReference"/>
        </w:rPr>
        <w:footnoteReference w:id="103"/>
      </w:r>
      <w:r w:rsidR="00A04F5A">
        <w:t xml:space="preserve"> </w:t>
      </w:r>
      <w:r w:rsidR="00975DE1">
        <w:lastRenderedPageBreak/>
        <w:t>Accordingly</w:t>
      </w:r>
      <w:r w:rsidR="00A04F5A">
        <w:t>, “governance of an OECM must reflect internationally-, regionally- and nationally-recognised human rights.”</w:t>
      </w:r>
      <w:r w:rsidR="00A04F5A">
        <w:rPr>
          <w:rStyle w:val="FootnoteReference"/>
        </w:rPr>
        <w:footnoteReference w:id="104"/>
      </w:r>
    </w:p>
    <w:p w:rsidR="00021F5B" w:rsidRDefault="006F70E2" w:rsidP="00F44E90">
      <w:pPr>
        <w:pStyle w:val="Heading1"/>
        <w:numPr>
          <w:ilvl w:val="0"/>
          <w:numId w:val="9"/>
        </w:numPr>
      </w:pPr>
      <w:r>
        <w:t>POTENTIAL DIRECTIONS FOR INCREASING ACHIEVEMENT AND NEXT STEPS</w:t>
      </w:r>
    </w:p>
    <w:p w:rsidR="00827E5A" w:rsidRPr="00180050" w:rsidRDefault="004D5D5D" w:rsidP="00B921B6">
      <w:pPr>
        <w:pStyle w:val="Para1"/>
        <w:rPr>
          <w:rFonts w:cs="Times New Roman"/>
          <w:snapToGrid w:val="0"/>
          <w:kern w:val="22"/>
          <w:lang w:val="en-US"/>
        </w:rPr>
      </w:pPr>
      <w:r w:rsidRPr="00180050">
        <w:rPr>
          <w:snapToGrid w:val="0"/>
        </w:rPr>
        <w:t>The</w:t>
      </w:r>
      <w:r w:rsidR="002D275E" w:rsidRPr="00180050">
        <w:rPr>
          <w:snapToGrid w:val="0"/>
        </w:rPr>
        <w:t xml:space="preserve"> </w:t>
      </w:r>
      <w:r w:rsidR="007F5C56" w:rsidRPr="00180050">
        <w:rPr>
          <w:snapToGrid w:val="0"/>
        </w:rPr>
        <w:t xml:space="preserve">first phase of the Secretariat’s </w:t>
      </w:r>
      <w:r w:rsidR="00E1737A" w:rsidRPr="00180050">
        <w:rPr>
          <w:snapToGrid w:val="0"/>
        </w:rPr>
        <w:t>protected areas</w:t>
      </w:r>
      <w:r w:rsidR="007F5C56" w:rsidRPr="00180050">
        <w:rPr>
          <w:snapToGrid w:val="0"/>
        </w:rPr>
        <w:t xml:space="preserve"> strategy</w:t>
      </w:r>
      <w:r w:rsidRPr="00180050">
        <w:rPr>
          <w:snapToGrid w:val="0"/>
        </w:rPr>
        <w:t xml:space="preserve"> (2015-2016)</w:t>
      </w:r>
      <w:r w:rsidR="007F5C56" w:rsidRPr="00180050">
        <w:rPr>
          <w:snapToGrid w:val="0"/>
        </w:rPr>
        <w:t xml:space="preserve"> </w:t>
      </w:r>
      <w:r w:rsidR="00E1737A" w:rsidRPr="00180050">
        <w:rPr>
          <w:snapToGrid w:val="0"/>
        </w:rPr>
        <w:t>saw</w:t>
      </w:r>
      <w:r w:rsidR="007F5C56" w:rsidRPr="00180050">
        <w:rPr>
          <w:snapToGrid w:val="0"/>
        </w:rPr>
        <w:t xml:space="preserve"> the completion of </w:t>
      </w:r>
      <w:r w:rsidR="00E1737A" w:rsidRPr="00180050">
        <w:rPr>
          <w:snapToGrid w:val="0"/>
        </w:rPr>
        <w:t>six regional workshops co</w:t>
      </w:r>
      <w:r w:rsidR="00956525" w:rsidRPr="00180050">
        <w:rPr>
          <w:snapToGrid w:val="0"/>
        </w:rPr>
        <w:t xml:space="preserve">vering all developing countries, </w:t>
      </w:r>
      <w:r w:rsidR="006E1F2B" w:rsidRPr="00180050">
        <w:rPr>
          <w:snapToGrid w:val="0"/>
        </w:rPr>
        <w:t xml:space="preserve">and involved </w:t>
      </w:r>
      <w:r w:rsidRPr="00180050">
        <w:rPr>
          <w:snapToGrid w:val="0"/>
        </w:rPr>
        <w:t xml:space="preserve">the collection of </w:t>
      </w:r>
      <w:r w:rsidR="00E1737A" w:rsidRPr="00180050">
        <w:rPr>
          <w:snapToGrid w:val="0"/>
        </w:rPr>
        <w:t xml:space="preserve">information on the </w:t>
      </w:r>
      <w:r w:rsidR="00CA737C" w:rsidRPr="00180050">
        <w:rPr>
          <w:snapToGrid w:val="0"/>
        </w:rPr>
        <w:t>status, gaps and opportunities</w:t>
      </w:r>
      <w:r w:rsidR="00E1737A" w:rsidRPr="00180050">
        <w:rPr>
          <w:snapToGrid w:val="0"/>
        </w:rPr>
        <w:t xml:space="preserve"> for the element</w:t>
      </w:r>
      <w:r w:rsidR="00956525" w:rsidRPr="00180050">
        <w:rPr>
          <w:snapToGrid w:val="0"/>
        </w:rPr>
        <w:t>s of Target 11 from 108 Parties,</w:t>
      </w:r>
      <w:r w:rsidR="00E1737A" w:rsidRPr="00180050">
        <w:rPr>
          <w:snapToGrid w:val="0"/>
        </w:rPr>
        <w:t xml:space="preserve"> and of roadmaps from 101 Parties. These roadmaps contained more </w:t>
      </w:r>
      <w:r w:rsidR="002D275E" w:rsidRPr="00180050">
        <w:rPr>
          <w:snapToGrid w:val="0"/>
        </w:rPr>
        <w:t xml:space="preserve">than 1400 national priority actions </w:t>
      </w:r>
      <w:r w:rsidR="00E1737A" w:rsidRPr="00180050">
        <w:rPr>
          <w:snapToGrid w:val="0"/>
        </w:rPr>
        <w:t xml:space="preserve">addressing all </w:t>
      </w:r>
      <w:r w:rsidR="002D275E" w:rsidRPr="00180050">
        <w:rPr>
          <w:snapToGrid w:val="0"/>
        </w:rPr>
        <w:t>elements of Target 11.</w:t>
      </w:r>
      <w:r w:rsidR="002D275E" w:rsidRPr="00180050">
        <w:rPr>
          <w:rStyle w:val="FootnoteReference"/>
          <w:snapToGrid w:val="0"/>
        </w:rPr>
        <w:footnoteReference w:id="105"/>
      </w:r>
      <w:r w:rsidR="00B921B6" w:rsidRPr="00180050">
        <w:rPr>
          <w:snapToGrid w:val="0"/>
        </w:rPr>
        <w:t xml:space="preserve"> The figure summarizes the process following in the first phase.</w:t>
      </w:r>
      <w:r w:rsidR="007F5C56" w:rsidRPr="00180050">
        <w:rPr>
          <w:snapToGrid w:val="0"/>
        </w:rPr>
        <w:t xml:space="preserve"> </w:t>
      </w:r>
    </w:p>
    <w:p w:rsidR="007F5C56" w:rsidRPr="00154359" w:rsidRDefault="007F5C56" w:rsidP="007F5C56">
      <w:pPr>
        <w:pStyle w:val="Para1"/>
        <w:numPr>
          <w:ilvl w:val="0"/>
          <w:numId w:val="0"/>
        </w:numPr>
        <w:jc w:val="center"/>
        <w:rPr>
          <w:snapToGrid w:val="0"/>
          <w:lang w:val="en-US"/>
        </w:rPr>
      </w:pPr>
      <w:r w:rsidRPr="00154359">
        <w:rPr>
          <w:noProof/>
          <w:lang w:val="en-CA" w:eastAsia="en-CA"/>
        </w:rPr>
        <w:drawing>
          <wp:inline distT="0" distB="0" distL="0" distR="0" wp14:anchorId="6781067C" wp14:editId="5BE2B4DD">
            <wp:extent cx="4886553" cy="13543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1.PNG"/>
                    <pic:cNvPicPr/>
                  </pic:nvPicPr>
                  <pic:blipFill>
                    <a:blip r:embed="rId60">
                      <a:extLst>
                        <a:ext uri="{28A0092B-C50C-407E-A947-70E740481C1C}">
                          <a14:useLocalDpi xmlns:a14="http://schemas.microsoft.com/office/drawing/2010/main" val="0"/>
                        </a:ext>
                      </a:extLst>
                    </a:blip>
                    <a:stretch>
                      <a:fillRect/>
                    </a:stretch>
                  </pic:blipFill>
                  <pic:spPr>
                    <a:xfrm>
                      <a:off x="0" y="0"/>
                      <a:ext cx="4889433" cy="1355124"/>
                    </a:xfrm>
                    <a:prstGeom prst="rect">
                      <a:avLst/>
                    </a:prstGeom>
                  </pic:spPr>
                </pic:pic>
              </a:graphicData>
            </a:graphic>
          </wp:inline>
        </w:drawing>
      </w:r>
    </w:p>
    <w:p w:rsidR="007F5C56" w:rsidRPr="00154359" w:rsidRDefault="0050090A" w:rsidP="00154359">
      <w:pPr>
        <w:pStyle w:val="Para1"/>
        <w:rPr>
          <w:rFonts w:cs="Times New Roman"/>
          <w:snapToGrid w:val="0"/>
          <w:kern w:val="22"/>
          <w:lang w:val="en-US"/>
        </w:rPr>
      </w:pPr>
      <w:r w:rsidRPr="00154359">
        <w:rPr>
          <w:rFonts w:cs="Times New Roman"/>
          <w:snapToGrid w:val="0"/>
          <w:kern w:val="22"/>
          <w:lang w:val="en-US"/>
        </w:rPr>
        <w:t>Analysis of the roadmaps revealed that the implementation of the proposed national priority actions</w:t>
      </w:r>
      <w:r w:rsidR="00154359" w:rsidRPr="00154359">
        <w:rPr>
          <w:rFonts w:cs="Times New Roman"/>
          <w:snapToGrid w:val="0"/>
          <w:kern w:val="22"/>
          <w:lang w:val="en-US"/>
        </w:rPr>
        <w:t xml:space="preserve">, </w:t>
      </w:r>
      <w:r w:rsidR="00154359" w:rsidRPr="00154359">
        <w:rPr>
          <w:rStyle w:val="Hyperlink"/>
          <w:color w:val="000000" w:themeColor="text1"/>
          <w:u w:val="none"/>
          <w:lang w:val="en-CA"/>
        </w:rPr>
        <w:t>taking consideration of their relative strength (e.g. availability of plans and funding for implementation),</w:t>
      </w:r>
      <w:r w:rsidRPr="00154359">
        <w:rPr>
          <w:rFonts w:cs="Times New Roman"/>
          <w:snapToGrid w:val="0"/>
          <w:color w:val="000000" w:themeColor="text1"/>
          <w:kern w:val="22"/>
          <w:lang w:val="en-US"/>
        </w:rPr>
        <w:t xml:space="preserve"> </w:t>
      </w:r>
      <w:r w:rsidRPr="00154359">
        <w:rPr>
          <w:rFonts w:cs="Times New Roman"/>
          <w:snapToGrid w:val="0"/>
          <w:kern w:val="22"/>
          <w:lang w:val="en-US"/>
        </w:rPr>
        <w:t>would lead to significant progress for some elements of Target 11.</w:t>
      </w:r>
      <w:r w:rsidRPr="00154359">
        <w:rPr>
          <w:rStyle w:val="FootnoteReference"/>
          <w:rFonts w:cs="Times New Roman"/>
          <w:snapToGrid w:val="0"/>
          <w:kern w:val="22"/>
          <w:lang w:val="en-US"/>
        </w:rPr>
        <w:footnoteReference w:id="106"/>
      </w:r>
      <w:r w:rsidRPr="00154359">
        <w:rPr>
          <w:rFonts w:cs="Times New Roman"/>
          <w:snapToGrid w:val="0"/>
          <w:kern w:val="22"/>
          <w:lang w:val="en-US"/>
        </w:rPr>
        <w:t xml:space="preserve"> It would also provide significant contributions</w:t>
      </w:r>
      <w:r w:rsidR="00154359" w:rsidRPr="00154359">
        <w:rPr>
          <w:rFonts w:cs="Times New Roman"/>
          <w:snapToGrid w:val="0"/>
          <w:kern w:val="22"/>
          <w:lang w:val="en-US"/>
        </w:rPr>
        <w:t xml:space="preserve">, </w:t>
      </w:r>
      <w:r w:rsidR="00154359" w:rsidRPr="00154359">
        <w:rPr>
          <w:lang w:val="en-CA"/>
        </w:rPr>
        <w:t>both directly and indirectly,</w:t>
      </w:r>
      <w:r w:rsidRPr="00154359">
        <w:rPr>
          <w:rFonts w:cs="Times New Roman"/>
          <w:snapToGrid w:val="0"/>
          <w:kern w:val="22"/>
          <w:lang w:val="en-US"/>
        </w:rPr>
        <w:t xml:space="preserve"> to other Aichi Biodiversity Targets,</w:t>
      </w:r>
      <w:r w:rsidRPr="00154359">
        <w:rPr>
          <w:rStyle w:val="FootnoteReference"/>
          <w:rFonts w:cs="Times New Roman"/>
          <w:snapToGrid w:val="0"/>
          <w:kern w:val="22"/>
          <w:lang w:val="en-US"/>
        </w:rPr>
        <w:footnoteReference w:id="107"/>
      </w:r>
      <w:r w:rsidRPr="00154359">
        <w:rPr>
          <w:rFonts w:cs="Times New Roman"/>
          <w:snapToGrid w:val="0"/>
          <w:kern w:val="22"/>
          <w:lang w:val="en-US"/>
        </w:rPr>
        <w:t xml:space="preserve"> and many of the goals and targets of </w:t>
      </w:r>
      <w:r w:rsidRPr="00180050">
        <w:rPr>
          <w:rFonts w:cs="Times New Roman"/>
          <w:snapToGrid w:val="0"/>
          <w:kern w:val="22"/>
          <w:lang w:val="en-US"/>
        </w:rPr>
        <w:t>the 2030 Agenda for Sustainable Development.</w:t>
      </w:r>
      <w:r w:rsidRPr="00180050">
        <w:rPr>
          <w:rStyle w:val="FootnoteReference"/>
          <w:rFonts w:cs="Times New Roman"/>
          <w:snapToGrid w:val="0"/>
          <w:kern w:val="22"/>
          <w:lang w:val="en-US"/>
        </w:rPr>
        <w:footnoteReference w:id="108"/>
      </w:r>
      <w:r w:rsidRPr="00180050">
        <w:rPr>
          <w:snapToGrid w:val="0"/>
        </w:rPr>
        <w:t xml:space="preserve"> </w:t>
      </w:r>
      <w:r w:rsidRPr="00180050">
        <w:rPr>
          <w:lang w:val="en-CA"/>
        </w:rPr>
        <w:t xml:space="preserve">It </w:t>
      </w:r>
      <w:r w:rsidR="00154359" w:rsidRPr="00180050">
        <w:rPr>
          <w:lang w:val="en-CA"/>
        </w:rPr>
        <w:t>could</w:t>
      </w:r>
      <w:r w:rsidRPr="00180050">
        <w:rPr>
          <w:lang w:val="en-CA"/>
        </w:rPr>
        <w:t xml:space="preserve"> also deliver various benefits with respect to</w:t>
      </w:r>
      <w:r w:rsidR="00154359" w:rsidRPr="00180050">
        <w:rPr>
          <w:lang w:val="en-CA"/>
        </w:rPr>
        <w:t xml:space="preserve"> </w:t>
      </w:r>
      <w:r w:rsidRPr="00180050">
        <w:rPr>
          <w:lang w:val="en-CA"/>
        </w:rPr>
        <w:t>climate change mitigation and, the Sendai Framework for Disaster Risk Reduction 2015-2030</w:t>
      </w:r>
      <w:r w:rsidR="00180050" w:rsidRPr="00180050">
        <w:rPr>
          <w:lang w:val="en-CA"/>
        </w:rPr>
        <w:t>,</w:t>
      </w:r>
      <w:r w:rsidRPr="00180050">
        <w:rPr>
          <w:lang w:val="en-CA"/>
        </w:rPr>
        <w:t xml:space="preserve"> and the Land Degradation Neutrality goal of the United Nations Convention to Combat Desertification. In addition, there </w:t>
      </w:r>
      <w:r w:rsidR="00180050" w:rsidRPr="00180050">
        <w:rPr>
          <w:lang w:val="en-CA"/>
        </w:rPr>
        <w:t>would</w:t>
      </w:r>
      <w:r w:rsidRPr="00180050">
        <w:rPr>
          <w:lang w:val="en-CA"/>
        </w:rPr>
        <w:t xml:space="preserve"> also be contribution towards the fulfilment of requirements in other multi-lateral environmental agreements, such as UNESCO’s World Heritage Convention and its Man and the Biosphere Programme, the Ramsar Convention, the Convention on Migratory Species, and other biodiversity-related conventions, in a synergistic manner. </w:t>
      </w:r>
      <w:r w:rsidR="004D5D5D" w:rsidRPr="00180050">
        <w:rPr>
          <w:snapToGrid w:val="0"/>
        </w:rPr>
        <w:t>After two years of implementation of these roadmaps,</w:t>
      </w:r>
      <w:r w:rsidR="00DC035B" w:rsidRPr="00180050">
        <w:rPr>
          <w:snapToGrid w:val="0"/>
        </w:rPr>
        <w:t xml:space="preserve"> indeed,</w:t>
      </w:r>
      <w:r w:rsidR="004D5D5D" w:rsidRPr="00180050">
        <w:rPr>
          <w:snapToGrid w:val="0"/>
        </w:rPr>
        <w:t xml:space="preserve"> progress is noticeable.</w:t>
      </w:r>
    </w:p>
    <w:p w:rsidR="00DC035B" w:rsidRPr="0050090A" w:rsidRDefault="004D5D5D" w:rsidP="00DC035B">
      <w:pPr>
        <w:pStyle w:val="Para1"/>
        <w:rPr>
          <w:rFonts w:cs="Times New Roman"/>
          <w:snapToGrid w:val="0"/>
          <w:kern w:val="22"/>
          <w:lang w:val="en-US"/>
        </w:rPr>
      </w:pPr>
      <w:r w:rsidRPr="0050090A">
        <w:t>The second phase</w:t>
      </w:r>
      <w:r w:rsidR="00021F5B" w:rsidRPr="0050090A">
        <w:t xml:space="preserve"> of the Secretariat’s protected areas strategy</w:t>
      </w:r>
      <w:r w:rsidR="00180050">
        <w:t xml:space="preserve"> </w:t>
      </w:r>
      <w:r w:rsidR="00180050" w:rsidRPr="0050090A">
        <w:t>(2017-2020)</w:t>
      </w:r>
      <w:r w:rsidR="00021F5B" w:rsidRPr="0050090A">
        <w:rPr>
          <w:rStyle w:val="FootnoteReference"/>
        </w:rPr>
        <w:footnoteReference w:id="109"/>
      </w:r>
      <w:r w:rsidR="00021F5B" w:rsidRPr="0050090A">
        <w:t xml:space="preserve"> aims to</w:t>
      </w:r>
      <w:r w:rsidRPr="0050090A">
        <w:t xml:space="preserve">, </w:t>
      </w:r>
      <w:r w:rsidRPr="0050090A">
        <w:rPr>
          <w:i/>
        </w:rPr>
        <w:t>inter alia,</w:t>
      </w:r>
      <w:r w:rsidR="00021F5B" w:rsidRPr="0050090A">
        <w:t xml:space="preserve"> facilitate decentralized implementation of </w:t>
      </w:r>
      <w:r w:rsidR="00CA737C" w:rsidRPr="0050090A">
        <w:t>the</w:t>
      </w:r>
      <w:r w:rsidR="00021F5B" w:rsidRPr="0050090A">
        <w:rPr>
          <w:snapToGrid w:val="0"/>
          <w:lang w:val="en-US"/>
        </w:rPr>
        <w:t xml:space="preserve"> roadmaps developed/collected in the first phase</w:t>
      </w:r>
      <w:r w:rsidRPr="0050090A">
        <w:t xml:space="preserve">, </w:t>
      </w:r>
      <w:r w:rsidRPr="0050090A">
        <w:rPr>
          <w:shd w:val="clear" w:color="auto" w:fill="FFFFFF"/>
        </w:rPr>
        <w:t>in a concerted manner with comprehensive coordination among all relevant partners.</w:t>
      </w:r>
      <w:r w:rsidRPr="0050090A">
        <w:t xml:space="preserve"> </w:t>
      </w:r>
      <w:r w:rsidR="007A1D8A" w:rsidRPr="0050090A">
        <w:t>Th</w:t>
      </w:r>
      <w:r w:rsidR="0076594C" w:rsidRPr="0050090A">
        <w:t xml:space="preserve">e </w:t>
      </w:r>
      <w:r w:rsidR="00E1737A" w:rsidRPr="0050090A">
        <w:t>Conference of the Parties to the Convention</w:t>
      </w:r>
      <w:r w:rsidR="0076594C" w:rsidRPr="0050090A">
        <w:t xml:space="preserve">, in </w:t>
      </w:r>
      <w:r w:rsidR="0076594C" w:rsidRPr="0050090A">
        <w:rPr>
          <w:snapToGrid w:val="0"/>
          <w:lang w:val="en-US"/>
        </w:rPr>
        <w:t xml:space="preserve">decision </w:t>
      </w:r>
      <w:hyperlink r:id="rId61" w:history="1">
        <w:r w:rsidR="0076594C" w:rsidRPr="00437D3B">
          <w:rPr>
            <w:rStyle w:val="Hyperlink"/>
            <w:snapToGrid w:val="0"/>
            <w:lang w:val="en-US"/>
          </w:rPr>
          <w:t>XIII/2</w:t>
        </w:r>
      </w:hyperlink>
      <w:r w:rsidR="0076594C" w:rsidRPr="0050090A">
        <w:rPr>
          <w:snapToGrid w:val="0"/>
          <w:lang w:val="en-US"/>
        </w:rPr>
        <w:t xml:space="preserve"> paragraph 9(d), called for this approach</w:t>
      </w:r>
      <w:r w:rsidR="006E1F2B" w:rsidRPr="0050090A">
        <w:rPr>
          <w:snapToGrid w:val="0"/>
          <w:lang w:val="en-US"/>
        </w:rPr>
        <w:t xml:space="preserve"> when it invited </w:t>
      </w:r>
      <w:r w:rsidR="006E1F2B" w:rsidRPr="0050090A">
        <w:t xml:space="preserve">Parties, other Governments, relevant partners, regional agencies, bilateral and multilateral funding agencies, in conjunction with the Secretariat, to </w:t>
      </w:r>
      <w:r w:rsidR="006E1F2B" w:rsidRPr="0050090A">
        <w:rPr>
          <w:i/>
        </w:rPr>
        <w:t xml:space="preserve">inter alia, </w:t>
      </w:r>
      <w:r w:rsidR="006E1F2B" w:rsidRPr="0050090A">
        <w:t>facilitate support networks at the regional and subregional level, such as REDPARQUES and other important regional initiatives, as appropriate, to build capacity and support the implementation of national actions identified in national biodiversity strategies and action plans and, as appropriate, through the regional workshops for the achievement of Aichi Biodiversity Targets 11 and 12, to promote the preparation, use and sharing of technical guidance, best practices, tools, lessons learned, and monitoring efforts</w:t>
      </w:r>
      <w:r w:rsidRPr="0050090A">
        <w:t xml:space="preserve">. </w:t>
      </w:r>
      <w:r w:rsidR="00DC035B" w:rsidRPr="0050090A">
        <w:t>The process in the second phase is illustrated briefly below.</w:t>
      </w:r>
    </w:p>
    <w:p w:rsidR="006E1F2B" w:rsidRPr="00180050" w:rsidRDefault="006E1F2B" w:rsidP="006E1F2B">
      <w:pPr>
        <w:pStyle w:val="Para1"/>
        <w:numPr>
          <w:ilvl w:val="0"/>
          <w:numId w:val="0"/>
        </w:numPr>
        <w:jc w:val="center"/>
        <w:rPr>
          <w:rFonts w:cs="Times New Roman"/>
          <w:snapToGrid w:val="0"/>
          <w:kern w:val="22"/>
          <w:lang w:val="en-US"/>
        </w:rPr>
      </w:pPr>
      <w:r w:rsidRPr="00180050">
        <w:rPr>
          <w:noProof/>
          <w:lang w:val="en-CA" w:eastAsia="en-CA"/>
        </w:rPr>
        <w:lastRenderedPageBreak/>
        <w:drawing>
          <wp:inline distT="0" distB="0" distL="0" distR="0" wp14:anchorId="0D5F8955" wp14:editId="25243129">
            <wp:extent cx="5566867" cy="1442271"/>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2.PNG"/>
                    <pic:cNvPicPr/>
                  </pic:nvPicPr>
                  <pic:blipFill>
                    <a:blip r:embed="rId62">
                      <a:extLst>
                        <a:ext uri="{28A0092B-C50C-407E-A947-70E740481C1C}">
                          <a14:useLocalDpi xmlns:a14="http://schemas.microsoft.com/office/drawing/2010/main" val="0"/>
                        </a:ext>
                      </a:extLst>
                    </a:blip>
                    <a:stretch>
                      <a:fillRect/>
                    </a:stretch>
                  </pic:blipFill>
                  <pic:spPr>
                    <a:xfrm>
                      <a:off x="0" y="0"/>
                      <a:ext cx="5563443" cy="1441384"/>
                    </a:xfrm>
                    <a:prstGeom prst="rect">
                      <a:avLst/>
                    </a:prstGeom>
                  </pic:spPr>
                </pic:pic>
              </a:graphicData>
            </a:graphic>
          </wp:inline>
        </w:drawing>
      </w:r>
    </w:p>
    <w:p w:rsidR="007F5C56" w:rsidRPr="0050090A" w:rsidRDefault="007A1D8A" w:rsidP="00E323D4">
      <w:pPr>
        <w:pStyle w:val="Para1"/>
        <w:rPr>
          <w:rFonts w:cs="Times New Roman"/>
          <w:snapToGrid w:val="0"/>
          <w:kern w:val="22"/>
          <w:lang w:val="en-US"/>
        </w:rPr>
      </w:pPr>
      <w:r w:rsidRPr="00180050">
        <w:t>For each region,</w:t>
      </w:r>
      <w:r w:rsidRPr="00180050">
        <w:rPr>
          <w:rStyle w:val="FootnoteReference"/>
        </w:rPr>
        <w:footnoteReference w:id="110"/>
      </w:r>
      <w:r w:rsidRPr="00180050">
        <w:t xml:space="preserve"> </w:t>
      </w:r>
      <w:r w:rsidR="00DC035B" w:rsidRPr="00180050">
        <w:t>the concerted efforts</w:t>
      </w:r>
      <w:r w:rsidRPr="00180050">
        <w:t xml:space="preserve"> can be achieved by enabling a Regional Implementation</w:t>
      </w:r>
      <w:r w:rsidRPr="0050090A">
        <w:t xml:space="preserve"> Support Network of partners, coordinated by an agency (Coordination Agency) that will operate in collaboration with the Secretariat, but in a decentralized manner</w:t>
      </w:r>
      <w:r w:rsidR="00DC035B" w:rsidRPr="0050090A">
        <w:t>, in different regions</w:t>
      </w:r>
      <w:r w:rsidRPr="0050090A">
        <w:t xml:space="preserve">. </w:t>
      </w:r>
      <w:r w:rsidR="00DC035B" w:rsidRPr="0050090A">
        <w:t>The</w:t>
      </w:r>
      <w:r w:rsidR="00021F5B" w:rsidRPr="0050090A">
        <w:t xml:space="preserve"> </w:t>
      </w:r>
      <w:r w:rsidR="00956525" w:rsidRPr="0050090A">
        <w:t>Coordination Agencies</w:t>
      </w:r>
      <w:r w:rsidR="00E1737A" w:rsidRPr="0050090A">
        <w:t xml:space="preserve"> would have </w:t>
      </w:r>
      <w:r w:rsidR="00021F5B" w:rsidRPr="0050090A">
        <w:t xml:space="preserve">on-going capacity building support programme(s); </w:t>
      </w:r>
      <w:r w:rsidR="00E1737A" w:rsidRPr="0050090A">
        <w:t>be</w:t>
      </w:r>
      <w:r w:rsidR="00021F5B" w:rsidRPr="0050090A">
        <w:t xml:space="preserve"> familiar with the different projects and programmes in </w:t>
      </w:r>
      <w:r w:rsidR="00DC035B" w:rsidRPr="0050090A">
        <w:t>their</w:t>
      </w:r>
      <w:r w:rsidR="00021F5B" w:rsidRPr="0050090A">
        <w:t xml:space="preserve"> region</w:t>
      </w:r>
      <w:r w:rsidR="00956525" w:rsidRPr="0050090A">
        <w:t>;</w:t>
      </w:r>
      <w:r w:rsidR="00021F5B" w:rsidRPr="0050090A">
        <w:t xml:space="preserve"> and </w:t>
      </w:r>
      <w:r w:rsidR="00E1737A" w:rsidRPr="0050090A">
        <w:t>be</w:t>
      </w:r>
      <w:r w:rsidR="00021F5B" w:rsidRPr="0050090A">
        <w:t xml:space="preserve"> willing to take up the coordination responsibility. </w:t>
      </w:r>
      <w:r w:rsidR="00F73233" w:rsidRPr="0050090A">
        <w:rPr>
          <w:color w:val="000000" w:themeColor="text1"/>
          <w:lang w:val="en-US"/>
        </w:rPr>
        <w:t>Each Coordination Agency will design an Action Plan for its region based on the national priority actions, NBSAPs and other national commitments of the countries of the region</w:t>
      </w:r>
      <w:r w:rsidR="00956525" w:rsidRPr="0050090A">
        <w:rPr>
          <w:color w:val="000000" w:themeColor="text1"/>
          <w:lang w:val="en-US"/>
        </w:rPr>
        <w:t>,</w:t>
      </w:r>
      <w:r w:rsidR="00F73233" w:rsidRPr="0050090A">
        <w:rPr>
          <w:color w:val="000000" w:themeColor="text1"/>
          <w:lang w:val="en-US"/>
        </w:rPr>
        <w:t xml:space="preserve"> </w:t>
      </w:r>
      <w:r w:rsidR="00E323D4" w:rsidRPr="0050090A">
        <w:rPr>
          <w:color w:val="000000" w:themeColor="text1"/>
          <w:lang w:val="en-US"/>
        </w:rPr>
        <w:t xml:space="preserve">mapping them vis-a- vis ongoing and planned activities by various partners, </w:t>
      </w:r>
      <w:r w:rsidR="00F73233" w:rsidRPr="0050090A">
        <w:rPr>
          <w:color w:val="000000" w:themeColor="text1"/>
          <w:lang w:val="en-US"/>
        </w:rPr>
        <w:t>and in consultation with the Parties concerned and the Secretariat</w:t>
      </w:r>
      <w:r w:rsidR="00DC035B" w:rsidRPr="0050090A">
        <w:rPr>
          <w:color w:val="000000" w:themeColor="text1"/>
          <w:lang w:val="en-US"/>
        </w:rPr>
        <w:t>, to facilitate effective implementation in each country</w:t>
      </w:r>
      <w:r w:rsidR="00F73233" w:rsidRPr="0050090A">
        <w:rPr>
          <w:color w:val="000000" w:themeColor="text1"/>
          <w:lang w:val="en-US"/>
        </w:rPr>
        <w:t>.</w:t>
      </w:r>
    </w:p>
    <w:p w:rsidR="00E1737A" w:rsidRPr="0050090A" w:rsidRDefault="00F73233" w:rsidP="00CE7249">
      <w:pPr>
        <w:pStyle w:val="Para1"/>
        <w:rPr>
          <w:rFonts w:cs="Times New Roman"/>
          <w:snapToGrid w:val="0"/>
          <w:kern w:val="22"/>
          <w:lang w:val="en-US"/>
        </w:rPr>
      </w:pPr>
      <w:r w:rsidRPr="0050090A">
        <w:t xml:space="preserve">Tracking progress on the implementation of roadmaps, and reporting the results through the CBD reporting channels </w:t>
      </w:r>
      <w:r w:rsidR="00B93D4D" w:rsidRPr="0050090A">
        <w:t xml:space="preserve">would </w:t>
      </w:r>
      <w:r w:rsidRPr="0050090A">
        <w:t>assist in planning for the last two years of implementation (2019-2020) to ensure achievement of as many elements of Target 11 as possible</w:t>
      </w:r>
      <w:r w:rsidR="0050090A" w:rsidRPr="0050090A">
        <w:t>,</w:t>
      </w:r>
      <w:r w:rsidRPr="0050090A">
        <w:t xml:space="preserve"> and facilitate reporting to COP 15. The final status results would also serve as a new baseline for the post-2020 biodiversity framework.</w:t>
      </w:r>
    </w:p>
    <w:p w:rsidR="00D61B10" w:rsidRPr="0050090A" w:rsidRDefault="00E1737A" w:rsidP="00F44E90">
      <w:pPr>
        <w:pStyle w:val="Heading1"/>
        <w:numPr>
          <w:ilvl w:val="0"/>
          <w:numId w:val="9"/>
        </w:numPr>
      </w:pPr>
      <w:r w:rsidRPr="0050090A">
        <w:t>CONCLUSIONS</w:t>
      </w:r>
      <w:r w:rsidR="00872EAE" w:rsidRPr="0050090A">
        <w:t xml:space="preserve"> </w:t>
      </w:r>
    </w:p>
    <w:p w:rsidR="00BC4444" w:rsidRPr="0050090A" w:rsidRDefault="00F55BA8" w:rsidP="005F5040">
      <w:pPr>
        <w:pStyle w:val="Para1"/>
        <w:rPr>
          <w:rFonts w:cs="Times New Roman"/>
          <w:snapToGrid w:val="0"/>
          <w:kern w:val="22"/>
          <w:lang w:val="en-US"/>
        </w:rPr>
      </w:pPr>
      <w:r w:rsidRPr="0050090A">
        <w:rPr>
          <w:lang w:val="en-US"/>
        </w:rPr>
        <w:t>P</w:t>
      </w:r>
      <w:r w:rsidR="00BC4444" w:rsidRPr="0050090A">
        <w:rPr>
          <w:lang w:val="en-US"/>
        </w:rPr>
        <w:t xml:space="preserve">rogress is clearly noticeable after </w:t>
      </w:r>
      <w:r w:rsidR="00BC4444" w:rsidRPr="0050090A">
        <w:t xml:space="preserve">two years of </w:t>
      </w:r>
      <w:r w:rsidRPr="0050090A">
        <w:t xml:space="preserve">Parties implementing </w:t>
      </w:r>
      <w:r w:rsidR="00BC4444" w:rsidRPr="0050090A">
        <w:t>the actions in their roadmaps</w:t>
      </w:r>
      <w:r w:rsidRPr="0050090A">
        <w:t>, NBSAPs and other national commitments. As such,</w:t>
      </w:r>
      <w:r w:rsidR="00BC4444" w:rsidRPr="0050090A">
        <w:rPr>
          <w:lang w:val="en-US"/>
        </w:rPr>
        <w:t xml:space="preserve"> with two and a half years remaining </w:t>
      </w:r>
      <w:r w:rsidR="00DC035B" w:rsidRPr="0050090A">
        <w:rPr>
          <w:lang w:val="en-US"/>
        </w:rPr>
        <w:t>before</w:t>
      </w:r>
      <w:r w:rsidR="00BC4444" w:rsidRPr="0050090A">
        <w:rPr>
          <w:lang w:val="en-US"/>
        </w:rPr>
        <w:t xml:space="preserve"> the deadline for </w:t>
      </w:r>
      <w:r w:rsidRPr="0050090A">
        <w:rPr>
          <w:lang w:val="en-US"/>
        </w:rPr>
        <w:t xml:space="preserve">the </w:t>
      </w:r>
      <w:r w:rsidR="00BC4444" w:rsidRPr="0050090A">
        <w:rPr>
          <w:lang w:val="en-US"/>
        </w:rPr>
        <w:t>Aichi Biodiversity Target</w:t>
      </w:r>
      <w:r w:rsidRPr="0050090A">
        <w:rPr>
          <w:lang w:val="en-US"/>
        </w:rPr>
        <w:t>s</w:t>
      </w:r>
      <w:r w:rsidR="00BC4444" w:rsidRPr="0050090A">
        <w:rPr>
          <w:lang w:val="en-US"/>
        </w:rPr>
        <w:t xml:space="preserve">, </w:t>
      </w:r>
      <w:r w:rsidR="00DC035B" w:rsidRPr="0050090A">
        <w:rPr>
          <w:lang w:val="en-US"/>
        </w:rPr>
        <w:t xml:space="preserve">there are good </w:t>
      </w:r>
      <w:r w:rsidR="00BC4444" w:rsidRPr="0050090A">
        <w:rPr>
          <w:lang w:val="en-US"/>
        </w:rPr>
        <w:t>chances that</w:t>
      </w:r>
      <w:r w:rsidR="00DC035B" w:rsidRPr="0050090A">
        <w:rPr>
          <w:lang w:val="en-US"/>
        </w:rPr>
        <w:t xml:space="preserve"> </w:t>
      </w:r>
      <w:r w:rsidR="00BC4444" w:rsidRPr="0050090A">
        <w:rPr>
          <w:lang w:val="en-US"/>
        </w:rPr>
        <w:t>some</w:t>
      </w:r>
      <w:r w:rsidR="00DC035B" w:rsidRPr="0050090A">
        <w:rPr>
          <w:lang w:val="en-US"/>
        </w:rPr>
        <w:t xml:space="preserve"> of the</w:t>
      </w:r>
      <w:r w:rsidR="00BC4444" w:rsidRPr="0050090A">
        <w:rPr>
          <w:lang w:val="en-US"/>
        </w:rPr>
        <w:t xml:space="preserve"> elements of </w:t>
      </w:r>
      <w:r w:rsidRPr="0050090A">
        <w:rPr>
          <w:lang w:val="en-US"/>
        </w:rPr>
        <w:t>Target 11</w:t>
      </w:r>
      <w:r w:rsidR="00BC4444" w:rsidRPr="0050090A">
        <w:rPr>
          <w:lang w:val="en-US"/>
        </w:rPr>
        <w:t xml:space="preserve"> </w:t>
      </w:r>
      <w:r w:rsidRPr="0050090A">
        <w:rPr>
          <w:lang w:val="en-US"/>
        </w:rPr>
        <w:t>will be met or exceeded by 2020.</w:t>
      </w:r>
      <w:r w:rsidR="00BC4444" w:rsidRPr="0050090A">
        <w:rPr>
          <w:lang w:val="en-US"/>
        </w:rPr>
        <w:t xml:space="preserve"> </w:t>
      </w:r>
    </w:p>
    <w:p w:rsidR="006359C9" w:rsidRPr="0050090A" w:rsidRDefault="00CA737C" w:rsidP="006359C9">
      <w:pPr>
        <w:pStyle w:val="Para1"/>
        <w:rPr>
          <w:lang w:val="en-US"/>
        </w:rPr>
      </w:pPr>
      <w:r w:rsidRPr="0050090A">
        <w:rPr>
          <w:lang w:val="en-US"/>
        </w:rPr>
        <w:t>Progress is evident with respect to the coverage of terrestrial and</w:t>
      </w:r>
      <w:r w:rsidR="00F55BA8" w:rsidRPr="0050090A">
        <w:rPr>
          <w:lang w:val="en-US"/>
        </w:rPr>
        <w:t xml:space="preserve"> inland water</w:t>
      </w:r>
      <w:r w:rsidR="009B09E4" w:rsidRPr="0050090A">
        <w:rPr>
          <w:lang w:val="en-US"/>
        </w:rPr>
        <w:t>s</w:t>
      </w:r>
      <w:r w:rsidR="00F55BA8" w:rsidRPr="0050090A">
        <w:rPr>
          <w:lang w:val="en-US"/>
        </w:rPr>
        <w:t xml:space="preserve"> </w:t>
      </w:r>
      <w:r w:rsidR="009B09E4" w:rsidRPr="0050090A">
        <w:rPr>
          <w:lang w:val="en-US"/>
        </w:rPr>
        <w:t xml:space="preserve">and coastal and marine </w:t>
      </w:r>
      <w:r w:rsidRPr="0050090A">
        <w:rPr>
          <w:lang w:val="en-US"/>
        </w:rPr>
        <w:t>areas</w:t>
      </w:r>
      <w:r w:rsidR="00975DE1" w:rsidRPr="0050090A">
        <w:rPr>
          <w:lang w:val="en-US"/>
        </w:rPr>
        <w:t xml:space="preserve">, with an increase in </w:t>
      </w:r>
      <w:r w:rsidR="00DC035B" w:rsidRPr="0050090A">
        <w:rPr>
          <w:lang w:val="en-US"/>
        </w:rPr>
        <w:t>the</w:t>
      </w:r>
      <w:r w:rsidR="009B09E4" w:rsidRPr="0050090A">
        <w:rPr>
          <w:lang w:val="en-US"/>
        </w:rPr>
        <w:t xml:space="preserve"> global protected area coverage </w:t>
      </w:r>
      <w:r w:rsidR="00DC035B" w:rsidRPr="0050090A">
        <w:rPr>
          <w:lang w:val="en-US"/>
        </w:rPr>
        <w:t xml:space="preserve">of both </w:t>
      </w:r>
      <w:r w:rsidR="00180050">
        <w:rPr>
          <w:lang w:val="en-US"/>
        </w:rPr>
        <w:t>as well as</w:t>
      </w:r>
      <w:r w:rsidR="009B09E4" w:rsidRPr="0050090A">
        <w:rPr>
          <w:lang w:val="en-US"/>
        </w:rPr>
        <w:t xml:space="preserve"> in the number of CBD Parties meeting </w:t>
      </w:r>
      <w:r w:rsidR="00DC035B" w:rsidRPr="0050090A">
        <w:rPr>
          <w:lang w:val="en-US"/>
        </w:rPr>
        <w:t>the</w:t>
      </w:r>
      <w:r w:rsidR="009B09E4" w:rsidRPr="0050090A">
        <w:rPr>
          <w:lang w:val="en-US"/>
        </w:rPr>
        <w:t xml:space="preserve"> coverage targets. This progress is most noticeable in the extraordinary growth in the coverage of marine protected areas</w:t>
      </w:r>
      <w:r w:rsidR="00956525" w:rsidRPr="0050090A">
        <w:rPr>
          <w:lang w:val="en-US"/>
        </w:rPr>
        <w:t xml:space="preserve">, with well over </w:t>
      </w:r>
      <w:r w:rsidR="009B09E4" w:rsidRPr="0050090A">
        <w:rPr>
          <w:lang w:val="en-US"/>
        </w:rPr>
        <w:t>10 million km</w:t>
      </w:r>
      <w:r w:rsidR="009B09E4" w:rsidRPr="0050090A">
        <w:rPr>
          <w:vertAlign w:val="superscript"/>
          <w:lang w:val="en-US"/>
        </w:rPr>
        <w:t>2</w:t>
      </w:r>
      <w:r w:rsidR="009B09E4" w:rsidRPr="0050090A">
        <w:rPr>
          <w:lang w:val="en-US"/>
        </w:rPr>
        <w:t xml:space="preserve"> added over the last two years. </w:t>
      </w:r>
      <w:r w:rsidR="00DC035B" w:rsidRPr="0050090A">
        <w:rPr>
          <w:lang w:val="en-US"/>
        </w:rPr>
        <w:t>The overall</w:t>
      </w:r>
      <w:r w:rsidR="009B09E4" w:rsidRPr="0050090A">
        <w:rPr>
          <w:lang w:val="en-US"/>
        </w:rPr>
        <w:t xml:space="preserve"> increase in protected area coverage has translated into an improvement in the ecological representation of both terrestrial and marine protected area networks, as evidenced by the increase in the number of terrestrial and marine ecoregions reaching the coverage targets, as well as </w:t>
      </w:r>
      <w:r w:rsidR="00F73233" w:rsidRPr="0050090A">
        <w:rPr>
          <w:lang w:val="en-US"/>
        </w:rPr>
        <w:t>improved coverage of areas important for biodiversity, as measured by the m</w:t>
      </w:r>
      <w:r w:rsidR="009B09E4" w:rsidRPr="0050090A">
        <w:rPr>
          <w:lang w:val="en-US"/>
        </w:rPr>
        <w:t>ean percent area of terrestrial</w:t>
      </w:r>
      <w:r w:rsidR="00F73233" w:rsidRPr="0050090A">
        <w:rPr>
          <w:lang w:val="en-US"/>
        </w:rPr>
        <w:t xml:space="preserve"> and marine</w:t>
      </w:r>
      <w:r w:rsidR="009B09E4" w:rsidRPr="0050090A">
        <w:rPr>
          <w:lang w:val="en-US"/>
        </w:rPr>
        <w:t xml:space="preserve"> KBAs covered by </w:t>
      </w:r>
      <w:r w:rsidR="00956525" w:rsidRPr="0050090A">
        <w:rPr>
          <w:lang w:val="en-US"/>
        </w:rPr>
        <w:t xml:space="preserve">reported </w:t>
      </w:r>
      <w:r w:rsidR="00F73233" w:rsidRPr="0050090A">
        <w:rPr>
          <w:lang w:val="en-US"/>
        </w:rPr>
        <w:t xml:space="preserve">protected areas. </w:t>
      </w:r>
      <w:r w:rsidR="007F2B3A" w:rsidRPr="0050090A">
        <w:rPr>
          <w:lang w:val="en-US"/>
        </w:rPr>
        <w:t xml:space="preserve">With this expansion of protected area coverage comes the need to ensure that threats facing biodiversity are properly addressed. </w:t>
      </w:r>
      <w:r w:rsidR="00F73233" w:rsidRPr="0050090A">
        <w:rPr>
          <w:lang w:val="en-US"/>
        </w:rPr>
        <w:t xml:space="preserve">Progress has been made in the development of indicators for tracking protected area connectivity, and global assessments are </w:t>
      </w:r>
      <w:r w:rsidR="00956525" w:rsidRPr="0050090A">
        <w:rPr>
          <w:lang w:val="en-US"/>
        </w:rPr>
        <w:t xml:space="preserve">now </w:t>
      </w:r>
      <w:r w:rsidR="00F73233" w:rsidRPr="0050090A">
        <w:rPr>
          <w:lang w:val="en-US"/>
        </w:rPr>
        <w:t>available.</w:t>
      </w:r>
      <w:r w:rsidR="00DC035B" w:rsidRPr="0050090A">
        <w:rPr>
          <w:lang w:val="en-US"/>
        </w:rPr>
        <w:t xml:space="preserve"> These assessments show that work is still needed to improve the connectivity of the world’s protected areas.</w:t>
      </w:r>
      <w:r w:rsidR="00F73233" w:rsidRPr="0050090A">
        <w:rPr>
          <w:lang w:val="en-US"/>
        </w:rPr>
        <w:t xml:space="preserve"> The number of Parties meeting the target for completion of protected area management effectiveness evaluations has increased</w:t>
      </w:r>
      <w:r w:rsidR="00DC035B" w:rsidRPr="0050090A">
        <w:rPr>
          <w:lang w:val="en-US"/>
        </w:rPr>
        <w:t>, a</w:t>
      </w:r>
      <w:r w:rsidR="00F73233" w:rsidRPr="0050090A">
        <w:rPr>
          <w:lang w:val="en-US"/>
        </w:rPr>
        <w:t xml:space="preserve">s has the number of </w:t>
      </w:r>
      <w:r w:rsidR="009B09E4" w:rsidRPr="0050090A">
        <w:rPr>
          <w:lang w:val="en-US"/>
        </w:rPr>
        <w:t>sites in the WDPA repor</w:t>
      </w:r>
      <w:r w:rsidR="00F73233" w:rsidRPr="0050090A">
        <w:rPr>
          <w:lang w:val="en-US"/>
        </w:rPr>
        <w:t xml:space="preserve">ting shared or private </w:t>
      </w:r>
      <w:r w:rsidR="009B09E4" w:rsidRPr="0050090A">
        <w:rPr>
          <w:lang w:val="en-US"/>
        </w:rPr>
        <w:t>governance</w:t>
      </w:r>
      <w:r w:rsidR="00DC035B" w:rsidRPr="0050090A">
        <w:rPr>
          <w:lang w:val="en-US"/>
        </w:rPr>
        <w:t xml:space="preserve">. This shows </w:t>
      </w:r>
      <w:r w:rsidR="0076594C" w:rsidRPr="0050090A">
        <w:rPr>
          <w:lang w:val="en-US"/>
        </w:rPr>
        <w:t xml:space="preserve">an increase in governance diversity. </w:t>
      </w:r>
      <w:r w:rsidR="005365D2" w:rsidRPr="0050090A">
        <w:rPr>
          <w:lang w:val="en-US"/>
        </w:rPr>
        <w:t xml:space="preserve">Other aspects of effective and equitable management </w:t>
      </w:r>
      <w:r w:rsidR="00956525" w:rsidRPr="0050090A">
        <w:rPr>
          <w:lang w:val="en-US"/>
        </w:rPr>
        <w:t>currently lack global assessments</w:t>
      </w:r>
      <w:r w:rsidR="00975DE1" w:rsidRPr="0050090A">
        <w:rPr>
          <w:lang w:val="en-US"/>
        </w:rPr>
        <w:t xml:space="preserve">, though </w:t>
      </w:r>
      <w:r w:rsidR="006359C9" w:rsidRPr="0050090A">
        <w:rPr>
          <w:lang w:val="en-US"/>
        </w:rPr>
        <w:t>there is a recognized need to focus on the quality</w:t>
      </w:r>
      <w:r w:rsidR="00316C01" w:rsidRPr="0050090A">
        <w:rPr>
          <w:lang w:val="en-US"/>
        </w:rPr>
        <w:t xml:space="preserve"> of</w:t>
      </w:r>
      <w:r w:rsidR="006359C9" w:rsidRPr="0050090A">
        <w:rPr>
          <w:lang w:val="en-US"/>
        </w:rPr>
        <w:t xml:space="preserve"> protected area management and governance, to complement t</w:t>
      </w:r>
      <w:r w:rsidR="00316C01" w:rsidRPr="0050090A">
        <w:rPr>
          <w:lang w:val="en-US"/>
        </w:rPr>
        <w:t>he</w:t>
      </w:r>
      <w:r w:rsidR="006359C9" w:rsidRPr="0050090A">
        <w:rPr>
          <w:lang w:val="en-US"/>
        </w:rPr>
        <w:t xml:space="preserve"> continued progress in the quantity of protected areas. </w:t>
      </w:r>
      <w:r w:rsidR="00316C01" w:rsidRPr="0050090A">
        <w:rPr>
          <w:lang w:val="en-US"/>
        </w:rPr>
        <w:t>There is a need for m</w:t>
      </w:r>
      <w:r w:rsidR="006359C9" w:rsidRPr="0050090A">
        <w:rPr>
          <w:lang w:val="en-US"/>
        </w:rPr>
        <w:t xml:space="preserve">ore </w:t>
      </w:r>
      <w:r w:rsidR="00316C01" w:rsidRPr="0050090A">
        <w:rPr>
          <w:lang w:val="en-US"/>
        </w:rPr>
        <w:t xml:space="preserve">focused </w:t>
      </w:r>
      <w:r w:rsidR="006359C9" w:rsidRPr="0050090A">
        <w:rPr>
          <w:lang w:val="en-US"/>
        </w:rPr>
        <w:t xml:space="preserve">application of management effectiveness evaluations, </w:t>
      </w:r>
      <w:r w:rsidR="00316C01" w:rsidRPr="0050090A">
        <w:rPr>
          <w:lang w:val="en-US"/>
        </w:rPr>
        <w:t xml:space="preserve">with a view to increasing protected areas under sound management, </w:t>
      </w:r>
      <w:r w:rsidR="006359C9" w:rsidRPr="0050090A">
        <w:rPr>
          <w:lang w:val="en-US"/>
        </w:rPr>
        <w:t xml:space="preserve">and </w:t>
      </w:r>
      <w:r w:rsidR="00316C01" w:rsidRPr="0050090A">
        <w:rPr>
          <w:lang w:val="en-US"/>
        </w:rPr>
        <w:t xml:space="preserve">the systematic application of </w:t>
      </w:r>
      <w:r w:rsidR="006359C9" w:rsidRPr="0050090A">
        <w:t>governance and social assessments</w:t>
      </w:r>
      <w:r w:rsidR="00316C01" w:rsidRPr="0050090A">
        <w:t>,</w:t>
      </w:r>
      <w:r w:rsidR="006359C9" w:rsidRPr="0050090A">
        <w:t xml:space="preserve"> at the site and system level</w:t>
      </w:r>
      <w:r w:rsidR="00316C01" w:rsidRPr="0050090A">
        <w:t>.</w:t>
      </w:r>
      <w:r w:rsidR="0076594C" w:rsidRPr="0050090A">
        <w:rPr>
          <w:lang w:val="en-US"/>
        </w:rPr>
        <w:t xml:space="preserve"> </w:t>
      </w:r>
      <w:r w:rsidR="00316C01" w:rsidRPr="0050090A">
        <w:rPr>
          <w:lang w:val="en-US"/>
        </w:rPr>
        <w:t>Finally, v</w:t>
      </w:r>
      <w:r w:rsidR="00F55BA8" w:rsidRPr="0050090A">
        <w:rPr>
          <w:lang w:val="en-US"/>
        </w:rPr>
        <w:t xml:space="preserve">oluntary guidance </w:t>
      </w:r>
      <w:r w:rsidR="00956525" w:rsidRPr="0050090A">
        <w:rPr>
          <w:lang w:val="en-US"/>
        </w:rPr>
        <w:t xml:space="preserve">on integration, mainstreaming, </w:t>
      </w:r>
      <w:r w:rsidR="0050090A" w:rsidRPr="0050090A">
        <w:rPr>
          <w:lang w:val="en-US"/>
        </w:rPr>
        <w:t xml:space="preserve">and </w:t>
      </w:r>
      <w:r w:rsidR="00975DE1" w:rsidRPr="0050090A">
        <w:rPr>
          <w:lang w:val="en-US"/>
        </w:rPr>
        <w:t xml:space="preserve">effective </w:t>
      </w:r>
      <w:r w:rsidR="00956525" w:rsidRPr="0050090A">
        <w:rPr>
          <w:lang w:val="en-US"/>
        </w:rPr>
        <w:lastRenderedPageBreak/>
        <w:t>governance</w:t>
      </w:r>
      <w:r w:rsidR="00975DE1" w:rsidRPr="0050090A">
        <w:rPr>
          <w:lang w:val="en-US"/>
        </w:rPr>
        <w:t xml:space="preserve"> models (including </w:t>
      </w:r>
      <w:r w:rsidR="00956525" w:rsidRPr="0050090A">
        <w:rPr>
          <w:lang w:val="en-US"/>
        </w:rPr>
        <w:t>equity</w:t>
      </w:r>
      <w:r w:rsidR="00975DE1" w:rsidRPr="0050090A">
        <w:rPr>
          <w:lang w:val="en-US"/>
        </w:rPr>
        <w:t>)</w:t>
      </w:r>
      <w:r w:rsidR="00956525" w:rsidRPr="0050090A">
        <w:rPr>
          <w:lang w:val="en-US"/>
        </w:rPr>
        <w:t xml:space="preserve">, and </w:t>
      </w:r>
      <w:r w:rsidR="00E323D4" w:rsidRPr="0050090A">
        <w:rPr>
          <w:lang w:val="en-US"/>
        </w:rPr>
        <w:t xml:space="preserve">guidance on </w:t>
      </w:r>
      <w:r w:rsidR="00956525" w:rsidRPr="0050090A">
        <w:rPr>
          <w:lang w:val="en-US"/>
        </w:rPr>
        <w:t>OECMs, will help to address some of the outstandin</w:t>
      </w:r>
      <w:r w:rsidR="00044EC3" w:rsidRPr="0050090A">
        <w:rPr>
          <w:lang w:val="en-US"/>
        </w:rPr>
        <w:t xml:space="preserve">g </w:t>
      </w:r>
      <w:r w:rsidR="006359C9" w:rsidRPr="0050090A">
        <w:rPr>
          <w:lang w:val="en-US"/>
        </w:rPr>
        <w:t>gaps</w:t>
      </w:r>
      <w:r w:rsidR="00DC035B" w:rsidRPr="0050090A">
        <w:rPr>
          <w:lang w:val="en-US"/>
        </w:rPr>
        <w:t xml:space="preserve"> with the</w:t>
      </w:r>
      <w:r w:rsidR="00044EC3" w:rsidRPr="0050090A">
        <w:rPr>
          <w:lang w:val="en-US"/>
        </w:rPr>
        <w:t xml:space="preserve"> qualitative element</w:t>
      </w:r>
      <w:r w:rsidR="00956525" w:rsidRPr="0050090A">
        <w:rPr>
          <w:lang w:val="en-US"/>
        </w:rPr>
        <w:t>s of Target 11.</w:t>
      </w:r>
    </w:p>
    <w:p w:rsidR="00CA737C" w:rsidRPr="0050090A" w:rsidRDefault="00CA737C" w:rsidP="006359C9">
      <w:pPr>
        <w:pStyle w:val="Para1"/>
        <w:rPr>
          <w:lang w:val="en-US"/>
        </w:rPr>
      </w:pPr>
      <w:r w:rsidRPr="0050090A">
        <w:rPr>
          <w:lang w:val="en-US"/>
        </w:rPr>
        <w:t xml:space="preserve">For those elements which may not be achieved by 2020, </w:t>
      </w:r>
      <w:r w:rsidR="00DC035B" w:rsidRPr="0050090A">
        <w:rPr>
          <w:lang w:val="en-US"/>
        </w:rPr>
        <w:t>the second phase</w:t>
      </w:r>
      <w:r w:rsidRPr="0050090A">
        <w:rPr>
          <w:lang w:val="en-US"/>
        </w:rPr>
        <w:t xml:space="preserve"> </w:t>
      </w:r>
      <w:r w:rsidR="001733E3" w:rsidRPr="0050090A">
        <w:rPr>
          <w:lang w:val="en-US"/>
        </w:rPr>
        <w:t xml:space="preserve">of the </w:t>
      </w:r>
      <w:r w:rsidR="00044EC3" w:rsidRPr="0050090A">
        <w:rPr>
          <w:lang w:val="en-US"/>
        </w:rPr>
        <w:t>Secretariat’s</w:t>
      </w:r>
      <w:r w:rsidR="001733E3" w:rsidRPr="0050090A">
        <w:rPr>
          <w:lang w:val="en-US"/>
        </w:rPr>
        <w:t xml:space="preserve"> protected areas strateg</w:t>
      </w:r>
      <w:r w:rsidR="00DC035B" w:rsidRPr="0050090A">
        <w:rPr>
          <w:lang w:val="en-US"/>
        </w:rPr>
        <w:t xml:space="preserve">y is </w:t>
      </w:r>
      <w:r w:rsidR="001733E3" w:rsidRPr="0050090A">
        <w:rPr>
          <w:lang w:val="en-US"/>
        </w:rPr>
        <w:t>put</w:t>
      </w:r>
      <w:r w:rsidR="00DC035B" w:rsidRPr="0050090A">
        <w:rPr>
          <w:lang w:val="en-US"/>
        </w:rPr>
        <w:t xml:space="preserve">ting </w:t>
      </w:r>
      <w:r w:rsidR="001733E3" w:rsidRPr="0050090A">
        <w:rPr>
          <w:lang w:val="en-US"/>
        </w:rPr>
        <w:t xml:space="preserve">in place </w:t>
      </w:r>
      <w:r w:rsidR="00DC035B" w:rsidRPr="0050090A">
        <w:rPr>
          <w:lang w:val="en-US"/>
        </w:rPr>
        <w:t xml:space="preserve">sustained capacity building </w:t>
      </w:r>
      <w:r w:rsidR="001733E3" w:rsidRPr="0050090A">
        <w:rPr>
          <w:lang w:val="en-US"/>
        </w:rPr>
        <w:t xml:space="preserve">mechanisms which should </w:t>
      </w:r>
      <w:r w:rsidRPr="0050090A">
        <w:rPr>
          <w:lang w:val="en-US"/>
        </w:rPr>
        <w:t xml:space="preserve">ensure continued progress, and </w:t>
      </w:r>
      <w:r w:rsidR="00DC035B" w:rsidRPr="0050090A">
        <w:rPr>
          <w:lang w:val="en-US"/>
        </w:rPr>
        <w:t>the achievement of</w:t>
      </w:r>
      <w:r w:rsidRPr="0050090A">
        <w:rPr>
          <w:lang w:val="en-US"/>
        </w:rPr>
        <w:t xml:space="preserve"> the</w:t>
      </w:r>
      <w:r w:rsidR="00044EC3" w:rsidRPr="0050090A">
        <w:rPr>
          <w:lang w:val="en-US"/>
        </w:rPr>
        <w:t xml:space="preserve">se </w:t>
      </w:r>
      <w:r w:rsidRPr="0050090A">
        <w:rPr>
          <w:lang w:val="en-US"/>
        </w:rPr>
        <w:t>in the ensuing years. This will provide a good basis for further discussions of a post-2020 biodiversity framework and the setting of more ambitious goals for the future</w:t>
      </w:r>
      <w:r w:rsidR="0076594C" w:rsidRPr="0050090A">
        <w:rPr>
          <w:lang w:val="en-US"/>
        </w:rPr>
        <w:t xml:space="preserve">, </w:t>
      </w:r>
      <w:r w:rsidR="0076594C" w:rsidRPr="0050090A">
        <w:t>as needed to achieve the agreed 2050 vision for biodiversity.</w:t>
      </w:r>
    </w:p>
    <w:p w:rsidR="0076594C" w:rsidRPr="0050090A" w:rsidRDefault="005365D2" w:rsidP="0076594C">
      <w:pPr>
        <w:pStyle w:val="Para1"/>
      </w:pPr>
      <w:r w:rsidRPr="0050090A">
        <w:t xml:space="preserve">With </w:t>
      </w:r>
      <w:r w:rsidR="00F73233" w:rsidRPr="0050090A">
        <w:t>continued implementation of national priority actions and other commitments</w:t>
      </w:r>
      <w:r w:rsidRPr="0050090A">
        <w:t xml:space="preserve">, the progress of the last two years could be </w:t>
      </w:r>
      <w:r w:rsidR="001733E3" w:rsidRPr="0050090A">
        <w:t>maintained</w:t>
      </w:r>
      <w:r w:rsidRPr="0050090A">
        <w:t xml:space="preserve"> and hopefully accelerated. This could be complemented through the </w:t>
      </w:r>
      <w:r w:rsidR="00F73233" w:rsidRPr="0050090A">
        <w:t>comprehensive assessment of the contribution o</w:t>
      </w:r>
      <w:r w:rsidR="0076594C" w:rsidRPr="0050090A">
        <w:t xml:space="preserve">f PPAs, </w:t>
      </w:r>
      <w:r w:rsidR="00F73233" w:rsidRPr="0050090A">
        <w:t>ICCAs</w:t>
      </w:r>
      <w:r w:rsidR="0076594C" w:rsidRPr="0050090A">
        <w:t xml:space="preserve"> and OECMs</w:t>
      </w:r>
      <w:r w:rsidRPr="0050090A">
        <w:t>, which would</w:t>
      </w:r>
      <w:r w:rsidR="0076594C" w:rsidRPr="0050090A">
        <w:t xml:space="preserve"> </w:t>
      </w:r>
      <w:r w:rsidR="0076594C" w:rsidRPr="0050090A">
        <w:rPr>
          <w:lang w:val="en-CA"/>
        </w:rPr>
        <w:t xml:space="preserve">support </w:t>
      </w:r>
      <w:r w:rsidRPr="0050090A">
        <w:rPr>
          <w:lang w:val="en-CA"/>
        </w:rPr>
        <w:t xml:space="preserve">progress on all </w:t>
      </w:r>
      <w:r w:rsidR="00DC035B" w:rsidRPr="0050090A">
        <w:rPr>
          <w:lang w:val="en-CA"/>
        </w:rPr>
        <w:t xml:space="preserve">of the </w:t>
      </w:r>
      <w:r w:rsidR="0076594C" w:rsidRPr="0050090A">
        <w:rPr>
          <w:lang w:val="en-CA"/>
        </w:rPr>
        <w:t>elements of Target 11.</w:t>
      </w:r>
      <w:r w:rsidR="00044EC3" w:rsidRPr="0050090A">
        <w:rPr>
          <w:lang w:val="en-CA"/>
        </w:rPr>
        <w:t xml:space="preserve"> </w:t>
      </w:r>
      <w:r w:rsidR="0076594C" w:rsidRPr="0050090A">
        <w:rPr>
          <w:lang w:val="en-CA"/>
        </w:rPr>
        <w:t xml:space="preserve">There is a need for concerted efforts to </w:t>
      </w:r>
      <w:r w:rsidR="00044EC3" w:rsidRPr="0050090A">
        <w:rPr>
          <w:lang w:val="en-CA"/>
        </w:rPr>
        <w:t xml:space="preserve">systematically </w:t>
      </w:r>
      <w:r w:rsidR="0076594C" w:rsidRPr="0050090A">
        <w:rPr>
          <w:lang w:val="en-CA"/>
        </w:rPr>
        <w:t xml:space="preserve">collect </w:t>
      </w:r>
      <w:r w:rsidR="00044EC3" w:rsidRPr="0050090A">
        <w:rPr>
          <w:lang w:val="en-CA"/>
        </w:rPr>
        <w:t>information</w:t>
      </w:r>
      <w:r w:rsidR="007F2B3A" w:rsidRPr="0050090A">
        <w:rPr>
          <w:lang w:val="en-CA"/>
        </w:rPr>
        <w:t xml:space="preserve"> and report on these areas</w:t>
      </w:r>
      <w:r w:rsidR="00044EC3" w:rsidRPr="0050090A">
        <w:rPr>
          <w:lang w:val="en-CA"/>
        </w:rPr>
        <w:t>;</w:t>
      </w:r>
      <w:r w:rsidR="0076594C" w:rsidRPr="0050090A">
        <w:rPr>
          <w:lang w:val="en-CA"/>
        </w:rPr>
        <w:t xml:space="preserve"> employing all necessary safeguards</w:t>
      </w:r>
      <w:r w:rsidR="007F2B3A" w:rsidRPr="0050090A">
        <w:rPr>
          <w:lang w:val="en-CA"/>
        </w:rPr>
        <w:t>,</w:t>
      </w:r>
      <w:r w:rsidR="00044EC3" w:rsidRPr="0050090A">
        <w:rPr>
          <w:lang w:val="en-CA"/>
        </w:rPr>
        <w:t xml:space="preserve"> including ensuring </w:t>
      </w:r>
      <w:r w:rsidR="007F2B3A" w:rsidRPr="0050090A">
        <w:rPr>
          <w:lang w:val="en-CA"/>
        </w:rPr>
        <w:t xml:space="preserve">that </w:t>
      </w:r>
      <w:r w:rsidR="00044EC3" w:rsidRPr="0050090A">
        <w:rPr>
          <w:lang w:val="en-CA"/>
        </w:rPr>
        <w:t>IPLCs have</w:t>
      </w:r>
      <w:r w:rsidR="007F2B3A" w:rsidRPr="0050090A">
        <w:rPr>
          <w:lang w:val="en-CA"/>
        </w:rPr>
        <w:t xml:space="preserve"> the</w:t>
      </w:r>
      <w:r w:rsidR="00044EC3" w:rsidRPr="0050090A">
        <w:rPr>
          <w:lang w:val="en-CA"/>
        </w:rPr>
        <w:t xml:space="preserve"> capacity to exercise their </w:t>
      </w:r>
      <w:r w:rsidR="00044EC3" w:rsidRPr="0050090A">
        <w:t xml:space="preserve">free, prior and informed consent. This would include </w:t>
      </w:r>
      <w:r w:rsidR="0076594C" w:rsidRPr="0050090A">
        <w:rPr>
          <w:lang w:val="en-CA"/>
        </w:rPr>
        <w:t>map</w:t>
      </w:r>
      <w:r w:rsidR="001733E3" w:rsidRPr="0050090A">
        <w:rPr>
          <w:lang w:val="en-CA"/>
        </w:rPr>
        <w:t xml:space="preserve">ping these under-reported protected area categories </w:t>
      </w:r>
      <w:r w:rsidR="0076594C" w:rsidRPr="0050090A">
        <w:rPr>
          <w:lang w:val="en-CA"/>
        </w:rPr>
        <w:t>vis-à-vis the various elements of</w:t>
      </w:r>
      <w:r w:rsidR="001733E3" w:rsidRPr="0050090A">
        <w:rPr>
          <w:lang w:val="en-CA"/>
        </w:rPr>
        <w:t xml:space="preserve"> Target 11</w:t>
      </w:r>
      <w:r w:rsidR="0076594C" w:rsidRPr="0050090A">
        <w:rPr>
          <w:lang w:val="en-CA"/>
        </w:rPr>
        <w:t xml:space="preserve">. </w:t>
      </w:r>
    </w:p>
    <w:p w:rsidR="0076594C" w:rsidRDefault="00044EC3" w:rsidP="0076594C">
      <w:pPr>
        <w:pStyle w:val="Para1"/>
      </w:pPr>
      <w:r w:rsidRPr="0050090A">
        <w:t xml:space="preserve">Significant progress towards the </w:t>
      </w:r>
      <w:r w:rsidR="0076594C" w:rsidRPr="0050090A">
        <w:t>achievement of</w:t>
      </w:r>
      <w:r w:rsidRPr="0050090A">
        <w:t xml:space="preserve"> </w:t>
      </w:r>
      <w:r w:rsidR="007F2B3A" w:rsidRPr="0050090A">
        <w:t>the</w:t>
      </w:r>
      <w:r w:rsidRPr="0050090A">
        <w:t xml:space="preserve"> elements of</w:t>
      </w:r>
      <w:r w:rsidR="0076594C" w:rsidRPr="0050090A">
        <w:t xml:space="preserve"> Aichi Biodiversity Target 11 </w:t>
      </w:r>
      <w:r w:rsidRPr="0050090A">
        <w:t>would</w:t>
      </w:r>
      <w:r w:rsidR="0076594C" w:rsidRPr="0050090A">
        <w:t xml:space="preserve"> generate multiple benefits for the well-being of society by contributing solutions to the </w:t>
      </w:r>
      <w:r w:rsidRPr="0050090A">
        <w:t xml:space="preserve">many of the </w:t>
      </w:r>
      <w:r w:rsidR="0076594C" w:rsidRPr="0050090A">
        <w:t>most important of global challenges</w:t>
      </w:r>
      <w:r w:rsidRPr="0050090A">
        <w:t xml:space="preserve">, as </w:t>
      </w:r>
      <w:r w:rsidR="007F2B3A" w:rsidRPr="0050090A">
        <w:t>addressed</w:t>
      </w:r>
      <w:r w:rsidR="0076594C" w:rsidRPr="0050090A">
        <w:t xml:space="preserve"> in the Strategic Plan for Biodiversity 2011–2020 and emphasised through the U</w:t>
      </w:r>
      <w:r w:rsidR="00E74EAC">
        <w:t xml:space="preserve">nited </w:t>
      </w:r>
      <w:r w:rsidR="0076594C" w:rsidRPr="0050090A">
        <w:t>N</w:t>
      </w:r>
      <w:r w:rsidR="00E74EAC">
        <w:t>ations</w:t>
      </w:r>
      <w:r w:rsidR="0076594C" w:rsidRPr="0050090A">
        <w:t xml:space="preserve"> Sustainable Development Goals. It </w:t>
      </w:r>
      <w:r w:rsidRPr="0050090A">
        <w:t>would</w:t>
      </w:r>
      <w:r w:rsidR="0076594C" w:rsidRPr="0050090A">
        <w:t xml:space="preserve"> also make a major contribution towards facilitating sustainable development</w:t>
      </w:r>
      <w:r w:rsidR="007F2B3A" w:rsidRPr="0050090A">
        <w:t xml:space="preserve">, including </w:t>
      </w:r>
      <w:r w:rsidR="0076594C" w:rsidRPr="0050090A">
        <w:t>through poverty alleviation</w:t>
      </w:r>
      <w:r w:rsidR="007F2B3A" w:rsidRPr="0050090A">
        <w:t xml:space="preserve">, economic growth, and a healthy environment, leading </w:t>
      </w:r>
      <w:r w:rsidR="0076594C" w:rsidRPr="0050090A">
        <w:t>towards a life in harmony with nature at the local, national and global levels, not only for the current but also future generations.</w:t>
      </w:r>
    </w:p>
    <w:p w:rsidR="00950336" w:rsidRDefault="00950336" w:rsidP="00950336">
      <w:pPr>
        <w:pStyle w:val="Para1"/>
        <w:numPr>
          <w:ilvl w:val="0"/>
          <w:numId w:val="0"/>
        </w:numPr>
      </w:pPr>
    </w:p>
    <w:p w:rsidR="009859A9" w:rsidRDefault="009859A9">
      <w:pPr>
        <w:jc w:val="left"/>
        <w:rPr>
          <w:rFonts w:eastAsia="MS Mincho"/>
          <w:bCs/>
          <w:szCs w:val="22"/>
        </w:rPr>
      </w:pPr>
      <w:r>
        <w:br w:type="page"/>
      </w:r>
    </w:p>
    <w:p w:rsidR="00E74EAC" w:rsidRPr="00E74EAC" w:rsidRDefault="00E74EAC" w:rsidP="00E74EAC">
      <w:pPr>
        <w:spacing w:after="120"/>
        <w:jc w:val="center"/>
        <w:rPr>
          <w:rFonts w:eastAsia="Calibri" w:cs="Times New Roman"/>
          <w:i/>
          <w:szCs w:val="22"/>
          <w:lang w:val="en-US"/>
        </w:rPr>
      </w:pPr>
      <w:r w:rsidRPr="00E74EAC">
        <w:rPr>
          <w:rFonts w:eastAsia="Calibri" w:cs="Times New Roman"/>
          <w:i/>
          <w:szCs w:val="22"/>
          <w:lang w:val="en-US"/>
        </w:rPr>
        <w:lastRenderedPageBreak/>
        <w:t>Annex</w:t>
      </w:r>
    </w:p>
    <w:p w:rsidR="009859A9" w:rsidRPr="009859A9" w:rsidRDefault="00E74EAC" w:rsidP="00E74EAC">
      <w:pPr>
        <w:jc w:val="center"/>
        <w:rPr>
          <w:rFonts w:eastAsia="Calibri" w:cs="Times New Roman"/>
          <w:b/>
          <w:szCs w:val="22"/>
          <w:lang w:val="en-US"/>
        </w:rPr>
      </w:pPr>
      <w:r>
        <w:rPr>
          <w:rFonts w:eastAsia="Calibri" w:cs="Times New Roman"/>
          <w:b/>
          <w:szCs w:val="22"/>
          <w:lang w:val="en-US"/>
        </w:rPr>
        <w:t xml:space="preserve"> List of Parties for the 12 sub</w:t>
      </w:r>
      <w:r w:rsidR="009859A9">
        <w:rPr>
          <w:rFonts w:eastAsia="Calibri" w:cs="Times New Roman"/>
          <w:b/>
          <w:szCs w:val="22"/>
          <w:lang w:val="en-US"/>
        </w:rPr>
        <w:t>regional groups</w:t>
      </w:r>
    </w:p>
    <w:tbl>
      <w:tblPr>
        <w:tblW w:w="10170" w:type="dxa"/>
        <w:tblInd w:w="-252" w:type="dxa"/>
        <w:tblLook w:val="04A0" w:firstRow="1" w:lastRow="0" w:firstColumn="1" w:lastColumn="0" w:noHBand="0" w:noVBand="1"/>
      </w:tblPr>
      <w:tblGrid>
        <w:gridCol w:w="3150"/>
        <w:gridCol w:w="2790"/>
        <w:gridCol w:w="4230"/>
      </w:tblGrid>
      <w:tr w:rsidR="009859A9" w:rsidRPr="009859A9" w:rsidTr="009859A9">
        <w:trPr>
          <w:cantSplit/>
          <w:trHeight w:hRule="exact" w:val="281"/>
        </w:trPr>
        <w:tc>
          <w:tcPr>
            <w:tcW w:w="3150" w:type="dxa"/>
            <w:tcBorders>
              <w:top w:val="single" w:sz="18" w:space="0" w:color="auto"/>
            </w:tcBorders>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r w:rsidRPr="009859A9">
              <w:rPr>
                <w:rFonts w:eastAsia="Calibri" w:cs="Times New Roman"/>
                <w:b/>
                <w:bCs/>
                <w:i/>
                <w:iCs/>
                <w:color w:val="000000"/>
                <w:sz w:val="18"/>
                <w:szCs w:val="18"/>
              </w:rPr>
              <w:t>Pacific Region</w:t>
            </w:r>
          </w:p>
        </w:tc>
        <w:tc>
          <w:tcPr>
            <w:tcW w:w="2790" w:type="dxa"/>
            <w:tcBorders>
              <w:top w:val="single" w:sz="18" w:space="0" w:color="auto"/>
            </w:tcBorders>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r w:rsidRPr="009859A9">
              <w:rPr>
                <w:rFonts w:eastAsia="Calibri" w:cs="Times New Roman"/>
                <w:b/>
                <w:bCs/>
                <w:i/>
                <w:iCs/>
                <w:color w:val="000000"/>
                <w:sz w:val="18"/>
                <w:szCs w:val="18"/>
              </w:rPr>
              <w:t>Caribbean</w:t>
            </w:r>
          </w:p>
        </w:tc>
        <w:tc>
          <w:tcPr>
            <w:tcW w:w="4230" w:type="dxa"/>
            <w:tcBorders>
              <w:top w:val="single" w:sz="18" w:space="0" w:color="auto"/>
            </w:tcBorders>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r w:rsidRPr="009859A9">
              <w:rPr>
                <w:rFonts w:eastAsia="Calibri" w:cs="Times New Roman"/>
                <w:b/>
                <w:bCs/>
                <w:i/>
                <w:iCs/>
                <w:color w:val="000000"/>
                <w:sz w:val="18"/>
                <w:szCs w:val="18"/>
              </w:rPr>
              <w:t>Central and Western Europe</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Cook Islands</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Antigua and Barbuda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Albania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Fiji</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Bahamas</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Andorra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Kiribati</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Barbados</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Austria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Marshall Islands</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sz w:val="18"/>
                <w:szCs w:val="18"/>
              </w:rPr>
            </w:pPr>
            <w:r w:rsidRPr="009859A9">
              <w:rPr>
                <w:rFonts w:eastAsia="Calibri" w:cs="Times New Roman"/>
                <w:sz w:val="18"/>
                <w:szCs w:val="18"/>
              </w:rPr>
              <w:t>Belize</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Belgium</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Micronesia (Federated States of)</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Cuba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Bosnia and Herzegovina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Nauru</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Dominica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Bulgaria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Niue</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Dominican Republic</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Croatia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Palau</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Grenada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Cyprus</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Papua New Guinea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sz w:val="18"/>
                <w:szCs w:val="18"/>
              </w:rPr>
            </w:pPr>
            <w:r w:rsidRPr="009859A9">
              <w:rPr>
                <w:rFonts w:eastAsia="Calibri" w:cs="Times New Roman"/>
                <w:sz w:val="18"/>
                <w:szCs w:val="18"/>
              </w:rPr>
              <w:t>Guyana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Czechia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Samoa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Haiti</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Denmark</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Solomon Islands</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Jamaica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Estonia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Tonga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Saint Kitts and Nevis</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Finland</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Tuvalu</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Saint Lucia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France</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Vanuatu</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Saint Vincent and the Grenadines</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Georgia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b/>
                <w:sz w:val="18"/>
                <w:szCs w:val="18"/>
              </w:rPr>
            </w:pP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sz w:val="18"/>
                <w:szCs w:val="18"/>
              </w:rPr>
            </w:pPr>
            <w:r w:rsidRPr="009859A9">
              <w:rPr>
                <w:rFonts w:eastAsia="Calibri" w:cs="Times New Roman"/>
                <w:sz w:val="18"/>
                <w:szCs w:val="18"/>
              </w:rPr>
              <w:t>Suriname</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Germany</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b/>
                <w:sz w:val="18"/>
                <w:szCs w:val="18"/>
              </w:rPr>
            </w:pPr>
            <w:r w:rsidRPr="009859A9">
              <w:rPr>
                <w:rFonts w:eastAsia="Calibri" w:cs="Times New Roman"/>
                <w:b/>
                <w:sz w:val="18"/>
                <w:szCs w:val="18"/>
              </w:rPr>
              <w:t>East and South-East Asia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Trinidad and Tobago</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Greece</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Brunei Darussalam</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Hungary</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Cambodia</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b/>
                <w:bCs/>
                <w:i/>
                <w:iCs/>
                <w:color w:val="000000"/>
                <w:sz w:val="18"/>
                <w:szCs w:val="18"/>
              </w:rPr>
            </w:pPr>
            <w:r w:rsidRPr="009859A9">
              <w:rPr>
                <w:rFonts w:eastAsia="Calibri" w:cs="Times New Roman"/>
                <w:b/>
                <w:bCs/>
                <w:i/>
                <w:iCs/>
                <w:color w:val="000000"/>
                <w:sz w:val="18"/>
                <w:szCs w:val="18"/>
              </w:rPr>
              <w:t>Central and Southern America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Iceland</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China</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Argentina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Ireland</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Democratic People's Republic of Korea</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Bolivia (Plurinational State of)</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Israel</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Indonesia</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Brazil</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Italy</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Japan</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Chile</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Latvia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Lao People's Democratic Republic</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Colombia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Liechtenstein</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Malaysia</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Costa Rica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Lithuania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Mongolia</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Ecuador</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Luxembourg</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Myanmar</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El Salvador</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Malta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Philippines</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Guatemala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Monaco</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Republic of Korea</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Honduras</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Montenegro</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Singapore</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Mexico</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Netherlands</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Thailand</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Nicaragua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Norway</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Timor-Leste</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Panama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Poland</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sz w:val="18"/>
                <w:szCs w:val="18"/>
              </w:rPr>
            </w:pPr>
            <w:r w:rsidRPr="009859A9">
              <w:rPr>
                <w:rFonts w:eastAsia="Calibri" w:cs="Times New Roman"/>
                <w:sz w:val="18"/>
                <w:szCs w:val="18"/>
              </w:rPr>
              <w:t>Viet Nam</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Paraguay</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Portugal</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b/>
                <w:bCs/>
                <w:i/>
                <w:iCs/>
                <w:color w:val="000000"/>
                <w:sz w:val="18"/>
                <w:szCs w:val="22"/>
              </w:rPr>
            </w:pP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Peru</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Republic of Moldova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b/>
                <w:bCs/>
                <w:i/>
                <w:iCs/>
                <w:color w:val="000000"/>
                <w:sz w:val="18"/>
                <w:szCs w:val="22"/>
              </w:rPr>
            </w:pPr>
            <w:r w:rsidRPr="009859A9">
              <w:rPr>
                <w:rFonts w:eastAsia="Calibri" w:cs="Times New Roman"/>
                <w:b/>
                <w:bCs/>
                <w:i/>
                <w:iCs/>
                <w:color w:val="000000"/>
                <w:sz w:val="18"/>
                <w:szCs w:val="22"/>
              </w:rPr>
              <w:t>South Asia</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Uruguay</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Romania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22"/>
              </w:rPr>
            </w:pPr>
            <w:r w:rsidRPr="009859A9">
              <w:rPr>
                <w:rFonts w:eastAsia="Calibri" w:cs="Times New Roman"/>
                <w:color w:val="000000"/>
                <w:sz w:val="18"/>
                <w:szCs w:val="22"/>
              </w:rPr>
              <w:t>Afghanistan</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Venezuela (Bolivarian Republic of)</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San Marino</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22"/>
              </w:rPr>
            </w:pPr>
            <w:r w:rsidRPr="009859A9">
              <w:rPr>
                <w:rFonts w:eastAsia="Calibri" w:cs="Times New Roman"/>
                <w:color w:val="000000"/>
                <w:sz w:val="18"/>
                <w:szCs w:val="22"/>
              </w:rPr>
              <w:t>Bangladesh</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b/>
                <w:bCs/>
                <w:i/>
                <w:iCs/>
                <w:color w:val="000000"/>
                <w:sz w:val="18"/>
                <w:szCs w:val="18"/>
              </w:rPr>
            </w:pP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Serbia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22"/>
              </w:rPr>
            </w:pPr>
            <w:r w:rsidRPr="009859A9">
              <w:rPr>
                <w:rFonts w:eastAsia="Calibri" w:cs="Times New Roman"/>
                <w:color w:val="000000"/>
                <w:sz w:val="18"/>
                <w:szCs w:val="22"/>
              </w:rPr>
              <w:t>Bhutan</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b/>
                <w:bCs/>
                <w:i/>
                <w:iCs/>
                <w:color w:val="000000"/>
                <w:sz w:val="18"/>
                <w:szCs w:val="18"/>
              </w:rPr>
            </w:pPr>
            <w:r w:rsidRPr="009859A9">
              <w:rPr>
                <w:rFonts w:eastAsia="Calibri" w:cs="Times New Roman"/>
                <w:b/>
                <w:bCs/>
                <w:i/>
                <w:iCs/>
                <w:color w:val="000000"/>
                <w:sz w:val="18"/>
                <w:szCs w:val="18"/>
              </w:rPr>
              <w:t>North America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Slovakia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22"/>
              </w:rPr>
            </w:pPr>
            <w:r w:rsidRPr="009859A9">
              <w:rPr>
                <w:rFonts w:eastAsia="Calibri" w:cs="Times New Roman"/>
                <w:color w:val="000000"/>
                <w:sz w:val="18"/>
                <w:szCs w:val="22"/>
              </w:rPr>
              <w:t>India</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Canada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Slovenia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22"/>
              </w:rPr>
            </w:pPr>
            <w:r w:rsidRPr="009859A9">
              <w:rPr>
                <w:rFonts w:eastAsia="Calibri" w:cs="Times New Roman"/>
                <w:color w:val="000000"/>
                <w:sz w:val="18"/>
                <w:szCs w:val="22"/>
              </w:rPr>
              <w:t>Iran (Islamic Republic of)</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b/>
                <w:bCs/>
                <w:i/>
                <w:iCs/>
                <w:color w:val="000000"/>
                <w:sz w:val="18"/>
                <w:szCs w:val="18"/>
              </w:rPr>
            </w:pP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Spain</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22"/>
              </w:rPr>
            </w:pPr>
            <w:r w:rsidRPr="009859A9">
              <w:rPr>
                <w:rFonts w:eastAsia="Calibri" w:cs="Times New Roman"/>
                <w:color w:val="000000"/>
                <w:sz w:val="18"/>
                <w:szCs w:val="22"/>
              </w:rPr>
              <w:t>Maldives</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b/>
                <w:bCs/>
                <w:i/>
                <w:iCs/>
                <w:color w:val="000000"/>
                <w:sz w:val="18"/>
                <w:szCs w:val="18"/>
              </w:rPr>
            </w:pPr>
            <w:r w:rsidRPr="009859A9">
              <w:rPr>
                <w:rFonts w:eastAsia="Calibri" w:cs="Times New Roman"/>
                <w:b/>
                <w:bCs/>
                <w:i/>
                <w:iCs/>
                <w:color w:val="000000"/>
                <w:sz w:val="18"/>
                <w:szCs w:val="18"/>
              </w:rPr>
              <w:t>Australia and New Zealand</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Sweden</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22"/>
              </w:rPr>
            </w:pPr>
            <w:r w:rsidRPr="009859A9">
              <w:rPr>
                <w:rFonts w:eastAsia="Calibri" w:cs="Times New Roman"/>
                <w:color w:val="000000"/>
                <w:sz w:val="18"/>
                <w:szCs w:val="22"/>
              </w:rPr>
              <w:t>Nepal</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Australia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Switzerland</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22"/>
              </w:rPr>
            </w:pPr>
            <w:r w:rsidRPr="009859A9">
              <w:rPr>
                <w:rFonts w:eastAsia="Calibri" w:cs="Times New Roman"/>
                <w:color w:val="000000"/>
                <w:sz w:val="18"/>
                <w:szCs w:val="22"/>
              </w:rPr>
              <w:t>Pakistan</w:t>
            </w:r>
          </w:p>
        </w:tc>
        <w:tc>
          <w:tcPr>
            <w:tcW w:w="2790" w:type="dxa"/>
            <w:shd w:val="clear" w:color="auto" w:fill="auto"/>
            <w:vAlign w:val="center"/>
          </w:tcPr>
          <w:p w:rsidR="009859A9" w:rsidRPr="009859A9" w:rsidRDefault="009859A9" w:rsidP="00275B3E">
            <w:pPr>
              <w:spacing w:after="200" w:line="276" w:lineRule="auto"/>
              <w:jc w:val="left"/>
              <w:rPr>
                <w:rFonts w:eastAsia="Calibri" w:cs="Times New Roman"/>
                <w:sz w:val="18"/>
                <w:szCs w:val="18"/>
                <w:lang w:val="en-US"/>
              </w:rPr>
            </w:pPr>
            <w:r>
              <w:rPr>
                <w:rFonts w:eastAsia="Calibri" w:cs="Times New Roman"/>
                <w:sz w:val="18"/>
                <w:szCs w:val="18"/>
                <w:lang w:val="en-US"/>
              </w:rPr>
              <w:t>New Zealand</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The former Yugoslav Republic of Macedonia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275B3E">
            <w:pPr>
              <w:spacing w:after="200" w:line="276" w:lineRule="auto"/>
              <w:jc w:val="left"/>
              <w:rPr>
                <w:rFonts w:eastAsia="Calibri" w:cs="Times New Roman"/>
                <w:color w:val="000000"/>
                <w:sz w:val="18"/>
                <w:szCs w:val="22"/>
              </w:rPr>
            </w:pPr>
            <w:r w:rsidRPr="009859A9">
              <w:rPr>
                <w:rFonts w:eastAsia="Calibri" w:cs="Times New Roman"/>
                <w:color w:val="000000"/>
                <w:sz w:val="18"/>
                <w:szCs w:val="22"/>
              </w:rPr>
              <w:t>Sri Lanka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Turkey</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p>
        </w:tc>
        <w:tc>
          <w:tcPr>
            <w:tcW w:w="4230" w:type="dxa"/>
            <w:vMerge w:val="restart"/>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United Kingdom of Great Britain and Northern Ireland</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p>
        </w:tc>
        <w:tc>
          <w:tcPr>
            <w:tcW w:w="4230" w:type="dxa"/>
            <w:vMerge/>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r w:rsidRPr="009859A9">
              <w:rPr>
                <w:rFonts w:eastAsia="Calibri" w:cs="Times New Roman"/>
                <w:b/>
                <w:bCs/>
                <w:i/>
                <w:iCs/>
                <w:color w:val="000000"/>
                <w:sz w:val="18"/>
                <w:szCs w:val="18"/>
              </w:rPr>
              <w:lastRenderedPageBreak/>
              <w:t>Eastern and Southern Africa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r w:rsidRPr="009859A9">
              <w:rPr>
                <w:rFonts w:eastAsia="Calibri" w:cs="Times New Roman"/>
                <w:b/>
                <w:bCs/>
                <w:i/>
                <w:iCs/>
                <w:color w:val="000000"/>
                <w:sz w:val="18"/>
                <w:szCs w:val="18"/>
              </w:rPr>
              <w:t>Western and Central Africa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r w:rsidRPr="009859A9">
              <w:rPr>
                <w:rFonts w:eastAsia="Calibri" w:cs="Times New Roman"/>
                <w:b/>
                <w:bCs/>
                <w:i/>
                <w:iCs/>
                <w:color w:val="000000"/>
                <w:sz w:val="18"/>
                <w:szCs w:val="18"/>
              </w:rPr>
              <w:t>Russian-speaking Eastern Europe and Central Asia</w:t>
            </w:r>
          </w:p>
          <w:p w:rsidR="009859A9" w:rsidRPr="009859A9" w:rsidRDefault="009859A9" w:rsidP="009859A9">
            <w:pPr>
              <w:spacing w:after="200" w:line="276" w:lineRule="auto"/>
              <w:jc w:val="left"/>
              <w:rPr>
                <w:rFonts w:eastAsia="Calibri" w:cs="Times New Roman"/>
                <w:b/>
                <w:bCs/>
                <w:i/>
                <w:iCs/>
                <w:color w:val="000000"/>
                <w:sz w:val="18"/>
                <w:szCs w:val="18"/>
              </w:rPr>
            </w:pPr>
            <w:r w:rsidRPr="009859A9">
              <w:rPr>
                <w:rFonts w:eastAsia="Calibri" w:cs="Times New Roman"/>
                <w:b/>
                <w:bCs/>
                <w:i/>
                <w:iCs/>
                <w:color w:val="000000"/>
                <w:sz w:val="18"/>
                <w:szCs w:val="18"/>
              </w:rPr>
              <w:t>Europe and Central Asia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Angola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Benin</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Armenia</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Botswana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Burkina Faso</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Azerbaijan</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Burundi</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Cabo Verde</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Belarus</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Comoros</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Cameroon</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Kazakhstan</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Djibouti</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Central African Republic</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Kyrgyzstan</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Eritrea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Chad</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Russian Federation</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Ethiopia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Congo</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Tajikistan</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Kenya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Côte d'Ivoire</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Turkmenistan</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Lesotho</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Democratic Republic of the Congo</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Ukraine</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Madagascar</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Equatorial Guinea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Uzbekistan</w:t>
            </w: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Malawi</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Gabon</w:t>
            </w:r>
          </w:p>
        </w:tc>
        <w:tc>
          <w:tcPr>
            <w:tcW w:w="4230" w:type="dxa"/>
            <w:shd w:val="clear" w:color="auto" w:fill="auto"/>
            <w:vAlign w:val="center"/>
          </w:tcPr>
          <w:p w:rsidR="009859A9" w:rsidRPr="009859A9" w:rsidRDefault="009859A9" w:rsidP="009859A9">
            <w:pPr>
              <w:spacing w:after="200" w:line="276" w:lineRule="auto"/>
              <w:jc w:val="left"/>
              <w:rPr>
                <w:rFonts w:ascii="Calibri" w:eastAsia="Calibri" w:hAnsi="Calibri" w:cs="Times New Roman"/>
                <w:b/>
                <w:bCs/>
                <w:i/>
                <w:iCs/>
                <w:color w:val="000000"/>
                <w:szCs w:val="22"/>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Mauritius</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Gambia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Mozambique</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Ghana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Namibia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Guinea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Rwanda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Guinea-Bissau</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Seychelles</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Liberia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Somalia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Mali</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South Africa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Mauritania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South Sudan</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Niger</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Swaziland</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Nigeria</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Uganda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Sao Tome and Principe</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United Republic of Tanzania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Senegal</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Zambia</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Sierra Leone</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Zimbabwe</w:t>
            </w: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Togo</w:t>
            </w: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859A9" w:rsidRPr="009859A9" w:rsidTr="009859A9">
        <w:trPr>
          <w:cantSplit/>
          <w:trHeight w:hRule="exact" w:val="281"/>
        </w:trPr>
        <w:tc>
          <w:tcPr>
            <w:tcW w:w="3150" w:type="dxa"/>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p>
        </w:tc>
        <w:tc>
          <w:tcPr>
            <w:tcW w:w="2790" w:type="dxa"/>
            <w:shd w:val="clear" w:color="auto" w:fill="auto"/>
            <w:vAlign w:val="center"/>
          </w:tcPr>
          <w:p w:rsidR="009859A9" w:rsidRPr="009859A9" w:rsidRDefault="009859A9" w:rsidP="009859A9">
            <w:pPr>
              <w:spacing w:after="200" w:line="276" w:lineRule="auto"/>
              <w:jc w:val="left"/>
              <w:rPr>
                <w:rFonts w:eastAsia="Calibri" w:cs="Times New Roman"/>
                <w:b/>
                <w:bCs/>
                <w:i/>
                <w:iCs/>
                <w:color w:val="000000"/>
                <w:sz w:val="18"/>
                <w:szCs w:val="18"/>
              </w:rPr>
            </w:pPr>
          </w:p>
        </w:tc>
        <w:tc>
          <w:tcPr>
            <w:tcW w:w="4230" w:type="dxa"/>
            <w:shd w:val="clear" w:color="auto" w:fill="auto"/>
            <w:vAlign w:val="center"/>
          </w:tcPr>
          <w:p w:rsidR="009859A9" w:rsidRPr="009859A9" w:rsidRDefault="009859A9"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b/>
                <w:bCs/>
                <w:i/>
                <w:iCs/>
                <w:color w:val="000000"/>
                <w:sz w:val="18"/>
                <w:szCs w:val="18"/>
              </w:rPr>
            </w:pPr>
            <w:r w:rsidRPr="009859A9">
              <w:rPr>
                <w:rFonts w:eastAsia="Calibri" w:cs="Times New Roman"/>
                <w:b/>
                <w:bCs/>
                <w:i/>
                <w:iCs/>
                <w:color w:val="000000"/>
                <w:sz w:val="18"/>
                <w:szCs w:val="18"/>
              </w:rPr>
              <w:t>Middle East and North Africa</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color w:val="000000"/>
                <w:sz w:val="18"/>
                <w:szCs w:val="18"/>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Algeria</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color w:val="000000"/>
                <w:sz w:val="18"/>
                <w:szCs w:val="18"/>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Bahrain</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color w:val="000000"/>
                <w:sz w:val="18"/>
                <w:szCs w:val="18"/>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Egypt</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color w:val="000000"/>
                <w:sz w:val="18"/>
                <w:szCs w:val="18"/>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Iraq</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color w:val="000000"/>
                <w:sz w:val="18"/>
                <w:szCs w:val="18"/>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Jordan</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color w:val="000000"/>
                <w:sz w:val="18"/>
                <w:szCs w:val="18"/>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Kuwait</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color w:val="000000"/>
                <w:sz w:val="18"/>
                <w:szCs w:val="18"/>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Lebanon</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color w:val="000000"/>
                <w:sz w:val="18"/>
                <w:szCs w:val="18"/>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Libya</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Morocco</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Oman</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Qatar</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Saudi Arabia</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State of Palestine</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Sudan</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Syrian Arab Republic</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859A9">
        <w:trPr>
          <w:cantSplit/>
          <w:trHeight w:hRule="exact" w:val="281"/>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Tunisia</w:t>
            </w:r>
          </w:p>
        </w:tc>
        <w:tc>
          <w:tcPr>
            <w:tcW w:w="279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c>
          <w:tcPr>
            <w:tcW w:w="4230" w:type="dxa"/>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50336">
        <w:trPr>
          <w:cantSplit/>
          <w:trHeight w:hRule="exact" w:val="274"/>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United Arab Emirates</w:t>
            </w:r>
          </w:p>
        </w:tc>
        <w:tc>
          <w:tcPr>
            <w:tcW w:w="2790" w:type="dxa"/>
            <w:vMerge w:val="restart"/>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c>
          <w:tcPr>
            <w:tcW w:w="4230" w:type="dxa"/>
            <w:vMerge w:val="restart"/>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r w:rsidR="00950336" w:rsidRPr="009859A9" w:rsidTr="00950336">
        <w:trPr>
          <w:cantSplit/>
          <w:trHeight w:hRule="exact" w:val="274"/>
        </w:trPr>
        <w:tc>
          <w:tcPr>
            <w:tcW w:w="3150" w:type="dxa"/>
            <w:shd w:val="clear" w:color="auto" w:fill="auto"/>
            <w:vAlign w:val="center"/>
          </w:tcPr>
          <w:p w:rsidR="00950336" w:rsidRPr="009859A9" w:rsidRDefault="00950336" w:rsidP="009F758F">
            <w:pPr>
              <w:spacing w:after="200" w:line="276" w:lineRule="auto"/>
              <w:jc w:val="left"/>
              <w:rPr>
                <w:rFonts w:eastAsia="Calibri" w:cs="Times New Roman"/>
                <w:color w:val="000000"/>
                <w:sz w:val="18"/>
                <w:szCs w:val="18"/>
              </w:rPr>
            </w:pPr>
            <w:r w:rsidRPr="009859A9">
              <w:rPr>
                <w:rFonts w:eastAsia="Calibri" w:cs="Times New Roman"/>
                <w:color w:val="000000"/>
                <w:sz w:val="18"/>
                <w:szCs w:val="18"/>
              </w:rPr>
              <w:t>Yemen</w:t>
            </w:r>
          </w:p>
        </w:tc>
        <w:tc>
          <w:tcPr>
            <w:tcW w:w="2790" w:type="dxa"/>
            <w:vMerge/>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c>
          <w:tcPr>
            <w:tcW w:w="4230" w:type="dxa"/>
            <w:vMerge/>
            <w:shd w:val="clear" w:color="auto" w:fill="auto"/>
            <w:vAlign w:val="center"/>
          </w:tcPr>
          <w:p w:rsidR="00950336" w:rsidRPr="009859A9" w:rsidRDefault="00950336" w:rsidP="009859A9">
            <w:pPr>
              <w:spacing w:after="200" w:line="276" w:lineRule="auto"/>
              <w:jc w:val="left"/>
              <w:rPr>
                <w:rFonts w:eastAsia="Calibri" w:cs="Times New Roman"/>
                <w:sz w:val="18"/>
                <w:szCs w:val="18"/>
                <w:lang w:val="en-US"/>
              </w:rPr>
            </w:pPr>
          </w:p>
        </w:tc>
      </w:tr>
    </w:tbl>
    <w:p w:rsidR="00ED68DF" w:rsidRPr="00DF4453" w:rsidRDefault="00E74EAC" w:rsidP="005F5040">
      <w:pPr>
        <w:pStyle w:val="Para1"/>
        <w:numPr>
          <w:ilvl w:val="0"/>
          <w:numId w:val="0"/>
        </w:numPr>
        <w:jc w:val="center"/>
        <w:rPr>
          <w:rFonts w:cs="Times New Roman"/>
          <w:snapToGrid w:val="0"/>
          <w:kern w:val="22"/>
          <w:lang w:val="en-US"/>
        </w:rPr>
      </w:pPr>
      <w:r>
        <w:rPr>
          <w:rFonts w:cs="Times New Roman"/>
          <w:snapToGrid w:val="0"/>
          <w:kern w:val="22"/>
        </w:rPr>
        <w:t>__________</w:t>
      </w:r>
    </w:p>
    <w:sectPr w:rsidR="00ED68DF" w:rsidRPr="00DF4453" w:rsidSect="009F758F">
      <w:headerReference w:type="even" r:id="rId63"/>
      <w:headerReference w:type="default" r:id="rId64"/>
      <w:pgSz w:w="12240" w:h="15840" w:code="1"/>
      <w:pgMar w:top="1022" w:right="1440" w:bottom="1138" w:left="1440" w:header="46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758F" w:rsidRDefault="009F758F">
      <w:r>
        <w:separator/>
      </w:r>
    </w:p>
  </w:endnote>
  <w:endnote w:type="continuationSeparator" w:id="0">
    <w:p w:rsidR="009F758F" w:rsidRDefault="009F7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Univers">
    <w:altName w:val="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useo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758F" w:rsidRDefault="009F758F">
      <w:r>
        <w:separator/>
      </w:r>
    </w:p>
  </w:footnote>
  <w:footnote w:type="continuationSeparator" w:id="0">
    <w:p w:rsidR="009F758F" w:rsidRDefault="009F758F">
      <w:r>
        <w:continuationSeparator/>
      </w:r>
    </w:p>
  </w:footnote>
  <w:footnote w:id="1">
    <w:p w:rsidR="009F758F" w:rsidRPr="006E5D06" w:rsidRDefault="009F758F" w:rsidP="009F758F">
      <w:pPr>
        <w:pStyle w:val="FootnoteText"/>
        <w:keepLines w:val="0"/>
        <w:adjustRightInd w:val="0"/>
        <w:ind w:firstLine="0"/>
        <w:rPr>
          <w:rFonts w:cs="Times New Roman"/>
          <w:snapToGrid w:val="0"/>
          <w:kern w:val="18"/>
          <w:szCs w:val="18"/>
          <w:highlight w:val="yellow"/>
        </w:rPr>
      </w:pPr>
      <w:r w:rsidRPr="00437D3B">
        <w:rPr>
          <w:rStyle w:val="FootnoteReference"/>
          <w:rFonts w:cs="Times New Roman"/>
          <w:snapToGrid w:val="0"/>
          <w:kern w:val="18"/>
          <w:szCs w:val="18"/>
        </w:rPr>
        <w:t>*</w:t>
      </w:r>
      <w:r w:rsidRPr="00437D3B">
        <w:rPr>
          <w:rFonts w:cs="Times New Roman"/>
          <w:snapToGrid w:val="0"/>
          <w:kern w:val="18"/>
          <w:szCs w:val="18"/>
        </w:rPr>
        <w:t xml:space="preserve"> </w:t>
      </w:r>
      <w:hyperlink r:id="rId1" w:history="1">
        <w:r w:rsidRPr="009F758F">
          <w:rPr>
            <w:rStyle w:val="Hyperlink"/>
            <w:u w:val="none"/>
          </w:rPr>
          <w:t>CBD/SBSTTA/22/1</w:t>
        </w:r>
      </w:hyperlink>
      <w:r w:rsidRPr="009F758F">
        <w:rPr>
          <w:rStyle w:val="Hyperlink"/>
          <w:u w:val="none"/>
        </w:rPr>
        <w:t xml:space="preserve">.  </w:t>
      </w:r>
      <w:r w:rsidRPr="009F758F">
        <w:rPr>
          <w:rStyle w:val="Hyperlink"/>
          <w:color w:val="auto"/>
          <w:u w:val="none"/>
        </w:rPr>
        <w:t xml:space="preserve">The document is also relevant to </w:t>
      </w:r>
      <w:r>
        <w:rPr>
          <w:rStyle w:val="Hyperlink"/>
          <w:color w:val="auto"/>
          <w:u w:val="none"/>
        </w:rPr>
        <w:t xml:space="preserve">the work under </w:t>
      </w:r>
      <w:r w:rsidRPr="009F758F">
        <w:rPr>
          <w:rStyle w:val="Hyperlink"/>
          <w:color w:val="auto"/>
          <w:u w:val="none"/>
        </w:rPr>
        <w:t>item 3 of the provisional agenda for the second meeting of the Subsidiary Body on Implementation (CBD/SBI/2/1).</w:t>
      </w:r>
    </w:p>
  </w:footnote>
  <w:footnote w:id="2">
    <w:p w:rsidR="009F758F" w:rsidRPr="0079521A" w:rsidRDefault="009F758F" w:rsidP="009F758F">
      <w:pPr>
        <w:pStyle w:val="FootnoteText"/>
        <w:ind w:firstLine="0"/>
        <w:jc w:val="left"/>
        <w:rPr>
          <w:lang w:val="en-CA"/>
        </w:rPr>
      </w:pPr>
      <w:r w:rsidRPr="0079521A">
        <w:rPr>
          <w:rStyle w:val="FootnoteReference"/>
        </w:rPr>
        <w:footnoteRef/>
      </w:r>
      <w:r>
        <w:t xml:space="preserve"> By 2020 at least 17 per cent of terrestrial and inland water, and 10 per cent of coastal and marine areas, especially areas of particular importance for biodiversity and ecosystem services, are conserved through effectively and equitably managed, ecologically representative and well-connected systems of protected areas and other effective area-based conservation measures, and integrated into the wider landscape and seascapes.</w:t>
      </w:r>
    </w:p>
  </w:footnote>
  <w:footnote w:id="3">
    <w:p w:rsidR="009F758F" w:rsidRPr="0088784E" w:rsidRDefault="009F758F" w:rsidP="009F758F">
      <w:pPr>
        <w:pStyle w:val="FootnoteText"/>
        <w:ind w:firstLine="0"/>
        <w:jc w:val="left"/>
        <w:rPr>
          <w:lang w:val="en-US"/>
        </w:rPr>
      </w:pPr>
      <w:r w:rsidRPr="0088784E">
        <w:rPr>
          <w:rStyle w:val="FootnoteReference"/>
        </w:rPr>
        <w:footnoteRef/>
      </w:r>
      <w:r w:rsidRPr="0088784E">
        <w:t xml:space="preserve"> Secretariat of the Conven</w:t>
      </w:r>
      <w:r>
        <w:t xml:space="preserve">tion on Biological Diversity </w:t>
      </w:r>
      <w:r w:rsidRPr="0088784E">
        <w:t xml:space="preserve">(2014). </w:t>
      </w:r>
      <w:r w:rsidRPr="0088784E">
        <w:rPr>
          <w:i/>
          <w:iCs/>
        </w:rPr>
        <w:t>Global Biodiversity Outlook 4</w:t>
      </w:r>
      <w:r w:rsidRPr="0088784E">
        <w:t>. Montreal, Canada:</w:t>
      </w:r>
      <w:r>
        <w:t xml:space="preserve"> </w:t>
      </w:r>
      <w:r w:rsidRPr="0088784E">
        <w:t>Secretariat of the Conven</w:t>
      </w:r>
      <w:r>
        <w:t>ti</w:t>
      </w:r>
      <w:r w:rsidRPr="0088784E">
        <w:t>on on Biological Diversity.</w:t>
      </w:r>
    </w:p>
  </w:footnote>
  <w:footnote w:id="4">
    <w:p w:rsidR="009F758F" w:rsidRPr="00477B47" w:rsidRDefault="009F758F" w:rsidP="008F6D53">
      <w:pPr>
        <w:pStyle w:val="FootnoteText"/>
        <w:ind w:firstLine="0"/>
        <w:rPr>
          <w:lang w:val="en-CA"/>
        </w:rPr>
      </w:pPr>
      <w:r w:rsidRPr="00B52294">
        <w:rPr>
          <w:rStyle w:val="FootnoteReference"/>
        </w:rPr>
        <w:footnoteRef/>
      </w:r>
      <w:r w:rsidRPr="00B52294">
        <w:t xml:space="preserve"> </w:t>
      </w:r>
      <w:r w:rsidRPr="00BB558A">
        <w:t xml:space="preserve">2016 data: for all elements except connectivity and management effectiveness, from analyses of the April 2016 WDPA release, as presented in the </w:t>
      </w:r>
      <w:r w:rsidRPr="00BB558A">
        <w:rPr>
          <w:i/>
        </w:rPr>
        <w:t xml:space="preserve">Protected Planet Report 2016. </w:t>
      </w:r>
      <w:r w:rsidRPr="00BB558A">
        <w:t>For 2018: terrestrial and marine coverage comes from analyses by UNEP-WCMC of the May 2018 WDPA; ecological representation, from an analysis of the April 2018 WDPA by the EC-JRC; KBA coverage as per analysis for the 2018 SDG report; data on governance type from the May 2018 WDPA. Information on connectivity from Saura et al (2017 &amp; 2018). Management effectiveness information from the GD-PAME, January 2015 and May 2018. Full references given in text, below.</w:t>
      </w:r>
    </w:p>
  </w:footnote>
  <w:footnote w:id="5">
    <w:p w:rsidR="009F758F" w:rsidRPr="000516B5" w:rsidRDefault="009F758F" w:rsidP="008F6D53">
      <w:pPr>
        <w:pStyle w:val="FootnoteText"/>
        <w:ind w:firstLine="0"/>
        <w:jc w:val="left"/>
      </w:pPr>
      <w:r w:rsidRPr="00AF7B0A">
        <w:rPr>
          <w:rStyle w:val="FootnoteReference"/>
        </w:rPr>
        <w:footnoteRef/>
      </w:r>
      <w:r w:rsidRPr="00AF7B0A">
        <w:t xml:space="preserve"> </w:t>
      </w:r>
      <w:r w:rsidRPr="00714F42">
        <w:t>UNEP-WCMC (2018</w:t>
      </w:r>
      <w:r>
        <w:t>a</w:t>
      </w:r>
      <w:r w:rsidRPr="00714F42">
        <w:t>). Global statistics from the World Database on Protected Areas (WDPA)</w:t>
      </w:r>
      <w:r>
        <w:t>, May 2018</w:t>
      </w:r>
      <w:r w:rsidRPr="00714F42">
        <w:t xml:space="preserve">. </w:t>
      </w:r>
      <w:r w:rsidRPr="000516B5">
        <w:t>Cambridge, UK: UNEP- WCMC.</w:t>
      </w:r>
    </w:p>
  </w:footnote>
  <w:footnote w:id="6">
    <w:p w:rsidR="009F758F" w:rsidRPr="000516B5" w:rsidRDefault="009F758F" w:rsidP="008F6D53">
      <w:pPr>
        <w:pStyle w:val="FootnoteText"/>
        <w:ind w:firstLine="0"/>
        <w:jc w:val="left"/>
      </w:pPr>
      <w:r w:rsidRPr="00AF7B0A">
        <w:rPr>
          <w:rStyle w:val="FootnoteReference"/>
        </w:rPr>
        <w:footnoteRef/>
      </w:r>
      <w:r w:rsidRPr="000516B5">
        <w:t xml:space="preserve"> UNEP-WCMC (2018a).</w:t>
      </w:r>
    </w:p>
  </w:footnote>
  <w:footnote w:id="7">
    <w:p w:rsidR="009F758F" w:rsidRPr="004F5C8C" w:rsidRDefault="009F758F" w:rsidP="008F6D53">
      <w:pPr>
        <w:pStyle w:val="FootnoteText"/>
        <w:ind w:firstLine="0"/>
        <w:jc w:val="left"/>
      </w:pPr>
      <w:r>
        <w:rPr>
          <w:rStyle w:val="FootnoteReference"/>
        </w:rPr>
        <w:footnoteRef/>
      </w:r>
      <w:r w:rsidRPr="004F5C8C">
        <w:t xml:space="preserve"> UNEP-WCMC and IUCN (2017), Increased growth of Protected Areas in 2017</w:t>
      </w:r>
      <w:r>
        <w:t xml:space="preserve">, </w:t>
      </w:r>
      <w:hyperlink r:id="rId2" w:history="1">
        <w:r w:rsidRPr="00EB0140">
          <w:rPr>
            <w:rStyle w:val="Hyperlink"/>
          </w:rPr>
          <w:t>https://protectedplanet.net</w:t>
        </w:r>
      </w:hyperlink>
      <w:r>
        <w:t xml:space="preserve">. </w:t>
      </w:r>
    </w:p>
  </w:footnote>
  <w:footnote w:id="8">
    <w:p w:rsidR="009F758F" w:rsidRPr="00BB558A" w:rsidRDefault="009F758F" w:rsidP="008F6D53">
      <w:pPr>
        <w:pStyle w:val="FootnoteText"/>
        <w:ind w:firstLine="0"/>
        <w:jc w:val="left"/>
      </w:pPr>
      <w:r>
        <w:rPr>
          <w:rStyle w:val="FootnoteReference"/>
        </w:rPr>
        <w:footnoteRef/>
      </w:r>
      <w:r w:rsidRPr="00BB558A">
        <w:t xml:space="preserve"> UNEP-WCMC </w:t>
      </w:r>
      <w:r>
        <w:t xml:space="preserve">and IUCN (2018b), Protected Planet: </w:t>
      </w:r>
      <w:r w:rsidRPr="00BB558A">
        <w:t>The World Database on Protected Areas (WDPA)</w:t>
      </w:r>
      <w:r>
        <w:t xml:space="preserve"> </w:t>
      </w:r>
      <w:r w:rsidRPr="00BB558A">
        <w:t>[On-line], [</w:t>
      </w:r>
      <w:r>
        <w:t>May 2018</w:t>
      </w:r>
      <w:r w:rsidRPr="00BB558A">
        <w:t>], Cambridge, UK: UNEP-WCMC and IUCN</w:t>
      </w:r>
      <w:r>
        <w:t>,</w:t>
      </w:r>
      <w:r w:rsidRPr="00BB558A">
        <w:t xml:space="preserve"> Available at: </w:t>
      </w:r>
      <w:hyperlink r:id="rId3" w:history="1">
        <w:r w:rsidRPr="007405F3">
          <w:rPr>
            <w:rStyle w:val="Hyperlink"/>
          </w:rPr>
          <w:t>www.protectedplanet.net</w:t>
        </w:r>
      </w:hyperlink>
      <w:r>
        <w:t xml:space="preserve">. </w:t>
      </w:r>
    </w:p>
  </w:footnote>
  <w:footnote w:id="9">
    <w:p w:rsidR="009F758F" w:rsidRPr="00826FC9" w:rsidRDefault="009F758F" w:rsidP="008F6D53">
      <w:pPr>
        <w:pStyle w:val="FootnoteText"/>
        <w:ind w:firstLine="0"/>
        <w:jc w:val="left"/>
        <w:rPr>
          <w:lang w:val="en-CA"/>
        </w:rPr>
      </w:pPr>
      <w:r>
        <w:rPr>
          <w:rStyle w:val="FootnoteReference"/>
        </w:rPr>
        <w:footnoteRef/>
      </w:r>
      <w:r>
        <w:t xml:space="preserve"> </w:t>
      </w:r>
      <w:r w:rsidRPr="004F5C8C">
        <w:t>UNEP-WCMC and IUCN (2017</w:t>
      </w:r>
      <w:r>
        <w:t>).</w:t>
      </w:r>
    </w:p>
  </w:footnote>
  <w:footnote w:id="10">
    <w:p w:rsidR="009F758F" w:rsidRPr="00FE6006" w:rsidRDefault="009F758F" w:rsidP="008F6D53">
      <w:pPr>
        <w:pStyle w:val="FootnoteText"/>
        <w:ind w:firstLine="0"/>
        <w:jc w:val="left"/>
      </w:pPr>
      <w:r w:rsidRPr="00C6463E">
        <w:rPr>
          <w:rStyle w:val="FootnoteReference"/>
        </w:rPr>
        <w:footnoteRef/>
      </w:r>
      <w:r w:rsidRPr="00826FC9">
        <w:t xml:space="preserve"> Lewis, E. et al. </w:t>
      </w:r>
      <w:r w:rsidRPr="00FE6006">
        <w:t xml:space="preserve">(2017), Dynamics in the global protected-area estate since 2004, </w:t>
      </w:r>
      <w:r>
        <w:rPr>
          <w:i/>
        </w:rPr>
        <w:t>Conservation Biology.</w:t>
      </w:r>
      <w:r w:rsidRPr="00FE6006">
        <w:t xml:space="preserve">  </w:t>
      </w:r>
    </w:p>
  </w:footnote>
  <w:footnote w:id="11">
    <w:p w:rsidR="009F758F" w:rsidRPr="00C6463E" w:rsidRDefault="009F758F" w:rsidP="008F6D53">
      <w:pPr>
        <w:pStyle w:val="FootnoteText"/>
        <w:ind w:firstLine="0"/>
        <w:jc w:val="left"/>
      </w:pPr>
      <w:r w:rsidRPr="00C6463E">
        <w:rPr>
          <w:rStyle w:val="FootnoteReference"/>
        </w:rPr>
        <w:footnoteRef/>
      </w:r>
      <w:r w:rsidRPr="00C6463E">
        <w:t xml:space="preserve"> </w:t>
      </w:r>
      <w:r>
        <w:t xml:space="preserve">UNEP-WCMC and IUCN (2018c), </w:t>
      </w:r>
      <w:r w:rsidRPr="00C6463E">
        <w:rPr>
          <w:bCs/>
        </w:rPr>
        <w:t>The lag effect in the World Database on Protected Areas</w:t>
      </w:r>
      <w:r>
        <w:rPr>
          <w:bCs/>
        </w:rPr>
        <w:t xml:space="preserve">, Available at: </w:t>
      </w:r>
      <w:hyperlink r:id="rId4" w:history="1">
        <w:r w:rsidRPr="007011CE">
          <w:rPr>
            <w:rStyle w:val="Hyperlink"/>
            <w:bCs/>
          </w:rPr>
          <w:t>https://protectedplanet.net/c/the-lag-effect-in-the-world-database-on-protected-areas</w:t>
        </w:r>
      </w:hyperlink>
      <w:r>
        <w:rPr>
          <w:bCs/>
        </w:rPr>
        <w:t xml:space="preserve">. </w:t>
      </w:r>
    </w:p>
  </w:footnote>
  <w:footnote w:id="12">
    <w:p w:rsidR="009F758F" w:rsidRPr="00E174D7" w:rsidRDefault="009F758F" w:rsidP="008F6D53">
      <w:pPr>
        <w:pStyle w:val="FootnoteText"/>
        <w:ind w:firstLine="0"/>
        <w:jc w:val="left"/>
        <w:rPr>
          <w:lang w:val="en-US"/>
        </w:rPr>
      </w:pPr>
      <w:r>
        <w:rPr>
          <w:rStyle w:val="FootnoteReference"/>
        </w:rPr>
        <w:footnoteRef/>
      </w:r>
      <w:r>
        <w:t xml:space="preserve"> </w:t>
      </w:r>
      <w:r>
        <w:rPr>
          <w:lang w:val="en-US"/>
        </w:rPr>
        <w:t>See UNEP/CBD/SBSTTA/20/INF/43 and UNEP/CBD/COP/13/INF/17.</w:t>
      </w:r>
    </w:p>
  </w:footnote>
  <w:footnote w:id="13">
    <w:p w:rsidR="009F758F" w:rsidRPr="0098003F" w:rsidRDefault="009F758F" w:rsidP="008F6D53">
      <w:pPr>
        <w:pStyle w:val="FootnoteText"/>
        <w:ind w:firstLine="0"/>
        <w:jc w:val="left"/>
      </w:pPr>
      <w:r>
        <w:rPr>
          <w:rStyle w:val="FootnoteReference"/>
        </w:rPr>
        <w:footnoteRef/>
      </w:r>
      <w:r>
        <w:t xml:space="preserve"> </w:t>
      </w:r>
      <w:r w:rsidRPr="0098003F">
        <w:t>UNEP-WCMC and IUCN (2018)</w:t>
      </w:r>
      <w:r>
        <w:t>,</w:t>
      </w:r>
      <w:r w:rsidRPr="0098003F">
        <w:t xml:space="preserve"> Marine Protected Planet [On-line], [May, 2018], Cambridge, UK: UNEP-WCMC and IUCN</w:t>
      </w:r>
      <w:r>
        <w:t xml:space="preserve">, </w:t>
      </w:r>
      <w:r w:rsidRPr="0098003F">
        <w:t xml:space="preserve">Available at: </w:t>
      </w:r>
      <w:hyperlink r:id="rId5" w:history="1">
        <w:r w:rsidRPr="00737122">
          <w:rPr>
            <w:rStyle w:val="Hyperlink"/>
          </w:rPr>
          <w:t>www.protectedplanet.net</w:t>
        </w:r>
      </w:hyperlink>
      <w:r w:rsidRPr="0098003F">
        <w:t>.</w:t>
      </w:r>
    </w:p>
  </w:footnote>
  <w:footnote w:id="14">
    <w:p w:rsidR="009F758F" w:rsidRPr="000879C1" w:rsidRDefault="009F758F" w:rsidP="008F6D53">
      <w:pPr>
        <w:jc w:val="left"/>
        <w:rPr>
          <w:sz w:val="18"/>
        </w:rPr>
      </w:pPr>
      <w:r>
        <w:rPr>
          <w:rStyle w:val="FootnoteReference"/>
        </w:rPr>
        <w:footnoteRef/>
      </w:r>
      <w:r>
        <w:t xml:space="preserve"> </w:t>
      </w:r>
      <w:r w:rsidRPr="00826FC9">
        <w:rPr>
          <w:sz w:val="18"/>
        </w:rPr>
        <w:t xml:space="preserve">Details regarding all commitments, and sources of the information are available at: </w:t>
      </w:r>
      <w:hyperlink r:id="rId6" w:history="1">
        <w:r w:rsidRPr="00826FC9">
          <w:rPr>
            <w:rStyle w:val="Hyperlink"/>
            <w:sz w:val="18"/>
          </w:rPr>
          <w:t>https://www.cbd.int/pa/UN-Ocean-Conference/MPA-commitments.xlsx</w:t>
        </w:r>
      </w:hyperlink>
      <w:r w:rsidRPr="00826FC9">
        <w:rPr>
          <w:sz w:val="18"/>
        </w:rPr>
        <w:t>.</w:t>
      </w:r>
      <w:r>
        <w:rPr>
          <w:sz w:val="18"/>
        </w:rPr>
        <w:t xml:space="preserve"> </w:t>
      </w:r>
    </w:p>
  </w:footnote>
  <w:footnote w:id="15">
    <w:p w:rsidR="009F758F" w:rsidRPr="007657A5" w:rsidRDefault="009F758F" w:rsidP="008F6D53">
      <w:pPr>
        <w:pStyle w:val="FootnoteText"/>
        <w:ind w:firstLine="0"/>
        <w:jc w:val="left"/>
        <w:rPr>
          <w:lang w:val="en-US"/>
        </w:rPr>
      </w:pPr>
      <w:r>
        <w:rPr>
          <w:rStyle w:val="FootnoteReference"/>
        </w:rPr>
        <w:footnoteRef/>
      </w:r>
      <w:r>
        <w:t xml:space="preserve"> </w:t>
      </w:r>
      <w:r>
        <w:rPr>
          <w:lang w:val="en-US"/>
        </w:rPr>
        <w:t>The protected area targets from NBSAPs (</w:t>
      </w:r>
      <w:r w:rsidRPr="008471D0">
        <w:rPr>
          <w:lang w:val="en-US"/>
        </w:rPr>
        <w:t>submitted by June 2017</w:t>
      </w:r>
      <w:r>
        <w:rPr>
          <w:lang w:val="en-US"/>
        </w:rPr>
        <w:t>) excludes Parties with target end dates later than 2020 (n=19), Parties which have already met the target (n=13), or Parties that will surpass the target following the addition of protected areas from approved GEF projects (n=3) or their national priority actions (n=7).</w:t>
      </w:r>
    </w:p>
  </w:footnote>
  <w:footnote w:id="16">
    <w:p w:rsidR="009F758F" w:rsidRPr="001C06A3" w:rsidRDefault="009F758F" w:rsidP="008F6D53">
      <w:pPr>
        <w:pStyle w:val="FootnoteText"/>
        <w:ind w:firstLine="0"/>
        <w:jc w:val="left"/>
        <w:rPr>
          <w:lang w:val="en-US"/>
        </w:rPr>
      </w:pPr>
      <w:r>
        <w:rPr>
          <w:rStyle w:val="FootnoteReference"/>
        </w:rPr>
        <w:footnoteRef/>
      </w:r>
      <w:r>
        <w:t xml:space="preserve"> This </w:t>
      </w:r>
      <w:r>
        <w:rPr>
          <w:lang w:val="en-US"/>
        </w:rPr>
        <w:t>excludes Parties with target end dates later than 2020 (n=18), Parties which have already met the target (n=9), or Parties that will surpass the target following the implementation of other commitments (n=5).</w:t>
      </w:r>
    </w:p>
  </w:footnote>
  <w:footnote w:id="17">
    <w:p w:rsidR="009F758F" w:rsidRPr="00FF6A1D" w:rsidRDefault="009F758F" w:rsidP="008F6D53">
      <w:pPr>
        <w:pStyle w:val="FootnoteText"/>
        <w:ind w:firstLine="0"/>
        <w:jc w:val="left"/>
        <w:rPr>
          <w:lang w:val="en-US"/>
        </w:rPr>
      </w:pPr>
      <w:r>
        <w:rPr>
          <w:rStyle w:val="FootnoteReference"/>
        </w:rPr>
        <w:footnoteRef/>
      </w:r>
      <w:r>
        <w:t xml:space="preserve"> Stolton, S. et al. (2014), </w:t>
      </w:r>
      <w:r w:rsidRPr="00D935C2">
        <w:rPr>
          <w:i/>
        </w:rPr>
        <w:t>The Futures of</w:t>
      </w:r>
      <w:r>
        <w:rPr>
          <w:i/>
        </w:rPr>
        <w:t xml:space="preserve"> </w:t>
      </w:r>
      <w:r w:rsidRPr="00D935C2">
        <w:rPr>
          <w:i/>
        </w:rPr>
        <w:t>Privately Protected Areas</w:t>
      </w:r>
      <w:r>
        <w:t xml:space="preserve">, Gland, Switzerland: IUCN; </w:t>
      </w:r>
      <w:r w:rsidRPr="00D76385">
        <w:t>Bingham, H.</w:t>
      </w:r>
      <w:r>
        <w:t xml:space="preserve"> et al. (2017),</w:t>
      </w:r>
      <w:r w:rsidRPr="00D76385">
        <w:t xml:space="preserve"> Privately protected areas: advances and challenges in gui</w:t>
      </w:r>
      <w:r>
        <w:t>dance, policy and documentation,</w:t>
      </w:r>
      <w:r w:rsidRPr="00D76385">
        <w:t> </w:t>
      </w:r>
      <w:r w:rsidRPr="00D76385">
        <w:rPr>
          <w:i/>
          <w:iCs/>
        </w:rPr>
        <w:t>Parks</w:t>
      </w:r>
      <w:r w:rsidRPr="00D76385">
        <w:t>, </w:t>
      </w:r>
      <w:r w:rsidRPr="00D76385">
        <w:rPr>
          <w:i/>
          <w:iCs/>
        </w:rPr>
        <w:t>23</w:t>
      </w:r>
      <w:r w:rsidRPr="00D76385">
        <w:t>(1), 13-28.</w:t>
      </w:r>
    </w:p>
  </w:footnote>
  <w:footnote w:id="18">
    <w:p w:rsidR="009F758F" w:rsidRPr="008471D0" w:rsidRDefault="009F758F" w:rsidP="008F6D53">
      <w:pPr>
        <w:pStyle w:val="FootnoteText"/>
        <w:ind w:firstLine="0"/>
        <w:jc w:val="left"/>
      </w:pPr>
      <w:r>
        <w:rPr>
          <w:rStyle w:val="FootnoteReference"/>
        </w:rPr>
        <w:footnoteRef/>
      </w:r>
      <w:r>
        <w:t xml:space="preserve"> </w:t>
      </w:r>
      <w:r w:rsidRPr="0098003F">
        <w:rPr>
          <w:lang w:val="en-US"/>
        </w:rPr>
        <w:t>Kothari, A</w:t>
      </w:r>
      <w:r>
        <w:rPr>
          <w:lang w:val="en-US"/>
        </w:rPr>
        <w:t>. et al. (</w:t>
      </w:r>
      <w:r w:rsidRPr="0098003F">
        <w:rPr>
          <w:lang w:val="en-US"/>
        </w:rPr>
        <w:t>eds)</w:t>
      </w:r>
      <w:r>
        <w:rPr>
          <w:lang w:val="en-US"/>
        </w:rPr>
        <w:t xml:space="preserve"> (</w:t>
      </w:r>
      <w:r w:rsidRPr="0098003F">
        <w:rPr>
          <w:lang w:val="en-US"/>
        </w:rPr>
        <w:t>2012</w:t>
      </w:r>
      <w:r>
        <w:rPr>
          <w:lang w:val="en-US"/>
        </w:rPr>
        <w:t xml:space="preserve">), </w:t>
      </w:r>
      <w:r w:rsidRPr="00997F59">
        <w:rPr>
          <w:i/>
          <w:lang w:val="en-US"/>
        </w:rPr>
        <w:t>Recognising and Supporting Territories and Areas Conserved By Indigenous Peoples And Local Communities: Global Overview and National Case Studies</w:t>
      </w:r>
      <w:r w:rsidRPr="0098003F">
        <w:rPr>
          <w:lang w:val="en-US"/>
        </w:rPr>
        <w:t>. Secretariat of the Convention on Biological Diversity, ICCA Consortium,</w:t>
      </w:r>
      <w:r>
        <w:rPr>
          <w:lang w:val="en-US"/>
        </w:rPr>
        <w:t xml:space="preserve"> </w:t>
      </w:r>
      <w:r w:rsidRPr="0098003F">
        <w:rPr>
          <w:lang w:val="en-US"/>
        </w:rPr>
        <w:t>Kalpavriksh, and Natural Justice, Montreal, Canada. Technical Series no. 64</w:t>
      </w:r>
      <w:r>
        <w:rPr>
          <w:lang w:val="en-US"/>
        </w:rPr>
        <w:t>.</w:t>
      </w:r>
    </w:p>
  </w:footnote>
  <w:footnote w:id="19">
    <w:p w:rsidR="009F758F" w:rsidRPr="00975A04" w:rsidRDefault="009F758F" w:rsidP="008F6D53">
      <w:pPr>
        <w:pStyle w:val="FootnoteText"/>
        <w:ind w:firstLine="0"/>
        <w:jc w:val="left"/>
      </w:pPr>
      <w:r>
        <w:rPr>
          <w:rStyle w:val="FootnoteReference"/>
        </w:rPr>
        <w:footnoteRef/>
      </w:r>
      <w:r>
        <w:t xml:space="preserve"> </w:t>
      </w:r>
      <w:r w:rsidRPr="00E6384B">
        <w:t xml:space="preserve">In May 2018, </w:t>
      </w:r>
      <w:r w:rsidRPr="00E6384B">
        <w:rPr>
          <w:lang w:val="en-US"/>
        </w:rPr>
        <w:t>98% of sites in the WDPA are state-verified.</w:t>
      </w:r>
      <w:r>
        <w:rPr>
          <w:lang w:val="en-US"/>
        </w:rPr>
        <w:t xml:space="preserve">  </w:t>
      </w:r>
    </w:p>
  </w:footnote>
  <w:footnote w:id="20">
    <w:p w:rsidR="009F758F" w:rsidRPr="00B65C52" w:rsidRDefault="009F758F" w:rsidP="008F6D53">
      <w:pPr>
        <w:pStyle w:val="FootnoteText"/>
        <w:ind w:firstLine="0"/>
        <w:jc w:val="left"/>
      </w:pPr>
      <w:r>
        <w:rPr>
          <w:rStyle w:val="FootnoteReference"/>
        </w:rPr>
        <w:footnoteRef/>
      </w:r>
      <w:r w:rsidRPr="00B65C52">
        <w:t xml:space="preserve"> </w:t>
      </w:r>
      <w:r>
        <w:t>Rights and Resources Initiative</w:t>
      </w:r>
      <w:r w:rsidRPr="00B65C52">
        <w:t xml:space="preserve"> (2015)</w:t>
      </w:r>
      <w:r>
        <w:t>,</w:t>
      </w:r>
      <w:r w:rsidRPr="00B65C52">
        <w:t xml:space="preserve"> </w:t>
      </w:r>
      <w:r w:rsidRPr="00B65C52">
        <w:rPr>
          <w:i/>
        </w:rPr>
        <w:t>Who Owns the World’s Land? A global baseline of formally recognized indigenous and community land rights</w:t>
      </w:r>
      <w:r>
        <w:t xml:space="preserve">, </w:t>
      </w:r>
      <w:r w:rsidRPr="00B65C52">
        <w:t>Washington DC: Rights and Resources Initiative.</w:t>
      </w:r>
    </w:p>
  </w:footnote>
  <w:footnote w:id="21">
    <w:p w:rsidR="009F758F" w:rsidRPr="002349D4" w:rsidRDefault="009F758F" w:rsidP="008F6D53">
      <w:pPr>
        <w:pStyle w:val="FootnoteText"/>
        <w:ind w:firstLine="0"/>
        <w:jc w:val="left"/>
      </w:pPr>
      <w:r>
        <w:rPr>
          <w:rStyle w:val="FootnoteReference"/>
        </w:rPr>
        <w:footnoteRef/>
      </w:r>
      <w:r>
        <w:t xml:space="preserve"> Alden Wily, L. (2011),</w:t>
      </w:r>
      <w:r w:rsidRPr="002349D4">
        <w:t xml:space="preserve"> </w:t>
      </w:r>
      <w:r w:rsidRPr="002349D4">
        <w:rPr>
          <w:i/>
        </w:rPr>
        <w:t>The tragedy of public lands: The fate of the commons under global commercial pressure</w:t>
      </w:r>
      <w:r>
        <w:t>, Rome, Italy: International Land Coalition</w:t>
      </w:r>
      <w:r w:rsidRPr="002349D4">
        <w:t>.</w:t>
      </w:r>
    </w:p>
  </w:footnote>
  <w:footnote w:id="22">
    <w:p w:rsidR="009F758F" w:rsidRPr="00F54F50" w:rsidRDefault="009F758F" w:rsidP="008F6D53">
      <w:pPr>
        <w:pStyle w:val="FootnoteText"/>
        <w:ind w:firstLine="0"/>
        <w:jc w:val="left"/>
      </w:pPr>
      <w:r>
        <w:rPr>
          <w:rStyle w:val="FootnoteReference"/>
        </w:rPr>
        <w:footnoteRef/>
      </w:r>
      <w:r w:rsidRPr="00F54F50">
        <w:t xml:space="preserve"> </w:t>
      </w:r>
      <w:r>
        <w:t xml:space="preserve">Stevens, S. et al (2016), </w:t>
      </w:r>
      <w:r w:rsidRPr="000879C1">
        <w:rPr>
          <w:i/>
        </w:rPr>
        <w:t>Recognising and Respecting ICCAs Overlapped by Protected Areas</w:t>
      </w:r>
      <w:r>
        <w:t xml:space="preserve">, Report for the ICCA Consortium, available online at: </w:t>
      </w:r>
      <w:hyperlink r:id="rId7" w:history="1">
        <w:r w:rsidRPr="00856C6E">
          <w:rPr>
            <w:rStyle w:val="Hyperlink"/>
          </w:rPr>
          <w:t>www.iccaconsortium.org</w:t>
        </w:r>
      </w:hyperlink>
      <w:r>
        <w:t>.</w:t>
      </w:r>
    </w:p>
  </w:footnote>
  <w:footnote w:id="23">
    <w:p w:rsidR="009F758F" w:rsidRPr="00D45BE9" w:rsidRDefault="009F758F" w:rsidP="008F6D53">
      <w:pPr>
        <w:pStyle w:val="FootnoteText"/>
        <w:ind w:firstLine="0"/>
        <w:rPr>
          <w:lang w:val="en-CA"/>
        </w:rPr>
      </w:pPr>
      <w:r>
        <w:rPr>
          <w:rStyle w:val="FootnoteReference"/>
        </w:rPr>
        <w:footnoteRef/>
      </w:r>
      <w:r w:rsidRPr="00D45BE9">
        <w:t xml:space="preserve"> Barnes, M.D. et al (2018), Prevent perverse outcomes from global protected area policy</w:t>
      </w:r>
      <w:r>
        <w:t>,</w:t>
      </w:r>
      <w:r w:rsidRPr="00D45BE9">
        <w:t> </w:t>
      </w:r>
      <w:r w:rsidRPr="00D45BE9">
        <w:rPr>
          <w:i/>
          <w:iCs/>
        </w:rPr>
        <w:t>Nature ecology &amp; evolution</w:t>
      </w:r>
      <w:r w:rsidRPr="00D45BE9">
        <w:t>, </w:t>
      </w:r>
      <w:r w:rsidRPr="00D45BE9">
        <w:rPr>
          <w:i/>
          <w:iCs/>
        </w:rPr>
        <w:t>2</w:t>
      </w:r>
      <w:r w:rsidRPr="00D45BE9">
        <w:t>(5), 759</w:t>
      </w:r>
      <w:r>
        <w:t xml:space="preserve">; </w:t>
      </w:r>
      <w:r w:rsidRPr="00D45BE9">
        <w:t>Jones, K.R. et al (2018), One-third of global protected land is under intense human pressure</w:t>
      </w:r>
      <w:r>
        <w:t>,</w:t>
      </w:r>
      <w:r w:rsidRPr="00D45BE9">
        <w:t xml:space="preserve"> </w:t>
      </w:r>
      <w:r w:rsidRPr="00D45BE9">
        <w:rPr>
          <w:i/>
        </w:rPr>
        <w:t>Science</w:t>
      </w:r>
      <w:r w:rsidRPr="00D45BE9">
        <w:t>, 360(6390), 788-791</w:t>
      </w:r>
      <w:r>
        <w:t>;</w:t>
      </w:r>
      <w:r w:rsidRPr="00D45BE9">
        <w:t xml:space="preserve"> </w:t>
      </w:r>
      <w:r>
        <w:t xml:space="preserve">Magris, R.A. </w:t>
      </w:r>
      <w:r w:rsidRPr="00D45BE9">
        <w:t>&amp; Pressey, R.</w:t>
      </w:r>
      <w:r>
        <w:t>L. (2018),</w:t>
      </w:r>
      <w:r w:rsidRPr="00D45BE9">
        <w:t xml:space="preserve"> Marine </w:t>
      </w:r>
      <w:r>
        <w:t>protected areas: Just for show?,</w:t>
      </w:r>
      <w:r w:rsidRPr="00D45BE9">
        <w:t xml:space="preserve"> </w:t>
      </w:r>
      <w:r w:rsidRPr="00D45BE9">
        <w:rPr>
          <w:i/>
        </w:rPr>
        <w:t>Science</w:t>
      </w:r>
      <w:r w:rsidRPr="00D45BE9">
        <w:t>, 360(6390), 723-724.</w:t>
      </w:r>
    </w:p>
  </w:footnote>
  <w:footnote w:id="24">
    <w:p w:rsidR="009F758F" w:rsidRPr="00665264" w:rsidRDefault="009F758F" w:rsidP="008F6D53">
      <w:pPr>
        <w:pStyle w:val="FootnoteText"/>
        <w:ind w:firstLine="0"/>
        <w:jc w:val="left"/>
        <w:rPr>
          <w:lang w:val="en-US"/>
        </w:rPr>
      </w:pPr>
      <w:r>
        <w:rPr>
          <w:rStyle w:val="FootnoteReference"/>
        </w:rPr>
        <w:footnoteRef/>
      </w:r>
      <w:r w:rsidRPr="00FD1FC1">
        <w:rPr>
          <w:lang w:val="fr-FR"/>
        </w:rPr>
        <w:t xml:space="preserve"> Butchart, S.H. et al. </w:t>
      </w:r>
      <w:r w:rsidRPr="00ED0089">
        <w:t>(</w:t>
      </w:r>
      <w:r w:rsidRPr="00ED0089">
        <w:rPr>
          <w:lang w:val="en-US"/>
        </w:rPr>
        <w:t>2015)</w:t>
      </w:r>
      <w:r>
        <w:rPr>
          <w:lang w:val="en-US"/>
        </w:rPr>
        <w:t xml:space="preserve">, </w:t>
      </w:r>
      <w:r w:rsidRPr="00ED0089">
        <w:rPr>
          <w:lang w:val="en-US"/>
        </w:rPr>
        <w:t>Shortfalls and solutions for meeting national and global conservation area targets</w:t>
      </w:r>
      <w:r>
        <w:rPr>
          <w:lang w:val="en-US"/>
        </w:rPr>
        <w:t xml:space="preserve">, </w:t>
      </w:r>
      <w:r w:rsidRPr="00ED0089">
        <w:rPr>
          <w:i/>
          <w:lang w:val="en-US"/>
        </w:rPr>
        <w:t>Conservation Letters</w:t>
      </w:r>
      <w:r>
        <w:rPr>
          <w:lang w:val="en-US"/>
        </w:rPr>
        <w:t xml:space="preserve">, 8(5), 329-337; </w:t>
      </w:r>
      <w:r>
        <w:t xml:space="preserve">UNEP-WCMC and IUCN (2016), </w:t>
      </w:r>
      <w:r w:rsidRPr="00ED0089">
        <w:rPr>
          <w:i/>
          <w:lang w:val="en-US"/>
        </w:rPr>
        <w:t>Protected Planet 2016</w:t>
      </w:r>
      <w:r>
        <w:rPr>
          <w:i/>
          <w:lang w:val="en-US"/>
        </w:rPr>
        <w:t>,</w:t>
      </w:r>
      <w:r w:rsidRPr="00ED0089">
        <w:t> </w:t>
      </w:r>
      <w:r w:rsidRPr="00ED0089">
        <w:rPr>
          <w:iCs/>
        </w:rPr>
        <w:t>Cambridge UK and Gland, Switzerland</w:t>
      </w:r>
      <w:r>
        <w:rPr>
          <w:iCs/>
        </w:rPr>
        <w:t xml:space="preserve">: </w:t>
      </w:r>
      <w:r w:rsidRPr="00ED0089">
        <w:rPr>
          <w:iCs/>
        </w:rPr>
        <w:t>UNE</w:t>
      </w:r>
      <w:r>
        <w:rPr>
          <w:iCs/>
        </w:rPr>
        <w:t>P-WCMC and IUCN.</w:t>
      </w:r>
    </w:p>
  </w:footnote>
  <w:footnote w:id="25">
    <w:p w:rsidR="009F758F" w:rsidRPr="00D0252D" w:rsidRDefault="009F758F" w:rsidP="008F6D53">
      <w:pPr>
        <w:pStyle w:val="FootnoteText"/>
        <w:ind w:firstLine="0"/>
        <w:jc w:val="left"/>
      </w:pPr>
      <w:r>
        <w:rPr>
          <w:rStyle w:val="FootnoteReference"/>
        </w:rPr>
        <w:footnoteRef/>
      </w:r>
      <w:r w:rsidRPr="00D0252D">
        <w:t xml:space="preserve"> For example, </w:t>
      </w:r>
      <w:r>
        <w:t xml:space="preserve">the </w:t>
      </w:r>
      <w:r w:rsidRPr="00D0252D">
        <w:t>Protected Area Representativeness Index (PARC-Representativeness</w:t>
      </w:r>
      <w:r>
        <w:t xml:space="preserve">), selected as one of the specific indicators for tracking trends in the ecological representativeness of conserved areas (Decision </w:t>
      </w:r>
      <w:hyperlink r:id="rId8" w:history="1">
        <w:r w:rsidRPr="00E6384B">
          <w:rPr>
            <w:rStyle w:val="Hyperlink"/>
          </w:rPr>
          <w:t>XIII/28</w:t>
        </w:r>
      </w:hyperlink>
      <w:r>
        <w:t xml:space="preserve">). </w:t>
      </w:r>
    </w:p>
  </w:footnote>
  <w:footnote w:id="26">
    <w:p w:rsidR="009F758F" w:rsidRPr="00645CE9" w:rsidRDefault="009F758F" w:rsidP="008F6D53">
      <w:pPr>
        <w:pStyle w:val="FootnoteText"/>
        <w:ind w:firstLine="0"/>
        <w:jc w:val="left"/>
        <w:rPr>
          <w:lang w:val="en-CA"/>
        </w:rPr>
      </w:pPr>
      <w:r>
        <w:rPr>
          <w:rStyle w:val="FootnoteReference"/>
        </w:rPr>
        <w:footnoteRef/>
      </w:r>
      <w:r>
        <w:rPr>
          <w:lang w:val="fr-FR"/>
        </w:rPr>
        <w:t xml:space="preserve"> Olson, D.</w:t>
      </w:r>
      <w:r w:rsidRPr="00ED0089">
        <w:rPr>
          <w:lang w:val="fr-FR"/>
        </w:rPr>
        <w:t xml:space="preserve">M, et al. </w:t>
      </w:r>
      <w:r w:rsidRPr="00DB688D">
        <w:t>(</w:t>
      </w:r>
      <w:r w:rsidRPr="00DB688D">
        <w:rPr>
          <w:lang w:val="en-CA"/>
        </w:rPr>
        <w:t>2001</w:t>
      </w:r>
      <w:r>
        <w:rPr>
          <w:lang w:val="en-CA"/>
        </w:rPr>
        <w:t>),</w:t>
      </w:r>
      <w:r w:rsidRPr="00DB688D">
        <w:rPr>
          <w:lang w:val="en-CA"/>
        </w:rPr>
        <w:t xml:space="preserve"> Terrestrial Ecoregions of the World: A New Map of Life on Earth: a new global map of terrestrial ecoregions provides an innovative t</w:t>
      </w:r>
      <w:r>
        <w:rPr>
          <w:lang w:val="en-CA"/>
        </w:rPr>
        <w:t>ool for conserving biodiversity,</w:t>
      </w:r>
      <w:r w:rsidRPr="00DB688D">
        <w:rPr>
          <w:lang w:val="en-CA"/>
        </w:rPr>
        <w:t xml:space="preserve"> </w:t>
      </w:r>
      <w:r w:rsidRPr="00DB688D">
        <w:rPr>
          <w:i/>
          <w:lang w:val="en-CA"/>
        </w:rPr>
        <w:t>BioScience</w:t>
      </w:r>
      <w:r w:rsidRPr="00DB688D">
        <w:rPr>
          <w:lang w:val="en-CA"/>
        </w:rPr>
        <w:t>, 51: 933–938.</w:t>
      </w:r>
      <w:r>
        <w:rPr>
          <w:lang w:val="en-CA"/>
        </w:rPr>
        <w:t xml:space="preserve"> </w:t>
      </w:r>
    </w:p>
  </w:footnote>
  <w:footnote w:id="27">
    <w:p w:rsidR="009F758F" w:rsidRPr="00645CE9" w:rsidRDefault="009F758F" w:rsidP="008F6D53">
      <w:pPr>
        <w:pStyle w:val="FootnoteText"/>
        <w:ind w:firstLine="0"/>
        <w:jc w:val="left"/>
        <w:rPr>
          <w:lang w:val="en-CA"/>
        </w:rPr>
      </w:pPr>
      <w:r>
        <w:rPr>
          <w:rStyle w:val="FootnoteReference"/>
        </w:rPr>
        <w:footnoteRef/>
      </w:r>
      <w:r>
        <w:t xml:space="preserve"> </w:t>
      </w:r>
      <w:r w:rsidRPr="00B1238F">
        <w:t xml:space="preserve">Spalding, M.D. et al. </w:t>
      </w:r>
      <w:r w:rsidRPr="00ED0089">
        <w:t>(</w:t>
      </w:r>
      <w:r w:rsidRPr="00ED0089">
        <w:rPr>
          <w:lang w:val="en-CA"/>
        </w:rPr>
        <w:t>2007)</w:t>
      </w:r>
      <w:r>
        <w:rPr>
          <w:lang w:val="en-CA"/>
        </w:rPr>
        <w:t>,</w:t>
      </w:r>
      <w:r w:rsidRPr="00ED0089">
        <w:rPr>
          <w:lang w:val="en-CA"/>
        </w:rPr>
        <w:t xml:space="preserve"> Marine ecoregions of the world: a bioregionaliza</w:t>
      </w:r>
      <w:r>
        <w:rPr>
          <w:lang w:val="en-CA"/>
        </w:rPr>
        <w:t>tion of coastal and shelf areas,</w:t>
      </w:r>
      <w:r w:rsidRPr="00ED0089">
        <w:rPr>
          <w:lang w:val="en-CA"/>
        </w:rPr>
        <w:t xml:space="preserve"> </w:t>
      </w:r>
      <w:r w:rsidRPr="00ED0089">
        <w:rPr>
          <w:i/>
          <w:lang w:val="en-CA"/>
        </w:rPr>
        <w:t>BioScience</w:t>
      </w:r>
      <w:r>
        <w:rPr>
          <w:lang w:val="en-CA"/>
        </w:rPr>
        <w:t xml:space="preserve">, 57(7), 573-583; </w:t>
      </w:r>
      <w:r w:rsidRPr="00ED0089">
        <w:rPr>
          <w:lang w:val="en-CA"/>
        </w:rPr>
        <w:t>Spalding, M.D.</w:t>
      </w:r>
      <w:r>
        <w:rPr>
          <w:lang w:val="en-CA"/>
        </w:rPr>
        <w:t xml:space="preserve"> et al. (</w:t>
      </w:r>
      <w:r w:rsidRPr="00ED0089">
        <w:rPr>
          <w:lang w:val="en-CA"/>
        </w:rPr>
        <w:t>2012)</w:t>
      </w:r>
      <w:r>
        <w:rPr>
          <w:lang w:val="en-CA"/>
        </w:rPr>
        <w:t>,</w:t>
      </w:r>
      <w:r w:rsidRPr="00ED0089">
        <w:rPr>
          <w:lang w:val="en-CA"/>
        </w:rPr>
        <w:t xml:space="preserve"> Pelagic provinces of the world: a biogeographic classification of the world’s surface pelagic waters</w:t>
      </w:r>
      <w:r>
        <w:rPr>
          <w:lang w:val="en-CA"/>
        </w:rPr>
        <w:t>,</w:t>
      </w:r>
      <w:r w:rsidRPr="00ED0089">
        <w:rPr>
          <w:lang w:val="en-CA"/>
        </w:rPr>
        <w:t xml:space="preserve"> </w:t>
      </w:r>
      <w:r w:rsidRPr="00ED0089">
        <w:rPr>
          <w:i/>
          <w:lang w:val="en-CA"/>
        </w:rPr>
        <w:t>Ocean &amp; Coastal Management</w:t>
      </w:r>
      <w:r w:rsidRPr="00ED0089">
        <w:rPr>
          <w:lang w:val="en-CA"/>
        </w:rPr>
        <w:t>, 60, 19-30.</w:t>
      </w:r>
    </w:p>
  </w:footnote>
  <w:footnote w:id="28">
    <w:p w:rsidR="009F758F" w:rsidRPr="00745C6A" w:rsidRDefault="009F758F" w:rsidP="008F6D53">
      <w:pPr>
        <w:pStyle w:val="FootnoteText"/>
        <w:ind w:firstLine="0"/>
        <w:jc w:val="left"/>
      </w:pPr>
      <w:r>
        <w:rPr>
          <w:rStyle w:val="FootnoteReference"/>
        </w:rPr>
        <w:footnoteRef/>
      </w:r>
      <w:r>
        <w:t xml:space="preserve"> EC-JRC (2018). T</w:t>
      </w:r>
      <w:r w:rsidRPr="0089446D">
        <w:t>he Digital Observatory for Protected Areas (DOPA)</w:t>
      </w:r>
      <w:r>
        <w:t xml:space="preserve">, </w:t>
      </w:r>
      <w:hyperlink r:id="rId9" w:history="1">
        <w:r w:rsidRPr="00E214D1">
          <w:rPr>
            <w:rStyle w:val="Hyperlink"/>
          </w:rPr>
          <w:t>http://dopa.jrc.ec.europa.eu/</w:t>
        </w:r>
      </w:hyperlink>
      <w:r>
        <w:t xml:space="preserve"> (see section on maps and datasets)</w:t>
      </w:r>
    </w:p>
  </w:footnote>
  <w:footnote w:id="29">
    <w:p w:rsidR="009F758F" w:rsidRPr="009859A9" w:rsidRDefault="009F758F" w:rsidP="008F6D53">
      <w:pPr>
        <w:pStyle w:val="FootnoteText"/>
        <w:ind w:firstLine="0"/>
        <w:jc w:val="left"/>
        <w:rPr>
          <w:lang w:val="fr-FR"/>
        </w:rPr>
      </w:pPr>
      <w:r w:rsidRPr="00B921B6">
        <w:rPr>
          <w:rStyle w:val="FootnoteReference"/>
        </w:rPr>
        <w:footnoteRef/>
      </w:r>
      <w:r w:rsidRPr="009859A9">
        <w:rPr>
          <w:lang w:val="fr-FR"/>
        </w:rPr>
        <w:t xml:space="preserve"> EC-JRC (2018).</w:t>
      </w:r>
    </w:p>
  </w:footnote>
  <w:footnote w:id="30">
    <w:p w:rsidR="009F758F" w:rsidRPr="009859A9" w:rsidRDefault="009F758F" w:rsidP="008F6D53">
      <w:pPr>
        <w:pStyle w:val="FootnoteText"/>
        <w:ind w:firstLine="0"/>
        <w:jc w:val="left"/>
        <w:rPr>
          <w:lang w:val="fr-FR"/>
        </w:rPr>
      </w:pPr>
      <w:r>
        <w:rPr>
          <w:rStyle w:val="FootnoteReference"/>
        </w:rPr>
        <w:footnoteRef/>
      </w:r>
      <w:r w:rsidRPr="009859A9">
        <w:rPr>
          <w:lang w:val="fr-FR"/>
        </w:rPr>
        <w:t xml:space="preserve"> EC-JRC (2018).</w:t>
      </w:r>
    </w:p>
  </w:footnote>
  <w:footnote w:id="31">
    <w:p w:rsidR="009F758F" w:rsidRPr="00682022" w:rsidRDefault="009F758F" w:rsidP="008F6D53">
      <w:pPr>
        <w:pStyle w:val="FootnoteText"/>
        <w:ind w:firstLine="0"/>
        <w:jc w:val="left"/>
        <w:rPr>
          <w:lang w:val="en-CA"/>
        </w:rPr>
      </w:pPr>
      <w:r>
        <w:rPr>
          <w:rStyle w:val="FootnoteReference"/>
        </w:rPr>
        <w:footnoteRef/>
      </w:r>
      <w:r w:rsidRPr="00AD3628">
        <w:rPr>
          <w:lang w:val="fr-FR"/>
        </w:rPr>
        <w:t xml:space="preserve"> Juffe-Bignoli, D. et al. </w:t>
      </w:r>
      <w:r w:rsidRPr="00AD3628">
        <w:t xml:space="preserve">(2014), </w:t>
      </w:r>
      <w:r w:rsidRPr="00AD3628">
        <w:rPr>
          <w:i/>
        </w:rPr>
        <w:t>Protected Planet Report 2014</w:t>
      </w:r>
      <w:r w:rsidRPr="00AD3628">
        <w:t xml:space="preserve">, Cambridge, UK: UNEP-WCMC and IUCN (2016); EC-JRC (2018), The Digital Observatory for Protected Areas (DOPA): </w:t>
      </w:r>
      <w:hyperlink r:id="rId10" w:history="1">
        <w:r w:rsidRPr="00AD3628">
          <w:rPr>
            <w:rStyle w:val="Hyperlink"/>
          </w:rPr>
          <w:t>http://dopa.jrc.ec.europa.eu/</w:t>
        </w:r>
      </w:hyperlink>
      <w:r w:rsidRPr="00AD3628">
        <w:t xml:space="preserve"> (see section on maps and datasets)</w:t>
      </w:r>
    </w:p>
  </w:footnote>
  <w:footnote w:id="32">
    <w:p w:rsidR="009F758F" w:rsidRPr="001C5580" w:rsidRDefault="009F758F" w:rsidP="008F6D53">
      <w:pPr>
        <w:pStyle w:val="FootnoteText"/>
        <w:ind w:firstLine="0"/>
        <w:jc w:val="left"/>
      </w:pPr>
      <w:r>
        <w:rPr>
          <w:rStyle w:val="FootnoteReference"/>
        </w:rPr>
        <w:footnoteRef/>
      </w:r>
      <w:r w:rsidRPr="001C5580">
        <w:t xml:space="preserve"> </w:t>
      </w:r>
      <w:r>
        <w:t xml:space="preserve">Coverage is now 4.6% for the </w:t>
      </w:r>
      <w:r w:rsidRPr="001C5580">
        <w:t>Sea of Japan/East Sea</w:t>
      </w:r>
      <w:r>
        <w:t xml:space="preserve">, and 3.83% for the </w:t>
      </w:r>
      <w:r w:rsidRPr="001C5580">
        <w:t>Kuroshio</w:t>
      </w:r>
      <w:r>
        <w:t xml:space="preserve"> (</w:t>
      </w:r>
      <w:r w:rsidRPr="001C5580">
        <w:t>EC-JRC</w:t>
      </w:r>
      <w:r>
        <w:t xml:space="preserve">, </w:t>
      </w:r>
      <w:r w:rsidRPr="001C5580">
        <w:t>2018).</w:t>
      </w:r>
    </w:p>
  </w:footnote>
  <w:footnote w:id="33">
    <w:p w:rsidR="009F758F" w:rsidRPr="00607F23" w:rsidRDefault="009F758F" w:rsidP="008F6D53">
      <w:pPr>
        <w:pStyle w:val="FootnoteText"/>
        <w:ind w:firstLine="0"/>
        <w:jc w:val="left"/>
        <w:rPr>
          <w:lang w:val="en-CA"/>
        </w:rPr>
      </w:pPr>
      <w:r>
        <w:rPr>
          <w:rStyle w:val="FootnoteReference"/>
        </w:rPr>
        <w:footnoteRef/>
      </w:r>
      <w:r w:rsidRPr="003D5BDC">
        <w:t xml:space="preserve"> Dinerstein, E. et al. </w:t>
      </w:r>
      <w:r w:rsidRPr="00607F23">
        <w:t>(2017)</w:t>
      </w:r>
      <w:r>
        <w:t>,</w:t>
      </w:r>
      <w:r w:rsidRPr="00607F23">
        <w:t xml:space="preserve"> An ecoregion-based approach to protecting half the terrestrial realm</w:t>
      </w:r>
      <w:r>
        <w:t>,</w:t>
      </w:r>
      <w:r w:rsidRPr="00607F23">
        <w:t xml:space="preserve"> </w:t>
      </w:r>
      <w:r w:rsidRPr="00607F23">
        <w:rPr>
          <w:i/>
        </w:rPr>
        <w:t>BioScience</w:t>
      </w:r>
      <w:r>
        <w:t>, 67(6).</w:t>
      </w:r>
    </w:p>
  </w:footnote>
  <w:footnote w:id="34">
    <w:p w:rsidR="009F758F" w:rsidRPr="00323722" w:rsidRDefault="009F758F" w:rsidP="008F6D53">
      <w:pPr>
        <w:pStyle w:val="FootnoteText"/>
        <w:ind w:firstLine="0"/>
        <w:jc w:val="left"/>
        <w:rPr>
          <w:lang w:val="en-US"/>
        </w:rPr>
      </w:pPr>
      <w:r>
        <w:rPr>
          <w:rStyle w:val="FootnoteReference"/>
        </w:rPr>
        <w:footnoteRef/>
      </w:r>
      <w:r>
        <w:t xml:space="preserve"> For example: Decision </w:t>
      </w:r>
      <w:hyperlink r:id="rId11" w:history="1">
        <w:r w:rsidRPr="00E6384B">
          <w:rPr>
            <w:rStyle w:val="Hyperlink"/>
          </w:rPr>
          <w:t>XIII/28</w:t>
        </w:r>
      </w:hyperlink>
    </w:p>
  </w:footnote>
  <w:footnote w:id="35">
    <w:p w:rsidR="009F758F" w:rsidRPr="002D5598" w:rsidRDefault="009F758F" w:rsidP="008F6D53">
      <w:pPr>
        <w:pStyle w:val="FootnoteText"/>
        <w:ind w:firstLine="0"/>
        <w:jc w:val="left"/>
        <w:rPr>
          <w:lang w:val="en-CA"/>
        </w:rPr>
      </w:pPr>
      <w:r>
        <w:rPr>
          <w:rStyle w:val="FootnoteReference"/>
        </w:rPr>
        <w:footnoteRef/>
      </w:r>
      <w:r>
        <w:t xml:space="preserve"> IUCN (2016). </w:t>
      </w:r>
      <w:r w:rsidRPr="00AB57B8">
        <w:rPr>
          <w:i/>
        </w:rPr>
        <w:t>A Global Standard for the Identification of Key Biodiversity Areas</w:t>
      </w:r>
      <w:r>
        <w:t>, Version 1.0. First edition. Gland, Switzerland: IUCN.</w:t>
      </w:r>
    </w:p>
  </w:footnote>
  <w:footnote w:id="36">
    <w:p w:rsidR="009F758F" w:rsidRPr="00AB57B8" w:rsidRDefault="009F758F" w:rsidP="008F6D53">
      <w:pPr>
        <w:pStyle w:val="FootnoteText"/>
        <w:ind w:firstLine="0"/>
        <w:jc w:val="left"/>
      </w:pPr>
      <w:r>
        <w:rPr>
          <w:rStyle w:val="FootnoteReference"/>
        </w:rPr>
        <w:footnoteRef/>
      </w:r>
      <w:r>
        <w:t xml:space="preserve"> IUCN (2016).</w:t>
      </w:r>
    </w:p>
  </w:footnote>
  <w:footnote w:id="37">
    <w:p w:rsidR="009F758F" w:rsidRPr="00D62B99" w:rsidRDefault="009F758F" w:rsidP="008F6D53">
      <w:pPr>
        <w:pStyle w:val="FootnoteText"/>
        <w:ind w:firstLine="0"/>
        <w:jc w:val="left"/>
      </w:pPr>
      <w:r>
        <w:rPr>
          <w:rStyle w:val="FootnoteReference"/>
        </w:rPr>
        <w:footnoteRef/>
      </w:r>
      <w:r>
        <w:t xml:space="preserve"> BirdLife International, UNEP-WCMC and IUCN (2018), </w:t>
      </w:r>
      <w:r w:rsidRPr="00A73FAB">
        <w:t>Contribution to the 2018 Sustainable Development Goals Report</w:t>
      </w:r>
      <w:r>
        <w:t xml:space="preserve">, for indicators </w:t>
      </w:r>
      <w:r w:rsidRPr="00DE2F21">
        <w:rPr>
          <w:lang w:eastAsia="en-GB"/>
        </w:rPr>
        <w:t>14.5.1</w:t>
      </w:r>
      <w:r>
        <w:rPr>
          <w:lang w:eastAsia="en-GB"/>
        </w:rPr>
        <w:t xml:space="preserve">, </w:t>
      </w:r>
      <w:r w:rsidRPr="00DE2F21">
        <w:rPr>
          <w:lang w:eastAsia="en-GB"/>
        </w:rPr>
        <w:t>15.1.2</w:t>
      </w:r>
      <w:r>
        <w:rPr>
          <w:lang w:eastAsia="en-GB"/>
        </w:rPr>
        <w:t xml:space="preserve">, and </w:t>
      </w:r>
      <w:r w:rsidRPr="00DE2F21">
        <w:rPr>
          <w:lang w:eastAsia="en-GB"/>
        </w:rPr>
        <w:t>15.4.1</w:t>
      </w:r>
      <w:r>
        <w:rPr>
          <w:lang w:eastAsia="en-GB"/>
        </w:rPr>
        <w:t>.</w:t>
      </w:r>
    </w:p>
  </w:footnote>
  <w:footnote w:id="38">
    <w:p w:rsidR="009F758F" w:rsidRPr="00D62B99" w:rsidRDefault="009F758F" w:rsidP="008F6D53">
      <w:pPr>
        <w:pStyle w:val="FootnoteText"/>
        <w:ind w:firstLine="0"/>
        <w:jc w:val="left"/>
      </w:pPr>
      <w:r>
        <w:rPr>
          <w:rStyle w:val="FootnoteReference"/>
        </w:rPr>
        <w:footnoteRef/>
      </w:r>
      <w:r>
        <w:t xml:space="preserve"> BirdLife International, UNEP-WCMC and IUCN (2018).</w:t>
      </w:r>
    </w:p>
  </w:footnote>
  <w:footnote w:id="39">
    <w:p w:rsidR="009F758F" w:rsidRPr="00A73FAB" w:rsidRDefault="009F758F" w:rsidP="008F6D53">
      <w:pPr>
        <w:pStyle w:val="FootnoteText"/>
        <w:ind w:firstLine="0"/>
        <w:jc w:val="left"/>
      </w:pPr>
      <w:r>
        <w:rPr>
          <w:rStyle w:val="FootnoteReference"/>
        </w:rPr>
        <w:footnoteRef/>
      </w:r>
      <w:r>
        <w:t xml:space="preserve"> BirdLife International, UNEP-WCMC and IUCN (2018).</w:t>
      </w:r>
    </w:p>
  </w:footnote>
  <w:footnote w:id="40">
    <w:p w:rsidR="009F758F" w:rsidRPr="00452A08" w:rsidRDefault="009F758F" w:rsidP="008F6D53">
      <w:pPr>
        <w:pStyle w:val="FootnoteText"/>
        <w:ind w:firstLine="0"/>
        <w:jc w:val="left"/>
        <w:rPr>
          <w:lang w:val="en-US"/>
        </w:rPr>
      </w:pPr>
      <w:r>
        <w:rPr>
          <w:rStyle w:val="FootnoteReference"/>
        </w:rPr>
        <w:footnoteRef/>
      </w:r>
      <w:r>
        <w:t xml:space="preserve"> </w:t>
      </w:r>
      <w:r w:rsidRPr="00452A08">
        <w:rPr>
          <w:lang w:val="en-US"/>
        </w:rPr>
        <w:t>Australia</w:t>
      </w:r>
      <w:r>
        <w:rPr>
          <w:lang w:val="en-US"/>
        </w:rPr>
        <w:t>,</w:t>
      </w:r>
      <w:r w:rsidRPr="00452A08">
        <w:rPr>
          <w:lang w:val="en-US"/>
        </w:rPr>
        <w:t xml:space="preserve"> Bolivia</w:t>
      </w:r>
      <w:r>
        <w:rPr>
          <w:lang w:val="en-US"/>
        </w:rPr>
        <w:t>,</w:t>
      </w:r>
      <w:r w:rsidRPr="00452A08">
        <w:rPr>
          <w:lang w:val="en-US"/>
        </w:rPr>
        <w:t xml:space="preserve"> Canada, Ecuador, India, Indonesia, Kazakhstan</w:t>
      </w:r>
      <w:r>
        <w:rPr>
          <w:lang w:val="en-US"/>
        </w:rPr>
        <w:t>,</w:t>
      </w:r>
      <w:r w:rsidRPr="00452A08">
        <w:rPr>
          <w:lang w:val="en-US"/>
        </w:rPr>
        <w:t xml:space="preserve"> Kenya, Philippines and </w:t>
      </w:r>
      <w:r>
        <w:rPr>
          <w:lang w:val="en-US"/>
        </w:rPr>
        <w:t>South Africa.</w:t>
      </w:r>
      <w:r w:rsidRPr="00452A08">
        <w:rPr>
          <w:lang w:val="en-US"/>
        </w:rPr>
        <w:t xml:space="preserve"> </w:t>
      </w:r>
    </w:p>
  </w:footnote>
  <w:footnote w:id="41">
    <w:p w:rsidR="009F758F" w:rsidRPr="002877E1" w:rsidRDefault="009F758F" w:rsidP="008F6D53">
      <w:pPr>
        <w:pStyle w:val="FootnoteText"/>
        <w:ind w:firstLine="0"/>
        <w:jc w:val="left"/>
      </w:pPr>
      <w:r>
        <w:rPr>
          <w:rStyle w:val="FootnoteReference"/>
        </w:rPr>
        <w:footnoteRef/>
      </w:r>
      <w:r>
        <w:t xml:space="preserve"> Donald et al., in prep.</w:t>
      </w:r>
    </w:p>
  </w:footnote>
  <w:footnote w:id="42">
    <w:p w:rsidR="009F758F" w:rsidRPr="00E972D6" w:rsidRDefault="009F758F" w:rsidP="008F6D53">
      <w:pPr>
        <w:pStyle w:val="FootnoteText"/>
        <w:ind w:firstLine="0"/>
        <w:jc w:val="left"/>
        <w:rPr>
          <w:lang w:val="en-US"/>
        </w:rPr>
      </w:pPr>
      <w:r>
        <w:rPr>
          <w:rStyle w:val="FootnoteReference"/>
        </w:rPr>
        <w:footnoteRef/>
      </w:r>
      <w:r>
        <w:t xml:space="preserve"> </w:t>
      </w:r>
      <w:r w:rsidRPr="00E972D6">
        <w:rPr>
          <w:i/>
        </w:rPr>
        <w:t>Philippine Biodiversity Strategy and Action Plan</w:t>
      </w:r>
      <w:r>
        <w:rPr>
          <w:i/>
        </w:rPr>
        <w:t xml:space="preserve"> </w:t>
      </w:r>
      <w:r w:rsidRPr="00E972D6">
        <w:rPr>
          <w:i/>
        </w:rPr>
        <w:t>2015-2028</w:t>
      </w:r>
      <w:r>
        <w:t xml:space="preserve">, </w:t>
      </w:r>
      <w:hyperlink r:id="rId12" w:history="1">
        <w:r w:rsidRPr="00555D22">
          <w:rPr>
            <w:rStyle w:val="Hyperlink"/>
          </w:rPr>
          <w:t>https://www.cbd.int/doc/world/ph/ph-nbsap-v3-en.pdf</w:t>
        </w:r>
      </w:hyperlink>
      <w:r>
        <w:rPr>
          <w:rStyle w:val="Hyperlink"/>
        </w:rPr>
        <w:t>.</w:t>
      </w:r>
      <w:r>
        <w:t xml:space="preserve"> </w:t>
      </w:r>
    </w:p>
  </w:footnote>
  <w:footnote w:id="43">
    <w:p w:rsidR="009F758F" w:rsidRPr="00256FBC" w:rsidRDefault="009F758F" w:rsidP="008F6D53">
      <w:pPr>
        <w:pStyle w:val="FootnoteText"/>
        <w:ind w:firstLine="0"/>
        <w:jc w:val="left"/>
      </w:pPr>
      <w:r>
        <w:rPr>
          <w:rStyle w:val="FootnoteReference"/>
        </w:rPr>
        <w:footnoteRef/>
      </w:r>
      <w:r w:rsidRPr="00256FBC">
        <w:t xml:space="preserve"> Decision </w:t>
      </w:r>
      <w:hyperlink r:id="rId13" w:history="1">
        <w:r w:rsidRPr="00256FBC">
          <w:rPr>
            <w:rStyle w:val="Hyperlink"/>
          </w:rPr>
          <w:t>XIII/28</w:t>
        </w:r>
      </w:hyperlink>
      <w:r w:rsidRPr="00256FBC">
        <w:rPr>
          <w:rStyle w:val="Hyperlink"/>
        </w:rPr>
        <w:t>.</w:t>
      </w:r>
    </w:p>
  </w:footnote>
  <w:footnote w:id="44">
    <w:p w:rsidR="009F758F" w:rsidRPr="006E1F2B" w:rsidRDefault="009F758F" w:rsidP="008F6D53">
      <w:pPr>
        <w:pStyle w:val="FootnoteText"/>
        <w:ind w:firstLine="0"/>
        <w:jc w:val="left"/>
      </w:pPr>
      <w:r>
        <w:rPr>
          <w:rStyle w:val="FootnoteReference"/>
        </w:rPr>
        <w:footnoteRef/>
      </w:r>
      <w:r w:rsidRPr="006E1F2B">
        <w:t xml:space="preserve"> “Strategic assessments forming the basis of long-term preservation and development of natural assets of community interest and the implementation of objectives of the EU Biodiversity Strategy to 2020 in Hungary”</w:t>
      </w:r>
      <w:r>
        <w:t xml:space="preserve"> running from 2016 to 2020</w:t>
      </w:r>
      <w:r w:rsidRPr="006E1F2B">
        <w:t>.</w:t>
      </w:r>
    </w:p>
  </w:footnote>
  <w:footnote w:id="45">
    <w:p w:rsidR="009F758F" w:rsidRPr="00BE5D1D" w:rsidRDefault="009F758F" w:rsidP="008F6D53">
      <w:pPr>
        <w:pStyle w:val="FootnoteText"/>
        <w:ind w:firstLine="0"/>
        <w:jc w:val="left"/>
      </w:pPr>
      <w:r>
        <w:rPr>
          <w:rStyle w:val="FootnoteReference"/>
        </w:rPr>
        <w:footnoteRef/>
      </w:r>
      <w:r w:rsidRPr="00FC7691">
        <w:rPr>
          <w:lang w:val="fr-FR"/>
        </w:rPr>
        <w:t xml:space="preserve"> de Araujo Barbosa, C. C. et al.</w:t>
      </w:r>
      <w:r>
        <w:rPr>
          <w:lang w:val="fr-FR"/>
        </w:rPr>
        <w:t xml:space="preserve"> </w:t>
      </w:r>
      <w:r w:rsidRPr="00BE5D1D">
        <w:t xml:space="preserve">(2015), Remote sensing of ecosystem services: a systematic review, </w:t>
      </w:r>
      <w:r w:rsidRPr="00BE5D1D">
        <w:rPr>
          <w:i/>
        </w:rPr>
        <w:t>Ecological Indicators</w:t>
      </w:r>
      <w:r w:rsidRPr="00BE5D1D">
        <w:t>, 52, 430-443; Naidoo, R.</w:t>
      </w:r>
      <w:r>
        <w:t xml:space="preserve"> et al. (</w:t>
      </w:r>
      <w:r w:rsidRPr="00BE5D1D">
        <w:t>2008)</w:t>
      </w:r>
      <w:r>
        <w:t>,</w:t>
      </w:r>
      <w:r w:rsidRPr="00BE5D1D">
        <w:t xml:space="preserve"> Global mapping of ecosystem services and conservation priorities</w:t>
      </w:r>
      <w:r>
        <w:t>,</w:t>
      </w:r>
      <w:r w:rsidRPr="00BE5D1D">
        <w:t xml:space="preserve"> </w:t>
      </w:r>
      <w:r w:rsidRPr="00BE5D1D">
        <w:rPr>
          <w:i/>
        </w:rPr>
        <w:t>Proceedings of the National Academy of Sciences</w:t>
      </w:r>
      <w:r w:rsidRPr="00BE5D1D">
        <w:t>, 105(28), 9495-9500.</w:t>
      </w:r>
    </w:p>
  </w:footnote>
  <w:footnote w:id="46">
    <w:p w:rsidR="009F758F" w:rsidRPr="00B154EF" w:rsidRDefault="009F758F" w:rsidP="008F6D53">
      <w:pPr>
        <w:pStyle w:val="FootnoteText"/>
        <w:ind w:firstLine="0"/>
        <w:jc w:val="left"/>
      </w:pPr>
      <w:r>
        <w:rPr>
          <w:rStyle w:val="FootnoteReference"/>
        </w:rPr>
        <w:footnoteRef/>
      </w:r>
      <w:r>
        <w:t xml:space="preserve"> </w:t>
      </w:r>
      <w:r>
        <w:rPr>
          <w:rStyle w:val="A4"/>
        </w:rPr>
        <w:t xml:space="preserve">Burkhard, B. &amp; Maes, J. (eds.) (2017), </w:t>
      </w:r>
      <w:r w:rsidRPr="005E065B">
        <w:rPr>
          <w:rStyle w:val="A4"/>
          <w:i/>
        </w:rPr>
        <w:t>Mapping Ecosystem Services</w:t>
      </w:r>
      <w:r>
        <w:rPr>
          <w:rStyle w:val="A4"/>
        </w:rPr>
        <w:t>. Sofia: Pensoft Publishers.</w:t>
      </w:r>
    </w:p>
  </w:footnote>
  <w:footnote w:id="47">
    <w:p w:rsidR="009F758F" w:rsidRPr="00B154EF" w:rsidRDefault="009F758F" w:rsidP="008F6D53">
      <w:pPr>
        <w:pStyle w:val="FootnoteText"/>
        <w:ind w:firstLine="0"/>
        <w:jc w:val="left"/>
      </w:pPr>
      <w:r>
        <w:rPr>
          <w:rStyle w:val="FootnoteReference"/>
        </w:rPr>
        <w:footnoteRef/>
      </w:r>
      <w:r w:rsidRPr="00B154EF">
        <w:t xml:space="preserve"> Maes, J. et al. (2016)</w:t>
      </w:r>
      <w:r>
        <w:t>,</w:t>
      </w:r>
      <w:r w:rsidRPr="00B154EF">
        <w:t xml:space="preserve"> An indicator framework for assessing ecosystem services in support of the EU Biodiversity Strategy to 2020</w:t>
      </w:r>
      <w:r>
        <w:t>,</w:t>
      </w:r>
      <w:r w:rsidRPr="00B154EF">
        <w:t xml:space="preserve"> </w:t>
      </w:r>
      <w:r w:rsidRPr="00B154EF">
        <w:rPr>
          <w:i/>
        </w:rPr>
        <w:t>Ecosystem services</w:t>
      </w:r>
      <w:r w:rsidRPr="00B154EF">
        <w:t>, 17, 14-23.</w:t>
      </w:r>
    </w:p>
  </w:footnote>
  <w:footnote w:id="48">
    <w:p w:rsidR="009F758F" w:rsidRPr="00B51C43" w:rsidRDefault="009F758F" w:rsidP="008F6D53">
      <w:pPr>
        <w:pStyle w:val="FootnoteText"/>
        <w:ind w:firstLine="0"/>
        <w:jc w:val="left"/>
      </w:pPr>
      <w:r>
        <w:rPr>
          <w:rStyle w:val="FootnoteReference"/>
        </w:rPr>
        <w:footnoteRef/>
      </w:r>
      <w:r w:rsidRPr="00B51C43">
        <w:rPr>
          <w:lang w:val="fr-FR"/>
        </w:rPr>
        <w:t xml:space="preserve"> Cimon-Morin, J</w:t>
      </w:r>
      <w:r>
        <w:rPr>
          <w:lang w:val="fr-FR"/>
        </w:rPr>
        <w:t>. et al</w:t>
      </w:r>
      <w:r w:rsidRPr="00B51C43">
        <w:rPr>
          <w:lang w:val="fr-FR"/>
        </w:rPr>
        <w:t xml:space="preserve">. </w:t>
      </w:r>
      <w:r w:rsidRPr="00B51C43">
        <w:t>(2013)</w:t>
      </w:r>
      <w:r>
        <w:t>,</w:t>
      </w:r>
      <w:r w:rsidRPr="00B51C43">
        <w:t xml:space="preserve"> Fostering</w:t>
      </w:r>
      <w:r>
        <w:t xml:space="preserve"> </w:t>
      </w:r>
      <w:r w:rsidRPr="00B51C43">
        <w:t>synergies between ecosystem services and biodiversity in</w:t>
      </w:r>
      <w:r>
        <w:t xml:space="preserve"> </w:t>
      </w:r>
      <w:r w:rsidRPr="00B51C43">
        <w:t>conserva</w:t>
      </w:r>
      <w:r>
        <w:t>ti</w:t>
      </w:r>
      <w:r w:rsidRPr="00B51C43">
        <w:t>on planning: a review</w:t>
      </w:r>
      <w:r>
        <w:t>,</w:t>
      </w:r>
      <w:r w:rsidRPr="00B51C43">
        <w:t xml:space="preserve"> </w:t>
      </w:r>
      <w:r w:rsidRPr="00B51C43">
        <w:rPr>
          <w:i/>
        </w:rPr>
        <w:t>Biological Conservation</w:t>
      </w:r>
      <w:r w:rsidRPr="00B51C43">
        <w:t>, 166, 144-154.</w:t>
      </w:r>
    </w:p>
  </w:footnote>
  <w:footnote w:id="49">
    <w:p w:rsidR="009F758F" w:rsidRPr="00B51C43" w:rsidRDefault="009F758F" w:rsidP="008F6D53">
      <w:pPr>
        <w:pStyle w:val="FootnoteText"/>
        <w:ind w:firstLine="0"/>
        <w:jc w:val="left"/>
      </w:pPr>
      <w:r>
        <w:rPr>
          <w:rStyle w:val="FootnoteReference"/>
        </w:rPr>
        <w:footnoteRef/>
      </w:r>
      <w:r w:rsidRPr="00B51C43">
        <w:rPr>
          <w:lang w:val="fr-FR"/>
        </w:rPr>
        <w:t xml:space="preserve"> Di Marco, M. et al.</w:t>
      </w:r>
      <w:r>
        <w:rPr>
          <w:lang w:val="fr-FR"/>
        </w:rPr>
        <w:t xml:space="preserve"> </w:t>
      </w:r>
      <w:r w:rsidRPr="00B51C43">
        <w:t>(2018), The extent and predictability of the biodiversity–carbon correlation</w:t>
      </w:r>
      <w:r>
        <w:t>,</w:t>
      </w:r>
      <w:r w:rsidRPr="00B51C43">
        <w:t xml:space="preserve"> </w:t>
      </w:r>
      <w:r w:rsidRPr="00B51C43">
        <w:rPr>
          <w:i/>
        </w:rPr>
        <w:t>Ecology letters</w:t>
      </w:r>
      <w:r>
        <w:t>, 21(3).</w:t>
      </w:r>
    </w:p>
  </w:footnote>
  <w:footnote w:id="50">
    <w:p w:rsidR="009F758F" w:rsidRPr="00B51C43" w:rsidRDefault="009F758F" w:rsidP="008F6D53">
      <w:pPr>
        <w:pStyle w:val="FootnoteText"/>
        <w:ind w:firstLine="0"/>
        <w:jc w:val="left"/>
      </w:pPr>
      <w:r>
        <w:rPr>
          <w:rStyle w:val="FootnoteReference"/>
        </w:rPr>
        <w:footnoteRef/>
      </w:r>
      <w:r w:rsidRPr="00B51C43">
        <w:rPr>
          <w:lang w:val="fr-FR"/>
        </w:rPr>
        <w:t xml:space="preserve"> Manhães, A.P. et al. </w:t>
      </w:r>
      <w:r w:rsidRPr="00B51C43">
        <w:t>(2016)</w:t>
      </w:r>
      <w:r>
        <w:t>,</w:t>
      </w:r>
      <w:r w:rsidRPr="00B51C43">
        <w:t xml:space="preserve"> Spa</w:t>
      </w:r>
      <w:r w:rsidRPr="00B51C43">
        <w:rPr>
          <w:rFonts w:cs="Times New Roman"/>
        </w:rPr>
        <w:t>tia</w:t>
      </w:r>
      <w:r w:rsidRPr="00B51C43">
        <w:t>l associa</w:t>
      </w:r>
      <w:r w:rsidRPr="00B51C43">
        <w:rPr>
          <w:rFonts w:cs="Times New Roman"/>
        </w:rPr>
        <w:t>ti</w:t>
      </w:r>
      <w:r w:rsidRPr="00B51C43">
        <w:t>ons of</w:t>
      </w:r>
      <w:r>
        <w:t xml:space="preserve"> </w:t>
      </w:r>
      <w:r w:rsidRPr="00B51C43">
        <w:t>ecosystem services and biodiversity as a baseline for</w:t>
      </w:r>
      <w:r>
        <w:t xml:space="preserve"> </w:t>
      </w:r>
      <w:r w:rsidRPr="00B51C43">
        <w:t>systema</w:t>
      </w:r>
      <w:r>
        <w:rPr>
          <w:rFonts w:cs="Times New Roman"/>
        </w:rPr>
        <w:t>ti</w:t>
      </w:r>
      <w:r w:rsidRPr="00B51C43">
        <w:t>c conserva</w:t>
      </w:r>
      <w:r>
        <w:t xml:space="preserve">tion planning, </w:t>
      </w:r>
      <w:r w:rsidRPr="00B51C43">
        <w:rPr>
          <w:i/>
        </w:rPr>
        <w:t>Diversity and Distributions</w:t>
      </w:r>
      <w:r w:rsidRPr="00B51C43">
        <w:t>, 22(9), 932-943</w:t>
      </w:r>
      <w:r>
        <w:t>.</w:t>
      </w:r>
    </w:p>
  </w:footnote>
  <w:footnote w:id="51">
    <w:p w:rsidR="009F758F" w:rsidRPr="00B921B6" w:rsidRDefault="009F758F" w:rsidP="008F6D53">
      <w:pPr>
        <w:pStyle w:val="FootnoteText"/>
        <w:ind w:firstLine="0"/>
        <w:jc w:val="left"/>
      </w:pPr>
      <w:r>
        <w:rPr>
          <w:rStyle w:val="FootnoteReference"/>
        </w:rPr>
        <w:footnoteRef/>
      </w:r>
      <w:r>
        <w:t xml:space="preserve"> </w:t>
      </w:r>
      <w:r w:rsidRPr="00E2668E">
        <w:rPr>
          <w:lang w:val="en-US"/>
        </w:rPr>
        <w:t>Manhães et al (2016).</w:t>
      </w:r>
    </w:p>
  </w:footnote>
  <w:footnote w:id="52">
    <w:p w:rsidR="009F758F" w:rsidRPr="00B921B6" w:rsidRDefault="009F758F" w:rsidP="008F6D53">
      <w:pPr>
        <w:pStyle w:val="FootnoteText"/>
        <w:ind w:firstLine="0"/>
        <w:jc w:val="left"/>
      </w:pPr>
      <w:r>
        <w:rPr>
          <w:rStyle w:val="FootnoteReference"/>
        </w:rPr>
        <w:footnoteRef/>
      </w:r>
      <w:r w:rsidRPr="005E065B">
        <w:t xml:space="preserve"> </w:t>
      </w:r>
      <w:r>
        <w:rPr>
          <w:rStyle w:val="A4"/>
        </w:rPr>
        <w:t xml:space="preserve">Burkhard, B. &amp; Maes, J. (eds.) </w:t>
      </w:r>
      <w:r w:rsidRPr="00B921B6">
        <w:rPr>
          <w:rStyle w:val="A4"/>
        </w:rPr>
        <w:t>(2017).</w:t>
      </w:r>
    </w:p>
  </w:footnote>
  <w:footnote w:id="53">
    <w:p w:rsidR="009F758F" w:rsidRPr="00E93C03" w:rsidRDefault="009F758F" w:rsidP="008F6D53">
      <w:pPr>
        <w:pStyle w:val="FootnoteText"/>
        <w:ind w:firstLine="0"/>
        <w:jc w:val="left"/>
      </w:pPr>
      <w:r>
        <w:rPr>
          <w:rStyle w:val="FootnoteReference"/>
        </w:rPr>
        <w:footnoteRef/>
      </w:r>
      <w:r w:rsidRPr="008F6D53">
        <w:rPr>
          <w:lang w:val="fr-FR"/>
        </w:rPr>
        <w:t xml:space="preserve"> Worboys, G.L. et al. </w:t>
      </w:r>
      <w:r>
        <w:t xml:space="preserve">(2016), </w:t>
      </w:r>
      <w:r w:rsidRPr="00E93C03">
        <w:rPr>
          <w:i/>
        </w:rPr>
        <w:t>Advanced Draft, Area of Connectivity Conservation Guidelines</w:t>
      </w:r>
      <w:r>
        <w:rPr>
          <w:i/>
        </w:rPr>
        <w:t>,</w:t>
      </w:r>
      <w:r>
        <w:t xml:space="preserve"> Gland, Switzerland: IUCN.</w:t>
      </w:r>
    </w:p>
  </w:footnote>
  <w:footnote w:id="54">
    <w:p w:rsidR="009F758F" w:rsidRPr="00A8331B" w:rsidRDefault="009F758F" w:rsidP="008F6D53">
      <w:pPr>
        <w:pStyle w:val="FootnoteText"/>
        <w:ind w:firstLine="0"/>
        <w:jc w:val="left"/>
      </w:pPr>
      <w:r>
        <w:rPr>
          <w:rStyle w:val="FootnoteReference"/>
        </w:rPr>
        <w:footnoteRef/>
      </w:r>
      <w:r w:rsidRPr="00A8331B">
        <w:t xml:space="preserve"> UNEP-WCMC and IUCN (2016); Juffe-Bignoli, D. et al. (2014).</w:t>
      </w:r>
    </w:p>
  </w:footnote>
  <w:footnote w:id="55">
    <w:p w:rsidR="009F758F" w:rsidRPr="008F6D53" w:rsidRDefault="009F758F" w:rsidP="008F6D53">
      <w:pPr>
        <w:pStyle w:val="FootnoteText"/>
        <w:ind w:firstLine="0"/>
        <w:jc w:val="left"/>
        <w:rPr>
          <w:bCs/>
          <w:lang w:val="fr-FR"/>
        </w:rPr>
      </w:pPr>
      <w:r>
        <w:rPr>
          <w:rStyle w:val="FootnoteReference"/>
        </w:rPr>
        <w:footnoteRef/>
      </w:r>
      <w:r w:rsidRPr="008F6D53">
        <w:rPr>
          <w:lang w:val="fr-FR"/>
        </w:rPr>
        <w:t xml:space="preserve"> </w:t>
      </w:r>
      <w:r w:rsidRPr="008F6D53">
        <w:rPr>
          <w:bCs/>
          <w:lang w:val="fr-FR"/>
        </w:rPr>
        <w:t xml:space="preserve">Decision </w:t>
      </w:r>
      <w:hyperlink r:id="rId14" w:history="1">
        <w:r w:rsidRPr="008F6D53">
          <w:rPr>
            <w:rStyle w:val="Hyperlink"/>
            <w:lang w:val="fr-FR"/>
          </w:rPr>
          <w:t>XIII/28</w:t>
        </w:r>
      </w:hyperlink>
      <w:r w:rsidRPr="008F6D53">
        <w:rPr>
          <w:bCs/>
          <w:lang w:val="fr-FR"/>
        </w:rPr>
        <w:t xml:space="preserve">. </w:t>
      </w:r>
    </w:p>
  </w:footnote>
  <w:footnote w:id="56">
    <w:p w:rsidR="009F758F" w:rsidRPr="007B33EE" w:rsidRDefault="009F758F" w:rsidP="008F6D53">
      <w:pPr>
        <w:pStyle w:val="FootnoteText"/>
        <w:ind w:firstLine="0"/>
        <w:jc w:val="left"/>
        <w:rPr>
          <w:lang w:val="en-CA"/>
        </w:rPr>
      </w:pPr>
      <w:r>
        <w:rPr>
          <w:rStyle w:val="FootnoteReference"/>
        </w:rPr>
        <w:footnoteRef/>
      </w:r>
      <w:r w:rsidRPr="008F6D53">
        <w:rPr>
          <w:lang w:val="fr-FR"/>
        </w:rPr>
        <w:t xml:space="preserve"> Drielsma, M. et al. </w:t>
      </w:r>
      <w:r>
        <w:t>(2</w:t>
      </w:r>
      <w:r w:rsidRPr="007B33EE">
        <w:t>007)</w:t>
      </w:r>
      <w:r>
        <w:t>,</w:t>
      </w:r>
      <w:r w:rsidRPr="007B33EE">
        <w:t xml:space="preserve"> A raster-based technique for analysing habitat configura</w:t>
      </w:r>
      <w:r>
        <w:t>tion: the cost-benefit approach,</w:t>
      </w:r>
      <w:r w:rsidRPr="007B33EE">
        <w:t xml:space="preserve"> </w:t>
      </w:r>
      <w:r w:rsidRPr="007B33EE">
        <w:rPr>
          <w:i/>
        </w:rPr>
        <w:t>Ecological Modelling</w:t>
      </w:r>
      <w:r>
        <w:rPr>
          <w:i/>
        </w:rPr>
        <w:t>,</w:t>
      </w:r>
      <w:r w:rsidRPr="007B33EE">
        <w:t xml:space="preserve"> 202: 324-332.</w:t>
      </w:r>
    </w:p>
  </w:footnote>
  <w:footnote w:id="57">
    <w:p w:rsidR="009F758F" w:rsidRPr="008B4736" w:rsidRDefault="009F758F" w:rsidP="008F6D53">
      <w:pPr>
        <w:pStyle w:val="FootnoteText"/>
        <w:ind w:firstLine="0"/>
        <w:jc w:val="left"/>
        <w:rPr>
          <w:lang w:val="en-CA"/>
        </w:rPr>
      </w:pPr>
      <w:r>
        <w:rPr>
          <w:rStyle w:val="FootnoteReference"/>
        </w:rPr>
        <w:footnoteRef/>
      </w:r>
      <w:r>
        <w:t xml:space="preserve"> </w:t>
      </w:r>
      <w:r>
        <w:rPr>
          <w:bCs/>
        </w:rPr>
        <w:t xml:space="preserve">PARC-Connectedness, </w:t>
      </w:r>
      <w:hyperlink r:id="rId15" w:history="1">
        <w:r w:rsidRPr="00063695">
          <w:rPr>
            <w:rStyle w:val="Hyperlink"/>
            <w:bCs/>
          </w:rPr>
          <w:t>https://www.bipindicators.net/indicators/protected-area-connectedness-index-parc-connectedness</w:t>
        </w:r>
      </w:hyperlink>
      <w:r>
        <w:rPr>
          <w:bCs/>
        </w:rPr>
        <w:t>.</w:t>
      </w:r>
    </w:p>
  </w:footnote>
  <w:footnote w:id="58">
    <w:p w:rsidR="009F758F" w:rsidRPr="00FC0204" w:rsidRDefault="009F758F" w:rsidP="008F6D53">
      <w:pPr>
        <w:pStyle w:val="FootnoteText"/>
        <w:ind w:firstLine="0"/>
        <w:jc w:val="left"/>
      </w:pPr>
      <w:r>
        <w:rPr>
          <w:rStyle w:val="FootnoteReference"/>
        </w:rPr>
        <w:footnoteRef/>
      </w:r>
      <w:r>
        <w:t xml:space="preserve"> </w:t>
      </w:r>
      <w:r w:rsidRPr="007B33EE">
        <w:t xml:space="preserve">Saura, S. et al. </w:t>
      </w:r>
      <w:r w:rsidRPr="008A47A6">
        <w:t>(2017)</w:t>
      </w:r>
      <w:r>
        <w:t>,</w:t>
      </w:r>
      <w:r w:rsidRPr="008A47A6">
        <w:t xml:space="preserve"> Protected areas in the world’s ecoregions: How well connected are they?</w:t>
      </w:r>
      <w:r>
        <w:t>.</w:t>
      </w:r>
      <w:r w:rsidRPr="008A47A6">
        <w:t xml:space="preserve"> </w:t>
      </w:r>
      <w:r w:rsidRPr="008A47A6">
        <w:rPr>
          <w:i/>
        </w:rPr>
        <w:t>Ecological indicators</w:t>
      </w:r>
      <w:r w:rsidRPr="008A47A6">
        <w:t>, 76, 144-158.</w:t>
      </w:r>
    </w:p>
  </w:footnote>
  <w:footnote w:id="59">
    <w:p w:rsidR="009F758F" w:rsidRPr="00627D60" w:rsidRDefault="009F758F" w:rsidP="008F6D53">
      <w:pPr>
        <w:pStyle w:val="FootnoteText"/>
        <w:ind w:firstLine="0"/>
        <w:jc w:val="left"/>
        <w:rPr>
          <w:lang w:val="en-US"/>
        </w:rPr>
      </w:pPr>
      <w:r>
        <w:rPr>
          <w:rStyle w:val="FootnoteReference"/>
        </w:rPr>
        <w:footnoteRef/>
      </w:r>
      <w:r>
        <w:t xml:space="preserve"> </w:t>
      </w:r>
      <w:r>
        <w:rPr>
          <w:lang w:val="de-CH"/>
        </w:rPr>
        <w:t xml:space="preserve">Saura, S. et al. (2018), </w:t>
      </w:r>
      <w:r w:rsidRPr="00ED0089">
        <w:rPr>
          <w:lang w:val="de-CH"/>
        </w:rPr>
        <w:t>Protected area connectivity: Shortfalls in global targets and country-level priorities</w:t>
      </w:r>
      <w:r>
        <w:rPr>
          <w:lang w:val="de-CH"/>
        </w:rPr>
        <w:t xml:space="preserve">, </w:t>
      </w:r>
      <w:r w:rsidRPr="00ED0089">
        <w:rPr>
          <w:i/>
          <w:lang w:val="de-CH"/>
        </w:rPr>
        <w:t xml:space="preserve">Biological </w:t>
      </w:r>
      <w:r>
        <w:rPr>
          <w:i/>
          <w:lang w:val="de-CH"/>
        </w:rPr>
        <w:t>C</w:t>
      </w:r>
      <w:r w:rsidRPr="00ED0089">
        <w:rPr>
          <w:i/>
          <w:lang w:val="de-CH"/>
        </w:rPr>
        <w:t>onservation</w:t>
      </w:r>
      <w:r w:rsidRPr="00ED0089">
        <w:rPr>
          <w:lang w:val="de-CH"/>
        </w:rPr>
        <w:t>, 219, 53</w:t>
      </w:r>
      <w:r>
        <w:rPr>
          <w:lang w:val="de-CH"/>
        </w:rPr>
        <w:t>-67.</w:t>
      </w:r>
    </w:p>
  </w:footnote>
  <w:footnote w:id="60">
    <w:p w:rsidR="009F758F" w:rsidRPr="00617707" w:rsidRDefault="009F758F" w:rsidP="008F6D53">
      <w:pPr>
        <w:pStyle w:val="FootnoteText"/>
        <w:ind w:firstLine="0"/>
        <w:jc w:val="left"/>
        <w:rPr>
          <w:lang w:val="fr-FR"/>
        </w:rPr>
      </w:pPr>
      <w:r>
        <w:rPr>
          <w:rStyle w:val="FootnoteReference"/>
        </w:rPr>
        <w:footnoteRef/>
      </w:r>
      <w:r w:rsidRPr="00617707">
        <w:rPr>
          <w:lang w:val="fr-FR"/>
        </w:rPr>
        <w:t xml:space="preserve"> Saura, S. et al. (2017).</w:t>
      </w:r>
    </w:p>
  </w:footnote>
  <w:footnote w:id="61">
    <w:p w:rsidR="009F758F" w:rsidRPr="00D30E24" w:rsidRDefault="009F758F" w:rsidP="008F6D53">
      <w:pPr>
        <w:pStyle w:val="FootnoteText"/>
        <w:ind w:firstLine="0"/>
        <w:jc w:val="left"/>
      </w:pPr>
      <w:r>
        <w:rPr>
          <w:rStyle w:val="FootnoteReference"/>
        </w:rPr>
        <w:footnoteRef/>
      </w:r>
      <w:r w:rsidRPr="00617707">
        <w:rPr>
          <w:lang w:val="fr-FR"/>
        </w:rPr>
        <w:t xml:space="preserve"> </w:t>
      </w:r>
      <w:r>
        <w:rPr>
          <w:lang w:val="de-CH"/>
        </w:rPr>
        <w:t>Saura, S. et al. (2018).</w:t>
      </w:r>
    </w:p>
  </w:footnote>
  <w:footnote w:id="62">
    <w:p w:rsidR="009F758F" w:rsidRPr="00C37BB8" w:rsidRDefault="009F758F" w:rsidP="008F6D53">
      <w:pPr>
        <w:pStyle w:val="FootnoteText"/>
        <w:ind w:firstLine="0"/>
        <w:jc w:val="left"/>
        <w:rPr>
          <w:lang w:val="en-CA"/>
        </w:rPr>
      </w:pPr>
      <w:r>
        <w:rPr>
          <w:rStyle w:val="FootnoteReference"/>
        </w:rPr>
        <w:footnoteRef/>
      </w:r>
      <w:r>
        <w:t xml:space="preserve"> </w:t>
      </w:r>
      <w:r w:rsidRPr="00C37BB8">
        <w:t xml:space="preserve">EC-JRC (2018). </w:t>
      </w:r>
      <w:r>
        <w:t>T</w:t>
      </w:r>
      <w:r w:rsidRPr="0089446D">
        <w:t>he Digital Observatory for Protected Areas (DOPA)</w:t>
      </w:r>
      <w:r>
        <w:t xml:space="preserve">, </w:t>
      </w:r>
      <w:hyperlink r:id="rId16" w:history="1">
        <w:r w:rsidRPr="00E214D1">
          <w:rPr>
            <w:rStyle w:val="Hyperlink"/>
          </w:rPr>
          <w:t>http://dopa.jrc.ec.europa.eu/</w:t>
        </w:r>
      </w:hyperlink>
      <w:r>
        <w:t xml:space="preserve"> (see section on maps and datasets and DOPA Explorer at </w:t>
      </w:r>
      <w:hyperlink r:id="rId17" w:history="1">
        <w:r w:rsidRPr="001F656B">
          <w:rPr>
            <w:rStyle w:val="Hyperlink"/>
          </w:rPr>
          <w:t>http://dopa.jrc.ec.europa.eu/explorer</w:t>
        </w:r>
      </w:hyperlink>
      <w:r>
        <w:t>)</w:t>
      </w:r>
    </w:p>
  </w:footnote>
  <w:footnote w:id="63">
    <w:p w:rsidR="009F758F" w:rsidRPr="00292179" w:rsidRDefault="009F758F" w:rsidP="008F6D53">
      <w:pPr>
        <w:pStyle w:val="FootnoteText"/>
        <w:ind w:firstLine="0"/>
        <w:jc w:val="left"/>
        <w:rPr>
          <w:lang w:val="es-ES"/>
        </w:rPr>
      </w:pPr>
      <w:r w:rsidRPr="00984C64">
        <w:rPr>
          <w:rStyle w:val="FootnoteReference"/>
        </w:rPr>
        <w:footnoteRef/>
      </w:r>
      <w:r w:rsidRPr="00292179">
        <w:rPr>
          <w:lang w:val="es-ES"/>
        </w:rPr>
        <w:t xml:space="preserve"> </w:t>
      </w:r>
      <w:r>
        <w:rPr>
          <w:lang w:val="de-CH"/>
        </w:rPr>
        <w:t>Saura, S. et al. (2018).</w:t>
      </w:r>
    </w:p>
  </w:footnote>
  <w:footnote w:id="64">
    <w:p w:rsidR="009F758F" w:rsidRPr="008A47A6" w:rsidRDefault="009F758F" w:rsidP="008F6D53">
      <w:pPr>
        <w:pStyle w:val="FootnoteText"/>
        <w:ind w:firstLine="0"/>
        <w:jc w:val="left"/>
        <w:rPr>
          <w:lang w:val="en-CA"/>
        </w:rPr>
      </w:pPr>
      <w:r>
        <w:rPr>
          <w:rStyle w:val="FootnoteReference"/>
        </w:rPr>
        <w:footnoteRef/>
      </w:r>
      <w:r>
        <w:t xml:space="preserve"> </w:t>
      </w:r>
      <w:r w:rsidRPr="008A47A6">
        <w:t>Wangchuk, S</w:t>
      </w:r>
      <w:r>
        <w:t>. (</w:t>
      </w:r>
      <w:r w:rsidRPr="008A47A6">
        <w:t>2007</w:t>
      </w:r>
      <w:r>
        <w:t>),</w:t>
      </w:r>
      <w:r w:rsidRPr="008A47A6">
        <w:t xml:space="preserve"> Maintaining ecological resilience by linking protected areas through biological corridors in Bhutan</w:t>
      </w:r>
      <w:r>
        <w:t>,</w:t>
      </w:r>
      <w:r w:rsidRPr="008A47A6">
        <w:t xml:space="preserve"> </w:t>
      </w:r>
      <w:r w:rsidRPr="008A47A6">
        <w:rPr>
          <w:i/>
        </w:rPr>
        <w:t>Tropical Ecology</w:t>
      </w:r>
      <w:r>
        <w:t>,</w:t>
      </w:r>
      <w:r w:rsidRPr="008A47A6">
        <w:t xml:space="preserve"> 48, 176-187.</w:t>
      </w:r>
    </w:p>
  </w:footnote>
  <w:footnote w:id="65">
    <w:p w:rsidR="009F758F" w:rsidRPr="003D5BDC" w:rsidRDefault="009F758F" w:rsidP="008F6D53">
      <w:pPr>
        <w:pStyle w:val="FootnoteText"/>
        <w:ind w:firstLine="0"/>
        <w:jc w:val="left"/>
        <w:rPr>
          <w:lang w:val="fr-FR"/>
        </w:rPr>
      </w:pPr>
      <w:r>
        <w:rPr>
          <w:rStyle w:val="FootnoteReference"/>
        </w:rPr>
        <w:footnoteRef/>
      </w:r>
      <w:r w:rsidRPr="003D5BDC">
        <w:rPr>
          <w:lang w:val="fr-FR"/>
        </w:rPr>
        <w:t xml:space="preserve"> Saura, S. et al. (2017).</w:t>
      </w:r>
    </w:p>
  </w:footnote>
  <w:footnote w:id="66">
    <w:p w:rsidR="009F758F" w:rsidRPr="009859A9" w:rsidRDefault="009F758F" w:rsidP="008F6D53">
      <w:pPr>
        <w:pStyle w:val="FootnoteText"/>
        <w:ind w:firstLine="0"/>
        <w:jc w:val="left"/>
      </w:pPr>
      <w:r>
        <w:rPr>
          <w:rStyle w:val="FootnoteReference"/>
        </w:rPr>
        <w:footnoteRef/>
      </w:r>
      <w:r w:rsidRPr="00C83A1A">
        <w:rPr>
          <w:lang w:val="fr-FR"/>
        </w:rPr>
        <w:t xml:space="preserve"> Saura, S. et al. </w:t>
      </w:r>
      <w:r w:rsidRPr="009859A9">
        <w:t>(2018).</w:t>
      </w:r>
    </w:p>
  </w:footnote>
  <w:footnote w:id="67">
    <w:p w:rsidR="009F758F" w:rsidRPr="00FE49B3" w:rsidRDefault="009F758F" w:rsidP="008F6D53">
      <w:pPr>
        <w:pStyle w:val="FootnoteText"/>
        <w:ind w:firstLine="0"/>
        <w:jc w:val="left"/>
      </w:pPr>
      <w:r>
        <w:rPr>
          <w:rStyle w:val="FootnoteReference"/>
        </w:rPr>
        <w:footnoteRef/>
      </w:r>
      <w:r w:rsidRPr="009859A9">
        <w:t xml:space="preserve"> Ervin, J. et al. </w:t>
      </w:r>
      <w:r>
        <w:t xml:space="preserve">(2010), </w:t>
      </w:r>
      <w:r w:rsidRPr="00FE49B3">
        <w:rPr>
          <w:i/>
        </w:rPr>
        <w:t>Making Protected Areas Relevant: A guide to</w:t>
      </w:r>
      <w:r>
        <w:rPr>
          <w:i/>
        </w:rPr>
        <w:t xml:space="preserve"> </w:t>
      </w:r>
      <w:r w:rsidRPr="00FE49B3">
        <w:rPr>
          <w:i/>
        </w:rPr>
        <w:t>integra</w:t>
      </w:r>
      <w:r>
        <w:rPr>
          <w:rFonts w:cs="Times New Roman"/>
          <w:i/>
        </w:rPr>
        <w:t>ti</w:t>
      </w:r>
      <w:r w:rsidRPr="00FE49B3">
        <w:rPr>
          <w:i/>
        </w:rPr>
        <w:t>ng protected areas into wider landscapes,</w:t>
      </w:r>
      <w:r>
        <w:rPr>
          <w:i/>
        </w:rPr>
        <w:t xml:space="preserve"> </w:t>
      </w:r>
      <w:r w:rsidRPr="00FE49B3">
        <w:rPr>
          <w:i/>
        </w:rPr>
        <w:t>seascapes an</w:t>
      </w:r>
      <w:r>
        <w:rPr>
          <w:i/>
        </w:rPr>
        <w:t>d sectoral plans and strategies,</w:t>
      </w:r>
      <w:r w:rsidRPr="00FE49B3">
        <w:rPr>
          <w:i/>
        </w:rPr>
        <w:t xml:space="preserve"> </w:t>
      </w:r>
      <w:r>
        <w:t>CBD Technical Series No. 44, Montreal, Canada: Secretariat of the Conven</w:t>
      </w:r>
      <w:r>
        <w:rPr>
          <w:rFonts w:cs="Times New Roman"/>
        </w:rPr>
        <w:t>ti</w:t>
      </w:r>
      <w:r>
        <w:t>on on Biological Diversity.</w:t>
      </w:r>
    </w:p>
  </w:footnote>
  <w:footnote w:id="68">
    <w:p w:rsidR="009F758F" w:rsidRPr="00C441BF" w:rsidRDefault="009F758F" w:rsidP="008F6D53">
      <w:pPr>
        <w:pStyle w:val="FootnoteText"/>
        <w:ind w:firstLine="0"/>
        <w:jc w:val="left"/>
      </w:pPr>
      <w:r>
        <w:rPr>
          <w:rStyle w:val="FootnoteReference"/>
        </w:rPr>
        <w:footnoteRef/>
      </w:r>
      <w:r>
        <w:t xml:space="preserve">Leadley, P.W. et al. (2014), </w:t>
      </w:r>
      <w:r w:rsidRPr="00C441BF">
        <w:rPr>
          <w:i/>
        </w:rPr>
        <w:t>Progress towards the Aichi Biodiversity Targets: An Assessment of Biodiversity Trends, Policy Scenarios and Key Actions</w:t>
      </w:r>
      <w:r>
        <w:t xml:space="preserve">, CBD Technical Series 78, Montreal, Canada: Secretariat of the Convention on Biological Diversity. </w:t>
      </w:r>
    </w:p>
  </w:footnote>
  <w:footnote w:id="69">
    <w:p w:rsidR="009F758F" w:rsidRPr="00E4410B" w:rsidRDefault="009F758F" w:rsidP="008F6D53">
      <w:pPr>
        <w:pStyle w:val="FootnoteText"/>
        <w:ind w:firstLine="0"/>
        <w:jc w:val="left"/>
      </w:pPr>
      <w:r>
        <w:rPr>
          <w:rStyle w:val="FootnoteReference"/>
        </w:rPr>
        <w:footnoteRef/>
      </w:r>
      <w:r>
        <w:t xml:space="preserve"> </w:t>
      </w:r>
      <w:r w:rsidRPr="00ED0089">
        <w:t xml:space="preserve">Integrated nature conservation and sustainable resource management in the Hin Nam No region </w:t>
      </w:r>
      <w:r>
        <w:t xml:space="preserve">(GIZ Project), Available at: </w:t>
      </w:r>
      <w:hyperlink r:id="rId18" w:history="1">
        <w:r w:rsidRPr="00EE0458">
          <w:rPr>
            <w:rStyle w:val="Hyperlink"/>
          </w:rPr>
          <w:t>https://www.giz.de/en/worldwide/17453.html</w:t>
        </w:r>
      </w:hyperlink>
      <w:r w:rsidRPr="00EE0458">
        <w:rPr>
          <w:rStyle w:val="Hyperlink"/>
        </w:rPr>
        <w:t>.</w:t>
      </w:r>
      <w:r>
        <w:t xml:space="preserve"> </w:t>
      </w:r>
    </w:p>
  </w:footnote>
  <w:footnote w:id="70">
    <w:p w:rsidR="009F758F" w:rsidRPr="00527B39" w:rsidRDefault="009F758F" w:rsidP="008F6D53">
      <w:pPr>
        <w:pStyle w:val="FootnoteText"/>
        <w:ind w:firstLine="0"/>
        <w:jc w:val="left"/>
        <w:rPr>
          <w:lang w:val="en-CA"/>
        </w:rPr>
      </w:pPr>
      <w:r>
        <w:rPr>
          <w:rStyle w:val="FootnoteReference"/>
        </w:rPr>
        <w:footnoteRef/>
      </w:r>
      <w:r>
        <w:t xml:space="preserve"> UNDP (2016), </w:t>
      </w:r>
      <w:r w:rsidRPr="00452A08">
        <w:rPr>
          <w:i/>
        </w:rPr>
        <w:t>National Biodiversity Strategies and Action Plans: Natural Catalysts for Accelerating Action on Sustainable Development Goals</w:t>
      </w:r>
      <w:r>
        <w:t xml:space="preserve">. Interim Report. United Nations Development Programme. December 2016. New York, United States of America: UNDP, Available at: </w:t>
      </w:r>
      <w:hyperlink r:id="rId19" w:history="1">
        <w:r w:rsidRPr="00E877FD">
          <w:rPr>
            <w:rStyle w:val="Hyperlink"/>
          </w:rPr>
          <w:t>https://www.cbd.int/doc/nbsap/NBSAPs-catalysts-SDGs.pdf</w:t>
        </w:r>
      </w:hyperlink>
      <w:r>
        <w:t xml:space="preserve">. </w:t>
      </w:r>
    </w:p>
  </w:footnote>
  <w:footnote w:id="71">
    <w:p w:rsidR="009F758F" w:rsidRPr="00EC56C2" w:rsidRDefault="009F758F" w:rsidP="008F6D53">
      <w:pPr>
        <w:pStyle w:val="FootnoteText"/>
        <w:suppressLineNumbers/>
        <w:suppressAutoHyphens/>
        <w:kinsoku w:val="0"/>
        <w:overflowPunct w:val="0"/>
        <w:autoSpaceDE w:val="0"/>
        <w:autoSpaceDN w:val="0"/>
        <w:adjustRightInd w:val="0"/>
        <w:snapToGrid w:val="0"/>
        <w:ind w:firstLine="0"/>
        <w:jc w:val="left"/>
        <w:rPr>
          <w:rFonts w:cs="Times New Roman"/>
          <w:snapToGrid w:val="0"/>
          <w:kern w:val="18"/>
        </w:rPr>
      </w:pPr>
      <w:r w:rsidRPr="00EC56C2">
        <w:rPr>
          <w:rStyle w:val="FootnoteReference"/>
          <w:rFonts w:cs="Times New Roman"/>
        </w:rPr>
        <w:footnoteRef/>
      </w:r>
      <w:r w:rsidRPr="00EC56C2">
        <w:rPr>
          <w:rFonts w:cs="Times New Roman"/>
        </w:rPr>
        <w:t xml:space="preserve"> </w:t>
      </w:r>
      <w:r w:rsidRPr="00EC56C2">
        <w:rPr>
          <w:rFonts w:cs="Times New Roman"/>
          <w:snapToGrid w:val="0"/>
          <w:kern w:val="18"/>
        </w:rPr>
        <w:t>Taking into account submissions received in response to notification (</w:t>
      </w:r>
      <w:hyperlink r:id="rId20" w:history="1">
        <w:r w:rsidRPr="00437D3B">
          <w:rPr>
            <w:rStyle w:val="Hyperlink"/>
            <w:rFonts w:cs="Times New Roman"/>
            <w:snapToGrid w:val="0"/>
            <w:kern w:val="18"/>
          </w:rPr>
          <w:t>2017-065</w:t>
        </w:r>
      </w:hyperlink>
      <w:r w:rsidRPr="00EC56C2">
        <w:rPr>
          <w:rFonts w:cs="Times New Roman"/>
          <w:snapToGrid w:val="0"/>
          <w:kern w:val="18"/>
        </w:rPr>
        <w:t xml:space="preserve">), </w:t>
      </w:r>
      <w:r w:rsidRPr="00EC56C2">
        <w:rPr>
          <w:rFonts w:cs="Times New Roman"/>
          <w:snapToGrid w:val="0"/>
          <w:kern w:val="18"/>
          <w:lang w:eastAsia="ja-JP" w:bidi="th-TH"/>
        </w:rPr>
        <w:t xml:space="preserve">decision </w:t>
      </w:r>
      <w:hyperlink r:id="rId21" w:history="1">
        <w:r w:rsidRPr="00437D3B">
          <w:rPr>
            <w:rStyle w:val="Hyperlink"/>
            <w:rFonts w:cs="Times New Roman"/>
            <w:snapToGrid w:val="0"/>
            <w:kern w:val="18"/>
            <w:lang w:eastAsia="ja-JP" w:bidi="th-TH"/>
          </w:rPr>
          <w:t>X/31</w:t>
        </w:r>
      </w:hyperlink>
      <w:r w:rsidRPr="00EC56C2">
        <w:rPr>
          <w:rFonts w:cs="Times New Roman"/>
          <w:snapToGrid w:val="0"/>
          <w:kern w:val="18"/>
          <w:lang w:eastAsia="ja-JP" w:bidi="th-TH"/>
        </w:rPr>
        <w:t xml:space="preserve">, </w:t>
      </w:r>
      <w:r w:rsidRPr="00EC56C2">
        <w:rPr>
          <w:rFonts w:cs="Times New Roman"/>
          <w:snapToGrid w:val="0"/>
          <w:kern w:val="18"/>
        </w:rPr>
        <w:t>other available information, and noting lessons learned from the relevant biodiversity-related conventions and agreements.</w:t>
      </w:r>
    </w:p>
  </w:footnote>
  <w:footnote w:id="72">
    <w:p w:rsidR="009F758F" w:rsidRPr="00EC56C2" w:rsidRDefault="009F758F" w:rsidP="008F6D53">
      <w:pPr>
        <w:pStyle w:val="FootnoteText"/>
        <w:ind w:firstLine="0"/>
        <w:jc w:val="left"/>
        <w:rPr>
          <w:rFonts w:cs="Times New Roman"/>
          <w:lang w:val="en-US"/>
        </w:rPr>
      </w:pPr>
      <w:r w:rsidRPr="00EC56C2">
        <w:rPr>
          <w:rStyle w:val="FootnoteReference"/>
          <w:rFonts w:cs="Times New Roman"/>
        </w:rPr>
        <w:footnoteRef/>
      </w:r>
      <w:r w:rsidRPr="00EC56C2">
        <w:rPr>
          <w:rFonts w:cs="Times New Roman"/>
        </w:rPr>
        <w:t xml:space="preserve"> </w:t>
      </w:r>
      <w:r w:rsidRPr="00EC56C2">
        <w:rPr>
          <w:rFonts w:eastAsia="Calibri" w:cs="Times New Roman"/>
          <w:snapToGrid w:val="0"/>
          <w:kern w:val="22"/>
        </w:rPr>
        <w:t>(</w:t>
      </w:r>
      <w:hyperlink r:id="rId22" w:history="1">
        <w:r w:rsidRPr="00EC56C2">
          <w:rPr>
            <w:rStyle w:val="Hyperlink"/>
            <w:rFonts w:cs="Times New Roman"/>
          </w:rPr>
          <w:t>CBD/SBSTTA/22/6</w:t>
        </w:r>
      </w:hyperlink>
      <w:r w:rsidRPr="00EC56C2">
        <w:rPr>
          <w:rStyle w:val="Strong"/>
          <w:rFonts w:cs="Times New Roman"/>
        </w:rPr>
        <w:t>)</w:t>
      </w:r>
    </w:p>
  </w:footnote>
  <w:footnote w:id="73">
    <w:p w:rsidR="009F758F" w:rsidRPr="00EC56C2" w:rsidRDefault="009F758F" w:rsidP="008F6D53">
      <w:pPr>
        <w:pStyle w:val="FootnoteText"/>
        <w:ind w:firstLine="0"/>
        <w:jc w:val="left"/>
        <w:rPr>
          <w:rFonts w:cs="Times New Roman"/>
          <w:lang w:val="en-US"/>
        </w:rPr>
      </w:pPr>
      <w:r w:rsidRPr="00EC56C2">
        <w:rPr>
          <w:rStyle w:val="FootnoteReference"/>
          <w:rFonts w:cs="Times New Roman"/>
        </w:rPr>
        <w:footnoteRef/>
      </w:r>
      <w:r w:rsidRPr="00EC56C2">
        <w:rPr>
          <w:rFonts w:cs="Times New Roman"/>
        </w:rPr>
        <w:t xml:space="preserve"> CBD/SBSTTA/22/INF/6; CBD/SBSTTA/22/INF/7</w:t>
      </w:r>
    </w:p>
  </w:footnote>
  <w:footnote w:id="74">
    <w:p w:rsidR="009F758F" w:rsidRPr="00C400E3" w:rsidRDefault="009F758F" w:rsidP="008F6D53">
      <w:pPr>
        <w:pStyle w:val="FootnoteText"/>
        <w:ind w:firstLine="0"/>
        <w:jc w:val="left"/>
      </w:pPr>
      <w:r>
        <w:rPr>
          <w:rStyle w:val="FootnoteReference"/>
        </w:rPr>
        <w:footnoteRef/>
      </w:r>
      <w:r w:rsidRPr="00C400E3">
        <w:rPr>
          <w:lang w:val="fr-FR"/>
        </w:rPr>
        <w:t xml:space="preserve"> Watson, J.E. et al. </w:t>
      </w:r>
      <w:r>
        <w:t xml:space="preserve">(2014), The performance and potential of protected areas, </w:t>
      </w:r>
      <w:r w:rsidRPr="00C400E3">
        <w:rPr>
          <w:i/>
        </w:rPr>
        <w:t>Nature</w:t>
      </w:r>
      <w:r>
        <w:rPr>
          <w:i/>
        </w:rPr>
        <w:t>,</w:t>
      </w:r>
      <w:r>
        <w:t xml:space="preserve"> 515:67-73.</w:t>
      </w:r>
    </w:p>
  </w:footnote>
  <w:footnote w:id="75">
    <w:p w:rsidR="009F758F" w:rsidRPr="00C501B6" w:rsidRDefault="009F758F" w:rsidP="008F6D53">
      <w:pPr>
        <w:pStyle w:val="FootnoteText"/>
        <w:ind w:firstLine="0"/>
        <w:jc w:val="left"/>
      </w:pPr>
      <w:r>
        <w:rPr>
          <w:rStyle w:val="FootnoteReference"/>
        </w:rPr>
        <w:footnoteRef/>
      </w:r>
      <w:r>
        <w:t xml:space="preserve"> </w:t>
      </w:r>
      <w:r>
        <w:rPr>
          <w:szCs w:val="18"/>
        </w:rPr>
        <w:t>Coad, L. et al. (2015).</w:t>
      </w:r>
    </w:p>
  </w:footnote>
  <w:footnote w:id="76">
    <w:p w:rsidR="009F758F" w:rsidRPr="002C1000" w:rsidRDefault="009F758F" w:rsidP="008F6D53">
      <w:pPr>
        <w:pStyle w:val="FootnoteText"/>
        <w:ind w:firstLine="0"/>
        <w:jc w:val="left"/>
        <w:rPr>
          <w:lang w:val="en-US"/>
        </w:rPr>
      </w:pPr>
      <w:r>
        <w:rPr>
          <w:rStyle w:val="FootnoteReference"/>
        </w:rPr>
        <w:footnoteRef/>
      </w:r>
      <w:r>
        <w:t xml:space="preserve"> </w:t>
      </w:r>
      <w:r w:rsidRPr="00714F42">
        <w:t>UNEP-WCMC (2018</w:t>
      </w:r>
      <w:r>
        <w:t>d), Global statistics from the Global Database on Protected Areas Management Effectiveness (GD-PAME), May 2018,</w:t>
      </w:r>
      <w:r w:rsidRPr="00714F42">
        <w:t xml:space="preserve"> Cambridge, UK: UNEP- WCMC.</w:t>
      </w:r>
    </w:p>
  </w:footnote>
  <w:footnote w:id="77">
    <w:p w:rsidR="009F758F" w:rsidRPr="00180050" w:rsidRDefault="009F758F" w:rsidP="008F6D53">
      <w:pPr>
        <w:pStyle w:val="FootnoteText"/>
        <w:ind w:firstLine="0"/>
        <w:jc w:val="left"/>
        <w:rPr>
          <w:lang w:val="en-US"/>
        </w:rPr>
      </w:pPr>
      <w:r>
        <w:rPr>
          <w:rStyle w:val="FootnoteReference"/>
        </w:rPr>
        <w:footnoteRef/>
      </w:r>
      <w:r>
        <w:t xml:space="preserve"> </w:t>
      </w:r>
      <w:r w:rsidRPr="00180050">
        <w:t xml:space="preserve">Protected area management enhancement in the Philippines </w:t>
      </w:r>
      <w:r>
        <w:t xml:space="preserve">(GIZ Project), Available at: </w:t>
      </w:r>
      <w:hyperlink r:id="rId23" w:history="1">
        <w:r w:rsidRPr="007405F3">
          <w:rPr>
            <w:rStyle w:val="Hyperlink"/>
          </w:rPr>
          <w:t>https://www.giz.de/en/worldwide/18221.html</w:t>
        </w:r>
      </w:hyperlink>
      <w:r>
        <w:t xml:space="preserve">. </w:t>
      </w:r>
    </w:p>
  </w:footnote>
  <w:footnote w:id="78">
    <w:p w:rsidR="009F758F" w:rsidRPr="002C1000" w:rsidRDefault="009F758F" w:rsidP="008F6D53">
      <w:pPr>
        <w:pStyle w:val="FootnoteText"/>
        <w:ind w:firstLine="0"/>
        <w:jc w:val="left"/>
        <w:rPr>
          <w:lang w:val="en-US"/>
        </w:rPr>
      </w:pPr>
      <w:r>
        <w:rPr>
          <w:rStyle w:val="FootnoteReference"/>
        </w:rPr>
        <w:footnoteRef/>
      </w:r>
      <w:r>
        <w:t xml:space="preserve"> Woodley, S. et al. (2012), Mee</w:t>
      </w:r>
      <w:r>
        <w:rPr>
          <w:rFonts w:cs="Times New Roman"/>
        </w:rPr>
        <w:t>ti</w:t>
      </w:r>
      <w:r>
        <w:t xml:space="preserve">ng Aichi Target 11: what does success look like for protected area systems, </w:t>
      </w:r>
      <w:r w:rsidRPr="002C1000">
        <w:rPr>
          <w:i/>
        </w:rPr>
        <w:t>Parks</w:t>
      </w:r>
      <w:r>
        <w:t>, 18(1).</w:t>
      </w:r>
    </w:p>
  </w:footnote>
  <w:footnote w:id="79">
    <w:p w:rsidR="009F758F" w:rsidRPr="004B437A" w:rsidRDefault="009F758F" w:rsidP="008F6D53">
      <w:pPr>
        <w:pStyle w:val="FootnoteText"/>
        <w:ind w:firstLine="0"/>
        <w:jc w:val="left"/>
      </w:pPr>
      <w:r>
        <w:rPr>
          <w:rStyle w:val="FootnoteReference"/>
        </w:rPr>
        <w:footnoteRef/>
      </w:r>
      <w:r>
        <w:t xml:space="preserve"> </w:t>
      </w:r>
      <w:r>
        <w:rPr>
          <w:szCs w:val="18"/>
        </w:rPr>
        <w:t xml:space="preserve">Geldmann, J. et al. (2015), Changes in protected area management effectiveness over time: A global analysis, </w:t>
      </w:r>
      <w:r>
        <w:rPr>
          <w:i/>
          <w:iCs/>
          <w:szCs w:val="18"/>
        </w:rPr>
        <w:t xml:space="preserve">Biological Conservation </w:t>
      </w:r>
      <w:r>
        <w:rPr>
          <w:szCs w:val="18"/>
        </w:rPr>
        <w:t xml:space="preserve">191:692–699. </w:t>
      </w:r>
      <w:r>
        <w:t xml:space="preserve"> </w:t>
      </w:r>
    </w:p>
  </w:footnote>
  <w:footnote w:id="80">
    <w:p w:rsidR="009F758F" w:rsidRPr="00521291" w:rsidRDefault="009F758F" w:rsidP="008F6D53">
      <w:pPr>
        <w:pStyle w:val="FootnoteText"/>
        <w:ind w:firstLine="0"/>
        <w:jc w:val="left"/>
        <w:rPr>
          <w:lang w:val="en-US"/>
        </w:rPr>
      </w:pPr>
      <w:r>
        <w:rPr>
          <w:rStyle w:val="FootnoteReference"/>
        </w:rPr>
        <w:footnoteRef/>
      </w:r>
      <w:r>
        <w:t xml:space="preserve"> </w:t>
      </w:r>
      <w:r w:rsidRPr="00521291">
        <w:t>Geldmann, J.</w:t>
      </w:r>
      <w:r>
        <w:t xml:space="preserve"> et al. (2</w:t>
      </w:r>
      <w:r w:rsidRPr="00521291">
        <w:t>018)</w:t>
      </w:r>
      <w:r>
        <w:t>,</w:t>
      </w:r>
      <w:r w:rsidRPr="00521291">
        <w:t xml:space="preserve"> A global analysis of management capacity and ecological outcomes in terrestrial protected areas</w:t>
      </w:r>
      <w:r>
        <w:t>,</w:t>
      </w:r>
      <w:r w:rsidRPr="00521291">
        <w:t xml:space="preserve"> </w:t>
      </w:r>
      <w:r w:rsidRPr="00521291">
        <w:rPr>
          <w:i/>
        </w:rPr>
        <w:t>Conservation Letters</w:t>
      </w:r>
      <w:r w:rsidRPr="00521291">
        <w:t>, e12434.</w:t>
      </w:r>
    </w:p>
  </w:footnote>
  <w:footnote w:id="81">
    <w:p w:rsidR="009F758F" w:rsidRPr="00521291" w:rsidRDefault="009F758F" w:rsidP="008F6D53">
      <w:pPr>
        <w:pStyle w:val="FootnoteText"/>
        <w:ind w:firstLine="0"/>
        <w:jc w:val="left"/>
        <w:rPr>
          <w:lang w:val="en-US"/>
        </w:rPr>
      </w:pPr>
      <w:r>
        <w:rPr>
          <w:rStyle w:val="FootnoteReference"/>
        </w:rPr>
        <w:footnoteRef/>
      </w:r>
      <w:r w:rsidRPr="003661C6">
        <w:rPr>
          <w:lang w:val="fr-FR"/>
        </w:rPr>
        <w:t xml:space="preserve"> Gill, D.A. et al. </w:t>
      </w:r>
      <w:r w:rsidRPr="00521291">
        <w:t>(2017)</w:t>
      </w:r>
      <w:r>
        <w:t>,</w:t>
      </w:r>
      <w:r w:rsidRPr="00521291">
        <w:t xml:space="preserve"> Capacity shortfalls hinder the performance of marine protected areas globally</w:t>
      </w:r>
      <w:r>
        <w:t>,</w:t>
      </w:r>
      <w:r w:rsidRPr="00521291">
        <w:t xml:space="preserve"> </w:t>
      </w:r>
      <w:r w:rsidRPr="00521291">
        <w:rPr>
          <w:i/>
        </w:rPr>
        <w:t>Nature</w:t>
      </w:r>
      <w:r w:rsidRPr="00521291">
        <w:t>, 543(7647)</w:t>
      </w:r>
      <w:r>
        <w:t>.</w:t>
      </w:r>
    </w:p>
  </w:footnote>
  <w:footnote w:id="82">
    <w:p w:rsidR="009F758F" w:rsidRPr="003661C6" w:rsidRDefault="009F758F" w:rsidP="008F6D53">
      <w:pPr>
        <w:pStyle w:val="FootnoteText"/>
        <w:ind w:firstLine="0"/>
        <w:jc w:val="left"/>
        <w:rPr>
          <w:lang w:val="fr-FR"/>
        </w:rPr>
      </w:pPr>
      <w:r>
        <w:rPr>
          <w:rStyle w:val="FootnoteReference"/>
        </w:rPr>
        <w:footnoteRef/>
      </w:r>
      <w:r w:rsidRPr="003661C6">
        <w:rPr>
          <w:lang w:val="fr-FR"/>
        </w:rPr>
        <w:t xml:space="preserve"> Gill et al. (2017)</w:t>
      </w:r>
    </w:p>
  </w:footnote>
  <w:footnote w:id="83">
    <w:p w:rsidR="009F758F" w:rsidRPr="003661C6" w:rsidRDefault="009F758F" w:rsidP="008F6D53">
      <w:pPr>
        <w:pStyle w:val="FootnoteText"/>
        <w:tabs>
          <w:tab w:val="left" w:pos="2903"/>
        </w:tabs>
        <w:ind w:firstLine="0"/>
        <w:jc w:val="left"/>
        <w:rPr>
          <w:lang w:val="fr-FR"/>
        </w:rPr>
      </w:pPr>
      <w:r>
        <w:rPr>
          <w:rStyle w:val="FootnoteReference"/>
        </w:rPr>
        <w:footnoteRef/>
      </w:r>
      <w:r w:rsidRPr="003661C6">
        <w:rPr>
          <w:lang w:val="fr-FR"/>
        </w:rPr>
        <w:t xml:space="preserve"> Geldmann, J. et al. (2018).</w:t>
      </w:r>
      <w:r w:rsidRPr="003661C6">
        <w:rPr>
          <w:lang w:val="fr-FR"/>
        </w:rPr>
        <w:tab/>
      </w:r>
    </w:p>
  </w:footnote>
  <w:footnote w:id="84">
    <w:p w:rsidR="009F758F" w:rsidRPr="00466656" w:rsidRDefault="009F758F" w:rsidP="008F6D53">
      <w:pPr>
        <w:pStyle w:val="FootnoteText"/>
        <w:ind w:firstLine="0"/>
        <w:jc w:val="left"/>
      </w:pPr>
      <w:r>
        <w:rPr>
          <w:rStyle w:val="FootnoteReference"/>
        </w:rPr>
        <w:footnoteRef/>
      </w:r>
      <w:r w:rsidRPr="003661C6">
        <w:rPr>
          <w:lang w:val="fr-FR"/>
        </w:rPr>
        <w:t xml:space="preserve"> Pressey, R.L. et al. </w:t>
      </w:r>
      <w:r w:rsidRPr="00466656">
        <w:t>(2015), Making parks make a difference: poor alignment of policy, planning and management with protected-area impact, and ways forward</w:t>
      </w:r>
      <w:r>
        <w:t>,</w:t>
      </w:r>
      <w:r w:rsidRPr="00466656">
        <w:t xml:space="preserve"> </w:t>
      </w:r>
      <w:r w:rsidRPr="00466656">
        <w:rPr>
          <w:i/>
        </w:rPr>
        <w:t>Philosophical Transactions of the Royal Society B</w:t>
      </w:r>
      <w:r w:rsidRPr="00466656">
        <w:t>, 370(1681), 20140280.</w:t>
      </w:r>
    </w:p>
  </w:footnote>
  <w:footnote w:id="85">
    <w:p w:rsidR="009F758F" w:rsidRPr="00FA00FD" w:rsidRDefault="009F758F" w:rsidP="008F6D53">
      <w:pPr>
        <w:pStyle w:val="FootnoteText"/>
        <w:ind w:firstLine="0"/>
        <w:jc w:val="left"/>
      </w:pPr>
      <w:r>
        <w:rPr>
          <w:rStyle w:val="FootnoteReference"/>
        </w:rPr>
        <w:footnoteRef/>
      </w:r>
      <w:r w:rsidRPr="00875044">
        <w:rPr>
          <w:lang w:val="fr-FR"/>
        </w:rPr>
        <w:t xml:space="preserve"> Borrini-Feyerabend, G. et al. </w:t>
      </w:r>
      <w:r w:rsidRPr="00147AF5">
        <w:t>(</w:t>
      </w:r>
      <w:r>
        <w:t xml:space="preserve">2013), </w:t>
      </w:r>
      <w:r w:rsidRPr="00147AF5">
        <w:rPr>
          <w:i/>
        </w:rPr>
        <w:t>Governance of Protected Areas: From understanding to action</w:t>
      </w:r>
      <w:r>
        <w:t xml:space="preserve">, Best Practice Protected Area Guidelines Series No. 20, Gland, Switzerland: </w:t>
      </w:r>
      <w:r w:rsidRPr="00147AF5">
        <w:t>IUCN.</w:t>
      </w:r>
    </w:p>
  </w:footnote>
  <w:footnote w:id="86">
    <w:p w:rsidR="009F758F" w:rsidRPr="00147AF5" w:rsidRDefault="009F758F" w:rsidP="008F6D53">
      <w:pPr>
        <w:pStyle w:val="FootnoteText"/>
        <w:ind w:firstLine="0"/>
        <w:jc w:val="left"/>
      </w:pPr>
      <w:r>
        <w:rPr>
          <w:rStyle w:val="FootnoteReference"/>
        </w:rPr>
        <w:footnoteRef/>
      </w:r>
      <w:r w:rsidRPr="00147AF5">
        <w:rPr>
          <w:lang w:val="fr-FR"/>
        </w:rPr>
        <w:t xml:space="preserve"> Borrini-Feyerabend, G. et al.</w:t>
      </w:r>
      <w:r>
        <w:rPr>
          <w:lang w:val="fr-FR"/>
        </w:rPr>
        <w:t xml:space="preserve"> </w:t>
      </w:r>
      <w:r w:rsidRPr="00147AF5">
        <w:t>(</w:t>
      </w:r>
      <w:r>
        <w:t>2013).</w:t>
      </w:r>
    </w:p>
  </w:footnote>
  <w:footnote w:id="87">
    <w:p w:rsidR="009F758F" w:rsidRPr="00DF4453" w:rsidRDefault="009F758F" w:rsidP="008F6D53">
      <w:pPr>
        <w:pStyle w:val="FootnoteText"/>
        <w:ind w:firstLine="0"/>
        <w:jc w:val="left"/>
        <w:rPr>
          <w:highlight w:val="yellow"/>
          <w:lang w:val="en-US"/>
        </w:rPr>
      </w:pPr>
      <w:r w:rsidRPr="00DF4453">
        <w:rPr>
          <w:rStyle w:val="FootnoteReference"/>
        </w:rPr>
        <w:footnoteRef/>
      </w:r>
      <w:r w:rsidRPr="00DF4453">
        <w:t xml:space="preserve"> </w:t>
      </w:r>
      <w:r w:rsidRPr="00DF4453">
        <w:rPr>
          <w:lang w:val="en-US"/>
        </w:rPr>
        <w:t>Based on the May 2018 WDPA release (UNEP-WMWC and IUCN, 2018); removing all UNESCO-MAB reserves and all sites with a status of ‘proposed’ or ‘not reported’.</w:t>
      </w:r>
    </w:p>
  </w:footnote>
  <w:footnote w:id="88">
    <w:p w:rsidR="009F758F" w:rsidRPr="00F55CFD" w:rsidRDefault="009F758F" w:rsidP="008F6D53">
      <w:pPr>
        <w:pStyle w:val="FootnoteText"/>
        <w:ind w:firstLine="0"/>
        <w:jc w:val="left"/>
        <w:rPr>
          <w:lang w:val="en-CA"/>
        </w:rPr>
      </w:pPr>
      <w:r>
        <w:rPr>
          <w:rStyle w:val="FootnoteReference"/>
        </w:rPr>
        <w:footnoteRef/>
      </w:r>
      <w:r>
        <w:t xml:space="preserve"> Based on the May 2018 WDPA release (UNEP-ECMC and IUCN, 2018); this also excludes sites where the year of designation was not reported (&gt;27,000 sites). </w:t>
      </w:r>
    </w:p>
  </w:footnote>
  <w:footnote w:id="89">
    <w:p w:rsidR="009F758F" w:rsidRPr="009E0614" w:rsidRDefault="009F758F" w:rsidP="008F6D53">
      <w:pPr>
        <w:pStyle w:val="FootnoteText"/>
        <w:ind w:firstLine="0"/>
        <w:jc w:val="left"/>
        <w:rPr>
          <w:lang w:val="en-CA"/>
        </w:rPr>
      </w:pPr>
      <w:r>
        <w:rPr>
          <w:rStyle w:val="FootnoteReference"/>
        </w:rPr>
        <w:footnoteRef/>
      </w:r>
      <w:r w:rsidRPr="009E0614">
        <w:rPr>
          <w:lang w:val="fr-FR"/>
        </w:rPr>
        <w:t xml:space="preserve"> </w:t>
      </w:r>
      <w:r w:rsidRPr="00147AF5">
        <w:rPr>
          <w:lang w:val="fr-FR"/>
        </w:rPr>
        <w:t>Borrini-Feyerabend, G. et al.</w:t>
      </w:r>
      <w:r>
        <w:rPr>
          <w:lang w:val="fr-FR"/>
        </w:rPr>
        <w:t xml:space="preserve"> </w:t>
      </w:r>
      <w:r w:rsidRPr="00147AF5">
        <w:t>(</w:t>
      </w:r>
      <w:r>
        <w:t>2013).</w:t>
      </w:r>
    </w:p>
  </w:footnote>
  <w:footnote w:id="90">
    <w:p w:rsidR="009F758F" w:rsidRPr="00DE3CAF" w:rsidRDefault="009F758F" w:rsidP="008F6D53">
      <w:pPr>
        <w:pStyle w:val="FootnoteText"/>
        <w:ind w:firstLine="0"/>
        <w:jc w:val="left"/>
        <w:rPr>
          <w:lang w:val="en-CA"/>
        </w:rPr>
      </w:pPr>
      <w:r>
        <w:rPr>
          <w:rStyle w:val="FootnoteReference"/>
        </w:rPr>
        <w:footnoteRef/>
      </w:r>
      <w:r>
        <w:t xml:space="preserve"> Franks, P et al. (2018), </w:t>
      </w:r>
      <w:r w:rsidRPr="00E36B9C">
        <w:rPr>
          <w:i/>
        </w:rPr>
        <w:t>Understanding and assessing equity in protected area conservation: a matter of governance, rights, social impacts and human wellbeing</w:t>
      </w:r>
      <w:r>
        <w:t>, IIED Issue Paper. London: IIED.</w:t>
      </w:r>
    </w:p>
  </w:footnote>
  <w:footnote w:id="91">
    <w:p w:rsidR="009F758F" w:rsidRPr="0047530C" w:rsidRDefault="009F758F" w:rsidP="008F6D53">
      <w:pPr>
        <w:pStyle w:val="FootnoteText"/>
        <w:ind w:firstLine="0"/>
        <w:jc w:val="left"/>
        <w:rPr>
          <w:lang w:val="en-CA"/>
        </w:rPr>
      </w:pPr>
      <w:r>
        <w:rPr>
          <w:rStyle w:val="FootnoteReference"/>
        </w:rPr>
        <w:footnoteRef/>
      </w:r>
      <w:r>
        <w:t xml:space="preserve"> Schreckenberg, K. et al. (2016), Unpacking equity for protected area conservation, </w:t>
      </w:r>
      <w:r w:rsidRPr="0047530C">
        <w:rPr>
          <w:i/>
        </w:rPr>
        <w:t>Parks</w:t>
      </w:r>
      <w:r>
        <w:t>, 22, 11–26.</w:t>
      </w:r>
    </w:p>
  </w:footnote>
  <w:footnote w:id="92">
    <w:p w:rsidR="009F758F" w:rsidRPr="00DE3CAF" w:rsidRDefault="009F758F" w:rsidP="008F6D53">
      <w:pPr>
        <w:pStyle w:val="FootnoteText"/>
        <w:ind w:firstLine="0"/>
        <w:jc w:val="left"/>
        <w:rPr>
          <w:lang w:val="en-CA"/>
        </w:rPr>
      </w:pPr>
      <w:r>
        <w:rPr>
          <w:rStyle w:val="FootnoteReference"/>
        </w:rPr>
        <w:footnoteRef/>
      </w:r>
      <w:r w:rsidRPr="00DE3CAF">
        <w:rPr>
          <w:lang w:val="fr-FR"/>
        </w:rPr>
        <w:t xml:space="preserve"> Zafra-Calvo, N. et al. </w:t>
      </w:r>
      <w:r>
        <w:t xml:space="preserve">(2017), Towards an indicator system to assess equitable management in protected areas, </w:t>
      </w:r>
      <w:r w:rsidRPr="00DE3CAF">
        <w:rPr>
          <w:i/>
        </w:rPr>
        <w:t>Biological Conservation</w:t>
      </w:r>
      <w:r>
        <w:t>, 211, 134–141.</w:t>
      </w:r>
    </w:p>
  </w:footnote>
  <w:footnote w:id="93">
    <w:p w:rsidR="009F758F" w:rsidRPr="00B52294" w:rsidRDefault="009F758F" w:rsidP="008F6D53">
      <w:pPr>
        <w:pStyle w:val="FootnoteText"/>
        <w:ind w:firstLine="0"/>
        <w:jc w:val="left"/>
      </w:pPr>
      <w:r>
        <w:rPr>
          <w:rStyle w:val="FootnoteReference"/>
        </w:rPr>
        <w:footnoteRef/>
      </w:r>
      <w:r w:rsidRPr="00B52294">
        <w:t xml:space="preserve"> Franks, P et al. (2018).</w:t>
      </w:r>
    </w:p>
  </w:footnote>
  <w:footnote w:id="94">
    <w:p w:rsidR="009F758F" w:rsidRPr="000154FB" w:rsidRDefault="009F758F" w:rsidP="008F6D53">
      <w:pPr>
        <w:pStyle w:val="FootnoteText"/>
        <w:ind w:firstLine="0"/>
        <w:jc w:val="left"/>
      </w:pPr>
      <w:r>
        <w:rPr>
          <w:rStyle w:val="FootnoteReference"/>
        </w:rPr>
        <w:footnoteRef/>
      </w:r>
      <w:r w:rsidRPr="00FD1FC1">
        <w:t xml:space="preserve"> </w:t>
      </w:r>
      <w:r w:rsidRPr="00FD1FC1">
        <w:rPr>
          <w:lang w:val="en-CA"/>
        </w:rPr>
        <w:t>Nepal</w:t>
      </w:r>
      <w:r w:rsidRPr="00FD1FC1">
        <w:t xml:space="preserve"> has applied a </w:t>
      </w:r>
      <w:r>
        <w:t>‘</w:t>
      </w:r>
      <w:r w:rsidRPr="00FD1FC1">
        <w:t>participatory governance assessment’</w:t>
      </w:r>
      <w:r>
        <w:t xml:space="preserve"> methodology in more than 750 community forests (</w:t>
      </w:r>
      <w:r w:rsidRPr="00FD1FC1">
        <w:t>Franks, et al.</w:t>
      </w:r>
      <w:r>
        <w:t xml:space="preserve">, </w:t>
      </w:r>
      <w:r w:rsidRPr="000154FB">
        <w:t xml:space="preserve">2018). </w:t>
      </w:r>
    </w:p>
  </w:footnote>
  <w:footnote w:id="95">
    <w:p w:rsidR="009F758F" w:rsidRPr="00EC56C2" w:rsidRDefault="009F758F" w:rsidP="008F6D53">
      <w:pPr>
        <w:pStyle w:val="FootnoteText"/>
        <w:suppressLineNumbers/>
        <w:suppressAutoHyphens/>
        <w:kinsoku w:val="0"/>
        <w:overflowPunct w:val="0"/>
        <w:autoSpaceDE w:val="0"/>
        <w:autoSpaceDN w:val="0"/>
        <w:adjustRightInd w:val="0"/>
        <w:snapToGrid w:val="0"/>
        <w:ind w:firstLine="0"/>
        <w:jc w:val="left"/>
        <w:rPr>
          <w:rFonts w:cs="Times New Roman"/>
          <w:snapToGrid w:val="0"/>
          <w:kern w:val="18"/>
        </w:rPr>
      </w:pPr>
      <w:r w:rsidRPr="00EC56C2">
        <w:rPr>
          <w:rStyle w:val="FootnoteReference"/>
          <w:rFonts w:cs="Times New Roman"/>
        </w:rPr>
        <w:footnoteRef/>
      </w:r>
      <w:r w:rsidRPr="00EC56C2">
        <w:rPr>
          <w:rFonts w:cs="Times New Roman"/>
        </w:rPr>
        <w:t xml:space="preserve"> </w:t>
      </w:r>
      <w:r w:rsidRPr="00EC56C2">
        <w:rPr>
          <w:rFonts w:cs="Times New Roman"/>
          <w:snapToGrid w:val="0"/>
          <w:kern w:val="18"/>
        </w:rPr>
        <w:t>Taking into account submissions received in response to notification (</w:t>
      </w:r>
      <w:hyperlink r:id="rId24" w:history="1">
        <w:r w:rsidRPr="00437D3B">
          <w:rPr>
            <w:rStyle w:val="Hyperlink"/>
            <w:rFonts w:cs="Times New Roman"/>
            <w:snapToGrid w:val="0"/>
            <w:kern w:val="18"/>
          </w:rPr>
          <w:t>2017-065</w:t>
        </w:r>
      </w:hyperlink>
      <w:r w:rsidRPr="00EC56C2">
        <w:rPr>
          <w:rFonts w:cs="Times New Roman"/>
          <w:snapToGrid w:val="0"/>
          <w:kern w:val="18"/>
        </w:rPr>
        <w:t xml:space="preserve">), </w:t>
      </w:r>
      <w:r w:rsidRPr="00EC56C2">
        <w:rPr>
          <w:rFonts w:cs="Times New Roman"/>
          <w:snapToGrid w:val="0"/>
          <w:kern w:val="18"/>
          <w:lang w:eastAsia="ja-JP" w:bidi="th-TH"/>
        </w:rPr>
        <w:t xml:space="preserve">decision </w:t>
      </w:r>
      <w:hyperlink r:id="rId25" w:history="1">
        <w:r w:rsidRPr="00437D3B">
          <w:rPr>
            <w:rStyle w:val="Hyperlink"/>
            <w:rFonts w:cs="Times New Roman"/>
            <w:snapToGrid w:val="0"/>
            <w:kern w:val="18"/>
            <w:lang w:eastAsia="ja-JP" w:bidi="th-TH"/>
          </w:rPr>
          <w:t>X/31</w:t>
        </w:r>
      </w:hyperlink>
      <w:r w:rsidRPr="00EC56C2">
        <w:rPr>
          <w:rFonts w:cs="Times New Roman"/>
          <w:snapToGrid w:val="0"/>
          <w:kern w:val="18"/>
          <w:lang w:eastAsia="ja-JP" w:bidi="th-TH"/>
        </w:rPr>
        <w:t xml:space="preserve">, </w:t>
      </w:r>
      <w:r w:rsidRPr="00EC56C2">
        <w:rPr>
          <w:rFonts w:cs="Times New Roman"/>
          <w:snapToGrid w:val="0"/>
          <w:kern w:val="18"/>
        </w:rPr>
        <w:t>other available information, and noting lessons learned from the relevant biodiversity-related conventions and agreements.</w:t>
      </w:r>
    </w:p>
  </w:footnote>
  <w:footnote w:id="96">
    <w:p w:rsidR="009F758F" w:rsidRPr="00F54F50" w:rsidRDefault="009F758F" w:rsidP="008F6D53">
      <w:pPr>
        <w:pStyle w:val="FootnoteText"/>
        <w:ind w:firstLine="0"/>
        <w:jc w:val="left"/>
        <w:rPr>
          <w:rFonts w:cs="Times New Roman"/>
          <w:lang w:val="sv-SE"/>
        </w:rPr>
      </w:pPr>
      <w:r w:rsidRPr="00EC56C2">
        <w:rPr>
          <w:rStyle w:val="FootnoteReference"/>
          <w:rFonts w:cs="Times New Roman"/>
        </w:rPr>
        <w:footnoteRef/>
      </w:r>
      <w:r w:rsidRPr="00F54F50">
        <w:rPr>
          <w:rFonts w:cs="Times New Roman"/>
          <w:lang w:val="sv-SE"/>
        </w:rPr>
        <w:t xml:space="preserve"> </w:t>
      </w:r>
      <w:hyperlink r:id="rId26" w:history="1">
        <w:r w:rsidRPr="00F54F50">
          <w:rPr>
            <w:rStyle w:val="Hyperlink"/>
            <w:rFonts w:cs="Times New Roman"/>
            <w:lang w:val="sv-SE"/>
          </w:rPr>
          <w:t>CBD/SBSTTA/22/6</w:t>
        </w:r>
      </w:hyperlink>
    </w:p>
  </w:footnote>
  <w:footnote w:id="97">
    <w:p w:rsidR="009F758F" w:rsidRPr="00F54F50" w:rsidRDefault="009F758F" w:rsidP="008F6D53">
      <w:pPr>
        <w:pStyle w:val="FootnoteText"/>
        <w:ind w:firstLine="0"/>
        <w:jc w:val="left"/>
        <w:rPr>
          <w:lang w:val="sv-SE"/>
        </w:rPr>
      </w:pPr>
      <w:r>
        <w:rPr>
          <w:rStyle w:val="FootnoteReference"/>
        </w:rPr>
        <w:footnoteRef/>
      </w:r>
      <w:r w:rsidRPr="00F54F50">
        <w:rPr>
          <w:lang w:val="sv-SE"/>
        </w:rPr>
        <w:t xml:space="preserve"> </w:t>
      </w:r>
      <w:r w:rsidRPr="009D450A">
        <w:rPr>
          <w:rFonts w:cs="Times New Roman"/>
          <w:szCs w:val="20"/>
          <w:lang w:val="sv-SE"/>
        </w:rPr>
        <w:t>CBD/SBSTTA/22/INF/8</w:t>
      </w:r>
    </w:p>
  </w:footnote>
  <w:footnote w:id="98">
    <w:p w:rsidR="009F758F" w:rsidRPr="000154FB" w:rsidRDefault="009F758F" w:rsidP="008F6D53">
      <w:pPr>
        <w:pStyle w:val="FootnoteText"/>
        <w:ind w:firstLine="0"/>
        <w:jc w:val="left"/>
      </w:pPr>
      <w:r w:rsidRPr="000A6FBF">
        <w:rPr>
          <w:rStyle w:val="FootnoteReference"/>
        </w:rPr>
        <w:footnoteRef/>
      </w:r>
      <w:r w:rsidRPr="000A6FBF">
        <w:t xml:space="preserve"> IUCN &amp; WCPA (2016), </w:t>
      </w:r>
      <w:r w:rsidRPr="000A6FBF">
        <w:rPr>
          <w:i/>
        </w:rPr>
        <w:t>IUCN Green List of Protected and Conserved Areas: User Manual</w:t>
      </w:r>
      <w:r w:rsidRPr="000A6FBF">
        <w:t>, Version 1.0. Gland, Switzerland: IUCN.</w:t>
      </w:r>
    </w:p>
  </w:footnote>
  <w:footnote w:id="99">
    <w:p w:rsidR="009F758F" w:rsidRPr="00851844" w:rsidRDefault="009F758F" w:rsidP="008F6D53">
      <w:pPr>
        <w:pStyle w:val="FootnoteText"/>
        <w:ind w:firstLine="0"/>
        <w:jc w:val="left"/>
        <w:rPr>
          <w:lang w:val="en-CA"/>
        </w:rPr>
      </w:pPr>
      <w:r>
        <w:rPr>
          <w:rStyle w:val="FootnoteReference"/>
        </w:rPr>
        <w:footnoteRef/>
      </w:r>
      <w:r>
        <w:t xml:space="preserve"> </w:t>
      </w:r>
      <w:r w:rsidRPr="000A6FBF">
        <w:t>IUCN &amp; WCPA (2016),</w:t>
      </w:r>
    </w:p>
  </w:footnote>
  <w:footnote w:id="100">
    <w:p w:rsidR="009F758F" w:rsidRPr="008B5C5C" w:rsidRDefault="009F758F" w:rsidP="008F6D53">
      <w:pPr>
        <w:pStyle w:val="FootnoteText"/>
        <w:ind w:firstLine="0"/>
        <w:jc w:val="left"/>
      </w:pPr>
      <w:r>
        <w:rPr>
          <w:rStyle w:val="FootnoteReference"/>
        </w:rPr>
        <w:footnoteRef/>
      </w:r>
      <w:r>
        <w:t xml:space="preserve"> </w:t>
      </w:r>
      <w:hyperlink r:id="rId27" w:history="1">
        <w:r w:rsidRPr="00A775DB">
          <w:rPr>
            <w:rStyle w:val="Hyperlink"/>
          </w:rPr>
          <w:t>https://www.cbd.int/meetings/PAEM-2018-01</w:t>
        </w:r>
      </w:hyperlink>
      <w:r>
        <w:rPr>
          <w:rStyle w:val="Hyperlink"/>
        </w:rPr>
        <w:t xml:space="preserve">. </w:t>
      </w:r>
      <w:r w:rsidRPr="000D0685">
        <w:t xml:space="preserve">This workshop was </w:t>
      </w:r>
      <w:r>
        <w:t>held</w:t>
      </w:r>
      <w:r w:rsidRPr="000D0685">
        <w:t xml:space="preserve"> in parallel with the </w:t>
      </w:r>
      <w:r>
        <w:t>E</w:t>
      </w:r>
      <w:r w:rsidRPr="000D0685">
        <w:t xml:space="preserve">xpert </w:t>
      </w:r>
      <w:r>
        <w:t>W</w:t>
      </w:r>
      <w:r w:rsidRPr="000D0685">
        <w:t xml:space="preserve">orkshop on </w:t>
      </w:r>
      <w:r w:rsidRPr="00F86B9F">
        <w:t>Marine Protected Areas</w:t>
      </w:r>
      <w:r w:rsidRPr="000D0685">
        <w:t xml:space="preserve"> and Other Effective Area</w:t>
      </w:r>
      <w:r>
        <w:t>-b</w:t>
      </w:r>
      <w:r w:rsidRPr="000D0685">
        <w:t xml:space="preserve">ased Conservation Measures for </w:t>
      </w:r>
      <w:r>
        <w:t>A</w:t>
      </w:r>
      <w:r w:rsidRPr="000D0685">
        <w:t xml:space="preserve">chieving Aichi </w:t>
      </w:r>
      <w:r>
        <w:t xml:space="preserve">Biodiversity </w:t>
      </w:r>
      <w:r w:rsidRPr="000D0685">
        <w:t xml:space="preserve">Target 11 in </w:t>
      </w:r>
      <w:r>
        <w:t>M</w:t>
      </w:r>
      <w:r w:rsidRPr="000D0685">
        <w:t xml:space="preserve">arine and </w:t>
      </w:r>
      <w:r>
        <w:t>C</w:t>
      </w:r>
      <w:r w:rsidRPr="000D0685">
        <w:t>oastal Areas</w:t>
      </w:r>
      <w:r>
        <w:t xml:space="preserve"> </w:t>
      </w:r>
      <w:r w:rsidRPr="000D0685">
        <w:t>(</w:t>
      </w:r>
      <w:hyperlink r:id="rId28" w:history="1">
        <w:r w:rsidRPr="000D0685">
          <w:rPr>
            <w:color w:val="0000FF"/>
            <w:u w:val="single"/>
          </w:rPr>
          <w:t>2017-098</w:t>
        </w:r>
      </w:hyperlink>
      <w:r w:rsidRPr="000D0685">
        <w:t xml:space="preserve">) </w:t>
      </w:r>
      <w:r>
        <w:t xml:space="preserve">that was organized pursuant to decision </w:t>
      </w:r>
      <w:hyperlink r:id="rId29" w:history="1">
        <w:r w:rsidRPr="00437D3B">
          <w:rPr>
            <w:rStyle w:val="Hyperlink"/>
          </w:rPr>
          <w:t>XIII/9</w:t>
        </w:r>
      </w:hyperlink>
      <w:r>
        <w:t xml:space="preserve">, </w:t>
      </w:r>
      <w:r w:rsidRPr="000D0685">
        <w:t xml:space="preserve">with joint </w:t>
      </w:r>
      <w:r>
        <w:t xml:space="preserve">breakout and plenary </w:t>
      </w:r>
      <w:r w:rsidRPr="000D0685">
        <w:t>sessions on relevant topics</w:t>
      </w:r>
      <w:r>
        <w:t xml:space="preserve"> </w:t>
      </w:r>
    </w:p>
  </w:footnote>
  <w:footnote w:id="101">
    <w:p w:rsidR="009F758F" w:rsidRPr="00B52294" w:rsidRDefault="009F758F" w:rsidP="008F6D53">
      <w:pPr>
        <w:pStyle w:val="FootnoteText"/>
        <w:ind w:firstLine="0"/>
        <w:jc w:val="left"/>
        <w:rPr>
          <w:lang w:val="sv-SE"/>
        </w:rPr>
      </w:pPr>
      <w:r>
        <w:rPr>
          <w:rStyle w:val="FootnoteReference"/>
        </w:rPr>
        <w:footnoteRef/>
      </w:r>
      <w:r w:rsidRPr="00B52294">
        <w:rPr>
          <w:lang w:val="sv-SE"/>
        </w:rPr>
        <w:t xml:space="preserve"> </w:t>
      </w:r>
      <w:hyperlink r:id="rId30" w:history="1">
        <w:r w:rsidRPr="00F54F50">
          <w:rPr>
            <w:rStyle w:val="Hyperlink"/>
            <w:rFonts w:cs="Times New Roman"/>
            <w:lang w:val="sv-SE"/>
          </w:rPr>
          <w:t>CBD/SBSTTA/22/6</w:t>
        </w:r>
      </w:hyperlink>
    </w:p>
  </w:footnote>
  <w:footnote w:id="102">
    <w:p w:rsidR="009F758F" w:rsidRPr="008B3E21" w:rsidRDefault="009F758F" w:rsidP="008F6D53">
      <w:pPr>
        <w:pStyle w:val="FootnoteText"/>
        <w:ind w:firstLine="0"/>
        <w:jc w:val="left"/>
        <w:rPr>
          <w:lang w:val="sv-SE"/>
        </w:rPr>
      </w:pPr>
      <w:r>
        <w:rPr>
          <w:rStyle w:val="FootnoteReference"/>
        </w:rPr>
        <w:footnoteRef/>
      </w:r>
      <w:r w:rsidRPr="008B3E21">
        <w:rPr>
          <w:lang w:val="sv-SE"/>
        </w:rPr>
        <w:t xml:space="preserve"> </w:t>
      </w:r>
      <w:r w:rsidRPr="00415106">
        <w:rPr>
          <w:rStyle w:val="Hyperlink"/>
          <w:bCs/>
          <w:lang w:val="pt-BR"/>
        </w:rPr>
        <w:t>CBD/PA/EM/2018/1/2</w:t>
      </w:r>
    </w:p>
  </w:footnote>
  <w:footnote w:id="103">
    <w:p w:rsidR="009F758F" w:rsidRPr="003A51CA" w:rsidRDefault="009F758F" w:rsidP="008F6D53">
      <w:pPr>
        <w:pStyle w:val="FootnoteText"/>
        <w:ind w:firstLine="0"/>
        <w:jc w:val="left"/>
        <w:rPr>
          <w:lang w:val="en-CA"/>
        </w:rPr>
      </w:pPr>
      <w:r>
        <w:rPr>
          <w:rStyle w:val="FootnoteReference"/>
        </w:rPr>
        <w:footnoteRef/>
      </w:r>
      <w:r w:rsidRPr="003661C6">
        <w:rPr>
          <w:lang w:val="fr-FR"/>
        </w:rPr>
        <w:t xml:space="preserve"> Jonas, H.D. et al. </w:t>
      </w:r>
      <w:r>
        <w:t xml:space="preserve">(2017), Will ‘Other Effective Area-Based Conservation Measures’ increase recognition and support for ICCAs, </w:t>
      </w:r>
      <w:r w:rsidRPr="003A51CA">
        <w:rPr>
          <w:i/>
          <w:iCs/>
        </w:rPr>
        <w:t>Parks</w:t>
      </w:r>
      <w:r w:rsidRPr="003A51CA">
        <w:t xml:space="preserve">, </w:t>
      </w:r>
      <w:r>
        <w:t xml:space="preserve">23.2, </w:t>
      </w:r>
      <w:r w:rsidRPr="003A51CA">
        <w:t>63</w:t>
      </w:r>
      <w:r>
        <w:t>-78</w:t>
      </w:r>
      <w:r w:rsidRPr="003A51CA">
        <w:t>.</w:t>
      </w:r>
    </w:p>
  </w:footnote>
  <w:footnote w:id="104">
    <w:p w:rsidR="009F758F" w:rsidRPr="00A04F5A" w:rsidRDefault="009F758F" w:rsidP="008F6D53">
      <w:pPr>
        <w:pStyle w:val="FootnoteText"/>
        <w:ind w:firstLine="0"/>
        <w:jc w:val="left"/>
        <w:rPr>
          <w:lang w:val="en-CA"/>
        </w:rPr>
      </w:pPr>
      <w:r>
        <w:rPr>
          <w:rStyle w:val="FootnoteReference"/>
        </w:rPr>
        <w:footnoteRef/>
      </w:r>
      <w:r w:rsidRPr="003661C6">
        <w:rPr>
          <w:lang w:val="fr-FR"/>
        </w:rPr>
        <w:t xml:space="preserve"> Jonas, H.D. et al. </w:t>
      </w:r>
      <w:r>
        <w:t>(2017).</w:t>
      </w:r>
    </w:p>
  </w:footnote>
  <w:footnote w:id="105">
    <w:p w:rsidR="009F758F" w:rsidRPr="008B172E" w:rsidRDefault="009F758F" w:rsidP="008F6D53">
      <w:pPr>
        <w:pStyle w:val="FootnoteText"/>
        <w:ind w:firstLine="0"/>
        <w:jc w:val="left"/>
        <w:rPr>
          <w:lang w:val="en-US"/>
        </w:rPr>
      </w:pPr>
      <w:r>
        <w:rPr>
          <w:rStyle w:val="FootnoteReference"/>
        </w:rPr>
        <w:footnoteRef/>
      </w:r>
      <w:r>
        <w:t xml:space="preserve"> </w:t>
      </w:r>
      <w:hyperlink r:id="rId31" w:history="1">
        <w:r w:rsidRPr="00BC4444">
          <w:rPr>
            <w:rStyle w:val="Hyperlink"/>
          </w:rPr>
          <w:t>UNEP/CBD/COP/13/INF/17</w:t>
        </w:r>
      </w:hyperlink>
    </w:p>
  </w:footnote>
  <w:footnote w:id="106">
    <w:p w:rsidR="009F758F" w:rsidRPr="00BC4444" w:rsidRDefault="009F758F" w:rsidP="008F6D53">
      <w:pPr>
        <w:pStyle w:val="FootnoteText"/>
        <w:ind w:firstLine="0"/>
        <w:jc w:val="left"/>
      </w:pPr>
      <w:r>
        <w:rPr>
          <w:rStyle w:val="FootnoteReference"/>
        </w:rPr>
        <w:footnoteRef/>
      </w:r>
      <w:r>
        <w:t xml:space="preserve"> </w:t>
      </w:r>
      <w:hyperlink r:id="rId32" w:history="1">
        <w:r w:rsidRPr="00BC4444">
          <w:rPr>
            <w:rStyle w:val="Hyperlink"/>
          </w:rPr>
          <w:t>UNEP/CBD/COP/13/INF/17</w:t>
        </w:r>
      </w:hyperlink>
    </w:p>
  </w:footnote>
  <w:footnote w:id="107">
    <w:p w:rsidR="009F758F" w:rsidRPr="00BC4444" w:rsidRDefault="009F758F" w:rsidP="008F6D53">
      <w:pPr>
        <w:pStyle w:val="FootnoteText"/>
        <w:ind w:firstLine="0"/>
        <w:jc w:val="left"/>
      </w:pPr>
      <w:r>
        <w:rPr>
          <w:rStyle w:val="FootnoteReference"/>
        </w:rPr>
        <w:footnoteRef/>
      </w:r>
      <w:r>
        <w:t xml:space="preserve"> </w:t>
      </w:r>
      <w:hyperlink r:id="rId33" w:history="1">
        <w:r w:rsidRPr="00BC4444">
          <w:rPr>
            <w:rStyle w:val="Hyperlink"/>
          </w:rPr>
          <w:t>UNEP/CBD/COP/13/INF/20</w:t>
        </w:r>
      </w:hyperlink>
    </w:p>
  </w:footnote>
  <w:footnote w:id="108">
    <w:p w:rsidR="009F758F" w:rsidRPr="00BC4444" w:rsidRDefault="009F758F" w:rsidP="008F6D53">
      <w:pPr>
        <w:pStyle w:val="FootnoteText"/>
        <w:ind w:firstLine="0"/>
        <w:jc w:val="left"/>
      </w:pPr>
      <w:r>
        <w:rPr>
          <w:rStyle w:val="FootnoteReference"/>
        </w:rPr>
        <w:footnoteRef/>
      </w:r>
      <w:r>
        <w:t xml:space="preserve"> </w:t>
      </w:r>
      <w:hyperlink r:id="rId34" w:history="1">
        <w:r w:rsidRPr="00BC4444">
          <w:rPr>
            <w:rStyle w:val="Hyperlink"/>
          </w:rPr>
          <w:t>UNEP/CBD/COP/13/INF/19</w:t>
        </w:r>
      </w:hyperlink>
    </w:p>
  </w:footnote>
  <w:footnote w:id="109">
    <w:p w:rsidR="009F758F" w:rsidRPr="00B936F1" w:rsidRDefault="009F758F" w:rsidP="008F6D53">
      <w:pPr>
        <w:pStyle w:val="FootnoteText"/>
        <w:ind w:firstLine="0"/>
        <w:jc w:val="left"/>
        <w:rPr>
          <w:lang w:val="en-CA"/>
        </w:rPr>
      </w:pPr>
      <w:r w:rsidRPr="00073960">
        <w:rPr>
          <w:rStyle w:val="FootnoteReference"/>
        </w:rPr>
        <w:footnoteRef/>
      </w:r>
      <w:r w:rsidRPr="00073960">
        <w:t xml:space="preserve"> </w:t>
      </w:r>
      <w:r w:rsidRPr="00073960">
        <w:rPr>
          <w:lang w:val="en-CA"/>
        </w:rPr>
        <w:t xml:space="preserve">Described in detail in </w:t>
      </w:r>
      <w:hyperlink r:id="rId35" w:history="1">
        <w:r w:rsidRPr="00073960">
          <w:rPr>
            <w:rStyle w:val="Hyperlink"/>
          </w:rPr>
          <w:t>UNEP/CBD/SBI/INF/41</w:t>
        </w:r>
      </w:hyperlink>
    </w:p>
  </w:footnote>
  <w:footnote w:id="110">
    <w:p w:rsidR="009F758F" w:rsidRPr="009B09E4" w:rsidRDefault="009F758F" w:rsidP="008F6D53">
      <w:pPr>
        <w:pStyle w:val="FootnoteText"/>
        <w:ind w:firstLine="0"/>
        <w:jc w:val="left"/>
        <w:rPr>
          <w:lang w:val="en-CA"/>
        </w:rPr>
      </w:pPr>
      <w:r>
        <w:rPr>
          <w:rStyle w:val="FootnoteReference"/>
        </w:rPr>
        <w:footnoteRef/>
      </w:r>
      <w:r>
        <w:t xml:space="preserve"> The 12 expected sub-regions are detailed in Annex 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58F" w:rsidRPr="0057478A" w:rsidRDefault="009F758F" w:rsidP="00ED68DF">
    <w:pPr>
      <w:suppressLineNumbers/>
      <w:tabs>
        <w:tab w:val="left" w:pos="0"/>
      </w:tabs>
      <w:suppressAutoHyphens/>
      <w:ind w:right="-137"/>
      <w:rPr>
        <w:snapToGrid w:val="0"/>
        <w:kern w:val="22"/>
        <w:szCs w:val="22"/>
        <w:lang w:val="sv-SE"/>
      </w:rPr>
    </w:pPr>
    <w:r w:rsidRPr="0057478A">
      <w:rPr>
        <w:snapToGrid w:val="0"/>
        <w:kern w:val="22"/>
        <w:szCs w:val="22"/>
        <w:lang w:val="sv-SE"/>
      </w:rPr>
      <w:t>CBD/SBSTTA/2</w:t>
    </w:r>
    <w:r>
      <w:rPr>
        <w:snapToGrid w:val="0"/>
        <w:kern w:val="22"/>
        <w:szCs w:val="22"/>
        <w:lang w:val="sv-SE"/>
      </w:rPr>
      <w:t>2</w:t>
    </w:r>
    <w:r w:rsidRPr="0057478A">
      <w:rPr>
        <w:snapToGrid w:val="0"/>
        <w:kern w:val="22"/>
        <w:szCs w:val="22"/>
        <w:lang w:val="sv-SE"/>
      </w:rPr>
      <w:t>/INF/</w:t>
    </w:r>
    <w:r>
      <w:rPr>
        <w:snapToGrid w:val="0"/>
        <w:kern w:val="22"/>
        <w:szCs w:val="22"/>
        <w:lang w:val="sv-SE"/>
      </w:rPr>
      <w:t>30</w:t>
    </w:r>
  </w:p>
  <w:p w:rsidR="009F758F" w:rsidRDefault="009F758F" w:rsidP="00ED68DF">
    <w:pPr>
      <w:pStyle w:val="Header"/>
      <w:spacing w:after="120"/>
    </w:pPr>
    <w:r>
      <w:rPr>
        <w:snapToGrid w:val="0"/>
        <w:kern w:val="22"/>
        <w:szCs w:val="22"/>
      </w:rPr>
      <w:t xml:space="preserve">Page </w:t>
    </w:r>
    <w:r w:rsidRPr="0084538E">
      <w:rPr>
        <w:snapToGrid w:val="0"/>
        <w:kern w:val="22"/>
        <w:szCs w:val="22"/>
      </w:rPr>
      <w:fldChar w:fldCharType="begin"/>
    </w:r>
    <w:r w:rsidRPr="0084538E">
      <w:rPr>
        <w:snapToGrid w:val="0"/>
        <w:kern w:val="22"/>
        <w:szCs w:val="22"/>
      </w:rPr>
      <w:instrText xml:space="preserve"> PAGE   \* MERGEFORMAT </w:instrText>
    </w:r>
    <w:r w:rsidRPr="0084538E">
      <w:rPr>
        <w:snapToGrid w:val="0"/>
        <w:kern w:val="22"/>
        <w:szCs w:val="22"/>
      </w:rPr>
      <w:fldChar w:fldCharType="separate"/>
    </w:r>
    <w:r w:rsidR="00D52C2B">
      <w:rPr>
        <w:noProof/>
        <w:snapToGrid w:val="0"/>
        <w:kern w:val="22"/>
        <w:szCs w:val="22"/>
      </w:rPr>
      <w:t>28</w:t>
    </w:r>
    <w:r w:rsidRPr="0084538E">
      <w:rPr>
        <w:noProof/>
        <w:snapToGrid w:val="0"/>
        <w:kern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758F" w:rsidRPr="0057478A" w:rsidRDefault="009F758F" w:rsidP="00ED68DF">
    <w:pPr>
      <w:suppressLineNumbers/>
      <w:tabs>
        <w:tab w:val="left" w:pos="0"/>
      </w:tabs>
      <w:suppressAutoHyphens/>
      <w:ind w:right="4"/>
      <w:jc w:val="right"/>
      <w:rPr>
        <w:snapToGrid w:val="0"/>
        <w:kern w:val="22"/>
        <w:szCs w:val="22"/>
        <w:lang w:val="sv-SE"/>
      </w:rPr>
    </w:pPr>
    <w:r w:rsidRPr="0057478A">
      <w:rPr>
        <w:snapToGrid w:val="0"/>
        <w:kern w:val="22"/>
        <w:szCs w:val="22"/>
        <w:lang w:val="sv-SE"/>
      </w:rPr>
      <w:t>C</w:t>
    </w:r>
    <w:r>
      <w:rPr>
        <w:snapToGrid w:val="0"/>
        <w:kern w:val="22"/>
        <w:szCs w:val="22"/>
        <w:lang w:val="sv-SE"/>
      </w:rPr>
      <w:t>BD/SBSTTA/22/INF/30</w:t>
    </w:r>
  </w:p>
  <w:p w:rsidR="009F758F" w:rsidRPr="0084538E" w:rsidRDefault="009F758F" w:rsidP="00ED68DF">
    <w:pPr>
      <w:pStyle w:val="Header"/>
      <w:spacing w:after="120"/>
      <w:ind w:right="4"/>
      <w:jc w:val="right"/>
      <w:rPr>
        <w:lang w:val="fr-FR"/>
      </w:rPr>
    </w:pPr>
    <w:r w:rsidRPr="0084538E">
      <w:rPr>
        <w:snapToGrid w:val="0"/>
        <w:kern w:val="22"/>
        <w:szCs w:val="22"/>
        <w:lang w:val="fr-FR"/>
      </w:rPr>
      <w:t xml:space="preserve">Page </w:t>
    </w:r>
    <w:r w:rsidRPr="0084538E">
      <w:rPr>
        <w:snapToGrid w:val="0"/>
        <w:kern w:val="22"/>
        <w:szCs w:val="22"/>
      </w:rPr>
      <w:fldChar w:fldCharType="begin"/>
    </w:r>
    <w:r w:rsidRPr="0084538E">
      <w:rPr>
        <w:snapToGrid w:val="0"/>
        <w:kern w:val="22"/>
        <w:szCs w:val="22"/>
        <w:lang w:val="fr-FR"/>
      </w:rPr>
      <w:instrText xml:space="preserve"> PAGE   \* MERGEFORMAT </w:instrText>
    </w:r>
    <w:r w:rsidRPr="0084538E">
      <w:rPr>
        <w:snapToGrid w:val="0"/>
        <w:kern w:val="22"/>
        <w:szCs w:val="22"/>
      </w:rPr>
      <w:fldChar w:fldCharType="separate"/>
    </w:r>
    <w:r w:rsidR="00D52C2B">
      <w:rPr>
        <w:noProof/>
        <w:snapToGrid w:val="0"/>
        <w:kern w:val="22"/>
        <w:szCs w:val="22"/>
        <w:lang w:val="fr-FR"/>
      </w:rPr>
      <w:t>29</w:t>
    </w:r>
    <w:r w:rsidRPr="0084538E">
      <w:rPr>
        <w:noProof/>
        <w:snapToGrid w:val="0"/>
        <w:kern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10927"/>
    <w:multiLevelType w:val="hybridMultilevel"/>
    <w:tmpl w:val="7FD809B4"/>
    <w:lvl w:ilvl="0" w:tplc="5834199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B73CF"/>
    <w:multiLevelType w:val="hybridMultilevel"/>
    <w:tmpl w:val="7CD8D2F8"/>
    <w:lvl w:ilvl="0" w:tplc="53AA2B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C076E"/>
    <w:multiLevelType w:val="hybridMultilevel"/>
    <w:tmpl w:val="85741FE0"/>
    <w:lvl w:ilvl="0" w:tplc="4DFC3C36">
      <w:start w:val="1"/>
      <w:numFmt w:val="lowerLetter"/>
      <w:lvlText w:val="%1)"/>
      <w:lvlJc w:val="left"/>
      <w:pPr>
        <w:ind w:left="720"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1939AA"/>
    <w:multiLevelType w:val="hybridMultilevel"/>
    <w:tmpl w:val="3FA87BA2"/>
    <w:lvl w:ilvl="0" w:tplc="DAFC9F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43934"/>
    <w:multiLevelType w:val="hybridMultilevel"/>
    <w:tmpl w:val="E9061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795E5B"/>
    <w:multiLevelType w:val="hybridMultilevel"/>
    <w:tmpl w:val="7CD8D2F8"/>
    <w:lvl w:ilvl="0" w:tplc="53AA2B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E12E32"/>
    <w:multiLevelType w:val="hybridMultilevel"/>
    <w:tmpl w:val="8948F032"/>
    <w:lvl w:ilvl="0" w:tplc="581EF4D4">
      <w:start w:val="1"/>
      <w:numFmt w:val="decimal"/>
      <w:pStyle w:val="Para1"/>
      <w:lvlText w:val="%1."/>
      <w:lvlJc w:val="left"/>
      <w:pPr>
        <w:ind w:left="720" w:hanging="360"/>
      </w:pPr>
      <w:rPr>
        <w:b w:val="0"/>
        <w:i w:val="0"/>
        <w:strike w:val="0"/>
        <w:color w:val="auto"/>
      </w:rPr>
    </w:lvl>
    <w:lvl w:ilvl="1" w:tplc="3FD687B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0336B8"/>
    <w:multiLevelType w:val="multilevel"/>
    <w:tmpl w:val="A644F2E6"/>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 w15:restartNumberingAfterBreak="0">
    <w:nsid w:val="333B22DC"/>
    <w:multiLevelType w:val="hybridMultilevel"/>
    <w:tmpl w:val="EF8EC4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40444ED"/>
    <w:multiLevelType w:val="hybridMultilevel"/>
    <w:tmpl w:val="AE4E81D6"/>
    <w:lvl w:ilvl="0" w:tplc="53AA2B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4F0C86"/>
    <w:multiLevelType w:val="hybridMultilevel"/>
    <w:tmpl w:val="20F8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EB0B1E"/>
    <w:multiLevelType w:val="multilevel"/>
    <w:tmpl w:val="77A69C62"/>
    <w:lvl w:ilvl="0">
      <w:start w:val="1"/>
      <w:numFmt w:val="lowerLetter"/>
      <w:pStyle w:val="para2a"/>
      <w:lvlText w:val="(%1)"/>
      <w:lvlJc w:val="left"/>
      <w:pPr>
        <w:ind w:left="360" w:hanging="360"/>
      </w:pPr>
      <w:rPr>
        <w:rFonts w:hint="default"/>
        <w:b w:val="0"/>
      </w:rPr>
    </w:lvl>
    <w:lvl w:ilvl="1">
      <w:start w:val="1"/>
      <w:numFmt w:val="lowerLetter"/>
      <w:lvlText w:val="(%2)"/>
      <w:lvlJc w:val="left"/>
      <w:pPr>
        <w:tabs>
          <w:tab w:val="num" w:pos="1080"/>
        </w:tabs>
        <w:ind w:left="0" w:firstLine="720"/>
      </w:pPr>
      <w:rPr>
        <w:rFonts w:hint="default"/>
      </w:rPr>
    </w:lvl>
    <w:lvl w:ilvl="2">
      <w:start w:val="1"/>
      <w:numFmt w:val="lowerRoman"/>
      <w:lvlText w:val="(%3)"/>
      <w:lvlJc w:val="right"/>
      <w:pPr>
        <w:tabs>
          <w:tab w:val="num" w:pos="2736"/>
        </w:tabs>
        <w:ind w:left="2736" w:hanging="432"/>
      </w:pPr>
      <w:rPr>
        <w:rFonts w:hint="default"/>
      </w:rPr>
    </w:lvl>
    <w:lvl w:ilvl="3">
      <w:start w:val="1"/>
      <w:numFmt w:val="decimal"/>
      <w:lvlText w:val="a."/>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 w15:restartNumberingAfterBreak="0">
    <w:nsid w:val="3CE43C91"/>
    <w:multiLevelType w:val="singleLevel"/>
    <w:tmpl w:val="B36A8C58"/>
    <w:lvl w:ilvl="0">
      <w:start w:val="1"/>
      <w:numFmt w:val="decimal"/>
      <w:pStyle w:val="Paranum"/>
      <w:lvlText w:val="%1."/>
      <w:lvlJc w:val="left"/>
      <w:pPr>
        <w:tabs>
          <w:tab w:val="num" w:pos="360"/>
        </w:tabs>
        <w:ind w:left="0" w:firstLine="0"/>
      </w:pPr>
    </w:lvl>
  </w:abstractNum>
  <w:abstractNum w:abstractNumId="13" w15:restartNumberingAfterBreak="0">
    <w:nsid w:val="3D3A2130"/>
    <w:multiLevelType w:val="hybridMultilevel"/>
    <w:tmpl w:val="D520E2F4"/>
    <w:lvl w:ilvl="0" w:tplc="3FD687B6">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A32715"/>
    <w:multiLevelType w:val="hybridMultilevel"/>
    <w:tmpl w:val="7CD8D2F8"/>
    <w:lvl w:ilvl="0" w:tplc="53AA2B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5E6BC7"/>
    <w:multiLevelType w:val="hybridMultilevel"/>
    <w:tmpl w:val="3386F538"/>
    <w:lvl w:ilvl="0" w:tplc="53AA2B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5356C7"/>
    <w:multiLevelType w:val="hybridMultilevel"/>
    <w:tmpl w:val="6CE62974"/>
    <w:lvl w:ilvl="0" w:tplc="17E063E4">
      <w:start w:val="1"/>
      <w:numFmt w:val="lowerLetter"/>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E4287B"/>
    <w:multiLevelType w:val="multilevel"/>
    <w:tmpl w:val="DA489A90"/>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800"/>
        </w:tabs>
        <w:ind w:left="1800" w:hanging="720"/>
      </w:pPr>
    </w:lvl>
    <w:lvl w:ilvl="3">
      <w:start w:val="1"/>
      <w:numFmt w:val="decimal"/>
      <w:pStyle w:val="para4"/>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CBB7614"/>
    <w:multiLevelType w:val="hybridMultilevel"/>
    <w:tmpl w:val="7CD8D2F8"/>
    <w:lvl w:ilvl="0" w:tplc="53AA2B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0442B4"/>
    <w:multiLevelType w:val="multilevel"/>
    <w:tmpl w:val="56B24F16"/>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pStyle w:val="Para3"/>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52FA0D9A"/>
    <w:multiLevelType w:val="multilevel"/>
    <w:tmpl w:val="187822A4"/>
    <w:lvl w:ilvl="0">
      <w:start w:val="1"/>
      <w:numFmt w:val="decimal"/>
      <w:pStyle w:val="Para1-Annex"/>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53A05E5C"/>
    <w:multiLevelType w:val="hybridMultilevel"/>
    <w:tmpl w:val="FE4C34C6"/>
    <w:lvl w:ilvl="0" w:tplc="FFFFFFFF">
      <w:start w:val="1"/>
      <w:numFmt w:val="lowerLetter"/>
      <w:lvlText w:val="(%1)"/>
      <w:lvlJc w:val="left"/>
      <w:pPr>
        <w:ind w:left="720" w:hanging="360"/>
      </w:pPr>
      <w:rPr>
        <w:rFonts w:eastAsia="MS Mincho"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303DE3"/>
    <w:multiLevelType w:val="hybridMultilevel"/>
    <w:tmpl w:val="78BC5EBE"/>
    <w:lvl w:ilvl="0" w:tplc="53AA2B4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D74C94"/>
    <w:multiLevelType w:val="hybridMultilevel"/>
    <w:tmpl w:val="9770465E"/>
    <w:lvl w:ilvl="0" w:tplc="17E063E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2C14EA"/>
    <w:multiLevelType w:val="hybridMultilevel"/>
    <w:tmpl w:val="3386F538"/>
    <w:lvl w:ilvl="0" w:tplc="53AA2B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9D02E9"/>
    <w:multiLevelType w:val="hybridMultilevel"/>
    <w:tmpl w:val="BF0249A0"/>
    <w:lvl w:ilvl="0" w:tplc="FFFFFFFF">
      <w:start w:val="1"/>
      <w:numFmt w:val="lowerLetter"/>
      <w:lvlText w:val="(%1)"/>
      <w:lvlJc w:val="left"/>
      <w:pPr>
        <w:ind w:left="720" w:hanging="360"/>
      </w:pPr>
      <w:rPr>
        <w:rFonts w:eastAsia="MS Mincho" w:hint="default"/>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14F7B"/>
    <w:multiLevelType w:val="hybridMultilevel"/>
    <w:tmpl w:val="7ED644C2"/>
    <w:lvl w:ilvl="0" w:tplc="17E063E4">
      <w:start w:val="1"/>
      <w:numFmt w:val="lowerLetter"/>
      <w:lvlText w:val="(%1)"/>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653A2"/>
    <w:multiLevelType w:val="hybridMultilevel"/>
    <w:tmpl w:val="4B101E1E"/>
    <w:lvl w:ilvl="0" w:tplc="5816D7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12450"/>
    <w:multiLevelType w:val="hybridMultilevel"/>
    <w:tmpl w:val="9770465E"/>
    <w:lvl w:ilvl="0" w:tplc="17E063E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98370C"/>
    <w:multiLevelType w:val="hybridMultilevel"/>
    <w:tmpl w:val="AA6C9C78"/>
    <w:lvl w:ilvl="0" w:tplc="811A3B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357F78"/>
    <w:multiLevelType w:val="hybridMultilevel"/>
    <w:tmpl w:val="E59652FE"/>
    <w:lvl w:ilvl="0" w:tplc="FFFFFFFF">
      <w:start w:val="1"/>
      <w:numFmt w:val="decimal"/>
      <w:pStyle w:val="Paraofficial"/>
      <w:lvlText w:val="%1."/>
      <w:lvlJc w:val="left"/>
      <w:pPr>
        <w:tabs>
          <w:tab w:val="num" w:pos="1080"/>
        </w:tabs>
        <w:ind w:left="0" w:firstLine="72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15:restartNumberingAfterBreak="0">
    <w:nsid w:val="67DB0E5E"/>
    <w:multiLevelType w:val="hybridMultilevel"/>
    <w:tmpl w:val="B7049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3436A9"/>
    <w:multiLevelType w:val="hybridMultilevel"/>
    <w:tmpl w:val="01B6E61E"/>
    <w:lvl w:ilvl="0" w:tplc="ED462F4C">
      <w:start w:val="25"/>
      <w:numFmt w:val="bullet"/>
      <w:lvlText w:val="-"/>
      <w:lvlJc w:val="left"/>
      <w:pPr>
        <w:ind w:left="360" w:hanging="360"/>
      </w:pPr>
      <w:rPr>
        <w:rFonts w:ascii="Arial Narrow" w:eastAsia="Times New Roman" w:hAnsi="Arial Narrow" w:cs="Angsana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B6B4246"/>
    <w:multiLevelType w:val="hybridMultilevel"/>
    <w:tmpl w:val="2EEEACAE"/>
    <w:lvl w:ilvl="0" w:tplc="C7327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122235"/>
    <w:multiLevelType w:val="hybridMultilevel"/>
    <w:tmpl w:val="EDA800CA"/>
    <w:lvl w:ilvl="0" w:tplc="FFFFFFFF">
      <w:start w:val="1"/>
      <w:numFmt w:val="lowerLetter"/>
      <w:lvlText w:val="(%1)"/>
      <w:lvlJc w:val="left"/>
      <w:pPr>
        <w:ind w:left="720" w:hanging="360"/>
      </w:pPr>
      <w:rPr>
        <w:rFonts w:eastAsia="MS Mincho" w:hint="default"/>
        <w:i w:val="0"/>
      </w:rPr>
    </w:lvl>
    <w:lvl w:ilvl="1" w:tplc="3FD687B6">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60025E"/>
    <w:multiLevelType w:val="hybridMultilevel"/>
    <w:tmpl w:val="C3F65D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564DA7"/>
    <w:multiLevelType w:val="hybridMultilevel"/>
    <w:tmpl w:val="7578EB98"/>
    <w:lvl w:ilvl="0" w:tplc="10090001">
      <w:start w:val="1"/>
      <w:numFmt w:val="bullet"/>
      <w:lvlText w:val=""/>
      <w:lvlJc w:val="left"/>
      <w:pPr>
        <w:ind w:left="1620" w:hanging="360"/>
      </w:pPr>
      <w:rPr>
        <w:rFonts w:ascii="Symbol" w:hAnsi="Symbol" w:hint="default"/>
      </w:rPr>
    </w:lvl>
    <w:lvl w:ilvl="1" w:tplc="10090003" w:tentative="1">
      <w:start w:val="1"/>
      <w:numFmt w:val="bullet"/>
      <w:lvlText w:val="o"/>
      <w:lvlJc w:val="left"/>
      <w:pPr>
        <w:ind w:left="2340" w:hanging="360"/>
      </w:pPr>
      <w:rPr>
        <w:rFonts w:ascii="Courier New" w:hAnsi="Courier New" w:cs="Courier New" w:hint="default"/>
      </w:rPr>
    </w:lvl>
    <w:lvl w:ilvl="2" w:tplc="10090005" w:tentative="1">
      <w:start w:val="1"/>
      <w:numFmt w:val="bullet"/>
      <w:lvlText w:val=""/>
      <w:lvlJc w:val="left"/>
      <w:pPr>
        <w:ind w:left="3060" w:hanging="360"/>
      </w:pPr>
      <w:rPr>
        <w:rFonts w:ascii="Wingdings" w:hAnsi="Wingdings" w:hint="default"/>
      </w:rPr>
    </w:lvl>
    <w:lvl w:ilvl="3" w:tplc="10090001" w:tentative="1">
      <w:start w:val="1"/>
      <w:numFmt w:val="bullet"/>
      <w:lvlText w:val=""/>
      <w:lvlJc w:val="left"/>
      <w:pPr>
        <w:ind w:left="3780" w:hanging="360"/>
      </w:pPr>
      <w:rPr>
        <w:rFonts w:ascii="Symbol" w:hAnsi="Symbol" w:hint="default"/>
      </w:rPr>
    </w:lvl>
    <w:lvl w:ilvl="4" w:tplc="10090003" w:tentative="1">
      <w:start w:val="1"/>
      <w:numFmt w:val="bullet"/>
      <w:lvlText w:val="o"/>
      <w:lvlJc w:val="left"/>
      <w:pPr>
        <w:ind w:left="4500" w:hanging="360"/>
      </w:pPr>
      <w:rPr>
        <w:rFonts w:ascii="Courier New" w:hAnsi="Courier New" w:cs="Courier New" w:hint="default"/>
      </w:rPr>
    </w:lvl>
    <w:lvl w:ilvl="5" w:tplc="10090005" w:tentative="1">
      <w:start w:val="1"/>
      <w:numFmt w:val="bullet"/>
      <w:lvlText w:val=""/>
      <w:lvlJc w:val="left"/>
      <w:pPr>
        <w:ind w:left="5220" w:hanging="360"/>
      </w:pPr>
      <w:rPr>
        <w:rFonts w:ascii="Wingdings" w:hAnsi="Wingdings" w:hint="default"/>
      </w:rPr>
    </w:lvl>
    <w:lvl w:ilvl="6" w:tplc="10090001" w:tentative="1">
      <w:start w:val="1"/>
      <w:numFmt w:val="bullet"/>
      <w:lvlText w:val=""/>
      <w:lvlJc w:val="left"/>
      <w:pPr>
        <w:ind w:left="5940" w:hanging="360"/>
      </w:pPr>
      <w:rPr>
        <w:rFonts w:ascii="Symbol" w:hAnsi="Symbol" w:hint="default"/>
      </w:rPr>
    </w:lvl>
    <w:lvl w:ilvl="7" w:tplc="10090003" w:tentative="1">
      <w:start w:val="1"/>
      <w:numFmt w:val="bullet"/>
      <w:lvlText w:val="o"/>
      <w:lvlJc w:val="left"/>
      <w:pPr>
        <w:ind w:left="6660" w:hanging="360"/>
      </w:pPr>
      <w:rPr>
        <w:rFonts w:ascii="Courier New" w:hAnsi="Courier New" w:cs="Courier New" w:hint="default"/>
      </w:rPr>
    </w:lvl>
    <w:lvl w:ilvl="8" w:tplc="10090005" w:tentative="1">
      <w:start w:val="1"/>
      <w:numFmt w:val="bullet"/>
      <w:lvlText w:val=""/>
      <w:lvlJc w:val="left"/>
      <w:pPr>
        <w:ind w:left="7380" w:hanging="360"/>
      </w:pPr>
      <w:rPr>
        <w:rFonts w:ascii="Wingdings" w:hAnsi="Wingdings" w:hint="default"/>
      </w:rPr>
    </w:lvl>
  </w:abstractNum>
  <w:abstractNum w:abstractNumId="37" w15:restartNumberingAfterBreak="0">
    <w:nsid w:val="78A935FD"/>
    <w:multiLevelType w:val="hybridMultilevel"/>
    <w:tmpl w:val="B0620BB4"/>
    <w:lvl w:ilvl="0" w:tplc="FFFFFFFF">
      <w:start w:val="1"/>
      <w:numFmt w:val="lowerLetter"/>
      <w:lvlText w:val="(%1)"/>
      <w:lvlJc w:val="left"/>
      <w:pPr>
        <w:ind w:left="720" w:hanging="360"/>
      </w:pPr>
      <w:rPr>
        <w:rFonts w:eastAsia="MS Mincho" w:hint="default"/>
        <w:i w:val="0"/>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380F33"/>
    <w:multiLevelType w:val="hybridMultilevel"/>
    <w:tmpl w:val="84CA9D3C"/>
    <w:lvl w:ilvl="0" w:tplc="B56A4AA0">
      <w:start w:val="1"/>
      <w:numFmt w:val="decimal"/>
      <w:lvlText w:val="%1."/>
      <w:lvlJc w:val="left"/>
      <w:pPr>
        <w:ind w:left="720" w:hanging="360"/>
      </w:pPr>
      <w:rPr>
        <w:rFonts w:ascii="Times New Roman" w:hAnsi="Times New Roman" w:cs="Times New Roman"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30"/>
  </w:num>
  <w:num w:numId="3">
    <w:abstractNumId w:val="20"/>
  </w:num>
  <w:num w:numId="4">
    <w:abstractNumId w:val="11"/>
  </w:num>
  <w:num w:numId="5">
    <w:abstractNumId w:val="19"/>
  </w:num>
  <w:num w:numId="6">
    <w:abstractNumId w:val="17"/>
  </w:num>
  <w:num w:numId="7">
    <w:abstractNumId w:val="12"/>
  </w:num>
  <w:num w:numId="8">
    <w:abstractNumId w:val="35"/>
  </w:num>
  <w:num w:numId="9">
    <w:abstractNumId w:val="3"/>
  </w:num>
  <w:num w:numId="10">
    <w:abstractNumId w:val="6"/>
  </w:num>
  <w:num w:numId="11">
    <w:abstractNumId w:val="16"/>
  </w:num>
  <w:num w:numId="12">
    <w:abstractNumId w:val="21"/>
  </w:num>
  <w:num w:numId="13">
    <w:abstractNumId w:val="2"/>
  </w:num>
  <w:num w:numId="14">
    <w:abstractNumId w:val="28"/>
  </w:num>
  <w:num w:numId="15">
    <w:abstractNumId w:val="23"/>
  </w:num>
  <w:num w:numId="16">
    <w:abstractNumId w:val="27"/>
  </w:num>
  <w:num w:numId="17">
    <w:abstractNumId w:val="31"/>
  </w:num>
  <w:num w:numId="18">
    <w:abstractNumId w:val="5"/>
  </w:num>
  <w:num w:numId="19">
    <w:abstractNumId w:val="1"/>
  </w:num>
  <w:num w:numId="20">
    <w:abstractNumId w:val="10"/>
  </w:num>
  <w:num w:numId="21">
    <w:abstractNumId w:val="18"/>
  </w:num>
  <w:num w:numId="22">
    <w:abstractNumId w:val="14"/>
  </w:num>
  <w:num w:numId="23">
    <w:abstractNumId w:val="29"/>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32"/>
  </w:num>
  <w:num w:numId="28">
    <w:abstractNumId w:val="22"/>
  </w:num>
  <w:num w:numId="29">
    <w:abstractNumId w:val="9"/>
  </w:num>
  <w:num w:numId="30">
    <w:abstractNumId w:val="33"/>
  </w:num>
  <w:num w:numId="31">
    <w:abstractNumId w:val="37"/>
  </w:num>
  <w:num w:numId="32">
    <w:abstractNumId w:val="25"/>
  </w:num>
  <w:num w:numId="33">
    <w:abstractNumId w:val="34"/>
  </w:num>
  <w:num w:numId="34">
    <w:abstractNumId w:val="15"/>
  </w:num>
  <w:num w:numId="35">
    <w:abstractNumId w:val="4"/>
  </w:num>
  <w:num w:numId="36">
    <w:abstractNumId w:val="8"/>
  </w:num>
  <w:num w:numId="37">
    <w:abstractNumId w:val="26"/>
  </w:num>
  <w:num w:numId="38">
    <w:abstractNumId w:val="13"/>
  </w:num>
  <w:num w:numId="39">
    <w:abstractNumId w:val="38"/>
  </w:num>
  <w:num w:numId="40">
    <w:abstractNumId w:val="0"/>
  </w:num>
  <w:num w:numId="41">
    <w:abstractNumId w:val="19"/>
    <w:lvlOverride w:ilvl="0">
      <w:startOverride w:val="5"/>
    </w:lvlOverride>
  </w:num>
  <w:num w:numId="42">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F6E"/>
    <w:rsid w:val="000002B0"/>
    <w:rsid w:val="00000746"/>
    <w:rsid w:val="0000182B"/>
    <w:rsid w:val="00002581"/>
    <w:rsid w:val="00002B7B"/>
    <w:rsid w:val="00003DE6"/>
    <w:rsid w:val="000059C6"/>
    <w:rsid w:val="00005C98"/>
    <w:rsid w:val="00007AA0"/>
    <w:rsid w:val="0001272F"/>
    <w:rsid w:val="00013ED1"/>
    <w:rsid w:val="000154FB"/>
    <w:rsid w:val="0001577B"/>
    <w:rsid w:val="000166B5"/>
    <w:rsid w:val="00021F5B"/>
    <w:rsid w:val="00024F91"/>
    <w:rsid w:val="00026EEB"/>
    <w:rsid w:val="00026FAC"/>
    <w:rsid w:val="00033AE8"/>
    <w:rsid w:val="000343B1"/>
    <w:rsid w:val="00034475"/>
    <w:rsid w:val="000366F9"/>
    <w:rsid w:val="00037640"/>
    <w:rsid w:val="000410F3"/>
    <w:rsid w:val="00041DB9"/>
    <w:rsid w:val="00044EC3"/>
    <w:rsid w:val="000458FB"/>
    <w:rsid w:val="00047A6A"/>
    <w:rsid w:val="000516B5"/>
    <w:rsid w:val="0005616A"/>
    <w:rsid w:val="00057254"/>
    <w:rsid w:val="00060FBD"/>
    <w:rsid w:val="00061A42"/>
    <w:rsid w:val="00064973"/>
    <w:rsid w:val="00064A40"/>
    <w:rsid w:val="000673BC"/>
    <w:rsid w:val="00070367"/>
    <w:rsid w:val="00072FBC"/>
    <w:rsid w:val="00073960"/>
    <w:rsid w:val="00073DAF"/>
    <w:rsid w:val="00073F91"/>
    <w:rsid w:val="00074E3B"/>
    <w:rsid w:val="00077488"/>
    <w:rsid w:val="000839C1"/>
    <w:rsid w:val="00084976"/>
    <w:rsid w:val="0008651D"/>
    <w:rsid w:val="000879C1"/>
    <w:rsid w:val="00087CC9"/>
    <w:rsid w:val="0009084D"/>
    <w:rsid w:val="00090D5E"/>
    <w:rsid w:val="000921FE"/>
    <w:rsid w:val="000924F0"/>
    <w:rsid w:val="000957E8"/>
    <w:rsid w:val="00097051"/>
    <w:rsid w:val="000A116E"/>
    <w:rsid w:val="000A1CE5"/>
    <w:rsid w:val="000A3001"/>
    <w:rsid w:val="000A4D5F"/>
    <w:rsid w:val="000A6318"/>
    <w:rsid w:val="000A6FBF"/>
    <w:rsid w:val="000B01F6"/>
    <w:rsid w:val="000B2687"/>
    <w:rsid w:val="000B2F43"/>
    <w:rsid w:val="000B37DF"/>
    <w:rsid w:val="000B46AA"/>
    <w:rsid w:val="000B69D8"/>
    <w:rsid w:val="000B77F5"/>
    <w:rsid w:val="000B7ABB"/>
    <w:rsid w:val="000C0624"/>
    <w:rsid w:val="000C2352"/>
    <w:rsid w:val="000C54C7"/>
    <w:rsid w:val="000D3A3B"/>
    <w:rsid w:val="000D4E64"/>
    <w:rsid w:val="000D4F26"/>
    <w:rsid w:val="000D5271"/>
    <w:rsid w:val="000D559E"/>
    <w:rsid w:val="000D65B0"/>
    <w:rsid w:val="000E094B"/>
    <w:rsid w:val="000E13F1"/>
    <w:rsid w:val="000E1AF1"/>
    <w:rsid w:val="000E2402"/>
    <w:rsid w:val="000E2ACA"/>
    <w:rsid w:val="000E2DDE"/>
    <w:rsid w:val="000E3095"/>
    <w:rsid w:val="000E3A01"/>
    <w:rsid w:val="000E50DB"/>
    <w:rsid w:val="000E56DD"/>
    <w:rsid w:val="000E60AC"/>
    <w:rsid w:val="000E70F1"/>
    <w:rsid w:val="000E7A47"/>
    <w:rsid w:val="000F13A4"/>
    <w:rsid w:val="000F156E"/>
    <w:rsid w:val="000F304C"/>
    <w:rsid w:val="000F4FFF"/>
    <w:rsid w:val="000F50BC"/>
    <w:rsid w:val="001007BE"/>
    <w:rsid w:val="00100B67"/>
    <w:rsid w:val="00102A9A"/>
    <w:rsid w:val="00104E48"/>
    <w:rsid w:val="001068A4"/>
    <w:rsid w:val="00106BAB"/>
    <w:rsid w:val="00110F1D"/>
    <w:rsid w:val="0011256D"/>
    <w:rsid w:val="00112972"/>
    <w:rsid w:val="00113DF0"/>
    <w:rsid w:val="00115E5B"/>
    <w:rsid w:val="0012196F"/>
    <w:rsid w:val="001229DA"/>
    <w:rsid w:val="00122BB5"/>
    <w:rsid w:val="00123D31"/>
    <w:rsid w:val="00123D4D"/>
    <w:rsid w:val="0012414F"/>
    <w:rsid w:val="00124D20"/>
    <w:rsid w:val="00125DE7"/>
    <w:rsid w:val="00126EF8"/>
    <w:rsid w:val="001272B1"/>
    <w:rsid w:val="00130502"/>
    <w:rsid w:val="001316E8"/>
    <w:rsid w:val="0013296D"/>
    <w:rsid w:val="00134763"/>
    <w:rsid w:val="00142912"/>
    <w:rsid w:val="00143A4D"/>
    <w:rsid w:val="00143D58"/>
    <w:rsid w:val="00145DC0"/>
    <w:rsid w:val="0014624C"/>
    <w:rsid w:val="0014640E"/>
    <w:rsid w:val="00147AF5"/>
    <w:rsid w:val="00150A3F"/>
    <w:rsid w:val="00152603"/>
    <w:rsid w:val="00154359"/>
    <w:rsid w:val="001553DA"/>
    <w:rsid w:val="00155860"/>
    <w:rsid w:val="0015662E"/>
    <w:rsid w:val="00157679"/>
    <w:rsid w:val="00162C69"/>
    <w:rsid w:val="00163633"/>
    <w:rsid w:val="00165195"/>
    <w:rsid w:val="001733E3"/>
    <w:rsid w:val="00173C02"/>
    <w:rsid w:val="0017683F"/>
    <w:rsid w:val="00180050"/>
    <w:rsid w:val="00180157"/>
    <w:rsid w:val="00181A63"/>
    <w:rsid w:val="00182B42"/>
    <w:rsid w:val="00183EF0"/>
    <w:rsid w:val="001863ED"/>
    <w:rsid w:val="001909EC"/>
    <w:rsid w:val="0019361E"/>
    <w:rsid w:val="00193732"/>
    <w:rsid w:val="001A11F7"/>
    <w:rsid w:val="001A3AAE"/>
    <w:rsid w:val="001A491D"/>
    <w:rsid w:val="001A4ED0"/>
    <w:rsid w:val="001A4FCC"/>
    <w:rsid w:val="001A69C9"/>
    <w:rsid w:val="001A7E47"/>
    <w:rsid w:val="001B0C64"/>
    <w:rsid w:val="001B1029"/>
    <w:rsid w:val="001B608B"/>
    <w:rsid w:val="001B78C5"/>
    <w:rsid w:val="001C06A3"/>
    <w:rsid w:val="001C5580"/>
    <w:rsid w:val="001D19E1"/>
    <w:rsid w:val="001D3A18"/>
    <w:rsid w:val="001D527E"/>
    <w:rsid w:val="001E0D64"/>
    <w:rsid w:val="001E27FC"/>
    <w:rsid w:val="001E3639"/>
    <w:rsid w:val="001E3D3A"/>
    <w:rsid w:val="001E4710"/>
    <w:rsid w:val="001E4D61"/>
    <w:rsid w:val="001F329D"/>
    <w:rsid w:val="001F4D30"/>
    <w:rsid w:val="002000B5"/>
    <w:rsid w:val="00201520"/>
    <w:rsid w:val="00201667"/>
    <w:rsid w:val="002029E1"/>
    <w:rsid w:val="002037F0"/>
    <w:rsid w:val="00206222"/>
    <w:rsid w:val="00206C0B"/>
    <w:rsid w:val="00207BF8"/>
    <w:rsid w:val="00211A06"/>
    <w:rsid w:val="002122AD"/>
    <w:rsid w:val="00215EE9"/>
    <w:rsid w:val="00216449"/>
    <w:rsid w:val="002215EE"/>
    <w:rsid w:val="0022260F"/>
    <w:rsid w:val="0022549E"/>
    <w:rsid w:val="00227644"/>
    <w:rsid w:val="002317B4"/>
    <w:rsid w:val="002337DB"/>
    <w:rsid w:val="002349D4"/>
    <w:rsid w:val="0023526B"/>
    <w:rsid w:val="00235D30"/>
    <w:rsid w:val="00240E09"/>
    <w:rsid w:val="002446A2"/>
    <w:rsid w:val="00246BBE"/>
    <w:rsid w:val="00246CA5"/>
    <w:rsid w:val="00250553"/>
    <w:rsid w:val="002516A7"/>
    <w:rsid w:val="002521B6"/>
    <w:rsid w:val="00256D62"/>
    <w:rsid w:val="00256FBC"/>
    <w:rsid w:val="002614DE"/>
    <w:rsid w:val="00262095"/>
    <w:rsid w:val="00264BC8"/>
    <w:rsid w:val="00264E4D"/>
    <w:rsid w:val="0026535F"/>
    <w:rsid w:val="00266A35"/>
    <w:rsid w:val="002712C8"/>
    <w:rsid w:val="002759F8"/>
    <w:rsid w:val="00275B3E"/>
    <w:rsid w:val="00276AB5"/>
    <w:rsid w:val="002779C5"/>
    <w:rsid w:val="00284A52"/>
    <w:rsid w:val="002855EA"/>
    <w:rsid w:val="0028587A"/>
    <w:rsid w:val="002868C3"/>
    <w:rsid w:val="002877E1"/>
    <w:rsid w:val="00294E88"/>
    <w:rsid w:val="002967E1"/>
    <w:rsid w:val="00296C27"/>
    <w:rsid w:val="002A1C95"/>
    <w:rsid w:val="002A30D3"/>
    <w:rsid w:val="002A3D85"/>
    <w:rsid w:val="002B16B5"/>
    <w:rsid w:val="002B2F66"/>
    <w:rsid w:val="002B2F91"/>
    <w:rsid w:val="002B6831"/>
    <w:rsid w:val="002C02AE"/>
    <w:rsid w:val="002C0F0D"/>
    <w:rsid w:val="002C1000"/>
    <w:rsid w:val="002C356B"/>
    <w:rsid w:val="002C5561"/>
    <w:rsid w:val="002C7E90"/>
    <w:rsid w:val="002D0036"/>
    <w:rsid w:val="002D11EC"/>
    <w:rsid w:val="002D275E"/>
    <w:rsid w:val="002D2F23"/>
    <w:rsid w:val="002D5598"/>
    <w:rsid w:val="002D5ABB"/>
    <w:rsid w:val="002D697E"/>
    <w:rsid w:val="002D76A7"/>
    <w:rsid w:val="002E0D04"/>
    <w:rsid w:val="002E0D9C"/>
    <w:rsid w:val="002E2C9B"/>
    <w:rsid w:val="002E3049"/>
    <w:rsid w:val="002E3CD9"/>
    <w:rsid w:val="002E467C"/>
    <w:rsid w:val="002E4C3E"/>
    <w:rsid w:val="002E5430"/>
    <w:rsid w:val="002E5647"/>
    <w:rsid w:val="002F54FE"/>
    <w:rsid w:val="002F5C1D"/>
    <w:rsid w:val="002F7A26"/>
    <w:rsid w:val="00300CCC"/>
    <w:rsid w:val="00304818"/>
    <w:rsid w:val="00304D7D"/>
    <w:rsid w:val="0031139F"/>
    <w:rsid w:val="00311AA4"/>
    <w:rsid w:val="0031554C"/>
    <w:rsid w:val="00315854"/>
    <w:rsid w:val="00316C01"/>
    <w:rsid w:val="003176D6"/>
    <w:rsid w:val="00320C29"/>
    <w:rsid w:val="00323722"/>
    <w:rsid w:val="003241A6"/>
    <w:rsid w:val="00324E6F"/>
    <w:rsid w:val="003263D2"/>
    <w:rsid w:val="003301C4"/>
    <w:rsid w:val="003302DF"/>
    <w:rsid w:val="0033082D"/>
    <w:rsid w:val="00335697"/>
    <w:rsid w:val="00336222"/>
    <w:rsid w:val="00336529"/>
    <w:rsid w:val="00337294"/>
    <w:rsid w:val="00337536"/>
    <w:rsid w:val="0033787D"/>
    <w:rsid w:val="003400D7"/>
    <w:rsid w:val="00341D34"/>
    <w:rsid w:val="0034499E"/>
    <w:rsid w:val="003477D4"/>
    <w:rsid w:val="003577A7"/>
    <w:rsid w:val="00362A9A"/>
    <w:rsid w:val="003661C6"/>
    <w:rsid w:val="0036740E"/>
    <w:rsid w:val="00367CCB"/>
    <w:rsid w:val="003701A3"/>
    <w:rsid w:val="003710D7"/>
    <w:rsid w:val="0037476A"/>
    <w:rsid w:val="00374C1B"/>
    <w:rsid w:val="00374E71"/>
    <w:rsid w:val="003757EB"/>
    <w:rsid w:val="00377256"/>
    <w:rsid w:val="00381DEE"/>
    <w:rsid w:val="00385B9A"/>
    <w:rsid w:val="00385DFB"/>
    <w:rsid w:val="00385FFE"/>
    <w:rsid w:val="003915F2"/>
    <w:rsid w:val="00392867"/>
    <w:rsid w:val="003934AF"/>
    <w:rsid w:val="00393808"/>
    <w:rsid w:val="00395F17"/>
    <w:rsid w:val="00397FA0"/>
    <w:rsid w:val="003A3585"/>
    <w:rsid w:val="003A380E"/>
    <w:rsid w:val="003A3E6B"/>
    <w:rsid w:val="003A51CA"/>
    <w:rsid w:val="003B10D3"/>
    <w:rsid w:val="003B164C"/>
    <w:rsid w:val="003B2F2A"/>
    <w:rsid w:val="003B3F35"/>
    <w:rsid w:val="003B71EC"/>
    <w:rsid w:val="003B7888"/>
    <w:rsid w:val="003C0491"/>
    <w:rsid w:val="003C0BF7"/>
    <w:rsid w:val="003C1039"/>
    <w:rsid w:val="003C467A"/>
    <w:rsid w:val="003C5032"/>
    <w:rsid w:val="003D111A"/>
    <w:rsid w:val="003D15F7"/>
    <w:rsid w:val="003D17B0"/>
    <w:rsid w:val="003D42E0"/>
    <w:rsid w:val="003D5BDC"/>
    <w:rsid w:val="003E1ACC"/>
    <w:rsid w:val="003E5ACE"/>
    <w:rsid w:val="003E5D4F"/>
    <w:rsid w:val="003F0F5B"/>
    <w:rsid w:val="003F1B61"/>
    <w:rsid w:val="003F3680"/>
    <w:rsid w:val="003F4E1A"/>
    <w:rsid w:val="00401136"/>
    <w:rsid w:val="00402789"/>
    <w:rsid w:val="0040685E"/>
    <w:rsid w:val="00406E7D"/>
    <w:rsid w:val="00410769"/>
    <w:rsid w:val="004108C9"/>
    <w:rsid w:val="00410F4B"/>
    <w:rsid w:val="00411146"/>
    <w:rsid w:val="004114AF"/>
    <w:rsid w:val="00412EAA"/>
    <w:rsid w:val="00413AA7"/>
    <w:rsid w:val="00417C86"/>
    <w:rsid w:val="00420935"/>
    <w:rsid w:val="0042237A"/>
    <w:rsid w:val="00423B08"/>
    <w:rsid w:val="00423F07"/>
    <w:rsid w:val="0042514E"/>
    <w:rsid w:val="00426EC2"/>
    <w:rsid w:val="00427AB9"/>
    <w:rsid w:val="004341D3"/>
    <w:rsid w:val="00434D11"/>
    <w:rsid w:val="00436E72"/>
    <w:rsid w:val="00437119"/>
    <w:rsid w:val="004371C1"/>
    <w:rsid w:val="00437D3B"/>
    <w:rsid w:val="004452D0"/>
    <w:rsid w:val="0044583B"/>
    <w:rsid w:val="004464C8"/>
    <w:rsid w:val="00447AE2"/>
    <w:rsid w:val="0045132C"/>
    <w:rsid w:val="00451D16"/>
    <w:rsid w:val="0045273E"/>
    <w:rsid w:val="00452A08"/>
    <w:rsid w:val="004617C2"/>
    <w:rsid w:val="00462F46"/>
    <w:rsid w:val="00463BC8"/>
    <w:rsid w:val="00465B99"/>
    <w:rsid w:val="00466656"/>
    <w:rsid w:val="00467353"/>
    <w:rsid w:val="00467459"/>
    <w:rsid w:val="0046780B"/>
    <w:rsid w:val="00470DF6"/>
    <w:rsid w:val="00471C03"/>
    <w:rsid w:val="0047381A"/>
    <w:rsid w:val="00474C9B"/>
    <w:rsid w:val="0047530C"/>
    <w:rsid w:val="004760BA"/>
    <w:rsid w:val="00476A0E"/>
    <w:rsid w:val="00477B47"/>
    <w:rsid w:val="00477F0C"/>
    <w:rsid w:val="00481042"/>
    <w:rsid w:val="004828A7"/>
    <w:rsid w:val="00482CA3"/>
    <w:rsid w:val="004845FB"/>
    <w:rsid w:val="00485A2F"/>
    <w:rsid w:val="004906F7"/>
    <w:rsid w:val="00490AFB"/>
    <w:rsid w:val="004925D9"/>
    <w:rsid w:val="004953F9"/>
    <w:rsid w:val="0049552E"/>
    <w:rsid w:val="004A1978"/>
    <w:rsid w:val="004A2A1B"/>
    <w:rsid w:val="004A6594"/>
    <w:rsid w:val="004B2A4F"/>
    <w:rsid w:val="004B437A"/>
    <w:rsid w:val="004B549B"/>
    <w:rsid w:val="004B5C2C"/>
    <w:rsid w:val="004B610E"/>
    <w:rsid w:val="004C117B"/>
    <w:rsid w:val="004C3C4F"/>
    <w:rsid w:val="004C47F0"/>
    <w:rsid w:val="004C6B3E"/>
    <w:rsid w:val="004D08AF"/>
    <w:rsid w:val="004D0D56"/>
    <w:rsid w:val="004D10BE"/>
    <w:rsid w:val="004D1E95"/>
    <w:rsid w:val="004D2936"/>
    <w:rsid w:val="004D3AB5"/>
    <w:rsid w:val="004D4B39"/>
    <w:rsid w:val="004D5D5D"/>
    <w:rsid w:val="004D5E90"/>
    <w:rsid w:val="004D63C0"/>
    <w:rsid w:val="004D6B0C"/>
    <w:rsid w:val="004E1BF6"/>
    <w:rsid w:val="004E7998"/>
    <w:rsid w:val="004F08AB"/>
    <w:rsid w:val="004F5393"/>
    <w:rsid w:val="004F5AF7"/>
    <w:rsid w:val="004F5C8C"/>
    <w:rsid w:val="0050090A"/>
    <w:rsid w:val="00504088"/>
    <w:rsid w:val="005060CE"/>
    <w:rsid w:val="005076D3"/>
    <w:rsid w:val="00510485"/>
    <w:rsid w:val="00510498"/>
    <w:rsid w:val="00511A08"/>
    <w:rsid w:val="005137A9"/>
    <w:rsid w:val="00514080"/>
    <w:rsid w:val="005145FE"/>
    <w:rsid w:val="005154C0"/>
    <w:rsid w:val="0051557F"/>
    <w:rsid w:val="00516909"/>
    <w:rsid w:val="00520952"/>
    <w:rsid w:val="00521291"/>
    <w:rsid w:val="00521731"/>
    <w:rsid w:val="005219D0"/>
    <w:rsid w:val="00527B39"/>
    <w:rsid w:val="005304F7"/>
    <w:rsid w:val="005311AD"/>
    <w:rsid w:val="00531FA9"/>
    <w:rsid w:val="005323CE"/>
    <w:rsid w:val="005324BF"/>
    <w:rsid w:val="00533E27"/>
    <w:rsid w:val="00534BB5"/>
    <w:rsid w:val="00534BF1"/>
    <w:rsid w:val="005365D2"/>
    <w:rsid w:val="00537554"/>
    <w:rsid w:val="0054057A"/>
    <w:rsid w:val="00541156"/>
    <w:rsid w:val="00541932"/>
    <w:rsid w:val="0054271B"/>
    <w:rsid w:val="00542D79"/>
    <w:rsid w:val="005431BB"/>
    <w:rsid w:val="00543C4E"/>
    <w:rsid w:val="005463DA"/>
    <w:rsid w:val="00551DD8"/>
    <w:rsid w:val="00552D24"/>
    <w:rsid w:val="00553B6F"/>
    <w:rsid w:val="00554C75"/>
    <w:rsid w:val="00556312"/>
    <w:rsid w:val="00556702"/>
    <w:rsid w:val="00557368"/>
    <w:rsid w:val="00560B29"/>
    <w:rsid w:val="0056127F"/>
    <w:rsid w:val="00561DCD"/>
    <w:rsid w:val="0056580A"/>
    <w:rsid w:val="00565856"/>
    <w:rsid w:val="00567A5A"/>
    <w:rsid w:val="00570BCC"/>
    <w:rsid w:val="005725D2"/>
    <w:rsid w:val="0057478A"/>
    <w:rsid w:val="00575E7D"/>
    <w:rsid w:val="00576654"/>
    <w:rsid w:val="005774E2"/>
    <w:rsid w:val="00577A9D"/>
    <w:rsid w:val="00584A38"/>
    <w:rsid w:val="0058717F"/>
    <w:rsid w:val="005873E7"/>
    <w:rsid w:val="00587B93"/>
    <w:rsid w:val="00587BAC"/>
    <w:rsid w:val="005913D5"/>
    <w:rsid w:val="00591D91"/>
    <w:rsid w:val="00593214"/>
    <w:rsid w:val="005943A8"/>
    <w:rsid w:val="00595AA9"/>
    <w:rsid w:val="00595EDB"/>
    <w:rsid w:val="005A0DC0"/>
    <w:rsid w:val="005A6A2F"/>
    <w:rsid w:val="005A6A60"/>
    <w:rsid w:val="005B07F7"/>
    <w:rsid w:val="005B132D"/>
    <w:rsid w:val="005B44EB"/>
    <w:rsid w:val="005B6468"/>
    <w:rsid w:val="005B64AB"/>
    <w:rsid w:val="005B6EEC"/>
    <w:rsid w:val="005C1778"/>
    <w:rsid w:val="005C27A9"/>
    <w:rsid w:val="005C2843"/>
    <w:rsid w:val="005C2B2F"/>
    <w:rsid w:val="005C6E0A"/>
    <w:rsid w:val="005C6EDD"/>
    <w:rsid w:val="005C72C5"/>
    <w:rsid w:val="005D1A7B"/>
    <w:rsid w:val="005D2273"/>
    <w:rsid w:val="005D25C2"/>
    <w:rsid w:val="005D3D5D"/>
    <w:rsid w:val="005D494B"/>
    <w:rsid w:val="005D720C"/>
    <w:rsid w:val="005E065B"/>
    <w:rsid w:val="005E1250"/>
    <w:rsid w:val="005E2073"/>
    <w:rsid w:val="005E33F8"/>
    <w:rsid w:val="005E5EF5"/>
    <w:rsid w:val="005F0D2C"/>
    <w:rsid w:val="005F2A8B"/>
    <w:rsid w:val="005F2AC7"/>
    <w:rsid w:val="005F5040"/>
    <w:rsid w:val="006038C5"/>
    <w:rsid w:val="00606EF5"/>
    <w:rsid w:val="006079CF"/>
    <w:rsid w:val="00607F23"/>
    <w:rsid w:val="00612DDF"/>
    <w:rsid w:val="00613EEB"/>
    <w:rsid w:val="00613FF4"/>
    <w:rsid w:val="00614C8E"/>
    <w:rsid w:val="006176C4"/>
    <w:rsid w:val="00617707"/>
    <w:rsid w:val="00621CF2"/>
    <w:rsid w:val="00625D34"/>
    <w:rsid w:val="00627D60"/>
    <w:rsid w:val="006307FE"/>
    <w:rsid w:val="006359C9"/>
    <w:rsid w:val="00644EC6"/>
    <w:rsid w:val="00645CE9"/>
    <w:rsid w:val="00645E2B"/>
    <w:rsid w:val="0064773E"/>
    <w:rsid w:val="00650866"/>
    <w:rsid w:val="00651D18"/>
    <w:rsid w:val="006523FC"/>
    <w:rsid w:val="006531D3"/>
    <w:rsid w:val="0065703A"/>
    <w:rsid w:val="00664AD9"/>
    <w:rsid w:val="00664AED"/>
    <w:rsid w:val="00665264"/>
    <w:rsid w:val="00665B8B"/>
    <w:rsid w:val="00675DA3"/>
    <w:rsid w:val="00676450"/>
    <w:rsid w:val="00677676"/>
    <w:rsid w:val="00677AB4"/>
    <w:rsid w:val="00680029"/>
    <w:rsid w:val="00682022"/>
    <w:rsid w:val="006834D3"/>
    <w:rsid w:val="00694703"/>
    <w:rsid w:val="00696B9E"/>
    <w:rsid w:val="006A0370"/>
    <w:rsid w:val="006A2453"/>
    <w:rsid w:val="006A2728"/>
    <w:rsid w:val="006A3444"/>
    <w:rsid w:val="006A77BE"/>
    <w:rsid w:val="006B0B82"/>
    <w:rsid w:val="006B245C"/>
    <w:rsid w:val="006B2B22"/>
    <w:rsid w:val="006B6506"/>
    <w:rsid w:val="006C22BA"/>
    <w:rsid w:val="006C2A33"/>
    <w:rsid w:val="006C3D45"/>
    <w:rsid w:val="006C3D47"/>
    <w:rsid w:val="006C4C1F"/>
    <w:rsid w:val="006C53E0"/>
    <w:rsid w:val="006D13C6"/>
    <w:rsid w:val="006D226B"/>
    <w:rsid w:val="006D4200"/>
    <w:rsid w:val="006D4C1B"/>
    <w:rsid w:val="006E1F2B"/>
    <w:rsid w:val="006E2308"/>
    <w:rsid w:val="006E241A"/>
    <w:rsid w:val="006E49F8"/>
    <w:rsid w:val="006E5D06"/>
    <w:rsid w:val="006E6336"/>
    <w:rsid w:val="006E7D47"/>
    <w:rsid w:val="006F3A40"/>
    <w:rsid w:val="006F435A"/>
    <w:rsid w:val="006F66D8"/>
    <w:rsid w:val="006F70E2"/>
    <w:rsid w:val="006F7879"/>
    <w:rsid w:val="007028DA"/>
    <w:rsid w:val="0070344E"/>
    <w:rsid w:val="00703D3D"/>
    <w:rsid w:val="007043AE"/>
    <w:rsid w:val="007066A0"/>
    <w:rsid w:val="0070685C"/>
    <w:rsid w:val="00710299"/>
    <w:rsid w:val="0071054C"/>
    <w:rsid w:val="007126A5"/>
    <w:rsid w:val="007130D7"/>
    <w:rsid w:val="00714CB5"/>
    <w:rsid w:val="0072096B"/>
    <w:rsid w:val="00721A0C"/>
    <w:rsid w:val="00722209"/>
    <w:rsid w:val="007224F5"/>
    <w:rsid w:val="00723CAE"/>
    <w:rsid w:val="007250F1"/>
    <w:rsid w:val="0073019C"/>
    <w:rsid w:val="00730869"/>
    <w:rsid w:val="0073523B"/>
    <w:rsid w:val="007378B8"/>
    <w:rsid w:val="00737C12"/>
    <w:rsid w:val="007412B3"/>
    <w:rsid w:val="007427F9"/>
    <w:rsid w:val="007448F7"/>
    <w:rsid w:val="00745366"/>
    <w:rsid w:val="0074774F"/>
    <w:rsid w:val="00751DEE"/>
    <w:rsid w:val="00756872"/>
    <w:rsid w:val="0075698F"/>
    <w:rsid w:val="00757679"/>
    <w:rsid w:val="00761069"/>
    <w:rsid w:val="007657A5"/>
    <w:rsid w:val="0076594C"/>
    <w:rsid w:val="00765BBD"/>
    <w:rsid w:val="00767AF4"/>
    <w:rsid w:val="00770159"/>
    <w:rsid w:val="0077068E"/>
    <w:rsid w:val="00770FD0"/>
    <w:rsid w:val="007755CA"/>
    <w:rsid w:val="00777596"/>
    <w:rsid w:val="00777B2C"/>
    <w:rsid w:val="00777BC2"/>
    <w:rsid w:val="0078000F"/>
    <w:rsid w:val="007815C3"/>
    <w:rsid w:val="00781AC0"/>
    <w:rsid w:val="0078250A"/>
    <w:rsid w:val="00782A8E"/>
    <w:rsid w:val="00785E0C"/>
    <w:rsid w:val="007860AF"/>
    <w:rsid w:val="00791ED4"/>
    <w:rsid w:val="00794AC9"/>
    <w:rsid w:val="007A0358"/>
    <w:rsid w:val="007A1D8A"/>
    <w:rsid w:val="007A3753"/>
    <w:rsid w:val="007A5DD5"/>
    <w:rsid w:val="007A6EF7"/>
    <w:rsid w:val="007B30B1"/>
    <w:rsid w:val="007B33EE"/>
    <w:rsid w:val="007B41AA"/>
    <w:rsid w:val="007B69FA"/>
    <w:rsid w:val="007C0A58"/>
    <w:rsid w:val="007C2985"/>
    <w:rsid w:val="007C30D1"/>
    <w:rsid w:val="007C4F76"/>
    <w:rsid w:val="007C56F6"/>
    <w:rsid w:val="007C601C"/>
    <w:rsid w:val="007C6108"/>
    <w:rsid w:val="007D12A9"/>
    <w:rsid w:val="007D22C8"/>
    <w:rsid w:val="007D4EF7"/>
    <w:rsid w:val="007E0551"/>
    <w:rsid w:val="007E305A"/>
    <w:rsid w:val="007E4413"/>
    <w:rsid w:val="007E68EB"/>
    <w:rsid w:val="007F24E2"/>
    <w:rsid w:val="007F2B3A"/>
    <w:rsid w:val="007F410A"/>
    <w:rsid w:val="007F5C56"/>
    <w:rsid w:val="00801CE5"/>
    <w:rsid w:val="008022F8"/>
    <w:rsid w:val="00803558"/>
    <w:rsid w:val="00803F6E"/>
    <w:rsid w:val="00805ACE"/>
    <w:rsid w:val="00807974"/>
    <w:rsid w:val="00810297"/>
    <w:rsid w:val="00811891"/>
    <w:rsid w:val="00812FAE"/>
    <w:rsid w:val="00813F95"/>
    <w:rsid w:val="00815352"/>
    <w:rsid w:val="00815424"/>
    <w:rsid w:val="008161BD"/>
    <w:rsid w:val="00816EB8"/>
    <w:rsid w:val="00817B70"/>
    <w:rsid w:val="008207CD"/>
    <w:rsid w:val="00821A00"/>
    <w:rsid w:val="00821CE3"/>
    <w:rsid w:val="00822A20"/>
    <w:rsid w:val="008236D6"/>
    <w:rsid w:val="0082384F"/>
    <w:rsid w:val="00826FC9"/>
    <w:rsid w:val="00827484"/>
    <w:rsid w:val="00827902"/>
    <w:rsid w:val="00827B35"/>
    <w:rsid w:val="00827E5A"/>
    <w:rsid w:val="00832EC3"/>
    <w:rsid w:val="0083481E"/>
    <w:rsid w:val="0083616D"/>
    <w:rsid w:val="00837820"/>
    <w:rsid w:val="00840508"/>
    <w:rsid w:val="00841161"/>
    <w:rsid w:val="0084538E"/>
    <w:rsid w:val="008471D0"/>
    <w:rsid w:val="00847EA4"/>
    <w:rsid w:val="00847F87"/>
    <w:rsid w:val="008513FA"/>
    <w:rsid w:val="00851844"/>
    <w:rsid w:val="00854CCC"/>
    <w:rsid w:val="00861B00"/>
    <w:rsid w:val="00862C9D"/>
    <w:rsid w:val="00864F29"/>
    <w:rsid w:val="008660C1"/>
    <w:rsid w:val="00872EAE"/>
    <w:rsid w:val="008736F0"/>
    <w:rsid w:val="00875044"/>
    <w:rsid w:val="008764FB"/>
    <w:rsid w:val="00877916"/>
    <w:rsid w:val="00881858"/>
    <w:rsid w:val="00885A82"/>
    <w:rsid w:val="008902B3"/>
    <w:rsid w:val="0089086B"/>
    <w:rsid w:val="008919AF"/>
    <w:rsid w:val="00892018"/>
    <w:rsid w:val="00897C77"/>
    <w:rsid w:val="008A0578"/>
    <w:rsid w:val="008A0AC7"/>
    <w:rsid w:val="008A232F"/>
    <w:rsid w:val="008A24A6"/>
    <w:rsid w:val="008A34F5"/>
    <w:rsid w:val="008A47A6"/>
    <w:rsid w:val="008A5A70"/>
    <w:rsid w:val="008A6E6E"/>
    <w:rsid w:val="008A7872"/>
    <w:rsid w:val="008B172E"/>
    <w:rsid w:val="008B37FA"/>
    <w:rsid w:val="008B3E21"/>
    <w:rsid w:val="008B4736"/>
    <w:rsid w:val="008B6F50"/>
    <w:rsid w:val="008C0EF3"/>
    <w:rsid w:val="008C1439"/>
    <w:rsid w:val="008C1728"/>
    <w:rsid w:val="008C2149"/>
    <w:rsid w:val="008C484A"/>
    <w:rsid w:val="008C5CD9"/>
    <w:rsid w:val="008C5DB6"/>
    <w:rsid w:val="008C5F47"/>
    <w:rsid w:val="008C6985"/>
    <w:rsid w:val="008D29B7"/>
    <w:rsid w:val="008D2CBA"/>
    <w:rsid w:val="008D31E7"/>
    <w:rsid w:val="008D3292"/>
    <w:rsid w:val="008E07E3"/>
    <w:rsid w:val="008E0CBE"/>
    <w:rsid w:val="008E2FB0"/>
    <w:rsid w:val="008E456B"/>
    <w:rsid w:val="008F5272"/>
    <w:rsid w:val="008F6800"/>
    <w:rsid w:val="008F6D53"/>
    <w:rsid w:val="0090054F"/>
    <w:rsid w:val="009014EE"/>
    <w:rsid w:val="009023D2"/>
    <w:rsid w:val="00904CC7"/>
    <w:rsid w:val="0090515B"/>
    <w:rsid w:val="00905C70"/>
    <w:rsid w:val="00907C42"/>
    <w:rsid w:val="00913649"/>
    <w:rsid w:val="00914C54"/>
    <w:rsid w:val="00915597"/>
    <w:rsid w:val="00916B3B"/>
    <w:rsid w:val="00917AB0"/>
    <w:rsid w:val="00920CC7"/>
    <w:rsid w:val="00926712"/>
    <w:rsid w:val="00927737"/>
    <w:rsid w:val="00931F79"/>
    <w:rsid w:val="00933078"/>
    <w:rsid w:val="00934AD5"/>
    <w:rsid w:val="00936D06"/>
    <w:rsid w:val="00937533"/>
    <w:rsid w:val="00937732"/>
    <w:rsid w:val="00937FD6"/>
    <w:rsid w:val="00941051"/>
    <w:rsid w:val="00945314"/>
    <w:rsid w:val="00947A22"/>
    <w:rsid w:val="00950336"/>
    <w:rsid w:val="00951567"/>
    <w:rsid w:val="0095156E"/>
    <w:rsid w:val="00954B3D"/>
    <w:rsid w:val="00954C16"/>
    <w:rsid w:val="00956183"/>
    <w:rsid w:val="00956525"/>
    <w:rsid w:val="00961B95"/>
    <w:rsid w:val="0096348A"/>
    <w:rsid w:val="00966230"/>
    <w:rsid w:val="00975A04"/>
    <w:rsid w:val="00975DE1"/>
    <w:rsid w:val="00977CC0"/>
    <w:rsid w:val="0098003F"/>
    <w:rsid w:val="009810D2"/>
    <w:rsid w:val="009814CA"/>
    <w:rsid w:val="00981F1B"/>
    <w:rsid w:val="00983896"/>
    <w:rsid w:val="00983F57"/>
    <w:rsid w:val="0098462C"/>
    <w:rsid w:val="009859A9"/>
    <w:rsid w:val="00986CD2"/>
    <w:rsid w:val="009873CA"/>
    <w:rsid w:val="0099061C"/>
    <w:rsid w:val="00991A63"/>
    <w:rsid w:val="00994A4D"/>
    <w:rsid w:val="00994A9E"/>
    <w:rsid w:val="009955D7"/>
    <w:rsid w:val="009964B8"/>
    <w:rsid w:val="00997F59"/>
    <w:rsid w:val="009A17A5"/>
    <w:rsid w:val="009A32CE"/>
    <w:rsid w:val="009A3FEE"/>
    <w:rsid w:val="009A60E0"/>
    <w:rsid w:val="009A64FF"/>
    <w:rsid w:val="009A7522"/>
    <w:rsid w:val="009B09E4"/>
    <w:rsid w:val="009B37F7"/>
    <w:rsid w:val="009B45F4"/>
    <w:rsid w:val="009B637D"/>
    <w:rsid w:val="009B7319"/>
    <w:rsid w:val="009C6048"/>
    <w:rsid w:val="009C6DD7"/>
    <w:rsid w:val="009C7723"/>
    <w:rsid w:val="009C789B"/>
    <w:rsid w:val="009D086C"/>
    <w:rsid w:val="009D20A0"/>
    <w:rsid w:val="009D2DCF"/>
    <w:rsid w:val="009D450A"/>
    <w:rsid w:val="009D579D"/>
    <w:rsid w:val="009D698C"/>
    <w:rsid w:val="009D6FA4"/>
    <w:rsid w:val="009D782B"/>
    <w:rsid w:val="009D7B72"/>
    <w:rsid w:val="009D7BCF"/>
    <w:rsid w:val="009E0614"/>
    <w:rsid w:val="009E35EF"/>
    <w:rsid w:val="009E5C6F"/>
    <w:rsid w:val="009E6DA6"/>
    <w:rsid w:val="009E7CDD"/>
    <w:rsid w:val="009E7F07"/>
    <w:rsid w:val="009F41C5"/>
    <w:rsid w:val="009F4273"/>
    <w:rsid w:val="009F4E47"/>
    <w:rsid w:val="009F5517"/>
    <w:rsid w:val="009F5CC2"/>
    <w:rsid w:val="009F640E"/>
    <w:rsid w:val="009F758F"/>
    <w:rsid w:val="00A0112C"/>
    <w:rsid w:val="00A04B83"/>
    <w:rsid w:val="00A04DA9"/>
    <w:rsid w:val="00A04F5A"/>
    <w:rsid w:val="00A05606"/>
    <w:rsid w:val="00A05A40"/>
    <w:rsid w:val="00A1247D"/>
    <w:rsid w:val="00A14A3F"/>
    <w:rsid w:val="00A15A1C"/>
    <w:rsid w:val="00A208AF"/>
    <w:rsid w:val="00A24494"/>
    <w:rsid w:val="00A2538C"/>
    <w:rsid w:val="00A3157E"/>
    <w:rsid w:val="00A31CD2"/>
    <w:rsid w:val="00A36DF8"/>
    <w:rsid w:val="00A37689"/>
    <w:rsid w:val="00A401DF"/>
    <w:rsid w:val="00A40DAA"/>
    <w:rsid w:val="00A411E0"/>
    <w:rsid w:val="00A43E06"/>
    <w:rsid w:val="00A4475A"/>
    <w:rsid w:val="00A44DB9"/>
    <w:rsid w:val="00A46687"/>
    <w:rsid w:val="00A51B68"/>
    <w:rsid w:val="00A5339F"/>
    <w:rsid w:val="00A53AD0"/>
    <w:rsid w:val="00A567DD"/>
    <w:rsid w:val="00A60BC6"/>
    <w:rsid w:val="00A60CC4"/>
    <w:rsid w:val="00A610C4"/>
    <w:rsid w:val="00A63C94"/>
    <w:rsid w:val="00A6522C"/>
    <w:rsid w:val="00A66AD6"/>
    <w:rsid w:val="00A6787D"/>
    <w:rsid w:val="00A7313D"/>
    <w:rsid w:val="00A73FAB"/>
    <w:rsid w:val="00A74B04"/>
    <w:rsid w:val="00A7550B"/>
    <w:rsid w:val="00A7712F"/>
    <w:rsid w:val="00A77E34"/>
    <w:rsid w:val="00A804F3"/>
    <w:rsid w:val="00A80C3F"/>
    <w:rsid w:val="00A818BD"/>
    <w:rsid w:val="00A81AD9"/>
    <w:rsid w:val="00A82548"/>
    <w:rsid w:val="00A827F4"/>
    <w:rsid w:val="00A8331B"/>
    <w:rsid w:val="00A86DA0"/>
    <w:rsid w:val="00A87D1F"/>
    <w:rsid w:val="00A917AA"/>
    <w:rsid w:val="00A95F3F"/>
    <w:rsid w:val="00A963E8"/>
    <w:rsid w:val="00A96EF7"/>
    <w:rsid w:val="00AA0A59"/>
    <w:rsid w:val="00AA4868"/>
    <w:rsid w:val="00AA4F22"/>
    <w:rsid w:val="00AA7AFB"/>
    <w:rsid w:val="00AB02E2"/>
    <w:rsid w:val="00AB0B42"/>
    <w:rsid w:val="00AB229D"/>
    <w:rsid w:val="00AB57B8"/>
    <w:rsid w:val="00AB5D33"/>
    <w:rsid w:val="00AB7DEA"/>
    <w:rsid w:val="00AC02B6"/>
    <w:rsid w:val="00AC09E3"/>
    <w:rsid w:val="00AC1D11"/>
    <w:rsid w:val="00AC648D"/>
    <w:rsid w:val="00AC755B"/>
    <w:rsid w:val="00AD1819"/>
    <w:rsid w:val="00AD1CDE"/>
    <w:rsid w:val="00AD1D5E"/>
    <w:rsid w:val="00AD28E7"/>
    <w:rsid w:val="00AD3628"/>
    <w:rsid w:val="00AD7C0C"/>
    <w:rsid w:val="00AE0928"/>
    <w:rsid w:val="00AE2718"/>
    <w:rsid w:val="00AE7151"/>
    <w:rsid w:val="00AF07A5"/>
    <w:rsid w:val="00AF2395"/>
    <w:rsid w:val="00AF28EF"/>
    <w:rsid w:val="00AF4732"/>
    <w:rsid w:val="00AF4971"/>
    <w:rsid w:val="00AF669F"/>
    <w:rsid w:val="00AF6788"/>
    <w:rsid w:val="00AF682B"/>
    <w:rsid w:val="00AF6A88"/>
    <w:rsid w:val="00AF726D"/>
    <w:rsid w:val="00AF7B0A"/>
    <w:rsid w:val="00B03A27"/>
    <w:rsid w:val="00B05D4F"/>
    <w:rsid w:val="00B1005E"/>
    <w:rsid w:val="00B10C6C"/>
    <w:rsid w:val="00B1238F"/>
    <w:rsid w:val="00B12CEF"/>
    <w:rsid w:val="00B13214"/>
    <w:rsid w:val="00B15229"/>
    <w:rsid w:val="00B154EF"/>
    <w:rsid w:val="00B161FF"/>
    <w:rsid w:val="00B17A7B"/>
    <w:rsid w:val="00B17DE7"/>
    <w:rsid w:val="00B20ED4"/>
    <w:rsid w:val="00B21D18"/>
    <w:rsid w:val="00B22261"/>
    <w:rsid w:val="00B23057"/>
    <w:rsid w:val="00B2402B"/>
    <w:rsid w:val="00B32153"/>
    <w:rsid w:val="00B34D1A"/>
    <w:rsid w:val="00B424D0"/>
    <w:rsid w:val="00B51C43"/>
    <w:rsid w:val="00B52294"/>
    <w:rsid w:val="00B5245A"/>
    <w:rsid w:val="00B52D8D"/>
    <w:rsid w:val="00B52FD0"/>
    <w:rsid w:val="00B5556D"/>
    <w:rsid w:val="00B56B25"/>
    <w:rsid w:val="00B570D9"/>
    <w:rsid w:val="00B61AA7"/>
    <w:rsid w:val="00B624B3"/>
    <w:rsid w:val="00B63150"/>
    <w:rsid w:val="00B63C74"/>
    <w:rsid w:val="00B65C52"/>
    <w:rsid w:val="00B66338"/>
    <w:rsid w:val="00B7189D"/>
    <w:rsid w:val="00B72962"/>
    <w:rsid w:val="00B7523D"/>
    <w:rsid w:val="00B76E43"/>
    <w:rsid w:val="00B77633"/>
    <w:rsid w:val="00B80F64"/>
    <w:rsid w:val="00B81BCD"/>
    <w:rsid w:val="00B81EE5"/>
    <w:rsid w:val="00B83EE8"/>
    <w:rsid w:val="00B910AB"/>
    <w:rsid w:val="00B916A8"/>
    <w:rsid w:val="00B921B6"/>
    <w:rsid w:val="00B934B3"/>
    <w:rsid w:val="00B93D4D"/>
    <w:rsid w:val="00B95952"/>
    <w:rsid w:val="00B96192"/>
    <w:rsid w:val="00B9634D"/>
    <w:rsid w:val="00B97D25"/>
    <w:rsid w:val="00BA1906"/>
    <w:rsid w:val="00BA1EE1"/>
    <w:rsid w:val="00BA2F2B"/>
    <w:rsid w:val="00BA5068"/>
    <w:rsid w:val="00BA5E6A"/>
    <w:rsid w:val="00BB1CEE"/>
    <w:rsid w:val="00BB44F0"/>
    <w:rsid w:val="00BB558A"/>
    <w:rsid w:val="00BB7839"/>
    <w:rsid w:val="00BB7864"/>
    <w:rsid w:val="00BB7887"/>
    <w:rsid w:val="00BC0C41"/>
    <w:rsid w:val="00BC100F"/>
    <w:rsid w:val="00BC12C6"/>
    <w:rsid w:val="00BC2003"/>
    <w:rsid w:val="00BC4444"/>
    <w:rsid w:val="00BC60DA"/>
    <w:rsid w:val="00BD0226"/>
    <w:rsid w:val="00BD28CC"/>
    <w:rsid w:val="00BD531A"/>
    <w:rsid w:val="00BD5C7D"/>
    <w:rsid w:val="00BD7EF8"/>
    <w:rsid w:val="00BE22CF"/>
    <w:rsid w:val="00BE2606"/>
    <w:rsid w:val="00BE31EC"/>
    <w:rsid w:val="00BE437F"/>
    <w:rsid w:val="00BE5D1D"/>
    <w:rsid w:val="00BE6BFC"/>
    <w:rsid w:val="00BF07AA"/>
    <w:rsid w:val="00BF08E2"/>
    <w:rsid w:val="00BF097F"/>
    <w:rsid w:val="00BF102E"/>
    <w:rsid w:val="00BF1737"/>
    <w:rsid w:val="00BF3CB9"/>
    <w:rsid w:val="00BF45FE"/>
    <w:rsid w:val="00BF577D"/>
    <w:rsid w:val="00BF6E14"/>
    <w:rsid w:val="00C00387"/>
    <w:rsid w:val="00C006F2"/>
    <w:rsid w:val="00C0291D"/>
    <w:rsid w:val="00C0327E"/>
    <w:rsid w:val="00C03558"/>
    <w:rsid w:val="00C0510A"/>
    <w:rsid w:val="00C05C21"/>
    <w:rsid w:val="00C06781"/>
    <w:rsid w:val="00C11023"/>
    <w:rsid w:val="00C116CB"/>
    <w:rsid w:val="00C220D5"/>
    <w:rsid w:val="00C23C96"/>
    <w:rsid w:val="00C2513E"/>
    <w:rsid w:val="00C27349"/>
    <w:rsid w:val="00C30063"/>
    <w:rsid w:val="00C31DCB"/>
    <w:rsid w:val="00C3658C"/>
    <w:rsid w:val="00C37BB8"/>
    <w:rsid w:val="00C37FCA"/>
    <w:rsid w:val="00C400E3"/>
    <w:rsid w:val="00C40304"/>
    <w:rsid w:val="00C427BB"/>
    <w:rsid w:val="00C42C6F"/>
    <w:rsid w:val="00C441BF"/>
    <w:rsid w:val="00C44266"/>
    <w:rsid w:val="00C501B6"/>
    <w:rsid w:val="00C502E3"/>
    <w:rsid w:val="00C50BF2"/>
    <w:rsid w:val="00C53BD0"/>
    <w:rsid w:val="00C55596"/>
    <w:rsid w:val="00C55B88"/>
    <w:rsid w:val="00C55D7C"/>
    <w:rsid w:val="00C5674D"/>
    <w:rsid w:val="00C60944"/>
    <w:rsid w:val="00C61177"/>
    <w:rsid w:val="00C6509A"/>
    <w:rsid w:val="00C6649D"/>
    <w:rsid w:val="00C70AC1"/>
    <w:rsid w:val="00C75007"/>
    <w:rsid w:val="00C764A0"/>
    <w:rsid w:val="00C76DEE"/>
    <w:rsid w:val="00C80B15"/>
    <w:rsid w:val="00C80E29"/>
    <w:rsid w:val="00C82BEF"/>
    <w:rsid w:val="00C837F5"/>
    <w:rsid w:val="00C83A1A"/>
    <w:rsid w:val="00C83C75"/>
    <w:rsid w:val="00C92459"/>
    <w:rsid w:val="00C94376"/>
    <w:rsid w:val="00C94410"/>
    <w:rsid w:val="00C94F0E"/>
    <w:rsid w:val="00CA057E"/>
    <w:rsid w:val="00CA0B56"/>
    <w:rsid w:val="00CA1013"/>
    <w:rsid w:val="00CA1FC7"/>
    <w:rsid w:val="00CA6D70"/>
    <w:rsid w:val="00CA737C"/>
    <w:rsid w:val="00CA76FF"/>
    <w:rsid w:val="00CA7D64"/>
    <w:rsid w:val="00CB2105"/>
    <w:rsid w:val="00CB239B"/>
    <w:rsid w:val="00CB2C52"/>
    <w:rsid w:val="00CB4B2F"/>
    <w:rsid w:val="00CC0CDE"/>
    <w:rsid w:val="00CC112C"/>
    <w:rsid w:val="00CC3BAF"/>
    <w:rsid w:val="00CC3CDE"/>
    <w:rsid w:val="00CC5385"/>
    <w:rsid w:val="00CD0327"/>
    <w:rsid w:val="00CD1859"/>
    <w:rsid w:val="00CD1A29"/>
    <w:rsid w:val="00CD2715"/>
    <w:rsid w:val="00CD2C12"/>
    <w:rsid w:val="00CD3B28"/>
    <w:rsid w:val="00CD440E"/>
    <w:rsid w:val="00CD4834"/>
    <w:rsid w:val="00CD6DB7"/>
    <w:rsid w:val="00CE29DE"/>
    <w:rsid w:val="00CE2A0B"/>
    <w:rsid w:val="00CE3507"/>
    <w:rsid w:val="00CE7249"/>
    <w:rsid w:val="00CF3C94"/>
    <w:rsid w:val="00CF6098"/>
    <w:rsid w:val="00CF75D1"/>
    <w:rsid w:val="00CF7954"/>
    <w:rsid w:val="00D00CFD"/>
    <w:rsid w:val="00D012E7"/>
    <w:rsid w:val="00D0252D"/>
    <w:rsid w:val="00D0389B"/>
    <w:rsid w:val="00D04346"/>
    <w:rsid w:val="00D04BEC"/>
    <w:rsid w:val="00D055DD"/>
    <w:rsid w:val="00D05A8B"/>
    <w:rsid w:val="00D14F20"/>
    <w:rsid w:val="00D166D4"/>
    <w:rsid w:val="00D16A73"/>
    <w:rsid w:val="00D17FE3"/>
    <w:rsid w:val="00D20195"/>
    <w:rsid w:val="00D2179C"/>
    <w:rsid w:val="00D22898"/>
    <w:rsid w:val="00D3026D"/>
    <w:rsid w:val="00D30E1B"/>
    <w:rsid w:val="00D30E24"/>
    <w:rsid w:val="00D322F4"/>
    <w:rsid w:val="00D323E1"/>
    <w:rsid w:val="00D32621"/>
    <w:rsid w:val="00D367ED"/>
    <w:rsid w:val="00D4221E"/>
    <w:rsid w:val="00D42B38"/>
    <w:rsid w:val="00D4642B"/>
    <w:rsid w:val="00D46E8E"/>
    <w:rsid w:val="00D477BC"/>
    <w:rsid w:val="00D5005D"/>
    <w:rsid w:val="00D51BC8"/>
    <w:rsid w:val="00D52C2B"/>
    <w:rsid w:val="00D5328C"/>
    <w:rsid w:val="00D53BBE"/>
    <w:rsid w:val="00D55BC1"/>
    <w:rsid w:val="00D6135E"/>
    <w:rsid w:val="00D619CA"/>
    <w:rsid w:val="00D61B10"/>
    <w:rsid w:val="00D61D84"/>
    <w:rsid w:val="00D6299E"/>
    <w:rsid w:val="00D641F5"/>
    <w:rsid w:val="00D6459B"/>
    <w:rsid w:val="00D64C99"/>
    <w:rsid w:val="00D650C5"/>
    <w:rsid w:val="00D65371"/>
    <w:rsid w:val="00D7123B"/>
    <w:rsid w:val="00D732EE"/>
    <w:rsid w:val="00D733CF"/>
    <w:rsid w:val="00D740F4"/>
    <w:rsid w:val="00D75241"/>
    <w:rsid w:val="00D755C8"/>
    <w:rsid w:val="00D755CB"/>
    <w:rsid w:val="00D75634"/>
    <w:rsid w:val="00D76385"/>
    <w:rsid w:val="00D8001A"/>
    <w:rsid w:val="00D80741"/>
    <w:rsid w:val="00D81E07"/>
    <w:rsid w:val="00D8449A"/>
    <w:rsid w:val="00D879B9"/>
    <w:rsid w:val="00D90A53"/>
    <w:rsid w:val="00D9221E"/>
    <w:rsid w:val="00D92641"/>
    <w:rsid w:val="00D935C2"/>
    <w:rsid w:val="00D95DBE"/>
    <w:rsid w:val="00D95DDF"/>
    <w:rsid w:val="00D96159"/>
    <w:rsid w:val="00DA0A9E"/>
    <w:rsid w:val="00DA2507"/>
    <w:rsid w:val="00DA3855"/>
    <w:rsid w:val="00DA3F7D"/>
    <w:rsid w:val="00DA5804"/>
    <w:rsid w:val="00DA7244"/>
    <w:rsid w:val="00DB0088"/>
    <w:rsid w:val="00DB296F"/>
    <w:rsid w:val="00DB3B8B"/>
    <w:rsid w:val="00DB688D"/>
    <w:rsid w:val="00DC035B"/>
    <w:rsid w:val="00DC150F"/>
    <w:rsid w:val="00DC4198"/>
    <w:rsid w:val="00DC47EE"/>
    <w:rsid w:val="00DD1BC8"/>
    <w:rsid w:val="00DD3B59"/>
    <w:rsid w:val="00DD3F89"/>
    <w:rsid w:val="00DD5713"/>
    <w:rsid w:val="00DD69AE"/>
    <w:rsid w:val="00DD6F64"/>
    <w:rsid w:val="00DD71A8"/>
    <w:rsid w:val="00DE3020"/>
    <w:rsid w:val="00DE3CAF"/>
    <w:rsid w:val="00DE5946"/>
    <w:rsid w:val="00DE624E"/>
    <w:rsid w:val="00DE6CC7"/>
    <w:rsid w:val="00DF1719"/>
    <w:rsid w:val="00DF3034"/>
    <w:rsid w:val="00DF3156"/>
    <w:rsid w:val="00DF325A"/>
    <w:rsid w:val="00DF4426"/>
    <w:rsid w:val="00DF4453"/>
    <w:rsid w:val="00DF52AE"/>
    <w:rsid w:val="00DF574D"/>
    <w:rsid w:val="00E0244C"/>
    <w:rsid w:val="00E04D9B"/>
    <w:rsid w:val="00E057FA"/>
    <w:rsid w:val="00E06ADB"/>
    <w:rsid w:val="00E07945"/>
    <w:rsid w:val="00E12986"/>
    <w:rsid w:val="00E133F2"/>
    <w:rsid w:val="00E16BDF"/>
    <w:rsid w:val="00E1737A"/>
    <w:rsid w:val="00E174D7"/>
    <w:rsid w:val="00E177BD"/>
    <w:rsid w:val="00E20454"/>
    <w:rsid w:val="00E2147C"/>
    <w:rsid w:val="00E23DFD"/>
    <w:rsid w:val="00E2668E"/>
    <w:rsid w:val="00E26AA1"/>
    <w:rsid w:val="00E3082A"/>
    <w:rsid w:val="00E323D4"/>
    <w:rsid w:val="00E33590"/>
    <w:rsid w:val="00E36B9C"/>
    <w:rsid w:val="00E40184"/>
    <w:rsid w:val="00E42743"/>
    <w:rsid w:val="00E42768"/>
    <w:rsid w:val="00E4410B"/>
    <w:rsid w:val="00E44664"/>
    <w:rsid w:val="00E44B7C"/>
    <w:rsid w:val="00E52470"/>
    <w:rsid w:val="00E53520"/>
    <w:rsid w:val="00E561D8"/>
    <w:rsid w:val="00E6384B"/>
    <w:rsid w:val="00E6500F"/>
    <w:rsid w:val="00E65912"/>
    <w:rsid w:val="00E66531"/>
    <w:rsid w:val="00E6710B"/>
    <w:rsid w:val="00E7493F"/>
    <w:rsid w:val="00E74EAC"/>
    <w:rsid w:val="00E7554F"/>
    <w:rsid w:val="00E7592C"/>
    <w:rsid w:val="00E8047E"/>
    <w:rsid w:val="00E813F6"/>
    <w:rsid w:val="00E8183F"/>
    <w:rsid w:val="00E82429"/>
    <w:rsid w:val="00E827BE"/>
    <w:rsid w:val="00E83C9C"/>
    <w:rsid w:val="00E84AE9"/>
    <w:rsid w:val="00E85BA4"/>
    <w:rsid w:val="00E8649D"/>
    <w:rsid w:val="00E91D03"/>
    <w:rsid w:val="00E92D1A"/>
    <w:rsid w:val="00E92F6E"/>
    <w:rsid w:val="00E93C03"/>
    <w:rsid w:val="00E93D06"/>
    <w:rsid w:val="00E972D6"/>
    <w:rsid w:val="00EA0278"/>
    <w:rsid w:val="00EA45C1"/>
    <w:rsid w:val="00EB0A1E"/>
    <w:rsid w:val="00EB73BE"/>
    <w:rsid w:val="00EB7F86"/>
    <w:rsid w:val="00EC08CC"/>
    <w:rsid w:val="00EC0CB1"/>
    <w:rsid w:val="00EC2333"/>
    <w:rsid w:val="00EC34C3"/>
    <w:rsid w:val="00EC457C"/>
    <w:rsid w:val="00EC629D"/>
    <w:rsid w:val="00EC6E6E"/>
    <w:rsid w:val="00EC6F94"/>
    <w:rsid w:val="00ED0089"/>
    <w:rsid w:val="00ED0408"/>
    <w:rsid w:val="00ED2688"/>
    <w:rsid w:val="00ED3086"/>
    <w:rsid w:val="00ED55D0"/>
    <w:rsid w:val="00ED65D5"/>
    <w:rsid w:val="00ED6619"/>
    <w:rsid w:val="00ED68DF"/>
    <w:rsid w:val="00EE0458"/>
    <w:rsid w:val="00EE5636"/>
    <w:rsid w:val="00EF00E2"/>
    <w:rsid w:val="00EF0AF3"/>
    <w:rsid w:val="00EF30CC"/>
    <w:rsid w:val="00EF428A"/>
    <w:rsid w:val="00EF74D8"/>
    <w:rsid w:val="00F00202"/>
    <w:rsid w:val="00F015EB"/>
    <w:rsid w:val="00F02C69"/>
    <w:rsid w:val="00F02D2C"/>
    <w:rsid w:val="00F0570E"/>
    <w:rsid w:val="00F07A0E"/>
    <w:rsid w:val="00F07C85"/>
    <w:rsid w:val="00F122F9"/>
    <w:rsid w:val="00F1308A"/>
    <w:rsid w:val="00F133FE"/>
    <w:rsid w:val="00F15F98"/>
    <w:rsid w:val="00F16DEC"/>
    <w:rsid w:val="00F22857"/>
    <w:rsid w:val="00F23192"/>
    <w:rsid w:val="00F23786"/>
    <w:rsid w:val="00F23BB7"/>
    <w:rsid w:val="00F25B75"/>
    <w:rsid w:val="00F26F19"/>
    <w:rsid w:val="00F3129E"/>
    <w:rsid w:val="00F32B53"/>
    <w:rsid w:val="00F32FC4"/>
    <w:rsid w:val="00F33C2D"/>
    <w:rsid w:val="00F41CC6"/>
    <w:rsid w:val="00F424D2"/>
    <w:rsid w:val="00F42E9D"/>
    <w:rsid w:val="00F44E90"/>
    <w:rsid w:val="00F46570"/>
    <w:rsid w:val="00F46B3B"/>
    <w:rsid w:val="00F50D89"/>
    <w:rsid w:val="00F51DE4"/>
    <w:rsid w:val="00F532D6"/>
    <w:rsid w:val="00F5354A"/>
    <w:rsid w:val="00F549D6"/>
    <w:rsid w:val="00F54F50"/>
    <w:rsid w:val="00F55BA8"/>
    <w:rsid w:val="00F55CFD"/>
    <w:rsid w:val="00F56B05"/>
    <w:rsid w:val="00F571F1"/>
    <w:rsid w:val="00F60ED0"/>
    <w:rsid w:val="00F660B9"/>
    <w:rsid w:val="00F66351"/>
    <w:rsid w:val="00F669F4"/>
    <w:rsid w:val="00F6735A"/>
    <w:rsid w:val="00F67CDB"/>
    <w:rsid w:val="00F7116C"/>
    <w:rsid w:val="00F73233"/>
    <w:rsid w:val="00F76BC2"/>
    <w:rsid w:val="00F774C7"/>
    <w:rsid w:val="00F8009B"/>
    <w:rsid w:val="00F819BB"/>
    <w:rsid w:val="00F81B0D"/>
    <w:rsid w:val="00F827CA"/>
    <w:rsid w:val="00F84AE5"/>
    <w:rsid w:val="00F86B3A"/>
    <w:rsid w:val="00F903DE"/>
    <w:rsid w:val="00F9138E"/>
    <w:rsid w:val="00F9183F"/>
    <w:rsid w:val="00F97DDF"/>
    <w:rsid w:val="00FA00FD"/>
    <w:rsid w:val="00FA0277"/>
    <w:rsid w:val="00FA0304"/>
    <w:rsid w:val="00FA109D"/>
    <w:rsid w:val="00FA1B0F"/>
    <w:rsid w:val="00FA2A42"/>
    <w:rsid w:val="00FA2D33"/>
    <w:rsid w:val="00FA371A"/>
    <w:rsid w:val="00FA4AB7"/>
    <w:rsid w:val="00FA60CB"/>
    <w:rsid w:val="00FA628B"/>
    <w:rsid w:val="00FA660B"/>
    <w:rsid w:val="00FA6755"/>
    <w:rsid w:val="00FB2176"/>
    <w:rsid w:val="00FB385A"/>
    <w:rsid w:val="00FB559C"/>
    <w:rsid w:val="00FB665B"/>
    <w:rsid w:val="00FC0067"/>
    <w:rsid w:val="00FC0204"/>
    <w:rsid w:val="00FC16A7"/>
    <w:rsid w:val="00FC2841"/>
    <w:rsid w:val="00FC36B5"/>
    <w:rsid w:val="00FC3B95"/>
    <w:rsid w:val="00FC47CC"/>
    <w:rsid w:val="00FC4FFD"/>
    <w:rsid w:val="00FC7691"/>
    <w:rsid w:val="00FD0890"/>
    <w:rsid w:val="00FD1FC1"/>
    <w:rsid w:val="00FD45F4"/>
    <w:rsid w:val="00FD5CEC"/>
    <w:rsid w:val="00FD71E6"/>
    <w:rsid w:val="00FE04B2"/>
    <w:rsid w:val="00FE2514"/>
    <w:rsid w:val="00FE29F6"/>
    <w:rsid w:val="00FE40AF"/>
    <w:rsid w:val="00FE4594"/>
    <w:rsid w:val="00FE49B3"/>
    <w:rsid w:val="00FE6006"/>
    <w:rsid w:val="00FE72F3"/>
    <w:rsid w:val="00FF3266"/>
    <w:rsid w:val="00FF3CAF"/>
    <w:rsid w:val="00FF3D22"/>
    <w:rsid w:val="00FF4BB7"/>
    <w:rsid w:val="00FF5DA5"/>
    <w:rsid w:val="00FF6A1D"/>
    <w:rsid w:val="00FF7C2B"/>
    <w:rsid w:val="00FF7C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fill="f" fillcolor="white" stroke="f">
      <v:fill color="white" on="f"/>
      <v:stroke on="f"/>
    </o:shapedefaults>
    <o:shapelayout v:ext="edit">
      <o:idmap v:ext="edit" data="1"/>
    </o:shapelayout>
  </w:shapeDefaults>
  <w:decimalSymbol w:val="."/>
  <w:listSeparator w:val=","/>
  <w14:docId w14:val="1ED41CC0"/>
  <w15:docId w15:val="{93B1E5C4-3548-41AB-B3F0-879010C7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67E1"/>
    <w:pPr>
      <w:jc w:val="both"/>
    </w:pPr>
    <w:rPr>
      <w:rFonts w:cs="Angsana New"/>
      <w:sz w:val="22"/>
      <w:szCs w:val="24"/>
      <w:lang w:eastAsia="en-US"/>
    </w:rPr>
  </w:style>
  <w:style w:type="paragraph" w:styleId="Heading1">
    <w:name w:val="heading 1"/>
    <w:basedOn w:val="Normal"/>
    <w:next w:val="Heading2"/>
    <w:link w:val="Heading1Char"/>
    <w:qFormat/>
    <w:rsid w:val="00943468"/>
    <w:pPr>
      <w:keepNext/>
      <w:tabs>
        <w:tab w:val="left" w:pos="720"/>
      </w:tabs>
      <w:spacing w:before="240" w:after="120"/>
      <w:jc w:val="center"/>
      <w:outlineLvl w:val="0"/>
    </w:pPr>
    <w:rPr>
      <w:b/>
      <w:caps/>
    </w:rPr>
  </w:style>
  <w:style w:type="paragraph" w:styleId="Heading2">
    <w:name w:val="heading 2"/>
    <w:basedOn w:val="Normal"/>
    <w:next w:val="Normal"/>
    <w:link w:val="Heading2Char"/>
    <w:qFormat/>
    <w:rsid w:val="000921FE"/>
    <w:pPr>
      <w:keepNext/>
      <w:tabs>
        <w:tab w:val="left" w:pos="720"/>
      </w:tabs>
      <w:spacing w:before="120" w:after="120"/>
      <w:jc w:val="center"/>
      <w:outlineLvl w:val="1"/>
    </w:pPr>
    <w:rPr>
      <w:b/>
      <w:bCs/>
      <w:iCs/>
    </w:rPr>
  </w:style>
  <w:style w:type="paragraph" w:styleId="Heading3">
    <w:name w:val="heading 3"/>
    <w:basedOn w:val="Normal"/>
    <w:next w:val="Normal"/>
    <w:qFormat/>
    <w:rsid w:val="00943468"/>
    <w:pPr>
      <w:keepNext/>
      <w:tabs>
        <w:tab w:val="left" w:pos="567"/>
      </w:tabs>
      <w:spacing w:before="120" w:after="120"/>
      <w:jc w:val="center"/>
      <w:outlineLvl w:val="2"/>
    </w:pPr>
    <w:rPr>
      <w:i/>
      <w:iCs/>
    </w:rPr>
  </w:style>
  <w:style w:type="paragraph" w:styleId="Heading4">
    <w:name w:val="heading 4"/>
    <w:basedOn w:val="Normal"/>
    <w:qFormat/>
    <w:rsid w:val="00943468"/>
    <w:pPr>
      <w:keepNext/>
      <w:spacing w:before="120" w:after="120"/>
      <w:outlineLvl w:val="3"/>
    </w:pPr>
    <w:rPr>
      <w:rFonts w:ascii="Times New Roman Bold" w:eastAsia="Arial Unicode MS" w:hAnsi="Times New Roman Bold" w:cs="Arial"/>
      <w:b/>
      <w:bCs/>
      <w:i/>
      <w:iCs/>
    </w:rPr>
  </w:style>
  <w:style w:type="paragraph" w:styleId="Heading5">
    <w:name w:val="heading 5"/>
    <w:aliases w:val="Heading 5 - GTI"/>
    <w:basedOn w:val="Normal"/>
    <w:next w:val="Normal"/>
    <w:qFormat/>
    <w:rsid w:val="00943468"/>
    <w:pPr>
      <w:keepNext/>
      <w:numPr>
        <w:ilvl w:val="4"/>
        <w:numId w:val="1"/>
      </w:numPr>
      <w:spacing w:before="120" w:after="120"/>
      <w:jc w:val="left"/>
      <w:outlineLvl w:val="4"/>
    </w:pPr>
    <w:rPr>
      <w:bCs/>
      <w:i/>
      <w:szCs w:val="26"/>
      <w:lang w:val="en-CA"/>
    </w:rPr>
  </w:style>
  <w:style w:type="paragraph" w:styleId="Heading6">
    <w:name w:val="heading 6"/>
    <w:basedOn w:val="Normal"/>
    <w:next w:val="Normal"/>
    <w:qFormat/>
    <w:rsid w:val="00943468"/>
    <w:pPr>
      <w:keepNext/>
      <w:spacing w:after="240" w:line="240" w:lineRule="exact"/>
      <w:ind w:left="720"/>
      <w:outlineLvl w:val="5"/>
    </w:pPr>
    <w:rPr>
      <w:u w:val="single"/>
    </w:rPr>
  </w:style>
  <w:style w:type="paragraph" w:styleId="Heading7">
    <w:name w:val="heading 7"/>
    <w:basedOn w:val="Normal"/>
    <w:next w:val="Normal"/>
    <w:qFormat/>
    <w:rsid w:val="00943468"/>
    <w:pPr>
      <w:keepNext/>
      <w:jc w:val="right"/>
      <w:outlineLvl w:val="6"/>
    </w:pPr>
    <w:rPr>
      <w:rFonts w:ascii="Univers" w:hAnsi="Univers"/>
      <w:b/>
      <w:sz w:val="28"/>
    </w:rPr>
  </w:style>
  <w:style w:type="paragraph" w:styleId="Heading8">
    <w:name w:val="heading 8"/>
    <w:basedOn w:val="Normal"/>
    <w:next w:val="Normal"/>
    <w:qFormat/>
    <w:rsid w:val="00943468"/>
    <w:pPr>
      <w:keepNext/>
      <w:jc w:val="right"/>
      <w:outlineLvl w:val="7"/>
    </w:pPr>
    <w:rPr>
      <w:rFonts w:ascii="Univers" w:hAnsi="Univers"/>
      <w:b/>
      <w:sz w:val="32"/>
    </w:rPr>
  </w:style>
  <w:style w:type="paragraph" w:styleId="Heading9">
    <w:name w:val="heading 9"/>
    <w:basedOn w:val="Normal"/>
    <w:next w:val="Normal"/>
    <w:qFormat/>
    <w:rsid w:val="00943468"/>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autoRedefine/>
    <w:rsid w:val="008B26EC"/>
    <w:rPr>
      <w:rFonts w:ascii="Lucida Sans Unicode" w:hAnsi="Lucida Sans Unicode"/>
      <w:noProof/>
      <w:color w:val="0000FF"/>
      <w:lang w:val="en-US"/>
    </w:rPr>
  </w:style>
  <w:style w:type="character" w:styleId="CommentReference">
    <w:name w:val="annotation reference"/>
    <w:uiPriority w:val="99"/>
    <w:rsid w:val="002B1589"/>
    <w:rPr>
      <w:sz w:val="16"/>
      <w:szCs w:val="16"/>
    </w:rPr>
  </w:style>
  <w:style w:type="paragraph" w:styleId="CommentText">
    <w:name w:val="annotation text"/>
    <w:basedOn w:val="Normal"/>
    <w:link w:val="CommentTextChar"/>
    <w:uiPriority w:val="99"/>
    <w:rsid w:val="002B1589"/>
    <w:rPr>
      <w:rFonts w:cs="Times New Roman"/>
      <w:sz w:val="20"/>
      <w:szCs w:val="20"/>
    </w:rPr>
  </w:style>
  <w:style w:type="character" w:customStyle="1" w:styleId="CommentTextChar">
    <w:name w:val="Comment Text Char"/>
    <w:link w:val="CommentText"/>
    <w:uiPriority w:val="99"/>
    <w:rsid w:val="002B1589"/>
    <w:rPr>
      <w:rFonts w:cs="Angsana New"/>
      <w:lang w:val="en-GB"/>
    </w:rPr>
  </w:style>
  <w:style w:type="paragraph" w:styleId="CommentSubject">
    <w:name w:val="annotation subject"/>
    <w:basedOn w:val="CommentText"/>
    <w:next w:val="CommentText"/>
    <w:link w:val="CommentSubjectChar"/>
    <w:rsid w:val="002B1589"/>
    <w:rPr>
      <w:b/>
      <w:bCs/>
    </w:rPr>
  </w:style>
  <w:style w:type="character" w:customStyle="1" w:styleId="CommentSubjectChar">
    <w:name w:val="Comment Subject Char"/>
    <w:link w:val="CommentSubject"/>
    <w:rsid w:val="002B1589"/>
    <w:rPr>
      <w:rFonts w:cs="Angsana New"/>
      <w:b/>
      <w:bCs/>
      <w:lang w:val="en-GB"/>
    </w:rPr>
  </w:style>
  <w:style w:type="paragraph" w:styleId="BalloonText">
    <w:name w:val="Balloon Text"/>
    <w:basedOn w:val="Normal"/>
    <w:link w:val="BalloonTextChar"/>
    <w:semiHidden/>
    <w:rsid w:val="00943468"/>
    <w:rPr>
      <w:rFonts w:ascii="Tahoma" w:hAnsi="Tahoma" w:cs="Tahoma"/>
      <w:sz w:val="16"/>
      <w:szCs w:val="16"/>
    </w:rPr>
  </w:style>
  <w:style w:type="character" w:customStyle="1" w:styleId="BalloonTextChar">
    <w:name w:val="Balloon Text Char"/>
    <w:link w:val="BalloonText"/>
    <w:rsid w:val="002B1589"/>
    <w:rPr>
      <w:rFonts w:ascii="Tahoma" w:hAnsi="Tahoma" w:cs="Tahoma"/>
      <w:sz w:val="16"/>
      <w:szCs w:val="16"/>
      <w:lang w:val="en-GB" w:eastAsia="en-US" w:bidi="ar-SA"/>
    </w:rPr>
  </w:style>
  <w:style w:type="paragraph" w:styleId="Header">
    <w:name w:val="header"/>
    <w:basedOn w:val="Normal"/>
    <w:link w:val="HeaderChar"/>
    <w:uiPriority w:val="99"/>
    <w:rsid w:val="00943468"/>
    <w:pPr>
      <w:tabs>
        <w:tab w:val="center" w:pos="4320"/>
        <w:tab w:val="right" w:pos="8640"/>
      </w:tabs>
    </w:pPr>
    <w:rPr>
      <w:rFonts w:cs="Times New Roman"/>
    </w:rPr>
  </w:style>
  <w:style w:type="paragraph" w:styleId="Footer">
    <w:name w:val="footer"/>
    <w:basedOn w:val="Normal"/>
    <w:link w:val="FooterChar"/>
    <w:uiPriority w:val="99"/>
    <w:rsid w:val="00943468"/>
    <w:pPr>
      <w:tabs>
        <w:tab w:val="center" w:pos="4320"/>
        <w:tab w:val="right" w:pos="8640"/>
      </w:tabs>
      <w:ind w:firstLine="720"/>
      <w:jc w:val="right"/>
    </w:pPr>
  </w:style>
  <w:style w:type="character" w:styleId="PageNumber">
    <w:name w:val="page number"/>
    <w:rsid w:val="00943468"/>
    <w:rPr>
      <w:rFonts w:ascii="Times New Roman" w:hAnsi="Times New Roman"/>
      <w:sz w:val="22"/>
    </w:rPr>
  </w:style>
  <w:style w:type="paragraph" w:customStyle="1" w:styleId="Cornernotation">
    <w:name w:val="Corner notation"/>
    <w:basedOn w:val="Normal"/>
    <w:rsid w:val="00943468"/>
    <w:pPr>
      <w:ind w:left="284" w:right="4398" w:hanging="284"/>
      <w:jc w:val="left"/>
    </w:pPr>
  </w:style>
  <w:style w:type="paragraph" w:styleId="BodyText">
    <w:name w:val="Body Text"/>
    <w:basedOn w:val="Normal"/>
    <w:rsid w:val="00943468"/>
    <w:pPr>
      <w:spacing w:before="120" w:after="120"/>
      <w:ind w:firstLine="720"/>
    </w:pPr>
    <w:rPr>
      <w:iCs/>
    </w:rPr>
  </w:style>
  <w:style w:type="paragraph" w:customStyle="1" w:styleId="bodytextnoindent">
    <w:name w:val="body text (no indent)"/>
    <w:basedOn w:val="Normal"/>
    <w:rsid w:val="00943468"/>
    <w:pPr>
      <w:widowControl w:val="0"/>
      <w:overflowPunct w:val="0"/>
      <w:autoSpaceDE w:val="0"/>
      <w:autoSpaceDN w:val="0"/>
      <w:adjustRightInd w:val="0"/>
      <w:spacing w:before="120" w:after="120"/>
      <w:textAlignment w:val="baseline"/>
    </w:pPr>
    <w:rPr>
      <w:szCs w:val="20"/>
      <w:lang w:eastAsia="de-DE"/>
    </w:rPr>
  </w:style>
  <w:style w:type="paragraph" w:styleId="BodyText2">
    <w:name w:val="Body Text 2"/>
    <w:basedOn w:val="Normal"/>
    <w:rsid w:val="00943468"/>
    <w:rPr>
      <w:i/>
      <w:iCs/>
    </w:rPr>
  </w:style>
  <w:style w:type="paragraph" w:styleId="BodyText3">
    <w:name w:val="Body Text 3"/>
    <w:basedOn w:val="Normal"/>
    <w:rsid w:val="00943468"/>
    <w:pPr>
      <w:jc w:val="center"/>
    </w:pPr>
    <w:rPr>
      <w:sz w:val="28"/>
    </w:rPr>
  </w:style>
  <w:style w:type="character" w:customStyle="1" w:styleId="BodyTextChar">
    <w:name w:val="Body Text Char"/>
    <w:rsid w:val="00943468"/>
    <w:rPr>
      <w:iCs/>
      <w:sz w:val="22"/>
      <w:szCs w:val="24"/>
      <w:lang w:val="en-GB" w:eastAsia="en-US" w:bidi="ar-SA"/>
    </w:rPr>
  </w:style>
  <w:style w:type="paragraph" w:styleId="BodyTextIndent">
    <w:name w:val="Body Text Indent"/>
    <w:basedOn w:val="Normal"/>
    <w:rsid w:val="00943468"/>
    <w:pPr>
      <w:spacing w:before="120" w:after="120"/>
      <w:ind w:left="1440" w:hanging="720"/>
      <w:jc w:val="left"/>
    </w:pPr>
  </w:style>
  <w:style w:type="paragraph" w:styleId="BodyTextIndent2">
    <w:name w:val="Body Text Indent 2"/>
    <w:basedOn w:val="Normal"/>
    <w:rsid w:val="00943468"/>
    <w:pPr>
      <w:ind w:firstLine="720"/>
    </w:pPr>
  </w:style>
  <w:style w:type="paragraph" w:customStyle="1" w:styleId="Bodytextitalic">
    <w:name w:val="Body text italic"/>
    <w:basedOn w:val="BodyText"/>
    <w:rsid w:val="00943468"/>
    <w:rPr>
      <w:i/>
      <w:iCs w:val="0"/>
    </w:rPr>
  </w:style>
  <w:style w:type="paragraph" w:customStyle="1" w:styleId="boxbody">
    <w:name w:val="boxbody"/>
    <w:basedOn w:val="Normal"/>
    <w:rsid w:val="00943468"/>
    <w:pPr>
      <w:spacing w:before="100" w:beforeAutospacing="1" w:after="100" w:afterAutospacing="1"/>
      <w:ind w:left="612" w:right="612"/>
    </w:pPr>
    <w:rPr>
      <w:rFonts w:ascii="Helvetica" w:eastAsia="Arial Unicode MS" w:hAnsi="Helvetica" w:cs="Arial Unicode MS"/>
      <w:sz w:val="18"/>
      <w:szCs w:val="18"/>
    </w:rPr>
  </w:style>
  <w:style w:type="character" w:styleId="EndnoteReference">
    <w:name w:val="endnote reference"/>
    <w:semiHidden/>
    <w:rsid w:val="00943468"/>
    <w:rPr>
      <w:vertAlign w:val="superscript"/>
    </w:rPr>
  </w:style>
  <w:style w:type="paragraph" w:styleId="EndnoteText">
    <w:name w:val="endnote text"/>
    <w:basedOn w:val="Normal"/>
    <w:semiHidden/>
    <w:rsid w:val="00943468"/>
    <w:pPr>
      <w:widowControl w:val="0"/>
      <w:tabs>
        <w:tab w:val="left" w:pos="-720"/>
      </w:tabs>
      <w:suppressAutoHyphens/>
    </w:pPr>
    <w:rPr>
      <w:rFonts w:ascii="Courier New" w:hAnsi="Courier New"/>
    </w:rPr>
  </w:style>
  <w:style w:type="character" w:styleId="FollowedHyperlink">
    <w:name w:val="FollowedHyperlink"/>
    <w:rsid w:val="00943468"/>
    <w:rPr>
      <w:color w:val="800080"/>
      <w:u w:val="single"/>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qFormat/>
    <w:rsid w:val="00587BAC"/>
    <w:rPr>
      <w:sz w:val="18"/>
      <w:vertAlign w:val="superscript"/>
    </w:rPr>
  </w:style>
  <w:style w:type="paragraph" w:styleId="FootnoteText">
    <w:name w:val="footnote text"/>
    <w:aliases w:val="fn,Geneva 9,Font: Geneva 9,Boston 10,f,ft,Fotnotstext Char,ft Char,single space,FOOTNOTES,ADB,single space1,footnote text1,FOOTNOTES1,fn1,ADB1,single space2,footnote text2,FOOTNOTES2,fn2,ADB2,single space3,footnote text3,fn3,footnote text"/>
    <w:basedOn w:val="Normal"/>
    <w:link w:val="FootnoteTextChar"/>
    <w:uiPriority w:val="99"/>
    <w:qFormat/>
    <w:rsid w:val="00943468"/>
    <w:pPr>
      <w:keepLines/>
      <w:spacing w:after="60"/>
      <w:ind w:firstLine="720"/>
    </w:pPr>
    <w:rPr>
      <w:sz w:val="18"/>
    </w:rPr>
  </w:style>
  <w:style w:type="paragraph" w:customStyle="1" w:styleId="HEADING">
    <w:name w:val="HEADING"/>
    <w:basedOn w:val="Normal"/>
    <w:rsid w:val="00943468"/>
    <w:pPr>
      <w:keepNext/>
      <w:tabs>
        <w:tab w:val="left" w:pos="426"/>
      </w:tabs>
      <w:spacing w:before="120" w:after="120"/>
      <w:jc w:val="center"/>
    </w:pPr>
    <w:rPr>
      <w:rFonts w:ascii="Times New Roman Bold" w:hAnsi="Times New Roman Bold" w:cs="Times New Roman"/>
      <w:b/>
      <w:bCs/>
      <w:caps/>
    </w:rPr>
  </w:style>
  <w:style w:type="paragraph" w:customStyle="1" w:styleId="Heading-plain">
    <w:name w:val="Heading - plain"/>
    <w:basedOn w:val="Heading2"/>
    <w:next w:val="BodyText"/>
    <w:rsid w:val="00943468"/>
    <w:pPr>
      <w:tabs>
        <w:tab w:val="clear" w:pos="720"/>
        <w:tab w:val="left" w:pos="900"/>
      </w:tabs>
    </w:pPr>
    <w:rPr>
      <w:rFonts w:eastAsia="Batang" w:cs="Times New Roman"/>
      <w:b w:val="0"/>
      <w:bCs w:val="0"/>
      <w:szCs w:val="20"/>
    </w:rPr>
  </w:style>
  <w:style w:type="paragraph" w:customStyle="1" w:styleId="HEADINGNOTFORTOC">
    <w:name w:val="HEADING (NOT FOR TOC)"/>
    <w:basedOn w:val="Heading1"/>
    <w:next w:val="Heading2"/>
    <w:rsid w:val="00943468"/>
  </w:style>
  <w:style w:type="paragraph" w:customStyle="1" w:styleId="Heading1longmultiline">
    <w:name w:val="Heading 1 (long multiline)"/>
    <w:basedOn w:val="Heading1"/>
    <w:rsid w:val="00943468"/>
    <w:pPr>
      <w:ind w:left="1843" w:hanging="1134"/>
      <w:jc w:val="left"/>
    </w:pPr>
  </w:style>
  <w:style w:type="paragraph" w:customStyle="1" w:styleId="Heading1multiline">
    <w:name w:val="Heading 1 (multiline)"/>
    <w:basedOn w:val="Heading1"/>
    <w:rsid w:val="00943468"/>
    <w:pPr>
      <w:ind w:left="1843" w:right="996" w:hanging="567"/>
      <w:jc w:val="left"/>
    </w:pPr>
  </w:style>
  <w:style w:type="paragraph" w:customStyle="1" w:styleId="Heading2multiline">
    <w:name w:val="Heading 2 (multiline)"/>
    <w:basedOn w:val="Heading1"/>
    <w:next w:val="Normal"/>
    <w:rsid w:val="00943468"/>
    <w:pPr>
      <w:spacing w:before="120"/>
      <w:ind w:left="1843" w:right="998" w:hanging="567"/>
      <w:jc w:val="left"/>
    </w:pPr>
    <w:rPr>
      <w:i/>
      <w:iCs/>
      <w:caps w:val="0"/>
    </w:rPr>
  </w:style>
  <w:style w:type="paragraph" w:customStyle="1" w:styleId="Heading2longmultiline">
    <w:name w:val="Heading 2 (long multiline)"/>
    <w:basedOn w:val="Heading2multiline"/>
    <w:rsid w:val="00943468"/>
    <w:pPr>
      <w:ind w:left="2127" w:hanging="1276"/>
    </w:pPr>
  </w:style>
  <w:style w:type="paragraph" w:customStyle="1" w:styleId="Heading2noletter">
    <w:name w:val="Heading 2 (no letter)"/>
    <w:basedOn w:val="Heading2"/>
    <w:rsid w:val="00943468"/>
    <w:pPr>
      <w:tabs>
        <w:tab w:val="clear" w:pos="720"/>
      </w:tabs>
    </w:pPr>
    <w:rPr>
      <w:rFonts w:cs="Times New Roman"/>
    </w:rPr>
  </w:style>
  <w:style w:type="character" w:customStyle="1" w:styleId="Heading2CharChar">
    <w:name w:val="Heading 2 Char Char"/>
    <w:rsid w:val="00943468"/>
    <w:rPr>
      <w:rFonts w:ascii="Arial" w:hAnsi="Arial" w:cs="Arial"/>
      <w:b/>
      <w:bCs/>
      <w:i/>
      <w:iCs/>
      <w:noProof w:val="0"/>
      <w:sz w:val="28"/>
      <w:szCs w:val="28"/>
      <w:lang w:val="en-US" w:eastAsia="en-US" w:bidi="ar-SA"/>
    </w:rPr>
  </w:style>
  <w:style w:type="paragraph" w:customStyle="1" w:styleId="Heading3multiline">
    <w:name w:val="Heading 3 (multiline)"/>
    <w:basedOn w:val="Heading3"/>
    <w:next w:val="Normal"/>
    <w:rsid w:val="00943468"/>
    <w:pPr>
      <w:ind w:left="1418" w:hanging="425"/>
      <w:jc w:val="left"/>
    </w:pPr>
  </w:style>
  <w:style w:type="paragraph" w:customStyle="1" w:styleId="Heading-plain0">
    <w:name w:val="Heading-plain"/>
    <w:basedOn w:val="Normal"/>
    <w:rsid w:val="00943468"/>
    <w:pPr>
      <w:spacing w:before="120" w:after="120"/>
      <w:jc w:val="center"/>
      <w:outlineLvl w:val="0"/>
    </w:pPr>
    <w:rPr>
      <w:i/>
      <w:szCs w:val="20"/>
    </w:rPr>
  </w:style>
  <w:style w:type="paragraph" w:customStyle="1" w:styleId="Heading-plainbold">
    <w:name w:val="Heading-plain bold"/>
    <w:basedOn w:val="BodyText"/>
    <w:rsid w:val="00943468"/>
    <w:pPr>
      <w:ind w:firstLine="0"/>
      <w:jc w:val="center"/>
    </w:pPr>
    <w:rPr>
      <w:b/>
      <w:bCs/>
      <w:i/>
      <w:iCs w:val="0"/>
    </w:rPr>
  </w:style>
  <w:style w:type="paragraph" w:customStyle="1" w:styleId="Heading-plainitalic">
    <w:name w:val="Heading-plain italic"/>
    <w:basedOn w:val="Heading-plainbold"/>
    <w:rsid w:val="00943468"/>
    <w:rPr>
      <w:b w:val="0"/>
      <w:bCs w:val="0"/>
    </w:rPr>
  </w:style>
  <w:style w:type="character" w:styleId="Hyperlink">
    <w:name w:val="Hyperlink"/>
    <w:uiPriority w:val="99"/>
    <w:rsid w:val="00943468"/>
    <w:rPr>
      <w:color w:val="0000FF"/>
      <w:u w:val="single"/>
    </w:rPr>
  </w:style>
  <w:style w:type="paragraph" w:styleId="NormalWeb">
    <w:name w:val="Normal (Web)"/>
    <w:basedOn w:val="Normal"/>
    <w:rsid w:val="00943468"/>
    <w:pPr>
      <w:spacing w:before="100" w:beforeAutospacing="1" w:after="100" w:afterAutospacing="1"/>
      <w:jc w:val="left"/>
    </w:pPr>
    <w:rPr>
      <w:rFonts w:ascii="Verdana" w:hAnsi="Verdana"/>
      <w:color w:val="000000"/>
      <w:sz w:val="18"/>
      <w:szCs w:val="18"/>
      <w:lang w:val="en-US"/>
    </w:rPr>
  </w:style>
  <w:style w:type="paragraph" w:customStyle="1" w:styleId="Para1">
    <w:name w:val="Para 1"/>
    <w:basedOn w:val="BodyText"/>
    <w:rsid w:val="00FB385A"/>
    <w:pPr>
      <w:numPr>
        <w:numId w:val="10"/>
      </w:numPr>
      <w:ind w:left="0" w:firstLine="0"/>
    </w:pPr>
    <w:rPr>
      <w:rFonts w:eastAsia="MS Mincho"/>
      <w:bCs/>
      <w:iCs w:val="0"/>
      <w:szCs w:val="22"/>
    </w:rPr>
  </w:style>
  <w:style w:type="character" w:customStyle="1" w:styleId="Para1Char">
    <w:name w:val="Para 1 Char"/>
    <w:rsid w:val="00943468"/>
    <w:rPr>
      <w:rFonts w:eastAsia="MS Mincho"/>
      <w:bCs/>
      <w:iCs/>
      <w:sz w:val="22"/>
      <w:szCs w:val="22"/>
      <w:lang w:val="en-GB" w:eastAsia="en-US" w:bidi="ar-SA"/>
    </w:rPr>
  </w:style>
  <w:style w:type="paragraph" w:styleId="ListParagraph">
    <w:name w:val="List Paragraph"/>
    <w:basedOn w:val="Normal"/>
    <w:uiPriority w:val="34"/>
    <w:qFormat/>
    <w:rsid w:val="000E7A47"/>
    <w:pPr>
      <w:ind w:left="720"/>
      <w:jc w:val="left"/>
    </w:pPr>
    <w:rPr>
      <w:rFonts w:ascii="Calibri" w:eastAsia="Calibri" w:hAnsi="Calibri" w:cs="Calibri"/>
      <w:szCs w:val="22"/>
      <w:lang w:val="en-US"/>
    </w:rPr>
  </w:style>
  <w:style w:type="paragraph" w:customStyle="1" w:styleId="Paraofficial">
    <w:name w:val="Para official"/>
    <w:basedOn w:val="Normal"/>
    <w:rsid w:val="00943468"/>
    <w:pPr>
      <w:framePr w:hSpace="187" w:vSpace="187" w:wrap="notBeside" w:vAnchor="text" w:hAnchor="text" w:y="1"/>
      <w:numPr>
        <w:numId w:val="2"/>
      </w:numPr>
      <w:spacing w:before="240" w:after="240"/>
      <w:jc w:val="left"/>
    </w:pPr>
    <w:rPr>
      <w:szCs w:val="20"/>
    </w:rPr>
  </w:style>
  <w:style w:type="character" w:customStyle="1" w:styleId="HeaderChar">
    <w:name w:val="Header Char"/>
    <w:link w:val="Header"/>
    <w:uiPriority w:val="99"/>
    <w:rsid w:val="000E7A47"/>
    <w:rPr>
      <w:rFonts w:cs="Angsana New"/>
      <w:sz w:val="22"/>
      <w:szCs w:val="24"/>
      <w:lang w:val="en-GB"/>
    </w:rPr>
  </w:style>
  <w:style w:type="paragraph" w:customStyle="1" w:styleId="Para1Char0">
    <w:name w:val="Para1 Char"/>
    <w:basedOn w:val="Normal"/>
    <w:rsid w:val="00943468"/>
    <w:pPr>
      <w:tabs>
        <w:tab w:val="num" w:pos="720"/>
      </w:tabs>
      <w:spacing w:before="120" w:after="120"/>
      <w:ind w:left="360"/>
    </w:pPr>
    <w:rPr>
      <w:snapToGrid w:val="0"/>
      <w:szCs w:val="18"/>
    </w:rPr>
  </w:style>
  <w:style w:type="paragraph" w:customStyle="1" w:styleId="Para1-Annex">
    <w:name w:val="Para1-Annex"/>
    <w:basedOn w:val="Normal"/>
    <w:rsid w:val="00943468"/>
    <w:pPr>
      <w:numPr>
        <w:numId w:val="3"/>
      </w:numPr>
      <w:spacing w:after="120"/>
    </w:pPr>
    <w:rPr>
      <w:rFonts w:cs="Times New Roman"/>
      <w:szCs w:val="22"/>
      <w:lang w:val="en-US"/>
    </w:rPr>
  </w:style>
  <w:style w:type="paragraph" w:customStyle="1" w:styleId="Para2">
    <w:name w:val="Para2"/>
    <w:basedOn w:val="Normal"/>
    <w:rsid w:val="00FB385A"/>
    <w:pPr>
      <w:autoSpaceDE w:val="0"/>
      <w:autoSpaceDN w:val="0"/>
      <w:spacing w:after="120"/>
    </w:pPr>
    <w:rPr>
      <w:snapToGrid w:val="0"/>
      <w:szCs w:val="18"/>
    </w:rPr>
  </w:style>
  <w:style w:type="paragraph" w:customStyle="1" w:styleId="para20">
    <w:name w:val="para2"/>
    <w:basedOn w:val="para2a"/>
    <w:rsid w:val="00FB385A"/>
  </w:style>
  <w:style w:type="paragraph" w:customStyle="1" w:styleId="Para3">
    <w:name w:val="Para3"/>
    <w:basedOn w:val="Normal"/>
    <w:rsid w:val="00943468"/>
    <w:pPr>
      <w:numPr>
        <w:ilvl w:val="2"/>
        <w:numId w:val="5"/>
      </w:numPr>
      <w:tabs>
        <w:tab w:val="left" w:pos="1980"/>
      </w:tabs>
      <w:spacing w:before="80" w:after="80"/>
    </w:pPr>
    <w:rPr>
      <w:szCs w:val="20"/>
    </w:rPr>
  </w:style>
  <w:style w:type="paragraph" w:customStyle="1" w:styleId="Para40">
    <w:name w:val="Para4"/>
    <w:basedOn w:val="Para3"/>
    <w:rsid w:val="00943468"/>
    <w:pPr>
      <w:numPr>
        <w:ilvl w:val="0"/>
        <w:numId w:val="0"/>
      </w:numPr>
      <w:tabs>
        <w:tab w:val="clear" w:pos="1980"/>
        <w:tab w:val="left" w:pos="2552"/>
        <w:tab w:val="num" w:pos="3540"/>
      </w:tabs>
      <w:ind w:left="2552" w:hanging="567"/>
    </w:pPr>
    <w:rPr>
      <w:lang w:val="en-US"/>
    </w:rPr>
  </w:style>
  <w:style w:type="paragraph" w:customStyle="1" w:styleId="para4">
    <w:name w:val="para4"/>
    <w:basedOn w:val="Normal"/>
    <w:rsid w:val="00943468"/>
    <w:pPr>
      <w:numPr>
        <w:ilvl w:val="3"/>
        <w:numId w:val="6"/>
      </w:num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num">
    <w:name w:val="Paranum"/>
    <w:basedOn w:val="Normal"/>
    <w:rsid w:val="00FB385A"/>
    <w:pPr>
      <w:numPr>
        <w:numId w:val="7"/>
      </w:numPr>
      <w:spacing w:after="120" w:line="240" w:lineRule="exact"/>
    </w:pPr>
    <w:rPr>
      <w:szCs w:val="20"/>
      <w:lang w:val="en-US"/>
    </w:rPr>
  </w:style>
  <w:style w:type="character" w:styleId="Strong">
    <w:name w:val="Strong"/>
    <w:uiPriority w:val="22"/>
    <w:qFormat/>
    <w:rsid w:val="00943468"/>
    <w:rPr>
      <w:b/>
      <w:bCs/>
    </w:rPr>
  </w:style>
  <w:style w:type="paragraph" w:customStyle="1" w:styleId="StyleBodyTextTimesNewRoman11ptCharChar">
    <w:name w:val="Style Body Text + Times New Roman 11 pt Char Char"/>
    <w:basedOn w:val="BodyText"/>
    <w:rsid w:val="00943468"/>
    <w:rPr>
      <w:iCs w:val="0"/>
      <w:snapToGrid w:val="0"/>
      <w:color w:val="000000"/>
      <w:szCs w:val="22"/>
      <w:lang w:val="en-US"/>
    </w:rPr>
  </w:style>
  <w:style w:type="character" w:customStyle="1" w:styleId="StyleBodyTextTimesNewRoman11ptCharCharChar">
    <w:name w:val="Style Body Text + Times New Roman 11 pt Char Char Char"/>
    <w:rsid w:val="00943468"/>
    <w:rPr>
      <w:rFonts w:cs="Angsana New"/>
      <w:iCs/>
      <w:snapToGrid/>
      <w:color w:val="000000"/>
      <w:sz w:val="22"/>
      <w:szCs w:val="22"/>
      <w:lang w:val="en-US" w:eastAsia="en-US" w:bidi="ar-SA"/>
    </w:rPr>
  </w:style>
  <w:style w:type="paragraph" w:customStyle="1" w:styleId="StylePara1Firstline127cm">
    <w:name w:val="Style Para1 + First line:  1.27 cm"/>
    <w:basedOn w:val="Normal"/>
    <w:rsid w:val="00FB385A"/>
    <w:pPr>
      <w:tabs>
        <w:tab w:val="num" w:pos="360"/>
      </w:tabs>
      <w:spacing w:after="120"/>
    </w:pPr>
    <w:rPr>
      <w:snapToGrid w:val="0"/>
      <w:szCs w:val="20"/>
    </w:rPr>
  </w:style>
  <w:style w:type="paragraph" w:customStyle="1" w:styleId="StylePara1Italic">
    <w:name w:val="Style Para1 + Italic"/>
    <w:basedOn w:val="Normal"/>
    <w:rsid w:val="00FB385A"/>
    <w:pPr>
      <w:spacing w:before="120" w:after="120"/>
    </w:pPr>
    <w:rPr>
      <w:rFonts w:cs="Times New Roman"/>
      <w:i/>
      <w:iCs/>
      <w:snapToGrid w:val="0"/>
      <w:szCs w:val="18"/>
    </w:rPr>
  </w:style>
  <w:style w:type="paragraph" w:styleId="Title">
    <w:name w:val="Title"/>
    <w:basedOn w:val="Normal"/>
    <w:qFormat/>
    <w:rsid w:val="00943468"/>
    <w:pPr>
      <w:jc w:val="center"/>
    </w:pPr>
    <w:rPr>
      <w:i/>
      <w:iCs/>
    </w:rPr>
  </w:style>
  <w:style w:type="paragraph" w:styleId="TOC1">
    <w:name w:val="toc 1"/>
    <w:basedOn w:val="Normal"/>
    <w:next w:val="Normal"/>
    <w:autoRedefine/>
    <w:semiHidden/>
    <w:rsid w:val="00943468"/>
    <w:pPr>
      <w:tabs>
        <w:tab w:val="left" w:pos="1440"/>
        <w:tab w:val="right" w:leader="dot" w:pos="9360"/>
      </w:tabs>
      <w:spacing w:after="120"/>
      <w:ind w:left="1440" w:right="540" w:hanging="1440"/>
      <w:jc w:val="left"/>
    </w:pPr>
    <w:rPr>
      <w:noProof/>
      <w:szCs w:val="22"/>
    </w:rPr>
  </w:style>
  <w:style w:type="paragraph" w:styleId="TOC2">
    <w:name w:val="toc 2"/>
    <w:basedOn w:val="Normal"/>
    <w:next w:val="Normal"/>
    <w:autoRedefine/>
    <w:semiHidden/>
    <w:rsid w:val="00943468"/>
    <w:pPr>
      <w:tabs>
        <w:tab w:val="left" w:pos="2700"/>
        <w:tab w:val="right" w:leader="dot" w:pos="9360"/>
      </w:tabs>
      <w:ind w:left="2160" w:right="720" w:hanging="1260"/>
    </w:pPr>
    <w:rPr>
      <w:noProof/>
      <w:szCs w:val="22"/>
    </w:rPr>
  </w:style>
  <w:style w:type="paragraph" w:styleId="TOC3">
    <w:name w:val="toc 3"/>
    <w:basedOn w:val="Normal"/>
    <w:next w:val="Normal"/>
    <w:autoRedefine/>
    <w:semiHidden/>
    <w:rsid w:val="00943468"/>
    <w:pPr>
      <w:ind w:left="2160" w:hanging="720"/>
    </w:pPr>
  </w:style>
  <w:style w:type="paragraph" w:styleId="TOC5">
    <w:name w:val="toc 5"/>
    <w:basedOn w:val="Normal"/>
    <w:next w:val="Normal"/>
    <w:autoRedefine/>
    <w:semiHidden/>
    <w:rsid w:val="00943468"/>
    <w:pPr>
      <w:ind w:left="880"/>
    </w:pPr>
  </w:style>
  <w:style w:type="paragraph" w:customStyle="1" w:styleId="MediumGrid1-Accent21">
    <w:name w:val="Medium Grid 1 - Accent 21"/>
    <w:basedOn w:val="Normal"/>
    <w:uiPriority w:val="34"/>
    <w:qFormat/>
    <w:rsid w:val="00F03479"/>
    <w:pPr>
      <w:ind w:left="720"/>
      <w:contextualSpacing/>
    </w:pPr>
  </w:style>
  <w:style w:type="paragraph" w:customStyle="1" w:styleId="para2a">
    <w:name w:val="para 2 (a)"/>
    <w:basedOn w:val="Normal"/>
    <w:qFormat/>
    <w:rsid w:val="00FB385A"/>
    <w:pPr>
      <w:numPr>
        <w:numId w:val="4"/>
      </w:numPr>
      <w:spacing w:after="120"/>
      <w:ind w:left="0" w:firstLine="763"/>
    </w:pPr>
    <w:rPr>
      <w:rFonts w:eastAsia="MS Mincho"/>
      <w:snapToGrid w:val="0"/>
      <w:szCs w:val="18"/>
    </w:rPr>
  </w:style>
  <w:style w:type="character" w:customStyle="1" w:styleId="FooterChar">
    <w:name w:val="Footer Char"/>
    <w:link w:val="Footer"/>
    <w:uiPriority w:val="99"/>
    <w:rsid w:val="00A24494"/>
    <w:rPr>
      <w:rFonts w:cs="Angsana New"/>
      <w:sz w:val="22"/>
      <w:szCs w:val="24"/>
      <w:lang w:val="en-GB"/>
    </w:rPr>
  </w:style>
  <w:style w:type="character" w:customStyle="1" w:styleId="FootnoteTextChar">
    <w:name w:val="Footnote Text Char"/>
    <w:aliases w:val="fn Char,Geneva 9 Char,Font: Geneva 9 Char,Boston 10 Char,f Char,ft Char1,Fotnotstext Char Char,ft Char Char,single space Char,FOOTNOTES Char,ADB Char,single space1 Char,footnote text1 Char,FOOTNOTES1 Char,fn1 Char,ADB1 Char,fn2 Char"/>
    <w:link w:val="FootnoteText"/>
    <w:uiPriority w:val="99"/>
    <w:rsid w:val="00C3658C"/>
    <w:rPr>
      <w:rFonts w:cs="Angsana New"/>
      <w:sz w:val="18"/>
      <w:szCs w:val="24"/>
      <w:lang w:val="en-GB"/>
    </w:rPr>
  </w:style>
  <w:style w:type="character" w:customStyle="1" w:styleId="Heading2Char">
    <w:name w:val="Heading 2 Char"/>
    <w:link w:val="Heading2"/>
    <w:rsid w:val="00D7123B"/>
    <w:rPr>
      <w:rFonts w:cs="Angsana New"/>
      <w:b/>
      <w:bCs/>
      <w:iCs/>
      <w:sz w:val="22"/>
      <w:szCs w:val="24"/>
      <w:lang w:val="en-GB"/>
    </w:rPr>
  </w:style>
  <w:style w:type="table" w:styleId="TableGrid">
    <w:name w:val="Table Grid"/>
    <w:basedOn w:val="TableNormal"/>
    <w:uiPriority w:val="39"/>
    <w:rsid w:val="00540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E5352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Default">
    <w:name w:val="Default"/>
    <w:rsid w:val="00837820"/>
    <w:pPr>
      <w:autoSpaceDE w:val="0"/>
      <w:autoSpaceDN w:val="0"/>
      <w:adjustRightInd w:val="0"/>
    </w:pPr>
    <w:rPr>
      <w:rFonts w:eastAsia="Calibri"/>
      <w:color w:val="000000"/>
      <w:sz w:val="24"/>
      <w:szCs w:val="24"/>
      <w:lang w:val="en-US" w:eastAsia="en-US"/>
    </w:rPr>
  </w:style>
  <w:style w:type="paragraph" w:styleId="PlainText">
    <w:name w:val="Plain Text"/>
    <w:basedOn w:val="Normal"/>
    <w:link w:val="PlainTextChar"/>
    <w:uiPriority w:val="99"/>
    <w:unhideWhenUsed/>
    <w:rsid w:val="008022F8"/>
    <w:pPr>
      <w:jc w:val="left"/>
    </w:pPr>
    <w:rPr>
      <w:rFonts w:ascii="Calibri" w:eastAsia="Calibri" w:hAnsi="Calibri" w:cs="Times New Roman"/>
      <w:szCs w:val="21"/>
    </w:rPr>
  </w:style>
  <w:style w:type="character" w:customStyle="1" w:styleId="PlainTextChar">
    <w:name w:val="Plain Text Char"/>
    <w:link w:val="PlainText"/>
    <w:uiPriority w:val="99"/>
    <w:rsid w:val="008022F8"/>
    <w:rPr>
      <w:rFonts w:ascii="Calibri" w:eastAsia="Calibri" w:hAnsi="Calibri"/>
      <w:sz w:val="22"/>
      <w:szCs w:val="21"/>
    </w:rPr>
  </w:style>
  <w:style w:type="character" w:customStyle="1" w:styleId="Heading1Char">
    <w:name w:val="Heading 1 Char"/>
    <w:link w:val="Heading1"/>
    <w:rsid w:val="005943A8"/>
    <w:rPr>
      <w:rFonts w:cs="Angsana New"/>
      <w:b/>
      <w:caps/>
      <w:sz w:val="22"/>
      <w:szCs w:val="24"/>
      <w:lang w:val="en-GB"/>
    </w:rPr>
  </w:style>
  <w:style w:type="paragraph" w:customStyle="1" w:styleId="Para10">
    <w:name w:val="Para1"/>
    <w:basedOn w:val="Normal"/>
    <w:rsid w:val="00561DCD"/>
    <w:pPr>
      <w:tabs>
        <w:tab w:val="num" w:pos="360"/>
      </w:tabs>
      <w:spacing w:before="120" w:after="120"/>
    </w:pPr>
    <w:rPr>
      <w:rFonts w:cs="Times New Roman"/>
      <w:snapToGrid w:val="0"/>
      <w:szCs w:val="18"/>
    </w:rPr>
  </w:style>
  <w:style w:type="paragraph" w:customStyle="1" w:styleId="Chaptertext">
    <w:name w:val="Chapter text"/>
    <w:basedOn w:val="Normal"/>
    <w:qFormat/>
    <w:rsid w:val="00B1238F"/>
    <w:pPr>
      <w:spacing w:after="200" w:line="270" w:lineRule="atLeast"/>
      <w:jc w:val="left"/>
    </w:pPr>
    <w:rPr>
      <w:rFonts w:ascii="Constantia" w:eastAsiaTheme="minorHAnsi" w:hAnsi="Constantia" w:cstheme="minorBidi"/>
      <w:sz w:val="20"/>
      <w:szCs w:val="22"/>
    </w:rPr>
  </w:style>
  <w:style w:type="character" w:customStyle="1" w:styleId="A4">
    <w:name w:val="A4"/>
    <w:uiPriority w:val="99"/>
    <w:rsid w:val="005E065B"/>
    <w:rPr>
      <w:rFonts w:cs="Adobe Garamond Pro"/>
      <w:color w:val="000000"/>
      <w:sz w:val="19"/>
      <w:szCs w:val="19"/>
    </w:rPr>
  </w:style>
  <w:style w:type="paragraph" w:styleId="NoSpacing">
    <w:name w:val="No Spacing"/>
    <w:uiPriority w:val="1"/>
    <w:qFormat/>
    <w:rsid w:val="00021F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8620">
      <w:bodyDiv w:val="1"/>
      <w:marLeft w:val="0"/>
      <w:marRight w:val="0"/>
      <w:marTop w:val="0"/>
      <w:marBottom w:val="0"/>
      <w:divBdr>
        <w:top w:val="none" w:sz="0" w:space="0" w:color="auto"/>
        <w:left w:val="none" w:sz="0" w:space="0" w:color="auto"/>
        <w:bottom w:val="none" w:sz="0" w:space="0" w:color="auto"/>
        <w:right w:val="none" w:sz="0" w:space="0" w:color="auto"/>
      </w:divBdr>
    </w:div>
    <w:div w:id="43988704">
      <w:bodyDiv w:val="1"/>
      <w:marLeft w:val="0"/>
      <w:marRight w:val="0"/>
      <w:marTop w:val="0"/>
      <w:marBottom w:val="0"/>
      <w:divBdr>
        <w:top w:val="none" w:sz="0" w:space="0" w:color="auto"/>
        <w:left w:val="none" w:sz="0" w:space="0" w:color="auto"/>
        <w:bottom w:val="none" w:sz="0" w:space="0" w:color="auto"/>
        <w:right w:val="none" w:sz="0" w:space="0" w:color="auto"/>
      </w:divBdr>
    </w:div>
    <w:div w:id="61762445">
      <w:bodyDiv w:val="1"/>
      <w:marLeft w:val="0"/>
      <w:marRight w:val="0"/>
      <w:marTop w:val="0"/>
      <w:marBottom w:val="0"/>
      <w:divBdr>
        <w:top w:val="none" w:sz="0" w:space="0" w:color="auto"/>
        <w:left w:val="none" w:sz="0" w:space="0" w:color="auto"/>
        <w:bottom w:val="none" w:sz="0" w:space="0" w:color="auto"/>
        <w:right w:val="none" w:sz="0" w:space="0" w:color="auto"/>
      </w:divBdr>
    </w:div>
    <w:div w:id="71441018">
      <w:bodyDiv w:val="1"/>
      <w:marLeft w:val="0"/>
      <w:marRight w:val="0"/>
      <w:marTop w:val="0"/>
      <w:marBottom w:val="0"/>
      <w:divBdr>
        <w:top w:val="none" w:sz="0" w:space="0" w:color="auto"/>
        <w:left w:val="none" w:sz="0" w:space="0" w:color="auto"/>
        <w:bottom w:val="none" w:sz="0" w:space="0" w:color="auto"/>
        <w:right w:val="none" w:sz="0" w:space="0" w:color="auto"/>
      </w:divBdr>
    </w:div>
    <w:div w:id="75134114">
      <w:bodyDiv w:val="1"/>
      <w:marLeft w:val="0"/>
      <w:marRight w:val="0"/>
      <w:marTop w:val="0"/>
      <w:marBottom w:val="0"/>
      <w:divBdr>
        <w:top w:val="none" w:sz="0" w:space="0" w:color="auto"/>
        <w:left w:val="none" w:sz="0" w:space="0" w:color="auto"/>
        <w:bottom w:val="none" w:sz="0" w:space="0" w:color="auto"/>
        <w:right w:val="none" w:sz="0" w:space="0" w:color="auto"/>
      </w:divBdr>
    </w:div>
    <w:div w:id="135268752">
      <w:bodyDiv w:val="1"/>
      <w:marLeft w:val="0"/>
      <w:marRight w:val="0"/>
      <w:marTop w:val="0"/>
      <w:marBottom w:val="0"/>
      <w:divBdr>
        <w:top w:val="none" w:sz="0" w:space="0" w:color="auto"/>
        <w:left w:val="none" w:sz="0" w:space="0" w:color="auto"/>
        <w:bottom w:val="none" w:sz="0" w:space="0" w:color="auto"/>
        <w:right w:val="none" w:sz="0" w:space="0" w:color="auto"/>
      </w:divBdr>
    </w:div>
    <w:div w:id="150685234">
      <w:bodyDiv w:val="1"/>
      <w:marLeft w:val="0"/>
      <w:marRight w:val="0"/>
      <w:marTop w:val="0"/>
      <w:marBottom w:val="0"/>
      <w:divBdr>
        <w:top w:val="none" w:sz="0" w:space="0" w:color="auto"/>
        <w:left w:val="none" w:sz="0" w:space="0" w:color="auto"/>
        <w:bottom w:val="none" w:sz="0" w:space="0" w:color="auto"/>
        <w:right w:val="none" w:sz="0" w:space="0" w:color="auto"/>
      </w:divBdr>
    </w:div>
    <w:div w:id="184948137">
      <w:bodyDiv w:val="1"/>
      <w:marLeft w:val="0"/>
      <w:marRight w:val="0"/>
      <w:marTop w:val="0"/>
      <w:marBottom w:val="0"/>
      <w:divBdr>
        <w:top w:val="none" w:sz="0" w:space="0" w:color="auto"/>
        <w:left w:val="none" w:sz="0" w:space="0" w:color="auto"/>
        <w:bottom w:val="none" w:sz="0" w:space="0" w:color="auto"/>
        <w:right w:val="none" w:sz="0" w:space="0" w:color="auto"/>
      </w:divBdr>
    </w:div>
    <w:div w:id="226110418">
      <w:bodyDiv w:val="1"/>
      <w:marLeft w:val="0"/>
      <w:marRight w:val="0"/>
      <w:marTop w:val="0"/>
      <w:marBottom w:val="0"/>
      <w:divBdr>
        <w:top w:val="none" w:sz="0" w:space="0" w:color="auto"/>
        <w:left w:val="none" w:sz="0" w:space="0" w:color="auto"/>
        <w:bottom w:val="none" w:sz="0" w:space="0" w:color="auto"/>
        <w:right w:val="none" w:sz="0" w:space="0" w:color="auto"/>
      </w:divBdr>
    </w:div>
    <w:div w:id="250504110">
      <w:bodyDiv w:val="1"/>
      <w:marLeft w:val="0"/>
      <w:marRight w:val="0"/>
      <w:marTop w:val="0"/>
      <w:marBottom w:val="0"/>
      <w:divBdr>
        <w:top w:val="none" w:sz="0" w:space="0" w:color="auto"/>
        <w:left w:val="none" w:sz="0" w:space="0" w:color="auto"/>
        <w:bottom w:val="none" w:sz="0" w:space="0" w:color="auto"/>
        <w:right w:val="none" w:sz="0" w:space="0" w:color="auto"/>
      </w:divBdr>
    </w:div>
    <w:div w:id="273900645">
      <w:bodyDiv w:val="1"/>
      <w:marLeft w:val="0"/>
      <w:marRight w:val="0"/>
      <w:marTop w:val="0"/>
      <w:marBottom w:val="0"/>
      <w:divBdr>
        <w:top w:val="none" w:sz="0" w:space="0" w:color="auto"/>
        <w:left w:val="none" w:sz="0" w:space="0" w:color="auto"/>
        <w:bottom w:val="none" w:sz="0" w:space="0" w:color="auto"/>
        <w:right w:val="none" w:sz="0" w:space="0" w:color="auto"/>
      </w:divBdr>
    </w:div>
    <w:div w:id="305864634">
      <w:bodyDiv w:val="1"/>
      <w:marLeft w:val="0"/>
      <w:marRight w:val="0"/>
      <w:marTop w:val="0"/>
      <w:marBottom w:val="0"/>
      <w:divBdr>
        <w:top w:val="none" w:sz="0" w:space="0" w:color="auto"/>
        <w:left w:val="none" w:sz="0" w:space="0" w:color="auto"/>
        <w:bottom w:val="none" w:sz="0" w:space="0" w:color="auto"/>
        <w:right w:val="none" w:sz="0" w:space="0" w:color="auto"/>
      </w:divBdr>
    </w:div>
    <w:div w:id="308675166">
      <w:bodyDiv w:val="1"/>
      <w:marLeft w:val="0"/>
      <w:marRight w:val="0"/>
      <w:marTop w:val="0"/>
      <w:marBottom w:val="0"/>
      <w:divBdr>
        <w:top w:val="none" w:sz="0" w:space="0" w:color="auto"/>
        <w:left w:val="none" w:sz="0" w:space="0" w:color="auto"/>
        <w:bottom w:val="none" w:sz="0" w:space="0" w:color="auto"/>
        <w:right w:val="none" w:sz="0" w:space="0" w:color="auto"/>
      </w:divBdr>
    </w:div>
    <w:div w:id="328868854">
      <w:bodyDiv w:val="1"/>
      <w:marLeft w:val="0"/>
      <w:marRight w:val="0"/>
      <w:marTop w:val="0"/>
      <w:marBottom w:val="0"/>
      <w:divBdr>
        <w:top w:val="none" w:sz="0" w:space="0" w:color="auto"/>
        <w:left w:val="none" w:sz="0" w:space="0" w:color="auto"/>
        <w:bottom w:val="none" w:sz="0" w:space="0" w:color="auto"/>
        <w:right w:val="none" w:sz="0" w:space="0" w:color="auto"/>
      </w:divBdr>
    </w:div>
    <w:div w:id="332993484">
      <w:bodyDiv w:val="1"/>
      <w:marLeft w:val="0"/>
      <w:marRight w:val="0"/>
      <w:marTop w:val="0"/>
      <w:marBottom w:val="0"/>
      <w:divBdr>
        <w:top w:val="none" w:sz="0" w:space="0" w:color="auto"/>
        <w:left w:val="none" w:sz="0" w:space="0" w:color="auto"/>
        <w:bottom w:val="none" w:sz="0" w:space="0" w:color="auto"/>
        <w:right w:val="none" w:sz="0" w:space="0" w:color="auto"/>
      </w:divBdr>
    </w:div>
    <w:div w:id="395905260">
      <w:bodyDiv w:val="1"/>
      <w:marLeft w:val="0"/>
      <w:marRight w:val="0"/>
      <w:marTop w:val="0"/>
      <w:marBottom w:val="0"/>
      <w:divBdr>
        <w:top w:val="none" w:sz="0" w:space="0" w:color="auto"/>
        <w:left w:val="none" w:sz="0" w:space="0" w:color="auto"/>
        <w:bottom w:val="none" w:sz="0" w:space="0" w:color="auto"/>
        <w:right w:val="none" w:sz="0" w:space="0" w:color="auto"/>
      </w:divBdr>
    </w:div>
    <w:div w:id="432168631">
      <w:bodyDiv w:val="1"/>
      <w:marLeft w:val="0"/>
      <w:marRight w:val="0"/>
      <w:marTop w:val="0"/>
      <w:marBottom w:val="0"/>
      <w:divBdr>
        <w:top w:val="none" w:sz="0" w:space="0" w:color="auto"/>
        <w:left w:val="none" w:sz="0" w:space="0" w:color="auto"/>
        <w:bottom w:val="none" w:sz="0" w:space="0" w:color="auto"/>
        <w:right w:val="none" w:sz="0" w:space="0" w:color="auto"/>
      </w:divBdr>
    </w:div>
    <w:div w:id="464782971">
      <w:bodyDiv w:val="1"/>
      <w:marLeft w:val="0"/>
      <w:marRight w:val="0"/>
      <w:marTop w:val="0"/>
      <w:marBottom w:val="0"/>
      <w:divBdr>
        <w:top w:val="none" w:sz="0" w:space="0" w:color="auto"/>
        <w:left w:val="none" w:sz="0" w:space="0" w:color="auto"/>
        <w:bottom w:val="none" w:sz="0" w:space="0" w:color="auto"/>
        <w:right w:val="none" w:sz="0" w:space="0" w:color="auto"/>
      </w:divBdr>
    </w:div>
    <w:div w:id="487602098">
      <w:bodyDiv w:val="1"/>
      <w:marLeft w:val="0"/>
      <w:marRight w:val="0"/>
      <w:marTop w:val="0"/>
      <w:marBottom w:val="0"/>
      <w:divBdr>
        <w:top w:val="none" w:sz="0" w:space="0" w:color="auto"/>
        <w:left w:val="none" w:sz="0" w:space="0" w:color="auto"/>
        <w:bottom w:val="none" w:sz="0" w:space="0" w:color="auto"/>
        <w:right w:val="none" w:sz="0" w:space="0" w:color="auto"/>
      </w:divBdr>
    </w:div>
    <w:div w:id="537620050">
      <w:bodyDiv w:val="1"/>
      <w:marLeft w:val="0"/>
      <w:marRight w:val="0"/>
      <w:marTop w:val="0"/>
      <w:marBottom w:val="0"/>
      <w:divBdr>
        <w:top w:val="none" w:sz="0" w:space="0" w:color="auto"/>
        <w:left w:val="none" w:sz="0" w:space="0" w:color="auto"/>
        <w:bottom w:val="none" w:sz="0" w:space="0" w:color="auto"/>
        <w:right w:val="none" w:sz="0" w:space="0" w:color="auto"/>
      </w:divBdr>
    </w:div>
    <w:div w:id="585844214">
      <w:bodyDiv w:val="1"/>
      <w:marLeft w:val="0"/>
      <w:marRight w:val="0"/>
      <w:marTop w:val="0"/>
      <w:marBottom w:val="0"/>
      <w:divBdr>
        <w:top w:val="none" w:sz="0" w:space="0" w:color="auto"/>
        <w:left w:val="none" w:sz="0" w:space="0" w:color="auto"/>
        <w:bottom w:val="none" w:sz="0" w:space="0" w:color="auto"/>
        <w:right w:val="none" w:sz="0" w:space="0" w:color="auto"/>
      </w:divBdr>
    </w:div>
    <w:div w:id="587733328">
      <w:bodyDiv w:val="1"/>
      <w:marLeft w:val="0"/>
      <w:marRight w:val="0"/>
      <w:marTop w:val="0"/>
      <w:marBottom w:val="0"/>
      <w:divBdr>
        <w:top w:val="none" w:sz="0" w:space="0" w:color="auto"/>
        <w:left w:val="none" w:sz="0" w:space="0" w:color="auto"/>
        <w:bottom w:val="none" w:sz="0" w:space="0" w:color="auto"/>
        <w:right w:val="none" w:sz="0" w:space="0" w:color="auto"/>
      </w:divBdr>
    </w:div>
    <w:div w:id="618688567">
      <w:bodyDiv w:val="1"/>
      <w:marLeft w:val="0"/>
      <w:marRight w:val="0"/>
      <w:marTop w:val="0"/>
      <w:marBottom w:val="0"/>
      <w:divBdr>
        <w:top w:val="none" w:sz="0" w:space="0" w:color="auto"/>
        <w:left w:val="none" w:sz="0" w:space="0" w:color="auto"/>
        <w:bottom w:val="none" w:sz="0" w:space="0" w:color="auto"/>
        <w:right w:val="none" w:sz="0" w:space="0" w:color="auto"/>
      </w:divBdr>
    </w:div>
    <w:div w:id="635719664">
      <w:bodyDiv w:val="1"/>
      <w:marLeft w:val="0"/>
      <w:marRight w:val="0"/>
      <w:marTop w:val="0"/>
      <w:marBottom w:val="0"/>
      <w:divBdr>
        <w:top w:val="none" w:sz="0" w:space="0" w:color="auto"/>
        <w:left w:val="none" w:sz="0" w:space="0" w:color="auto"/>
        <w:bottom w:val="none" w:sz="0" w:space="0" w:color="auto"/>
        <w:right w:val="none" w:sz="0" w:space="0" w:color="auto"/>
      </w:divBdr>
    </w:div>
    <w:div w:id="642581636">
      <w:bodyDiv w:val="1"/>
      <w:marLeft w:val="0"/>
      <w:marRight w:val="0"/>
      <w:marTop w:val="0"/>
      <w:marBottom w:val="0"/>
      <w:divBdr>
        <w:top w:val="none" w:sz="0" w:space="0" w:color="auto"/>
        <w:left w:val="none" w:sz="0" w:space="0" w:color="auto"/>
        <w:bottom w:val="none" w:sz="0" w:space="0" w:color="auto"/>
        <w:right w:val="none" w:sz="0" w:space="0" w:color="auto"/>
      </w:divBdr>
    </w:div>
    <w:div w:id="651982770">
      <w:bodyDiv w:val="1"/>
      <w:marLeft w:val="0"/>
      <w:marRight w:val="0"/>
      <w:marTop w:val="0"/>
      <w:marBottom w:val="0"/>
      <w:divBdr>
        <w:top w:val="none" w:sz="0" w:space="0" w:color="auto"/>
        <w:left w:val="none" w:sz="0" w:space="0" w:color="auto"/>
        <w:bottom w:val="none" w:sz="0" w:space="0" w:color="auto"/>
        <w:right w:val="none" w:sz="0" w:space="0" w:color="auto"/>
      </w:divBdr>
    </w:div>
    <w:div w:id="659505474">
      <w:bodyDiv w:val="1"/>
      <w:marLeft w:val="0"/>
      <w:marRight w:val="0"/>
      <w:marTop w:val="0"/>
      <w:marBottom w:val="0"/>
      <w:divBdr>
        <w:top w:val="none" w:sz="0" w:space="0" w:color="auto"/>
        <w:left w:val="none" w:sz="0" w:space="0" w:color="auto"/>
        <w:bottom w:val="none" w:sz="0" w:space="0" w:color="auto"/>
        <w:right w:val="none" w:sz="0" w:space="0" w:color="auto"/>
      </w:divBdr>
    </w:div>
    <w:div w:id="662709320">
      <w:bodyDiv w:val="1"/>
      <w:marLeft w:val="0"/>
      <w:marRight w:val="0"/>
      <w:marTop w:val="0"/>
      <w:marBottom w:val="0"/>
      <w:divBdr>
        <w:top w:val="none" w:sz="0" w:space="0" w:color="auto"/>
        <w:left w:val="none" w:sz="0" w:space="0" w:color="auto"/>
        <w:bottom w:val="none" w:sz="0" w:space="0" w:color="auto"/>
        <w:right w:val="none" w:sz="0" w:space="0" w:color="auto"/>
      </w:divBdr>
    </w:div>
    <w:div w:id="735475961">
      <w:bodyDiv w:val="1"/>
      <w:marLeft w:val="0"/>
      <w:marRight w:val="0"/>
      <w:marTop w:val="0"/>
      <w:marBottom w:val="0"/>
      <w:divBdr>
        <w:top w:val="none" w:sz="0" w:space="0" w:color="auto"/>
        <w:left w:val="none" w:sz="0" w:space="0" w:color="auto"/>
        <w:bottom w:val="none" w:sz="0" w:space="0" w:color="auto"/>
        <w:right w:val="none" w:sz="0" w:space="0" w:color="auto"/>
      </w:divBdr>
    </w:div>
    <w:div w:id="771507863">
      <w:bodyDiv w:val="1"/>
      <w:marLeft w:val="0"/>
      <w:marRight w:val="0"/>
      <w:marTop w:val="0"/>
      <w:marBottom w:val="0"/>
      <w:divBdr>
        <w:top w:val="none" w:sz="0" w:space="0" w:color="auto"/>
        <w:left w:val="none" w:sz="0" w:space="0" w:color="auto"/>
        <w:bottom w:val="none" w:sz="0" w:space="0" w:color="auto"/>
        <w:right w:val="none" w:sz="0" w:space="0" w:color="auto"/>
      </w:divBdr>
    </w:div>
    <w:div w:id="773325255">
      <w:bodyDiv w:val="1"/>
      <w:marLeft w:val="0"/>
      <w:marRight w:val="0"/>
      <w:marTop w:val="0"/>
      <w:marBottom w:val="0"/>
      <w:divBdr>
        <w:top w:val="none" w:sz="0" w:space="0" w:color="auto"/>
        <w:left w:val="none" w:sz="0" w:space="0" w:color="auto"/>
        <w:bottom w:val="none" w:sz="0" w:space="0" w:color="auto"/>
        <w:right w:val="none" w:sz="0" w:space="0" w:color="auto"/>
      </w:divBdr>
    </w:div>
    <w:div w:id="823162311">
      <w:bodyDiv w:val="1"/>
      <w:marLeft w:val="0"/>
      <w:marRight w:val="0"/>
      <w:marTop w:val="0"/>
      <w:marBottom w:val="0"/>
      <w:divBdr>
        <w:top w:val="none" w:sz="0" w:space="0" w:color="auto"/>
        <w:left w:val="none" w:sz="0" w:space="0" w:color="auto"/>
        <w:bottom w:val="none" w:sz="0" w:space="0" w:color="auto"/>
        <w:right w:val="none" w:sz="0" w:space="0" w:color="auto"/>
      </w:divBdr>
    </w:div>
    <w:div w:id="826097585">
      <w:bodyDiv w:val="1"/>
      <w:marLeft w:val="0"/>
      <w:marRight w:val="0"/>
      <w:marTop w:val="0"/>
      <w:marBottom w:val="0"/>
      <w:divBdr>
        <w:top w:val="none" w:sz="0" w:space="0" w:color="auto"/>
        <w:left w:val="none" w:sz="0" w:space="0" w:color="auto"/>
        <w:bottom w:val="none" w:sz="0" w:space="0" w:color="auto"/>
        <w:right w:val="none" w:sz="0" w:space="0" w:color="auto"/>
      </w:divBdr>
    </w:div>
    <w:div w:id="979581650">
      <w:bodyDiv w:val="1"/>
      <w:marLeft w:val="0"/>
      <w:marRight w:val="0"/>
      <w:marTop w:val="0"/>
      <w:marBottom w:val="0"/>
      <w:divBdr>
        <w:top w:val="none" w:sz="0" w:space="0" w:color="auto"/>
        <w:left w:val="none" w:sz="0" w:space="0" w:color="auto"/>
        <w:bottom w:val="none" w:sz="0" w:space="0" w:color="auto"/>
        <w:right w:val="none" w:sz="0" w:space="0" w:color="auto"/>
      </w:divBdr>
    </w:div>
    <w:div w:id="989216308">
      <w:bodyDiv w:val="1"/>
      <w:marLeft w:val="0"/>
      <w:marRight w:val="0"/>
      <w:marTop w:val="0"/>
      <w:marBottom w:val="0"/>
      <w:divBdr>
        <w:top w:val="none" w:sz="0" w:space="0" w:color="auto"/>
        <w:left w:val="none" w:sz="0" w:space="0" w:color="auto"/>
        <w:bottom w:val="none" w:sz="0" w:space="0" w:color="auto"/>
        <w:right w:val="none" w:sz="0" w:space="0" w:color="auto"/>
      </w:divBdr>
    </w:div>
    <w:div w:id="989669748">
      <w:bodyDiv w:val="1"/>
      <w:marLeft w:val="0"/>
      <w:marRight w:val="0"/>
      <w:marTop w:val="0"/>
      <w:marBottom w:val="0"/>
      <w:divBdr>
        <w:top w:val="none" w:sz="0" w:space="0" w:color="auto"/>
        <w:left w:val="none" w:sz="0" w:space="0" w:color="auto"/>
        <w:bottom w:val="none" w:sz="0" w:space="0" w:color="auto"/>
        <w:right w:val="none" w:sz="0" w:space="0" w:color="auto"/>
      </w:divBdr>
    </w:div>
    <w:div w:id="1007633879">
      <w:bodyDiv w:val="1"/>
      <w:marLeft w:val="0"/>
      <w:marRight w:val="0"/>
      <w:marTop w:val="0"/>
      <w:marBottom w:val="0"/>
      <w:divBdr>
        <w:top w:val="none" w:sz="0" w:space="0" w:color="auto"/>
        <w:left w:val="none" w:sz="0" w:space="0" w:color="auto"/>
        <w:bottom w:val="none" w:sz="0" w:space="0" w:color="auto"/>
        <w:right w:val="none" w:sz="0" w:space="0" w:color="auto"/>
      </w:divBdr>
    </w:div>
    <w:div w:id="1027875736">
      <w:bodyDiv w:val="1"/>
      <w:marLeft w:val="0"/>
      <w:marRight w:val="0"/>
      <w:marTop w:val="0"/>
      <w:marBottom w:val="0"/>
      <w:divBdr>
        <w:top w:val="none" w:sz="0" w:space="0" w:color="auto"/>
        <w:left w:val="none" w:sz="0" w:space="0" w:color="auto"/>
        <w:bottom w:val="none" w:sz="0" w:space="0" w:color="auto"/>
        <w:right w:val="none" w:sz="0" w:space="0" w:color="auto"/>
      </w:divBdr>
    </w:div>
    <w:div w:id="1054550560">
      <w:bodyDiv w:val="1"/>
      <w:marLeft w:val="0"/>
      <w:marRight w:val="0"/>
      <w:marTop w:val="0"/>
      <w:marBottom w:val="0"/>
      <w:divBdr>
        <w:top w:val="none" w:sz="0" w:space="0" w:color="auto"/>
        <w:left w:val="none" w:sz="0" w:space="0" w:color="auto"/>
        <w:bottom w:val="none" w:sz="0" w:space="0" w:color="auto"/>
        <w:right w:val="none" w:sz="0" w:space="0" w:color="auto"/>
      </w:divBdr>
    </w:div>
    <w:div w:id="1088231757">
      <w:bodyDiv w:val="1"/>
      <w:marLeft w:val="0"/>
      <w:marRight w:val="0"/>
      <w:marTop w:val="0"/>
      <w:marBottom w:val="0"/>
      <w:divBdr>
        <w:top w:val="none" w:sz="0" w:space="0" w:color="auto"/>
        <w:left w:val="none" w:sz="0" w:space="0" w:color="auto"/>
        <w:bottom w:val="none" w:sz="0" w:space="0" w:color="auto"/>
        <w:right w:val="none" w:sz="0" w:space="0" w:color="auto"/>
      </w:divBdr>
    </w:div>
    <w:div w:id="1101725945">
      <w:bodyDiv w:val="1"/>
      <w:marLeft w:val="0"/>
      <w:marRight w:val="0"/>
      <w:marTop w:val="0"/>
      <w:marBottom w:val="0"/>
      <w:divBdr>
        <w:top w:val="none" w:sz="0" w:space="0" w:color="auto"/>
        <w:left w:val="none" w:sz="0" w:space="0" w:color="auto"/>
        <w:bottom w:val="none" w:sz="0" w:space="0" w:color="auto"/>
        <w:right w:val="none" w:sz="0" w:space="0" w:color="auto"/>
      </w:divBdr>
    </w:div>
    <w:div w:id="1123890926">
      <w:bodyDiv w:val="1"/>
      <w:marLeft w:val="0"/>
      <w:marRight w:val="0"/>
      <w:marTop w:val="0"/>
      <w:marBottom w:val="0"/>
      <w:divBdr>
        <w:top w:val="none" w:sz="0" w:space="0" w:color="auto"/>
        <w:left w:val="none" w:sz="0" w:space="0" w:color="auto"/>
        <w:bottom w:val="none" w:sz="0" w:space="0" w:color="auto"/>
        <w:right w:val="none" w:sz="0" w:space="0" w:color="auto"/>
      </w:divBdr>
    </w:div>
    <w:div w:id="1131093679">
      <w:bodyDiv w:val="1"/>
      <w:marLeft w:val="0"/>
      <w:marRight w:val="0"/>
      <w:marTop w:val="0"/>
      <w:marBottom w:val="0"/>
      <w:divBdr>
        <w:top w:val="none" w:sz="0" w:space="0" w:color="auto"/>
        <w:left w:val="none" w:sz="0" w:space="0" w:color="auto"/>
        <w:bottom w:val="none" w:sz="0" w:space="0" w:color="auto"/>
        <w:right w:val="none" w:sz="0" w:space="0" w:color="auto"/>
      </w:divBdr>
    </w:div>
    <w:div w:id="1148087596">
      <w:bodyDiv w:val="1"/>
      <w:marLeft w:val="0"/>
      <w:marRight w:val="0"/>
      <w:marTop w:val="0"/>
      <w:marBottom w:val="0"/>
      <w:divBdr>
        <w:top w:val="none" w:sz="0" w:space="0" w:color="auto"/>
        <w:left w:val="none" w:sz="0" w:space="0" w:color="auto"/>
        <w:bottom w:val="none" w:sz="0" w:space="0" w:color="auto"/>
        <w:right w:val="none" w:sz="0" w:space="0" w:color="auto"/>
      </w:divBdr>
    </w:div>
    <w:div w:id="1165173020">
      <w:bodyDiv w:val="1"/>
      <w:marLeft w:val="0"/>
      <w:marRight w:val="0"/>
      <w:marTop w:val="0"/>
      <w:marBottom w:val="0"/>
      <w:divBdr>
        <w:top w:val="none" w:sz="0" w:space="0" w:color="auto"/>
        <w:left w:val="none" w:sz="0" w:space="0" w:color="auto"/>
        <w:bottom w:val="none" w:sz="0" w:space="0" w:color="auto"/>
        <w:right w:val="none" w:sz="0" w:space="0" w:color="auto"/>
      </w:divBdr>
    </w:div>
    <w:div w:id="1179468366">
      <w:bodyDiv w:val="1"/>
      <w:marLeft w:val="0"/>
      <w:marRight w:val="0"/>
      <w:marTop w:val="0"/>
      <w:marBottom w:val="0"/>
      <w:divBdr>
        <w:top w:val="none" w:sz="0" w:space="0" w:color="auto"/>
        <w:left w:val="none" w:sz="0" w:space="0" w:color="auto"/>
        <w:bottom w:val="none" w:sz="0" w:space="0" w:color="auto"/>
        <w:right w:val="none" w:sz="0" w:space="0" w:color="auto"/>
      </w:divBdr>
    </w:div>
    <w:div w:id="1203320545">
      <w:bodyDiv w:val="1"/>
      <w:marLeft w:val="0"/>
      <w:marRight w:val="0"/>
      <w:marTop w:val="0"/>
      <w:marBottom w:val="0"/>
      <w:divBdr>
        <w:top w:val="none" w:sz="0" w:space="0" w:color="auto"/>
        <w:left w:val="none" w:sz="0" w:space="0" w:color="auto"/>
        <w:bottom w:val="none" w:sz="0" w:space="0" w:color="auto"/>
        <w:right w:val="none" w:sz="0" w:space="0" w:color="auto"/>
      </w:divBdr>
    </w:div>
    <w:div w:id="1246841245">
      <w:bodyDiv w:val="1"/>
      <w:marLeft w:val="0"/>
      <w:marRight w:val="0"/>
      <w:marTop w:val="0"/>
      <w:marBottom w:val="0"/>
      <w:divBdr>
        <w:top w:val="none" w:sz="0" w:space="0" w:color="auto"/>
        <w:left w:val="none" w:sz="0" w:space="0" w:color="auto"/>
        <w:bottom w:val="none" w:sz="0" w:space="0" w:color="auto"/>
        <w:right w:val="none" w:sz="0" w:space="0" w:color="auto"/>
      </w:divBdr>
      <w:divsChild>
        <w:div w:id="286469308">
          <w:marLeft w:val="0"/>
          <w:marRight w:val="0"/>
          <w:marTop w:val="0"/>
          <w:marBottom w:val="0"/>
          <w:divBdr>
            <w:top w:val="none" w:sz="0" w:space="0" w:color="auto"/>
            <w:left w:val="none" w:sz="0" w:space="0" w:color="auto"/>
            <w:bottom w:val="none" w:sz="0" w:space="0" w:color="auto"/>
            <w:right w:val="none" w:sz="0" w:space="0" w:color="auto"/>
          </w:divBdr>
        </w:div>
        <w:div w:id="510072376">
          <w:marLeft w:val="0"/>
          <w:marRight w:val="0"/>
          <w:marTop w:val="0"/>
          <w:marBottom w:val="0"/>
          <w:divBdr>
            <w:top w:val="none" w:sz="0" w:space="0" w:color="auto"/>
            <w:left w:val="none" w:sz="0" w:space="0" w:color="auto"/>
            <w:bottom w:val="none" w:sz="0" w:space="0" w:color="auto"/>
            <w:right w:val="none" w:sz="0" w:space="0" w:color="auto"/>
          </w:divBdr>
        </w:div>
        <w:div w:id="1277757994">
          <w:marLeft w:val="0"/>
          <w:marRight w:val="0"/>
          <w:marTop w:val="0"/>
          <w:marBottom w:val="0"/>
          <w:divBdr>
            <w:top w:val="none" w:sz="0" w:space="0" w:color="auto"/>
            <w:left w:val="none" w:sz="0" w:space="0" w:color="auto"/>
            <w:bottom w:val="none" w:sz="0" w:space="0" w:color="auto"/>
            <w:right w:val="none" w:sz="0" w:space="0" w:color="auto"/>
          </w:divBdr>
        </w:div>
        <w:div w:id="1556426882">
          <w:marLeft w:val="0"/>
          <w:marRight w:val="0"/>
          <w:marTop w:val="0"/>
          <w:marBottom w:val="0"/>
          <w:divBdr>
            <w:top w:val="none" w:sz="0" w:space="0" w:color="auto"/>
            <w:left w:val="none" w:sz="0" w:space="0" w:color="auto"/>
            <w:bottom w:val="none" w:sz="0" w:space="0" w:color="auto"/>
            <w:right w:val="none" w:sz="0" w:space="0" w:color="auto"/>
          </w:divBdr>
        </w:div>
        <w:div w:id="1836534258">
          <w:marLeft w:val="0"/>
          <w:marRight w:val="0"/>
          <w:marTop w:val="0"/>
          <w:marBottom w:val="0"/>
          <w:divBdr>
            <w:top w:val="none" w:sz="0" w:space="0" w:color="auto"/>
            <w:left w:val="none" w:sz="0" w:space="0" w:color="auto"/>
            <w:bottom w:val="none" w:sz="0" w:space="0" w:color="auto"/>
            <w:right w:val="none" w:sz="0" w:space="0" w:color="auto"/>
          </w:divBdr>
        </w:div>
        <w:div w:id="1888832858">
          <w:marLeft w:val="0"/>
          <w:marRight w:val="0"/>
          <w:marTop w:val="0"/>
          <w:marBottom w:val="0"/>
          <w:divBdr>
            <w:top w:val="none" w:sz="0" w:space="0" w:color="auto"/>
            <w:left w:val="none" w:sz="0" w:space="0" w:color="auto"/>
            <w:bottom w:val="none" w:sz="0" w:space="0" w:color="auto"/>
            <w:right w:val="none" w:sz="0" w:space="0" w:color="auto"/>
          </w:divBdr>
        </w:div>
      </w:divsChild>
    </w:div>
    <w:div w:id="1251696734">
      <w:bodyDiv w:val="1"/>
      <w:marLeft w:val="0"/>
      <w:marRight w:val="0"/>
      <w:marTop w:val="0"/>
      <w:marBottom w:val="0"/>
      <w:divBdr>
        <w:top w:val="none" w:sz="0" w:space="0" w:color="auto"/>
        <w:left w:val="none" w:sz="0" w:space="0" w:color="auto"/>
        <w:bottom w:val="none" w:sz="0" w:space="0" w:color="auto"/>
        <w:right w:val="none" w:sz="0" w:space="0" w:color="auto"/>
      </w:divBdr>
    </w:div>
    <w:div w:id="1257985408">
      <w:bodyDiv w:val="1"/>
      <w:marLeft w:val="0"/>
      <w:marRight w:val="0"/>
      <w:marTop w:val="0"/>
      <w:marBottom w:val="0"/>
      <w:divBdr>
        <w:top w:val="none" w:sz="0" w:space="0" w:color="auto"/>
        <w:left w:val="none" w:sz="0" w:space="0" w:color="auto"/>
        <w:bottom w:val="none" w:sz="0" w:space="0" w:color="auto"/>
        <w:right w:val="none" w:sz="0" w:space="0" w:color="auto"/>
      </w:divBdr>
    </w:div>
    <w:div w:id="1302425106">
      <w:bodyDiv w:val="1"/>
      <w:marLeft w:val="0"/>
      <w:marRight w:val="0"/>
      <w:marTop w:val="0"/>
      <w:marBottom w:val="0"/>
      <w:divBdr>
        <w:top w:val="none" w:sz="0" w:space="0" w:color="auto"/>
        <w:left w:val="none" w:sz="0" w:space="0" w:color="auto"/>
        <w:bottom w:val="none" w:sz="0" w:space="0" w:color="auto"/>
        <w:right w:val="none" w:sz="0" w:space="0" w:color="auto"/>
      </w:divBdr>
    </w:div>
    <w:div w:id="1328092996">
      <w:bodyDiv w:val="1"/>
      <w:marLeft w:val="0"/>
      <w:marRight w:val="0"/>
      <w:marTop w:val="0"/>
      <w:marBottom w:val="0"/>
      <w:divBdr>
        <w:top w:val="none" w:sz="0" w:space="0" w:color="auto"/>
        <w:left w:val="none" w:sz="0" w:space="0" w:color="auto"/>
        <w:bottom w:val="none" w:sz="0" w:space="0" w:color="auto"/>
        <w:right w:val="none" w:sz="0" w:space="0" w:color="auto"/>
      </w:divBdr>
    </w:div>
    <w:div w:id="1415853284">
      <w:bodyDiv w:val="1"/>
      <w:marLeft w:val="0"/>
      <w:marRight w:val="0"/>
      <w:marTop w:val="0"/>
      <w:marBottom w:val="0"/>
      <w:divBdr>
        <w:top w:val="none" w:sz="0" w:space="0" w:color="auto"/>
        <w:left w:val="none" w:sz="0" w:space="0" w:color="auto"/>
        <w:bottom w:val="none" w:sz="0" w:space="0" w:color="auto"/>
        <w:right w:val="none" w:sz="0" w:space="0" w:color="auto"/>
      </w:divBdr>
    </w:div>
    <w:div w:id="1499032628">
      <w:bodyDiv w:val="1"/>
      <w:marLeft w:val="0"/>
      <w:marRight w:val="0"/>
      <w:marTop w:val="0"/>
      <w:marBottom w:val="0"/>
      <w:divBdr>
        <w:top w:val="none" w:sz="0" w:space="0" w:color="auto"/>
        <w:left w:val="none" w:sz="0" w:space="0" w:color="auto"/>
        <w:bottom w:val="none" w:sz="0" w:space="0" w:color="auto"/>
        <w:right w:val="none" w:sz="0" w:space="0" w:color="auto"/>
      </w:divBdr>
    </w:div>
    <w:div w:id="1656495522">
      <w:bodyDiv w:val="1"/>
      <w:marLeft w:val="0"/>
      <w:marRight w:val="0"/>
      <w:marTop w:val="0"/>
      <w:marBottom w:val="0"/>
      <w:divBdr>
        <w:top w:val="none" w:sz="0" w:space="0" w:color="auto"/>
        <w:left w:val="none" w:sz="0" w:space="0" w:color="auto"/>
        <w:bottom w:val="none" w:sz="0" w:space="0" w:color="auto"/>
        <w:right w:val="none" w:sz="0" w:space="0" w:color="auto"/>
      </w:divBdr>
    </w:div>
    <w:div w:id="1665430517">
      <w:bodyDiv w:val="1"/>
      <w:marLeft w:val="0"/>
      <w:marRight w:val="0"/>
      <w:marTop w:val="0"/>
      <w:marBottom w:val="0"/>
      <w:divBdr>
        <w:top w:val="none" w:sz="0" w:space="0" w:color="auto"/>
        <w:left w:val="none" w:sz="0" w:space="0" w:color="auto"/>
        <w:bottom w:val="none" w:sz="0" w:space="0" w:color="auto"/>
        <w:right w:val="none" w:sz="0" w:space="0" w:color="auto"/>
      </w:divBdr>
    </w:div>
    <w:div w:id="1734963511">
      <w:bodyDiv w:val="1"/>
      <w:marLeft w:val="0"/>
      <w:marRight w:val="0"/>
      <w:marTop w:val="0"/>
      <w:marBottom w:val="0"/>
      <w:divBdr>
        <w:top w:val="none" w:sz="0" w:space="0" w:color="auto"/>
        <w:left w:val="none" w:sz="0" w:space="0" w:color="auto"/>
        <w:bottom w:val="none" w:sz="0" w:space="0" w:color="auto"/>
        <w:right w:val="none" w:sz="0" w:space="0" w:color="auto"/>
      </w:divBdr>
    </w:div>
    <w:div w:id="1750075588">
      <w:bodyDiv w:val="1"/>
      <w:marLeft w:val="0"/>
      <w:marRight w:val="0"/>
      <w:marTop w:val="0"/>
      <w:marBottom w:val="0"/>
      <w:divBdr>
        <w:top w:val="none" w:sz="0" w:space="0" w:color="auto"/>
        <w:left w:val="none" w:sz="0" w:space="0" w:color="auto"/>
        <w:bottom w:val="none" w:sz="0" w:space="0" w:color="auto"/>
        <w:right w:val="none" w:sz="0" w:space="0" w:color="auto"/>
      </w:divBdr>
    </w:div>
    <w:div w:id="1763716616">
      <w:bodyDiv w:val="1"/>
      <w:marLeft w:val="0"/>
      <w:marRight w:val="0"/>
      <w:marTop w:val="0"/>
      <w:marBottom w:val="0"/>
      <w:divBdr>
        <w:top w:val="none" w:sz="0" w:space="0" w:color="auto"/>
        <w:left w:val="none" w:sz="0" w:space="0" w:color="auto"/>
        <w:bottom w:val="none" w:sz="0" w:space="0" w:color="auto"/>
        <w:right w:val="none" w:sz="0" w:space="0" w:color="auto"/>
      </w:divBdr>
    </w:div>
    <w:div w:id="1805346960">
      <w:bodyDiv w:val="1"/>
      <w:marLeft w:val="0"/>
      <w:marRight w:val="0"/>
      <w:marTop w:val="0"/>
      <w:marBottom w:val="0"/>
      <w:divBdr>
        <w:top w:val="none" w:sz="0" w:space="0" w:color="auto"/>
        <w:left w:val="none" w:sz="0" w:space="0" w:color="auto"/>
        <w:bottom w:val="none" w:sz="0" w:space="0" w:color="auto"/>
        <w:right w:val="none" w:sz="0" w:space="0" w:color="auto"/>
      </w:divBdr>
    </w:div>
    <w:div w:id="1828747545">
      <w:bodyDiv w:val="1"/>
      <w:marLeft w:val="0"/>
      <w:marRight w:val="0"/>
      <w:marTop w:val="0"/>
      <w:marBottom w:val="0"/>
      <w:divBdr>
        <w:top w:val="none" w:sz="0" w:space="0" w:color="auto"/>
        <w:left w:val="none" w:sz="0" w:space="0" w:color="auto"/>
        <w:bottom w:val="none" w:sz="0" w:space="0" w:color="auto"/>
        <w:right w:val="none" w:sz="0" w:space="0" w:color="auto"/>
      </w:divBdr>
    </w:div>
    <w:div w:id="1888494807">
      <w:bodyDiv w:val="1"/>
      <w:marLeft w:val="0"/>
      <w:marRight w:val="0"/>
      <w:marTop w:val="0"/>
      <w:marBottom w:val="0"/>
      <w:divBdr>
        <w:top w:val="none" w:sz="0" w:space="0" w:color="auto"/>
        <w:left w:val="none" w:sz="0" w:space="0" w:color="auto"/>
        <w:bottom w:val="none" w:sz="0" w:space="0" w:color="auto"/>
        <w:right w:val="none" w:sz="0" w:space="0" w:color="auto"/>
      </w:divBdr>
    </w:div>
    <w:div w:id="1924416159">
      <w:bodyDiv w:val="1"/>
      <w:marLeft w:val="0"/>
      <w:marRight w:val="0"/>
      <w:marTop w:val="0"/>
      <w:marBottom w:val="0"/>
      <w:divBdr>
        <w:top w:val="none" w:sz="0" w:space="0" w:color="auto"/>
        <w:left w:val="none" w:sz="0" w:space="0" w:color="auto"/>
        <w:bottom w:val="none" w:sz="0" w:space="0" w:color="auto"/>
        <w:right w:val="none" w:sz="0" w:space="0" w:color="auto"/>
      </w:divBdr>
    </w:div>
    <w:div w:id="1944805365">
      <w:bodyDiv w:val="1"/>
      <w:marLeft w:val="0"/>
      <w:marRight w:val="0"/>
      <w:marTop w:val="0"/>
      <w:marBottom w:val="0"/>
      <w:divBdr>
        <w:top w:val="none" w:sz="0" w:space="0" w:color="auto"/>
        <w:left w:val="none" w:sz="0" w:space="0" w:color="auto"/>
        <w:bottom w:val="none" w:sz="0" w:space="0" w:color="auto"/>
        <w:right w:val="none" w:sz="0" w:space="0" w:color="auto"/>
      </w:divBdr>
    </w:div>
    <w:div w:id="2030332607">
      <w:bodyDiv w:val="1"/>
      <w:marLeft w:val="0"/>
      <w:marRight w:val="0"/>
      <w:marTop w:val="0"/>
      <w:marBottom w:val="0"/>
      <w:divBdr>
        <w:top w:val="none" w:sz="0" w:space="0" w:color="auto"/>
        <w:left w:val="none" w:sz="0" w:space="0" w:color="auto"/>
        <w:bottom w:val="none" w:sz="0" w:space="0" w:color="auto"/>
        <w:right w:val="none" w:sz="0" w:space="0" w:color="auto"/>
      </w:divBdr>
    </w:div>
    <w:div w:id="2094082199">
      <w:bodyDiv w:val="1"/>
      <w:marLeft w:val="0"/>
      <w:marRight w:val="0"/>
      <w:marTop w:val="0"/>
      <w:marBottom w:val="0"/>
      <w:divBdr>
        <w:top w:val="none" w:sz="0" w:space="0" w:color="auto"/>
        <w:left w:val="none" w:sz="0" w:space="0" w:color="auto"/>
        <w:bottom w:val="none" w:sz="0" w:space="0" w:color="auto"/>
        <w:right w:val="none" w:sz="0" w:space="0" w:color="auto"/>
      </w:divBdr>
    </w:div>
    <w:div w:id="2096239067">
      <w:bodyDiv w:val="1"/>
      <w:marLeft w:val="0"/>
      <w:marRight w:val="0"/>
      <w:marTop w:val="0"/>
      <w:marBottom w:val="0"/>
      <w:divBdr>
        <w:top w:val="none" w:sz="0" w:space="0" w:color="auto"/>
        <w:left w:val="none" w:sz="0" w:space="0" w:color="auto"/>
        <w:bottom w:val="none" w:sz="0" w:space="0" w:color="auto"/>
        <w:right w:val="none" w:sz="0" w:space="0" w:color="auto"/>
      </w:divBdr>
    </w:div>
    <w:div w:id="209998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d.int/doc/meetings/sbi/sbi-01/information/sbi-01-inf-41-en.pdf" TargetMode="External"/><Relationship Id="rId18" Type="http://schemas.openxmlformats.org/officeDocument/2006/relationships/image" Target="media/image7.png"/><Relationship Id="rId26" Type="http://schemas.openxmlformats.org/officeDocument/2006/relationships/hyperlink" Target="https://www.cbd.int/pa/UN-Ocean-Conference/MPA-commitments.xlsx" TargetMode="External"/><Relationship Id="rId39" Type="http://schemas.openxmlformats.org/officeDocument/2006/relationships/image" Target="media/image17.png"/><Relationship Id="rId21" Type="http://schemas.openxmlformats.org/officeDocument/2006/relationships/image" Target="media/image10.png"/><Relationship Id="rId34" Type="http://schemas.openxmlformats.org/officeDocument/2006/relationships/chart" Target="charts/chart3.xml"/><Relationship Id="rId42" Type="http://schemas.openxmlformats.org/officeDocument/2006/relationships/image" Target="media/image15.tif"/><Relationship Id="rId47" Type="http://schemas.openxmlformats.org/officeDocument/2006/relationships/hyperlink" Target="https://www.cbd.int/doc/decisions/cop-13/cop-13-dec-02-en.pdf" TargetMode="External"/><Relationship Id="rId50" Type="http://schemas.openxmlformats.org/officeDocument/2006/relationships/chart" Target="charts/chart8.xml"/><Relationship Id="rId55" Type="http://schemas.openxmlformats.org/officeDocument/2006/relationships/hyperlink" Target="https://www.cbd.int/doc/decisions/cop-13/cop-13-dec-02-en.pdf"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cbd.int/pa/UN-Ocean-Conference/MPA-commitments.xlsx" TargetMode="External"/><Relationship Id="rId41" Type="http://schemas.openxmlformats.org/officeDocument/2006/relationships/chart" Target="charts/chart6.xml"/><Relationship Id="rId54" Type="http://schemas.openxmlformats.org/officeDocument/2006/relationships/chart" Target="charts/chart9.xml"/><Relationship Id="rId62"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bd.int/undb/goals/undb-unresolution.pdf" TargetMode="External"/><Relationship Id="rId24" Type="http://schemas.openxmlformats.org/officeDocument/2006/relationships/chart" Target="charts/chart1.xml"/><Relationship Id="rId32" Type="http://schemas.openxmlformats.org/officeDocument/2006/relationships/image" Target="media/image13.jpeg"/><Relationship Id="rId37" Type="http://schemas.openxmlformats.org/officeDocument/2006/relationships/image" Target="media/image15.png"/><Relationship Id="rId40" Type="http://schemas.openxmlformats.org/officeDocument/2006/relationships/hyperlink" Target="https://www.cbd.int/doc/meetings/cop/cop-13/information/cop-13-inf-17-en.pdf" TargetMode="External"/><Relationship Id="rId45" Type="http://schemas.openxmlformats.org/officeDocument/2006/relationships/hyperlink" Target="https://www.cbd.int/doc/notifications/2017/ntf-2017-065-pa-en.pdf" TargetMode="External"/><Relationship Id="rId53" Type="http://schemas.openxmlformats.org/officeDocument/2006/relationships/hyperlink" Target="https://www.cbd.int/doc/decisions/cop-13/cop-13-dec-02-en.pdf" TargetMode="External"/><Relationship Id="rId58" Type="http://schemas.openxmlformats.org/officeDocument/2006/relationships/hyperlink" Target="https://www.cbd.int/doc/decisions/cop-13/cop-13-dec-02-en.pdf"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cbd.int/pa/UN-Ocean-Conference/MPA-commitments.xlsx" TargetMode="External"/><Relationship Id="rId36" Type="http://schemas.openxmlformats.org/officeDocument/2006/relationships/chart" Target="charts/chart5.xml"/><Relationship Id="rId49" Type="http://schemas.openxmlformats.org/officeDocument/2006/relationships/chart" Target="charts/chart7.xml"/><Relationship Id="rId57" Type="http://schemas.openxmlformats.org/officeDocument/2006/relationships/hyperlink" Target="https://www.cbd.int/doc/decisions/cop-13/cop-13-dec-02-en.pdf" TargetMode="External"/><Relationship Id="rId61" Type="http://schemas.openxmlformats.org/officeDocument/2006/relationships/hyperlink" Target="https://www.cbd.int/doc/decisions/cop-13/cop-13-dec-02-en.pdf"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cbd.int/doc/decisions/cop-10/cop-10-dec-31-en.pdf" TargetMode="External"/><Relationship Id="rId44" Type="http://schemas.openxmlformats.org/officeDocument/2006/relationships/hyperlink" Target="https://www.cbd.int/doc/decisions/cop-13/cop-13-dec-02-en.pdf" TargetMode="External"/><Relationship Id="rId52" Type="http://schemas.openxmlformats.org/officeDocument/2006/relationships/image" Target="media/image21.png"/><Relationship Id="rId60" Type="http://schemas.openxmlformats.org/officeDocument/2006/relationships/image" Target="media/image1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bd.int/doc/meetings/cop/cop-13/information/cop-13-inf-17-en.pdf" TargetMode="External"/><Relationship Id="rId22" Type="http://schemas.openxmlformats.org/officeDocument/2006/relationships/image" Target="media/image11.png"/><Relationship Id="rId27" Type="http://schemas.openxmlformats.org/officeDocument/2006/relationships/chart" Target="charts/chart2.xml"/><Relationship Id="rId30" Type="http://schemas.openxmlformats.org/officeDocument/2006/relationships/hyperlink" Target="https://www.cbd.int/doc/decisions/cop-09/cop-09-dec-18-en.pdf" TargetMode="External"/><Relationship Id="rId35" Type="http://schemas.openxmlformats.org/officeDocument/2006/relationships/chart" Target="charts/chart4.xml"/><Relationship Id="rId43" Type="http://schemas.openxmlformats.org/officeDocument/2006/relationships/image" Target="media/image18.png"/><Relationship Id="rId48" Type="http://schemas.openxmlformats.org/officeDocument/2006/relationships/hyperlink" Target="https://www.cbd.int/doc/notifications/2017/ntf-2017-066-pa-en.pdf" TargetMode="External"/><Relationship Id="rId56" Type="http://schemas.openxmlformats.org/officeDocument/2006/relationships/hyperlink" Target="https://www.cbd.int/doc/notifications/2017/ntf-2017-065-pa-en.pdf" TargetMode="External"/><Relationship Id="rId64"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www.cbd.int/doc/meetings/sbstta/sbstta-20/information/sbstta-20-inf-43-en.pdf" TargetMode="External"/><Relationship Id="rId17" Type="http://schemas.openxmlformats.org/officeDocument/2006/relationships/image" Target="media/image6.png"/><Relationship Id="rId25" Type="http://schemas.openxmlformats.org/officeDocument/2006/relationships/hyperlink" Target="https://www.cbd.int/pa/UN-Ocean-Conference/MPA-commitments.xlsx" TargetMode="External"/><Relationship Id="rId33" Type="http://schemas.openxmlformats.org/officeDocument/2006/relationships/image" Target="media/image14.jpeg"/><Relationship Id="rId38" Type="http://schemas.openxmlformats.org/officeDocument/2006/relationships/image" Target="media/image16.png"/><Relationship Id="rId46" Type="http://schemas.openxmlformats.org/officeDocument/2006/relationships/hyperlink" Target="https://www.cbd.int/doc/decisions/cop-10/cop-10-dec-31-en.pdf" TargetMode="External"/><Relationship Id="rId59" Type="http://schemas.openxmlformats.org/officeDocument/2006/relationships/hyperlink" Target="https://www.cbd.int/doc/notifications/2017/ntf-2017-099-pa-en.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bd.int/doc/decisions/cop-11/cop-11-dec-28-en.pdf" TargetMode="External"/><Relationship Id="rId13" Type="http://schemas.openxmlformats.org/officeDocument/2006/relationships/hyperlink" Target="https://www.cbd.int/doc/decisions/cop-11/cop-11-dec-28-en.pdf" TargetMode="External"/><Relationship Id="rId18" Type="http://schemas.openxmlformats.org/officeDocument/2006/relationships/hyperlink" Target="https://www.giz.de/en/worldwide/17453.html" TargetMode="External"/><Relationship Id="rId26" Type="http://schemas.openxmlformats.org/officeDocument/2006/relationships/hyperlink" Target="https://www.cbd.int/doc/c/36f1/d6e8/90a68e516b0c5e8aa3f5a0eb/sbstta-22-06-en.pdf" TargetMode="External"/><Relationship Id="rId3" Type="http://schemas.openxmlformats.org/officeDocument/2006/relationships/hyperlink" Target="http://www.protectedplanet.net" TargetMode="External"/><Relationship Id="rId21" Type="http://schemas.openxmlformats.org/officeDocument/2006/relationships/hyperlink" Target="https://www.cbd.int/doc/decisions/cop-10/cop-10-dec-31-en.pdf" TargetMode="External"/><Relationship Id="rId34" Type="http://schemas.openxmlformats.org/officeDocument/2006/relationships/hyperlink" Target="https://www.cbd.int/doc/meetings/cop/cop-13/information/cop-13-inf-19-en.pdf" TargetMode="External"/><Relationship Id="rId7" Type="http://schemas.openxmlformats.org/officeDocument/2006/relationships/hyperlink" Target="http://www.iccaconsortium.org" TargetMode="External"/><Relationship Id="rId12" Type="http://schemas.openxmlformats.org/officeDocument/2006/relationships/hyperlink" Target="https://www.cbd.int/doc/world/ph/ph-nbsap-v3-en.pdf" TargetMode="External"/><Relationship Id="rId17" Type="http://schemas.openxmlformats.org/officeDocument/2006/relationships/hyperlink" Target="http://dopa.jrc.ec.europa.eu/explorer" TargetMode="External"/><Relationship Id="rId25" Type="http://schemas.openxmlformats.org/officeDocument/2006/relationships/hyperlink" Target="https://www.cbd.int/doc/decisions/cop-10/cop-10-dec-31-en.pdf" TargetMode="External"/><Relationship Id="rId33" Type="http://schemas.openxmlformats.org/officeDocument/2006/relationships/hyperlink" Target="https://www.cbd.int/doc/meetings/cop/cop-13/information/cop-13-inf-20-en.pdf" TargetMode="External"/><Relationship Id="rId2" Type="http://schemas.openxmlformats.org/officeDocument/2006/relationships/hyperlink" Target="https://protectedplanet.net" TargetMode="External"/><Relationship Id="rId16" Type="http://schemas.openxmlformats.org/officeDocument/2006/relationships/hyperlink" Target="http://dopa.jrc.ec.europa.eu/" TargetMode="External"/><Relationship Id="rId20" Type="http://schemas.openxmlformats.org/officeDocument/2006/relationships/hyperlink" Target="https://www.cbd.int/doc/notifications/2017/ntf-2017-065-pa-en.pdf" TargetMode="External"/><Relationship Id="rId29" Type="http://schemas.openxmlformats.org/officeDocument/2006/relationships/hyperlink" Target="https://www.cbd.int/doc/decisions/cop-13/cop-13-dec-09-en.pdf" TargetMode="External"/><Relationship Id="rId1" Type="http://schemas.openxmlformats.org/officeDocument/2006/relationships/hyperlink" Target="https://www.cbd.int/doc/meetings/sbstta/sbstta-22/official/sbstta-22-01-en.pdf" TargetMode="External"/><Relationship Id="rId6" Type="http://schemas.openxmlformats.org/officeDocument/2006/relationships/hyperlink" Target="https://www.cbd.int/pa/UN-Ocean-Conference/MPA-commitments.xlsx" TargetMode="External"/><Relationship Id="rId11" Type="http://schemas.openxmlformats.org/officeDocument/2006/relationships/hyperlink" Target="https://www.cbd.int/doc/decisions/cop-11/cop-11-dec-28-en.pdf" TargetMode="External"/><Relationship Id="rId24" Type="http://schemas.openxmlformats.org/officeDocument/2006/relationships/hyperlink" Target="https://www.cbd.int/doc/notifications/2017/ntf-2017-065-pa-en.pdf" TargetMode="External"/><Relationship Id="rId32" Type="http://schemas.openxmlformats.org/officeDocument/2006/relationships/hyperlink" Target="https://www.cbd.int/doc/meetings/cop/cop-13/information/cop-13-inf-17-en.pdf" TargetMode="External"/><Relationship Id="rId5" Type="http://schemas.openxmlformats.org/officeDocument/2006/relationships/hyperlink" Target="http://www.protectedplanet.net" TargetMode="External"/><Relationship Id="rId15" Type="http://schemas.openxmlformats.org/officeDocument/2006/relationships/hyperlink" Target="https://www.bipindicators.net/indicators/protected-area-connectedness-index-parc-connectedness" TargetMode="External"/><Relationship Id="rId23" Type="http://schemas.openxmlformats.org/officeDocument/2006/relationships/hyperlink" Target="https://www.giz.de/en/worldwide/18221.html" TargetMode="External"/><Relationship Id="rId28" Type="http://schemas.openxmlformats.org/officeDocument/2006/relationships/hyperlink" Target="https://www.cbd.int/doc/notifications/2017/ntf-2017-098-marine-en.pdf" TargetMode="External"/><Relationship Id="rId10" Type="http://schemas.openxmlformats.org/officeDocument/2006/relationships/hyperlink" Target="http://dopa.jrc.ec.europa.eu/" TargetMode="External"/><Relationship Id="rId19" Type="http://schemas.openxmlformats.org/officeDocument/2006/relationships/hyperlink" Target="https://www.cbd.int/doc/nbsap/NBSAPs-catalysts-SDGs.pdf" TargetMode="External"/><Relationship Id="rId31" Type="http://schemas.openxmlformats.org/officeDocument/2006/relationships/hyperlink" Target="https://www.cbd.int/doc/meetings/cop/cop-13/information/cop-13-inf-17-en.pdf" TargetMode="External"/><Relationship Id="rId4" Type="http://schemas.openxmlformats.org/officeDocument/2006/relationships/hyperlink" Target="https://protectedplanet.net/c/the-lag-effect-in-the-world-database-on-protected-areas" TargetMode="External"/><Relationship Id="rId9" Type="http://schemas.openxmlformats.org/officeDocument/2006/relationships/hyperlink" Target="http://dopa.jrc.ec.europa.eu/" TargetMode="External"/><Relationship Id="rId14" Type="http://schemas.openxmlformats.org/officeDocument/2006/relationships/hyperlink" Target="https://www.cbd.int/doc/decisions/cop-11/cop-11-dec-28-en.pdf" TargetMode="External"/><Relationship Id="rId22" Type="http://schemas.openxmlformats.org/officeDocument/2006/relationships/hyperlink" Target="https://www.cbd.int/doc/c/36f1/d6e8/90a68e516b0c5e8aa3f5a0eb/sbstta-22-06-en.pdf" TargetMode="External"/><Relationship Id="rId27" Type="http://schemas.openxmlformats.org/officeDocument/2006/relationships/hyperlink" Target="https://www.cbd.int/meetings/PAEM-2018-01" TargetMode="External"/><Relationship Id="rId30" Type="http://schemas.openxmlformats.org/officeDocument/2006/relationships/hyperlink" Target="https://www.cbd.int/doc/c/36f1/d6e8/90a68e516b0c5e8aa3f5a0eb/sbstta-22-06-en.pdf" TargetMode="External"/><Relationship Id="rId35" Type="http://schemas.openxmlformats.org/officeDocument/2006/relationships/hyperlink" Target="https://www.cbd.int/doc/meetings/sbi/sbi-01/information/sbi-01-inf-41-en.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atrick.gannon\Documents\sbstta22_sbi2\commitments_graph.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atrick.gannon\Documents\DOPA\marine_ecoregion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atrick.gannon\Documents\DOPA\terrestrial_ecoregion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atrick.gannon\Documents\DOPA\terrestrial_ecoregion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patrick.gannon\Documents\sbstta22_sbi2\KBA%20data%2020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patrick.gannon\Documents\sbstta22_sbi2\PAME_country_statistics_May18_v2_forCBD.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patrick.gannon\Documents\sbstta22_sbi2\PAME_country_statistics_May18_v2_forCBD.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Biodiv.org\shares\UserDoc\Working%20Folders\40-00-STTM\Protected%20areas\WDPA%20data\WDPA_May_2018.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849518810148731E-2"/>
          <c:y val="5.1400554097404488E-2"/>
          <c:w val="0.85173293963254582"/>
          <c:h val="0.8326195683872849"/>
        </c:manualLayout>
      </c:layout>
      <c:scatterChart>
        <c:scatterStyle val="lineMarker"/>
        <c:varyColors val="0"/>
        <c:ser>
          <c:idx val="0"/>
          <c:order val="0"/>
          <c:tx>
            <c:strRef>
              <c:f>Sheet1!$B$1</c:f>
              <c:strCache>
                <c:ptCount val="1"/>
                <c:pt idx="0">
                  <c:v>Global Ocean</c:v>
                </c:pt>
              </c:strCache>
            </c:strRef>
          </c:tx>
          <c:spPr>
            <a:ln>
              <a:solidFill>
                <a:srgbClr val="00405C"/>
              </a:solidFill>
            </a:ln>
          </c:spPr>
          <c:marker>
            <c:symbol val="none"/>
          </c:marker>
          <c:dLbls>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3E-484E-82F5-957346953146}"/>
                </c:ext>
              </c:extLst>
            </c:dLbl>
            <c:spPr>
              <a:noFill/>
              <a:ln>
                <a:noFill/>
              </a:ln>
              <a:effectLst/>
            </c:spPr>
            <c:txPr>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Sheet1!$A$2:$A$20</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xVal>
          <c:yVal>
            <c:numRef>
              <c:f>Sheet1!$B$2:$B$20</c:f>
              <c:numCache>
                <c:formatCode>0.00%</c:formatCode>
                <c:ptCount val="19"/>
                <c:pt idx="0">
                  <c:v>6.7000000000000002E-3</c:v>
                </c:pt>
                <c:pt idx="1">
                  <c:v>7.3000000000000001E-3</c:v>
                </c:pt>
                <c:pt idx="2">
                  <c:v>9.9000000000000008E-3</c:v>
                </c:pt>
                <c:pt idx="3" formatCode="0%">
                  <c:v>0.01</c:v>
                </c:pt>
                <c:pt idx="4">
                  <c:v>1.11E-2</c:v>
                </c:pt>
                <c:pt idx="5">
                  <c:v>1.1299999999999999E-2</c:v>
                </c:pt>
                <c:pt idx="6">
                  <c:v>1.0500000000000001E-2</c:v>
                </c:pt>
                <c:pt idx="7">
                  <c:v>1.43E-2</c:v>
                </c:pt>
                <c:pt idx="8">
                  <c:v>1.8499999999999999E-2</c:v>
                </c:pt>
                <c:pt idx="9">
                  <c:v>2.3199999999999998E-2</c:v>
                </c:pt>
                <c:pt idx="10">
                  <c:v>2.5000000000000001E-2</c:v>
                </c:pt>
                <c:pt idx="11">
                  <c:v>2.53E-2</c:v>
                </c:pt>
                <c:pt idx="12">
                  <c:v>3.3799999999999997E-2</c:v>
                </c:pt>
                <c:pt idx="13">
                  <c:v>3.4700000000000002E-2</c:v>
                </c:pt>
                <c:pt idx="14">
                  <c:v>4.1500000000000002E-2</c:v>
                </c:pt>
                <c:pt idx="15">
                  <c:v>4.4299999999999999E-2</c:v>
                </c:pt>
                <c:pt idx="16">
                  <c:v>5.0099999999999999E-2</c:v>
                </c:pt>
                <c:pt idx="17">
                  <c:v>6.4000000000000001E-2</c:v>
                </c:pt>
                <c:pt idx="18">
                  <c:v>7.2599999999999998E-2</c:v>
                </c:pt>
              </c:numCache>
            </c:numRef>
          </c:yVal>
          <c:smooth val="0"/>
          <c:extLst>
            <c:ext xmlns:c16="http://schemas.microsoft.com/office/drawing/2014/chart" uri="{C3380CC4-5D6E-409C-BE32-E72D297353CC}">
              <c16:uniqueId val="{00000001-2B3E-484E-82F5-957346953146}"/>
            </c:ext>
          </c:extLst>
        </c:ser>
        <c:ser>
          <c:idx val="1"/>
          <c:order val="1"/>
          <c:tx>
            <c:strRef>
              <c:f>Sheet1!$C$1</c:f>
              <c:strCache>
                <c:ptCount val="1"/>
                <c:pt idx="0">
                  <c:v>National Waters</c:v>
                </c:pt>
              </c:strCache>
            </c:strRef>
          </c:tx>
          <c:spPr>
            <a:ln>
              <a:solidFill>
                <a:srgbClr val="0086B7"/>
              </a:solidFill>
            </a:ln>
          </c:spPr>
          <c:marker>
            <c:symbol val="none"/>
          </c:marker>
          <c:dLbls>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3E-484E-82F5-957346953146}"/>
                </c:ext>
              </c:extLst>
            </c:dLbl>
            <c:spPr>
              <a:noFill/>
              <a:ln>
                <a:noFill/>
              </a:ln>
              <a:effectLst/>
            </c:spPr>
            <c:txPr>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Sheet1!$A$2:$A$20</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xVal>
          <c:yVal>
            <c:numRef>
              <c:f>Sheet1!$C$2:$C$20</c:f>
              <c:numCache>
                <c:formatCode>0.00%</c:formatCode>
                <c:ptCount val="19"/>
                <c:pt idx="0">
                  <c:v>1.72E-2</c:v>
                </c:pt>
                <c:pt idx="1">
                  <c:v>1.8800000000000001E-2</c:v>
                </c:pt>
                <c:pt idx="2">
                  <c:v>2.5399999999999999E-2</c:v>
                </c:pt>
                <c:pt idx="3">
                  <c:v>2.5700000000000001E-2</c:v>
                </c:pt>
                <c:pt idx="4">
                  <c:v>2.86E-2</c:v>
                </c:pt>
                <c:pt idx="5">
                  <c:v>2.8899999999999999E-2</c:v>
                </c:pt>
                <c:pt idx="6">
                  <c:v>2.7E-2</c:v>
                </c:pt>
                <c:pt idx="7">
                  <c:v>3.6799999999999999E-2</c:v>
                </c:pt>
                <c:pt idx="8">
                  <c:v>3.9300000000000002E-2</c:v>
                </c:pt>
                <c:pt idx="9">
                  <c:v>5.1299999999999998E-2</c:v>
                </c:pt>
                <c:pt idx="10">
                  <c:v>5.8799999999999998E-2</c:v>
                </c:pt>
                <c:pt idx="11">
                  <c:v>5.9400000000000001E-2</c:v>
                </c:pt>
                <c:pt idx="12">
                  <c:v>8.43E-2</c:v>
                </c:pt>
                <c:pt idx="13">
                  <c:v>8.6499999999999994E-2</c:v>
                </c:pt>
                <c:pt idx="14">
                  <c:v>9.6600000000000005E-2</c:v>
                </c:pt>
                <c:pt idx="15">
                  <c:v>0.1036</c:v>
                </c:pt>
                <c:pt idx="16">
                  <c:v>0.12740000000000001</c:v>
                </c:pt>
                <c:pt idx="17">
                  <c:v>0.16020000000000001</c:v>
                </c:pt>
                <c:pt idx="18">
                  <c:v>0.16769999999999999</c:v>
                </c:pt>
              </c:numCache>
            </c:numRef>
          </c:yVal>
          <c:smooth val="0"/>
          <c:extLst>
            <c:ext xmlns:c16="http://schemas.microsoft.com/office/drawing/2014/chart" uri="{C3380CC4-5D6E-409C-BE32-E72D297353CC}">
              <c16:uniqueId val="{00000003-2B3E-484E-82F5-957346953146}"/>
            </c:ext>
          </c:extLst>
        </c:ser>
        <c:ser>
          <c:idx val="2"/>
          <c:order val="2"/>
          <c:tx>
            <c:strRef>
              <c:f>Sheet1!$D$1</c:f>
              <c:strCache>
                <c:ptCount val="1"/>
                <c:pt idx="0">
                  <c:v>ABNJ</c:v>
                </c:pt>
              </c:strCache>
            </c:strRef>
          </c:tx>
          <c:spPr>
            <a:ln>
              <a:solidFill>
                <a:srgbClr val="5E56BA"/>
              </a:solidFill>
            </a:ln>
          </c:spPr>
          <c:marker>
            <c:symbol val="none"/>
          </c:marker>
          <c:dLbls>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3E-484E-82F5-957346953146}"/>
                </c:ext>
              </c:extLst>
            </c:dLbl>
            <c:spPr>
              <a:noFill/>
              <a:ln>
                <a:noFill/>
              </a:ln>
              <a:effectLst/>
            </c:spPr>
            <c:txPr>
              <a:bodyPr/>
              <a:lstStyle/>
              <a:p>
                <a:pPr>
                  <a:defRPr sz="9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Sheet1!$A$2:$A$20</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xVal>
          <c:yVal>
            <c:numRef>
              <c:f>Sheet1!$D$2:$D$20</c:f>
              <c:numCache>
                <c:formatCode>0%</c:formatCode>
                <c:ptCount val="19"/>
                <c:pt idx="0">
                  <c:v>0</c:v>
                </c:pt>
                <c:pt idx="1">
                  <c:v>0</c:v>
                </c:pt>
                <c:pt idx="2">
                  <c:v>0</c:v>
                </c:pt>
                <c:pt idx="3">
                  <c:v>0</c:v>
                </c:pt>
                <c:pt idx="4">
                  <c:v>0</c:v>
                </c:pt>
                <c:pt idx="5">
                  <c:v>0</c:v>
                </c:pt>
                <c:pt idx="6">
                  <c:v>0</c:v>
                </c:pt>
                <c:pt idx="7">
                  <c:v>0</c:v>
                </c:pt>
                <c:pt idx="8">
                  <c:v>0</c:v>
                </c:pt>
                <c:pt idx="9">
                  <c:v>0</c:v>
                </c:pt>
                <c:pt idx="10" formatCode="0.00%">
                  <c:v>1.6999999999999999E-3</c:v>
                </c:pt>
                <c:pt idx="11" formatCode="0.00%">
                  <c:v>1.6999999999999999E-3</c:v>
                </c:pt>
                <c:pt idx="12" formatCode="0.00%">
                  <c:v>1.6999999999999999E-3</c:v>
                </c:pt>
                <c:pt idx="13" formatCode="0.00%">
                  <c:v>1.6999999999999999E-3</c:v>
                </c:pt>
                <c:pt idx="14" formatCode="0.00%">
                  <c:v>2.5000000000000001E-3</c:v>
                </c:pt>
                <c:pt idx="15" formatCode="0.00%">
                  <c:v>2.5000000000000001E-3</c:v>
                </c:pt>
                <c:pt idx="16" formatCode="0.00%">
                  <c:v>2.5000000000000001E-3</c:v>
                </c:pt>
                <c:pt idx="17" formatCode="0.00%">
                  <c:v>1.18E-2</c:v>
                </c:pt>
                <c:pt idx="18" formatCode="0.00%">
                  <c:v>1.18E-2</c:v>
                </c:pt>
              </c:numCache>
            </c:numRef>
          </c:yVal>
          <c:smooth val="0"/>
          <c:extLst>
            <c:ext xmlns:c16="http://schemas.microsoft.com/office/drawing/2014/chart" uri="{C3380CC4-5D6E-409C-BE32-E72D297353CC}">
              <c16:uniqueId val="{00000005-2B3E-484E-82F5-957346953146}"/>
            </c:ext>
          </c:extLst>
        </c:ser>
        <c:dLbls>
          <c:showLegendKey val="0"/>
          <c:showVal val="0"/>
          <c:showCatName val="0"/>
          <c:showSerName val="0"/>
          <c:showPercent val="0"/>
          <c:showBubbleSize val="0"/>
        </c:dLbls>
        <c:axId val="170361600"/>
        <c:axId val="170363136"/>
      </c:scatterChart>
      <c:valAx>
        <c:axId val="170361600"/>
        <c:scaling>
          <c:orientation val="minMax"/>
          <c:min val="2000"/>
        </c:scaling>
        <c:delete val="0"/>
        <c:axPos val="b"/>
        <c:numFmt formatCode="General" sourceLinked="1"/>
        <c:majorTickMark val="out"/>
        <c:minorTickMark val="none"/>
        <c:tickLblPos val="nextTo"/>
        <c:txPr>
          <a:bodyPr/>
          <a:lstStyle/>
          <a:p>
            <a:pPr>
              <a:defRPr sz="900"/>
            </a:pPr>
            <a:endParaRPr lang="en-US"/>
          </a:p>
        </c:txPr>
        <c:crossAx val="170363136"/>
        <c:crosses val="autoZero"/>
        <c:crossBetween val="midCat"/>
      </c:valAx>
      <c:valAx>
        <c:axId val="170363136"/>
        <c:scaling>
          <c:orientation val="minMax"/>
          <c:max val="0.2"/>
          <c:min val="0"/>
        </c:scaling>
        <c:delete val="0"/>
        <c:axPos val="l"/>
        <c:numFmt formatCode="0%" sourceLinked="0"/>
        <c:majorTickMark val="out"/>
        <c:minorTickMark val="none"/>
        <c:tickLblPos val="nextTo"/>
        <c:txPr>
          <a:bodyPr/>
          <a:lstStyle/>
          <a:p>
            <a:pPr>
              <a:defRPr sz="900"/>
            </a:pPr>
            <a:endParaRPr lang="en-US"/>
          </a:p>
        </c:txPr>
        <c:crossAx val="170361600"/>
        <c:crosses val="autoZero"/>
        <c:crossBetween val="midCat"/>
        <c:majorUnit val="5.000000000000001E-2"/>
      </c:valAx>
    </c:plotArea>
    <c:legend>
      <c:legendPos val="r"/>
      <c:layout>
        <c:manualLayout>
          <c:xMode val="edge"/>
          <c:yMode val="edge"/>
          <c:x val="0.13008245844269467"/>
          <c:y val="0.15220180810731995"/>
          <c:w val="0.24611724877960311"/>
          <c:h val="0.2256838233704429"/>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478359451490583E-2"/>
          <c:y val="3.3913755416503114E-2"/>
          <c:w val="0.84133691338559913"/>
          <c:h val="0.90490294139811178"/>
        </c:manualLayout>
      </c:layout>
      <c:barChart>
        <c:barDir val="col"/>
        <c:grouping val="stacked"/>
        <c:varyColors val="0"/>
        <c:ser>
          <c:idx val="9"/>
          <c:order val="0"/>
          <c:tx>
            <c:strRef>
              <c:f>Sheet1!$A$9</c:f>
              <c:strCache>
                <c:ptCount val="1"/>
                <c:pt idx="0">
                  <c:v>Current Status Marine (May 2018)</c:v>
                </c:pt>
              </c:strCache>
            </c:strRef>
          </c:tx>
          <c:spPr>
            <a:solidFill>
              <a:srgbClr val="00405C"/>
            </a:solidFill>
            <a:ln>
              <a:solidFill>
                <a:srgbClr val="00405C"/>
              </a:solidFill>
            </a:ln>
          </c:spPr>
          <c:invertIfNegative val="0"/>
          <c:cat>
            <c:strRef>
              <c:f>Sheet1!$B$1:$F$1</c:f>
              <c:strCache>
                <c:ptCount val="5"/>
                <c:pt idx="1">
                  <c:v>Terrestrial</c:v>
                </c:pt>
                <c:pt idx="2">
                  <c:v>National Waters</c:v>
                </c:pt>
                <c:pt idx="3">
                  <c:v>Global Ocean </c:v>
                </c:pt>
                <c:pt idx="4">
                  <c:v>  </c:v>
                </c:pt>
              </c:strCache>
            </c:strRef>
          </c:cat>
          <c:val>
            <c:numRef>
              <c:f>Sheet1!$B$9:$F$9</c:f>
              <c:numCache>
                <c:formatCode>General</c:formatCode>
                <c:ptCount val="5"/>
                <c:pt idx="2" formatCode="0.00%">
                  <c:v>0.16769999999999999</c:v>
                </c:pt>
                <c:pt idx="3" formatCode="0.00%">
                  <c:v>7.2599999999999998E-2</c:v>
                </c:pt>
              </c:numCache>
            </c:numRef>
          </c:val>
          <c:extLst>
            <c:ext xmlns:c16="http://schemas.microsoft.com/office/drawing/2014/chart" uri="{C3380CC4-5D6E-409C-BE32-E72D297353CC}">
              <c16:uniqueId val="{00000000-12BF-46FF-84A0-6DAEFA4CB8DD}"/>
            </c:ext>
          </c:extLst>
        </c:ser>
        <c:ser>
          <c:idx val="8"/>
          <c:order val="1"/>
          <c:tx>
            <c:strRef>
              <c:f>Sheet1!$A$8</c:f>
              <c:strCache>
                <c:ptCount val="1"/>
                <c:pt idx="0">
                  <c:v>Current Status Terrestrial (May 2018)</c:v>
                </c:pt>
              </c:strCache>
            </c:strRef>
          </c:tx>
          <c:spPr>
            <a:solidFill>
              <a:srgbClr val="00483A">
                <a:alpha val="92549"/>
              </a:srgbClr>
            </a:solidFill>
            <a:ln>
              <a:solidFill>
                <a:srgbClr val="00483A"/>
              </a:solidFill>
            </a:ln>
          </c:spPr>
          <c:invertIfNegative val="0"/>
          <c:dPt>
            <c:idx val="1"/>
            <c:invertIfNegative val="0"/>
            <c:bubble3D val="0"/>
            <c:extLst>
              <c:ext xmlns:c16="http://schemas.microsoft.com/office/drawing/2014/chart" uri="{C3380CC4-5D6E-409C-BE32-E72D297353CC}">
                <c16:uniqueId val="{00000001-12BF-46FF-84A0-6DAEFA4CB8DD}"/>
              </c:ext>
            </c:extLst>
          </c:dPt>
          <c:cat>
            <c:strRef>
              <c:f>Sheet1!$B$1:$F$1</c:f>
              <c:strCache>
                <c:ptCount val="5"/>
                <c:pt idx="1">
                  <c:v>Terrestrial</c:v>
                </c:pt>
                <c:pt idx="2">
                  <c:v>National Waters</c:v>
                </c:pt>
                <c:pt idx="3">
                  <c:v>Global Ocean </c:v>
                </c:pt>
                <c:pt idx="4">
                  <c:v>  </c:v>
                </c:pt>
              </c:strCache>
            </c:strRef>
          </c:cat>
          <c:val>
            <c:numRef>
              <c:f>Sheet1!$B$8:$F$8</c:f>
              <c:numCache>
                <c:formatCode>0.00%</c:formatCode>
                <c:ptCount val="5"/>
                <c:pt idx="1">
                  <c:v>0.1482</c:v>
                </c:pt>
              </c:numCache>
            </c:numRef>
          </c:val>
          <c:extLst>
            <c:ext xmlns:c16="http://schemas.microsoft.com/office/drawing/2014/chart" uri="{C3380CC4-5D6E-409C-BE32-E72D297353CC}">
              <c16:uniqueId val="{00000002-12BF-46FF-84A0-6DAEFA4CB8DD}"/>
            </c:ext>
          </c:extLst>
        </c:ser>
        <c:ser>
          <c:idx val="2"/>
          <c:order val="2"/>
          <c:tx>
            <c:strRef>
              <c:f>Sheet1!$A$4</c:f>
              <c:strCache>
                <c:ptCount val="1"/>
                <c:pt idx="0">
                  <c:v>Voluntary commitments from UN Ocean Conference</c:v>
                </c:pt>
              </c:strCache>
            </c:strRef>
          </c:tx>
          <c:spPr>
            <a:pattFill prst="wdUpDiag">
              <a:fgClr>
                <a:srgbClr val="0086B7"/>
              </a:fgClr>
              <a:bgClr>
                <a:schemeClr val="bg1"/>
              </a:bgClr>
            </a:pattFill>
            <a:ln>
              <a:solidFill>
                <a:schemeClr val="accent5">
                  <a:lumMod val="75000"/>
                </a:schemeClr>
              </a:solidFill>
            </a:ln>
          </c:spPr>
          <c:invertIfNegative val="0"/>
          <c:cat>
            <c:strRef>
              <c:f>Sheet1!$B$1:$F$1</c:f>
              <c:strCache>
                <c:ptCount val="5"/>
                <c:pt idx="1">
                  <c:v>Terrestrial</c:v>
                </c:pt>
                <c:pt idx="2">
                  <c:v>National Waters</c:v>
                </c:pt>
                <c:pt idx="3">
                  <c:v>Global Ocean </c:v>
                </c:pt>
                <c:pt idx="4">
                  <c:v>  </c:v>
                </c:pt>
              </c:strCache>
            </c:strRef>
          </c:cat>
          <c:val>
            <c:numRef>
              <c:f>Sheet1!$B$4:$F$4</c:f>
              <c:numCache>
                <c:formatCode>General</c:formatCode>
                <c:ptCount val="5"/>
                <c:pt idx="2" formatCode="0.00%">
                  <c:v>4.2281465260024867E-2</c:v>
                </c:pt>
                <c:pt idx="3" formatCode="0.00%">
                  <c:v>2.1444430905924915E-2</c:v>
                </c:pt>
              </c:numCache>
            </c:numRef>
          </c:val>
          <c:extLst>
            <c:ext xmlns:c16="http://schemas.microsoft.com/office/drawing/2014/chart" uri="{C3380CC4-5D6E-409C-BE32-E72D297353CC}">
              <c16:uniqueId val="{00000003-12BF-46FF-84A0-6DAEFA4CB8DD}"/>
            </c:ext>
          </c:extLst>
        </c:ser>
        <c:ser>
          <c:idx val="0"/>
          <c:order val="3"/>
          <c:tx>
            <c:strRef>
              <c:f>Sheet1!$A$2</c:f>
              <c:strCache>
                <c:ptCount val="1"/>
                <c:pt idx="0">
                  <c:v>National priority actions</c:v>
                </c:pt>
              </c:strCache>
            </c:strRef>
          </c:tx>
          <c:spPr>
            <a:pattFill prst="wdUpDiag">
              <a:fgClr>
                <a:srgbClr val="DA3B01"/>
              </a:fgClr>
              <a:bgClr>
                <a:schemeClr val="bg1"/>
              </a:bgClr>
            </a:pattFill>
            <a:ln>
              <a:solidFill>
                <a:srgbClr val="DA3B01"/>
              </a:solidFill>
            </a:ln>
          </c:spPr>
          <c:invertIfNegative val="0"/>
          <c:cat>
            <c:strRef>
              <c:f>Sheet1!$B$1:$F$1</c:f>
              <c:strCache>
                <c:ptCount val="5"/>
                <c:pt idx="1">
                  <c:v>Terrestrial</c:v>
                </c:pt>
                <c:pt idx="2">
                  <c:v>National Waters</c:v>
                </c:pt>
                <c:pt idx="3">
                  <c:v>Global Ocean </c:v>
                </c:pt>
                <c:pt idx="4">
                  <c:v>  </c:v>
                </c:pt>
              </c:strCache>
            </c:strRef>
          </c:cat>
          <c:val>
            <c:numRef>
              <c:f>Sheet1!$B$2:$F$2</c:f>
              <c:numCache>
                <c:formatCode>0.00%</c:formatCode>
                <c:ptCount val="5"/>
                <c:pt idx="1">
                  <c:v>4.0244412179066876E-3</c:v>
                </c:pt>
                <c:pt idx="2">
                  <c:v>8.8715190488812903E-4</c:v>
                </c:pt>
                <c:pt idx="3">
                  <c:v>3.4571269237638867E-4</c:v>
                </c:pt>
              </c:numCache>
            </c:numRef>
          </c:val>
          <c:extLst>
            <c:ext xmlns:c16="http://schemas.microsoft.com/office/drawing/2014/chart" uri="{C3380CC4-5D6E-409C-BE32-E72D297353CC}">
              <c16:uniqueId val="{00000004-12BF-46FF-84A0-6DAEFA4CB8DD}"/>
            </c:ext>
          </c:extLst>
        </c:ser>
        <c:ser>
          <c:idx val="3"/>
          <c:order val="4"/>
          <c:tx>
            <c:strRef>
              <c:f>Sheet1!$A$5</c:f>
              <c:strCache>
                <c:ptCount val="1"/>
                <c:pt idx="0">
                  <c:v>Other Large MPA proposals</c:v>
                </c:pt>
              </c:strCache>
            </c:strRef>
          </c:tx>
          <c:spPr>
            <a:pattFill prst="wdUpDiag">
              <a:fgClr>
                <a:srgbClr val="009B48"/>
              </a:fgClr>
              <a:bgClr>
                <a:schemeClr val="bg1"/>
              </a:bgClr>
            </a:pattFill>
            <a:ln>
              <a:solidFill>
                <a:srgbClr val="009B48"/>
              </a:solidFill>
            </a:ln>
          </c:spPr>
          <c:invertIfNegative val="0"/>
          <c:cat>
            <c:strRef>
              <c:f>Sheet1!$B$1:$F$1</c:f>
              <c:strCache>
                <c:ptCount val="5"/>
                <c:pt idx="1">
                  <c:v>Terrestrial</c:v>
                </c:pt>
                <c:pt idx="2">
                  <c:v>National Waters</c:v>
                </c:pt>
                <c:pt idx="3">
                  <c:v>Global Ocean </c:v>
                </c:pt>
                <c:pt idx="4">
                  <c:v>  </c:v>
                </c:pt>
              </c:strCache>
            </c:strRef>
          </c:cat>
          <c:val>
            <c:numRef>
              <c:f>Sheet1!$B$5:$F$5</c:f>
              <c:numCache>
                <c:formatCode>General</c:formatCode>
                <c:ptCount val="5"/>
                <c:pt idx="2" formatCode="0.00%">
                  <c:v>1.3593122208400926E-2</c:v>
                </c:pt>
                <c:pt idx="3" formatCode="0.00%">
                  <c:v>5.2970802977198791E-3</c:v>
                </c:pt>
              </c:numCache>
            </c:numRef>
          </c:val>
          <c:extLst>
            <c:ext xmlns:c16="http://schemas.microsoft.com/office/drawing/2014/chart" uri="{C3380CC4-5D6E-409C-BE32-E72D297353CC}">
              <c16:uniqueId val="{00000005-12BF-46FF-84A0-6DAEFA4CB8DD}"/>
            </c:ext>
          </c:extLst>
        </c:ser>
        <c:ser>
          <c:idx val="1"/>
          <c:order val="5"/>
          <c:tx>
            <c:strRef>
              <c:f>Sheet1!$A$3</c:f>
              <c:strCache>
                <c:ptCount val="1"/>
                <c:pt idx="0">
                  <c:v>Approved GEF-5 and GEF-6 projects </c:v>
                </c:pt>
              </c:strCache>
            </c:strRef>
          </c:tx>
          <c:spPr>
            <a:pattFill prst="wdUpDiag">
              <a:fgClr>
                <a:srgbClr val="6054BA"/>
              </a:fgClr>
              <a:bgClr>
                <a:schemeClr val="bg1"/>
              </a:bgClr>
            </a:pattFill>
            <a:ln>
              <a:solidFill>
                <a:srgbClr val="6054BA"/>
              </a:solidFill>
            </a:ln>
          </c:spPr>
          <c:invertIfNegative val="0"/>
          <c:cat>
            <c:strRef>
              <c:f>Sheet1!$B$1:$F$1</c:f>
              <c:strCache>
                <c:ptCount val="5"/>
                <c:pt idx="1">
                  <c:v>Terrestrial</c:v>
                </c:pt>
                <c:pt idx="2">
                  <c:v>National Waters</c:v>
                </c:pt>
                <c:pt idx="3">
                  <c:v>Global Ocean </c:v>
                </c:pt>
                <c:pt idx="4">
                  <c:v>  </c:v>
                </c:pt>
              </c:strCache>
            </c:strRef>
          </c:cat>
          <c:val>
            <c:numRef>
              <c:f>Sheet1!$B$3:$F$3</c:f>
              <c:numCache>
                <c:formatCode>0.00%</c:formatCode>
                <c:ptCount val="5"/>
                <c:pt idx="1">
                  <c:v>1.9902401088756727E-3</c:v>
                </c:pt>
                <c:pt idx="2">
                  <c:v>3.1644444689336569E-3</c:v>
                </c:pt>
                <c:pt idx="3">
                  <c:v>1.2331468953657714E-3</c:v>
                </c:pt>
              </c:numCache>
            </c:numRef>
          </c:val>
          <c:extLst>
            <c:ext xmlns:c16="http://schemas.microsoft.com/office/drawing/2014/chart" uri="{C3380CC4-5D6E-409C-BE32-E72D297353CC}">
              <c16:uniqueId val="{00000006-12BF-46FF-84A0-6DAEFA4CB8DD}"/>
            </c:ext>
          </c:extLst>
        </c:ser>
        <c:ser>
          <c:idx val="4"/>
          <c:order val="6"/>
          <c:tx>
            <c:strRef>
              <c:f>Sheet1!$A$6</c:f>
              <c:strCache>
                <c:ptCount val="1"/>
                <c:pt idx="0">
                  <c:v>Micronesia and Caribbean Challenge </c:v>
                </c:pt>
              </c:strCache>
            </c:strRef>
          </c:tx>
          <c:spPr>
            <a:pattFill prst="wdUpDiag">
              <a:fgClr>
                <a:srgbClr val="E8C800"/>
              </a:fgClr>
              <a:bgClr>
                <a:schemeClr val="bg1"/>
              </a:bgClr>
            </a:pattFill>
            <a:ln>
              <a:solidFill>
                <a:srgbClr val="E8C800"/>
              </a:solidFill>
            </a:ln>
          </c:spPr>
          <c:invertIfNegative val="0"/>
          <c:cat>
            <c:strRef>
              <c:f>Sheet1!$B$1:$F$1</c:f>
              <c:strCache>
                <c:ptCount val="5"/>
                <c:pt idx="1">
                  <c:v>Terrestrial</c:v>
                </c:pt>
                <c:pt idx="2">
                  <c:v>National Waters</c:v>
                </c:pt>
                <c:pt idx="3">
                  <c:v>Global Ocean </c:v>
                </c:pt>
                <c:pt idx="4">
                  <c:v>  </c:v>
                </c:pt>
              </c:strCache>
            </c:strRef>
          </c:cat>
          <c:val>
            <c:numRef>
              <c:f>Sheet1!$B$6:$F$6</c:f>
              <c:numCache>
                <c:formatCode>General</c:formatCode>
                <c:ptCount val="5"/>
                <c:pt idx="2" formatCode="0.00%">
                  <c:v>1.6256401550929947E-3</c:v>
                </c:pt>
                <c:pt idx="3" formatCode="0.00%">
                  <c:v>6.3349290212394785E-4</c:v>
                </c:pt>
              </c:numCache>
            </c:numRef>
          </c:val>
          <c:extLst>
            <c:ext xmlns:c16="http://schemas.microsoft.com/office/drawing/2014/chart" uri="{C3380CC4-5D6E-409C-BE32-E72D297353CC}">
              <c16:uniqueId val="{00000007-12BF-46FF-84A0-6DAEFA4CB8DD}"/>
            </c:ext>
          </c:extLst>
        </c:ser>
        <c:ser>
          <c:idx val="5"/>
          <c:order val="7"/>
          <c:tx>
            <c:strRef>
              <c:f>Sheet1!$A$7</c:f>
              <c:strCache>
                <c:ptCount val="1"/>
                <c:pt idx="0">
                  <c:v>Protected area targets in post-COP10 NBSAPs</c:v>
                </c:pt>
              </c:strCache>
            </c:strRef>
          </c:tx>
          <c:spPr>
            <a:pattFill prst="wdUpDiag">
              <a:fgClr>
                <a:srgbClr val="98001F"/>
              </a:fgClr>
              <a:bgClr>
                <a:schemeClr val="bg1"/>
              </a:bgClr>
            </a:pattFill>
            <a:ln>
              <a:solidFill>
                <a:srgbClr val="98001F"/>
              </a:solidFill>
            </a:ln>
          </c:spPr>
          <c:invertIfNegative val="0"/>
          <c:cat>
            <c:strRef>
              <c:f>Sheet1!$B$1:$F$1</c:f>
              <c:strCache>
                <c:ptCount val="5"/>
                <c:pt idx="1">
                  <c:v>Terrestrial</c:v>
                </c:pt>
                <c:pt idx="2">
                  <c:v>National Waters</c:v>
                </c:pt>
                <c:pt idx="3">
                  <c:v>Global Ocean </c:v>
                </c:pt>
                <c:pt idx="4">
                  <c:v>  </c:v>
                </c:pt>
              </c:strCache>
            </c:strRef>
          </c:cat>
          <c:val>
            <c:numRef>
              <c:f>Sheet1!$B$7:$F$7</c:f>
              <c:numCache>
                <c:formatCode>0.00%</c:formatCode>
                <c:ptCount val="5"/>
                <c:pt idx="1">
                  <c:v>2.2916944263159676E-2</c:v>
                </c:pt>
                <c:pt idx="2">
                  <c:v>1.1063084058858681E-2</c:v>
                </c:pt>
                <c:pt idx="3">
                  <c:v>4.3111541043882838E-3</c:v>
                </c:pt>
              </c:numCache>
            </c:numRef>
          </c:val>
          <c:extLst>
            <c:ext xmlns:c16="http://schemas.microsoft.com/office/drawing/2014/chart" uri="{C3380CC4-5D6E-409C-BE32-E72D297353CC}">
              <c16:uniqueId val="{00000008-12BF-46FF-84A0-6DAEFA4CB8DD}"/>
            </c:ext>
          </c:extLst>
        </c:ser>
        <c:dLbls>
          <c:showLegendKey val="0"/>
          <c:showVal val="0"/>
          <c:showCatName val="0"/>
          <c:showSerName val="0"/>
          <c:showPercent val="0"/>
          <c:showBubbleSize val="0"/>
        </c:dLbls>
        <c:gapWidth val="86"/>
        <c:overlap val="100"/>
        <c:axId val="170723200"/>
        <c:axId val="170724736"/>
      </c:barChart>
      <c:scatterChart>
        <c:scatterStyle val="smoothMarker"/>
        <c:varyColors val="0"/>
        <c:ser>
          <c:idx val="6"/>
          <c:order val="8"/>
          <c:tx>
            <c:strRef>
              <c:f>Sheet1!$A$10</c:f>
              <c:strCache>
                <c:ptCount val="1"/>
                <c:pt idx="0">
                  <c:v>Terrestrial target (17%)</c:v>
                </c:pt>
              </c:strCache>
            </c:strRef>
          </c:tx>
          <c:spPr>
            <a:ln>
              <a:solidFill>
                <a:srgbClr val="009B48"/>
              </a:solidFill>
              <a:prstDash val="dash"/>
            </a:ln>
          </c:spPr>
          <c:marker>
            <c:symbol val="none"/>
          </c:marker>
          <c:xVal>
            <c:strRef>
              <c:f>Sheet1!$B$1:$F$1</c:f>
              <c:strCache>
                <c:ptCount val="5"/>
                <c:pt idx="1">
                  <c:v>Terrestrial</c:v>
                </c:pt>
                <c:pt idx="2">
                  <c:v>National Waters</c:v>
                </c:pt>
                <c:pt idx="3">
                  <c:v>Global Ocean </c:v>
                </c:pt>
                <c:pt idx="4">
                  <c:v>  </c:v>
                </c:pt>
              </c:strCache>
            </c:strRef>
          </c:xVal>
          <c:yVal>
            <c:numRef>
              <c:f>Sheet1!$B$10:$F$10</c:f>
              <c:numCache>
                <c:formatCode>0%</c:formatCode>
                <c:ptCount val="5"/>
                <c:pt idx="0">
                  <c:v>0.17</c:v>
                </c:pt>
                <c:pt idx="1">
                  <c:v>0.17</c:v>
                </c:pt>
                <c:pt idx="2">
                  <c:v>0.17</c:v>
                </c:pt>
                <c:pt idx="3">
                  <c:v>0.17</c:v>
                </c:pt>
                <c:pt idx="4">
                  <c:v>0.17</c:v>
                </c:pt>
              </c:numCache>
            </c:numRef>
          </c:yVal>
          <c:smooth val="1"/>
          <c:extLst>
            <c:ext xmlns:c16="http://schemas.microsoft.com/office/drawing/2014/chart" uri="{C3380CC4-5D6E-409C-BE32-E72D297353CC}">
              <c16:uniqueId val="{00000009-12BF-46FF-84A0-6DAEFA4CB8DD}"/>
            </c:ext>
          </c:extLst>
        </c:ser>
        <c:ser>
          <c:idx val="7"/>
          <c:order val="9"/>
          <c:tx>
            <c:strRef>
              <c:f>Sheet1!$A$11</c:f>
              <c:strCache>
                <c:ptCount val="1"/>
                <c:pt idx="0">
                  <c:v>Marine Target (10%)</c:v>
                </c:pt>
              </c:strCache>
            </c:strRef>
          </c:tx>
          <c:spPr>
            <a:ln>
              <a:solidFill>
                <a:srgbClr val="0086B7"/>
              </a:solidFill>
              <a:prstDash val="dash"/>
            </a:ln>
          </c:spPr>
          <c:marker>
            <c:symbol val="none"/>
          </c:marker>
          <c:xVal>
            <c:strRef>
              <c:f>Sheet1!$B$1:$F$1</c:f>
              <c:strCache>
                <c:ptCount val="5"/>
                <c:pt idx="1">
                  <c:v>Terrestrial</c:v>
                </c:pt>
                <c:pt idx="2">
                  <c:v>National Waters</c:v>
                </c:pt>
                <c:pt idx="3">
                  <c:v>Global Ocean </c:v>
                </c:pt>
                <c:pt idx="4">
                  <c:v>  </c:v>
                </c:pt>
              </c:strCache>
            </c:strRef>
          </c:xVal>
          <c:yVal>
            <c:numRef>
              <c:f>Sheet1!$B$11:$F$11</c:f>
              <c:numCache>
                <c:formatCode>0%</c:formatCode>
                <c:ptCount val="5"/>
                <c:pt idx="0">
                  <c:v>0.1</c:v>
                </c:pt>
                <c:pt idx="1">
                  <c:v>0.1</c:v>
                </c:pt>
                <c:pt idx="2">
                  <c:v>0.1</c:v>
                </c:pt>
                <c:pt idx="3">
                  <c:v>0.1</c:v>
                </c:pt>
                <c:pt idx="4">
                  <c:v>0.1</c:v>
                </c:pt>
              </c:numCache>
            </c:numRef>
          </c:yVal>
          <c:smooth val="1"/>
          <c:extLst>
            <c:ext xmlns:c16="http://schemas.microsoft.com/office/drawing/2014/chart" uri="{C3380CC4-5D6E-409C-BE32-E72D297353CC}">
              <c16:uniqueId val="{0000000A-12BF-46FF-84A0-6DAEFA4CB8DD}"/>
            </c:ext>
          </c:extLst>
        </c:ser>
        <c:dLbls>
          <c:showLegendKey val="0"/>
          <c:showVal val="0"/>
          <c:showCatName val="0"/>
          <c:showSerName val="0"/>
          <c:showPercent val="0"/>
          <c:showBubbleSize val="0"/>
        </c:dLbls>
        <c:axId val="170723200"/>
        <c:axId val="170724736"/>
      </c:scatterChart>
      <c:catAx>
        <c:axId val="170723200"/>
        <c:scaling>
          <c:orientation val="minMax"/>
        </c:scaling>
        <c:delete val="0"/>
        <c:axPos val="b"/>
        <c:numFmt formatCode="General" sourceLinked="1"/>
        <c:majorTickMark val="out"/>
        <c:minorTickMark val="none"/>
        <c:tickLblPos val="nextTo"/>
        <c:txPr>
          <a:bodyPr/>
          <a:lstStyle/>
          <a:p>
            <a:pPr>
              <a:defRPr sz="1100" b="1"/>
            </a:pPr>
            <a:endParaRPr lang="en-US"/>
          </a:p>
        </c:txPr>
        <c:crossAx val="170724736"/>
        <c:crosses val="autoZero"/>
        <c:auto val="0"/>
        <c:lblAlgn val="ctr"/>
        <c:lblOffset val="100"/>
        <c:noMultiLvlLbl val="0"/>
      </c:catAx>
      <c:valAx>
        <c:axId val="170724736"/>
        <c:scaling>
          <c:orientation val="minMax"/>
          <c:max val="0.30000000000000004"/>
        </c:scaling>
        <c:delete val="0"/>
        <c:axPos val="l"/>
        <c:numFmt formatCode="0%" sourceLinked="0"/>
        <c:majorTickMark val="out"/>
        <c:minorTickMark val="none"/>
        <c:tickLblPos val="nextTo"/>
        <c:txPr>
          <a:bodyPr/>
          <a:lstStyle/>
          <a:p>
            <a:pPr>
              <a:defRPr sz="900"/>
            </a:pPr>
            <a:endParaRPr lang="en-US"/>
          </a:p>
        </c:txPr>
        <c:crossAx val="170723200"/>
        <c:crosses val="autoZero"/>
        <c:crossBetween val="midCat"/>
      </c:valAx>
    </c:plotArea>
    <c:legend>
      <c:legendPos val="r"/>
      <c:layout>
        <c:manualLayout>
          <c:xMode val="edge"/>
          <c:yMode val="edge"/>
          <c:x val="6.3685921373649437E-2"/>
          <c:y val="1.5270818420424719E-4"/>
          <c:w val="0.93631407862635041"/>
          <c:h val="0.25923235282693258"/>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Marine ecoregions</a:t>
            </a:r>
          </a:p>
        </c:rich>
      </c:tx>
      <c:layout>
        <c:manualLayout>
          <c:xMode val="edge"/>
          <c:yMode val="edge"/>
          <c:x val="0.32825657671496128"/>
          <c:y val="0"/>
        </c:manualLayout>
      </c:layout>
      <c:overlay val="1"/>
    </c:title>
    <c:autoTitleDeleted val="0"/>
    <c:plotArea>
      <c:layout>
        <c:manualLayout>
          <c:layoutTarget val="inner"/>
          <c:xMode val="edge"/>
          <c:yMode val="edge"/>
          <c:x val="9.3404138436183851E-2"/>
          <c:y val="5.1400554097404488E-2"/>
          <c:w val="0.90659586156381611"/>
          <c:h val="0.8476308626389264"/>
        </c:manualLayout>
      </c:layout>
      <c:barChart>
        <c:barDir val="col"/>
        <c:grouping val="clustered"/>
        <c:varyColors val="0"/>
        <c:ser>
          <c:idx val="2"/>
          <c:order val="0"/>
          <c:tx>
            <c:strRef>
              <c:f>all_MERs!$M$21</c:f>
              <c:strCache>
                <c:ptCount val="1"/>
                <c:pt idx="0">
                  <c:v>August 2014</c:v>
                </c:pt>
              </c:strCache>
            </c:strRef>
          </c:tx>
          <c:spPr>
            <a:solidFill>
              <a:schemeClr val="accent1">
                <a:lumMod val="40000"/>
                <a:lumOff val="60000"/>
              </a:schemeClr>
            </a:solidFill>
          </c:spPr>
          <c:invertIfNegative val="0"/>
          <c:val>
            <c:numRef>
              <c:f>all_MERs!$N$22:$N$25</c:f>
              <c:numCache>
                <c:formatCode>General</c:formatCode>
                <c:ptCount val="4"/>
                <c:pt idx="0">
                  <c:v>56</c:v>
                </c:pt>
                <c:pt idx="1">
                  <c:v>64</c:v>
                </c:pt>
                <c:pt idx="2">
                  <c:v>34</c:v>
                </c:pt>
                <c:pt idx="3">
                  <c:v>78</c:v>
                </c:pt>
              </c:numCache>
            </c:numRef>
          </c:val>
          <c:extLst>
            <c:ext xmlns:c16="http://schemas.microsoft.com/office/drawing/2014/chart" uri="{C3380CC4-5D6E-409C-BE32-E72D297353CC}">
              <c16:uniqueId val="{00000000-F5C7-454D-AE31-45A00E067407}"/>
            </c:ext>
          </c:extLst>
        </c:ser>
        <c:ser>
          <c:idx val="0"/>
          <c:order val="1"/>
          <c:tx>
            <c:v>April 2016</c:v>
          </c:tx>
          <c:spPr>
            <a:solidFill>
              <a:srgbClr val="00B0F0"/>
            </a:solidFill>
          </c:spPr>
          <c:invertIfNegative val="0"/>
          <c:cat>
            <c:strRef>
              <c:f>all_MERs!$M$10:$M$13</c:f>
              <c:strCache>
                <c:ptCount val="4"/>
                <c:pt idx="0">
                  <c:v>&lt;1%</c:v>
                </c:pt>
                <c:pt idx="1">
                  <c:v>1-5%</c:v>
                </c:pt>
                <c:pt idx="2">
                  <c:v>5-10%</c:v>
                </c:pt>
                <c:pt idx="3">
                  <c:v>&gt;10%</c:v>
                </c:pt>
              </c:strCache>
            </c:strRef>
          </c:cat>
          <c:val>
            <c:numRef>
              <c:f>all_MERs!$N$16:$N$19</c:f>
              <c:numCache>
                <c:formatCode>General</c:formatCode>
                <c:ptCount val="4"/>
                <c:pt idx="0">
                  <c:v>51</c:v>
                </c:pt>
                <c:pt idx="1">
                  <c:v>67</c:v>
                </c:pt>
                <c:pt idx="2">
                  <c:v>30</c:v>
                </c:pt>
                <c:pt idx="3">
                  <c:v>84</c:v>
                </c:pt>
              </c:numCache>
            </c:numRef>
          </c:val>
          <c:extLst>
            <c:ext xmlns:c16="http://schemas.microsoft.com/office/drawing/2014/chart" uri="{C3380CC4-5D6E-409C-BE32-E72D297353CC}">
              <c16:uniqueId val="{00000001-F5C7-454D-AE31-45A00E067407}"/>
            </c:ext>
          </c:extLst>
        </c:ser>
        <c:ser>
          <c:idx val="1"/>
          <c:order val="2"/>
          <c:tx>
            <c:strRef>
              <c:f>all_MERs!$M$3</c:f>
              <c:strCache>
                <c:ptCount val="1"/>
                <c:pt idx="0">
                  <c:v>April 2018</c:v>
                </c:pt>
              </c:strCache>
            </c:strRef>
          </c:tx>
          <c:spPr>
            <a:solidFill>
              <a:srgbClr val="0070C0"/>
            </a:solidFill>
          </c:spPr>
          <c:invertIfNegative val="0"/>
          <c:cat>
            <c:strRef>
              <c:f>all_MERs!$M$10:$M$13</c:f>
              <c:strCache>
                <c:ptCount val="4"/>
                <c:pt idx="0">
                  <c:v>&lt;1%</c:v>
                </c:pt>
                <c:pt idx="1">
                  <c:v>1-5%</c:v>
                </c:pt>
                <c:pt idx="2">
                  <c:v>5-10%</c:v>
                </c:pt>
                <c:pt idx="3">
                  <c:v>&gt;10%</c:v>
                </c:pt>
              </c:strCache>
            </c:strRef>
          </c:cat>
          <c:val>
            <c:numRef>
              <c:f>all_MERs!$N$4:$N$7</c:f>
              <c:numCache>
                <c:formatCode>General</c:formatCode>
                <c:ptCount val="4"/>
                <c:pt idx="0" formatCode="0">
                  <c:v>43</c:v>
                </c:pt>
                <c:pt idx="1">
                  <c:v>63</c:v>
                </c:pt>
                <c:pt idx="2">
                  <c:v>27</c:v>
                </c:pt>
                <c:pt idx="3">
                  <c:v>99</c:v>
                </c:pt>
              </c:numCache>
            </c:numRef>
          </c:val>
          <c:extLst>
            <c:ext xmlns:c16="http://schemas.microsoft.com/office/drawing/2014/chart" uri="{C3380CC4-5D6E-409C-BE32-E72D297353CC}">
              <c16:uniqueId val="{00000002-F5C7-454D-AE31-45A00E067407}"/>
            </c:ext>
          </c:extLst>
        </c:ser>
        <c:dLbls>
          <c:showLegendKey val="0"/>
          <c:showVal val="0"/>
          <c:showCatName val="0"/>
          <c:showSerName val="0"/>
          <c:showPercent val="0"/>
          <c:showBubbleSize val="0"/>
        </c:dLbls>
        <c:gapWidth val="75"/>
        <c:axId val="170764544"/>
        <c:axId val="170770432"/>
      </c:barChart>
      <c:catAx>
        <c:axId val="170764544"/>
        <c:scaling>
          <c:orientation val="minMax"/>
        </c:scaling>
        <c:delete val="0"/>
        <c:axPos val="b"/>
        <c:majorTickMark val="out"/>
        <c:minorTickMark val="none"/>
        <c:tickLblPos val="nextTo"/>
        <c:txPr>
          <a:bodyPr/>
          <a:lstStyle/>
          <a:p>
            <a:pPr>
              <a:defRPr sz="800" b="1"/>
            </a:pPr>
            <a:endParaRPr lang="en-US"/>
          </a:p>
        </c:txPr>
        <c:crossAx val="170770432"/>
        <c:crosses val="autoZero"/>
        <c:auto val="1"/>
        <c:lblAlgn val="ctr"/>
        <c:lblOffset val="100"/>
        <c:noMultiLvlLbl val="0"/>
      </c:catAx>
      <c:valAx>
        <c:axId val="170770432"/>
        <c:scaling>
          <c:orientation val="minMax"/>
          <c:max val="100"/>
        </c:scaling>
        <c:delete val="0"/>
        <c:axPos val="l"/>
        <c:numFmt formatCode="General" sourceLinked="1"/>
        <c:majorTickMark val="out"/>
        <c:minorTickMark val="none"/>
        <c:tickLblPos val="nextTo"/>
        <c:txPr>
          <a:bodyPr/>
          <a:lstStyle/>
          <a:p>
            <a:pPr>
              <a:defRPr sz="800"/>
            </a:pPr>
            <a:endParaRPr lang="en-US"/>
          </a:p>
        </c:txPr>
        <c:crossAx val="170764544"/>
        <c:crosses val="autoZero"/>
        <c:crossBetween val="between"/>
        <c:majorUnit val="25"/>
      </c:valAx>
    </c:plotArea>
    <c:legend>
      <c:legendPos val="r"/>
      <c:layout>
        <c:manualLayout>
          <c:xMode val="edge"/>
          <c:yMode val="edge"/>
          <c:x val="0.10662382417373947"/>
          <c:y val="9.9720018778931593E-2"/>
          <c:w val="0.23532915463261772"/>
          <c:h val="0.20972125935601887"/>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Pelagic provinces</a:t>
            </a:r>
          </a:p>
        </c:rich>
      </c:tx>
      <c:layout>
        <c:manualLayout>
          <c:xMode val="edge"/>
          <c:yMode val="edge"/>
          <c:x val="0.3372343503097136"/>
          <c:y val="0"/>
        </c:manualLayout>
      </c:layout>
      <c:overlay val="1"/>
    </c:title>
    <c:autoTitleDeleted val="0"/>
    <c:plotArea>
      <c:layout>
        <c:manualLayout>
          <c:layoutTarget val="inner"/>
          <c:xMode val="edge"/>
          <c:yMode val="edge"/>
          <c:x val="7.1592272947836905E-2"/>
          <c:y val="5.1400554097404488E-2"/>
          <c:w val="0.92839627966411709"/>
          <c:h val="0.8435081145403448"/>
        </c:manualLayout>
      </c:layout>
      <c:barChart>
        <c:barDir val="col"/>
        <c:grouping val="clustered"/>
        <c:varyColors val="0"/>
        <c:ser>
          <c:idx val="0"/>
          <c:order val="0"/>
          <c:tx>
            <c:strRef>
              <c:f>pelagic!$I$18</c:f>
              <c:strCache>
                <c:ptCount val="1"/>
                <c:pt idx="0">
                  <c:v>August 2014</c:v>
                </c:pt>
              </c:strCache>
            </c:strRef>
          </c:tx>
          <c:spPr>
            <a:solidFill>
              <a:schemeClr val="accent1">
                <a:lumMod val="40000"/>
                <a:lumOff val="60000"/>
              </a:schemeClr>
            </a:solidFill>
          </c:spPr>
          <c:invertIfNegative val="0"/>
          <c:cat>
            <c:strRef>
              <c:f>pelagic!$I$19:$I$22</c:f>
              <c:strCache>
                <c:ptCount val="4"/>
                <c:pt idx="0">
                  <c:v>&lt;1%</c:v>
                </c:pt>
                <c:pt idx="1">
                  <c:v>1-5%</c:v>
                </c:pt>
                <c:pt idx="2">
                  <c:v>5-10%</c:v>
                </c:pt>
                <c:pt idx="3">
                  <c:v>&gt;10%</c:v>
                </c:pt>
              </c:strCache>
            </c:strRef>
          </c:cat>
          <c:val>
            <c:numRef>
              <c:f>pelagic!$J$19:$J$22</c:f>
              <c:numCache>
                <c:formatCode>General</c:formatCode>
                <c:ptCount val="4"/>
                <c:pt idx="0">
                  <c:v>18</c:v>
                </c:pt>
                <c:pt idx="1">
                  <c:v>16</c:v>
                </c:pt>
                <c:pt idx="2">
                  <c:v>2</c:v>
                </c:pt>
                <c:pt idx="3">
                  <c:v>2</c:v>
                </c:pt>
              </c:numCache>
            </c:numRef>
          </c:val>
          <c:extLst>
            <c:ext xmlns:c16="http://schemas.microsoft.com/office/drawing/2014/chart" uri="{C3380CC4-5D6E-409C-BE32-E72D297353CC}">
              <c16:uniqueId val="{00000000-B8AC-409F-A782-4C0D3F1E071C}"/>
            </c:ext>
          </c:extLst>
        </c:ser>
        <c:ser>
          <c:idx val="1"/>
          <c:order val="1"/>
          <c:tx>
            <c:strRef>
              <c:f>pelagic!$I$12</c:f>
              <c:strCache>
                <c:ptCount val="1"/>
                <c:pt idx="0">
                  <c:v>April 2016</c:v>
                </c:pt>
              </c:strCache>
            </c:strRef>
          </c:tx>
          <c:spPr>
            <a:solidFill>
              <a:schemeClr val="accent1"/>
            </a:solidFill>
          </c:spPr>
          <c:invertIfNegative val="0"/>
          <c:cat>
            <c:strRef>
              <c:f>pelagic!$I$19:$I$22</c:f>
              <c:strCache>
                <c:ptCount val="4"/>
                <c:pt idx="0">
                  <c:v>&lt;1%</c:v>
                </c:pt>
                <c:pt idx="1">
                  <c:v>1-5%</c:v>
                </c:pt>
                <c:pt idx="2">
                  <c:v>5-10%</c:v>
                </c:pt>
                <c:pt idx="3">
                  <c:v>&gt;10%</c:v>
                </c:pt>
              </c:strCache>
            </c:strRef>
          </c:cat>
          <c:val>
            <c:numRef>
              <c:f>pelagic!$J$13:$J$16</c:f>
              <c:numCache>
                <c:formatCode>General</c:formatCode>
                <c:ptCount val="4"/>
                <c:pt idx="0">
                  <c:v>17</c:v>
                </c:pt>
                <c:pt idx="1">
                  <c:v>15</c:v>
                </c:pt>
                <c:pt idx="2">
                  <c:v>2</c:v>
                </c:pt>
                <c:pt idx="3">
                  <c:v>3</c:v>
                </c:pt>
              </c:numCache>
            </c:numRef>
          </c:val>
          <c:extLst>
            <c:ext xmlns:c16="http://schemas.microsoft.com/office/drawing/2014/chart" uri="{C3380CC4-5D6E-409C-BE32-E72D297353CC}">
              <c16:uniqueId val="{00000001-B8AC-409F-A782-4C0D3F1E071C}"/>
            </c:ext>
          </c:extLst>
        </c:ser>
        <c:ser>
          <c:idx val="2"/>
          <c:order val="2"/>
          <c:tx>
            <c:strRef>
              <c:f>pelagic!$G$6</c:f>
              <c:strCache>
                <c:ptCount val="1"/>
                <c:pt idx="0">
                  <c:v>April 2018</c:v>
                </c:pt>
              </c:strCache>
            </c:strRef>
          </c:tx>
          <c:spPr>
            <a:solidFill>
              <a:schemeClr val="accent1">
                <a:lumMod val="50000"/>
              </a:schemeClr>
            </a:solidFill>
          </c:spPr>
          <c:invertIfNegative val="0"/>
          <c:cat>
            <c:strRef>
              <c:f>pelagic!$I$19:$I$22</c:f>
              <c:strCache>
                <c:ptCount val="4"/>
                <c:pt idx="0">
                  <c:v>&lt;1%</c:v>
                </c:pt>
                <c:pt idx="1">
                  <c:v>1-5%</c:v>
                </c:pt>
                <c:pt idx="2">
                  <c:v>5-10%</c:v>
                </c:pt>
                <c:pt idx="3">
                  <c:v>&gt;10%</c:v>
                </c:pt>
              </c:strCache>
            </c:strRef>
          </c:cat>
          <c:val>
            <c:numRef>
              <c:f>pelagic!$G$7:$G$10</c:f>
              <c:numCache>
                <c:formatCode>General</c:formatCode>
                <c:ptCount val="4"/>
                <c:pt idx="0">
                  <c:v>11</c:v>
                </c:pt>
                <c:pt idx="1">
                  <c:v>15</c:v>
                </c:pt>
                <c:pt idx="2">
                  <c:v>7</c:v>
                </c:pt>
                <c:pt idx="3">
                  <c:v>4</c:v>
                </c:pt>
              </c:numCache>
            </c:numRef>
          </c:val>
          <c:extLst>
            <c:ext xmlns:c16="http://schemas.microsoft.com/office/drawing/2014/chart" uri="{C3380CC4-5D6E-409C-BE32-E72D297353CC}">
              <c16:uniqueId val="{00000002-B8AC-409F-A782-4C0D3F1E071C}"/>
            </c:ext>
          </c:extLst>
        </c:ser>
        <c:dLbls>
          <c:showLegendKey val="0"/>
          <c:showVal val="0"/>
          <c:showCatName val="0"/>
          <c:showSerName val="0"/>
          <c:showPercent val="0"/>
          <c:showBubbleSize val="0"/>
        </c:dLbls>
        <c:gapWidth val="75"/>
        <c:axId val="170920192"/>
        <c:axId val="170921984"/>
      </c:barChart>
      <c:catAx>
        <c:axId val="170920192"/>
        <c:scaling>
          <c:orientation val="minMax"/>
        </c:scaling>
        <c:delete val="0"/>
        <c:axPos val="b"/>
        <c:numFmt formatCode="General" sourceLinked="0"/>
        <c:majorTickMark val="out"/>
        <c:minorTickMark val="none"/>
        <c:tickLblPos val="nextTo"/>
        <c:txPr>
          <a:bodyPr/>
          <a:lstStyle/>
          <a:p>
            <a:pPr>
              <a:defRPr sz="800" b="1"/>
            </a:pPr>
            <a:endParaRPr lang="en-US"/>
          </a:p>
        </c:txPr>
        <c:crossAx val="170921984"/>
        <c:crosses val="autoZero"/>
        <c:auto val="1"/>
        <c:lblAlgn val="ctr"/>
        <c:lblOffset val="100"/>
        <c:noMultiLvlLbl val="0"/>
      </c:catAx>
      <c:valAx>
        <c:axId val="170921984"/>
        <c:scaling>
          <c:orientation val="minMax"/>
        </c:scaling>
        <c:delete val="0"/>
        <c:axPos val="l"/>
        <c:numFmt formatCode="General" sourceLinked="1"/>
        <c:majorTickMark val="out"/>
        <c:minorTickMark val="none"/>
        <c:tickLblPos val="nextTo"/>
        <c:txPr>
          <a:bodyPr/>
          <a:lstStyle/>
          <a:p>
            <a:pPr>
              <a:defRPr sz="800"/>
            </a:pPr>
            <a:endParaRPr lang="en-US"/>
          </a:p>
        </c:txPr>
        <c:crossAx val="170920192"/>
        <c:crosses val="autoZero"/>
        <c:crossBetween val="between"/>
        <c:majorUnit val="5"/>
      </c:valAx>
    </c:plotArea>
    <c:legend>
      <c:legendPos val="r"/>
      <c:layout>
        <c:manualLayout>
          <c:xMode val="edge"/>
          <c:yMode val="edge"/>
          <c:x val="0.71196187158283197"/>
          <c:y val="0.23252603950821937"/>
          <c:w val="0.26598872584108807"/>
          <c:h val="0.18884801758624642"/>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000"/>
              <a:t>Terrestrial ecoregions</a:t>
            </a:r>
          </a:p>
        </c:rich>
      </c:tx>
      <c:overlay val="1"/>
    </c:title>
    <c:autoTitleDeleted val="0"/>
    <c:plotArea>
      <c:layout>
        <c:manualLayout>
          <c:layoutTarget val="inner"/>
          <c:xMode val="edge"/>
          <c:yMode val="edge"/>
          <c:x val="6.5248917966288983E-2"/>
          <c:y val="5.1400554097404488E-2"/>
          <c:w val="0.90827118670701656"/>
          <c:h val="0.84991726577656057"/>
        </c:manualLayout>
      </c:layout>
      <c:barChart>
        <c:barDir val="col"/>
        <c:grouping val="clustered"/>
        <c:varyColors val="0"/>
        <c:ser>
          <c:idx val="2"/>
          <c:order val="0"/>
          <c:tx>
            <c:strRef>
              <c:f>'all TER'!$P$24</c:f>
              <c:strCache>
                <c:ptCount val="1"/>
                <c:pt idx="0">
                  <c:v>August 2014</c:v>
                </c:pt>
              </c:strCache>
            </c:strRef>
          </c:tx>
          <c:spPr>
            <a:solidFill>
              <a:schemeClr val="accent6">
                <a:lumMod val="40000"/>
                <a:lumOff val="60000"/>
              </a:schemeClr>
            </a:solidFill>
          </c:spPr>
          <c:invertIfNegative val="0"/>
          <c:val>
            <c:numRef>
              <c:f>'all TER'!$Q$25:$Q$29</c:f>
              <c:numCache>
                <c:formatCode>General</c:formatCode>
                <c:ptCount val="5"/>
                <c:pt idx="0">
                  <c:v>55</c:v>
                </c:pt>
                <c:pt idx="1">
                  <c:v>144</c:v>
                </c:pt>
                <c:pt idx="2">
                  <c:v>150</c:v>
                </c:pt>
                <c:pt idx="3">
                  <c:v>124</c:v>
                </c:pt>
                <c:pt idx="4">
                  <c:v>350</c:v>
                </c:pt>
              </c:numCache>
            </c:numRef>
          </c:val>
          <c:extLst>
            <c:ext xmlns:c16="http://schemas.microsoft.com/office/drawing/2014/chart" uri="{C3380CC4-5D6E-409C-BE32-E72D297353CC}">
              <c16:uniqueId val="{00000000-636E-43E8-8BEA-08421800492E}"/>
            </c:ext>
          </c:extLst>
        </c:ser>
        <c:ser>
          <c:idx val="0"/>
          <c:order val="1"/>
          <c:tx>
            <c:strRef>
              <c:f>'all TER'!$P$17</c:f>
              <c:strCache>
                <c:ptCount val="1"/>
                <c:pt idx="0">
                  <c:v>April 2016</c:v>
                </c:pt>
              </c:strCache>
            </c:strRef>
          </c:tx>
          <c:spPr>
            <a:solidFill>
              <a:srgbClr val="92D050"/>
            </a:solidFill>
          </c:spPr>
          <c:invertIfNegative val="0"/>
          <c:cat>
            <c:strRef>
              <c:f>'all TER'!$P$11:$P$15</c:f>
              <c:strCache>
                <c:ptCount val="5"/>
                <c:pt idx="0">
                  <c:v>&lt;1%</c:v>
                </c:pt>
                <c:pt idx="1">
                  <c:v>1-5%</c:v>
                </c:pt>
                <c:pt idx="2">
                  <c:v>5-10%</c:v>
                </c:pt>
                <c:pt idx="3">
                  <c:v>10-17%</c:v>
                </c:pt>
                <c:pt idx="4">
                  <c:v>&gt;17%</c:v>
                </c:pt>
              </c:strCache>
            </c:strRef>
          </c:cat>
          <c:val>
            <c:numRef>
              <c:f>'all TER'!$Q$18:$Q$22</c:f>
              <c:numCache>
                <c:formatCode>General</c:formatCode>
                <c:ptCount val="5"/>
                <c:pt idx="0">
                  <c:v>53</c:v>
                </c:pt>
                <c:pt idx="1">
                  <c:v>141</c:v>
                </c:pt>
                <c:pt idx="2">
                  <c:v>146</c:v>
                </c:pt>
                <c:pt idx="3">
                  <c:v>132</c:v>
                </c:pt>
                <c:pt idx="4">
                  <c:v>351</c:v>
                </c:pt>
              </c:numCache>
            </c:numRef>
          </c:val>
          <c:extLst>
            <c:ext xmlns:c16="http://schemas.microsoft.com/office/drawing/2014/chart" uri="{C3380CC4-5D6E-409C-BE32-E72D297353CC}">
              <c16:uniqueId val="{00000001-636E-43E8-8BEA-08421800492E}"/>
            </c:ext>
          </c:extLst>
        </c:ser>
        <c:ser>
          <c:idx val="1"/>
          <c:order val="2"/>
          <c:tx>
            <c:strRef>
              <c:f>'all TER'!$P$3</c:f>
              <c:strCache>
                <c:ptCount val="1"/>
                <c:pt idx="0">
                  <c:v>April 2018</c:v>
                </c:pt>
              </c:strCache>
            </c:strRef>
          </c:tx>
          <c:spPr>
            <a:solidFill>
              <a:srgbClr val="00B050"/>
            </a:solidFill>
          </c:spPr>
          <c:invertIfNegative val="0"/>
          <c:cat>
            <c:strRef>
              <c:f>'all TER'!$P$11:$P$15</c:f>
              <c:strCache>
                <c:ptCount val="5"/>
                <c:pt idx="0">
                  <c:v>&lt;1%</c:v>
                </c:pt>
                <c:pt idx="1">
                  <c:v>1-5%</c:v>
                </c:pt>
                <c:pt idx="2">
                  <c:v>5-10%</c:v>
                </c:pt>
                <c:pt idx="3">
                  <c:v>10-17%</c:v>
                </c:pt>
                <c:pt idx="4">
                  <c:v>&gt;17%</c:v>
                </c:pt>
              </c:strCache>
            </c:strRef>
          </c:cat>
          <c:val>
            <c:numRef>
              <c:f>'all TER'!$Q$4:$Q$8</c:f>
              <c:numCache>
                <c:formatCode>General</c:formatCode>
                <c:ptCount val="5"/>
                <c:pt idx="0">
                  <c:v>49</c:v>
                </c:pt>
                <c:pt idx="1">
                  <c:v>136</c:v>
                </c:pt>
                <c:pt idx="2">
                  <c:v>143</c:v>
                </c:pt>
                <c:pt idx="3">
                  <c:v>138</c:v>
                </c:pt>
                <c:pt idx="4">
                  <c:v>357</c:v>
                </c:pt>
              </c:numCache>
            </c:numRef>
          </c:val>
          <c:extLst>
            <c:ext xmlns:c16="http://schemas.microsoft.com/office/drawing/2014/chart" uri="{C3380CC4-5D6E-409C-BE32-E72D297353CC}">
              <c16:uniqueId val="{00000002-636E-43E8-8BEA-08421800492E}"/>
            </c:ext>
          </c:extLst>
        </c:ser>
        <c:dLbls>
          <c:showLegendKey val="0"/>
          <c:showVal val="0"/>
          <c:showCatName val="0"/>
          <c:showSerName val="0"/>
          <c:showPercent val="0"/>
          <c:showBubbleSize val="0"/>
        </c:dLbls>
        <c:gapWidth val="100"/>
        <c:axId val="170957056"/>
        <c:axId val="170958848"/>
      </c:barChart>
      <c:catAx>
        <c:axId val="170957056"/>
        <c:scaling>
          <c:orientation val="minMax"/>
        </c:scaling>
        <c:delete val="0"/>
        <c:axPos val="b"/>
        <c:majorTickMark val="out"/>
        <c:minorTickMark val="none"/>
        <c:tickLblPos val="nextTo"/>
        <c:txPr>
          <a:bodyPr/>
          <a:lstStyle/>
          <a:p>
            <a:pPr>
              <a:defRPr sz="800" b="1"/>
            </a:pPr>
            <a:endParaRPr lang="en-US"/>
          </a:p>
        </c:txPr>
        <c:crossAx val="170958848"/>
        <c:crosses val="autoZero"/>
        <c:auto val="1"/>
        <c:lblAlgn val="ctr"/>
        <c:lblOffset val="100"/>
        <c:noMultiLvlLbl val="0"/>
      </c:catAx>
      <c:valAx>
        <c:axId val="170958848"/>
        <c:scaling>
          <c:orientation val="minMax"/>
          <c:max val="400"/>
        </c:scaling>
        <c:delete val="0"/>
        <c:axPos val="l"/>
        <c:numFmt formatCode="General" sourceLinked="1"/>
        <c:majorTickMark val="out"/>
        <c:minorTickMark val="none"/>
        <c:tickLblPos val="nextTo"/>
        <c:txPr>
          <a:bodyPr/>
          <a:lstStyle/>
          <a:p>
            <a:pPr>
              <a:defRPr sz="800"/>
            </a:pPr>
            <a:endParaRPr lang="en-US"/>
          </a:p>
        </c:txPr>
        <c:crossAx val="170957056"/>
        <c:crosses val="autoZero"/>
        <c:crossBetween val="between"/>
        <c:majorUnit val="100"/>
      </c:valAx>
    </c:plotArea>
    <c:legend>
      <c:legendPos val="r"/>
      <c:layout>
        <c:manualLayout>
          <c:xMode val="edge"/>
          <c:yMode val="edge"/>
          <c:x val="0.10904838009541654"/>
          <c:y val="0.16599338126212485"/>
          <c:w val="0.20347200488181119"/>
          <c:h val="0.20480146274569558"/>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5.1400554097404488E-2"/>
          <c:w val="0.88060015486569931"/>
          <c:h val="0.8326195683872849"/>
        </c:manualLayout>
      </c:layout>
      <c:scatterChart>
        <c:scatterStyle val="smoothMarker"/>
        <c:varyColors val="0"/>
        <c:ser>
          <c:idx val="3"/>
          <c:order val="0"/>
          <c:tx>
            <c:strRef>
              <c:f>Sheet1!$A$6</c:f>
              <c:strCache>
                <c:ptCount val="1"/>
                <c:pt idx="0">
                  <c:v>Mountain KBAs</c:v>
                </c:pt>
              </c:strCache>
            </c:strRef>
          </c:tx>
          <c:spPr>
            <a:ln>
              <a:solidFill>
                <a:srgbClr val="4E2B00"/>
              </a:solidFill>
            </a:ln>
          </c:spPr>
          <c:marker>
            <c:symbol val="none"/>
          </c:marker>
          <c:dLbls>
            <c:dLbl>
              <c:idx val="4"/>
              <c:layout>
                <c:manualLayout>
                  <c:x val="-2.545040707625523E-3"/>
                  <c:y val="-2.0232678994687569E-2"/>
                </c:manualLayout>
              </c:layout>
              <c:tx>
                <c:rich>
                  <a:bodyPr/>
                  <a:lstStyle/>
                  <a:p>
                    <a:pPr>
                      <a:defRPr sz="800"/>
                    </a:pPr>
                    <a:r>
                      <a:rPr lang="en-US" sz="800" b="1">
                        <a:solidFill>
                          <a:srgbClr val="4E2B00"/>
                        </a:solidFill>
                      </a:rPr>
                      <a:t>48.0</a:t>
                    </a:r>
                  </a:p>
                </c:rich>
              </c:tx>
              <c:numFmt formatCode="#,##%0.0%" sourceLinked="0"/>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F0-434D-BAD8-D93484A4E88E}"/>
                </c:ext>
              </c:extLst>
            </c:dLbl>
            <c:numFmt formatCode="#,##0.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Sheet1!$B$2:$F$2</c:f>
              <c:numCache>
                <c:formatCode>General</c:formatCode>
                <c:ptCount val="5"/>
                <c:pt idx="0">
                  <c:v>2000</c:v>
                </c:pt>
                <c:pt idx="1">
                  <c:v>2005</c:v>
                </c:pt>
                <c:pt idx="2">
                  <c:v>2010</c:v>
                </c:pt>
                <c:pt idx="3">
                  <c:v>2015</c:v>
                </c:pt>
                <c:pt idx="4">
                  <c:v>2018</c:v>
                </c:pt>
              </c:numCache>
            </c:numRef>
          </c:xVal>
          <c:yVal>
            <c:numRef>
              <c:f>Sheet1!$B$6:$F$6</c:f>
              <c:numCache>
                <c:formatCode>General</c:formatCode>
                <c:ptCount val="5"/>
                <c:pt idx="0">
                  <c:v>37.74</c:v>
                </c:pt>
                <c:pt idx="1">
                  <c:v>41.67</c:v>
                </c:pt>
                <c:pt idx="2">
                  <c:v>45.86</c:v>
                </c:pt>
                <c:pt idx="3">
                  <c:v>47.94</c:v>
                </c:pt>
                <c:pt idx="4">
                  <c:v>47.99</c:v>
                </c:pt>
              </c:numCache>
            </c:numRef>
          </c:yVal>
          <c:smooth val="1"/>
          <c:extLst>
            <c:ext xmlns:c16="http://schemas.microsoft.com/office/drawing/2014/chart" uri="{C3380CC4-5D6E-409C-BE32-E72D297353CC}">
              <c16:uniqueId val="{00000001-F7F0-434D-BAD8-D93484A4E88E}"/>
            </c:ext>
          </c:extLst>
        </c:ser>
        <c:ser>
          <c:idx val="1"/>
          <c:order val="1"/>
          <c:tx>
            <c:strRef>
              <c:f>Sheet1!$A$4</c:f>
              <c:strCache>
                <c:ptCount val="1"/>
                <c:pt idx="0">
                  <c:v>Terrestrial KBAs</c:v>
                </c:pt>
              </c:strCache>
            </c:strRef>
          </c:tx>
          <c:spPr>
            <a:ln>
              <a:solidFill>
                <a:srgbClr val="009B48"/>
              </a:solidFill>
            </a:ln>
          </c:spPr>
          <c:marker>
            <c:symbol val="none"/>
          </c:marker>
          <c:dLbls>
            <c:dLbl>
              <c:idx val="4"/>
              <c:layout>
                <c:manualLayout>
                  <c:x val="-2.545040707625523E-3"/>
                  <c:y val="0"/>
                </c:manualLayout>
              </c:layout>
              <c:tx>
                <c:rich>
                  <a:bodyPr/>
                  <a:lstStyle/>
                  <a:p>
                    <a:r>
                      <a:rPr lang="en-US" b="1">
                        <a:solidFill>
                          <a:srgbClr val="009B48"/>
                        </a:solidFill>
                      </a:rPr>
                      <a:t>46.7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F0-434D-BAD8-D93484A4E88E}"/>
                </c:ext>
              </c:extLst>
            </c:dLbl>
            <c:numFmt formatCode="0.0%" sourceLinked="0"/>
            <c:spPr>
              <a:noFill/>
              <a:ln>
                <a:noFill/>
              </a:ln>
              <a:effectLst/>
            </c:spPr>
            <c:txPr>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Sheet1!$B$2:$F$2</c:f>
              <c:numCache>
                <c:formatCode>General</c:formatCode>
                <c:ptCount val="5"/>
                <c:pt idx="0">
                  <c:v>2000</c:v>
                </c:pt>
                <c:pt idx="1">
                  <c:v>2005</c:v>
                </c:pt>
                <c:pt idx="2">
                  <c:v>2010</c:v>
                </c:pt>
                <c:pt idx="3">
                  <c:v>2015</c:v>
                </c:pt>
                <c:pt idx="4">
                  <c:v>2018</c:v>
                </c:pt>
              </c:numCache>
            </c:numRef>
          </c:xVal>
          <c:yVal>
            <c:numRef>
              <c:f>Sheet1!$B$4:$F$4</c:f>
              <c:numCache>
                <c:formatCode>General</c:formatCode>
                <c:ptCount val="5"/>
                <c:pt idx="0">
                  <c:v>34.33</c:v>
                </c:pt>
                <c:pt idx="1">
                  <c:v>40.1</c:v>
                </c:pt>
                <c:pt idx="2">
                  <c:v>44.37</c:v>
                </c:pt>
                <c:pt idx="3">
                  <c:v>46.5</c:v>
                </c:pt>
                <c:pt idx="4">
                  <c:v>46.65</c:v>
                </c:pt>
              </c:numCache>
            </c:numRef>
          </c:yVal>
          <c:smooth val="1"/>
          <c:extLst>
            <c:ext xmlns:c16="http://schemas.microsoft.com/office/drawing/2014/chart" uri="{C3380CC4-5D6E-409C-BE32-E72D297353CC}">
              <c16:uniqueId val="{00000003-F7F0-434D-BAD8-D93484A4E88E}"/>
            </c:ext>
          </c:extLst>
        </c:ser>
        <c:ser>
          <c:idx val="0"/>
          <c:order val="2"/>
          <c:tx>
            <c:strRef>
              <c:f>Sheet1!$A$3</c:f>
              <c:strCache>
                <c:ptCount val="1"/>
                <c:pt idx="0">
                  <c:v>Marine KBAs</c:v>
                </c:pt>
              </c:strCache>
            </c:strRef>
          </c:tx>
          <c:spPr>
            <a:ln>
              <a:solidFill>
                <a:srgbClr val="00405C"/>
              </a:solid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4-F7F0-434D-BAD8-D93484A4E88E}"/>
                </c:ext>
              </c:extLst>
            </c:dLbl>
            <c:dLbl>
              <c:idx val="1"/>
              <c:delete val="1"/>
              <c:extLst>
                <c:ext xmlns:c15="http://schemas.microsoft.com/office/drawing/2012/chart" uri="{CE6537A1-D6FC-4f65-9D91-7224C49458BB}"/>
                <c:ext xmlns:c16="http://schemas.microsoft.com/office/drawing/2014/chart" uri="{C3380CC4-5D6E-409C-BE32-E72D297353CC}">
                  <c16:uniqueId val="{00000005-F7F0-434D-BAD8-D93484A4E88E}"/>
                </c:ext>
              </c:extLst>
            </c:dLbl>
            <c:dLbl>
              <c:idx val="2"/>
              <c:delete val="1"/>
              <c:extLst>
                <c:ext xmlns:c15="http://schemas.microsoft.com/office/drawing/2012/chart" uri="{CE6537A1-D6FC-4f65-9D91-7224C49458BB}"/>
                <c:ext xmlns:c16="http://schemas.microsoft.com/office/drawing/2014/chart" uri="{C3380CC4-5D6E-409C-BE32-E72D297353CC}">
                  <c16:uniqueId val="{00000006-F7F0-434D-BAD8-D93484A4E88E}"/>
                </c:ext>
              </c:extLst>
            </c:dLbl>
            <c:dLbl>
              <c:idx val="3"/>
              <c:delete val="1"/>
              <c:extLst>
                <c:ext xmlns:c15="http://schemas.microsoft.com/office/drawing/2012/chart" uri="{CE6537A1-D6FC-4f65-9D91-7224C49458BB}"/>
                <c:ext xmlns:c16="http://schemas.microsoft.com/office/drawing/2014/chart" uri="{C3380CC4-5D6E-409C-BE32-E72D297353CC}">
                  <c16:uniqueId val="{00000007-F7F0-434D-BAD8-D93484A4E88E}"/>
                </c:ext>
              </c:extLst>
            </c:dLbl>
            <c:dLbl>
              <c:idx val="4"/>
              <c:layout>
                <c:manualLayout>
                  <c:x val="-2.545040707625523E-3"/>
                  <c:y val="4.0465357989375138E-3"/>
                </c:manualLayout>
              </c:layout>
              <c:tx>
                <c:rich>
                  <a:bodyPr/>
                  <a:lstStyle/>
                  <a:p>
                    <a:pPr>
                      <a:defRPr sz="800"/>
                    </a:pPr>
                    <a:r>
                      <a:rPr lang="en-US" b="1">
                        <a:solidFill>
                          <a:srgbClr val="00405C"/>
                        </a:solidFill>
                      </a:rPr>
                      <a:t>44.3</a:t>
                    </a:r>
                  </a:p>
                </c:rich>
              </c:tx>
              <c:numFmt formatCode="#,##0.0" sourceLinked="0"/>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F0-434D-BAD8-D93484A4E88E}"/>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Sheet1!$B$2:$F$2</c:f>
              <c:numCache>
                <c:formatCode>General</c:formatCode>
                <c:ptCount val="5"/>
                <c:pt idx="0">
                  <c:v>2000</c:v>
                </c:pt>
                <c:pt idx="1">
                  <c:v>2005</c:v>
                </c:pt>
                <c:pt idx="2">
                  <c:v>2010</c:v>
                </c:pt>
                <c:pt idx="3">
                  <c:v>2015</c:v>
                </c:pt>
                <c:pt idx="4">
                  <c:v>2018</c:v>
                </c:pt>
              </c:numCache>
            </c:numRef>
          </c:xVal>
          <c:yVal>
            <c:numRef>
              <c:f>Sheet1!$B$3:$F$3</c:f>
              <c:numCache>
                <c:formatCode>General</c:formatCode>
                <c:ptCount val="5"/>
                <c:pt idx="0">
                  <c:v>30.1</c:v>
                </c:pt>
                <c:pt idx="1">
                  <c:v>35.520000000000003</c:v>
                </c:pt>
                <c:pt idx="2">
                  <c:v>40.08</c:v>
                </c:pt>
                <c:pt idx="3">
                  <c:v>43.67</c:v>
                </c:pt>
                <c:pt idx="4">
                  <c:v>44.31</c:v>
                </c:pt>
              </c:numCache>
            </c:numRef>
          </c:yVal>
          <c:smooth val="1"/>
          <c:extLst>
            <c:ext xmlns:c16="http://schemas.microsoft.com/office/drawing/2014/chart" uri="{C3380CC4-5D6E-409C-BE32-E72D297353CC}">
              <c16:uniqueId val="{00000009-F7F0-434D-BAD8-D93484A4E88E}"/>
            </c:ext>
          </c:extLst>
        </c:ser>
        <c:ser>
          <c:idx val="2"/>
          <c:order val="3"/>
          <c:tx>
            <c:strRef>
              <c:f>Sheet1!$A$5</c:f>
              <c:strCache>
                <c:ptCount val="1"/>
                <c:pt idx="0">
                  <c:v>Freshwater KBAs</c:v>
                </c:pt>
              </c:strCache>
            </c:strRef>
          </c:tx>
          <c:spPr>
            <a:ln>
              <a:solidFill>
                <a:srgbClr val="2FC9FF"/>
              </a:solid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A-F7F0-434D-BAD8-D93484A4E88E}"/>
                </c:ext>
              </c:extLst>
            </c:dLbl>
            <c:dLbl>
              <c:idx val="1"/>
              <c:delete val="1"/>
              <c:extLst>
                <c:ext xmlns:c15="http://schemas.microsoft.com/office/drawing/2012/chart" uri="{CE6537A1-D6FC-4f65-9D91-7224C49458BB}"/>
                <c:ext xmlns:c16="http://schemas.microsoft.com/office/drawing/2014/chart" uri="{C3380CC4-5D6E-409C-BE32-E72D297353CC}">
                  <c16:uniqueId val="{0000000B-F7F0-434D-BAD8-D93484A4E88E}"/>
                </c:ext>
              </c:extLst>
            </c:dLbl>
            <c:dLbl>
              <c:idx val="2"/>
              <c:delete val="1"/>
              <c:extLst>
                <c:ext xmlns:c15="http://schemas.microsoft.com/office/drawing/2012/chart" uri="{CE6537A1-D6FC-4f65-9D91-7224C49458BB}"/>
                <c:ext xmlns:c16="http://schemas.microsoft.com/office/drawing/2014/chart" uri="{C3380CC4-5D6E-409C-BE32-E72D297353CC}">
                  <c16:uniqueId val="{0000000C-F7F0-434D-BAD8-D93484A4E88E}"/>
                </c:ext>
              </c:extLst>
            </c:dLbl>
            <c:dLbl>
              <c:idx val="3"/>
              <c:delete val="1"/>
              <c:extLst>
                <c:ext xmlns:c15="http://schemas.microsoft.com/office/drawing/2012/chart" uri="{CE6537A1-D6FC-4f65-9D91-7224C49458BB}"/>
                <c:ext xmlns:c16="http://schemas.microsoft.com/office/drawing/2014/chart" uri="{C3380CC4-5D6E-409C-BE32-E72D297353CC}">
                  <c16:uniqueId val="{0000000D-F7F0-434D-BAD8-D93484A4E88E}"/>
                </c:ext>
              </c:extLst>
            </c:dLbl>
            <c:dLbl>
              <c:idx val="4"/>
              <c:layout>
                <c:manualLayout>
                  <c:x val="-2.545040707625523E-3"/>
                  <c:y val="2.8325750592562631E-2"/>
                </c:manualLayout>
              </c:layout>
              <c:tx>
                <c:rich>
                  <a:bodyPr/>
                  <a:lstStyle/>
                  <a:p>
                    <a:pPr>
                      <a:defRPr sz="800"/>
                    </a:pPr>
                    <a:r>
                      <a:rPr lang="en-US" b="1">
                        <a:solidFill>
                          <a:srgbClr val="2FC9FF"/>
                        </a:solidFill>
                      </a:rPr>
                      <a:t>43.5</a:t>
                    </a:r>
                  </a:p>
                </c:rich>
              </c:tx>
              <c:numFmt formatCode="#,##0.0" sourceLinked="0"/>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7F0-434D-BAD8-D93484A4E88E}"/>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Sheet1!$B$2:$F$2</c:f>
              <c:numCache>
                <c:formatCode>General</c:formatCode>
                <c:ptCount val="5"/>
                <c:pt idx="0">
                  <c:v>2000</c:v>
                </c:pt>
                <c:pt idx="1">
                  <c:v>2005</c:v>
                </c:pt>
                <c:pt idx="2">
                  <c:v>2010</c:v>
                </c:pt>
                <c:pt idx="3">
                  <c:v>2015</c:v>
                </c:pt>
                <c:pt idx="4">
                  <c:v>2018</c:v>
                </c:pt>
              </c:numCache>
            </c:numRef>
          </c:xVal>
          <c:yVal>
            <c:numRef>
              <c:f>Sheet1!$B$5:$F$5</c:f>
              <c:numCache>
                <c:formatCode>General</c:formatCode>
                <c:ptCount val="5"/>
                <c:pt idx="0">
                  <c:v>31.46</c:v>
                </c:pt>
                <c:pt idx="1">
                  <c:v>38.299999999999997</c:v>
                </c:pt>
                <c:pt idx="2">
                  <c:v>41.75</c:v>
                </c:pt>
                <c:pt idx="3">
                  <c:v>43.38</c:v>
                </c:pt>
                <c:pt idx="4">
                  <c:v>43.46</c:v>
                </c:pt>
              </c:numCache>
            </c:numRef>
          </c:yVal>
          <c:smooth val="1"/>
          <c:extLst>
            <c:ext xmlns:c16="http://schemas.microsoft.com/office/drawing/2014/chart" uri="{C3380CC4-5D6E-409C-BE32-E72D297353CC}">
              <c16:uniqueId val="{0000000F-F7F0-434D-BAD8-D93484A4E88E}"/>
            </c:ext>
          </c:extLst>
        </c:ser>
        <c:dLbls>
          <c:showLegendKey val="0"/>
          <c:showVal val="0"/>
          <c:showCatName val="0"/>
          <c:showSerName val="0"/>
          <c:showPercent val="0"/>
          <c:showBubbleSize val="0"/>
        </c:dLbls>
        <c:axId val="171197568"/>
        <c:axId val="171199104"/>
      </c:scatterChart>
      <c:valAx>
        <c:axId val="171197568"/>
        <c:scaling>
          <c:orientation val="minMax"/>
          <c:max val="2020"/>
          <c:min val="2000"/>
        </c:scaling>
        <c:delete val="0"/>
        <c:axPos val="b"/>
        <c:numFmt formatCode="General" sourceLinked="1"/>
        <c:majorTickMark val="out"/>
        <c:minorTickMark val="none"/>
        <c:tickLblPos val="nextTo"/>
        <c:txPr>
          <a:bodyPr/>
          <a:lstStyle/>
          <a:p>
            <a:pPr>
              <a:defRPr sz="900"/>
            </a:pPr>
            <a:endParaRPr lang="en-US"/>
          </a:p>
        </c:txPr>
        <c:crossAx val="171199104"/>
        <c:crosses val="autoZero"/>
        <c:crossBetween val="midCat"/>
        <c:majorUnit val="5"/>
      </c:valAx>
      <c:valAx>
        <c:axId val="171199104"/>
        <c:scaling>
          <c:orientation val="minMax"/>
        </c:scaling>
        <c:delete val="0"/>
        <c:axPos val="l"/>
        <c:numFmt formatCode="General" sourceLinked="1"/>
        <c:majorTickMark val="out"/>
        <c:minorTickMark val="none"/>
        <c:tickLblPos val="nextTo"/>
        <c:txPr>
          <a:bodyPr/>
          <a:lstStyle/>
          <a:p>
            <a:pPr>
              <a:defRPr sz="900"/>
            </a:pPr>
            <a:endParaRPr lang="en-US"/>
          </a:p>
        </c:txPr>
        <c:crossAx val="171197568"/>
        <c:crosses val="autoZero"/>
        <c:crossBetween val="midCat"/>
      </c:valAx>
    </c:plotArea>
    <c:legend>
      <c:legendPos val="r"/>
      <c:layout>
        <c:manualLayout>
          <c:xMode val="edge"/>
          <c:yMode val="edge"/>
          <c:x val="0.28455468066491696"/>
          <c:y val="0.56867672790901136"/>
          <c:w val="0.29600087489063864"/>
          <c:h val="0.25153543307086612"/>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GB" sz="1050"/>
              <a:t>Marine</a:t>
            </a:r>
          </a:p>
        </c:rich>
      </c:tx>
      <c:layout>
        <c:manualLayout>
          <c:xMode val="edge"/>
          <c:yMode val="edge"/>
          <c:x val="0.39790640290632273"/>
          <c:y val="0"/>
        </c:manualLayout>
      </c:layout>
      <c:overlay val="1"/>
    </c:title>
    <c:autoTitleDeleted val="0"/>
    <c:plotArea>
      <c:layout>
        <c:manualLayout>
          <c:layoutTarget val="inner"/>
          <c:xMode val="edge"/>
          <c:yMode val="edge"/>
          <c:x val="0.1615282632552861"/>
          <c:y val="0.14555296792591757"/>
          <c:w val="0.66111526917525221"/>
          <c:h val="0.83047193727649715"/>
        </c:manualLayout>
      </c:layout>
      <c:pieChart>
        <c:varyColors val="1"/>
        <c:ser>
          <c:idx val="0"/>
          <c:order val="0"/>
          <c:dPt>
            <c:idx val="0"/>
            <c:bubble3D val="0"/>
            <c:spPr>
              <a:solidFill>
                <a:schemeClr val="bg2">
                  <a:lumMod val="75000"/>
                </a:schemeClr>
              </a:solidFill>
            </c:spPr>
            <c:extLst>
              <c:ext xmlns:c16="http://schemas.microsoft.com/office/drawing/2014/chart" uri="{C3380CC4-5D6E-409C-BE32-E72D297353CC}">
                <c16:uniqueId val="{00000001-9687-4780-AB61-DE9C9F16F331}"/>
              </c:ext>
            </c:extLst>
          </c:dPt>
          <c:dPt>
            <c:idx val="1"/>
            <c:bubble3D val="0"/>
            <c:spPr>
              <a:solidFill>
                <a:srgbClr val="EE0033"/>
              </a:solidFill>
            </c:spPr>
            <c:extLst>
              <c:ext xmlns:c16="http://schemas.microsoft.com/office/drawing/2014/chart" uri="{C3380CC4-5D6E-409C-BE32-E72D297353CC}">
                <c16:uniqueId val="{00000003-9687-4780-AB61-DE9C9F16F331}"/>
              </c:ext>
            </c:extLst>
          </c:dPt>
          <c:dPt>
            <c:idx val="2"/>
            <c:bubble3D val="0"/>
            <c:spPr>
              <a:solidFill>
                <a:srgbClr val="FFE54B"/>
              </a:solidFill>
            </c:spPr>
            <c:extLst>
              <c:ext xmlns:c16="http://schemas.microsoft.com/office/drawing/2014/chart" uri="{C3380CC4-5D6E-409C-BE32-E72D297353CC}">
                <c16:uniqueId val="{00000005-9687-4780-AB61-DE9C9F16F331}"/>
              </c:ext>
            </c:extLst>
          </c:dPt>
          <c:dPt>
            <c:idx val="3"/>
            <c:bubble3D val="0"/>
            <c:spPr>
              <a:solidFill>
                <a:schemeClr val="accent1">
                  <a:lumMod val="60000"/>
                  <a:lumOff val="40000"/>
                </a:schemeClr>
              </a:solidFill>
            </c:spPr>
            <c:extLst>
              <c:ext xmlns:c16="http://schemas.microsoft.com/office/drawing/2014/chart" uri="{C3380CC4-5D6E-409C-BE32-E72D297353CC}">
                <c16:uniqueId val="{00000007-9687-4780-AB61-DE9C9F16F331}"/>
              </c:ext>
            </c:extLst>
          </c:dPt>
          <c:dPt>
            <c:idx val="4"/>
            <c:bubble3D val="0"/>
            <c:spPr>
              <a:solidFill>
                <a:srgbClr val="009B48"/>
              </a:solidFill>
            </c:spPr>
            <c:extLst>
              <c:ext xmlns:c16="http://schemas.microsoft.com/office/drawing/2014/chart" uri="{C3380CC4-5D6E-409C-BE32-E72D297353CC}">
                <c16:uniqueId val="{00000009-9687-4780-AB61-DE9C9F16F331}"/>
              </c:ext>
            </c:extLst>
          </c:dPt>
          <c:dLbls>
            <c:spPr>
              <a:noFill/>
              <a:ln>
                <a:noFill/>
              </a:ln>
              <a:effectLst/>
            </c:spPr>
            <c:txPr>
              <a:bodyPr/>
              <a:lstStyle/>
              <a:p>
                <a:pPr>
                  <a:defRPr b="1">
                    <a:solidFill>
                      <a:sysClr val="windowText" lastClr="000000"/>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country_statistics_May18_2!$AV$2:$AV$6</c:f>
              <c:strCache>
                <c:ptCount val="5"/>
                <c:pt idx="0">
                  <c:v>0%</c:v>
                </c:pt>
                <c:pt idx="1">
                  <c:v>0 &gt; 10%</c:v>
                </c:pt>
                <c:pt idx="2">
                  <c:v>10 &gt; 30%</c:v>
                </c:pt>
                <c:pt idx="3">
                  <c:v>30 &gt; 60%</c:v>
                </c:pt>
                <c:pt idx="4">
                  <c:v>&gt;60%</c:v>
                </c:pt>
              </c:strCache>
            </c:strRef>
          </c:cat>
          <c:val>
            <c:numRef>
              <c:f>country_statistics_May18_2!$AZ$2:$AZ$6</c:f>
              <c:numCache>
                <c:formatCode>0%</c:formatCode>
                <c:ptCount val="5"/>
                <c:pt idx="0">
                  <c:v>0.42857142857142855</c:v>
                </c:pt>
                <c:pt idx="1">
                  <c:v>0.28078817733990147</c:v>
                </c:pt>
                <c:pt idx="2">
                  <c:v>8.3743842364532015E-2</c:v>
                </c:pt>
                <c:pt idx="3">
                  <c:v>4.9261083743842367E-2</c:v>
                </c:pt>
                <c:pt idx="4">
                  <c:v>0.15763546798029557</c:v>
                </c:pt>
              </c:numCache>
            </c:numRef>
          </c:val>
          <c:extLst>
            <c:ext xmlns:c16="http://schemas.microsoft.com/office/drawing/2014/chart" uri="{C3380CC4-5D6E-409C-BE32-E72D297353CC}">
              <c16:uniqueId val="{0000000A-9687-4780-AB61-DE9C9F16F33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en-GB" sz="1050"/>
              <a:t>Terrestrial</a:t>
            </a:r>
          </a:p>
        </c:rich>
      </c:tx>
      <c:layout>
        <c:manualLayout>
          <c:xMode val="edge"/>
          <c:yMode val="edge"/>
          <c:x val="0.325802780511811"/>
          <c:y val="0"/>
        </c:manualLayout>
      </c:layout>
      <c:overlay val="1"/>
    </c:title>
    <c:autoTitleDeleted val="0"/>
    <c:plotArea>
      <c:layout>
        <c:manualLayout>
          <c:layoutTarget val="inner"/>
          <c:xMode val="edge"/>
          <c:yMode val="edge"/>
          <c:x val="0.15192441765091863"/>
          <c:y val="0.13688411549835588"/>
          <c:w val="0.58776383583756442"/>
          <c:h val="0.90124981712040797"/>
        </c:manualLayout>
      </c:layout>
      <c:pieChart>
        <c:varyColors val="1"/>
        <c:ser>
          <c:idx val="0"/>
          <c:order val="0"/>
          <c:dPt>
            <c:idx val="0"/>
            <c:bubble3D val="0"/>
            <c:spPr>
              <a:solidFill>
                <a:schemeClr val="bg2">
                  <a:lumMod val="75000"/>
                </a:schemeClr>
              </a:solidFill>
            </c:spPr>
            <c:extLst>
              <c:ext xmlns:c16="http://schemas.microsoft.com/office/drawing/2014/chart" uri="{C3380CC4-5D6E-409C-BE32-E72D297353CC}">
                <c16:uniqueId val="{00000001-99E9-4B52-A361-0CB186D66F35}"/>
              </c:ext>
            </c:extLst>
          </c:dPt>
          <c:dPt>
            <c:idx val="1"/>
            <c:bubble3D val="0"/>
            <c:spPr>
              <a:solidFill>
                <a:srgbClr val="EE0033"/>
              </a:solidFill>
            </c:spPr>
            <c:extLst>
              <c:ext xmlns:c16="http://schemas.microsoft.com/office/drawing/2014/chart" uri="{C3380CC4-5D6E-409C-BE32-E72D297353CC}">
                <c16:uniqueId val="{00000003-99E9-4B52-A361-0CB186D66F35}"/>
              </c:ext>
            </c:extLst>
          </c:dPt>
          <c:dPt>
            <c:idx val="2"/>
            <c:bubble3D val="0"/>
            <c:spPr>
              <a:solidFill>
                <a:srgbClr val="FFE54B"/>
              </a:solidFill>
            </c:spPr>
            <c:extLst>
              <c:ext xmlns:c16="http://schemas.microsoft.com/office/drawing/2014/chart" uri="{C3380CC4-5D6E-409C-BE32-E72D297353CC}">
                <c16:uniqueId val="{00000005-99E9-4B52-A361-0CB186D66F35}"/>
              </c:ext>
            </c:extLst>
          </c:dPt>
          <c:dPt>
            <c:idx val="3"/>
            <c:bubble3D val="0"/>
            <c:spPr>
              <a:solidFill>
                <a:schemeClr val="accent1">
                  <a:lumMod val="60000"/>
                  <a:lumOff val="40000"/>
                </a:schemeClr>
              </a:solidFill>
            </c:spPr>
            <c:extLst>
              <c:ext xmlns:c16="http://schemas.microsoft.com/office/drawing/2014/chart" uri="{C3380CC4-5D6E-409C-BE32-E72D297353CC}">
                <c16:uniqueId val="{00000007-99E9-4B52-A361-0CB186D66F35}"/>
              </c:ext>
            </c:extLst>
          </c:dPt>
          <c:dPt>
            <c:idx val="4"/>
            <c:bubble3D val="0"/>
            <c:spPr>
              <a:solidFill>
                <a:srgbClr val="009B48"/>
              </a:solidFill>
            </c:spPr>
            <c:extLst>
              <c:ext xmlns:c16="http://schemas.microsoft.com/office/drawing/2014/chart" uri="{C3380CC4-5D6E-409C-BE32-E72D297353CC}">
                <c16:uniqueId val="{00000009-99E9-4B52-A361-0CB186D66F35}"/>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country_statistics_May18_2!$AV$2:$AV$6</c:f>
              <c:strCache>
                <c:ptCount val="5"/>
                <c:pt idx="0">
                  <c:v>0%</c:v>
                </c:pt>
                <c:pt idx="1">
                  <c:v>0 &gt; 10%</c:v>
                </c:pt>
                <c:pt idx="2">
                  <c:v>10 &gt; 30%</c:v>
                </c:pt>
                <c:pt idx="3">
                  <c:v>30 &gt; 60%</c:v>
                </c:pt>
                <c:pt idx="4">
                  <c:v>&gt;60%</c:v>
                </c:pt>
              </c:strCache>
            </c:strRef>
          </c:cat>
          <c:val>
            <c:numRef>
              <c:f>country_statistics_May18_2!$AX$2:$AX$6</c:f>
              <c:numCache>
                <c:formatCode>0%</c:formatCode>
                <c:ptCount val="5"/>
                <c:pt idx="0">
                  <c:v>0.28512396694214875</c:v>
                </c:pt>
                <c:pt idx="1">
                  <c:v>0.14049586776859505</c:v>
                </c:pt>
                <c:pt idx="2">
                  <c:v>0.14049586776859505</c:v>
                </c:pt>
                <c:pt idx="3">
                  <c:v>0.2231404958677686</c:v>
                </c:pt>
                <c:pt idx="4">
                  <c:v>0.21074380165289255</c:v>
                </c:pt>
              </c:numCache>
            </c:numRef>
          </c:val>
          <c:extLst>
            <c:ext xmlns:c16="http://schemas.microsoft.com/office/drawing/2014/chart" uri="{C3380CC4-5D6E-409C-BE32-E72D297353CC}">
              <c16:uniqueId val="{0000000A-99E9-4B52-A361-0CB186D66F3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9447356089418542"/>
          <c:y val="0.28813201557865309"/>
          <c:w val="0.20229963805179896"/>
          <c:h val="0.42373559982021225"/>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994055419137694E-2"/>
          <c:y val="5.1400554097404488E-2"/>
          <c:w val="0.89011650600513759"/>
          <c:h val="0.8326195683872849"/>
        </c:manualLayout>
      </c:layout>
      <c:scatterChart>
        <c:scatterStyle val="lineMarker"/>
        <c:varyColors val="0"/>
        <c:ser>
          <c:idx val="0"/>
          <c:order val="0"/>
          <c:tx>
            <c:strRef>
              <c:f>'site_over_time-NoMAB'!$C$1</c:f>
              <c:strCache>
                <c:ptCount val="1"/>
                <c:pt idx="0">
                  <c:v>Shared</c:v>
                </c:pt>
              </c:strCache>
            </c:strRef>
          </c:tx>
          <c:spPr>
            <a:ln>
              <a:solidFill>
                <a:srgbClr val="00B050"/>
              </a:solidFill>
            </a:ln>
          </c:spPr>
          <c:marker>
            <c:symbol val="none"/>
          </c:marker>
          <c:xVal>
            <c:numRef>
              <c:f>sites_over_time!$A$211:$A$229</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xVal>
          <c:yVal>
            <c:numRef>
              <c:f>sites_over_time!$C$279:$C$297</c:f>
              <c:numCache>
                <c:formatCode>0.0%</c:formatCode>
                <c:ptCount val="19"/>
                <c:pt idx="0">
                  <c:v>3.2083175485120172E-2</c:v>
                </c:pt>
                <c:pt idx="1">
                  <c:v>3.1395330629629049E-2</c:v>
                </c:pt>
                <c:pt idx="2">
                  <c:v>3.0951399557837149E-2</c:v>
                </c:pt>
                <c:pt idx="3">
                  <c:v>3.0484489468864468E-2</c:v>
                </c:pt>
                <c:pt idx="4">
                  <c:v>2.9287664432861751E-2</c:v>
                </c:pt>
                <c:pt idx="5">
                  <c:v>2.9250865958561807E-2</c:v>
                </c:pt>
                <c:pt idx="6">
                  <c:v>2.9178762977906805E-2</c:v>
                </c:pt>
                <c:pt idx="7">
                  <c:v>2.9055028823490998E-2</c:v>
                </c:pt>
                <c:pt idx="8">
                  <c:v>2.903657884601013E-2</c:v>
                </c:pt>
                <c:pt idx="9">
                  <c:v>2.9297279738335135E-2</c:v>
                </c:pt>
                <c:pt idx="10">
                  <c:v>2.9013811721298615E-2</c:v>
                </c:pt>
                <c:pt idx="11">
                  <c:v>2.9595123012356946E-2</c:v>
                </c:pt>
                <c:pt idx="12">
                  <c:v>3.0563327110343437E-2</c:v>
                </c:pt>
                <c:pt idx="13">
                  <c:v>3.0218237202030065E-2</c:v>
                </c:pt>
                <c:pt idx="14">
                  <c:v>3.0107035083445605E-2</c:v>
                </c:pt>
                <c:pt idx="15">
                  <c:v>2.9972617851584817E-2</c:v>
                </c:pt>
                <c:pt idx="16">
                  <c:v>2.9789087776488844E-2</c:v>
                </c:pt>
                <c:pt idx="17">
                  <c:v>2.9774347953502003E-2</c:v>
                </c:pt>
                <c:pt idx="18">
                  <c:v>2.9772602953817302E-2</c:v>
                </c:pt>
              </c:numCache>
            </c:numRef>
          </c:yVal>
          <c:smooth val="0"/>
          <c:extLst>
            <c:ext xmlns:c16="http://schemas.microsoft.com/office/drawing/2014/chart" uri="{C3380CC4-5D6E-409C-BE32-E72D297353CC}">
              <c16:uniqueId val="{00000000-8586-47BE-930E-0D604588B430}"/>
            </c:ext>
          </c:extLst>
        </c:ser>
        <c:ser>
          <c:idx val="1"/>
          <c:order val="1"/>
          <c:tx>
            <c:strRef>
              <c:f>'site_over_time-NoMAB'!$D$1</c:f>
              <c:strCache>
                <c:ptCount val="1"/>
                <c:pt idx="0">
                  <c:v>Private</c:v>
                </c:pt>
              </c:strCache>
            </c:strRef>
          </c:tx>
          <c:spPr>
            <a:ln>
              <a:solidFill>
                <a:srgbClr val="F79646">
                  <a:lumMod val="75000"/>
                </a:srgbClr>
              </a:solidFill>
            </a:ln>
          </c:spPr>
          <c:marker>
            <c:symbol val="none"/>
          </c:marker>
          <c:xVal>
            <c:numRef>
              <c:f>sites_over_time!$A$211:$A$229</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xVal>
          <c:yVal>
            <c:numRef>
              <c:f>sites_over_time!$D$279:$D$297</c:f>
              <c:numCache>
                <c:formatCode>0.0%</c:formatCode>
                <c:ptCount val="19"/>
                <c:pt idx="0">
                  <c:v>3.3430146904070382E-2</c:v>
                </c:pt>
                <c:pt idx="1">
                  <c:v>3.3665815887133396E-2</c:v>
                </c:pt>
                <c:pt idx="2">
                  <c:v>3.4631093790984377E-2</c:v>
                </c:pt>
                <c:pt idx="3">
                  <c:v>3.5950377747252744E-2</c:v>
                </c:pt>
                <c:pt idx="4">
                  <c:v>3.6726972691231811E-2</c:v>
                </c:pt>
                <c:pt idx="5">
                  <c:v>3.7590909671894372E-2</c:v>
                </c:pt>
                <c:pt idx="6">
                  <c:v>3.9142843084190325E-2</c:v>
                </c:pt>
                <c:pt idx="7">
                  <c:v>4.0447877273078088E-2</c:v>
                </c:pt>
                <c:pt idx="8">
                  <c:v>4.1068564497306746E-2</c:v>
                </c:pt>
                <c:pt idx="9">
                  <c:v>4.247573495231001E-2</c:v>
                </c:pt>
                <c:pt idx="10">
                  <c:v>4.3112262839274412E-2</c:v>
                </c:pt>
                <c:pt idx="11">
                  <c:v>4.4228208216387142E-2</c:v>
                </c:pt>
                <c:pt idx="12">
                  <c:v>4.4914127910885407E-2</c:v>
                </c:pt>
                <c:pt idx="13">
                  <c:v>4.5352655733723289E-2</c:v>
                </c:pt>
                <c:pt idx="14">
                  <c:v>4.5274895724065248E-2</c:v>
                </c:pt>
                <c:pt idx="15">
                  <c:v>4.5165770344542285E-2</c:v>
                </c:pt>
                <c:pt idx="16">
                  <c:v>4.502136532503194E-2</c:v>
                </c:pt>
                <c:pt idx="17">
                  <c:v>4.4944808049233176E-2</c:v>
                </c:pt>
                <c:pt idx="18">
                  <c:v>4.4947057904196293E-2</c:v>
                </c:pt>
              </c:numCache>
            </c:numRef>
          </c:yVal>
          <c:smooth val="0"/>
          <c:extLst>
            <c:ext xmlns:c16="http://schemas.microsoft.com/office/drawing/2014/chart" uri="{C3380CC4-5D6E-409C-BE32-E72D297353CC}">
              <c16:uniqueId val="{00000001-8586-47BE-930E-0D604588B430}"/>
            </c:ext>
          </c:extLst>
        </c:ser>
        <c:ser>
          <c:idx val="2"/>
          <c:order val="2"/>
          <c:tx>
            <c:strRef>
              <c:f>'site_over_time-NoMAB'!$E$1</c:f>
              <c:strCache>
                <c:ptCount val="1"/>
                <c:pt idx="0">
                  <c:v>IPLC</c:v>
                </c:pt>
              </c:strCache>
            </c:strRef>
          </c:tx>
          <c:spPr>
            <a:ln>
              <a:solidFill>
                <a:srgbClr val="7030A0"/>
              </a:solidFill>
            </a:ln>
          </c:spPr>
          <c:marker>
            <c:symbol val="none"/>
          </c:marker>
          <c:xVal>
            <c:numRef>
              <c:f>sites_over_time!$A$211:$A$229</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xVal>
          <c:yVal>
            <c:numRef>
              <c:f>sites_over_time!$E$279:$E$297</c:f>
              <c:numCache>
                <c:formatCode>0.0%</c:formatCode>
                <c:ptCount val="19"/>
                <c:pt idx="0">
                  <c:v>4.4113313970619182E-3</c:v>
                </c:pt>
                <c:pt idx="1">
                  <c:v>4.5096534769741474E-3</c:v>
                </c:pt>
                <c:pt idx="2">
                  <c:v>4.8637913590886947E-3</c:v>
                </c:pt>
                <c:pt idx="3">
                  <c:v>5.279876373626374E-3</c:v>
                </c:pt>
                <c:pt idx="4">
                  <c:v>5.473828258638385E-3</c:v>
                </c:pt>
                <c:pt idx="5">
                  <c:v>5.5919833326942498E-3</c:v>
                </c:pt>
                <c:pt idx="6">
                  <c:v>5.8861880627860061E-3</c:v>
                </c:pt>
                <c:pt idx="7">
                  <c:v>6.0734153016819142E-3</c:v>
                </c:pt>
                <c:pt idx="8">
                  <c:v>6.1625841462923893E-3</c:v>
                </c:pt>
                <c:pt idx="9">
                  <c:v>6.4800138897445521E-3</c:v>
                </c:pt>
                <c:pt idx="10">
                  <c:v>6.4487159373089594E-3</c:v>
                </c:pt>
                <c:pt idx="11">
                  <c:v>6.5366065886023226E-3</c:v>
                </c:pt>
                <c:pt idx="12">
                  <c:v>6.4694961446767575E-3</c:v>
                </c:pt>
                <c:pt idx="13">
                  <c:v>6.537502087244281E-3</c:v>
                </c:pt>
                <c:pt idx="14">
                  <c:v>6.4976708807898626E-3</c:v>
                </c:pt>
                <c:pt idx="15">
                  <c:v>6.500797825187637E-3</c:v>
                </c:pt>
                <c:pt idx="16">
                  <c:v>6.5246227417120649E-3</c:v>
                </c:pt>
                <c:pt idx="17">
                  <c:v>6.5204649799746016E-3</c:v>
                </c:pt>
                <c:pt idx="18">
                  <c:v>6.5249667890911935E-3</c:v>
                </c:pt>
              </c:numCache>
            </c:numRef>
          </c:yVal>
          <c:smooth val="0"/>
          <c:extLst>
            <c:ext xmlns:c16="http://schemas.microsoft.com/office/drawing/2014/chart" uri="{C3380CC4-5D6E-409C-BE32-E72D297353CC}">
              <c16:uniqueId val="{00000002-8586-47BE-930E-0D604588B430}"/>
            </c:ext>
          </c:extLst>
        </c:ser>
        <c:dLbls>
          <c:showLegendKey val="0"/>
          <c:showVal val="0"/>
          <c:showCatName val="0"/>
          <c:showSerName val="0"/>
          <c:showPercent val="0"/>
          <c:showBubbleSize val="0"/>
        </c:dLbls>
        <c:axId val="171434752"/>
        <c:axId val="171436288"/>
      </c:scatterChart>
      <c:valAx>
        <c:axId val="171434752"/>
        <c:scaling>
          <c:orientation val="minMax"/>
          <c:max val="2020"/>
          <c:min val="2000"/>
        </c:scaling>
        <c:delete val="0"/>
        <c:axPos val="b"/>
        <c:numFmt formatCode="General" sourceLinked="1"/>
        <c:majorTickMark val="out"/>
        <c:minorTickMark val="none"/>
        <c:tickLblPos val="nextTo"/>
        <c:txPr>
          <a:bodyPr/>
          <a:lstStyle/>
          <a:p>
            <a:pPr>
              <a:defRPr sz="900"/>
            </a:pPr>
            <a:endParaRPr lang="en-US"/>
          </a:p>
        </c:txPr>
        <c:crossAx val="171436288"/>
        <c:crosses val="autoZero"/>
        <c:crossBetween val="midCat"/>
        <c:majorUnit val="5"/>
      </c:valAx>
      <c:valAx>
        <c:axId val="171436288"/>
        <c:scaling>
          <c:orientation val="minMax"/>
          <c:max val="5.000000000000001E-2"/>
        </c:scaling>
        <c:delete val="0"/>
        <c:axPos val="l"/>
        <c:numFmt formatCode="0%" sourceLinked="0"/>
        <c:majorTickMark val="out"/>
        <c:minorTickMark val="none"/>
        <c:tickLblPos val="nextTo"/>
        <c:txPr>
          <a:bodyPr/>
          <a:lstStyle/>
          <a:p>
            <a:pPr>
              <a:defRPr sz="900"/>
            </a:pPr>
            <a:endParaRPr lang="en-US"/>
          </a:p>
        </c:txPr>
        <c:crossAx val="171434752"/>
        <c:crosses val="autoZero"/>
        <c:crossBetween val="midCat"/>
        <c:majorUnit val="1.0000000000000002E-2"/>
      </c:valAx>
      <c:spPr>
        <a:noFill/>
        <a:ln w="25400">
          <a:noFill/>
        </a:ln>
      </c:spPr>
    </c:plotArea>
    <c:legend>
      <c:legendPos val="r"/>
      <c:layout>
        <c:manualLayout>
          <c:xMode val="edge"/>
          <c:yMode val="edge"/>
          <c:x val="8.683824597675173E-2"/>
          <c:y val="2.4817724803234856E-2"/>
          <c:w val="0.2206288220603336"/>
          <c:h val="0.17675935221816361"/>
        </c:manualLayout>
      </c:layout>
      <c:overlay val="0"/>
      <c:txPr>
        <a:bodyPr/>
        <a:lstStyle/>
        <a:p>
          <a:pPr>
            <a:defRPr sz="9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2AD68A-C7E9-40E7-B9FC-2FF100A3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30</Pages>
  <Words>11805</Words>
  <Characters>67290</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SCBD</Company>
  <LinksUpToDate>false</LinksUpToDate>
  <CharactersWithSpaces>78938</CharactersWithSpaces>
  <SharedDoc>false</SharedDoc>
  <HLinks>
    <vt:vector size="42" baseType="variant">
      <vt:variant>
        <vt:i4>3407911</vt:i4>
      </vt:variant>
      <vt:variant>
        <vt:i4>3</vt:i4>
      </vt:variant>
      <vt:variant>
        <vt:i4>0</vt:i4>
      </vt:variant>
      <vt:variant>
        <vt:i4>5</vt:i4>
      </vt:variant>
      <vt:variant>
        <vt:lpwstr>http://www.zeroextinction.org/</vt:lpwstr>
      </vt:variant>
      <vt:variant>
        <vt:lpwstr/>
      </vt:variant>
      <vt:variant>
        <vt:i4>5439489</vt:i4>
      </vt:variant>
      <vt:variant>
        <vt:i4>0</vt:i4>
      </vt:variant>
      <vt:variant>
        <vt:i4>0</vt:i4>
      </vt:variant>
      <vt:variant>
        <vt:i4>5</vt:i4>
      </vt:variant>
      <vt:variant>
        <vt:lpwstr>http://www.birdlife.org/datazone/country</vt:lpwstr>
      </vt:variant>
      <vt:variant>
        <vt:lpwstr/>
      </vt:variant>
      <vt:variant>
        <vt:i4>2883621</vt:i4>
      </vt:variant>
      <vt:variant>
        <vt:i4>9</vt:i4>
      </vt:variant>
      <vt:variant>
        <vt:i4>0</vt:i4>
      </vt:variant>
      <vt:variant>
        <vt:i4>5</vt:i4>
      </vt:variant>
      <vt:variant>
        <vt:lpwstr>http://pubs.iied.org/17344IIED.html</vt:lpwstr>
      </vt:variant>
      <vt:variant>
        <vt:lpwstr/>
      </vt:variant>
      <vt:variant>
        <vt:i4>7077986</vt:i4>
      </vt:variant>
      <vt:variant>
        <vt:i4>6</vt:i4>
      </vt:variant>
      <vt:variant>
        <vt:i4>0</vt:i4>
      </vt:variant>
      <vt:variant>
        <vt:i4>5</vt:i4>
      </vt:variant>
      <vt:variant>
        <vt:lpwstr>https://www.thegef.org/gef/sites/thegef.org/files/documents/EN_GEF.ME_C.49.inf_02_Biodiversity_Impact_Eval_Report_2015.pdf</vt:lpwstr>
      </vt:variant>
      <vt:variant>
        <vt:lpwstr/>
      </vt:variant>
      <vt:variant>
        <vt:i4>4653056</vt:i4>
      </vt:variant>
      <vt:variant>
        <vt:i4>3</vt:i4>
      </vt:variant>
      <vt:variant>
        <vt:i4>0</vt:i4>
      </vt:variant>
      <vt:variant>
        <vt:i4>5</vt:i4>
      </vt:variant>
      <vt:variant>
        <vt:lpwstr>http://www.biodiversitya-z.org/content/key-biodiversity-areas-kba</vt:lpwstr>
      </vt:variant>
      <vt:variant>
        <vt:lpwstr/>
      </vt:variant>
      <vt:variant>
        <vt:i4>6291516</vt:i4>
      </vt:variant>
      <vt:variant>
        <vt:i4>0</vt:i4>
      </vt:variant>
      <vt:variant>
        <vt:i4>0</vt:i4>
      </vt:variant>
      <vt:variant>
        <vt:i4>5</vt:i4>
      </vt:variant>
      <vt:variant>
        <vt:lpwstr>https://www.cbd.int/protected/dossiers/</vt:lpwstr>
      </vt:variant>
      <vt:variant>
        <vt:lpwstr/>
      </vt:variant>
      <vt:variant>
        <vt:i4>7077986</vt:i4>
      </vt:variant>
      <vt:variant>
        <vt:i4>0</vt:i4>
      </vt:variant>
      <vt:variant>
        <vt:i4>0</vt:i4>
      </vt:variant>
      <vt:variant>
        <vt:i4>5</vt:i4>
      </vt:variant>
      <vt:variant>
        <vt:lpwstr>https://www.thegef.org/gef/sites/thegef.org/files/documents/EN_GEF.ME_C.49.inf_02_Biodiversity_Impact_Eval_Report_2015.pdf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SCBD</dc:creator>
  <cp:lastModifiedBy>veronique lefebvre</cp:lastModifiedBy>
  <cp:revision>7</cp:revision>
  <cp:lastPrinted>2018-06-06T15:58:00Z</cp:lastPrinted>
  <dcterms:created xsi:type="dcterms:W3CDTF">2018-06-18T16:34:00Z</dcterms:created>
  <dcterms:modified xsi:type="dcterms:W3CDTF">2018-06-21T20:59:00Z</dcterms:modified>
</cp:coreProperties>
</file>