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F91CFC" w14:paraId="5FD772FB" w14:textId="77777777" w:rsidTr="008A1499">
        <w:trPr>
          <w:trHeight w:val="850"/>
        </w:trPr>
        <w:tc>
          <w:tcPr>
            <w:tcW w:w="975" w:type="dxa"/>
            <w:vAlign w:val="bottom"/>
          </w:tcPr>
          <w:p w14:paraId="4FF0B03E" w14:textId="2DD75783" w:rsidR="008A1499" w:rsidRPr="00F91CFC" w:rsidRDefault="00E46EB8" w:rsidP="008A1499">
            <w:pPr>
              <w:pStyle w:val="AASmallLogo"/>
            </w:pPr>
            <w:r w:rsidRPr="00F91CFC">
              <w:t xml:space="preserve"> </w:t>
            </w:r>
            <w:r w:rsidRPr="00F91CFC">
              <w:drawing>
                <wp:inline distT="0" distB="0" distL="0" distR="0" wp14:anchorId="46D91335" wp14:editId="10C2B326">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F91CFC">
              <w:t xml:space="preserve"> </w:t>
            </w:r>
          </w:p>
          <w:p w14:paraId="5FA60B5F" w14:textId="77777777" w:rsidR="008A1499" w:rsidRPr="00F91CFC" w:rsidRDefault="008A1499" w:rsidP="008A1499">
            <w:pPr>
              <w:pStyle w:val="AASmallLogo"/>
            </w:pPr>
          </w:p>
        </w:tc>
        <w:tc>
          <w:tcPr>
            <w:tcW w:w="1434" w:type="dxa"/>
            <w:noWrap/>
            <w:vAlign w:val="bottom"/>
          </w:tcPr>
          <w:p w14:paraId="000F14FB" w14:textId="77777777" w:rsidR="008A1499" w:rsidRPr="00F91CFC" w:rsidRDefault="008A1499" w:rsidP="008A1499">
            <w:pPr>
              <w:pStyle w:val="AASmallLogo"/>
            </w:pPr>
            <w:r w:rsidRPr="00F91CFC">
              <w:drawing>
                <wp:inline distT="0" distB="0" distL="0" distR="0" wp14:anchorId="185F6996" wp14:editId="7C9A2088">
                  <wp:extent cx="498788" cy="285021"/>
                  <wp:effectExtent l="0" t="0" r="0" b="1270"/>
                  <wp:docPr id="1150251483" name="Picture 2"/>
                  <wp:cNvGraphicFramePr/>
                  <a:graphic xmlns:a="http://schemas.openxmlformats.org/drawingml/2006/main">
                    <a:graphicData uri="http://schemas.openxmlformats.org/drawingml/2006/picture">
                      <pic:pic xmlns:pic="http://schemas.openxmlformats.org/drawingml/2006/picture">
                        <pic:nvPicPr>
                          <pic:cNvPr id="1150251483" name="Picture 2"/>
                          <pic:cNvPicPr/>
                        </pic:nvPicPr>
                        <pic:blipFill>
                          <a:blip r:embed="rId13"/>
                          <a:stretch>
                            <a:fillRect/>
                          </a:stretch>
                        </pic:blipFill>
                        <pic:spPr>
                          <a:xfrm>
                            <a:off x="0" y="0"/>
                            <a:ext cx="498788" cy="285021"/>
                          </a:xfrm>
                          <a:prstGeom prst="rect">
                            <a:avLst/>
                          </a:prstGeom>
                        </pic:spPr>
                      </pic:pic>
                    </a:graphicData>
                  </a:graphic>
                </wp:inline>
              </w:drawing>
            </w:r>
            <w:r w:rsidRPr="00F91CFC">
              <w:t xml:space="preserve"> </w:t>
            </w:r>
          </w:p>
          <w:p w14:paraId="5DA49003" w14:textId="77777777" w:rsidR="008A1499" w:rsidRPr="00F91CFC" w:rsidRDefault="008A1499" w:rsidP="008A1499">
            <w:pPr>
              <w:pStyle w:val="AASmallLogo"/>
            </w:pPr>
          </w:p>
        </w:tc>
        <w:tc>
          <w:tcPr>
            <w:tcW w:w="8073" w:type="dxa"/>
            <w:vAlign w:val="bottom"/>
          </w:tcPr>
          <w:p w14:paraId="0D35B117" w14:textId="245DAF56" w:rsidR="008A1499" w:rsidRPr="00F91CFC" w:rsidRDefault="008A1499" w:rsidP="000E4EE5">
            <w:pPr>
              <w:pStyle w:val="ABSymbol"/>
            </w:pPr>
            <w:r w:rsidRPr="00F91CFC">
              <w:rPr>
                <w:sz w:val="40"/>
              </w:rPr>
              <w:t>CBD</w:t>
            </w:r>
            <w:r w:rsidRPr="00F91CFC">
              <w:t>/SBI/7/3</w:t>
            </w:r>
          </w:p>
        </w:tc>
      </w:tr>
    </w:tbl>
    <w:p w14:paraId="6762E6CA" w14:textId="77777777" w:rsidR="008A1499" w:rsidRPr="00F91CFC" w:rsidRDefault="008A1499" w:rsidP="008A149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F91CFC" w14:paraId="6534970E" w14:textId="77777777" w:rsidTr="008A1499">
        <w:trPr>
          <w:trHeight w:val="1814"/>
        </w:trPr>
        <w:tc>
          <w:tcPr>
            <w:tcW w:w="7370" w:type="dxa"/>
          </w:tcPr>
          <w:p w14:paraId="583CCAE4" w14:textId="77777777" w:rsidR="008A1499" w:rsidRPr="00F91CFC" w:rsidRDefault="008A1499" w:rsidP="008A1499">
            <w:pPr>
              <w:pStyle w:val="ACLargeLogo"/>
            </w:pPr>
            <w:r w:rsidRPr="00F91CFC">
              <w:drawing>
                <wp:inline distT="0" distB="0" distL="0" distR="0" wp14:anchorId="1B82D558" wp14:editId="10A77C17">
                  <wp:extent cx="2755631" cy="1013099"/>
                  <wp:effectExtent l="0" t="0" r="6985" b="0"/>
                  <wp:docPr id="349570288" name="Picture 3"/>
                  <wp:cNvGraphicFramePr/>
                  <a:graphic xmlns:a="http://schemas.openxmlformats.org/drawingml/2006/main">
                    <a:graphicData uri="http://schemas.openxmlformats.org/drawingml/2006/picture">
                      <pic:pic xmlns:pic="http://schemas.openxmlformats.org/drawingml/2006/picture">
                        <pic:nvPicPr>
                          <pic:cNvPr id="349570288" name="Picture 3"/>
                          <pic:cNvPicPr/>
                        </pic:nvPicPr>
                        <pic:blipFill>
                          <a:blip r:embed="rId14"/>
                          <a:stretch>
                            <a:fillRect/>
                          </a:stretch>
                        </pic:blipFill>
                        <pic:spPr>
                          <a:xfrm>
                            <a:off x="0" y="0"/>
                            <a:ext cx="2755631" cy="1013099"/>
                          </a:xfrm>
                          <a:prstGeom prst="rect">
                            <a:avLst/>
                          </a:prstGeom>
                        </pic:spPr>
                      </pic:pic>
                    </a:graphicData>
                  </a:graphic>
                </wp:inline>
              </w:drawing>
            </w:r>
            <w:r w:rsidRPr="00F91CFC">
              <w:t xml:space="preserve"> </w:t>
            </w:r>
          </w:p>
          <w:p w14:paraId="2F40822B" w14:textId="77777777" w:rsidR="008A1499" w:rsidRPr="00F91CFC" w:rsidRDefault="008A1499" w:rsidP="008A1499">
            <w:pPr>
              <w:pStyle w:val="ACLargeLogo"/>
            </w:pPr>
          </w:p>
        </w:tc>
        <w:tc>
          <w:tcPr>
            <w:tcW w:w="3112" w:type="dxa"/>
          </w:tcPr>
          <w:p w14:paraId="58CE7054" w14:textId="77777777" w:rsidR="008A1499" w:rsidRPr="00F91CFC" w:rsidRDefault="008A1499" w:rsidP="008A1499">
            <w:pPr>
              <w:pStyle w:val="AEDistrNormal"/>
            </w:pPr>
            <w:r w:rsidRPr="00F91CFC">
              <w:t xml:space="preserve">Distr. general </w:t>
            </w:r>
          </w:p>
          <w:p w14:paraId="13411106" w14:textId="77777777" w:rsidR="00BB2222" w:rsidRPr="00F91CFC" w:rsidRDefault="00310EC2" w:rsidP="00BB2222">
            <w:pPr>
              <w:pStyle w:val="AEDistrNormal"/>
            </w:pPr>
            <w:r w:rsidRPr="00F91CFC">
              <w:t>12 de junio de 2026</w:t>
            </w:r>
          </w:p>
          <w:p w14:paraId="6FFCCF5A" w14:textId="13B148C3" w:rsidR="008A1499" w:rsidRPr="00F91CFC" w:rsidRDefault="008A1499" w:rsidP="00BB2222">
            <w:pPr>
              <w:pStyle w:val="AEDistrNormal"/>
            </w:pPr>
            <w:r w:rsidRPr="00F91CFC">
              <w:t>Español</w:t>
            </w:r>
            <w:r w:rsidRPr="00F91CFC">
              <w:br/>
              <w:t xml:space="preserve">Original: inglés </w:t>
            </w:r>
          </w:p>
          <w:p w14:paraId="50ABADBA" w14:textId="77777777" w:rsidR="008A1499" w:rsidRPr="00F91CFC" w:rsidRDefault="008A1499" w:rsidP="008A1499">
            <w:pPr>
              <w:pStyle w:val="AEDistrNormal6pt"/>
            </w:pPr>
          </w:p>
        </w:tc>
      </w:tr>
    </w:tbl>
    <w:p w14:paraId="2D93CFCD" w14:textId="77777777" w:rsidR="008A1499" w:rsidRPr="00F91CFC" w:rsidRDefault="008A1499" w:rsidP="008A149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F91CFC" w14:paraId="73A417EC" w14:textId="77777777" w:rsidTr="008A1499">
        <w:trPr>
          <w:trHeight w:val="57"/>
        </w:trPr>
        <w:tc>
          <w:tcPr>
            <w:tcW w:w="6094" w:type="dxa"/>
          </w:tcPr>
          <w:p w14:paraId="1A97AB8A" w14:textId="77777777" w:rsidR="008A1499" w:rsidRPr="00F91CFC" w:rsidRDefault="00C4348A" w:rsidP="008A1499">
            <w:pPr>
              <w:pStyle w:val="AFCorN12Bold"/>
            </w:pPr>
            <w:r w:rsidRPr="00F91CFC">
              <w:t xml:space="preserve">Órgano Subsidiario sobre la Aplicación </w:t>
            </w:r>
          </w:p>
          <w:p w14:paraId="479C8C39" w14:textId="18FA1536" w:rsidR="008A1499" w:rsidRPr="00F91CFC" w:rsidRDefault="00C4348A" w:rsidP="008A1499">
            <w:pPr>
              <w:pStyle w:val="AFCorNBold"/>
            </w:pPr>
            <w:r w:rsidRPr="00F91CFC">
              <w:t xml:space="preserve">Séptima reunión </w:t>
            </w:r>
          </w:p>
          <w:p w14:paraId="5BBC3E4C" w14:textId="09000A1C" w:rsidR="008A1499" w:rsidRPr="00F91CFC" w:rsidRDefault="00BA498A" w:rsidP="008A1499">
            <w:pPr>
              <w:pStyle w:val="AFCorNNormal"/>
            </w:pPr>
            <w:r w:rsidRPr="00F91CFC">
              <w:t>Nairobi, 4 a 12 de agosto de 2026</w:t>
            </w:r>
          </w:p>
          <w:p w14:paraId="5FAED069" w14:textId="284BE77C" w:rsidR="008A1499" w:rsidRPr="00F91CFC" w:rsidRDefault="008A1499" w:rsidP="008A1499">
            <w:pPr>
              <w:pStyle w:val="AFCorNNormal"/>
            </w:pPr>
            <w:r w:rsidRPr="00F91CFC">
              <w:t>Tema 4 a) del programa provisional</w:t>
            </w:r>
            <w:r w:rsidRPr="00F91CFC">
              <w:rPr>
                <w:rStyle w:val="Refdenotaalpie"/>
              </w:rPr>
              <w:footnoteReference w:customMarkFollows="1" w:id="1"/>
              <w:t>*</w:t>
            </w:r>
            <w:r w:rsidRPr="00F91CFC">
              <w:t xml:space="preserve"> </w:t>
            </w:r>
          </w:p>
          <w:p w14:paraId="507E2E13" w14:textId="61909B21" w:rsidR="008A1499" w:rsidRPr="00F91CFC" w:rsidRDefault="000D7717" w:rsidP="000E4EE5">
            <w:pPr>
              <w:pStyle w:val="AFCorNBold"/>
              <w:spacing w:after="120"/>
            </w:pPr>
            <w:r w:rsidRPr="00F91CFC">
              <w:t xml:space="preserve">Movilización de recursos y mecanismo financiero: movilización de recursos </w:t>
            </w:r>
          </w:p>
        </w:tc>
        <w:tc>
          <w:tcPr>
            <w:tcW w:w="4388" w:type="dxa"/>
          </w:tcPr>
          <w:p w14:paraId="13BA7841" w14:textId="77777777" w:rsidR="008A1499" w:rsidRPr="00F91CFC" w:rsidRDefault="008A1499" w:rsidP="008A1499">
            <w:pPr>
              <w:pStyle w:val="CBDNormal"/>
              <w:jc w:val="left"/>
            </w:pPr>
          </w:p>
        </w:tc>
      </w:tr>
    </w:tbl>
    <w:p w14:paraId="7936AF6B" w14:textId="4EBCF289" w:rsidR="00C9161D" w:rsidRPr="00F91CFC" w:rsidRDefault="00A634F7" w:rsidP="00A634F7">
      <w:pPr>
        <w:pStyle w:val="CBDTitle"/>
        <w:rPr>
          <w:caps/>
        </w:rPr>
      </w:pPr>
      <w:r w:rsidRPr="00F91CFC">
        <w:t>Movilización de recursos</w:t>
      </w:r>
      <w:r w:rsidRPr="00F91CFC">
        <w:rPr>
          <w:rStyle w:val="Refdenotaalpie"/>
        </w:rPr>
        <w:footnoteReference w:customMarkFollows="1" w:id="2"/>
        <w:sym w:font="Symbol" w:char="F02A"/>
      </w:r>
      <w:r w:rsidRPr="00F91CFC">
        <w:rPr>
          <w:rStyle w:val="Refdenotaalpie"/>
        </w:rPr>
        <w:sym w:font="Symbol" w:char="F02A"/>
      </w:r>
      <w:r w:rsidRPr="00F91CFC">
        <w:rPr>
          <w:rStyle w:val="Refdenotaalpie"/>
        </w:rPr>
        <w:sym w:font="Symbol" w:char="F02A"/>
      </w:r>
    </w:p>
    <w:p w14:paraId="41F49149" w14:textId="77777777" w:rsidR="00F6586C" w:rsidRPr="00F91CFC" w:rsidRDefault="0030169D" w:rsidP="00A111D1">
      <w:pPr>
        <w:pStyle w:val="CBDSubTitle"/>
      </w:pPr>
      <w:r w:rsidRPr="00F91CFC">
        <w:t>Nota de la Secretaría</w:t>
      </w:r>
    </w:p>
    <w:p w14:paraId="5E766945" w14:textId="2F21FAAE" w:rsidR="00C9161D" w:rsidRPr="00F91CFC" w:rsidRDefault="00A111D1" w:rsidP="00A111D1">
      <w:pPr>
        <w:pStyle w:val="CBDH1"/>
      </w:pPr>
      <w:r w:rsidRPr="00F91CFC">
        <w:t>I.</w:t>
      </w:r>
      <w:r w:rsidRPr="00F91CFC">
        <w:tab/>
        <w:t>Introducción</w:t>
      </w:r>
    </w:p>
    <w:p w14:paraId="2862DE2A" w14:textId="0CD15AE5" w:rsidR="00240890" w:rsidRPr="00F91CFC" w:rsidRDefault="00423F61" w:rsidP="00F347FD">
      <w:pPr>
        <w:pStyle w:val="CBDNormalNumber"/>
        <w:ind w:left="567"/>
      </w:pPr>
      <w:r w:rsidRPr="00F91CFC">
        <w:t xml:space="preserve">En su decisión </w:t>
      </w:r>
      <w:hyperlink r:id="rId15" w:history="1">
        <w:r w:rsidRPr="00F91CFC">
          <w:rPr>
            <w:rStyle w:val="Hipervnculo"/>
          </w:rPr>
          <w:t>16/34</w:t>
        </w:r>
      </w:hyperlink>
      <w:r w:rsidRPr="00F91CFC">
        <w:t xml:space="preserve">, la Conferencia de las Partes adoptó una estrategia para la movilización de recursos para el período 2025-2030, que figura en el anexo I de la decisión. En el párrafo 7 de la misma decisión, la Conferencia de las Partes recordó su </w:t>
      </w:r>
      <w:r w:rsidRPr="00F91CFC">
        <w:rPr>
          <w:snapToGrid w:val="0"/>
        </w:rPr>
        <w:t>decisión</w:t>
      </w:r>
      <w:r w:rsidRPr="00F91CFC">
        <w:t xml:space="preserve"> anterior de mantener bajo revisión la aplicación de la estrategia en cada una de sus reuniones, a partir de la 17ª reunión, mediante el balance mundial. </w:t>
      </w:r>
    </w:p>
    <w:p w14:paraId="0D94F19F" w14:textId="2ED9A4BC" w:rsidR="002A30C2" w:rsidRPr="00F91CFC" w:rsidRDefault="0065224E" w:rsidP="00F347FD">
      <w:pPr>
        <w:pStyle w:val="CBDNormalNumber"/>
        <w:ind w:left="567"/>
      </w:pPr>
      <w:r w:rsidRPr="00F91CFC">
        <w:t>En el párrafo 19 de la misma decisión, la Conferencia de las Partes decidió aplicar los artículos</w:t>
      </w:r>
      <w:r w:rsidR="00F91CFC">
        <w:t> </w:t>
      </w:r>
      <w:hyperlink r:id="rId16" w:history="1">
        <w:r w:rsidRPr="00F91CFC">
          <w:t>21</w:t>
        </w:r>
      </w:hyperlink>
      <w:r w:rsidRPr="00F91CFC">
        <w:t xml:space="preserve"> y </w:t>
      </w:r>
      <w:hyperlink r:id="rId17" w:history="1">
        <w:r w:rsidRPr="00F91CFC">
          <w:t>39</w:t>
        </w:r>
      </w:hyperlink>
      <w:r w:rsidRPr="00F91CFC">
        <w:t xml:space="preserve"> del Convenio y abordar el déficit de la financiación mundial de la biodiversidad para 2030, mediante lo siguiente:</w:t>
      </w:r>
    </w:p>
    <w:p w14:paraId="7E102EE3" w14:textId="66FDF729" w:rsidR="002A30C2" w:rsidRPr="00F91CFC" w:rsidRDefault="002A30C2">
      <w:pPr>
        <w:pStyle w:val="CBDNormalNumber"/>
        <w:numPr>
          <w:ilvl w:val="0"/>
          <w:numId w:val="9"/>
        </w:numPr>
        <w:ind w:left="567" w:firstLine="567"/>
      </w:pPr>
      <w:r w:rsidRPr="00F91CFC">
        <w:t>El establecimiento del acuerdo permanente para el mecanismo financiero previsto en el artículo </w:t>
      </w:r>
      <w:hyperlink r:id="rId18" w:history="1">
        <w:r w:rsidRPr="00F91CFC">
          <w:t>21</w:t>
        </w:r>
      </w:hyperlink>
      <w:r w:rsidRPr="00F91CFC">
        <w:t xml:space="preserve"> del Convenio; </w:t>
      </w:r>
    </w:p>
    <w:p w14:paraId="617E6BB9" w14:textId="317C522F" w:rsidR="0049250F" w:rsidRPr="00F91CFC" w:rsidRDefault="002A30C2">
      <w:pPr>
        <w:pStyle w:val="CBDNormalNumber"/>
        <w:numPr>
          <w:ilvl w:val="0"/>
          <w:numId w:val="9"/>
        </w:numPr>
        <w:ind w:left="567" w:firstLine="567"/>
      </w:pPr>
      <w:r w:rsidRPr="00F91CFC">
        <w:t>La evaluación y mejora de la movilización de financiación de todas las fuentes.</w:t>
      </w:r>
    </w:p>
    <w:p w14:paraId="27D83F72" w14:textId="1982C7B4" w:rsidR="00F73818" w:rsidRPr="00F91CFC" w:rsidRDefault="004832C8" w:rsidP="00F347FD">
      <w:pPr>
        <w:pStyle w:val="CBDNormalNumber"/>
        <w:ind w:left="567"/>
        <w:rPr>
          <w:rFonts w:eastAsia="Times New Roman"/>
          <w:bCs/>
          <w:szCs w:val="24"/>
        </w:rPr>
      </w:pPr>
      <w:r w:rsidRPr="00F91CFC">
        <w:t>En los párrafos 22 y 23 de la misma decisión, la Conferencia de las Partes estableció los procesos para el período entre reuniones, hasta la 19ª reunión de la Conferencia de las Partes, para la puesta en práctica de esos elementos. Varias de las tareas iniciales, detalladas a continuación, habrían de ser consideradas por el Órgano Subsidiario sobre la Aplicación antes de la 17ª reunión de la Conferencia de las Partes (párr. 24). Se formularon varias peticiones a la Secretaría, que también se detallan a continuación, para que prestara apoyo a la consideración de esas tareas (párrs. 18 y 25). Además, en el párrafo 26 se incluyeron otras peticiones dirigidas a la Secretaría en relación con la movilización de recursos.</w:t>
      </w:r>
    </w:p>
    <w:p w14:paraId="2BF274C3" w14:textId="2E0D2A44" w:rsidR="00442F12" w:rsidRPr="00F91CFC" w:rsidRDefault="009902C7" w:rsidP="00F347FD">
      <w:pPr>
        <w:pStyle w:val="CBDNormalNumber"/>
        <w:ind w:left="567"/>
        <w:rPr>
          <w:rFonts w:eastAsia="Times New Roman"/>
          <w:bCs/>
          <w:szCs w:val="24"/>
        </w:rPr>
      </w:pPr>
      <w:r w:rsidRPr="00F91CFC">
        <w:t xml:space="preserve">El presente documento contiene un informe sobre los progresos realizados en respuesta a las peticiones formuladas en el párrafo 26 de la decisión </w:t>
      </w:r>
      <w:hyperlink r:id="rId19" w:history="1">
        <w:r w:rsidRPr="00F91CFC">
          <w:rPr>
            <w:rStyle w:val="Hipervnculo"/>
          </w:rPr>
          <w:t>16/34</w:t>
        </w:r>
      </w:hyperlink>
      <w:r w:rsidRPr="00F91CFC">
        <w:t xml:space="preserve"> (secc. II), una sinopsis detallada de las tareas que el Órgano Subsidiario sobre la Aplicación tendrá ante sí en su séptima reunión y una síntesis de la documentación elaborada por la Secretaría para apoyar la realización de esas </w:t>
      </w:r>
      <w:r w:rsidRPr="00F91CFC">
        <w:lastRenderedPageBreak/>
        <w:t>tareas</w:t>
      </w:r>
      <w:r w:rsidR="00E10B69" w:rsidRPr="00F91CFC">
        <w:t> </w:t>
      </w:r>
      <w:r w:rsidRPr="00F91CFC">
        <w:t>(secc. III) y los elementos de un proyecto de recomendación que se someten a la consideración del Órgano Subsidiario (secc. IV).</w:t>
      </w:r>
    </w:p>
    <w:p w14:paraId="125434D8" w14:textId="461123E2" w:rsidR="00EA79B7" w:rsidRPr="00F91CFC" w:rsidRDefault="001E7387" w:rsidP="001E7387">
      <w:pPr>
        <w:pStyle w:val="CBDH1"/>
      </w:pPr>
      <w:r w:rsidRPr="00F91CFC">
        <w:t>II.</w:t>
      </w:r>
      <w:r w:rsidRPr="00F91CFC">
        <w:tab/>
        <w:t>Informes sobre los progresos realizados en relación con otras peticiones que figuran en la decisión </w:t>
      </w:r>
      <w:hyperlink r:id="rId20" w:history="1">
        <w:r w:rsidRPr="00F91CFC">
          <w:rPr>
            <w:rStyle w:val="Hipervnculo"/>
          </w:rPr>
          <w:t>16/34</w:t>
        </w:r>
      </w:hyperlink>
    </w:p>
    <w:p w14:paraId="6A0A0761" w14:textId="2F2681AD" w:rsidR="008A5B90" w:rsidRPr="00F91CFC" w:rsidRDefault="008A5B90" w:rsidP="00F347FD">
      <w:pPr>
        <w:pStyle w:val="CBDNormalNumber"/>
        <w:ind w:left="567"/>
      </w:pPr>
      <w:r w:rsidRPr="00F91CFC">
        <w:t xml:space="preserve">En el subpárrafo 26 a) de la decisión </w:t>
      </w:r>
      <w:hyperlink r:id="rId21" w:history="1">
        <w:r w:rsidRPr="00F91CFC">
          <w:rPr>
            <w:rStyle w:val="Hipervnculo"/>
          </w:rPr>
          <w:t>16/34</w:t>
        </w:r>
      </w:hyperlink>
      <w:r w:rsidRPr="00F91CFC">
        <w:t>, se pidió a la Secretaria Ejecutiva que, con sujeción a la disponibilidad de recursos financieros, facilitara un diálogo internacional con ministros de medio ambiente y de finanzas de países desarrollados y en desarrollo para acelerar el logro de la meta 19 del Marco Mundial de Biodiversidad de Kunming-Montreal.</w:t>
      </w:r>
    </w:p>
    <w:p w14:paraId="18FE97BC" w14:textId="5CF5B97A" w:rsidR="00040376" w:rsidRPr="00F91CFC" w:rsidRDefault="0091071A" w:rsidP="00F347FD">
      <w:pPr>
        <w:pStyle w:val="CBDNormalNumber"/>
        <w:ind w:left="567"/>
      </w:pPr>
      <w:r w:rsidRPr="00F91CFC">
        <w:t>Al momento de redactar el presente informe, la Secretaría estaba analizando dos opciones para dar curso a la petición. En primer lugar, la Secretaría comenzó a colaborar con la Coalición de Ministros de Finanzas para la Acción Climática y el Programa de las Naciones Unidas para el Medio Ambiente (PNUMA) con el fin de celebrar dichos diálogos en forma paralela a las reuniones del Grupo Banco Mundial y del Fondo Monetario Internacional, posiblemente a partir de las reuniones que se celebrarán en Bangkok en el tercer trimestre de 2026. El primero de los diálogos se está diseñando en torno a la próxima Guía sobre la naturaleza (</w:t>
      </w:r>
      <w:r w:rsidRPr="00F91CFC">
        <w:rPr>
          <w:i/>
          <w:iCs/>
        </w:rPr>
        <w:t>Nature Guide</w:t>
      </w:r>
      <w:r w:rsidRPr="00F91CFC">
        <w:t>), que el PNUMA está elaborando actualmente, con miras a ayudar a los ministerios de finanzas a incorporar los riesgos y oportunidades relacionados con la naturaleza en la planificación fiscal macroeconómica. Por lo tanto, el diálogo se basaría en esferas de acción concretas de los ministerios de finanzas, como se expone en la Guía, de modo que la implicación de los ministerios se fundamente en vías prácticas para la aplicación. A la fecha de redactar el presente informe, la Secretaría estaba estudiando posibles fuentes de financiación, ya que la ejecución de esta actividad está sujeta a la disponibilidad de recursos. En segundo lugar, la Secretaría está colaborando con el Gobierno del Reino Unido de Gran Bretaña e Irlanda del Norte con el fin de celebrar un diálogo durante la Semana de Acción Climática de Londres, prevista para el 23 de junio de 2026.</w:t>
      </w:r>
    </w:p>
    <w:p w14:paraId="4E0686A0" w14:textId="40DF0B18" w:rsidR="001C320A" w:rsidRPr="00F91CFC" w:rsidRDefault="00B859FC" w:rsidP="00F347FD">
      <w:pPr>
        <w:pStyle w:val="CBDNormalNumber"/>
        <w:ind w:left="567"/>
      </w:pPr>
      <w:r w:rsidRPr="00F91CFC">
        <w:t xml:space="preserve">En el subpárrafo 26 b) de la decisión </w:t>
      </w:r>
      <w:hyperlink r:id="rId22" w:history="1">
        <w:r w:rsidRPr="00F91CFC">
          <w:rPr>
            <w:rStyle w:val="Hipervnculo"/>
          </w:rPr>
          <w:t>16/34</w:t>
        </w:r>
      </w:hyperlink>
      <w:r w:rsidRPr="00F91CFC">
        <w:t xml:space="preserve">, se pidió a la Secretaria Ejecutiva que, con sujeción a la disponibilidad de recursos financieros, encargara la realización de estudios sobre los siguientes temas: a) la relación entre la sostenibilidad de la deuda y la aplicación del Convenio; </w:t>
      </w:r>
      <w:bookmarkStart w:id="0" w:name="_Hlk213420224"/>
      <w:r w:rsidRPr="00F91CFC">
        <w:t xml:space="preserve">b) cómo se ha aplicado la orientación sobre salvaguardias en los mecanismos de financiación de la diversidad biológica adoptada en las decisiones </w:t>
      </w:r>
      <w:hyperlink r:id="rId23" w:history="1">
        <w:r w:rsidRPr="00F91CFC">
          <w:rPr>
            <w:rStyle w:val="Hipervnculo"/>
          </w:rPr>
          <w:t>XII/3</w:t>
        </w:r>
      </w:hyperlink>
      <w:r w:rsidRPr="00F91CFC">
        <w:t xml:space="preserve"> y </w:t>
      </w:r>
      <w:hyperlink r:id="rId24" w:history="1">
        <w:r w:rsidRPr="00F91CFC">
          <w:rPr>
            <w:rStyle w:val="Hipervnculo"/>
          </w:rPr>
          <w:t>14/15</w:t>
        </w:r>
      </w:hyperlink>
      <w:r w:rsidRPr="00F91CFC">
        <w:t>, identificando buenas prácticas y lecciones aprendidas, así como oportunidades para mejorar la aplicación de la orientación</w:t>
      </w:r>
      <w:bookmarkEnd w:id="0"/>
      <w:r w:rsidRPr="00F91CFC">
        <w:t>; y c) la relación entre la financiación de la biodiversidad y la financiación para el clima.</w:t>
      </w:r>
    </w:p>
    <w:p w14:paraId="07CE6965" w14:textId="2E9CDFC3" w:rsidR="00791212" w:rsidRPr="00F91CFC" w:rsidRDefault="009F5557" w:rsidP="00F347FD">
      <w:pPr>
        <w:pStyle w:val="CBDNormalNumber"/>
        <w:ind w:left="567"/>
      </w:pPr>
      <w:r w:rsidRPr="00F91CFC">
        <w:t>Se encargaron los estudios mencionados, y el Órgano Subsidiario sobre la Aplicación examinó, en su sexta reunión, los proyectos de estudios. Tras considerarlos, el Órgano Subsidiario adoptó la recomendación</w:t>
      </w:r>
      <w:hyperlink r:id="rId25" w:history="1">
        <w:r w:rsidRPr="00F91CFC">
          <w:rPr>
            <w:rStyle w:val="Hipervnculo"/>
          </w:rPr>
          <w:t xml:space="preserve"> 6/1</w:t>
        </w:r>
      </w:hyperlink>
      <w:r w:rsidRPr="00F91CFC">
        <w:t>, que incluye elementos de un proyecto de decisión. En el párrafo 3 de la recomendación, el Órgano Subsidiario pidió a la Secretaria Ejecutiva que: a) extendiera el plazo para la revisión por pares de los proyectos de estudios hasta el 20 de mayo de 2026; b) finalizara los estudios y los presentara a la Conferencia de las Partes para que los examine en su 17ª reunión; y c) incluyera en el informe sobre los progresos realizados que presentará a la 17ª reunión de la Conferencia de las Partes cualquier propuesta de modificación del proyecto de decisión que figura a continuación surgida de las conclusiones contenidas en las versiones finales de los estudios. Los párrafos pertinentes del proyecto de decisión se dejaron en suspenso a la espera de que se completaran los estudios.</w:t>
      </w:r>
    </w:p>
    <w:p w14:paraId="361DDF4C" w14:textId="16826C3E" w:rsidR="003766C1" w:rsidRPr="00F91CFC" w:rsidRDefault="003766C1" w:rsidP="00F347FD">
      <w:pPr>
        <w:pStyle w:val="CBDNormalNumber"/>
        <w:ind w:left="567"/>
      </w:pPr>
      <w:r w:rsidRPr="00F91CFC">
        <w:t>A la fecha de redactar la presente nota, las revisiones por pares de los proyectos de los estudios estaban en curso. Como se pide en la recomendación </w:t>
      </w:r>
      <w:hyperlink r:id="rId26" w:history="1">
        <w:r w:rsidRPr="00F91CFC">
          <w:rPr>
            <w:rStyle w:val="Hipervnculo"/>
          </w:rPr>
          <w:t xml:space="preserve"> 6/1</w:t>
        </w:r>
      </w:hyperlink>
      <w:r w:rsidRPr="00F91CFC">
        <w:t>, la información definitiva se facilitará en el informe sobre los progresos realizados que se presentará a la 17ª reunión de la Conferencia de las Partes, en el que podrían incluirse propuestas para modificar el proyecto de decisión que figura en la recomendación </w:t>
      </w:r>
      <w:hyperlink r:id="rId27" w:history="1">
        <w:r w:rsidRPr="00F91CFC">
          <w:rPr>
            <w:rStyle w:val="Hipervnculo"/>
          </w:rPr>
          <w:t>6/1</w:t>
        </w:r>
      </w:hyperlink>
      <w:r w:rsidRPr="00F91CFC">
        <w:t>.</w:t>
      </w:r>
    </w:p>
    <w:p w14:paraId="13A1CEAC" w14:textId="6BEEA763" w:rsidR="008B0D39" w:rsidRPr="00F91CFC" w:rsidRDefault="004F4A02" w:rsidP="00F347FD">
      <w:pPr>
        <w:pStyle w:val="CBDNormalNumber"/>
        <w:ind w:left="567"/>
      </w:pPr>
      <w:r w:rsidRPr="00F91CFC">
        <w:t>En el subpárrafo 26 c) de la decisión </w:t>
      </w:r>
      <w:hyperlink r:id="rId28" w:history="1">
        <w:r w:rsidRPr="00F91CFC">
          <w:rPr>
            <w:rStyle w:val="Hipervnculo"/>
          </w:rPr>
          <w:t>16/34</w:t>
        </w:r>
      </w:hyperlink>
      <w:r w:rsidRPr="00F91CFC">
        <w:t xml:space="preserve">, se pidió a la Secretaria Ejecutiva que, con sujeción a la disponibilidad de recursos financieros, incorporara una plataforma en el mecanismo de </w:t>
      </w:r>
      <w:r w:rsidRPr="00F91CFC">
        <w:lastRenderedPageBreak/>
        <w:t>facilitación, en consonancia con la estrategia de gestión de conocimientos en apoyo de la implementación del Marco, con la finalidad de intercambiar información acerca de mejores prácticas y lecciones aprendidas en la implementación del Marco, en particular para el objetivo D y las metas 14, 15, 18 y 19, y la aplicación de la estrategia para la movilización de recursos. A la fecha de redactar la presente nota, ya se habían finalizado los trabajos técnicos para incorporar la plataforma en el mecanismo de facilitación. En respuesta a la invitación a presentar información pertinente, comunicada mediante la notificación núm.</w:t>
      </w:r>
      <w:hyperlink r:id="rId29" w:history="1">
        <w:r w:rsidRPr="00F91CFC">
          <w:rPr>
            <w:rStyle w:val="Hipervnculo"/>
          </w:rPr>
          <w:t>2025-148</w:t>
        </w:r>
      </w:hyperlink>
      <w:r w:rsidRPr="00F91CFC">
        <w:t>, de 10 de diciembre de 2025, se recibieron 15 comunicaciones, que se publicaron a través de la plataforma</w:t>
      </w:r>
      <w:r w:rsidR="00321118" w:rsidRPr="00F91CFC">
        <w:rPr>
          <w:rStyle w:val="Refdenotaalpie"/>
        </w:rPr>
        <w:footnoteReference w:id="3"/>
      </w:r>
      <w:r w:rsidRPr="00F91CFC">
        <w:t>.</w:t>
      </w:r>
    </w:p>
    <w:p w14:paraId="79A8CAEB" w14:textId="1D4C2C96" w:rsidR="00DB7181" w:rsidRPr="00F91CFC" w:rsidRDefault="00A86123" w:rsidP="00F347FD">
      <w:pPr>
        <w:pStyle w:val="CBDNormalNumber"/>
        <w:ind w:left="567"/>
      </w:pPr>
      <w:r w:rsidRPr="00F91CFC">
        <w:t xml:space="preserve">En respuesta a la petición formulada en el párrafo 25 de la decisión </w:t>
      </w:r>
      <w:hyperlink r:id="rId30" w:history="1">
        <w:r w:rsidRPr="00F91CFC">
          <w:rPr>
            <w:rStyle w:val="Hipervnculo"/>
          </w:rPr>
          <w:t>16/34</w:t>
        </w:r>
      </w:hyperlink>
      <w:r w:rsidRPr="00F91CFC">
        <w:t xml:space="preserve">, de apoyar la labor del Órgano Subsidiario sobre la Aplicación en la ejecución de las tareas descritas en el párrafo 24, la Secretaría, con el generoso apoyo financiero y logístico de los Gobiernos de Alemania y Bélgica, organizó un taller oficioso sobre movilización de recursos. El taller, celebrado en Roma del 10 al 13 de febrero de 2026, en forma consecutiva con la sexta reunión del Órgano Subsidiario sobre la Aplicación, constituyó un foro oficioso para tratar, en el plano conceptual, cómo avanzar en relación con las dos opciones establecidas en la decisión </w:t>
      </w:r>
      <w:hyperlink r:id="rId31" w:history="1">
        <w:r w:rsidRPr="00F91CFC">
          <w:rPr>
            <w:rStyle w:val="Hipervnculo"/>
          </w:rPr>
          <w:t>16/34</w:t>
        </w:r>
      </w:hyperlink>
      <w:r w:rsidRPr="00F91CFC">
        <w:t xml:space="preserve"> de la Conferencia de las Partes, con el fin de mejorar el entendimiento mutuo de las distintas perspectivas e identificar conceptos u oportunidades que podrían posiblemente impulsar los trabajos en esas dos opciones. Los comoderadores del taller han elaborado un informe, que se publicará como documento de referencia.</w:t>
      </w:r>
    </w:p>
    <w:p w14:paraId="71848F55" w14:textId="0B2C8D36" w:rsidR="00617B1C" w:rsidRPr="00F91CFC" w:rsidRDefault="00D02B9B" w:rsidP="00D02B9B">
      <w:pPr>
        <w:pStyle w:val="CBDH1"/>
      </w:pPr>
      <w:r w:rsidRPr="00F91CFC">
        <w:t>III.</w:t>
      </w:r>
      <w:r w:rsidRPr="00F91CFC">
        <w:tab/>
        <w:t>Tareas anteriores a la séptima reunión del Órgano Subsidiario</w:t>
      </w:r>
    </w:p>
    <w:p w14:paraId="61A5DD10" w14:textId="19C758E0" w:rsidR="006723AA" w:rsidRPr="00F91CFC" w:rsidRDefault="00E846A3" w:rsidP="00F347FD">
      <w:pPr>
        <w:pStyle w:val="CBDH2"/>
      </w:pPr>
      <w:r w:rsidRPr="00F91CFC">
        <w:t>A.</w:t>
      </w:r>
      <w:r w:rsidRPr="00F91CFC">
        <w:tab/>
        <w:t>Revisión de la estrategia para la movilización de recursos</w:t>
      </w:r>
    </w:p>
    <w:p w14:paraId="247E3143" w14:textId="43676471" w:rsidR="00DA0681" w:rsidRPr="00F91CFC" w:rsidRDefault="00FE5CCF" w:rsidP="00F347FD">
      <w:pPr>
        <w:pStyle w:val="CBDNormalNumber"/>
        <w:ind w:left="567"/>
        <w:rPr>
          <w:bCs/>
        </w:rPr>
      </w:pPr>
      <w:r w:rsidRPr="00F91CFC">
        <w:t xml:space="preserve">En consonancia con el párrafo 7 de la decisión </w:t>
      </w:r>
      <w:hyperlink r:id="rId32" w:history="1">
        <w:r w:rsidRPr="00F91CFC">
          <w:rPr>
            <w:rStyle w:val="Hipervnculo"/>
          </w:rPr>
          <w:t>16/34</w:t>
        </w:r>
      </w:hyperlink>
      <w:r w:rsidRPr="00F91CFC">
        <w:t>, relativa a la revisión de la aplicación de la estrategia para la movilización de recursos, en el párrafo 24 de esa decisión se pidió a la Secretaría que preparara documentación para facilitar esa revisión de la aplicación, incluidos los elementos de un proyecto de recomendación que aborde oportunidades para cualquier adaptación posterior de la estrategia y los arreglos institucionales conexos.</w:t>
      </w:r>
    </w:p>
    <w:p w14:paraId="00F0A62D" w14:textId="171C9D03" w:rsidR="001F0BC3" w:rsidRPr="00F91CFC" w:rsidRDefault="001E6AA5" w:rsidP="00F347FD">
      <w:pPr>
        <w:pStyle w:val="CBDNormalNumber"/>
        <w:ind w:left="567"/>
        <w:rPr>
          <w:bCs/>
        </w:rPr>
      </w:pPr>
      <w:r w:rsidRPr="00F91CFC">
        <w:t>En respuesta a esta petición, se publicó en el documento CBD/SBI/7/3/Add.2 un resumen de las principales perspectivas derivadas de la revisión de la aplicación de la estrategia para la movilización de recursos. El informe completo se publica como documento de información.</w:t>
      </w:r>
    </w:p>
    <w:p w14:paraId="4D13038C" w14:textId="5ABF651C" w:rsidR="00511D5F" w:rsidRPr="00F91CFC" w:rsidRDefault="00B13524" w:rsidP="00F347FD">
      <w:pPr>
        <w:pStyle w:val="CBDNormalNumber"/>
        <w:ind w:left="567"/>
      </w:pPr>
      <w:r w:rsidRPr="00F91CFC">
        <w:t xml:space="preserve">En el párrafo 7 de la decisión </w:t>
      </w:r>
      <w:hyperlink r:id="rId33" w:history="1">
        <w:r w:rsidRPr="00F91CFC">
          <w:rPr>
            <w:rStyle w:val="Hipervnculo"/>
          </w:rPr>
          <w:t>16/34</w:t>
        </w:r>
      </w:hyperlink>
      <w:r w:rsidRPr="00F91CFC">
        <w:t xml:space="preserve"> se aclaraba que la revisión de la aplicación se llevaría a cabo mediante el balance global; es decir, la revisión mundial de los progresos colectivos en la implementación del Marco Mundial de Biodiversidad de Kunming-Montreal, que se llevaría a cabo de conformidad con las decisiones </w:t>
      </w:r>
      <w:hyperlink r:id="rId34" w:history="1">
        <w:r w:rsidRPr="00F91CFC">
          <w:rPr>
            <w:rStyle w:val="Hipervnculo"/>
          </w:rPr>
          <w:t>15/6</w:t>
        </w:r>
      </w:hyperlink>
      <w:r w:rsidRPr="00F91CFC">
        <w:t xml:space="preserve"> y </w:t>
      </w:r>
      <w:hyperlink r:id="rId35" w:history="1">
        <w:r w:rsidRPr="00F91CFC">
          <w:rPr>
            <w:rStyle w:val="Hipervnculo"/>
          </w:rPr>
          <w:t>16/32</w:t>
        </w:r>
      </w:hyperlink>
      <w:r w:rsidRPr="00F91CFC">
        <w:t>. Por lo tanto, la revisión de la aplicación de la estrategia para la movilización de recursos se incorporó en las secciones pertinentes del informe mundial. La información pertinente se facilita al Órgano Subsidiario en el documento CBD/SBI/7/2, en relación con el tema 3 del programa.</w:t>
      </w:r>
    </w:p>
    <w:p w14:paraId="18AD6BBE" w14:textId="64AF41CA" w:rsidR="0021763B" w:rsidRPr="00F91CFC" w:rsidRDefault="00E06566" w:rsidP="00F347FD">
      <w:pPr>
        <w:pStyle w:val="CBDNormalNumber"/>
        <w:ind w:left="567"/>
        <w:rPr>
          <w:bCs/>
        </w:rPr>
      </w:pPr>
      <w:r w:rsidRPr="00F91CFC">
        <w:t>En lo que respecta a la identificación de oportunidades para cualquier adaptación posterior de la estrategia y los arreglos institucionales conexos, como se establece en el párrafo 24 de la decisión </w:t>
      </w:r>
      <w:hyperlink r:id="rId36" w:history="1">
        <w:r w:rsidRPr="00F91CFC">
          <w:rPr>
            <w:rStyle w:val="Hipervnculo"/>
          </w:rPr>
          <w:t>16/34</w:t>
        </w:r>
      </w:hyperlink>
      <w:r w:rsidRPr="00F91CFC">
        <w:t xml:space="preserve">, existe un solapamiento con el proceso para el período entre reuniones y la hoja de ruta conexa establecida en el párrafo 23 de la decisión, con vistas a cumplir lo dispuesto en el subpárrafo 19 b) de la decisión (“evaluación y mejora de la movilización de financiación de todas las fuentes”). La hoja de ruta prevé la integración de un conjunto de medidas necesarias para mejorar la financiación mundial de la biodiversidad en la estrategia para la movilización de recursos para la 19ª reunión de la Conferencia de las Partes (subpárr. 23 c)), con medidas intermedias que deberán adoptarse para la 18.ª reunión de la Conferencia de las Partes o en esa reunión (subpárr. 23 b)). Las medidas iniciales deberán adoptarse para la 17ª reunión de la Conferencia de las Partes o en esa reunión (subpárr. 23 a)), con el apoyo del Órgano Subsidiario, como se detalla a continuación. Por lo tanto, las conclusiones pertinentes de la revisión de la aplicación se incorporaron en la nota de la </w:t>
      </w:r>
      <w:r w:rsidRPr="00F91CFC">
        <w:lastRenderedPageBreak/>
        <w:t>Secretaría destinada a apoyar la labor del Órgano Subsidiario, como se explica con más detalle a continuación, y en el proyecto de recomendación que figura en la sección IV más adelante.</w:t>
      </w:r>
    </w:p>
    <w:p w14:paraId="30803B42" w14:textId="52A28957" w:rsidR="000933E0" w:rsidRPr="00F91CFC" w:rsidRDefault="00E846A3" w:rsidP="00F347FD">
      <w:pPr>
        <w:pStyle w:val="CBDH2"/>
      </w:pPr>
      <w:r w:rsidRPr="00F91CFC">
        <w:t>B.</w:t>
      </w:r>
      <w:r w:rsidRPr="00F91CFC">
        <w:tab/>
        <w:t>Ejecución de las tareas que figuran en los párrafos 22, 23 y 24 de la decisión </w:t>
      </w:r>
      <w:hyperlink r:id="rId37" w:history="1">
        <w:r w:rsidRPr="00F91CFC">
          <w:rPr>
            <w:rStyle w:val="Hipervnculo"/>
          </w:rPr>
          <w:t>16/34</w:t>
        </w:r>
      </w:hyperlink>
    </w:p>
    <w:p w14:paraId="238F3074" w14:textId="642AA160" w:rsidR="00AA69CD" w:rsidRPr="00F91CFC" w:rsidRDefault="00AA69CD" w:rsidP="00F347FD">
      <w:pPr>
        <w:pStyle w:val="CBDNormalNumber"/>
        <w:ind w:left="567"/>
      </w:pPr>
      <w:r w:rsidRPr="00F91CFC">
        <w:t xml:space="preserve">De conformidad con las hojas de ruta que figuran en los párrafos 22 y 23, en particular en los subpárrafos 22 a) y 23 a) de la decisión </w:t>
      </w:r>
      <w:hyperlink r:id="rId38" w:history="1">
        <w:r w:rsidRPr="00F91CFC">
          <w:rPr>
            <w:rStyle w:val="Hipervnculo"/>
            <w:color w:val="auto"/>
            <w:u w:val="none"/>
          </w:rPr>
          <w:t>16/34</w:t>
        </w:r>
      </w:hyperlink>
      <w:r w:rsidRPr="00F91CFC">
        <w:t xml:space="preserve">, los dos elementos siguientes deben llevarse a cabo antes de la 17ª reunión de la Conferencia de las Partes: </w:t>
      </w:r>
    </w:p>
    <w:p w14:paraId="4742A8E8" w14:textId="3FBFCB52" w:rsidR="00AA69CD" w:rsidRPr="00F91CFC" w:rsidRDefault="00AA69CD">
      <w:pPr>
        <w:pStyle w:val="CBDNormalNumber"/>
        <w:numPr>
          <w:ilvl w:val="0"/>
          <w:numId w:val="10"/>
        </w:numPr>
        <w:ind w:left="567" w:firstLine="567"/>
      </w:pPr>
      <w:r w:rsidRPr="00F91CFC">
        <w:t xml:space="preserve">La elaboración más detallada de los criterios para la estructura institucional encargada del funcionamiento del mecanismo financiero, teniendo en consideración la recopilación de opiniones que figura en el anexo II de la decisión </w:t>
      </w:r>
      <w:hyperlink r:id="rId39" w:history="1">
        <w:r w:rsidRPr="00F91CFC">
          <w:rPr>
            <w:rStyle w:val="Hipervnculo"/>
          </w:rPr>
          <w:t>16/34</w:t>
        </w:r>
      </w:hyperlink>
      <w:r w:rsidRPr="00F91CFC">
        <w:t>;</w:t>
      </w:r>
    </w:p>
    <w:p w14:paraId="6356B328" w14:textId="77777777" w:rsidR="00AA69CD" w:rsidRPr="00F91CFC" w:rsidRDefault="00AA69CD">
      <w:pPr>
        <w:pStyle w:val="CBDNormalNumber"/>
        <w:numPr>
          <w:ilvl w:val="0"/>
          <w:numId w:val="10"/>
        </w:numPr>
        <w:ind w:left="567" w:firstLine="567"/>
      </w:pPr>
      <w:r w:rsidRPr="00F91CFC">
        <w:t>La identificación de los impedimentos para la eficacia de la financiación mundial de la biodiversidad y, sobre esa base, la recomendación de elementos para su ulterior mejora.</w:t>
      </w:r>
    </w:p>
    <w:p w14:paraId="1023EE6F" w14:textId="608E494E" w:rsidR="00AA69CD" w:rsidRPr="00F91CFC" w:rsidRDefault="00AA69CD" w:rsidP="00F347FD">
      <w:pPr>
        <w:pStyle w:val="CBDNormalNumber"/>
        <w:ind w:left="567"/>
      </w:pPr>
      <w:r w:rsidRPr="00F91CFC">
        <w:t>En el párrafo 24 de la misma decisión, la Conferencia de las Partes pidió al Órgano Subsidiario que considerara los elementos mencionados, siguiera deliberando acerca de oportunidades para ampliar la base de contribuyentes, elaborara un proyecto de decisión e informara sobre los progresos realizados en la 17ª reunión de la Conferencia de las Partes.</w:t>
      </w:r>
    </w:p>
    <w:p w14:paraId="5C23AFAA" w14:textId="328F9E59" w:rsidR="008D2726" w:rsidRPr="00F91CFC" w:rsidRDefault="0090141E" w:rsidP="0090141E">
      <w:pPr>
        <w:pStyle w:val="CBDH3"/>
      </w:pPr>
      <w:r w:rsidRPr="00F91CFC">
        <w:t>1.</w:t>
      </w:r>
      <w:r w:rsidRPr="00F91CFC">
        <w:tab/>
        <w:t>Elaboración más detallada de los criterios para la estructura institucional encargada del funcionamiento del mecanismo financiero</w:t>
      </w:r>
    </w:p>
    <w:p w14:paraId="45191D41" w14:textId="2AAA6543" w:rsidR="00955953" w:rsidRPr="00F91CFC" w:rsidRDefault="00441728" w:rsidP="00F347FD">
      <w:pPr>
        <w:pStyle w:val="CBDNormalNumber"/>
        <w:ind w:left="567"/>
      </w:pPr>
      <w:r w:rsidRPr="00F91CFC">
        <w:t xml:space="preserve">De conformidad con el subpárrafo 22 a) de la decisión </w:t>
      </w:r>
      <w:hyperlink r:id="rId40" w:history="1">
        <w:r w:rsidRPr="00F91CFC">
          <w:rPr>
            <w:rStyle w:val="Hipervnculo"/>
          </w:rPr>
          <w:t>16/34</w:t>
        </w:r>
      </w:hyperlink>
      <w:r w:rsidRPr="00F91CFC">
        <w:t>, en el documento CBD/SBI/7/3/Add.3 se propone una metodología para seguir elaborando más detalladamente los criterios para la estructura institucional encargada del funcionamiento del mecanismo financiero, teniendo en consideración la recopilación de opiniones que figura en el anexo II de la decisión </w:t>
      </w:r>
      <w:hyperlink r:id="rId41" w:history="1">
        <w:r w:rsidRPr="00F91CFC">
          <w:rPr>
            <w:rStyle w:val="Hipervnculo"/>
          </w:rPr>
          <w:t>16/34</w:t>
        </w:r>
      </w:hyperlink>
      <w:r w:rsidRPr="00F91CFC">
        <w:t xml:space="preserve">. Consiste en una comparación entre los distintos puntos de la lista que figura en el anexo II de la decisión </w:t>
      </w:r>
      <w:hyperlink r:id="rId42" w:history="1">
        <w:r w:rsidRPr="00F91CFC">
          <w:rPr>
            <w:rStyle w:val="Hipervnculo"/>
          </w:rPr>
          <w:t>16/34</w:t>
        </w:r>
      </w:hyperlink>
      <w:r w:rsidRPr="00F91CFC">
        <w:t xml:space="preserve">, los artículos pertinentes del Convenio y los criterios ya reconocidos, como se establece en el párrafo 21 de la decisión </w:t>
      </w:r>
      <w:hyperlink r:id="rId43" w:history="1">
        <w:r w:rsidRPr="00F91CFC">
          <w:rPr>
            <w:rStyle w:val="Hipervnculo"/>
          </w:rPr>
          <w:t>16/34</w:t>
        </w:r>
      </w:hyperlink>
      <w:r w:rsidRPr="00F91CFC">
        <w:t xml:space="preserve">. Sobre la base de la comparación que figura en el anexo de ese documento, se propone no seguir considerando ocho puntos o elementos de esos puntos porque ya se incluyen en la lista que figura en el párrafo 21 de la decisión </w:t>
      </w:r>
      <w:hyperlink r:id="rId44" w:history="1">
        <w:r w:rsidRPr="00F91CFC">
          <w:rPr>
            <w:rStyle w:val="Hipervnculo"/>
          </w:rPr>
          <w:t>16/34</w:t>
        </w:r>
      </w:hyperlink>
      <w:r w:rsidRPr="00F91CFC">
        <w:t xml:space="preserve"> (elemento del punto 2, puntos 5, 7 y 8, y elementos del punto 9) o por otras razones (puntos 4, 6 y 16).</w:t>
      </w:r>
    </w:p>
    <w:p w14:paraId="6F841BE1" w14:textId="7CEAB629" w:rsidR="00955953" w:rsidRPr="00F91CFC" w:rsidRDefault="00955953" w:rsidP="00F347FD">
      <w:pPr>
        <w:pStyle w:val="CBDNormalNumber"/>
        <w:ind w:left="567"/>
      </w:pPr>
      <w:r w:rsidRPr="00F91CFC">
        <w:t xml:space="preserve">Se propone incluir en la lista los puntos o elementos de los puntos que figuran en el Cuadro 1 a continuación, ya que aún no están incluidos en la lista que figura en el párrafo 21 de la decisión </w:t>
      </w:r>
      <w:hyperlink r:id="rId45" w:history="1">
        <w:r w:rsidRPr="00F91CFC">
          <w:rPr>
            <w:rStyle w:val="Hipervnculo"/>
          </w:rPr>
          <w:t>16/34</w:t>
        </w:r>
      </w:hyperlink>
      <w:r w:rsidRPr="00F91CFC">
        <w:t>, aunque sí se reflejan en los artículos pertinentes del Convenio.</w:t>
      </w:r>
    </w:p>
    <w:p w14:paraId="7A88A64D" w14:textId="70DE468E" w:rsidR="001E59DB" w:rsidRPr="00F91CFC" w:rsidRDefault="00BF1F98" w:rsidP="007E4F27">
      <w:pPr>
        <w:pStyle w:val="CBDNormalNumber"/>
        <w:keepNext/>
        <w:numPr>
          <w:ilvl w:val="0"/>
          <w:numId w:val="0"/>
        </w:numPr>
        <w:ind w:left="567"/>
        <w:jc w:val="left"/>
        <w:rPr>
          <w:b/>
          <w:bCs/>
        </w:rPr>
      </w:pPr>
      <w:r w:rsidRPr="00F91CFC">
        <w:t>Cuadro 1</w:t>
      </w:r>
      <w:r w:rsidRPr="00F91CFC">
        <w:br/>
      </w:r>
      <w:r w:rsidRPr="00F91CFC">
        <w:rPr>
          <w:b/>
        </w:rPr>
        <w:t>Puntos o elementos de los puntos reflejados en el Convenio cuya inclusión se propone</w:t>
      </w:r>
    </w:p>
    <w:tbl>
      <w:tblPr>
        <w:tblStyle w:val="Tablaconcuadrcula"/>
        <w:tblW w:w="0" w:type="auto"/>
        <w:tblInd w:w="567" w:type="dxa"/>
        <w:tblLook w:val="04A0" w:firstRow="1" w:lastRow="0" w:firstColumn="1" w:lastColumn="0" w:noHBand="0" w:noVBand="1"/>
      </w:tblPr>
      <w:tblGrid>
        <w:gridCol w:w="694"/>
        <w:gridCol w:w="2486"/>
        <w:gridCol w:w="3522"/>
        <w:gridCol w:w="2081"/>
      </w:tblGrid>
      <w:tr w:rsidR="00955953" w:rsidRPr="00F91CFC" w14:paraId="68498F4E" w14:textId="77777777" w:rsidTr="00F347FD">
        <w:trPr>
          <w:tblHeader/>
        </w:trPr>
        <w:tc>
          <w:tcPr>
            <w:tcW w:w="508" w:type="dxa"/>
            <w:vAlign w:val="bottom"/>
          </w:tcPr>
          <w:p w14:paraId="3A2E7BB4" w14:textId="2816E45B" w:rsidR="00955953" w:rsidRPr="00F91CFC" w:rsidRDefault="001350DA" w:rsidP="00F347FD">
            <w:pPr>
              <w:pStyle w:val="CBDNormalNumber"/>
              <w:keepNext/>
              <w:numPr>
                <w:ilvl w:val="0"/>
                <w:numId w:val="0"/>
              </w:numPr>
              <w:jc w:val="left"/>
              <w:rPr>
                <w:i/>
                <w:iCs/>
                <w:sz w:val="20"/>
                <w:szCs w:val="20"/>
              </w:rPr>
            </w:pPr>
            <w:r w:rsidRPr="00F91CFC">
              <w:rPr>
                <w:i/>
                <w:sz w:val="20"/>
              </w:rPr>
              <w:t>Punto núm.</w:t>
            </w:r>
            <w:r w:rsidRPr="00F91CFC">
              <w:rPr>
                <w:i/>
                <w:sz w:val="20"/>
                <w:vertAlign w:val="superscript"/>
              </w:rPr>
              <w:t>a</w:t>
            </w:r>
          </w:p>
        </w:tc>
        <w:tc>
          <w:tcPr>
            <w:tcW w:w="2520" w:type="dxa"/>
            <w:vAlign w:val="bottom"/>
          </w:tcPr>
          <w:p w14:paraId="244C70B3" w14:textId="5C195508" w:rsidR="00955953" w:rsidRPr="00F91CFC" w:rsidRDefault="00955953" w:rsidP="00F347FD">
            <w:pPr>
              <w:pStyle w:val="CBDNormalNumber"/>
              <w:keepNext/>
              <w:numPr>
                <w:ilvl w:val="0"/>
                <w:numId w:val="0"/>
              </w:numPr>
              <w:jc w:val="left"/>
              <w:rPr>
                <w:i/>
                <w:iCs/>
                <w:sz w:val="20"/>
                <w:szCs w:val="20"/>
              </w:rPr>
            </w:pPr>
            <w:r w:rsidRPr="00F91CFC">
              <w:rPr>
                <w:i/>
                <w:sz w:val="20"/>
              </w:rPr>
              <w:t>Punto</w:t>
            </w:r>
          </w:p>
        </w:tc>
        <w:tc>
          <w:tcPr>
            <w:tcW w:w="3630" w:type="dxa"/>
            <w:vAlign w:val="bottom"/>
          </w:tcPr>
          <w:p w14:paraId="238C415F" w14:textId="5C810423" w:rsidR="00955953" w:rsidRPr="00F91CFC" w:rsidRDefault="00955953" w:rsidP="00F347FD">
            <w:pPr>
              <w:pStyle w:val="CBDNormalNumber"/>
              <w:keepNext/>
              <w:numPr>
                <w:ilvl w:val="0"/>
                <w:numId w:val="0"/>
              </w:numPr>
              <w:jc w:val="left"/>
              <w:rPr>
                <w:i/>
                <w:iCs/>
                <w:sz w:val="20"/>
                <w:szCs w:val="20"/>
              </w:rPr>
            </w:pPr>
            <w:r w:rsidRPr="00F91CFC">
              <w:rPr>
                <w:i/>
                <w:sz w:val="20"/>
              </w:rPr>
              <w:t>Explicación</w:t>
            </w:r>
            <w:r w:rsidRPr="00F91CFC">
              <w:rPr>
                <w:i/>
                <w:sz w:val="20"/>
                <w:vertAlign w:val="superscript"/>
              </w:rPr>
              <w:t>b</w:t>
            </w:r>
          </w:p>
        </w:tc>
        <w:tc>
          <w:tcPr>
            <w:tcW w:w="2125" w:type="dxa"/>
            <w:vAlign w:val="bottom"/>
          </w:tcPr>
          <w:p w14:paraId="56B491C8" w14:textId="77777777" w:rsidR="00955953" w:rsidRPr="00F91CFC" w:rsidRDefault="00955953" w:rsidP="00F347FD">
            <w:pPr>
              <w:pStyle w:val="CBDNormalNumber"/>
              <w:keepNext/>
              <w:numPr>
                <w:ilvl w:val="0"/>
                <w:numId w:val="0"/>
              </w:numPr>
              <w:jc w:val="left"/>
              <w:rPr>
                <w:i/>
                <w:iCs/>
                <w:sz w:val="20"/>
                <w:szCs w:val="20"/>
              </w:rPr>
            </w:pPr>
            <w:r w:rsidRPr="00F91CFC">
              <w:rPr>
                <w:i/>
                <w:sz w:val="20"/>
              </w:rPr>
              <w:t>Medida sugerida</w:t>
            </w:r>
          </w:p>
        </w:tc>
      </w:tr>
      <w:tr w:rsidR="00955953" w:rsidRPr="00F91CFC" w14:paraId="76A646B5" w14:textId="77777777" w:rsidTr="00F347FD">
        <w:tc>
          <w:tcPr>
            <w:tcW w:w="508" w:type="dxa"/>
          </w:tcPr>
          <w:p w14:paraId="690B8185" w14:textId="77777777" w:rsidR="00955953" w:rsidRPr="00F91CFC" w:rsidRDefault="00955953" w:rsidP="00F347FD">
            <w:pPr>
              <w:pStyle w:val="CBDNormalNumber"/>
              <w:numPr>
                <w:ilvl w:val="0"/>
                <w:numId w:val="0"/>
              </w:numPr>
              <w:rPr>
                <w:sz w:val="20"/>
                <w:szCs w:val="20"/>
              </w:rPr>
            </w:pPr>
            <w:r w:rsidRPr="00F91CFC">
              <w:rPr>
                <w:sz w:val="20"/>
              </w:rPr>
              <w:t>1</w:t>
            </w:r>
          </w:p>
        </w:tc>
        <w:tc>
          <w:tcPr>
            <w:tcW w:w="2520" w:type="dxa"/>
          </w:tcPr>
          <w:p w14:paraId="7974B184" w14:textId="5C88910C" w:rsidR="00955953" w:rsidRPr="00F91CFC" w:rsidRDefault="00955953" w:rsidP="00A22336">
            <w:pPr>
              <w:pStyle w:val="CBDNormalNumber"/>
              <w:keepNext/>
              <w:numPr>
                <w:ilvl w:val="0"/>
                <w:numId w:val="0"/>
              </w:numPr>
              <w:jc w:val="left"/>
              <w:rPr>
                <w:sz w:val="20"/>
                <w:szCs w:val="20"/>
              </w:rPr>
            </w:pPr>
            <w:r w:rsidRPr="00F91CFC">
              <w:rPr>
                <w:sz w:val="20"/>
              </w:rPr>
              <w:t>Valor añadido y complementariedad respecto al panorama actual de la financiación de la biodiversidad</w:t>
            </w:r>
          </w:p>
        </w:tc>
        <w:tc>
          <w:tcPr>
            <w:tcW w:w="3630" w:type="dxa"/>
          </w:tcPr>
          <w:p w14:paraId="0CCB0BDE" w14:textId="49428FCE" w:rsidR="00955953" w:rsidRPr="00F91CFC" w:rsidRDefault="00955953" w:rsidP="00826AED">
            <w:pPr>
              <w:pStyle w:val="CBDNormalNumber"/>
              <w:keepNext/>
              <w:numPr>
                <w:ilvl w:val="0"/>
                <w:numId w:val="0"/>
              </w:numPr>
              <w:jc w:val="left"/>
              <w:rPr>
                <w:sz w:val="20"/>
                <w:szCs w:val="20"/>
              </w:rPr>
            </w:pPr>
            <w:r w:rsidRPr="00F91CFC">
              <w:rPr>
                <w:sz w:val="20"/>
              </w:rPr>
              <w:t>La idea de que el mecanismo financiero funciona en el marco de un panorama financiero más amplio está reflejada el artículo 21 4) del Convenio</w:t>
            </w:r>
          </w:p>
        </w:tc>
        <w:tc>
          <w:tcPr>
            <w:tcW w:w="2125" w:type="dxa"/>
          </w:tcPr>
          <w:p w14:paraId="64930150" w14:textId="1993B69E" w:rsidR="00955953" w:rsidRPr="00F91CFC" w:rsidRDefault="00955953" w:rsidP="00826AED">
            <w:pPr>
              <w:pStyle w:val="CBDNormalNumber"/>
              <w:keepNext/>
              <w:numPr>
                <w:ilvl w:val="0"/>
                <w:numId w:val="0"/>
              </w:numPr>
              <w:jc w:val="left"/>
              <w:rPr>
                <w:sz w:val="20"/>
                <w:szCs w:val="20"/>
              </w:rPr>
            </w:pPr>
            <w:r w:rsidRPr="00F91CFC">
              <w:rPr>
                <w:sz w:val="20"/>
              </w:rPr>
              <w:t>Incluir como nuevo criterio e)</w:t>
            </w:r>
          </w:p>
        </w:tc>
      </w:tr>
      <w:tr w:rsidR="00955953" w:rsidRPr="00F91CFC" w14:paraId="32DB86F6" w14:textId="77777777" w:rsidTr="00F347FD">
        <w:tc>
          <w:tcPr>
            <w:tcW w:w="508" w:type="dxa"/>
          </w:tcPr>
          <w:p w14:paraId="63F37621" w14:textId="77777777" w:rsidR="00955953" w:rsidRPr="00F91CFC" w:rsidRDefault="00955953" w:rsidP="00F347FD">
            <w:pPr>
              <w:pStyle w:val="CBDNormalNumber"/>
              <w:numPr>
                <w:ilvl w:val="0"/>
                <w:numId w:val="0"/>
              </w:numPr>
              <w:rPr>
                <w:sz w:val="20"/>
                <w:szCs w:val="20"/>
              </w:rPr>
            </w:pPr>
            <w:r w:rsidRPr="00F91CFC">
              <w:rPr>
                <w:sz w:val="20"/>
              </w:rPr>
              <w:t>2</w:t>
            </w:r>
          </w:p>
        </w:tc>
        <w:tc>
          <w:tcPr>
            <w:tcW w:w="2520" w:type="dxa"/>
          </w:tcPr>
          <w:p w14:paraId="0E07AAE1" w14:textId="52D18AA3" w:rsidR="00955953" w:rsidRPr="00F91CFC" w:rsidRDefault="00955953" w:rsidP="00F347FD">
            <w:pPr>
              <w:pStyle w:val="CBDNormalNumber"/>
              <w:keepNext/>
              <w:numPr>
                <w:ilvl w:val="0"/>
                <w:numId w:val="0"/>
              </w:numPr>
              <w:jc w:val="left"/>
              <w:rPr>
                <w:sz w:val="20"/>
                <w:szCs w:val="20"/>
              </w:rPr>
            </w:pPr>
            <w:r w:rsidRPr="00F91CFC">
              <w:rPr>
                <w:sz w:val="20"/>
              </w:rPr>
              <w:t>Acceso a financiación nueva, adicional, previsible, suficiente y oportuna</w:t>
            </w:r>
          </w:p>
        </w:tc>
        <w:tc>
          <w:tcPr>
            <w:tcW w:w="3630" w:type="dxa"/>
          </w:tcPr>
          <w:p w14:paraId="634032CB" w14:textId="314B7B96" w:rsidR="00955953" w:rsidRPr="00F91CFC" w:rsidRDefault="00955953" w:rsidP="00826AED">
            <w:pPr>
              <w:pStyle w:val="CBDNormalNumber"/>
              <w:keepNext/>
              <w:numPr>
                <w:ilvl w:val="0"/>
                <w:numId w:val="0"/>
              </w:numPr>
              <w:jc w:val="left"/>
              <w:rPr>
                <w:sz w:val="20"/>
                <w:szCs w:val="20"/>
              </w:rPr>
            </w:pPr>
            <w:r w:rsidRPr="00F91CFC">
              <w:rPr>
                <w:sz w:val="20"/>
              </w:rPr>
              <w:t>“Nueva” y “adicional” están incluidos en el artículo 20 2)</w:t>
            </w:r>
          </w:p>
          <w:p w14:paraId="30E98F95" w14:textId="640D1881" w:rsidR="00955953" w:rsidRPr="00F91CFC" w:rsidRDefault="00955953" w:rsidP="00826AED">
            <w:pPr>
              <w:pStyle w:val="CBDNormalNumber"/>
              <w:keepNext/>
              <w:numPr>
                <w:ilvl w:val="0"/>
                <w:numId w:val="0"/>
              </w:numPr>
              <w:jc w:val="left"/>
              <w:rPr>
                <w:sz w:val="20"/>
                <w:szCs w:val="20"/>
              </w:rPr>
            </w:pPr>
            <w:r w:rsidRPr="00F91CFC">
              <w:rPr>
                <w:sz w:val="20"/>
              </w:rPr>
              <w:t>La previsibilidad y la suficiencia están incluidas en el artículo 21 1)</w:t>
            </w:r>
          </w:p>
        </w:tc>
        <w:tc>
          <w:tcPr>
            <w:tcW w:w="2125" w:type="dxa"/>
          </w:tcPr>
          <w:p w14:paraId="0B3607F2" w14:textId="5F78445E" w:rsidR="00955953" w:rsidRPr="00F91CFC" w:rsidRDefault="00955953" w:rsidP="00826AED">
            <w:pPr>
              <w:pStyle w:val="CBDNormalNumber"/>
              <w:keepNext/>
              <w:numPr>
                <w:ilvl w:val="0"/>
                <w:numId w:val="0"/>
              </w:numPr>
              <w:jc w:val="left"/>
              <w:rPr>
                <w:sz w:val="20"/>
                <w:szCs w:val="20"/>
              </w:rPr>
            </w:pPr>
            <w:r w:rsidRPr="00F91CFC">
              <w:rPr>
                <w:sz w:val="20"/>
              </w:rPr>
              <w:t>Incluir los términos “nueva”, “adicional”, “previsible” y “suficiente” en el criterio d)</w:t>
            </w:r>
          </w:p>
        </w:tc>
      </w:tr>
      <w:tr w:rsidR="00955953" w:rsidRPr="00F91CFC" w14:paraId="6AAB0CE0" w14:textId="77777777" w:rsidTr="00F347FD">
        <w:tc>
          <w:tcPr>
            <w:tcW w:w="508" w:type="dxa"/>
          </w:tcPr>
          <w:p w14:paraId="2AD5601D" w14:textId="77777777" w:rsidR="00955953" w:rsidRPr="00F91CFC" w:rsidRDefault="00955953" w:rsidP="00F347FD">
            <w:pPr>
              <w:pStyle w:val="CBDNormalNumber"/>
              <w:numPr>
                <w:ilvl w:val="0"/>
                <w:numId w:val="0"/>
              </w:numPr>
              <w:rPr>
                <w:sz w:val="20"/>
                <w:szCs w:val="20"/>
              </w:rPr>
            </w:pPr>
            <w:r w:rsidRPr="00F91CFC">
              <w:rPr>
                <w:sz w:val="20"/>
              </w:rPr>
              <w:lastRenderedPageBreak/>
              <w:t>3</w:t>
            </w:r>
          </w:p>
        </w:tc>
        <w:tc>
          <w:tcPr>
            <w:tcW w:w="2520" w:type="dxa"/>
          </w:tcPr>
          <w:p w14:paraId="56D4FCB8" w14:textId="23E3C2B6" w:rsidR="00955953" w:rsidRPr="00F91CFC" w:rsidRDefault="00955953" w:rsidP="00A22336">
            <w:pPr>
              <w:pStyle w:val="CBDNormalNumber"/>
              <w:keepNext/>
              <w:numPr>
                <w:ilvl w:val="0"/>
                <w:numId w:val="0"/>
              </w:numPr>
              <w:jc w:val="left"/>
              <w:rPr>
                <w:sz w:val="20"/>
                <w:szCs w:val="20"/>
              </w:rPr>
            </w:pPr>
            <w:r w:rsidRPr="00F91CFC">
              <w:rPr>
                <w:sz w:val="20"/>
              </w:rPr>
              <w:t>Base de contribuyentes destinada a la movilización de recursos de todas las fuentes</w:t>
            </w:r>
          </w:p>
        </w:tc>
        <w:tc>
          <w:tcPr>
            <w:tcW w:w="3630" w:type="dxa"/>
          </w:tcPr>
          <w:p w14:paraId="43F003EC" w14:textId="7B2AAEB0" w:rsidR="00955953" w:rsidRPr="00F91CFC" w:rsidRDefault="00955953" w:rsidP="00826AED">
            <w:pPr>
              <w:pStyle w:val="CBDNormalNumber"/>
              <w:keepNext/>
              <w:numPr>
                <w:ilvl w:val="0"/>
                <w:numId w:val="0"/>
              </w:numPr>
              <w:jc w:val="left"/>
              <w:rPr>
                <w:sz w:val="20"/>
                <w:szCs w:val="20"/>
              </w:rPr>
            </w:pPr>
            <w:r w:rsidRPr="00F91CFC">
              <w:rPr>
                <w:sz w:val="20"/>
              </w:rPr>
              <w:t>La idea se refleja, en términos generales, en el artículo 21 1)</w:t>
            </w:r>
          </w:p>
        </w:tc>
        <w:tc>
          <w:tcPr>
            <w:tcW w:w="2125" w:type="dxa"/>
          </w:tcPr>
          <w:p w14:paraId="69D34FD8" w14:textId="2F7C8AC1" w:rsidR="00955953" w:rsidRPr="00F91CFC" w:rsidRDefault="00955953" w:rsidP="00826AED">
            <w:pPr>
              <w:pStyle w:val="CBDNormalNumber"/>
              <w:keepNext/>
              <w:numPr>
                <w:ilvl w:val="0"/>
                <w:numId w:val="0"/>
              </w:numPr>
              <w:jc w:val="left"/>
              <w:rPr>
                <w:sz w:val="20"/>
                <w:szCs w:val="20"/>
              </w:rPr>
            </w:pPr>
            <w:r w:rsidRPr="00F91CFC">
              <w:rPr>
                <w:sz w:val="20"/>
              </w:rPr>
              <w:t>Incluir como nuevo criterio f)</w:t>
            </w:r>
          </w:p>
        </w:tc>
      </w:tr>
    </w:tbl>
    <w:p w14:paraId="337A34F6" w14:textId="6C9A8550" w:rsidR="00D769DF" w:rsidRPr="00F91CFC" w:rsidRDefault="00D769DF" w:rsidP="00F347FD">
      <w:pPr>
        <w:pStyle w:val="CBDNormalNumber"/>
        <w:numPr>
          <w:ilvl w:val="0"/>
          <w:numId w:val="0"/>
        </w:numPr>
        <w:ind w:left="720"/>
        <w:jc w:val="left"/>
        <w:rPr>
          <w:sz w:val="18"/>
          <w:szCs w:val="18"/>
        </w:rPr>
      </w:pPr>
      <w:r w:rsidRPr="00F91CFC">
        <w:rPr>
          <w:i/>
          <w:sz w:val="18"/>
          <w:vertAlign w:val="superscript"/>
        </w:rPr>
        <w:t>a</w:t>
      </w:r>
      <w:r w:rsidRPr="00F91CFC">
        <w:rPr>
          <w:i/>
          <w:sz w:val="18"/>
        </w:rPr>
        <w:tab/>
      </w:r>
      <w:r w:rsidRPr="00F91CFC">
        <w:rPr>
          <w:sz w:val="18"/>
        </w:rPr>
        <w:t xml:space="preserve">Puntos del anexo II de la decisión </w:t>
      </w:r>
      <w:hyperlink r:id="rId46" w:history="1">
        <w:r w:rsidRPr="00F91CFC">
          <w:rPr>
            <w:rStyle w:val="Hipervnculo"/>
            <w:sz w:val="18"/>
          </w:rPr>
          <w:t>16/34</w:t>
        </w:r>
      </w:hyperlink>
      <w:r w:rsidRPr="00F91CFC">
        <w:rPr>
          <w:sz w:val="18"/>
        </w:rPr>
        <w:t>.</w:t>
      </w:r>
      <w:r w:rsidRPr="00F91CFC">
        <w:rPr>
          <w:sz w:val="18"/>
        </w:rPr>
        <w:br/>
      </w:r>
      <w:r w:rsidRPr="00F91CFC">
        <w:rPr>
          <w:i/>
          <w:sz w:val="18"/>
          <w:vertAlign w:val="superscript"/>
        </w:rPr>
        <w:t>b</w:t>
      </w:r>
      <w:r w:rsidRPr="00F91CFC">
        <w:rPr>
          <w:sz w:val="18"/>
        </w:rPr>
        <w:tab/>
        <w:t>Véase el cuadro que figura en el anexo del documento CBD/SBI/7/3/Add.3 para consultar un análisis más detallado.</w:t>
      </w:r>
    </w:p>
    <w:p w14:paraId="3F19CD6F" w14:textId="3B4B0EE6" w:rsidR="00955953" w:rsidRPr="00F91CFC" w:rsidRDefault="00955953" w:rsidP="00F347FD">
      <w:pPr>
        <w:pStyle w:val="CBDNormalNumber"/>
        <w:ind w:left="567"/>
      </w:pPr>
      <w:r w:rsidRPr="00F91CFC">
        <w:t>Se constató que los puntos o elementos de los puntos que figuran en el Cuadro 2 a continuación estaban, en esencia, incluidos en la lista que figura en el párrafo 21 de la decisión </w:t>
      </w:r>
      <w:hyperlink r:id="rId47" w:history="1">
        <w:r w:rsidRPr="00F91CFC">
          <w:rPr>
            <w:rStyle w:val="Hipervnculo"/>
          </w:rPr>
          <w:t>16/34</w:t>
        </w:r>
      </w:hyperlink>
      <w:r w:rsidRPr="00F91CFC">
        <w:t>, aunque expresados en términos más genéricos. El Órgano Subsidiario sobre la Aplicación tal vez desee considerar, en su séptima reunión, el nivel de detalle necesario en la lista definitiva de criterios y recomendar las modificaciones que sean necesarias:</w:t>
      </w:r>
    </w:p>
    <w:p w14:paraId="08B33FDA" w14:textId="72FB7A69" w:rsidR="005608AC" w:rsidRPr="00F91CFC" w:rsidRDefault="005608AC" w:rsidP="007E4F27">
      <w:pPr>
        <w:pStyle w:val="CBDNormalNumber"/>
        <w:keepNext/>
        <w:numPr>
          <w:ilvl w:val="0"/>
          <w:numId w:val="0"/>
        </w:numPr>
        <w:ind w:left="567"/>
        <w:jc w:val="left"/>
      </w:pPr>
      <w:r w:rsidRPr="00F91CFC">
        <w:t>Cuadro 2</w:t>
      </w:r>
      <w:r w:rsidRPr="00F91CFC">
        <w:br/>
      </w:r>
      <w:r w:rsidRPr="00F91CFC">
        <w:rPr>
          <w:b/>
        </w:rPr>
        <w:t>Puntos o elementos de puntos que están, en esencia, incluidos aunque con términos más genéricos</w:t>
      </w:r>
    </w:p>
    <w:tbl>
      <w:tblPr>
        <w:tblStyle w:val="Tablaconcuadrcula"/>
        <w:tblW w:w="0" w:type="auto"/>
        <w:tblInd w:w="567" w:type="dxa"/>
        <w:tblLook w:val="04A0" w:firstRow="1" w:lastRow="0" w:firstColumn="1" w:lastColumn="0" w:noHBand="0" w:noVBand="1"/>
      </w:tblPr>
      <w:tblGrid>
        <w:gridCol w:w="694"/>
        <w:gridCol w:w="2470"/>
        <w:gridCol w:w="2902"/>
        <w:gridCol w:w="2717"/>
      </w:tblGrid>
      <w:tr w:rsidR="00955953" w:rsidRPr="00F91CFC" w14:paraId="0E0F7829" w14:textId="77777777" w:rsidTr="00F347FD">
        <w:trPr>
          <w:tblHeader/>
        </w:trPr>
        <w:tc>
          <w:tcPr>
            <w:tcW w:w="665" w:type="dxa"/>
            <w:vAlign w:val="bottom"/>
          </w:tcPr>
          <w:p w14:paraId="5BEAEFEB" w14:textId="34941624" w:rsidR="00955953" w:rsidRPr="00F91CFC" w:rsidRDefault="001B2637" w:rsidP="00F347FD">
            <w:pPr>
              <w:pStyle w:val="CBDNormalNumber"/>
              <w:keepNext/>
              <w:numPr>
                <w:ilvl w:val="0"/>
                <w:numId w:val="0"/>
              </w:numPr>
              <w:jc w:val="left"/>
              <w:rPr>
                <w:i/>
                <w:iCs/>
                <w:sz w:val="20"/>
                <w:szCs w:val="20"/>
              </w:rPr>
            </w:pPr>
            <w:r w:rsidRPr="00F91CFC">
              <w:rPr>
                <w:i/>
                <w:sz w:val="20"/>
              </w:rPr>
              <w:t>Punto núm.</w:t>
            </w:r>
            <w:r w:rsidRPr="00F91CFC">
              <w:rPr>
                <w:i/>
                <w:sz w:val="20"/>
                <w:vertAlign w:val="superscript"/>
              </w:rPr>
              <w:t>a</w:t>
            </w:r>
          </w:p>
        </w:tc>
        <w:tc>
          <w:tcPr>
            <w:tcW w:w="2478" w:type="dxa"/>
            <w:vAlign w:val="bottom"/>
          </w:tcPr>
          <w:p w14:paraId="5F02E6FB" w14:textId="35CFD332" w:rsidR="00955953" w:rsidRPr="00F91CFC" w:rsidRDefault="00955953" w:rsidP="00F347FD">
            <w:pPr>
              <w:pStyle w:val="CBDNormalNumber"/>
              <w:keepNext/>
              <w:numPr>
                <w:ilvl w:val="0"/>
                <w:numId w:val="0"/>
              </w:numPr>
              <w:jc w:val="left"/>
              <w:rPr>
                <w:i/>
                <w:iCs/>
                <w:sz w:val="20"/>
                <w:szCs w:val="20"/>
              </w:rPr>
            </w:pPr>
            <w:r w:rsidRPr="00F91CFC">
              <w:rPr>
                <w:i/>
                <w:sz w:val="20"/>
              </w:rPr>
              <w:t>Punto</w:t>
            </w:r>
          </w:p>
        </w:tc>
        <w:tc>
          <w:tcPr>
            <w:tcW w:w="2912" w:type="dxa"/>
            <w:vAlign w:val="bottom"/>
          </w:tcPr>
          <w:p w14:paraId="0D641882" w14:textId="4D854D2C" w:rsidR="00955953" w:rsidRPr="00F91CFC" w:rsidRDefault="00955953" w:rsidP="00F347FD">
            <w:pPr>
              <w:pStyle w:val="CBDNormalNumber"/>
              <w:keepNext/>
              <w:numPr>
                <w:ilvl w:val="0"/>
                <w:numId w:val="0"/>
              </w:numPr>
              <w:jc w:val="left"/>
              <w:rPr>
                <w:i/>
                <w:iCs/>
                <w:sz w:val="20"/>
                <w:szCs w:val="20"/>
              </w:rPr>
            </w:pPr>
            <w:r w:rsidRPr="00F91CFC">
              <w:rPr>
                <w:i/>
                <w:sz w:val="20"/>
              </w:rPr>
              <w:t>Explicación</w:t>
            </w:r>
            <w:r w:rsidRPr="00F91CFC">
              <w:rPr>
                <w:i/>
                <w:sz w:val="20"/>
                <w:vertAlign w:val="superscript"/>
              </w:rPr>
              <w:t>b</w:t>
            </w:r>
          </w:p>
        </w:tc>
        <w:tc>
          <w:tcPr>
            <w:tcW w:w="2728" w:type="dxa"/>
            <w:vAlign w:val="bottom"/>
          </w:tcPr>
          <w:p w14:paraId="540CE73A" w14:textId="77777777" w:rsidR="00955953" w:rsidRPr="00F91CFC" w:rsidRDefault="00955953" w:rsidP="00F347FD">
            <w:pPr>
              <w:pStyle w:val="CBDNormalNumber"/>
              <w:keepNext/>
              <w:numPr>
                <w:ilvl w:val="0"/>
                <w:numId w:val="0"/>
              </w:numPr>
              <w:jc w:val="left"/>
              <w:rPr>
                <w:i/>
                <w:iCs/>
                <w:sz w:val="20"/>
                <w:szCs w:val="20"/>
              </w:rPr>
            </w:pPr>
            <w:r w:rsidRPr="00F91CFC">
              <w:rPr>
                <w:i/>
                <w:sz w:val="20"/>
              </w:rPr>
              <w:t>Medida sugerida</w:t>
            </w:r>
          </w:p>
        </w:tc>
      </w:tr>
      <w:tr w:rsidR="00955953" w:rsidRPr="00F91CFC" w14:paraId="340F5D11" w14:textId="77777777" w:rsidTr="00FA3F23">
        <w:tc>
          <w:tcPr>
            <w:tcW w:w="665" w:type="dxa"/>
          </w:tcPr>
          <w:p w14:paraId="02817971" w14:textId="77777777" w:rsidR="00955953" w:rsidRPr="00F91CFC" w:rsidRDefault="00955953" w:rsidP="00F347FD">
            <w:pPr>
              <w:pStyle w:val="CBDNormalNumber"/>
              <w:numPr>
                <w:ilvl w:val="0"/>
                <w:numId w:val="0"/>
              </w:numPr>
              <w:rPr>
                <w:sz w:val="20"/>
                <w:szCs w:val="20"/>
              </w:rPr>
            </w:pPr>
            <w:r w:rsidRPr="00F91CFC">
              <w:rPr>
                <w:sz w:val="20"/>
              </w:rPr>
              <w:t>9</w:t>
            </w:r>
          </w:p>
        </w:tc>
        <w:tc>
          <w:tcPr>
            <w:tcW w:w="2478" w:type="dxa"/>
          </w:tcPr>
          <w:p w14:paraId="3C1C8E89" w14:textId="302230A1" w:rsidR="00955953" w:rsidRPr="00F91CFC" w:rsidRDefault="00955953" w:rsidP="00826AED">
            <w:pPr>
              <w:pStyle w:val="CBDNormalNumber"/>
              <w:keepNext/>
              <w:numPr>
                <w:ilvl w:val="0"/>
                <w:numId w:val="0"/>
              </w:numPr>
              <w:jc w:val="left"/>
              <w:rPr>
                <w:sz w:val="20"/>
                <w:szCs w:val="20"/>
              </w:rPr>
            </w:pPr>
            <w:r w:rsidRPr="00F91CFC">
              <w:rPr>
                <w:sz w:val="20"/>
              </w:rPr>
              <w:t xml:space="preserve">Una estructura de gobernanza equitativa, eficiente y representativa, </w:t>
            </w:r>
            <w:r w:rsidRPr="00F91CFC">
              <w:rPr>
                <w:b/>
                <w:bCs/>
                <w:sz w:val="20"/>
              </w:rPr>
              <w:t>que garantice en particular la participación plena y efectiva de los pueblos indígenas y las comunidades locales</w:t>
            </w:r>
          </w:p>
        </w:tc>
        <w:tc>
          <w:tcPr>
            <w:tcW w:w="2912" w:type="dxa"/>
          </w:tcPr>
          <w:p w14:paraId="2E94F73D" w14:textId="6A3A6380" w:rsidR="00955953" w:rsidRPr="00F91CFC" w:rsidRDefault="00955953" w:rsidP="00826AED">
            <w:pPr>
              <w:pStyle w:val="CBDNormalNumber"/>
              <w:keepNext/>
              <w:numPr>
                <w:ilvl w:val="0"/>
                <w:numId w:val="0"/>
              </w:numPr>
              <w:jc w:val="left"/>
              <w:rPr>
                <w:sz w:val="20"/>
                <w:szCs w:val="20"/>
              </w:rPr>
            </w:pPr>
            <w:r w:rsidRPr="00F91CFC">
              <w:rPr>
                <w:sz w:val="20"/>
              </w:rPr>
              <w:t xml:space="preserve">El texto en negrita está esencialmente recogido en el criterio 21 c) de la decisión </w:t>
            </w:r>
            <w:hyperlink r:id="rId48" w:history="1">
              <w:r w:rsidRPr="00F91CFC">
                <w:rPr>
                  <w:rStyle w:val="Hipervnculo"/>
                  <w:sz w:val="20"/>
                </w:rPr>
                <w:t>16/34</w:t>
              </w:r>
            </w:hyperlink>
            <w:r w:rsidRPr="00F91CFC">
              <w:rPr>
                <w:sz w:val="20"/>
              </w:rPr>
              <w:t>, donde la “participación plena y efectiva de los pueblos indígenas y las comunidades locales” queda incluida en el término “inclusiva”:</w:t>
            </w:r>
          </w:p>
          <w:p w14:paraId="23DDA4FF" w14:textId="5B6C6CDB" w:rsidR="00955953" w:rsidRPr="00F91CFC" w:rsidRDefault="00C2730B" w:rsidP="00826AED">
            <w:pPr>
              <w:pStyle w:val="CBDNormalNumber"/>
              <w:keepNext/>
              <w:numPr>
                <w:ilvl w:val="0"/>
                <w:numId w:val="0"/>
              </w:numPr>
              <w:jc w:val="left"/>
              <w:rPr>
                <w:sz w:val="20"/>
                <w:szCs w:val="20"/>
              </w:rPr>
            </w:pPr>
            <w:r w:rsidRPr="00F91CFC">
              <w:rPr>
                <w:sz w:val="20"/>
              </w:rPr>
              <w:t>“c)</w:t>
            </w:r>
            <w:r w:rsidRPr="00F91CFC">
              <w:rPr>
                <w:sz w:val="20"/>
              </w:rPr>
              <w:tab/>
              <w:t xml:space="preserve">Funciona dentro de un sistema de gobernanza democrático y transparente, garantizando una estructura que es justa, equitativa, </w:t>
            </w:r>
            <w:r w:rsidRPr="00F91CFC">
              <w:rPr>
                <w:b/>
                <w:bCs/>
                <w:sz w:val="20"/>
              </w:rPr>
              <w:t>inclusiva</w:t>
            </w:r>
            <w:r w:rsidRPr="00F91CFC">
              <w:rPr>
                <w:sz w:val="20"/>
              </w:rPr>
              <w:t>, eficiente y representativa;”</w:t>
            </w:r>
          </w:p>
        </w:tc>
        <w:tc>
          <w:tcPr>
            <w:tcW w:w="2728" w:type="dxa"/>
          </w:tcPr>
          <w:p w14:paraId="090F8935" w14:textId="4CE90A51" w:rsidR="00955953" w:rsidRPr="00F91CFC" w:rsidRDefault="00955953" w:rsidP="00826AED">
            <w:pPr>
              <w:pStyle w:val="CBDNormalNumber"/>
              <w:keepNext/>
              <w:numPr>
                <w:ilvl w:val="0"/>
                <w:numId w:val="0"/>
              </w:numPr>
              <w:jc w:val="left"/>
              <w:rPr>
                <w:sz w:val="20"/>
                <w:szCs w:val="20"/>
              </w:rPr>
            </w:pPr>
            <w:r w:rsidRPr="00F91CFC">
              <w:rPr>
                <w:sz w:val="20"/>
              </w:rPr>
              <w:t>Seguir considerando si se requiere la referencia explícita a “la participación plena y efectiva de los pueblos indígenas y las comunidades locales” o si el término “inclusiva” que figura en el criterio c) resulta suficiente</w:t>
            </w:r>
          </w:p>
        </w:tc>
      </w:tr>
      <w:tr w:rsidR="00955953" w:rsidRPr="00F91CFC" w14:paraId="78B07167" w14:textId="77777777" w:rsidTr="00FA3F23">
        <w:tc>
          <w:tcPr>
            <w:tcW w:w="665" w:type="dxa"/>
          </w:tcPr>
          <w:p w14:paraId="4C723276" w14:textId="77777777" w:rsidR="00955953" w:rsidRPr="00F91CFC" w:rsidRDefault="00955953" w:rsidP="00F347FD">
            <w:pPr>
              <w:pStyle w:val="CBDNormalNumber"/>
              <w:numPr>
                <w:ilvl w:val="0"/>
                <w:numId w:val="0"/>
              </w:numPr>
              <w:rPr>
                <w:sz w:val="20"/>
                <w:szCs w:val="20"/>
              </w:rPr>
            </w:pPr>
            <w:r w:rsidRPr="00F91CFC">
              <w:rPr>
                <w:sz w:val="20"/>
              </w:rPr>
              <w:t>10</w:t>
            </w:r>
          </w:p>
        </w:tc>
        <w:tc>
          <w:tcPr>
            <w:tcW w:w="2478" w:type="dxa"/>
          </w:tcPr>
          <w:p w14:paraId="5406B82D" w14:textId="233DA2F0" w:rsidR="00955953" w:rsidRPr="00F91CFC" w:rsidRDefault="00955953" w:rsidP="00826AED">
            <w:pPr>
              <w:pStyle w:val="CBDNormalNumber"/>
              <w:keepNext/>
              <w:numPr>
                <w:ilvl w:val="0"/>
                <w:numId w:val="0"/>
              </w:numPr>
              <w:jc w:val="left"/>
              <w:rPr>
                <w:sz w:val="20"/>
                <w:szCs w:val="20"/>
              </w:rPr>
            </w:pPr>
            <w:r w:rsidRPr="00F91CFC">
              <w:rPr>
                <w:sz w:val="20"/>
              </w:rPr>
              <w:t xml:space="preserve">Suministro de recursos financieros a </w:t>
            </w:r>
            <w:r w:rsidRPr="00F91CFC">
              <w:rPr>
                <w:b/>
                <w:bCs/>
                <w:sz w:val="20"/>
              </w:rPr>
              <w:t>las Partes que son países en desarrollo, en particular los países menos adelantados y los pequeños Estados insulares en desarrollo, así como los países con economías en transición</w:t>
            </w:r>
            <w:r w:rsidRPr="00F91CFC">
              <w:rPr>
                <w:sz w:val="20"/>
              </w:rPr>
              <w:t>, en respuesta a sus necesidades y prioridades</w:t>
            </w:r>
          </w:p>
        </w:tc>
        <w:tc>
          <w:tcPr>
            <w:tcW w:w="2912" w:type="dxa"/>
          </w:tcPr>
          <w:p w14:paraId="20D471FD" w14:textId="4175D1DD" w:rsidR="00955953" w:rsidRPr="00F91CFC" w:rsidRDefault="00955953" w:rsidP="00826AED">
            <w:pPr>
              <w:pStyle w:val="CBDNormalNumber"/>
              <w:keepNext/>
              <w:numPr>
                <w:ilvl w:val="0"/>
                <w:numId w:val="0"/>
              </w:numPr>
              <w:jc w:val="left"/>
              <w:rPr>
                <w:sz w:val="20"/>
                <w:szCs w:val="20"/>
              </w:rPr>
            </w:pPr>
            <w:r w:rsidRPr="00F91CFC">
              <w:rPr>
                <w:sz w:val="20"/>
              </w:rPr>
              <w:t>El texto en negrita, relativo a los destinatarios de los recursos financieros, queda recogido esencialmente en la referencia a “todas las Partes [...] que reúnan las condiciones” del criterio 21 d):</w:t>
            </w:r>
          </w:p>
          <w:p w14:paraId="1125B002" w14:textId="1C45E6B9" w:rsidR="00955953" w:rsidRPr="00F91CFC" w:rsidRDefault="00FA3F23" w:rsidP="00826AED">
            <w:pPr>
              <w:pStyle w:val="CBDNormalNumber"/>
              <w:keepNext/>
              <w:numPr>
                <w:ilvl w:val="0"/>
                <w:numId w:val="0"/>
              </w:numPr>
              <w:jc w:val="left"/>
              <w:rPr>
                <w:sz w:val="20"/>
                <w:szCs w:val="20"/>
              </w:rPr>
            </w:pPr>
            <w:r w:rsidRPr="00F91CFC">
              <w:rPr>
                <w:sz w:val="20"/>
              </w:rPr>
              <w:t>“d)</w:t>
            </w:r>
            <w:r w:rsidRPr="00F91CFC">
              <w:rPr>
                <w:sz w:val="20"/>
              </w:rPr>
              <w:tab/>
              <w:t xml:space="preserve">Es accesible para </w:t>
            </w:r>
            <w:r w:rsidRPr="00F91CFC">
              <w:rPr>
                <w:b/>
                <w:bCs/>
                <w:sz w:val="20"/>
              </w:rPr>
              <w:t>todas las Partes en el Convenio que reúnan las condiciones</w:t>
            </w:r>
            <w:r w:rsidRPr="00F91CFC">
              <w:rPr>
                <w:sz w:val="20"/>
              </w:rPr>
              <w:t xml:space="preserve"> de manera justa, oportuna, simplificada, equitativa, inclusiva y no discriminatoria;”</w:t>
            </w:r>
          </w:p>
        </w:tc>
        <w:tc>
          <w:tcPr>
            <w:tcW w:w="2728" w:type="dxa"/>
          </w:tcPr>
          <w:p w14:paraId="6DDDFFEF" w14:textId="1E292560" w:rsidR="00955953" w:rsidRPr="00F91CFC" w:rsidRDefault="00955953" w:rsidP="00826AED">
            <w:pPr>
              <w:pStyle w:val="CBDNormalNumber"/>
              <w:keepNext/>
              <w:numPr>
                <w:ilvl w:val="0"/>
                <w:numId w:val="0"/>
              </w:numPr>
              <w:jc w:val="left"/>
              <w:rPr>
                <w:sz w:val="20"/>
                <w:szCs w:val="20"/>
              </w:rPr>
            </w:pPr>
            <w:r w:rsidRPr="00F91CFC">
              <w:rPr>
                <w:sz w:val="20"/>
              </w:rPr>
              <w:t>Seguir considerando si se requiere la expresión “las Partes que son países en desarrollo, en particular los países menos adelantados y los pequeños Estados insulares en desarrollo, así como los países con economías en transición” o si se utiliza la expresión “todas las Partes [...] que reúnan las condiciones”</w:t>
            </w:r>
          </w:p>
        </w:tc>
      </w:tr>
      <w:tr w:rsidR="00955953" w:rsidRPr="00F91CFC" w14:paraId="3E4E72AD" w14:textId="77777777" w:rsidTr="00E10B69">
        <w:trPr>
          <w:cantSplit/>
        </w:trPr>
        <w:tc>
          <w:tcPr>
            <w:tcW w:w="665" w:type="dxa"/>
          </w:tcPr>
          <w:p w14:paraId="23FB66BE" w14:textId="77777777" w:rsidR="00955953" w:rsidRPr="00F91CFC" w:rsidRDefault="00955953" w:rsidP="00F347FD">
            <w:pPr>
              <w:pStyle w:val="CBDNormalNumber"/>
              <w:numPr>
                <w:ilvl w:val="0"/>
                <w:numId w:val="0"/>
              </w:numPr>
              <w:rPr>
                <w:sz w:val="20"/>
                <w:szCs w:val="20"/>
              </w:rPr>
            </w:pPr>
            <w:r w:rsidRPr="00F91CFC">
              <w:rPr>
                <w:sz w:val="20"/>
              </w:rPr>
              <w:lastRenderedPageBreak/>
              <w:t>18</w:t>
            </w:r>
          </w:p>
        </w:tc>
        <w:tc>
          <w:tcPr>
            <w:tcW w:w="2478" w:type="dxa"/>
          </w:tcPr>
          <w:p w14:paraId="7EA15745" w14:textId="2B8B9D75" w:rsidR="00955953" w:rsidRPr="00F91CFC" w:rsidRDefault="00955953" w:rsidP="00826AED">
            <w:pPr>
              <w:pStyle w:val="CBDNormalNumber"/>
              <w:keepNext/>
              <w:numPr>
                <w:ilvl w:val="0"/>
                <w:numId w:val="0"/>
              </w:numPr>
              <w:jc w:val="left"/>
              <w:rPr>
                <w:b/>
                <w:bCs/>
                <w:sz w:val="20"/>
                <w:szCs w:val="20"/>
              </w:rPr>
            </w:pPr>
            <w:r w:rsidRPr="00F91CFC">
              <w:rPr>
                <w:b/>
                <w:sz w:val="20"/>
              </w:rPr>
              <w:t>Capacidad para capitalizar las sinergias entre el apoyo a la acción en favor de la biodiversidad y el apoyo a la acción destinada a abordar otros desafíos ambientales conexos</w:t>
            </w:r>
          </w:p>
        </w:tc>
        <w:tc>
          <w:tcPr>
            <w:tcW w:w="2912" w:type="dxa"/>
          </w:tcPr>
          <w:p w14:paraId="0E9DE084" w14:textId="26245338" w:rsidR="00955953" w:rsidRPr="00F91CFC" w:rsidRDefault="00955953" w:rsidP="00826AED">
            <w:pPr>
              <w:pStyle w:val="CBDNormalNumber"/>
              <w:keepNext/>
              <w:numPr>
                <w:ilvl w:val="0"/>
                <w:numId w:val="0"/>
              </w:numPr>
              <w:jc w:val="left"/>
              <w:rPr>
                <w:sz w:val="20"/>
                <w:szCs w:val="20"/>
              </w:rPr>
            </w:pPr>
            <w:r w:rsidRPr="00F91CFC">
              <w:rPr>
                <w:sz w:val="20"/>
              </w:rPr>
              <w:t>El texto en negrita queda recogido de forma más genérica en el término “eficiente” en el criterio 21 c):</w:t>
            </w:r>
          </w:p>
          <w:p w14:paraId="59BAD189" w14:textId="2D18032F" w:rsidR="00955953" w:rsidRPr="00F91CFC" w:rsidRDefault="00FA3F23" w:rsidP="00826AED">
            <w:pPr>
              <w:pStyle w:val="CBDNormalNumber"/>
              <w:keepNext/>
              <w:numPr>
                <w:ilvl w:val="0"/>
                <w:numId w:val="0"/>
              </w:numPr>
              <w:jc w:val="left"/>
              <w:rPr>
                <w:sz w:val="20"/>
                <w:szCs w:val="20"/>
              </w:rPr>
            </w:pPr>
            <w:r w:rsidRPr="00F91CFC">
              <w:rPr>
                <w:sz w:val="20"/>
              </w:rPr>
              <w:t>“c)</w:t>
            </w:r>
            <w:r w:rsidRPr="00F91CFC">
              <w:rPr>
                <w:sz w:val="20"/>
              </w:rPr>
              <w:tab/>
              <w:t xml:space="preserve">Funciona dentro de un sistema de gobernanza democrático y transparente, garantizando una estructura que es justa, equitativa, inclusiva, </w:t>
            </w:r>
            <w:r w:rsidRPr="00F91CFC">
              <w:rPr>
                <w:b/>
                <w:bCs/>
                <w:sz w:val="20"/>
              </w:rPr>
              <w:t>eficiente</w:t>
            </w:r>
            <w:r w:rsidRPr="00F91CFC">
              <w:rPr>
                <w:sz w:val="20"/>
              </w:rPr>
              <w:t xml:space="preserve"> y representativa;”</w:t>
            </w:r>
          </w:p>
        </w:tc>
        <w:tc>
          <w:tcPr>
            <w:tcW w:w="2728" w:type="dxa"/>
          </w:tcPr>
          <w:p w14:paraId="6F056DB4" w14:textId="5A994A48" w:rsidR="00955953" w:rsidRPr="00F91CFC" w:rsidRDefault="00955953" w:rsidP="00826AED">
            <w:pPr>
              <w:pStyle w:val="CBDNormalNumber"/>
              <w:keepNext/>
              <w:numPr>
                <w:ilvl w:val="0"/>
                <w:numId w:val="0"/>
              </w:numPr>
              <w:rPr>
                <w:sz w:val="20"/>
                <w:szCs w:val="20"/>
              </w:rPr>
            </w:pPr>
            <w:r w:rsidRPr="00F91CFC">
              <w:rPr>
                <w:sz w:val="20"/>
              </w:rPr>
              <w:t>Considerar si la referencia explícita a las sinergias es necesaria o si el término “eficiente” resulta suficiente</w:t>
            </w:r>
          </w:p>
        </w:tc>
      </w:tr>
    </w:tbl>
    <w:p w14:paraId="63DC30BC" w14:textId="194E2216" w:rsidR="00FA3F23" w:rsidRPr="00F91CFC" w:rsidRDefault="00FA3F23" w:rsidP="00F347FD">
      <w:pPr>
        <w:pStyle w:val="CBDNormalNumber"/>
        <w:keepNext/>
        <w:numPr>
          <w:ilvl w:val="0"/>
          <w:numId w:val="0"/>
        </w:numPr>
        <w:ind w:left="720"/>
        <w:jc w:val="left"/>
      </w:pPr>
      <w:r w:rsidRPr="00F91CFC">
        <w:rPr>
          <w:i/>
          <w:sz w:val="18"/>
          <w:vertAlign w:val="superscript"/>
        </w:rPr>
        <w:t>a</w:t>
      </w:r>
      <w:r w:rsidRPr="00F91CFC">
        <w:rPr>
          <w:i/>
          <w:sz w:val="18"/>
        </w:rPr>
        <w:tab/>
      </w:r>
      <w:r w:rsidRPr="00F91CFC">
        <w:rPr>
          <w:sz w:val="18"/>
        </w:rPr>
        <w:t xml:space="preserve">Puntos del anexo II de la decisión </w:t>
      </w:r>
      <w:hyperlink r:id="rId49" w:history="1">
        <w:r w:rsidRPr="00F91CFC">
          <w:rPr>
            <w:rStyle w:val="Hipervnculo"/>
            <w:sz w:val="18"/>
          </w:rPr>
          <w:t>16/34</w:t>
        </w:r>
      </w:hyperlink>
      <w:r w:rsidRPr="00F91CFC">
        <w:rPr>
          <w:sz w:val="18"/>
        </w:rPr>
        <w:t>.</w:t>
      </w:r>
      <w:r w:rsidRPr="00F91CFC">
        <w:rPr>
          <w:sz w:val="18"/>
        </w:rPr>
        <w:br/>
      </w:r>
      <w:r w:rsidRPr="00F91CFC">
        <w:rPr>
          <w:i/>
          <w:sz w:val="18"/>
          <w:vertAlign w:val="superscript"/>
        </w:rPr>
        <w:t>b</w:t>
      </w:r>
      <w:r w:rsidRPr="00F91CFC">
        <w:rPr>
          <w:sz w:val="18"/>
        </w:rPr>
        <w:tab/>
        <w:t>Véase el cuadro que figura en el anexo del documento CBD/SBI/7/3/Add.3 para consultar un análisis más detallado.</w:t>
      </w:r>
    </w:p>
    <w:p w14:paraId="62921A0E" w14:textId="3E827C81" w:rsidR="00955953" w:rsidRPr="00F91CFC" w:rsidRDefault="00955953" w:rsidP="00F347FD">
      <w:pPr>
        <w:pStyle w:val="CBDNormalNumber"/>
        <w:ind w:left="567"/>
      </w:pPr>
      <w:r w:rsidRPr="00F91CFC">
        <w:t xml:space="preserve">Los puntos que figuran en el Cuadro 3 a continuación no están incluidos en la lista que figura en el párrafo 21 de la decisión </w:t>
      </w:r>
      <w:hyperlink r:id="rId50" w:history="1">
        <w:r w:rsidRPr="00F91CFC">
          <w:rPr>
            <w:rStyle w:val="Hipervnculo"/>
          </w:rPr>
          <w:t>16/34</w:t>
        </w:r>
      </w:hyperlink>
      <w:r w:rsidRPr="00F91CFC">
        <w:t xml:space="preserve"> y no se reflejan en los artículos pertinentes del Convenio. También existen solapamientos entre determinados puntos, por lo que el Órgano Subsidiario tal vez desee considerarlos en conjunto.</w:t>
      </w:r>
    </w:p>
    <w:p w14:paraId="2487E6AE" w14:textId="009EEC27" w:rsidR="00EC53DF" w:rsidRPr="00F91CFC" w:rsidRDefault="00EC53DF" w:rsidP="007E4F27">
      <w:pPr>
        <w:pStyle w:val="CBDNormalNumber"/>
        <w:keepNext/>
        <w:keepLines/>
        <w:numPr>
          <w:ilvl w:val="0"/>
          <w:numId w:val="0"/>
        </w:numPr>
        <w:ind w:left="567"/>
        <w:jc w:val="left"/>
      </w:pPr>
      <w:r w:rsidRPr="00F91CFC">
        <w:t>Cuadro 3</w:t>
      </w:r>
      <w:r w:rsidRPr="00F91CFC">
        <w:br/>
      </w:r>
      <w:r w:rsidRPr="00F91CFC">
        <w:rPr>
          <w:b/>
        </w:rPr>
        <w:t>Puntos o elementos de puntos que no se reflejan en el Convenio y no se han</w:t>
      </w:r>
    </w:p>
    <w:tbl>
      <w:tblPr>
        <w:tblStyle w:val="Tablaconcuadrcula"/>
        <w:tblW w:w="0" w:type="auto"/>
        <w:tblInd w:w="567" w:type="dxa"/>
        <w:tblLook w:val="04A0" w:firstRow="1" w:lastRow="0" w:firstColumn="1" w:lastColumn="0" w:noHBand="0" w:noVBand="1"/>
      </w:tblPr>
      <w:tblGrid>
        <w:gridCol w:w="961"/>
        <w:gridCol w:w="4052"/>
        <w:gridCol w:w="3770"/>
      </w:tblGrid>
      <w:tr w:rsidR="00955953" w:rsidRPr="00F91CFC" w14:paraId="0786CCF4" w14:textId="77777777" w:rsidTr="00F347FD">
        <w:trPr>
          <w:tblHeader/>
        </w:trPr>
        <w:tc>
          <w:tcPr>
            <w:tcW w:w="961" w:type="dxa"/>
          </w:tcPr>
          <w:p w14:paraId="19FE88AB" w14:textId="6BD635F5" w:rsidR="00955953" w:rsidRPr="00F91CFC" w:rsidRDefault="00222EB4" w:rsidP="007E4F27">
            <w:pPr>
              <w:pStyle w:val="CBDNormalNumber"/>
              <w:keepNext/>
              <w:keepLines/>
              <w:numPr>
                <w:ilvl w:val="0"/>
                <w:numId w:val="0"/>
              </w:numPr>
              <w:rPr>
                <w:i/>
                <w:iCs/>
                <w:sz w:val="20"/>
                <w:szCs w:val="20"/>
              </w:rPr>
            </w:pPr>
            <w:r w:rsidRPr="00F91CFC">
              <w:rPr>
                <w:i/>
                <w:sz w:val="20"/>
              </w:rPr>
              <w:t>Punto núm.</w:t>
            </w:r>
            <w:r w:rsidRPr="00F91CFC">
              <w:rPr>
                <w:i/>
                <w:sz w:val="20"/>
                <w:vertAlign w:val="superscript"/>
              </w:rPr>
              <w:t>a</w:t>
            </w:r>
          </w:p>
        </w:tc>
        <w:tc>
          <w:tcPr>
            <w:tcW w:w="4052" w:type="dxa"/>
          </w:tcPr>
          <w:p w14:paraId="54CDCC15" w14:textId="13E0F523" w:rsidR="00955953" w:rsidRPr="00F91CFC" w:rsidRDefault="00955953" w:rsidP="007E4F27">
            <w:pPr>
              <w:pStyle w:val="CBDNormalNumber"/>
              <w:keepNext/>
              <w:keepLines/>
              <w:numPr>
                <w:ilvl w:val="0"/>
                <w:numId w:val="0"/>
              </w:numPr>
              <w:rPr>
                <w:i/>
                <w:iCs/>
                <w:sz w:val="20"/>
                <w:szCs w:val="20"/>
              </w:rPr>
            </w:pPr>
            <w:r w:rsidRPr="00F91CFC">
              <w:rPr>
                <w:i/>
                <w:sz w:val="20"/>
              </w:rPr>
              <w:t>Punto</w:t>
            </w:r>
          </w:p>
        </w:tc>
        <w:tc>
          <w:tcPr>
            <w:tcW w:w="3770" w:type="dxa"/>
          </w:tcPr>
          <w:p w14:paraId="761B11CD" w14:textId="77777777" w:rsidR="00955953" w:rsidRPr="00F91CFC" w:rsidRDefault="00955953" w:rsidP="007E4F27">
            <w:pPr>
              <w:pStyle w:val="CBDNormalNumber"/>
              <w:keepNext/>
              <w:keepLines/>
              <w:numPr>
                <w:ilvl w:val="0"/>
                <w:numId w:val="0"/>
              </w:numPr>
              <w:rPr>
                <w:i/>
                <w:iCs/>
                <w:sz w:val="20"/>
                <w:szCs w:val="20"/>
              </w:rPr>
            </w:pPr>
            <w:r w:rsidRPr="00F91CFC">
              <w:rPr>
                <w:i/>
                <w:sz w:val="20"/>
              </w:rPr>
              <w:t>Medida sugerida</w:t>
            </w:r>
          </w:p>
        </w:tc>
      </w:tr>
      <w:tr w:rsidR="00955953" w:rsidRPr="00F91CFC" w14:paraId="3F6CDFD6" w14:textId="77777777" w:rsidTr="00F347FD">
        <w:tc>
          <w:tcPr>
            <w:tcW w:w="961" w:type="dxa"/>
            <w:tcBorders>
              <w:bottom w:val="nil"/>
            </w:tcBorders>
          </w:tcPr>
          <w:p w14:paraId="59715A45" w14:textId="19B5460E" w:rsidR="00955953" w:rsidRPr="00F91CFC" w:rsidRDefault="00955953" w:rsidP="007E4F27">
            <w:pPr>
              <w:pStyle w:val="CBDNormalNumber"/>
              <w:keepNext/>
              <w:keepLines/>
              <w:numPr>
                <w:ilvl w:val="0"/>
                <w:numId w:val="0"/>
              </w:numPr>
              <w:jc w:val="left"/>
              <w:rPr>
                <w:sz w:val="20"/>
                <w:szCs w:val="20"/>
              </w:rPr>
            </w:pPr>
            <w:r w:rsidRPr="00F91CFC">
              <w:rPr>
                <w:sz w:val="20"/>
              </w:rPr>
              <w:t>10</w:t>
            </w:r>
          </w:p>
        </w:tc>
        <w:tc>
          <w:tcPr>
            <w:tcW w:w="4052" w:type="dxa"/>
            <w:tcBorders>
              <w:bottom w:val="nil"/>
            </w:tcBorders>
          </w:tcPr>
          <w:p w14:paraId="47F51C72" w14:textId="0B5CCFA7" w:rsidR="00955953" w:rsidRPr="00F91CFC" w:rsidRDefault="00955953" w:rsidP="007E4F27">
            <w:pPr>
              <w:pStyle w:val="CBDNormalNumber"/>
              <w:keepNext/>
              <w:keepLines/>
              <w:numPr>
                <w:ilvl w:val="0"/>
                <w:numId w:val="0"/>
              </w:numPr>
              <w:jc w:val="left"/>
              <w:rPr>
                <w:sz w:val="20"/>
                <w:szCs w:val="20"/>
              </w:rPr>
            </w:pPr>
            <w:r w:rsidRPr="00F91CFC">
              <w:rPr>
                <w:sz w:val="20"/>
              </w:rPr>
              <w:t xml:space="preserve">Suministro de recursos financieros a las Partes que son países en desarrollo, en particular los países menos adelantados y los pequeños Estados insulares en desarrollo, así como los países con economías en transición, </w:t>
            </w:r>
            <w:r w:rsidRPr="00F91CFC">
              <w:rPr>
                <w:b/>
                <w:bCs/>
                <w:sz w:val="20"/>
              </w:rPr>
              <w:t>en respuesta a sus necesidades y prioridades</w:t>
            </w:r>
          </w:p>
        </w:tc>
        <w:tc>
          <w:tcPr>
            <w:tcW w:w="3770" w:type="dxa"/>
            <w:tcBorders>
              <w:bottom w:val="nil"/>
            </w:tcBorders>
          </w:tcPr>
          <w:p w14:paraId="21511A5B" w14:textId="45912649" w:rsidR="00955953" w:rsidRPr="00F91CFC" w:rsidRDefault="00D26DAF" w:rsidP="007E4F27">
            <w:pPr>
              <w:pStyle w:val="CBDNormalNumber"/>
              <w:keepNext/>
              <w:keepLines/>
              <w:numPr>
                <w:ilvl w:val="0"/>
                <w:numId w:val="0"/>
              </w:numPr>
              <w:jc w:val="left"/>
              <w:rPr>
                <w:sz w:val="20"/>
                <w:szCs w:val="20"/>
              </w:rPr>
            </w:pPr>
            <w:r w:rsidRPr="00F91CFC">
              <w:rPr>
                <w:sz w:val="20"/>
              </w:rPr>
              <w:t>El texto que no aparece en negrita ya está esencialmente recogido en el criterio 21 d). Seguir considerando la conveniencia de incluir el concepto que figura en el texto en negrita y, en ese caso, decidir cuál es la formulación preferida</w:t>
            </w:r>
          </w:p>
        </w:tc>
      </w:tr>
      <w:tr w:rsidR="00851CA2" w:rsidRPr="00F91CFC" w14:paraId="1410F0F5" w14:textId="77777777" w:rsidTr="00F347FD">
        <w:tc>
          <w:tcPr>
            <w:tcW w:w="961" w:type="dxa"/>
            <w:tcBorders>
              <w:top w:val="nil"/>
              <w:bottom w:val="nil"/>
            </w:tcBorders>
          </w:tcPr>
          <w:p w14:paraId="78C3B953" w14:textId="538B5110" w:rsidR="00851CA2" w:rsidRPr="00F91CFC" w:rsidRDefault="00851CA2">
            <w:pPr>
              <w:pStyle w:val="CBDNormalNumber"/>
              <w:numPr>
                <w:ilvl w:val="0"/>
                <w:numId w:val="0"/>
              </w:numPr>
              <w:jc w:val="left"/>
              <w:rPr>
                <w:sz w:val="20"/>
                <w:szCs w:val="20"/>
              </w:rPr>
            </w:pPr>
            <w:r w:rsidRPr="00F91CFC">
              <w:rPr>
                <w:sz w:val="20"/>
              </w:rPr>
              <w:t>12</w:t>
            </w:r>
          </w:p>
        </w:tc>
        <w:tc>
          <w:tcPr>
            <w:tcW w:w="4052" w:type="dxa"/>
            <w:tcBorders>
              <w:top w:val="nil"/>
              <w:bottom w:val="nil"/>
            </w:tcBorders>
          </w:tcPr>
          <w:p w14:paraId="07A995D9" w14:textId="22511C71" w:rsidR="00851CA2" w:rsidRPr="00F91CFC" w:rsidRDefault="00851CA2" w:rsidP="00851CA2">
            <w:pPr>
              <w:pStyle w:val="CBDNormalNumber"/>
              <w:numPr>
                <w:ilvl w:val="0"/>
                <w:numId w:val="0"/>
              </w:numPr>
              <w:jc w:val="left"/>
              <w:rPr>
                <w:sz w:val="20"/>
                <w:szCs w:val="20"/>
              </w:rPr>
            </w:pPr>
            <w:r w:rsidRPr="00F91CFC">
              <w:rPr>
                <w:sz w:val="20"/>
              </w:rPr>
              <w:t>Dependencia de organismos nacionales de ejecución</w:t>
            </w:r>
          </w:p>
        </w:tc>
        <w:tc>
          <w:tcPr>
            <w:tcW w:w="3770" w:type="dxa"/>
            <w:tcBorders>
              <w:top w:val="nil"/>
              <w:bottom w:val="nil"/>
            </w:tcBorders>
          </w:tcPr>
          <w:p w14:paraId="0FE66081" w14:textId="4CE1E197" w:rsidR="00851CA2" w:rsidRPr="00F91CFC" w:rsidRDefault="00A0275A">
            <w:pPr>
              <w:pStyle w:val="CBDNormalNumber"/>
              <w:numPr>
                <w:ilvl w:val="0"/>
                <w:numId w:val="0"/>
              </w:numPr>
              <w:jc w:val="left"/>
              <w:rPr>
                <w:sz w:val="20"/>
                <w:szCs w:val="20"/>
              </w:rPr>
            </w:pPr>
            <w:r w:rsidRPr="00F91CFC">
              <w:rPr>
                <w:sz w:val="20"/>
              </w:rPr>
              <w:t>Seguir considerando la conveniencia de su inclusión y, en ese caso, decidir cuál es la formulación preferida</w:t>
            </w:r>
          </w:p>
        </w:tc>
      </w:tr>
      <w:tr w:rsidR="00851CA2" w:rsidRPr="00F91CFC" w14:paraId="30D8A2AF" w14:textId="77777777" w:rsidTr="00F347FD">
        <w:tc>
          <w:tcPr>
            <w:tcW w:w="961" w:type="dxa"/>
            <w:tcBorders>
              <w:top w:val="nil"/>
            </w:tcBorders>
          </w:tcPr>
          <w:p w14:paraId="047D4D69" w14:textId="27891104" w:rsidR="00851CA2" w:rsidRPr="00F91CFC" w:rsidRDefault="00851CA2">
            <w:pPr>
              <w:pStyle w:val="CBDNormalNumber"/>
              <w:numPr>
                <w:ilvl w:val="0"/>
                <w:numId w:val="0"/>
              </w:numPr>
              <w:jc w:val="left"/>
              <w:rPr>
                <w:sz w:val="20"/>
                <w:szCs w:val="20"/>
              </w:rPr>
            </w:pPr>
            <w:r w:rsidRPr="00F91CFC">
              <w:rPr>
                <w:sz w:val="20"/>
              </w:rPr>
              <w:t>13</w:t>
            </w:r>
          </w:p>
        </w:tc>
        <w:tc>
          <w:tcPr>
            <w:tcW w:w="4052" w:type="dxa"/>
            <w:tcBorders>
              <w:top w:val="nil"/>
            </w:tcBorders>
          </w:tcPr>
          <w:p w14:paraId="560F6745" w14:textId="001AC327" w:rsidR="00851CA2" w:rsidRPr="00F91CFC" w:rsidRDefault="00851CA2">
            <w:pPr>
              <w:pStyle w:val="CBDNormalNumber"/>
              <w:numPr>
                <w:ilvl w:val="0"/>
                <w:numId w:val="0"/>
              </w:numPr>
              <w:jc w:val="left"/>
              <w:rPr>
                <w:sz w:val="20"/>
                <w:szCs w:val="20"/>
              </w:rPr>
            </w:pPr>
            <w:r w:rsidRPr="00F91CFC">
              <w:rPr>
                <w:sz w:val="20"/>
              </w:rPr>
              <w:t>Participación e implicación de las autoridades competentes del país receptor en todas las fases del proceso de asignación de fondos, incluidos el desarrollo y la ejecución de los proyectos</w:t>
            </w:r>
          </w:p>
        </w:tc>
        <w:tc>
          <w:tcPr>
            <w:tcW w:w="3770" w:type="dxa"/>
            <w:tcBorders>
              <w:top w:val="nil"/>
            </w:tcBorders>
          </w:tcPr>
          <w:p w14:paraId="27F9AFC3" w14:textId="10013E82" w:rsidR="00851CA2" w:rsidRPr="00F91CFC" w:rsidRDefault="00A0275A">
            <w:pPr>
              <w:pStyle w:val="CBDNormalNumber"/>
              <w:numPr>
                <w:ilvl w:val="0"/>
                <w:numId w:val="0"/>
              </w:numPr>
              <w:jc w:val="left"/>
              <w:rPr>
                <w:b/>
                <w:bCs/>
                <w:sz w:val="20"/>
                <w:szCs w:val="20"/>
              </w:rPr>
            </w:pPr>
            <w:r w:rsidRPr="00F91CFC">
              <w:rPr>
                <w:sz w:val="20"/>
              </w:rPr>
              <w:t>Seguir considerando la conveniencia de su inclusión y, en ese caso, decidir cuál es la formulación preferida</w:t>
            </w:r>
          </w:p>
        </w:tc>
      </w:tr>
      <w:tr w:rsidR="00955953" w:rsidRPr="00F91CFC" w14:paraId="67D8C94D" w14:textId="77777777" w:rsidTr="00F347FD">
        <w:tc>
          <w:tcPr>
            <w:tcW w:w="961" w:type="dxa"/>
            <w:tcBorders>
              <w:bottom w:val="single" w:sz="4" w:space="0" w:color="auto"/>
            </w:tcBorders>
          </w:tcPr>
          <w:p w14:paraId="4ED3F938" w14:textId="77777777" w:rsidR="00955953" w:rsidRPr="00F91CFC" w:rsidRDefault="00955953" w:rsidP="00F347FD">
            <w:pPr>
              <w:pStyle w:val="CBDNormalNumber"/>
              <w:numPr>
                <w:ilvl w:val="0"/>
                <w:numId w:val="0"/>
              </w:numPr>
              <w:rPr>
                <w:sz w:val="20"/>
                <w:szCs w:val="20"/>
              </w:rPr>
            </w:pPr>
            <w:r w:rsidRPr="00F91CFC">
              <w:rPr>
                <w:sz w:val="20"/>
              </w:rPr>
              <w:t>11</w:t>
            </w:r>
          </w:p>
        </w:tc>
        <w:tc>
          <w:tcPr>
            <w:tcW w:w="4052" w:type="dxa"/>
            <w:tcBorders>
              <w:bottom w:val="single" w:sz="4" w:space="0" w:color="auto"/>
            </w:tcBorders>
          </w:tcPr>
          <w:p w14:paraId="350CC970" w14:textId="6C76A5C5" w:rsidR="00955953" w:rsidRPr="00F91CFC" w:rsidRDefault="00955953" w:rsidP="00F347FD">
            <w:pPr>
              <w:pStyle w:val="CBDNormalNumber"/>
              <w:numPr>
                <w:ilvl w:val="0"/>
                <w:numId w:val="0"/>
              </w:numPr>
              <w:jc w:val="left"/>
              <w:rPr>
                <w:sz w:val="20"/>
                <w:szCs w:val="20"/>
              </w:rPr>
            </w:pPr>
            <w:r w:rsidRPr="00F91CFC">
              <w:rPr>
                <w:sz w:val="20"/>
              </w:rPr>
              <w:t>Asignación directa y/o desembolso basado en proyectos</w:t>
            </w:r>
          </w:p>
        </w:tc>
        <w:tc>
          <w:tcPr>
            <w:tcW w:w="3770" w:type="dxa"/>
            <w:tcBorders>
              <w:bottom w:val="single" w:sz="4" w:space="0" w:color="auto"/>
            </w:tcBorders>
          </w:tcPr>
          <w:p w14:paraId="46989D56" w14:textId="1EC25BF2" w:rsidR="00955953" w:rsidRPr="00F91CFC" w:rsidRDefault="00955953" w:rsidP="00F347FD">
            <w:pPr>
              <w:pStyle w:val="CBDNormalNumber"/>
              <w:numPr>
                <w:ilvl w:val="0"/>
                <w:numId w:val="0"/>
              </w:numPr>
              <w:jc w:val="left"/>
              <w:rPr>
                <w:sz w:val="20"/>
                <w:szCs w:val="20"/>
              </w:rPr>
            </w:pPr>
            <w:r w:rsidRPr="00F91CFC">
              <w:rPr>
                <w:sz w:val="20"/>
              </w:rPr>
              <w:t>Seguir considerando la conveniencia de su inclusión</w:t>
            </w:r>
          </w:p>
        </w:tc>
      </w:tr>
      <w:tr w:rsidR="00955953" w:rsidRPr="00F91CFC" w14:paraId="566877B8" w14:textId="77777777" w:rsidTr="00F347FD">
        <w:tc>
          <w:tcPr>
            <w:tcW w:w="961" w:type="dxa"/>
            <w:tcBorders>
              <w:bottom w:val="nil"/>
            </w:tcBorders>
          </w:tcPr>
          <w:p w14:paraId="02AF7FBE" w14:textId="4DB90990" w:rsidR="00955953" w:rsidRPr="00F91CFC" w:rsidRDefault="00955953" w:rsidP="00F347FD">
            <w:pPr>
              <w:pStyle w:val="CBDNormalNumber"/>
              <w:numPr>
                <w:ilvl w:val="0"/>
                <w:numId w:val="0"/>
              </w:numPr>
              <w:jc w:val="left"/>
              <w:rPr>
                <w:sz w:val="20"/>
                <w:szCs w:val="20"/>
              </w:rPr>
            </w:pPr>
            <w:r w:rsidRPr="00F91CFC">
              <w:rPr>
                <w:sz w:val="20"/>
              </w:rPr>
              <w:t>14</w:t>
            </w:r>
          </w:p>
        </w:tc>
        <w:tc>
          <w:tcPr>
            <w:tcW w:w="4052" w:type="dxa"/>
            <w:tcBorders>
              <w:bottom w:val="nil"/>
            </w:tcBorders>
          </w:tcPr>
          <w:p w14:paraId="0549FABC" w14:textId="2270EE20" w:rsidR="00955953" w:rsidRPr="00F91CFC" w:rsidRDefault="00955953" w:rsidP="00F347FD">
            <w:pPr>
              <w:pStyle w:val="CBDNormalNumber"/>
              <w:numPr>
                <w:ilvl w:val="0"/>
                <w:numId w:val="0"/>
              </w:numPr>
              <w:jc w:val="left"/>
              <w:rPr>
                <w:sz w:val="20"/>
                <w:szCs w:val="20"/>
              </w:rPr>
            </w:pPr>
            <w:r w:rsidRPr="00F91CFC">
              <w:rPr>
                <w:sz w:val="20"/>
              </w:rPr>
              <w:t>Reconocimiento del valor del papel de los pueblos indígenas y las comunidades locales, las mujeres y la juventud, incluso proporcionando acceso directo la financiación</w:t>
            </w:r>
          </w:p>
        </w:tc>
        <w:tc>
          <w:tcPr>
            <w:tcW w:w="3770" w:type="dxa"/>
            <w:tcBorders>
              <w:bottom w:val="nil"/>
            </w:tcBorders>
          </w:tcPr>
          <w:p w14:paraId="0224BCB7" w14:textId="4FE85C74" w:rsidR="00955953" w:rsidRPr="00F91CFC" w:rsidRDefault="00955953" w:rsidP="00F347FD">
            <w:pPr>
              <w:pStyle w:val="CBDNormalNumber"/>
              <w:numPr>
                <w:ilvl w:val="0"/>
                <w:numId w:val="0"/>
              </w:numPr>
              <w:jc w:val="left"/>
              <w:rPr>
                <w:sz w:val="20"/>
                <w:szCs w:val="20"/>
              </w:rPr>
            </w:pPr>
            <w:r w:rsidRPr="00F91CFC">
              <w:rPr>
                <w:sz w:val="20"/>
              </w:rPr>
              <w:t>Seguir considerando la conveniencia de incluir los conceptos reflejados en los puntos 14 y 19 y, en ese caso, decidir cuál es la formulación preferida</w:t>
            </w:r>
          </w:p>
        </w:tc>
      </w:tr>
      <w:tr w:rsidR="00851CA2" w:rsidRPr="00F91CFC" w14:paraId="0CC150D6" w14:textId="77777777" w:rsidTr="00E10B69">
        <w:trPr>
          <w:cantSplit/>
        </w:trPr>
        <w:tc>
          <w:tcPr>
            <w:tcW w:w="961" w:type="dxa"/>
            <w:tcBorders>
              <w:top w:val="nil"/>
            </w:tcBorders>
          </w:tcPr>
          <w:p w14:paraId="62136B04" w14:textId="71FB0905" w:rsidR="00851CA2" w:rsidRPr="00F91CFC" w:rsidRDefault="00851CA2">
            <w:pPr>
              <w:pStyle w:val="CBDNormalNumber"/>
              <w:numPr>
                <w:ilvl w:val="0"/>
                <w:numId w:val="0"/>
              </w:numPr>
              <w:jc w:val="left"/>
              <w:rPr>
                <w:sz w:val="20"/>
                <w:szCs w:val="20"/>
              </w:rPr>
            </w:pPr>
            <w:r w:rsidRPr="00F91CFC">
              <w:rPr>
                <w:sz w:val="20"/>
              </w:rPr>
              <w:lastRenderedPageBreak/>
              <w:t>19</w:t>
            </w:r>
          </w:p>
        </w:tc>
        <w:tc>
          <w:tcPr>
            <w:tcW w:w="4052" w:type="dxa"/>
            <w:tcBorders>
              <w:top w:val="nil"/>
            </w:tcBorders>
          </w:tcPr>
          <w:p w14:paraId="1DFD682C" w14:textId="19934B02" w:rsidR="00851CA2" w:rsidRPr="00F91CFC" w:rsidRDefault="00851CA2">
            <w:pPr>
              <w:pStyle w:val="CBDNormalNumber"/>
              <w:numPr>
                <w:ilvl w:val="0"/>
                <w:numId w:val="0"/>
              </w:numPr>
              <w:jc w:val="left"/>
              <w:rPr>
                <w:sz w:val="20"/>
                <w:szCs w:val="20"/>
              </w:rPr>
            </w:pPr>
            <w:r w:rsidRPr="00F91CFC">
              <w:rPr>
                <w:sz w:val="20"/>
              </w:rPr>
              <w:t>Suministro de recursos financieros para la acción colectiva, incluida aquella de los pueblos indígenas y las comunidades locales, las acciones centradas en la Madre Tierra y los enfoques no relacionados con el mercado</w:t>
            </w:r>
          </w:p>
        </w:tc>
        <w:tc>
          <w:tcPr>
            <w:tcW w:w="3770" w:type="dxa"/>
            <w:tcBorders>
              <w:top w:val="nil"/>
            </w:tcBorders>
          </w:tcPr>
          <w:p w14:paraId="1D923328" w14:textId="77777777" w:rsidR="00851CA2" w:rsidRPr="00F91CFC" w:rsidRDefault="00851CA2">
            <w:pPr>
              <w:pStyle w:val="CBDNormalNumber"/>
              <w:numPr>
                <w:ilvl w:val="0"/>
                <w:numId w:val="0"/>
              </w:numPr>
              <w:jc w:val="left"/>
              <w:rPr>
                <w:sz w:val="20"/>
                <w:szCs w:val="20"/>
              </w:rPr>
            </w:pPr>
          </w:p>
        </w:tc>
      </w:tr>
      <w:tr w:rsidR="00955953" w:rsidRPr="00F91CFC" w14:paraId="6F39218B" w14:textId="77777777" w:rsidTr="00F347FD">
        <w:tc>
          <w:tcPr>
            <w:tcW w:w="961" w:type="dxa"/>
          </w:tcPr>
          <w:p w14:paraId="00C5B361" w14:textId="77777777" w:rsidR="00955953" w:rsidRPr="00F91CFC" w:rsidRDefault="00955953" w:rsidP="00F347FD">
            <w:pPr>
              <w:pStyle w:val="CBDNormalNumber"/>
              <w:numPr>
                <w:ilvl w:val="0"/>
                <w:numId w:val="0"/>
              </w:numPr>
              <w:rPr>
                <w:sz w:val="20"/>
                <w:szCs w:val="20"/>
              </w:rPr>
            </w:pPr>
            <w:r w:rsidRPr="00F91CFC">
              <w:rPr>
                <w:sz w:val="20"/>
              </w:rPr>
              <w:t>15</w:t>
            </w:r>
          </w:p>
        </w:tc>
        <w:tc>
          <w:tcPr>
            <w:tcW w:w="4052" w:type="dxa"/>
          </w:tcPr>
          <w:p w14:paraId="3B7F3913" w14:textId="202FA150" w:rsidR="00955953" w:rsidRPr="00F91CFC" w:rsidRDefault="00955953" w:rsidP="00F347FD">
            <w:pPr>
              <w:pStyle w:val="CBDNormalNumber"/>
              <w:numPr>
                <w:ilvl w:val="0"/>
                <w:numId w:val="0"/>
              </w:numPr>
              <w:jc w:val="left"/>
              <w:rPr>
                <w:sz w:val="20"/>
                <w:szCs w:val="20"/>
              </w:rPr>
            </w:pPr>
            <w:r w:rsidRPr="00F91CFC">
              <w:rPr>
                <w:sz w:val="20"/>
              </w:rPr>
              <w:t>Existencia de un mecanismo de reclamación y reparación</w:t>
            </w:r>
          </w:p>
        </w:tc>
        <w:tc>
          <w:tcPr>
            <w:tcW w:w="3770" w:type="dxa"/>
          </w:tcPr>
          <w:p w14:paraId="1ABD6785" w14:textId="5E4C455D" w:rsidR="00955953" w:rsidRPr="00F91CFC" w:rsidRDefault="00955953" w:rsidP="00F347FD">
            <w:pPr>
              <w:pStyle w:val="CBDNormalNumber"/>
              <w:numPr>
                <w:ilvl w:val="0"/>
                <w:numId w:val="0"/>
              </w:numPr>
              <w:rPr>
                <w:sz w:val="20"/>
                <w:szCs w:val="20"/>
              </w:rPr>
            </w:pPr>
            <w:r w:rsidRPr="00F91CFC">
              <w:rPr>
                <w:sz w:val="20"/>
              </w:rPr>
              <w:t>Seguir considerando la conveniencia de su inclusión</w:t>
            </w:r>
          </w:p>
        </w:tc>
      </w:tr>
    </w:tbl>
    <w:p w14:paraId="3AE99C79" w14:textId="287E3627" w:rsidR="00222EB4" w:rsidRPr="00F91CFC" w:rsidRDefault="00C4118B" w:rsidP="00F347FD">
      <w:pPr>
        <w:pStyle w:val="CBDNormalNumber"/>
        <w:numPr>
          <w:ilvl w:val="0"/>
          <w:numId w:val="0"/>
        </w:numPr>
        <w:ind w:left="1134" w:hanging="414"/>
        <w:jc w:val="left"/>
      </w:pPr>
      <w:r w:rsidRPr="00F91CFC">
        <w:rPr>
          <w:i/>
          <w:sz w:val="18"/>
          <w:vertAlign w:val="superscript"/>
        </w:rPr>
        <w:tab/>
        <w:t>a</w:t>
      </w:r>
      <w:r w:rsidRPr="00F91CFC">
        <w:rPr>
          <w:i/>
          <w:sz w:val="18"/>
        </w:rPr>
        <w:tab/>
      </w:r>
      <w:r w:rsidRPr="00F91CFC">
        <w:rPr>
          <w:sz w:val="18"/>
        </w:rPr>
        <w:t xml:space="preserve">Puntos del anexo II de la decisión </w:t>
      </w:r>
      <w:hyperlink r:id="rId51" w:history="1">
        <w:r w:rsidRPr="00F91CFC">
          <w:rPr>
            <w:rStyle w:val="Hipervnculo"/>
            <w:sz w:val="18"/>
          </w:rPr>
          <w:t>16/34</w:t>
        </w:r>
      </w:hyperlink>
      <w:r w:rsidRPr="00F91CFC">
        <w:rPr>
          <w:sz w:val="18"/>
        </w:rPr>
        <w:t>.</w:t>
      </w:r>
    </w:p>
    <w:p w14:paraId="7DC8D597" w14:textId="2F0DEFAE" w:rsidR="00955953" w:rsidRPr="00F91CFC" w:rsidRDefault="00955953" w:rsidP="007E4F27">
      <w:pPr>
        <w:pStyle w:val="CBDNormalNumber"/>
        <w:ind w:left="567"/>
      </w:pPr>
      <w:r w:rsidRPr="00F91CFC">
        <w:t>Se determinó que se requerían más aclaraciones con respecto a un punto, como se muestra en el Cuadro 4 a continuación.</w:t>
      </w:r>
    </w:p>
    <w:p w14:paraId="1E4E0D1B" w14:textId="19CB9573" w:rsidR="000376BC" w:rsidRPr="00F91CFC" w:rsidRDefault="000376BC" w:rsidP="007E4F27">
      <w:pPr>
        <w:pStyle w:val="CBDNormalNumber"/>
        <w:keepNext/>
        <w:numPr>
          <w:ilvl w:val="0"/>
          <w:numId w:val="0"/>
        </w:numPr>
        <w:ind w:left="567"/>
        <w:jc w:val="left"/>
      </w:pPr>
      <w:r w:rsidRPr="00F91CFC">
        <w:t>Cuadro 4</w:t>
      </w:r>
      <w:r w:rsidRPr="00F91CFC">
        <w:br/>
      </w:r>
      <w:r w:rsidRPr="00F91CFC">
        <w:rPr>
          <w:b/>
        </w:rPr>
        <w:t>Punto que requiere aclaración</w:t>
      </w:r>
    </w:p>
    <w:tbl>
      <w:tblPr>
        <w:tblStyle w:val="Tablaconcuadrcula"/>
        <w:tblW w:w="0" w:type="auto"/>
        <w:tblInd w:w="567" w:type="dxa"/>
        <w:tblLook w:val="04A0" w:firstRow="1" w:lastRow="0" w:firstColumn="1" w:lastColumn="0" w:noHBand="0" w:noVBand="1"/>
      </w:tblPr>
      <w:tblGrid>
        <w:gridCol w:w="958"/>
        <w:gridCol w:w="1620"/>
        <w:gridCol w:w="6205"/>
      </w:tblGrid>
      <w:tr w:rsidR="00955953" w:rsidRPr="00F91CFC" w14:paraId="3FC5001E" w14:textId="77777777" w:rsidTr="00F347FD">
        <w:trPr>
          <w:tblHeader/>
        </w:trPr>
        <w:tc>
          <w:tcPr>
            <w:tcW w:w="958" w:type="dxa"/>
          </w:tcPr>
          <w:p w14:paraId="1CB70B0D" w14:textId="44B0B975" w:rsidR="00955953" w:rsidRPr="00F91CFC" w:rsidRDefault="00C774F5" w:rsidP="00826AED">
            <w:pPr>
              <w:pStyle w:val="CBDNormalNumber"/>
              <w:numPr>
                <w:ilvl w:val="0"/>
                <w:numId w:val="0"/>
              </w:numPr>
              <w:rPr>
                <w:i/>
                <w:iCs/>
                <w:sz w:val="20"/>
                <w:szCs w:val="20"/>
              </w:rPr>
            </w:pPr>
            <w:r w:rsidRPr="00F91CFC">
              <w:rPr>
                <w:i/>
                <w:sz w:val="20"/>
              </w:rPr>
              <w:t>Punto núm.</w:t>
            </w:r>
            <w:r w:rsidRPr="00F91CFC">
              <w:rPr>
                <w:i/>
                <w:sz w:val="20"/>
                <w:vertAlign w:val="superscript"/>
              </w:rPr>
              <w:t>a</w:t>
            </w:r>
          </w:p>
        </w:tc>
        <w:tc>
          <w:tcPr>
            <w:tcW w:w="1620" w:type="dxa"/>
          </w:tcPr>
          <w:p w14:paraId="352FBBAE" w14:textId="77777777" w:rsidR="00955953" w:rsidRPr="00F91CFC" w:rsidRDefault="00955953" w:rsidP="00826AED">
            <w:pPr>
              <w:pStyle w:val="CBDNormalNumber"/>
              <w:numPr>
                <w:ilvl w:val="0"/>
                <w:numId w:val="0"/>
              </w:numPr>
              <w:rPr>
                <w:i/>
                <w:iCs/>
                <w:sz w:val="20"/>
                <w:szCs w:val="20"/>
              </w:rPr>
            </w:pPr>
            <w:r w:rsidRPr="00F91CFC">
              <w:rPr>
                <w:i/>
                <w:sz w:val="20"/>
              </w:rPr>
              <w:t>Punto</w:t>
            </w:r>
          </w:p>
        </w:tc>
        <w:tc>
          <w:tcPr>
            <w:tcW w:w="6205" w:type="dxa"/>
          </w:tcPr>
          <w:p w14:paraId="033FC068" w14:textId="37AD0A14" w:rsidR="00955953" w:rsidRPr="00F91CFC" w:rsidRDefault="0016464C" w:rsidP="00826AED">
            <w:pPr>
              <w:pStyle w:val="CBDNormalNumber"/>
              <w:numPr>
                <w:ilvl w:val="0"/>
                <w:numId w:val="0"/>
              </w:numPr>
              <w:rPr>
                <w:i/>
                <w:iCs/>
                <w:sz w:val="20"/>
                <w:szCs w:val="20"/>
              </w:rPr>
            </w:pPr>
            <w:r w:rsidRPr="00F91CFC">
              <w:rPr>
                <w:i/>
                <w:sz w:val="20"/>
              </w:rPr>
              <w:t>Explicación de las cuestiones que requieren aclaración y medidas sugeridas</w:t>
            </w:r>
          </w:p>
        </w:tc>
      </w:tr>
      <w:tr w:rsidR="00955953" w:rsidRPr="00F91CFC" w14:paraId="2FDF4321" w14:textId="77777777" w:rsidTr="00826AED">
        <w:tc>
          <w:tcPr>
            <w:tcW w:w="958" w:type="dxa"/>
          </w:tcPr>
          <w:p w14:paraId="03A24A6F" w14:textId="77777777" w:rsidR="00955953" w:rsidRPr="00F91CFC" w:rsidRDefault="00955953" w:rsidP="00826AED">
            <w:pPr>
              <w:pStyle w:val="CBDNormalNumber"/>
              <w:numPr>
                <w:ilvl w:val="0"/>
                <w:numId w:val="0"/>
              </w:numPr>
              <w:rPr>
                <w:sz w:val="20"/>
                <w:szCs w:val="20"/>
              </w:rPr>
            </w:pPr>
            <w:r w:rsidRPr="00F91CFC">
              <w:rPr>
                <w:sz w:val="20"/>
              </w:rPr>
              <w:t>17</w:t>
            </w:r>
          </w:p>
        </w:tc>
        <w:tc>
          <w:tcPr>
            <w:tcW w:w="1620" w:type="dxa"/>
          </w:tcPr>
          <w:p w14:paraId="040E2C0A" w14:textId="4AC78FC6" w:rsidR="00955953" w:rsidRPr="00F91CFC" w:rsidRDefault="00955953" w:rsidP="00826AED">
            <w:pPr>
              <w:pStyle w:val="CBDNormalNumber"/>
              <w:numPr>
                <w:ilvl w:val="0"/>
                <w:numId w:val="0"/>
              </w:numPr>
              <w:jc w:val="left"/>
              <w:rPr>
                <w:i/>
                <w:iCs/>
                <w:sz w:val="20"/>
                <w:szCs w:val="20"/>
              </w:rPr>
            </w:pPr>
            <w:r w:rsidRPr="00F91CFC">
              <w:rPr>
                <w:sz w:val="20"/>
              </w:rPr>
              <w:t>Responsabilidad del administrador fiduciario y cumplimiento de las decisiones del órgano rector</w:t>
            </w:r>
          </w:p>
        </w:tc>
        <w:tc>
          <w:tcPr>
            <w:tcW w:w="6205" w:type="dxa"/>
          </w:tcPr>
          <w:p w14:paraId="2EBC3973" w14:textId="08269204" w:rsidR="00955953" w:rsidRPr="00F91CFC" w:rsidRDefault="00955953" w:rsidP="00826AED">
            <w:pPr>
              <w:pStyle w:val="CBDNormalNumber"/>
              <w:numPr>
                <w:ilvl w:val="0"/>
                <w:numId w:val="0"/>
              </w:numPr>
              <w:jc w:val="left"/>
              <w:rPr>
                <w:sz w:val="20"/>
                <w:szCs w:val="20"/>
              </w:rPr>
            </w:pPr>
            <w:r w:rsidRPr="00F91CFC">
              <w:rPr>
                <w:sz w:val="20"/>
              </w:rPr>
              <w:t>El concepto de responsabilidad queda recogido y ya está incluido en el artículo 21 1) del Convenio, aunque se refiere al mecanismo en su conjunto y no al administrador fiduciario específicamente</w:t>
            </w:r>
          </w:p>
          <w:p w14:paraId="05F4C500" w14:textId="34B64D46" w:rsidR="00955953" w:rsidRPr="00F91CFC" w:rsidRDefault="00955953" w:rsidP="00826AED">
            <w:pPr>
              <w:pStyle w:val="CBDNormalNumber"/>
              <w:numPr>
                <w:ilvl w:val="0"/>
                <w:numId w:val="0"/>
              </w:numPr>
              <w:jc w:val="left"/>
              <w:rPr>
                <w:sz w:val="20"/>
                <w:szCs w:val="20"/>
              </w:rPr>
            </w:pPr>
            <w:r w:rsidRPr="00F91CFC">
              <w:rPr>
                <w:sz w:val="20"/>
              </w:rPr>
              <w:t>No resulta claro si el término “órgano rector” se refiere a la Conferencia de las Partes o al órgano rector del mecanismo</w:t>
            </w:r>
          </w:p>
          <w:p w14:paraId="1A364AC6" w14:textId="50BF4BEC" w:rsidR="00955953" w:rsidRPr="00F91CFC" w:rsidRDefault="00955953" w:rsidP="00826AED">
            <w:pPr>
              <w:pStyle w:val="CBDNormalNumber"/>
              <w:numPr>
                <w:ilvl w:val="0"/>
                <w:numId w:val="0"/>
              </w:numPr>
              <w:jc w:val="left"/>
              <w:rPr>
                <w:sz w:val="20"/>
                <w:szCs w:val="20"/>
              </w:rPr>
            </w:pPr>
            <w:r w:rsidRPr="00F91CFC">
              <w:rPr>
                <w:sz w:val="20"/>
              </w:rPr>
              <w:t>Pedir al proponente que aclare la intención y el significado, y seguir considerándolo según proceda</w:t>
            </w:r>
          </w:p>
        </w:tc>
      </w:tr>
    </w:tbl>
    <w:p w14:paraId="419BB6B8" w14:textId="793D39C7" w:rsidR="00C774F5" w:rsidRPr="00F91CFC" w:rsidRDefault="00C774F5" w:rsidP="00C774F5">
      <w:pPr>
        <w:pStyle w:val="CBDNormalNumber"/>
        <w:numPr>
          <w:ilvl w:val="0"/>
          <w:numId w:val="0"/>
        </w:numPr>
        <w:ind w:left="720"/>
      </w:pPr>
      <w:r w:rsidRPr="00F91CFC">
        <w:rPr>
          <w:i/>
          <w:sz w:val="18"/>
          <w:vertAlign w:val="superscript"/>
        </w:rPr>
        <w:t>a</w:t>
      </w:r>
      <w:r w:rsidRPr="00F91CFC">
        <w:rPr>
          <w:i/>
          <w:sz w:val="18"/>
        </w:rPr>
        <w:tab/>
      </w:r>
      <w:r w:rsidRPr="00F91CFC">
        <w:rPr>
          <w:sz w:val="18"/>
        </w:rPr>
        <w:t xml:space="preserve">Puntos del anexo II de la decisión </w:t>
      </w:r>
      <w:hyperlink r:id="rId52" w:history="1">
        <w:r w:rsidRPr="00F91CFC">
          <w:rPr>
            <w:rStyle w:val="Hipervnculo"/>
            <w:sz w:val="18"/>
          </w:rPr>
          <w:t>16/34</w:t>
        </w:r>
      </w:hyperlink>
      <w:r w:rsidRPr="00F91CFC">
        <w:rPr>
          <w:sz w:val="18"/>
        </w:rPr>
        <w:t>.</w:t>
      </w:r>
    </w:p>
    <w:p w14:paraId="536D3817" w14:textId="7B2B5387" w:rsidR="00E02F94" w:rsidRPr="00F91CFC" w:rsidRDefault="00955953" w:rsidP="00F347FD">
      <w:pPr>
        <w:pStyle w:val="CBDNormalNumber"/>
        <w:ind w:left="567"/>
        <w:rPr>
          <w:bCs/>
        </w:rPr>
      </w:pPr>
      <w:r w:rsidRPr="00F91CFC">
        <w:t xml:space="preserve">En el cumplimiento de la tarea prevista en el subpárrafo 22 a) de la decisión </w:t>
      </w:r>
      <w:hyperlink r:id="rId53" w:history="1">
        <w:r w:rsidRPr="00F91CFC">
          <w:rPr>
            <w:rStyle w:val="Hipervnculo"/>
          </w:rPr>
          <w:t>16/34</w:t>
        </w:r>
      </w:hyperlink>
      <w:r w:rsidRPr="00F91CFC">
        <w:t>, el Órgano Subsidiario sobre la Aplicación tal vez desee considerar, en su séptima reunión, los cuadros 1 a 4</w:t>
      </w:r>
      <w:r w:rsidR="00E10B69" w:rsidRPr="00F91CFC">
        <w:t> </w:t>
      </w:r>
      <w:r w:rsidRPr="00F91CFC">
        <w:t>anteriores y las medidas sugeridas que figuran en ellos, junto con los elementos pertinentes del proyecto de recomendación que figura a continuación. Una vez examinados, los elementos de estos cuadros sobre los que se haya llegado a un acuerdo se consolidarán en el anexo III del proyecto de recomendación (secc. IV, más adelante), con vistas a su adopción por la Conferencia de las Partes en su 17.ª reunión.</w:t>
      </w:r>
    </w:p>
    <w:p w14:paraId="33CDC69F" w14:textId="4112E8FB" w:rsidR="00CC450A" w:rsidRPr="00F91CFC" w:rsidRDefault="00DE57E8" w:rsidP="00F347FD">
      <w:pPr>
        <w:pStyle w:val="CBDNormalNumber"/>
        <w:ind w:left="567"/>
        <w:rPr>
          <w:bCs/>
        </w:rPr>
      </w:pPr>
      <w:r w:rsidRPr="00F91CFC">
        <w:t xml:space="preserve">De conformidad con la hoja de ruta proporcionada en el párrafo 22 de la decisión </w:t>
      </w:r>
      <w:hyperlink r:id="rId54" w:history="1">
        <w:r w:rsidRPr="00F91CFC">
          <w:rPr>
            <w:rStyle w:val="Hipervnculo"/>
          </w:rPr>
          <w:t>16/34</w:t>
        </w:r>
      </w:hyperlink>
      <w:r w:rsidRPr="00F91CFC">
        <w:t>, el Órgano Subsidiario tal vez desee también recomendar a la Conferencia de las Partes que, en su 17.ª reunión, pida al Órgano Subsidiario que, antes de la 18.ª reunión de la Conferencia de las Partes, elabore una recomendación, que incluya elementos de un proyecto de decisión, en la que se aborden las tareas detalladas en el subpárrafo 22 b) de la hoja de ruta. El Órgano Subsidiario tal vez desee recomendar además que se pida a la Secretaría que elabore o encargue la elaboración de la documentación necesaria para facilitar la consideración de estos puntos por parte del Órgano Subsidiario.</w:t>
      </w:r>
    </w:p>
    <w:p w14:paraId="74C4BDA4" w14:textId="48306C23" w:rsidR="006C35A8" w:rsidRPr="00F91CFC" w:rsidRDefault="006C35A8" w:rsidP="00F347FD">
      <w:pPr>
        <w:pStyle w:val="CBDNormalNumber"/>
        <w:ind w:left="567"/>
        <w:rPr>
          <w:bCs/>
        </w:rPr>
      </w:pPr>
      <w:r w:rsidRPr="00F91CFC">
        <w:t>Cabe señalar que el Órgano Subsidiario sobre la Aplicación, en su sexta reunión, consideró el proyecto de mandato para el séptimo examen cuatrienal de la eficacia del mecanismo financiero, que figura en el anexo II de su recomendación</w:t>
      </w:r>
      <w:hyperlink r:id="rId55" w:history="1">
        <w:r w:rsidRPr="00F91CFC">
          <w:rPr>
            <w:rStyle w:val="Hipervnculo"/>
          </w:rPr>
          <w:t xml:space="preserve"> 6/2</w:t>
        </w:r>
      </w:hyperlink>
      <w:r w:rsidRPr="00F91CFC">
        <w:t xml:space="preserve">. Algunos elementos del proyecto de mandato son </w:t>
      </w:r>
      <w:r w:rsidRPr="00F91CFC">
        <w:lastRenderedPageBreak/>
        <w:t xml:space="preserve">pertinentes para la labor solicitada en el párrafo 41 de la decisión </w:t>
      </w:r>
      <w:hyperlink r:id="rId56" w:history="1">
        <w:r w:rsidRPr="00F91CFC">
          <w:rPr>
            <w:rStyle w:val="Hipervnculo"/>
          </w:rPr>
          <w:t>16/33</w:t>
        </w:r>
        <w:r w:rsidRPr="00F91CFC">
          <w:rPr>
            <w:rStyle w:val="Refdenotaalpie"/>
          </w:rPr>
          <w:footnoteReference w:id="4"/>
        </w:r>
      </w:hyperlink>
      <w:r w:rsidRPr="00F91CFC">
        <w:t xml:space="preserve"> y para la revisión de balance del Fondo para el Marco Mundial de Biodiversidad prevista en las decisiones </w:t>
      </w:r>
      <w:hyperlink r:id="rId57" w:history="1">
        <w:r w:rsidRPr="00F91CFC">
          <w:rPr>
            <w:rStyle w:val="Hipervnculo"/>
          </w:rPr>
          <w:t>15/7</w:t>
        </w:r>
      </w:hyperlink>
      <w:r w:rsidRPr="00F91CFC">
        <w:t xml:space="preserve"> y </w:t>
      </w:r>
      <w:hyperlink r:id="rId58" w:history="1">
        <w:r w:rsidRPr="00F91CFC">
          <w:rPr>
            <w:rStyle w:val="Hipervnculo"/>
          </w:rPr>
          <w:t>15/15</w:t>
        </w:r>
      </w:hyperlink>
      <w:r w:rsidRPr="00F91CFC">
        <w:t>.</w:t>
      </w:r>
    </w:p>
    <w:p w14:paraId="6AAE09CB" w14:textId="13BE0AAA" w:rsidR="00060550" w:rsidRPr="00F91CFC" w:rsidRDefault="00EE20FD" w:rsidP="00EE20FD">
      <w:pPr>
        <w:pStyle w:val="CBDH3"/>
      </w:pPr>
      <w:r w:rsidRPr="00F91CFC">
        <w:t>2.</w:t>
      </w:r>
      <w:r w:rsidRPr="00F91CFC">
        <w:tab/>
        <w:t>Identificación de los impedimentos para la eficacia de la financiación mundial de la biodiversidad y de elementos para su ulterior mejora</w:t>
      </w:r>
    </w:p>
    <w:p w14:paraId="5337FBC8" w14:textId="1AA7D569" w:rsidR="00B80A4D" w:rsidRPr="00F91CFC" w:rsidRDefault="00CE4BB0" w:rsidP="00F347FD">
      <w:pPr>
        <w:pStyle w:val="CBDNormalNumber"/>
        <w:ind w:left="567"/>
        <w:rPr>
          <w:bCs/>
        </w:rPr>
      </w:pPr>
      <w:r w:rsidRPr="00F91CFC">
        <w:t xml:space="preserve">De conformidad con el subpárrafo 23 a) de la decisión </w:t>
      </w:r>
      <w:hyperlink r:id="rId59" w:history="1">
        <w:r w:rsidRPr="00F91CFC">
          <w:rPr>
            <w:rStyle w:val="Hipervnculo"/>
          </w:rPr>
          <w:t>16/34</w:t>
        </w:r>
      </w:hyperlink>
      <w:r w:rsidRPr="00F91CFC">
        <w:t>, la Secretaría ha identificado, en el documento CBD/SBI/7/3/Add.4, los impedimentos para la eficacia de la financiación mundial y los elementos para su ulterior mejora. La presente nota se basa en la revisión de la aplicación de la estrategia para la movilización de recursos que figura en el documento CBD/SBI/7/3/Add.2 y otras fuentes. Teniendo en cuenta los impedimentos identificados, en el anexo II del proyecto de recomendación que figura a continuación se presenta un proyecto conciso de lista de impedimentos y, partiendo de ellos, un proyecto de elementos para la ulterior mejora de la eficacia de la financiación mundial de la biodiversidad.</w:t>
      </w:r>
    </w:p>
    <w:p w14:paraId="7A57B44F" w14:textId="229658C2" w:rsidR="00BA521B" w:rsidRPr="00F91CFC" w:rsidRDefault="00BA521B" w:rsidP="00F347FD">
      <w:pPr>
        <w:pStyle w:val="CBDNormalNumber"/>
        <w:ind w:left="567"/>
      </w:pPr>
      <w:r w:rsidRPr="00F91CFC">
        <w:t xml:space="preserve">En el subpárrafo 24 a) de la decisión </w:t>
      </w:r>
      <w:hyperlink r:id="rId60" w:history="1">
        <w:r w:rsidRPr="00F91CFC">
          <w:rPr>
            <w:rStyle w:val="Hipervnculo"/>
          </w:rPr>
          <w:t>16/34</w:t>
        </w:r>
      </w:hyperlink>
      <w:r w:rsidRPr="00F91CFC">
        <w:t xml:space="preserve">, se pidió a la Secretaría que encargara un estudio destinado a identificar oportunidades para reforzar el seguimiento de las distintas fuentes de financiación de la biodiversidad, con una referencia cruzada a la decisión </w:t>
      </w:r>
      <w:hyperlink r:id="rId61" w:history="1">
        <w:r w:rsidRPr="00F91CFC">
          <w:rPr>
            <w:rStyle w:val="Hipervnculo"/>
          </w:rPr>
          <w:t>16/31</w:t>
        </w:r>
      </w:hyperlink>
      <w:r w:rsidRPr="00F91CFC">
        <w:t xml:space="preserve"> sobre el marco de seguimiento para el Marco Mundial de Biodiversidad de Kunming-Montreal. En el documento CBD/SBI/7/3/Add.4 se señaló que el seguimiento insuficiente de determinadas corrientes de financiación destinadas a la biodiversidad constituía un impedimento, y esto se refleja del modo consiguiente en el anexo II a continuación. El informe completo se publicará como documento de información. Considerando su pertinencia en relación con el marco de seguimiento para el Marco Mundial de Biodiversidad de Kunming-Montreal, el estudio también se consideró al actualizar los metadatos para los indicadores de cabecera y se publicó como documento de referencia para la 28ª reunión del Órgano Subsidiario de Asesoramiento Científico, Técnico y Tecnológico.</w:t>
      </w:r>
    </w:p>
    <w:p w14:paraId="4C0CBB8F" w14:textId="7C8DA093" w:rsidR="00DD736C" w:rsidRPr="00F91CFC" w:rsidRDefault="00DB21E8" w:rsidP="00F347FD">
      <w:pPr>
        <w:pStyle w:val="CBDNormalNumber"/>
        <w:ind w:left="567"/>
        <w:rPr>
          <w:bCs/>
        </w:rPr>
      </w:pPr>
      <w:r w:rsidRPr="00F91CFC">
        <w:t>El Órgano Subsidiario tal vez desee examinar el proyecto de elementos a fin de someterlos a la consideración de la Conferencia de las Partes en su 17ª reunión. Como se prevé en la hoja de ruta proporcionada en el párrafo 23 de la decisión </w:t>
      </w:r>
      <w:hyperlink r:id="rId62" w:history="1">
        <w:r w:rsidRPr="00F91CFC">
          <w:rPr>
            <w:rStyle w:val="Hipervnculo"/>
          </w:rPr>
          <w:t>16/34</w:t>
        </w:r>
      </w:hyperlink>
      <w:r w:rsidRPr="00F91CFC">
        <w:t>, el Órgano Subsidiario tal vez desee también recomendar a la Conferencia de las Partes que, en su 17.ª reunión, solicite al Órgano Subsidiario que, antes de la 18.ª reunión de la Conferencia de las Partes, elabore más a fondo los elementos acordados por la Conferencia de las Partes en la forma de medidas que puedan adoptarse para mejorar la financiación mundial de la biodiversidad a fin de movilizar recursos nuevos y adicionales de todas las fuentes y evaluar los resultados de los instrumentos y entidades financieros pertinentes existentes en lo que respecta a la implementación del Marco, en particular la meta 19 a). El Órgano Subsidiario tal vez desee recomendar además que se pida a la Secretaría que elabore o encargue la elaboración de la documentación necesaria para facilitar la consideración de estos puntos por el Órgano Subsidiario.</w:t>
      </w:r>
    </w:p>
    <w:p w14:paraId="1F843F08" w14:textId="6AE0C3C7" w:rsidR="00DD736C" w:rsidRPr="00F91CFC" w:rsidRDefault="00CB5918" w:rsidP="00F347FD">
      <w:pPr>
        <w:pStyle w:val="CBDH3"/>
      </w:pPr>
      <w:r w:rsidRPr="00F91CFC">
        <w:t>3.</w:t>
      </w:r>
      <w:r w:rsidRPr="00F91CFC">
        <w:tab/>
        <w:t>Análisis más detallado de las oportunidades para ampliar la base de contribuyentes</w:t>
      </w:r>
    </w:p>
    <w:p w14:paraId="277643CE" w14:textId="5E5D3950" w:rsidR="00307599" w:rsidRPr="00F91CFC" w:rsidRDefault="00C6515A" w:rsidP="00F347FD">
      <w:pPr>
        <w:pStyle w:val="CBDNormalNumber"/>
        <w:ind w:left="567"/>
      </w:pPr>
      <w:r w:rsidRPr="00F91CFC">
        <w:t>Como parte de las peticiones que se le formularon en el párrafo 24 de la decisión </w:t>
      </w:r>
      <w:hyperlink r:id="rId63" w:history="1">
        <w:r w:rsidRPr="00F91CFC">
          <w:rPr>
            <w:rStyle w:val="Hipervnculo"/>
          </w:rPr>
          <w:t>16/34</w:t>
        </w:r>
      </w:hyperlink>
      <w:r w:rsidRPr="00F91CFC">
        <w:t xml:space="preserve">, el Órgano Subsidiario de Aplicación debía seguir deliberando acerca de las oportunidades para ampliar la base de contribuyentes. Se trata de un tema multifacético, que es pertinente tanto para los elementos del párrafo 19 de la decisión </w:t>
      </w:r>
      <w:hyperlink r:id="rId64" w:history="1">
        <w:r w:rsidRPr="00F91CFC">
          <w:rPr>
            <w:rStyle w:val="Hipervnculo"/>
          </w:rPr>
          <w:t>16/34</w:t>
        </w:r>
      </w:hyperlink>
      <w:r w:rsidRPr="00F91CFC">
        <w:t xml:space="preserve"> como para las dos tareas iniciales que debe abordar el Órgano Subsidiario en la presente reunión, y que queda recogido en los documentos pertinentes, como se explica a continuación. Resulta asimismo muy pertinente la petición que figura en el párrafo 18 de la decisión </w:t>
      </w:r>
      <w:hyperlink r:id="rId65" w:history="1">
        <w:r w:rsidRPr="00F91CFC">
          <w:rPr>
            <w:rStyle w:val="Hipervnculo"/>
          </w:rPr>
          <w:t>16/34</w:t>
        </w:r>
      </w:hyperlink>
      <w:r w:rsidRPr="00F91CFC">
        <w:t>, como se detalla a continuación.</w:t>
      </w:r>
    </w:p>
    <w:p w14:paraId="7FE9AA3C" w14:textId="3599F339" w:rsidR="00825FB6" w:rsidRPr="00F91CFC" w:rsidRDefault="00070600" w:rsidP="00F347FD">
      <w:pPr>
        <w:pStyle w:val="CBDNormalNumber"/>
        <w:ind w:left="567"/>
      </w:pPr>
      <w:r w:rsidRPr="00F91CFC">
        <w:t xml:space="preserve">En lo que respecta a la elaboración más detallada de los criterios para la estructura institucional encargada del funcionamiento del mecanismo financiero, de conformidad con el subpárrafo 22 a) de la decisión </w:t>
      </w:r>
      <w:hyperlink r:id="rId66" w:history="1">
        <w:r w:rsidRPr="00F91CFC">
          <w:rPr>
            <w:rStyle w:val="Hipervnculo"/>
          </w:rPr>
          <w:t>16/34</w:t>
        </w:r>
      </w:hyperlink>
      <w:r w:rsidRPr="00F91CFC">
        <w:t xml:space="preserve">, cabe señalar que la recopilación que figura en el anexo II de la decisión </w:t>
      </w:r>
      <w:hyperlink r:id="rId67" w:history="1">
        <w:r w:rsidRPr="00F91CFC">
          <w:rPr>
            <w:rStyle w:val="Hipervnculo"/>
          </w:rPr>
          <w:t>16/34</w:t>
        </w:r>
      </w:hyperlink>
      <w:r w:rsidRPr="00F91CFC">
        <w:t xml:space="preserve"> ya </w:t>
      </w:r>
      <w:r w:rsidRPr="00F91CFC">
        <w:lastRenderedPageBreak/>
        <w:t xml:space="preserve">incluye un punto relativo a la ampliación de la base de contribuyentes (punto 3, que figura en el Cuadro 1 anterior). </w:t>
      </w:r>
    </w:p>
    <w:p w14:paraId="3E8BE00E" w14:textId="2A4248D1" w:rsidR="0009309B" w:rsidRPr="00F91CFC" w:rsidRDefault="0009309B" w:rsidP="00F347FD">
      <w:pPr>
        <w:pStyle w:val="CBDNormalNumber"/>
        <w:ind w:left="567"/>
      </w:pPr>
      <w:r w:rsidRPr="00F91CFC">
        <w:t xml:space="preserve">En lo que respecta a la identificación de los impedimentos para la eficacia de la financiación mundial de la biodiversidad, de conformidad con el subpárrafo 23 a) de la decisión </w:t>
      </w:r>
      <w:hyperlink r:id="rId68" w:history="1">
        <w:r w:rsidRPr="00F91CFC">
          <w:rPr>
            <w:rStyle w:val="Hipervnculo"/>
          </w:rPr>
          <w:t>16/34</w:t>
        </w:r>
      </w:hyperlink>
      <w:r w:rsidRPr="00F91CFC">
        <w:t>, en el documento CBD/SBI/7/3/Add.4 se han señalado varios impedimentos relacionados con fuentes limitadas y corrientes reducidas de financiación de la biodiversidad, entre los que se incluye la dependencia de un número relativamente pequeño de actores soberanos y no soberanos que contribuyen a la financiación de la biodiversidad, así como una serie de elementos que podrían mejorar esta situación.</w:t>
      </w:r>
    </w:p>
    <w:p w14:paraId="4F0ECCC3" w14:textId="0D5162DB" w:rsidR="00D12AD8" w:rsidRPr="00F91CFC" w:rsidRDefault="00E6678E" w:rsidP="00F347FD">
      <w:pPr>
        <w:pStyle w:val="CBDNormalNumber"/>
        <w:ind w:left="567"/>
      </w:pPr>
      <w:r w:rsidRPr="00F91CFC">
        <w:t xml:space="preserve">El Órgano Subsidiario tal vez desee seguir deliberando sobre este tema de manera integrada al considerar el punto 3 del anexo II de la decisión </w:t>
      </w:r>
      <w:hyperlink r:id="rId69" w:history="1">
        <w:r w:rsidRPr="00F91CFC">
          <w:rPr>
            <w:rStyle w:val="Hipervnculo"/>
          </w:rPr>
          <w:t>16/34</w:t>
        </w:r>
      </w:hyperlink>
      <w:r w:rsidRPr="00F91CFC">
        <w:t xml:space="preserve"> con vistas a su inclusión en la lista de criterios, así como los impedimentos pertinentes para la financiación de la biodiversidad señalados en el documento CBD/SBI/7/3/Add.4. En su séptima reunión, el Órgano Subsidiario sobre la Aplicación tal vez desee seguir abordando este tema considerando la petición que figura en el párrafo 18 de la decisión </w:t>
      </w:r>
      <w:hyperlink r:id="rId70" w:history="1">
        <w:r w:rsidRPr="00F91CFC">
          <w:rPr>
            <w:rStyle w:val="Hipervnculo"/>
          </w:rPr>
          <w:t>16/34</w:t>
        </w:r>
      </w:hyperlink>
      <w:r w:rsidRPr="00F91CFC">
        <w:t>, como se explica en la subsección siguiente.</w:t>
      </w:r>
    </w:p>
    <w:p w14:paraId="24C46CE6" w14:textId="3F83C9AB" w:rsidR="007F32C8" w:rsidRPr="00F91CFC" w:rsidRDefault="00B00016" w:rsidP="00F347FD">
      <w:pPr>
        <w:pStyle w:val="CBDH2"/>
      </w:pPr>
      <w:r w:rsidRPr="00F91CFC">
        <w:t>C.</w:t>
      </w:r>
      <w:r w:rsidRPr="00F91CFC">
        <w:tab/>
        <w:t>Propuestas sobre la periodicidad más adecuada para emitir notificaciones destinadas a modificar la lista de Partes establecida de conformidad con el párrafo 2 del artículo 20 del Convenio</w:t>
      </w:r>
    </w:p>
    <w:p w14:paraId="4C338643" w14:textId="6541E62E" w:rsidR="00F34473" w:rsidRPr="00F91CFC" w:rsidRDefault="00110B5B" w:rsidP="00F347FD">
      <w:pPr>
        <w:pStyle w:val="CBDNormalNumber"/>
        <w:ind w:left="567"/>
      </w:pPr>
      <w:r w:rsidRPr="00F91CFC">
        <w:t>Como se pide en el subpárrafo 47 b) de la decisión </w:t>
      </w:r>
      <w:hyperlink r:id="rId71" w:history="1">
        <w:r w:rsidRPr="00F91CFC">
          <w:rPr>
            <w:rStyle w:val="Hipervnculo"/>
          </w:rPr>
          <w:t>15/7</w:t>
        </w:r>
      </w:hyperlink>
      <w:r w:rsidRPr="00F91CFC">
        <w:t>, la Secretaria Ejecutiva emitió una notificación</w:t>
      </w:r>
      <w:r w:rsidR="001B4234" w:rsidRPr="00F91CFC">
        <w:rPr>
          <w:rStyle w:val="Refdenotaalpie"/>
        </w:rPr>
        <w:footnoteReference w:id="5"/>
      </w:r>
      <w:r w:rsidRPr="00F91CFC">
        <w:t xml:space="preserve"> en la que invitó a las Partes que son países en desarrollo y a las Partes con economías en transición a que consideraran, teniendo en cuenta las circunstancias nacionales, si están en condiciones de asumir voluntariamente las obligaciones de las Partes que son países desarrollados en consonancia con el artículo 20 del Convenio y a que, en ese caso, se lo indicaran.</w:t>
      </w:r>
    </w:p>
    <w:p w14:paraId="6FB29373" w14:textId="242CAAF2" w:rsidR="00F34473" w:rsidRPr="00F91CFC" w:rsidRDefault="00A22CBF" w:rsidP="00F347FD">
      <w:pPr>
        <w:pStyle w:val="CBDNormalNumber"/>
        <w:ind w:left="567"/>
      </w:pPr>
      <w:r w:rsidRPr="00F91CFC">
        <w:t xml:space="preserve">En el párrafo 18 de la decisión </w:t>
      </w:r>
      <w:hyperlink r:id="rId72" w:history="1">
        <w:r w:rsidRPr="00F91CFC">
          <w:rPr>
            <w:rStyle w:val="Hipervnculo"/>
          </w:rPr>
          <w:t>16/34</w:t>
        </w:r>
      </w:hyperlink>
      <w:r w:rsidRPr="00F91CFC">
        <w:t>, la Conferencia de las Partes tomó nota de que ninguna Parte había respondido a la invitación mencionada y, a este respecto, pidió a la Secretaria Ejecutiva que considerara cuál sería la periodicidad más adecuada para emitir una nueva ronda de notificaciones.</w:t>
      </w:r>
    </w:p>
    <w:p w14:paraId="4DF332E4" w14:textId="77DAFAB8" w:rsidR="00695413" w:rsidRPr="00F91CFC" w:rsidRDefault="00316998" w:rsidP="00F347FD">
      <w:pPr>
        <w:pStyle w:val="CBDNormalNumber"/>
        <w:ind w:left="567"/>
      </w:pPr>
      <w:r w:rsidRPr="00F91CFC">
        <w:t>El documento CBD/SBI/7/3/Add.1 se ha elaborado en respuesta a esa petición. En ese documento se señala que el intento más reciente de actualización de la lista</w:t>
      </w:r>
      <w:r w:rsidRPr="00F91CFC">
        <w:rPr>
          <w:rFonts w:ascii="Segoe UI" w:hAnsi="Segoe UI"/>
          <w:color w:val="1D1D1D"/>
          <w:shd w:val="clear" w:color="auto" w:fill="FFFFFF"/>
        </w:rPr>
        <w:t xml:space="preserve"> </w:t>
      </w:r>
      <w:r w:rsidRPr="00F91CFC">
        <w:t xml:space="preserve">de Partes establecida de conformidad con el artículo 20 2), con arreglo al subpárrafo 47 b) de la decisión </w:t>
      </w:r>
      <w:hyperlink r:id="rId73" w:history="1">
        <w:r w:rsidRPr="00F91CFC">
          <w:rPr>
            <w:rStyle w:val="Hipervnculo"/>
          </w:rPr>
          <w:t>15/7</w:t>
        </w:r>
      </w:hyperlink>
      <w:r w:rsidRPr="00F91CFC">
        <w:t>, se centró en los países que podrían asumir voluntariamente las obligaciones de las Partes que son países desarrollados. No obstante, la lista que se establecerá y se examinará y modificará periódicamente de conformidad con el artículo 20 2) incluirá tanto a Partes que son países desarrollados como a otras Partes que asuman voluntariamente las obligaciones de los países desarrollados. Por lo tanto, en el documento se establecen dos vías conceptuales para que una Parte en el Convenio sea incluida en la lista: ya sea como una Parte que es un país desarrollado, o bien como otra Parte que asume, de forma voluntaria, las obligaciones de las Partes que son países desarrollados.</w:t>
      </w:r>
    </w:p>
    <w:p w14:paraId="16B17BDF" w14:textId="51D1CAEC" w:rsidR="00A859AB" w:rsidRPr="00F91CFC" w:rsidRDefault="0059707F" w:rsidP="00684DFA">
      <w:pPr>
        <w:pStyle w:val="CBDNormalNumber"/>
        <w:numPr>
          <w:ilvl w:val="0"/>
          <w:numId w:val="8"/>
        </w:numPr>
      </w:pPr>
      <w:r w:rsidRPr="00F91CFC">
        <w:t xml:space="preserve">En el documento se introduce el concepto de “masa crítica” con el fin de determinar la periodicidad más adecuada para invitar a presentar manifestaciones de interés en ser incluido en la lista de Partes; es decir, cuántas manifestaciones de interés de este tipo cabe esperar razonablemente que se reciban en respuesta a la notificación. Dado que no existe una definición oficial para todo el sistema de las Naciones Unidas de la expresión “países desarrollados”, el documento contiene un resumen y una evaluación de los sistemas de clasificación de países pertinentes existentes, los criterios subyacentes y las listas resultantes de países que mantienen y aplican las Naciones Unidas </w:t>
      </w:r>
      <w:r w:rsidRPr="00F91CFC">
        <w:lastRenderedPageBreak/>
        <w:t>y las organizaciones internacionales pertinentes y que podrían servir de referencia para orientar las decisiones pertinentes en ambas vías y para determinar si existen “masas críticas”</w:t>
      </w:r>
      <w:r w:rsidR="00835AA1" w:rsidRPr="00F91CFC">
        <w:rPr>
          <w:rStyle w:val="Refdenotaalpie"/>
        </w:rPr>
        <w:footnoteReference w:id="6"/>
      </w:r>
      <w:r w:rsidRPr="00F91CFC">
        <w:t>.</w:t>
      </w:r>
    </w:p>
    <w:p w14:paraId="430C0B35" w14:textId="69DD073C" w:rsidR="00A859AB" w:rsidRPr="00F91CFC" w:rsidRDefault="002578EB" w:rsidP="000F43DA">
      <w:pPr>
        <w:pStyle w:val="CBDNormalNumber"/>
        <w:numPr>
          <w:ilvl w:val="0"/>
          <w:numId w:val="8"/>
        </w:numPr>
      </w:pPr>
      <w:r w:rsidRPr="00F91CFC">
        <w:t>En concreto, en lo que respecta a la determinación por los responsables de la toma de decisiones de nivel nacional sobre si una Parte debería considerar, de forma voluntaria, la posibilidad de asumir las responsabilidades de las Partes que son países desarrollados, de conformidad con el párrafo 2 del artículo 20, se señala en el documento que tal determinación puede resultar difícil, ya que los responsables de la toma de decisiones de muchas Partes, en lo que se refiere a la “cercanía” de su país con los países desarrollados, pueden percibir que su país se encuentra en una especie de zona gris. Los sistemas de clasificación y las listas de países conexas que se analizaron en el documento, en su conjunto, podrían servir de base para esa determinación.</w:t>
      </w:r>
    </w:p>
    <w:p w14:paraId="6CF81CBD" w14:textId="72A506A7" w:rsidR="00E33C86" w:rsidRPr="00F91CFC" w:rsidRDefault="00695413" w:rsidP="00684DFA">
      <w:pPr>
        <w:pStyle w:val="CBDNormalNumber"/>
        <w:numPr>
          <w:ilvl w:val="0"/>
          <w:numId w:val="8"/>
        </w:numPr>
      </w:pPr>
      <w:r w:rsidRPr="00F91CFC">
        <w:t>El análisis que se presenta en el documento sugiere que existen “masas críticas” para las dos vías conceptuales mencionadas anteriormente, incluso cuando se aplica el conjunto de criterios más restrictivo (lo que da lugar a la lista de países más reducida). En lo que respecta a las Partes que son países desarrollados, a los efectos del artículo 20 2), en el análisis se señala que hay ocho miembros de pleno derecho del Comité de Ayuda al Desarrollo de la Organización para la Cooperación y el Desarrollo Económicos que son Partes en el Convenio y no figuran en la lista de Partes establecida con arreglo al artículo 20 2). En la última actualización, realizada en 2006, ser miembro de pleno derecho del Comité de Ayuda al Desarrollo no era una condición necesaria para la inclusión en la lista. Por otra parte, todos los países que figuran en la lista vigente, elaborada en 2006, con una sola excepción, son miembros de pleno derecho del Comité de Ayuda al Desarrollo. Teniendo en cuenta los motivos que justifican la condición de miembro de pleno derecho del Comité de Ayuda al Desarrollo, como se explica en el documento, se sostiene que el hecho de integrar ese comité podría constituir, por sí mismo, una indicación pertinente para ser incluido en la lista.</w:t>
      </w:r>
    </w:p>
    <w:p w14:paraId="16F7BB93" w14:textId="1FC17A5D" w:rsidR="00621AC0" w:rsidRPr="00F91CFC" w:rsidRDefault="00C224D4" w:rsidP="00684DFA">
      <w:pPr>
        <w:pStyle w:val="CBDNormalNumber"/>
        <w:numPr>
          <w:ilvl w:val="0"/>
          <w:numId w:val="8"/>
        </w:numPr>
      </w:pPr>
      <w:r w:rsidRPr="00F91CFC">
        <w:t>En cuanto a otras Partes que podrían posiblemente asumir, de forma voluntaria, las obligaciones de los países desarrollados de conformidad con el artículo 20 2), en el análisis se señala que, incluso aplicando el conjunto más restrictivo de criterios de los sistemas restantes, sigue habiendo siete participantes y un miembro asociado del Comité de Ayuda al Desarrollo que son Partes en el Convenio pero no figuran en la lista del Convenio.</w:t>
      </w:r>
    </w:p>
    <w:p w14:paraId="11B854E5" w14:textId="5C7FFD34" w:rsidR="009870F4" w:rsidRPr="00F91CFC" w:rsidRDefault="00695413" w:rsidP="00684DFA">
      <w:pPr>
        <w:pStyle w:val="CBDNormalNumber"/>
        <w:numPr>
          <w:ilvl w:val="0"/>
          <w:numId w:val="8"/>
        </w:numPr>
      </w:pPr>
      <w:r w:rsidRPr="00F91CFC">
        <w:t>La existencia de estas masas críticas sugiere que se podrían tomar medidas de inmediato. La periodicidad de las medidas futuras dependería también del éxito de esta medida inmediata; inicialmente, repetir la medida cada dos reuniones de la Conferencia de las Partes parecería constituir un compromiso razonable. En el proyecto de recomendación que figura en la sección IV a continuación se incluye texto al respecto.</w:t>
      </w:r>
    </w:p>
    <w:p w14:paraId="0CDCD6C1" w14:textId="35218F4E" w:rsidR="00BA72C4" w:rsidRPr="00F91CFC" w:rsidRDefault="00F439DA" w:rsidP="00BA72C4">
      <w:pPr>
        <w:pStyle w:val="CBDH1"/>
      </w:pPr>
      <w:r w:rsidRPr="00F91CFC">
        <w:t>IV.</w:t>
      </w:r>
      <w:r w:rsidRPr="00F91CFC">
        <w:tab/>
        <w:t>Recomendación</w:t>
      </w:r>
    </w:p>
    <w:p w14:paraId="2E972779" w14:textId="28D0EC1E" w:rsidR="00BA72C4" w:rsidRPr="00F91CFC" w:rsidRDefault="00BA72C4" w:rsidP="00F347FD">
      <w:pPr>
        <w:pStyle w:val="CBDNormalNumber"/>
        <w:ind w:left="567"/>
      </w:pPr>
      <w:r w:rsidRPr="00F91CFC">
        <w:t>Teniendo en cuenta la información proporcionada anteriormente, el Órgano Subsidiario sobre la Aplicación tal vez desee adoptar una recomendación del siguiente tenor:</w:t>
      </w:r>
    </w:p>
    <w:p w14:paraId="0C807269" w14:textId="64014C4F" w:rsidR="00380864" w:rsidRPr="00F91CFC" w:rsidRDefault="00225286" w:rsidP="000E4EE5">
      <w:pPr>
        <w:pStyle w:val="CBDNormalNoNumber"/>
        <w:keepNext/>
        <w:ind w:firstLine="567"/>
        <w:rPr>
          <w:i/>
          <w:iCs/>
        </w:rPr>
      </w:pPr>
      <w:r w:rsidRPr="00F91CFC">
        <w:rPr>
          <w:i/>
        </w:rPr>
        <w:t>El Órgano Subsidiario sobre la Aplicación</w:t>
      </w:r>
    </w:p>
    <w:p w14:paraId="125FBBE2" w14:textId="4AC5079B" w:rsidR="006D57D3" w:rsidRPr="00F91CFC" w:rsidRDefault="002725F4" w:rsidP="000E4EE5">
      <w:pPr>
        <w:pStyle w:val="CBDNormalNumber"/>
        <w:numPr>
          <w:ilvl w:val="0"/>
          <w:numId w:val="0"/>
        </w:numPr>
        <w:ind w:left="567" w:firstLine="567"/>
      </w:pPr>
      <w:r w:rsidRPr="00F91CFC">
        <w:t>1.</w:t>
      </w:r>
      <w:r w:rsidRPr="00F91CFC">
        <w:tab/>
      </w:r>
      <w:r w:rsidRPr="00F91CFC">
        <w:rPr>
          <w:i/>
        </w:rPr>
        <w:t>Toma nota</w:t>
      </w:r>
      <w:r w:rsidRPr="00F91CFC">
        <w:t xml:space="preserve"> del informe sobre los progresos realizados en la aplicación de la decisión </w:t>
      </w:r>
      <w:hyperlink r:id="rId74" w:history="1">
        <w:r w:rsidRPr="00F91CFC">
          <w:rPr>
            <w:rStyle w:val="Hipervnculo"/>
          </w:rPr>
          <w:t>16/34</w:t>
        </w:r>
      </w:hyperlink>
      <w:r w:rsidRPr="00F91CFC">
        <w:t>, de 27 de febrero de 2025</w:t>
      </w:r>
      <w:r w:rsidR="000A2D65" w:rsidRPr="00F91CFC">
        <w:rPr>
          <w:rStyle w:val="Refdenotaalpie"/>
        </w:rPr>
        <w:footnoteReference w:id="7"/>
      </w:r>
      <w:r w:rsidRPr="00F91CFC">
        <w:t>, preparado por la Secretaría del Convenio sobre la Diversidad Biológica</w:t>
      </w:r>
      <w:r w:rsidRPr="00F91CFC">
        <w:rPr>
          <w:rStyle w:val="Refdenotaalpie"/>
        </w:rPr>
        <w:footnoteReference w:id="8"/>
      </w:r>
      <w:r w:rsidRPr="00F91CFC">
        <w:t>;</w:t>
      </w:r>
    </w:p>
    <w:p w14:paraId="3D9D18DF" w14:textId="53B75445" w:rsidR="003672E1" w:rsidRPr="00F91CFC" w:rsidRDefault="002725F4" w:rsidP="000E4EE5">
      <w:pPr>
        <w:pStyle w:val="CBDNormalNumber"/>
        <w:numPr>
          <w:ilvl w:val="0"/>
          <w:numId w:val="0"/>
        </w:numPr>
        <w:ind w:left="567" w:firstLine="567"/>
      </w:pPr>
      <w:r w:rsidRPr="00F91CFC">
        <w:lastRenderedPageBreak/>
        <w:t>2.</w:t>
      </w:r>
      <w:r w:rsidRPr="00F91CFC">
        <w:tab/>
      </w:r>
      <w:r w:rsidRPr="00F91CFC">
        <w:rPr>
          <w:i/>
        </w:rPr>
        <w:t>Recomienda</w:t>
      </w:r>
      <w:r w:rsidRPr="00F91CFC">
        <w:t xml:space="preserve"> a la Conferencia de las Partes que, en su 17ª reunión, adopte una decisión</w:t>
      </w:r>
      <w:r w:rsidR="00323512" w:rsidRPr="00F91CFC">
        <w:rPr>
          <w:rStyle w:val="Refdenotaalpie"/>
        </w:rPr>
        <w:footnoteReference w:id="9"/>
      </w:r>
      <w:r w:rsidRPr="00F91CFC">
        <w:t xml:space="preserve"> sobre movilización de recursos que incluya los elementos siguientes</w:t>
      </w:r>
      <w:r w:rsidRPr="00F91CFC">
        <w:rPr>
          <w:rStyle w:val="Refdenotaalpie"/>
        </w:rPr>
        <w:footnoteReference w:id="10"/>
      </w:r>
      <w:r w:rsidRPr="00F91CFC">
        <w:t>:</w:t>
      </w:r>
    </w:p>
    <w:p w14:paraId="34EAD7AC" w14:textId="56482694" w:rsidR="00E50660" w:rsidRPr="00F91CFC" w:rsidRDefault="00E50660" w:rsidP="000E4EE5">
      <w:pPr>
        <w:pStyle w:val="CBDNormalNumber"/>
        <w:keepNext/>
        <w:numPr>
          <w:ilvl w:val="0"/>
          <w:numId w:val="0"/>
        </w:numPr>
        <w:tabs>
          <w:tab w:val="clear" w:pos="567"/>
        </w:tabs>
        <w:ind w:left="1134" w:firstLine="567"/>
        <w:rPr>
          <w:i/>
          <w:iCs/>
        </w:rPr>
      </w:pPr>
      <w:r w:rsidRPr="00F91CFC">
        <w:rPr>
          <w:i/>
        </w:rPr>
        <w:t>La Conferencia de las Partes</w:t>
      </w:r>
    </w:p>
    <w:p w14:paraId="7BA0D7C4" w14:textId="30CE59E9" w:rsidR="003B3FF4" w:rsidRPr="00F91CFC" w:rsidRDefault="00FA1FB0" w:rsidP="00312432">
      <w:pPr>
        <w:pStyle w:val="CBDNormalNumber"/>
        <w:numPr>
          <w:ilvl w:val="0"/>
          <w:numId w:val="0"/>
        </w:numPr>
        <w:tabs>
          <w:tab w:val="clear" w:pos="567"/>
        </w:tabs>
        <w:ind w:left="1134" w:firstLine="567"/>
      </w:pPr>
      <w:r w:rsidRPr="00F91CFC">
        <w:t>1.</w:t>
      </w:r>
      <w:r w:rsidRPr="00F91CFC">
        <w:tab/>
      </w:r>
      <w:r w:rsidRPr="00F91CFC">
        <w:rPr>
          <w:i/>
        </w:rPr>
        <w:t>Toma nota</w:t>
      </w:r>
      <w:r w:rsidRPr="00F91CFC">
        <w:t xml:space="preserve"> de la revisión de la aplicación de la estrategia para la movilización de recursos para el período 2025-2030</w:t>
      </w:r>
      <w:r w:rsidR="0099616C" w:rsidRPr="00F91CFC">
        <w:rPr>
          <w:rStyle w:val="Refdenotaalpie"/>
        </w:rPr>
        <w:footnoteReference w:id="11"/>
      </w:r>
      <w:r w:rsidRPr="00F91CFC">
        <w:t xml:space="preserve"> que se ha llevado a cabo mediante la revisión mundial de los progresos colectivos en la implementación del Marco Mundial de Biodiversidad de Kunming-Montreal</w:t>
      </w:r>
      <w:r w:rsidR="006313FC" w:rsidRPr="00F91CFC">
        <w:rPr>
          <w:rStyle w:val="Refdenotaalpie"/>
        </w:rPr>
        <w:footnoteReference w:id="12"/>
      </w:r>
      <w:r w:rsidRPr="00F91CFC">
        <w:t>;</w:t>
      </w:r>
    </w:p>
    <w:p w14:paraId="3A892690" w14:textId="35AA2A7D" w:rsidR="002A70D6" w:rsidRPr="00F91CFC" w:rsidRDefault="00FA1FB0" w:rsidP="00721406">
      <w:pPr>
        <w:pStyle w:val="CBDNormalNumber"/>
        <w:numPr>
          <w:ilvl w:val="0"/>
          <w:numId w:val="0"/>
        </w:numPr>
        <w:tabs>
          <w:tab w:val="clear" w:pos="567"/>
        </w:tabs>
        <w:ind w:left="1134" w:firstLine="567"/>
      </w:pPr>
      <w:r w:rsidRPr="00F91CFC">
        <w:t>2.</w:t>
      </w:r>
      <w:r w:rsidRPr="00F91CFC">
        <w:tab/>
      </w:r>
      <w:r w:rsidRPr="00F91CFC">
        <w:rPr>
          <w:i/>
        </w:rPr>
        <w:t>Adopta</w:t>
      </w:r>
      <w:r w:rsidRPr="00F91CFC">
        <w:t xml:space="preserve"> los criterios para la estructura institucional encargada del funcionamiento del mecanismo financiero previsto en el artículo 21 del Convenio sobre la Diversidad Biológica</w:t>
      </w:r>
      <w:r w:rsidR="00BC6AD3" w:rsidRPr="00F91CFC">
        <w:rPr>
          <w:rStyle w:val="Refdenotaalpie"/>
        </w:rPr>
        <w:footnoteReference w:id="13"/>
      </w:r>
      <w:r w:rsidRPr="00F91CFC">
        <w:t xml:space="preserve"> que consisten en los elementos enumerados en el párrafo 21 de la decisión </w:t>
      </w:r>
      <w:hyperlink r:id="rId75" w:history="1">
        <w:r w:rsidRPr="00F91CFC">
          <w:rPr>
            <w:rStyle w:val="Hipervnculo"/>
          </w:rPr>
          <w:t>16/34</w:t>
        </w:r>
      </w:hyperlink>
      <w:r w:rsidRPr="00F91CFC">
        <w:t>, de 27 de febrero de 2025, y las modificaciones de esos elementos incluidas en el anexo I de la presente decisión;</w:t>
      </w:r>
    </w:p>
    <w:p w14:paraId="51AE0138" w14:textId="509F293B" w:rsidR="000B5894" w:rsidRPr="00F91CFC" w:rsidRDefault="00074688" w:rsidP="00FA1FB0">
      <w:pPr>
        <w:pStyle w:val="CBDNormalNumber"/>
        <w:numPr>
          <w:ilvl w:val="0"/>
          <w:numId w:val="0"/>
        </w:numPr>
        <w:tabs>
          <w:tab w:val="clear" w:pos="567"/>
        </w:tabs>
        <w:ind w:left="1134" w:firstLine="567"/>
      </w:pPr>
      <w:r w:rsidRPr="00F91CFC">
        <w:t>3.</w:t>
      </w:r>
      <w:r w:rsidRPr="00F91CFC">
        <w:tab/>
      </w:r>
      <w:r w:rsidRPr="00F91CFC">
        <w:rPr>
          <w:i/>
        </w:rPr>
        <w:t>Invita</w:t>
      </w:r>
      <w:r w:rsidRPr="00F91CFC">
        <w:t xml:space="preserve"> a las entidades financieras existentes pertinentes a que tengan en cuenta esos criterios, según proceda, en sus esfuerzos continuos por reformar o mejorar sus operaciones;</w:t>
      </w:r>
    </w:p>
    <w:p w14:paraId="1021F783" w14:textId="3B5F510F" w:rsidR="00666F17" w:rsidRPr="00F91CFC" w:rsidRDefault="00074688" w:rsidP="003A4540">
      <w:pPr>
        <w:pStyle w:val="CBDNormalNumber"/>
        <w:numPr>
          <w:ilvl w:val="0"/>
          <w:numId w:val="0"/>
        </w:numPr>
        <w:tabs>
          <w:tab w:val="clear" w:pos="567"/>
          <w:tab w:val="clear" w:pos="1701"/>
        </w:tabs>
        <w:ind w:left="1170" w:firstLine="531"/>
      </w:pPr>
      <w:r w:rsidRPr="00F91CFC">
        <w:t>4.</w:t>
      </w:r>
      <w:r w:rsidRPr="00F91CFC">
        <w:tab/>
      </w:r>
      <w:r w:rsidRPr="00F91CFC">
        <w:rPr>
          <w:i/>
        </w:rPr>
        <w:t>Pide</w:t>
      </w:r>
      <w:r w:rsidRPr="00F91CFC">
        <w:t xml:space="preserve"> al Órgano Subsidiario sobre la Aplicación que, de conformidad con la hoja de ruta establecida en el párrafo 22 de la decisión </w:t>
      </w:r>
      <w:hyperlink r:id="rId76" w:history="1">
        <w:r w:rsidRPr="00F91CFC">
          <w:rPr>
            <w:rStyle w:val="Hipervnculo"/>
          </w:rPr>
          <w:t>16/34</w:t>
        </w:r>
      </w:hyperlink>
      <w:r w:rsidRPr="00F91CFC">
        <w:t xml:space="preserve">, en una reunión que se celebre antes de la 18ª reunión de la Conferencia de las Partes: </w:t>
      </w:r>
    </w:p>
    <w:p w14:paraId="02212400" w14:textId="15EE1916" w:rsidR="00666F17" w:rsidRPr="00F91CFC" w:rsidRDefault="00666F17" w:rsidP="00F347FD">
      <w:pPr>
        <w:pStyle w:val="CBDNormalNumber"/>
        <w:numPr>
          <w:ilvl w:val="0"/>
          <w:numId w:val="0"/>
        </w:numPr>
        <w:tabs>
          <w:tab w:val="clear" w:pos="567"/>
          <w:tab w:val="clear" w:pos="1701"/>
        </w:tabs>
        <w:ind w:left="1134" w:firstLine="567"/>
      </w:pPr>
      <w:r w:rsidRPr="00F91CFC">
        <w:t>a)</w:t>
      </w:r>
      <w:r w:rsidRPr="00F91CFC">
        <w:tab/>
        <w:t>Lleve a cabo una revisión de los progresos realizados en la reforma de las entidades financieras existentes pertinentes a los efectos de que cumplan los criterios, basándose en el séptimo examen cuatrienal de la eficacia del mecanismo financiero que se menciona en el párrafo 40 de la decisión </w:t>
      </w:r>
      <w:hyperlink r:id="rId77" w:history="1">
        <w:r w:rsidRPr="00F91CFC">
          <w:rPr>
            <w:rStyle w:val="Hipervnculo"/>
          </w:rPr>
          <w:t>16/33</w:t>
        </w:r>
      </w:hyperlink>
      <w:r w:rsidRPr="00F91CFC">
        <w:t>, de 27 de febrero de 2025, teniendo en cuenta asimismo la labor realizada con arreglo al párrafo 41 de la misma decisión;</w:t>
      </w:r>
    </w:p>
    <w:p w14:paraId="4C6ECB72" w14:textId="0284F616" w:rsidR="00666F17" w:rsidRPr="00F91CFC" w:rsidRDefault="00666F17" w:rsidP="00F347FD">
      <w:pPr>
        <w:pStyle w:val="CBDNormalNumber"/>
        <w:numPr>
          <w:ilvl w:val="0"/>
          <w:numId w:val="0"/>
        </w:numPr>
        <w:tabs>
          <w:tab w:val="clear" w:pos="567"/>
          <w:tab w:val="clear" w:pos="1701"/>
        </w:tabs>
        <w:ind w:left="1134" w:firstLine="567"/>
      </w:pPr>
      <w:r w:rsidRPr="00F91CFC">
        <w:t>b)</w:t>
      </w:r>
      <w:r w:rsidRPr="00F91CFC">
        <w:tab/>
        <w:t>Prepare los elementos de un proyecto de decisión, que se someterá a la consideración de la Conferencia de las Partes en su 18ª reunión, en el que se determine si se crea una nueva entidad encargada del funcionamiento del mecanismo financiero, ya sea por sí misma o junto a una entidad o entidades existentes, o si se confirma a una entidad o entidades existentes en esa función;</w:t>
      </w:r>
    </w:p>
    <w:p w14:paraId="517FBE24" w14:textId="41E15274" w:rsidR="00666F17" w:rsidRPr="00F91CFC" w:rsidRDefault="00666F17" w:rsidP="00F347FD">
      <w:pPr>
        <w:pStyle w:val="CBDNormalNumber"/>
        <w:numPr>
          <w:ilvl w:val="0"/>
          <w:numId w:val="0"/>
        </w:numPr>
        <w:tabs>
          <w:tab w:val="clear" w:pos="567"/>
          <w:tab w:val="clear" w:pos="1701"/>
        </w:tabs>
        <w:ind w:left="1134" w:firstLine="567"/>
      </w:pPr>
      <w:r w:rsidRPr="00F91CFC">
        <w:t>c)</w:t>
      </w:r>
      <w:r w:rsidRPr="00F91CFC">
        <w:tab/>
        <w:t>Incluya entre los elementos de un proyecto de decisión, si procede, el establecimiento de un proceso para el período entre reuniones destinado a definir el mandato y las modalidades de una nueva entidad sobre la base de los criterios;</w:t>
      </w:r>
    </w:p>
    <w:p w14:paraId="2CAE40DF" w14:textId="4BABD77E" w:rsidR="00666F17" w:rsidRPr="00F91CFC" w:rsidRDefault="00666F17" w:rsidP="00F347FD">
      <w:pPr>
        <w:pStyle w:val="CBDNormalNumber"/>
        <w:numPr>
          <w:ilvl w:val="0"/>
          <w:numId w:val="0"/>
        </w:numPr>
        <w:tabs>
          <w:tab w:val="clear" w:pos="567"/>
          <w:tab w:val="clear" w:pos="1701"/>
        </w:tabs>
        <w:ind w:left="1134" w:firstLine="567"/>
      </w:pPr>
      <w:r w:rsidRPr="00F91CFC">
        <w:t>d)</w:t>
      </w:r>
      <w:r w:rsidRPr="00F91CFC">
        <w:tab/>
        <w:t>Lleve a cabo una revisión de balance sobre las operaciones y el desempeño del Fondo para el Marco Mundial de Biodiversidad, como se establece en las decisiones </w:t>
      </w:r>
      <w:hyperlink r:id="rId78" w:history="1">
        <w:r w:rsidRPr="00F91CFC">
          <w:rPr>
            <w:rStyle w:val="Hipervnculo"/>
          </w:rPr>
          <w:t>15/7</w:t>
        </w:r>
      </w:hyperlink>
      <w:r w:rsidRPr="00F91CFC">
        <w:t xml:space="preserve"> y </w:t>
      </w:r>
      <w:hyperlink r:id="rId79" w:history="1">
        <w:r w:rsidRPr="00F91CFC">
          <w:rPr>
            <w:rStyle w:val="Hipervnculo"/>
          </w:rPr>
          <w:t>15/15</w:t>
        </w:r>
      </w:hyperlink>
      <w:r w:rsidRPr="00F91CFC">
        <w:t>, de 19 de diciembre de 2022, sobre la base de los informes mencionados en el párrafo 9 más adelante</w:t>
      </w:r>
      <w:r w:rsidR="00940E01" w:rsidRPr="00F91CFC">
        <w:rPr>
          <w:rStyle w:val="Refdenotaalpie"/>
        </w:rPr>
        <w:footnoteReference w:id="14"/>
      </w:r>
      <w:r w:rsidRPr="00F91CFC">
        <w:t>, los informes pertinentes del Fondo para el Medio Ambiente Mundial y otra información pertinente, según proceda;</w:t>
      </w:r>
    </w:p>
    <w:p w14:paraId="751C48D9" w14:textId="0C8D012E" w:rsidR="00EC607C" w:rsidRPr="00F91CFC" w:rsidRDefault="00666F17" w:rsidP="00F347FD">
      <w:pPr>
        <w:pStyle w:val="CBDNormalNumber"/>
        <w:numPr>
          <w:ilvl w:val="0"/>
          <w:numId w:val="0"/>
        </w:numPr>
        <w:tabs>
          <w:tab w:val="clear" w:pos="567"/>
          <w:tab w:val="clear" w:pos="1701"/>
        </w:tabs>
        <w:ind w:left="1134" w:firstLine="567"/>
      </w:pPr>
      <w:r w:rsidRPr="00F91CFC">
        <w:t>e)</w:t>
      </w:r>
      <w:r w:rsidRPr="00F91CFC">
        <w:tab/>
        <w:t>Formule una recomendación sobre la respuesta a la revisión de balance del Fondo para Marco Mundial de Biodiversidad y la integre en los elementos de un proyecto de decisión que se someterá a la consideración de la Conferencia de las Partes en su 18ª reunión;</w:t>
      </w:r>
    </w:p>
    <w:p w14:paraId="63827D1B" w14:textId="1DA8CDEF" w:rsidR="00566A6D" w:rsidRPr="00F91CFC" w:rsidRDefault="00074688" w:rsidP="00EC607C">
      <w:pPr>
        <w:pStyle w:val="CBDNormalNumber"/>
        <w:numPr>
          <w:ilvl w:val="0"/>
          <w:numId w:val="0"/>
        </w:numPr>
        <w:tabs>
          <w:tab w:val="clear" w:pos="567"/>
        </w:tabs>
        <w:ind w:left="1134" w:firstLine="567"/>
      </w:pPr>
      <w:r w:rsidRPr="00F91CFC">
        <w:lastRenderedPageBreak/>
        <w:t>5.</w:t>
      </w:r>
      <w:r w:rsidRPr="00F91CFC">
        <w:tab/>
      </w:r>
      <w:r w:rsidRPr="00F91CFC">
        <w:rPr>
          <w:i/>
        </w:rPr>
        <w:t>Observa</w:t>
      </w:r>
      <w:r w:rsidRPr="00F91CFC">
        <w:t xml:space="preserve"> los impedimentos para la eficacia de la financiación mundial de la biodiversidad y los elementos para su ulterior mejora, expuestos en el anexo II de la presente decisión;</w:t>
      </w:r>
    </w:p>
    <w:p w14:paraId="58E5466F" w14:textId="7EAABA02" w:rsidR="00566A6D" w:rsidRPr="00F91CFC" w:rsidRDefault="00074688" w:rsidP="00EC607C">
      <w:pPr>
        <w:pStyle w:val="CBDNormalNumber"/>
        <w:numPr>
          <w:ilvl w:val="0"/>
          <w:numId w:val="0"/>
        </w:numPr>
        <w:tabs>
          <w:tab w:val="clear" w:pos="567"/>
        </w:tabs>
        <w:ind w:left="1134" w:firstLine="567"/>
      </w:pPr>
      <w:r w:rsidRPr="00F91CFC">
        <w:t>6.</w:t>
      </w:r>
      <w:r w:rsidRPr="00F91CFC">
        <w:tab/>
      </w:r>
      <w:r w:rsidRPr="00F91CFC">
        <w:rPr>
          <w:i/>
        </w:rPr>
        <w:t>Invita</w:t>
      </w:r>
      <w:r w:rsidRPr="00F91CFC">
        <w:t xml:space="preserve"> a las Partes, a otros Gobiernos, a las organizaciones pertinentes, a los bancos multilaterales de desarrollo, al sector privado y a otros interesados a que adopten medidas de forma inmediata, siempre que sea posible y según proceda, en relación con los elementos para la ulterior mejora de la financiación mundial de la biodiversidad;</w:t>
      </w:r>
    </w:p>
    <w:p w14:paraId="048AF955" w14:textId="5CEBAD02" w:rsidR="008421EE" w:rsidRPr="00F91CFC" w:rsidRDefault="00074688" w:rsidP="00EC607C">
      <w:pPr>
        <w:pStyle w:val="CBDNormalNumber"/>
        <w:numPr>
          <w:ilvl w:val="0"/>
          <w:numId w:val="0"/>
        </w:numPr>
        <w:tabs>
          <w:tab w:val="clear" w:pos="567"/>
        </w:tabs>
        <w:ind w:left="1134" w:firstLine="567"/>
      </w:pPr>
      <w:r w:rsidRPr="00F91CFC">
        <w:t>7.</w:t>
      </w:r>
      <w:r w:rsidRPr="00F91CFC">
        <w:tab/>
      </w:r>
      <w:r w:rsidRPr="00F91CFC">
        <w:rPr>
          <w:i/>
        </w:rPr>
        <w:t>Pide</w:t>
      </w:r>
      <w:r w:rsidRPr="00F91CFC">
        <w:t xml:space="preserve"> al Órgano Subsidiario sobre la Aplicación que, en una reunión que se celebre antes de la 18ª reunión de la Conferencia de las Partes y de conformidad con la hoja de ruta establecida en el párrafo 23 de la decisión </w:t>
      </w:r>
      <w:hyperlink r:id="rId80" w:history="1">
        <w:r w:rsidRPr="00F91CFC">
          <w:rPr>
            <w:rStyle w:val="Hipervnculo"/>
          </w:rPr>
          <w:t>16/34</w:t>
        </w:r>
      </w:hyperlink>
      <w:r w:rsidRPr="00F91CFC">
        <w:t>:</w:t>
      </w:r>
    </w:p>
    <w:p w14:paraId="528E209F" w14:textId="4CAE9F06" w:rsidR="009E3402" w:rsidRPr="00F91CFC" w:rsidRDefault="008421EE" w:rsidP="00EC607C">
      <w:pPr>
        <w:pStyle w:val="CBDNormalNumber"/>
        <w:numPr>
          <w:ilvl w:val="0"/>
          <w:numId w:val="0"/>
        </w:numPr>
        <w:tabs>
          <w:tab w:val="clear" w:pos="567"/>
        </w:tabs>
        <w:ind w:left="1134" w:firstLine="567"/>
      </w:pPr>
      <w:r w:rsidRPr="00F91CFC">
        <w:t>a)</w:t>
      </w:r>
      <w:r w:rsidRPr="00F91CFC">
        <w:tab/>
        <w:t>Elabore, basándose entre otras cosas en los elementos que figuran en el anexo II de la presente decisión, las medidas que podrían adoptarse para mejorar la financiación mundial de la biodiversidad con el fin de movilizar recursos nuevos y adicionales procedentes de todas las fuentes;</w:t>
      </w:r>
    </w:p>
    <w:p w14:paraId="66270803" w14:textId="3089F044" w:rsidR="00941C14" w:rsidRPr="00F91CFC" w:rsidRDefault="009E3402" w:rsidP="00EC607C">
      <w:pPr>
        <w:pStyle w:val="CBDNormalNumber"/>
        <w:numPr>
          <w:ilvl w:val="0"/>
          <w:numId w:val="0"/>
        </w:numPr>
        <w:tabs>
          <w:tab w:val="clear" w:pos="567"/>
        </w:tabs>
        <w:ind w:left="1134" w:firstLine="567"/>
      </w:pPr>
      <w:r w:rsidRPr="00F91CFC">
        <w:t>b)</w:t>
      </w:r>
      <w:r w:rsidRPr="00F91CFC">
        <w:tab/>
        <w:t>Evalúe los resultados de los instrumentos financieros y entidades pertinentes existentes con respecto a la implementación del Marco, en particular la meta 19 a);</w:t>
      </w:r>
    </w:p>
    <w:p w14:paraId="5359B6CF" w14:textId="75DA94C0" w:rsidR="00E66E9F" w:rsidRPr="00F91CFC" w:rsidRDefault="00CD754E" w:rsidP="00AA5EA4">
      <w:pPr>
        <w:pStyle w:val="CBDNormalNumber"/>
        <w:numPr>
          <w:ilvl w:val="0"/>
          <w:numId w:val="0"/>
        </w:numPr>
        <w:tabs>
          <w:tab w:val="clear" w:pos="567"/>
        </w:tabs>
        <w:ind w:left="1134" w:firstLine="567"/>
      </w:pPr>
      <w:r w:rsidRPr="00F91CFC">
        <w:t>8.</w:t>
      </w:r>
      <w:r w:rsidRPr="00F91CFC">
        <w:tab/>
      </w:r>
      <w:r w:rsidRPr="00F91CFC">
        <w:rPr>
          <w:i/>
        </w:rPr>
        <w:t>Invita</w:t>
      </w:r>
      <w:r w:rsidRPr="00F91CFC">
        <w:t xml:space="preserve"> a las Partes que son países desarrollados y a otras Partes que puedan asumir voluntariamente las obligaciones de las Partes que son países desarrollados, de conformidad con el párrafo 2 del artículo 20 del Convenio, a que comuniquen a la Secretaría su interés en ser incluidas en la lista correspondiente establecida de conformidad con ese artículo;</w:t>
      </w:r>
    </w:p>
    <w:p w14:paraId="50F15381" w14:textId="1D325BB3" w:rsidR="00CD754E" w:rsidRPr="00F91CFC" w:rsidRDefault="006D7A03" w:rsidP="00CD754E">
      <w:pPr>
        <w:pStyle w:val="CBDNormalNumber"/>
        <w:numPr>
          <w:ilvl w:val="0"/>
          <w:numId w:val="0"/>
        </w:numPr>
        <w:tabs>
          <w:tab w:val="clear" w:pos="567"/>
        </w:tabs>
        <w:ind w:left="1134" w:firstLine="567"/>
      </w:pPr>
      <w:r w:rsidRPr="00F91CFC">
        <w:t>9.</w:t>
      </w:r>
      <w:r w:rsidRPr="00F91CFC">
        <w:tab/>
      </w:r>
      <w:r w:rsidRPr="00F91CFC">
        <w:rPr>
          <w:i/>
        </w:rPr>
        <w:t>Pide</w:t>
      </w:r>
      <w:r w:rsidRPr="00F91CFC">
        <w:t xml:space="preserve"> a la Secretaria Ejecutiva que, con sujeción a la disponibilidad de recursos financieros, preste apoyo a la labor que se ha encomendado al Órgano Subsidiario sobre la Aplicación que lleve a cabo antes de la 18ª reunión de la Conferencia de las Partes, entre otras cosas elaborando o encargando la elaboración de informes que faciliten la consideración por el Órgano Subsidiario de los puntos que se mencionan en los párrafos 4 y 7 anteriores;</w:t>
      </w:r>
    </w:p>
    <w:p w14:paraId="7AB92428" w14:textId="07A95C57" w:rsidR="004F0522" w:rsidRPr="00F91CFC" w:rsidRDefault="00074688" w:rsidP="00B56071">
      <w:pPr>
        <w:pStyle w:val="CBDNormalNumber"/>
        <w:numPr>
          <w:ilvl w:val="0"/>
          <w:numId w:val="0"/>
        </w:numPr>
        <w:tabs>
          <w:tab w:val="clear" w:pos="567"/>
        </w:tabs>
        <w:ind w:left="1134" w:firstLine="567"/>
      </w:pPr>
      <w:r w:rsidRPr="00F91CFC">
        <w:t>10.</w:t>
      </w:r>
      <w:r w:rsidRPr="00F91CFC">
        <w:tab/>
      </w:r>
      <w:r w:rsidRPr="00F91CFC">
        <w:rPr>
          <w:i/>
        </w:rPr>
        <w:t>Pide también</w:t>
      </w:r>
      <w:r w:rsidRPr="00F91CFC">
        <w:t xml:space="preserve"> a la Secretaria Ejecutiva que:</w:t>
      </w:r>
    </w:p>
    <w:p w14:paraId="2F2F91EA" w14:textId="040460CF" w:rsidR="00081331" w:rsidRPr="00F91CFC" w:rsidRDefault="009D6356" w:rsidP="003A511A">
      <w:pPr>
        <w:pStyle w:val="CBDNormalNumber"/>
        <w:numPr>
          <w:ilvl w:val="0"/>
          <w:numId w:val="0"/>
        </w:numPr>
        <w:tabs>
          <w:tab w:val="clear" w:pos="567"/>
        </w:tabs>
        <w:ind w:left="1134" w:firstLine="567"/>
      </w:pPr>
      <w:r w:rsidRPr="00F91CFC">
        <w:t>a)</w:t>
      </w:r>
      <w:r w:rsidRPr="00F91CFC">
        <w:tab/>
        <w:t>Emita las invitaciones mencionadas en el párrafo 8 cada dos reuniones de la Conferencia de las Partes, a partir de su 19ª reunión;</w:t>
      </w:r>
    </w:p>
    <w:p w14:paraId="2216F2A6" w14:textId="2802BAA6" w:rsidR="00425542" w:rsidRPr="00F91CFC" w:rsidRDefault="006C05F9" w:rsidP="00B56071">
      <w:pPr>
        <w:pStyle w:val="CBDNormalNumber"/>
        <w:numPr>
          <w:ilvl w:val="0"/>
          <w:numId w:val="0"/>
        </w:numPr>
        <w:tabs>
          <w:tab w:val="clear" w:pos="567"/>
        </w:tabs>
        <w:ind w:left="1134" w:firstLine="567"/>
      </w:pPr>
      <w:r w:rsidRPr="00F91CFC">
        <w:t>b)</w:t>
      </w:r>
      <w:r w:rsidRPr="00F91CFC">
        <w:tab/>
        <w:t>Modifique la lista de Partes que son países desarrollados y de otras Partes que asumen voluntariamente las obligaciones de las Partes que son países desarrollados, de conformidad con las manifestaciones de interés recibidas, y presente la lista modificada para su examen y adopción cada dos reuniones de la Conferencia de las Partes, a partir de su 18ª reunión;</w:t>
      </w:r>
    </w:p>
    <w:p w14:paraId="709B8329" w14:textId="32BDEB5A" w:rsidR="000921D3" w:rsidRPr="00F91CFC" w:rsidRDefault="00361794" w:rsidP="00B56071">
      <w:pPr>
        <w:pStyle w:val="CBDNormalNumber"/>
        <w:numPr>
          <w:ilvl w:val="0"/>
          <w:numId w:val="0"/>
        </w:numPr>
        <w:tabs>
          <w:tab w:val="clear" w:pos="567"/>
        </w:tabs>
        <w:ind w:left="1134" w:firstLine="567"/>
      </w:pPr>
      <w:r w:rsidRPr="00F91CFC">
        <w:t>11.</w:t>
      </w:r>
      <w:r w:rsidRPr="00F91CFC">
        <w:tab/>
      </w:r>
      <w:r w:rsidRPr="00F91CFC">
        <w:rPr>
          <w:i/>
        </w:rPr>
        <w:t>Decide</w:t>
      </w:r>
      <w:r w:rsidRPr="00F91CFC">
        <w:t xml:space="preserve"> examinar el proceso descrito en los párrafos 8 y 10 anteriores en su 21ª reunión.</w:t>
      </w:r>
    </w:p>
    <w:p w14:paraId="475BF355" w14:textId="3BE87EE9" w:rsidR="00EC607C" w:rsidRPr="00F91CFC" w:rsidRDefault="003D197D" w:rsidP="00F347FD">
      <w:pPr>
        <w:pStyle w:val="CBDH1"/>
        <w:ind w:firstLine="0"/>
      </w:pPr>
      <w:r w:rsidRPr="00F91CFC">
        <w:t>Anexo I</w:t>
      </w:r>
    </w:p>
    <w:p w14:paraId="4860CE29" w14:textId="4CFD9DB3" w:rsidR="00F23CD6" w:rsidRPr="00F91CFC" w:rsidRDefault="00233E63" w:rsidP="00F347FD">
      <w:pPr>
        <w:pStyle w:val="CBDSubTitle"/>
      </w:pPr>
      <w:r w:rsidRPr="00F91CFC">
        <w:t>Modificaciones de los criterios para la estructura institucional encargada del funcionamiento del mecanismo financiero previsto en el artículo 21 del Convenio sobre la Diversidad Biológica</w:t>
      </w:r>
    </w:p>
    <w:p w14:paraId="511D42B2" w14:textId="333912FA" w:rsidR="00AD2F99" w:rsidRPr="00F91CFC" w:rsidRDefault="00350E70" w:rsidP="00F347FD">
      <w:pPr>
        <w:pStyle w:val="CBDNormalNumber"/>
        <w:numPr>
          <w:ilvl w:val="0"/>
          <w:numId w:val="0"/>
        </w:numPr>
        <w:tabs>
          <w:tab w:val="clear" w:pos="567"/>
        </w:tabs>
        <w:ind w:left="567"/>
      </w:pPr>
      <w:r w:rsidRPr="00F91CFC">
        <w:t>[Espacio reservado para las modificaciones]</w:t>
      </w:r>
    </w:p>
    <w:p w14:paraId="338C0281" w14:textId="223832A5" w:rsidR="008A5600" w:rsidRPr="00F91CFC" w:rsidRDefault="00991D5E" w:rsidP="00F347FD">
      <w:pPr>
        <w:pStyle w:val="CBDH1"/>
        <w:keepLines w:val="0"/>
        <w:ind w:firstLine="0"/>
      </w:pPr>
      <w:r w:rsidRPr="00F91CFC">
        <w:lastRenderedPageBreak/>
        <w:t>Anexo II</w:t>
      </w:r>
    </w:p>
    <w:p w14:paraId="0182634F" w14:textId="79E9C876" w:rsidR="008A5600" w:rsidRPr="00F91CFC" w:rsidRDefault="00144525" w:rsidP="00F347FD">
      <w:pPr>
        <w:pStyle w:val="CBDSubTitle"/>
      </w:pPr>
      <w:r w:rsidRPr="00F91CFC">
        <w:t>Impedimentos para la eficacia de la financiación mundial de la biodiversidad y elementos para su ulterior mejora</w:t>
      </w:r>
    </w:p>
    <w:tbl>
      <w:tblPr>
        <w:tblStyle w:val="Tablaconcuadrcula"/>
        <w:tblW w:w="0" w:type="auto"/>
        <w:tblInd w:w="562"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53"/>
        <w:gridCol w:w="4535"/>
      </w:tblGrid>
      <w:tr w:rsidR="004232E9" w:rsidRPr="00F91CFC" w14:paraId="7D96FE9C" w14:textId="77777777" w:rsidTr="00F347FD">
        <w:trPr>
          <w:tblHeader/>
        </w:trPr>
        <w:tc>
          <w:tcPr>
            <w:tcW w:w="4253" w:type="dxa"/>
            <w:tcBorders>
              <w:top w:val="single" w:sz="4" w:space="0" w:color="auto"/>
              <w:bottom w:val="single" w:sz="4" w:space="0" w:color="auto"/>
            </w:tcBorders>
          </w:tcPr>
          <w:p w14:paraId="368FBEF2" w14:textId="2579F984" w:rsidR="004232E9" w:rsidRPr="00F91CFC" w:rsidRDefault="004232E9" w:rsidP="00826AED">
            <w:pPr>
              <w:pStyle w:val="CBDNormalNumber"/>
              <w:numPr>
                <w:ilvl w:val="0"/>
                <w:numId w:val="0"/>
              </w:numPr>
              <w:tabs>
                <w:tab w:val="clear" w:pos="567"/>
              </w:tabs>
              <w:jc w:val="left"/>
              <w:rPr>
                <w:i/>
                <w:iCs/>
                <w:sz w:val="20"/>
                <w:szCs w:val="20"/>
              </w:rPr>
            </w:pPr>
            <w:r w:rsidRPr="00F91CFC">
              <w:rPr>
                <w:i/>
                <w:sz w:val="20"/>
              </w:rPr>
              <w:t>Impedimentos para la eficacia de la financiación mundial de la biodiversidad</w:t>
            </w:r>
          </w:p>
        </w:tc>
        <w:tc>
          <w:tcPr>
            <w:tcW w:w="4535" w:type="dxa"/>
            <w:tcBorders>
              <w:top w:val="single" w:sz="4" w:space="0" w:color="auto"/>
              <w:bottom w:val="single" w:sz="4" w:space="0" w:color="auto"/>
            </w:tcBorders>
          </w:tcPr>
          <w:p w14:paraId="439D1E0F" w14:textId="60FBADAB" w:rsidR="004232E9" w:rsidRPr="00F91CFC" w:rsidRDefault="0096012A" w:rsidP="00826AED">
            <w:pPr>
              <w:pStyle w:val="CBDNormalNumber"/>
              <w:numPr>
                <w:ilvl w:val="0"/>
                <w:numId w:val="0"/>
              </w:numPr>
              <w:tabs>
                <w:tab w:val="clear" w:pos="567"/>
              </w:tabs>
              <w:jc w:val="left"/>
              <w:rPr>
                <w:i/>
                <w:iCs/>
                <w:sz w:val="20"/>
                <w:szCs w:val="20"/>
              </w:rPr>
            </w:pPr>
            <w:r w:rsidRPr="00F91CFC">
              <w:rPr>
                <w:i/>
                <w:sz w:val="20"/>
              </w:rPr>
              <w:t>Elementos para la ulterior mejora de la eficacia de la financiación mundial de la biodiversidad</w:t>
            </w:r>
          </w:p>
        </w:tc>
      </w:tr>
      <w:tr w:rsidR="004232E9" w:rsidRPr="00F91CFC" w14:paraId="7598E708" w14:textId="77777777" w:rsidTr="00F347FD">
        <w:tc>
          <w:tcPr>
            <w:tcW w:w="8788" w:type="dxa"/>
            <w:gridSpan w:val="2"/>
            <w:tcBorders>
              <w:top w:val="single" w:sz="4" w:space="0" w:color="auto"/>
            </w:tcBorders>
          </w:tcPr>
          <w:p w14:paraId="24B2ACB8" w14:textId="32426F22" w:rsidR="004232E9" w:rsidRPr="00F91CFC" w:rsidRDefault="004232E9" w:rsidP="00826AED">
            <w:pPr>
              <w:pStyle w:val="CBDNormalNumber"/>
              <w:numPr>
                <w:ilvl w:val="0"/>
                <w:numId w:val="0"/>
              </w:numPr>
              <w:tabs>
                <w:tab w:val="clear" w:pos="567"/>
              </w:tabs>
              <w:jc w:val="left"/>
              <w:rPr>
                <w:b/>
                <w:bCs/>
                <w:sz w:val="20"/>
                <w:szCs w:val="20"/>
              </w:rPr>
            </w:pPr>
            <w:r w:rsidRPr="00F91CFC">
              <w:rPr>
                <w:b/>
                <w:sz w:val="20"/>
              </w:rPr>
              <w:t>Falta de armonización de las políticas, escasas sinergias y dificultades para la integración</w:t>
            </w:r>
          </w:p>
        </w:tc>
      </w:tr>
      <w:tr w:rsidR="004232E9" w:rsidRPr="00F91CFC" w14:paraId="4BA09A8F" w14:textId="77777777" w:rsidTr="00F347FD">
        <w:tc>
          <w:tcPr>
            <w:tcW w:w="4253" w:type="dxa"/>
          </w:tcPr>
          <w:p w14:paraId="05E41618" w14:textId="77777777" w:rsidR="004232E9" w:rsidRPr="00F91CFC" w:rsidRDefault="004232E9" w:rsidP="00826AED">
            <w:pPr>
              <w:pStyle w:val="CBDNormalNumber"/>
              <w:numPr>
                <w:ilvl w:val="0"/>
                <w:numId w:val="0"/>
              </w:numPr>
              <w:tabs>
                <w:tab w:val="clear" w:pos="567"/>
              </w:tabs>
              <w:jc w:val="left"/>
              <w:rPr>
                <w:sz w:val="20"/>
                <w:szCs w:val="20"/>
              </w:rPr>
            </w:pPr>
            <w:r w:rsidRPr="00F91CFC">
              <w:rPr>
                <w:sz w:val="20"/>
              </w:rPr>
              <w:t>Falta de armonización e integración de las políticas en todos los niveles</w:t>
            </w:r>
          </w:p>
        </w:tc>
        <w:tc>
          <w:tcPr>
            <w:tcW w:w="4535" w:type="dxa"/>
          </w:tcPr>
          <w:p w14:paraId="1A3057AF" w14:textId="7DD75646" w:rsidR="004232E9" w:rsidRPr="00F91CFC" w:rsidRDefault="004232E9" w:rsidP="00826AED">
            <w:pPr>
              <w:pStyle w:val="CBDNormalNumber"/>
              <w:numPr>
                <w:ilvl w:val="0"/>
                <w:numId w:val="0"/>
              </w:numPr>
              <w:tabs>
                <w:tab w:val="clear" w:pos="567"/>
              </w:tabs>
              <w:jc w:val="left"/>
              <w:rPr>
                <w:sz w:val="20"/>
                <w:szCs w:val="20"/>
              </w:rPr>
            </w:pPr>
            <w:r w:rsidRPr="00F91CFC">
              <w:rPr>
                <w:sz w:val="20"/>
              </w:rPr>
              <w:t>Aumentar considerablemente las medidas para cumplir la meta 14</w:t>
            </w:r>
            <w:r w:rsidRPr="00F91CFC">
              <w:t xml:space="preserve"> </w:t>
            </w:r>
            <w:r w:rsidRPr="00F91CFC">
              <w:rPr>
                <w:sz w:val="20"/>
              </w:rPr>
              <w:t xml:space="preserve">del Marco Mundial de Biodiversidad de Kunming-Montreal; reforzar el papel de las estrategias y los planes de acción nacionales en materia de biodiversidad en las políticas y la planificación nacionales </w:t>
            </w:r>
          </w:p>
        </w:tc>
      </w:tr>
      <w:tr w:rsidR="004232E9" w:rsidRPr="00F91CFC" w14:paraId="27F26DF0" w14:textId="77777777" w:rsidTr="00F347FD">
        <w:tc>
          <w:tcPr>
            <w:tcW w:w="4253" w:type="dxa"/>
          </w:tcPr>
          <w:p w14:paraId="6B562C73" w14:textId="4915AF91" w:rsidR="004232E9" w:rsidRPr="00F91CFC" w:rsidRDefault="004232E9" w:rsidP="00826AED">
            <w:pPr>
              <w:pStyle w:val="CBDNormalNumber"/>
              <w:numPr>
                <w:ilvl w:val="0"/>
                <w:numId w:val="0"/>
              </w:numPr>
              <w:tabs>
                <w:tab w:val="clear" w:pos="567"/>
              </w:tabs>
              <w:jc w:val="left"/>
              <w:rPr>
                <w:sz w:val="20"/>
                <w:szCs w:val="20"/>
              </w:rPr>
            </w:pPr>
            <w:r w:rsidRPr="00F91CFC">
              <w:rPr>
                <w:sz w:val="20"/>
              </w:rPr>
              <w:t>Falta de armonización entre las corrientes financieras y fiscales pertinentes; y escasas sinergias en el ámbito de la financiación ambiental</w:t>
            </w:r>
          </w:p>
        </w:tc>
        <w:tc>
          <w:tcPr>
            <w:tcW w:w="4535" w:type="dxa"/>
          </w:tcPr>
          <w:p w14:paraId="63F42313" w14:textId="14A78A57" w:rsidR="004232E9" w:rsidRPr="00F91CFC" w:rsidRDefault="004232E9" w:rsidP="00826AED">
            <w:pPr>
              <w:pStyle w:val="CBDNormalNumber"/>
              <w:numPr>
                <w:ilvl w:val="0"/>
                <w:numId w:val="0"/>
              </w:numPr>
              <w:tabs>
                <w:tab w:val="clear" w:pos="567"/>
              </w:tabs>
              <w:jc w:val="left"/>
              <w:rPr>
                <w:sz w:val="20"/>
                <w:szCs w:val="20"/>
              </w:rPr>
            </w:pPr>
            <w:r w:rsidRPr="00F91CFC">
              <w:rPr>
                <w:sz w:val="20"/>
              </w:rPr>
              <w:t>Aumentar considerablemente las medidas para cumplir la meta 14; considerar la posibilidad de aplicar las recomendaciones formuladas en [espacio reservado para el párrafo de la parte dispositiva de la presente decisión que incluiría las disposiciones del párrafo 8 de los elementos de un proyecto de decisión contenidos en la recomendación </w:t>
            </w:r>
            <w:hyperlink r:id="rId81" w:history="1">
              <w:r w:rsidRPr="00F91CFC">
                <w:rPr>
                  <w:rStyle w:val="Hipervnculo"/>
                  <w:sz w:val="20"/>
                </w:rPr>
                <w:t>6/1</w:t>
              </w:r>
            </w:hyperlink>
            <w:r w:rsidRPr="00F91CFC">
              <w:rPr>
                <w:sz w:val="20"/>
              </w:rPr>
              <w:t xml:space="preserve"> del Órgano Subsidiario sobre la Aplicación] y [espacio reservado para una referencia al párrafo 6 de la parte dispositiva del proyecto de decisión contenido en la recomendación </w:t>
            </w:r>
            <w:hyperlink r:id="rId82" w:history="1">
              <w:r w:rsidRPr="00F91CFC">
                <w:rPr>
                  <w:rStyle w:val="Hipervnculo"/>
                  <w:sz w:val="20"/>
                </w:rPr>
                <w:t>27/3</w:t>
              </w:r>
            </w:hyperlink>
            <w:r w:rsidRPr="00F91CFC">
              <w:rPr>
                <w:sz w:val="20"/>
              </w:rPr>
              <w:t xml:space="preserve"> del Órgano Subsidiario de Asesoramiento Científico, Técnico y Tecnológico], y aprovechar y armonizar los mecanismos de apoyo al desarrollo de proyectos en el ámbito de la financiación ambiental</w:t>
            </w:r>
          </w:p>
        </w:tc>
      </w:tr>
      <w:tr w:rsidR="004232E9" w:rsidRPr="00F91CFC" w14:paraId="48D147AA" w14:textId="77777777" w:rsidTr="00F347FD">
        <w:tc>
          <w:tcPr>
            <w:tcW w:w="4253" w:type="dxa"/>
            <w:tcBorders>
              <w:bottom w:val="nil"/>
            </w:tcBorders>
          </w:tcPr>
          <w:p w14:paraId="1A706875" w14:textId="77777777" w:rsidR="004232E9" w:rsidRPr="00F91CFC" w:rsidRDefault="004232E9" w:rsidP="00826AED">
            <w:pPr>
              <w:pStyle w:val="CBDNormalNumber"/>
              <w:numPr>
                <w:ilvl w:val="0"/>
                <w:numId w:val="0"/>
              </w:numPr>
              <w:tabs>
                <w:tab w:val="clear" w:pos="567"/>
              </w:tabs>
              <w:jc w:val="left"/>
              <w:rPr>
                <w:sz w:val="20"/>
                <w:szCs w:val="20"/>
              </w:rPr>
            </w:pPr>
            <w:r w:rsidRPr="00F91CFC">
              <w:rPr>
                <w:sz w:val="20"/>
              </w:rPr>
              <w:t xml:space="preserve">Falta de coordinación y complementariedad entre instituciones e instrumentos financieros </w:t>
            </w:r>
          </w:p>
        </w:tc>
        <w:tc>
          <w:tcPr>
            <w:tcW w:w="4535" w:type="dxa"/>
            <w:tcBorders>
              <w:bottom w:val="nil"/>
            </w:tcBorders>
          </w:tcPr>
          <w:p w14:paraId="656402EE" w14:textId="441755D5" w:rsidR="004232E9" w:rsidRPr="00F91CFC" w:rsidRDefault="004232E9" w:rsidP="00826AED">
            <w:pPr>
              <w:pStyle w:val="CBDNormalNumber"/>
              <w:numPr>
                <w:ilvl w:val="0"/>
                <w:numId w:val="0"/>
              </w:numPr>
              <w:tabs>
                <w:tab w:val="clear" w:pos="567"/>
              </w:tabs>
              <w:jc w:val="left"/>
              <w:rPr>
                <w:sz w:val="20"/>
                <w:szCs w:val="20"/>
              </w:rPr>
            </w:pPr>
            <w:r w:rsidRPr="00F91CFC">
              <w:rPr>
                <w:sz w:val="20"/>
              </w:rPr>
              <w:t>Reforzar las sinergias con las carteras de los bancos de desarrollo a todos los niveles</w:t>
            </w:r>
          </w:p>
        </w:tc>
      </w:tr>
      <w:tr w:rsidR="004232E9" w:rsidRPr="00F91CFC" w14:paraId="4CA9C473" w14:textId="77777777" w:rsidTr="00F347FD">
        <w:tc>
          <w:tcPr>
            <w:tcW w:w="4253" w:type="dxa"/>
            <w:tcBorders>
              <w:top w:val="nil"/>
              <w:bottom w:val="nil"/>
            </w:tcBorders>
          </w:tcPr>
          <w:p w14:paraId="1FB7317B" w14:textId="77777777" w:rsidR="004232E9" w:rsidRPr="00F91CFC" w:rsidRDefault="004232E9" w:rsidP="00826AED">
            <w:pPr>
              <w:pStyle w:val="CBDNormalNumber"/>
              <w:numPr>
                <w:ilvl w:val="0"/>
                <w:numId w:val="0"/>
              </w:numPr>
              <w:tabs>
                <w:tab w:val="clear" w:pos="567"/>
              </w:tabs>
              <w:jc w:val="left"/>
              <w:rPr>
                <w:sz w:val="20"/>
                <w:szCs w:val="20"/>
              </w:rPr>
            </w:pPr>
            <w:r w:rsidRPr="00F91CFC">
              <w:rPr>
                <w:sz w:val="20"/>
              </w:rPr>
              <w:t>Falta de participación del sector privado en la financiación de la biodiversidad</w:t>
            </w:r>
          </w:p>
        </w:tc>
        <w:tc>
          <w:tcPr>
            <w:tcW w:w="4535" w:type="dxa"/>
            <w:tcBorders>
              <w:top w:val="nil"/>
              <w:bottom w:val="nil"/>
            </w:tcBorders>
          </w:tcPr>
          <w:p w14:paraId="51F204AA" w14:textId="4E44A53E" w:rsidR="004232E9" w:rsidRPr="00F91CFC" w:rsidRDefault="00DF1BDB" w:rsidP="00826AED">
            <w:pPr>
              <w:pStyle w:val="CBDNormalNumber"/>
              <w:numPr>
                <w:ilvl w:val="0"/>
                <w:numId w:val="0"/>
              </w:numPr>
              <w:tabs>
                <w:tab w:val="clear" w:pos="567"/>
              </w:tabs>
              <w:jc w:val="left"/>
              <w:rPr>
                <w:sz w:val="20"/>
                <w:szCs w:val="20"/>
              </w:rPr>
            </w:pPr>
            <w:r w:rsidRPr="00F91CFC">
              <w:rPr>
                <w:sz w:val="20"/>
              </w:rPr>
              <w:t>Fomentar la financiación privada de la biodiversidad mediante incentivos y señales favorables a la biodiversidad en las políticas</w:t>
            </w:r>
          </w:p>
        </w:tc>
      </w:tr>
      <w:tr w:rsidR="004232E9" w:rsidRPr="00F91CFC" w14:paraId="3017D999" w14:textId="77777777" w:rsidTr="00F347FD">
        <w:tc>
          <w:tcPr>
            <w:tcW w:w="8788" w:type="dxa"/>
            <w:gridSpan w:val="2"/>
            <w:tcBorders>
              <w:top w:val="nil"/>
              <w:bottom w:val="nil"/>
            </w:tcBorders>
          </w:tcPr>
          <w:p w14:paraId="27E24FB0" w14:textId="7AA70643" w:rsidR="004232E9" w:rsidRPr="00F91CFC" w:rsidRDefault="004232E9" w:rsidP="00F347FD">
            <w:pPr>
              <w:pStyle w:val="CBDNormalNumber"/>
              <w:keepNext/>
              <w:numPr>
                <w:ilvl w:val="0"/>
                <w:numId w:val="0"/>
              </w:numPr>
              <w:tabs>
                <w:tab w:val="clear" w:pos="567"/>
              </w:tabs>
              <w:jc w:val="left"/>
              <w:rPr>
                <w:b/>
                <w:bCs/>
                <w:sz w:val="20"/>
                <w:szCs w:val="20"/>
              </w:rPr>
            </w:pPr>
            <w:r w:rsidRPr="00F91CFC">
              <w:rPr>
                <w:b/>
                <w:sz w:val="20"/>
              </w:rPr>
              <w:t>Subsidios y corrientes financieras perjudiciales para la biodiversidad</w:t>
            </w:r>
          </w:p>
        </w:tc>
      </w:tr>
      <w:tr w:rsidR="004232E9" w:rsidRPr="00F91CFC" w14:paraId="27551F95" w14:textId="77777777" w:rsidTr="00F347FD">
        <w:tc>
          <w:tcPr>
            <w:tcW w:w="4253" w:type="dxa"/>
            <w:tcBorders>
              <w:top w:val="nil"/>
            </w:tcBorders>
          </w:tcPr>
          <w:p w14:paraId="1E038113" w14:textId="72159AB1" w:rsidR="004232E9" w:rsidRPr="00F91CFC" w:rsidRDefault="004232E9" w:rsidP="00826AED">
            <w:pPr>
              <w:pStyle w:val="CBDNormalNumber"/>
              <w:numPr>
                <w:ilvl w:val="0"/>
                <w:numId w:val="0"/>
              </w:numPr>
              <w:tabs>
                <w:tab w:val="clear" w:pos="567"/>
              </w:tabs>
              <w:jc w:val="left"/>
              <w:rPr>
                <w:sz w:val="20"/>
                <w:szCs w:val="20"/>
              </w:rPr>
            </w:pPr>
            <w:r w:rsidRPr="00F91CFC">
              <w:rPr>
                <w:sz w:val="20"/>
              </w:rPr>
              <w:t>Los subsidios y las corrientes financieras perjudiciales para la biodiversidad, que a menudo reducen el costo de las actividades que perjudican la biodiversidad o las aíslan de las señales del mercado que reflejan el daño ecológico</w:t>
            </w:r>
          </w:p>
        </w:tc>
        <w:tc>
          <w:tcPr>
            <w:tcW w:w="4535" w:type="dxa"/>
            <w:tcBorders>
              <w:top w:val="nil"/>
            </w:tcBorders>
          </w:tcPr>
          <w:p w14:paraId="077B7C1D" w14:textId="6EE6C651" w:rsidR="004232E9" w:rsidRPr="00F91CFC" w:rsidRDefault="004232E9" w:rsidP="00826AED">
            <w:pPr>
              <w:pStyle w:val="CBDNormalNumber"/>
              <w:numPr>
                <w:ilvl w:val="0"/>
                <w:numId w:val="0"/>
              </w:numPr>
              <w:tabs>
                <w:tab w:val="clear" w:pos="567"/>
              </w:tabs>
              <w:jc w:val="left"/>
              <w:rPr>
                <w:sz w:val="20"/>
                <w:szCs w:val="20"/>
              </w:rPr>
            </w:pPr>
            <w:r w:rsidRPr="00F91CFC">
              <w:rPr>
                <w:sz w:val="20"/>
              </w:rPr>
              <w:t>Aumentar considerablemente las medidas para cumplir la meta 18, entre otras cosas mediante instrumentos como aquellos que respalda la Iniciativa de Financiación de la Biodiversidad</w:t>
            </w:r>
          </w:p>
        </w:tc>
      </w:tr>
      <w:tr w:rsidR="004232E9" w:rsidRPr="00F91CFC" w14:paraId="512DB023" w14:textId="77777777" w:rsidTr="00F347FD">
        <w:tc>
          <w:tcPr>
            <w:tcW w:w="4253" w:type="dxa"/>
          </w:tcPr>
          <w:p w14:paraId="07A94FB4" w14:textId="5793D061" w:rsidR="004232E9" w:rsidRPr="00F91CFC" w:rsidRDefault="004232E9" w:rsidP="00826AED">
            <w:pPr>
              <w:pStyle w:val="CBDNormalNumber"/>
              <w:numPr>
                <w:ilvl w:val="0"/>
                <w:numId w:val="0"/>
              </w:numPr>
              <w:tabs>
                <w:tab w:val="clear" w:pos="567"/>
              </w:tabs>
              <w:jc w:val="left"/>
              <w:rPr>
                <w:sz w:val="20"/>
                <w:szCs w:val="20"/>
              </w:rPr>
            </w:pPr>
            <w:r w:rsidRPr="00F91CFC">
              <w:rPr>
                <w:sz w:val="20"/>
              </w:rPr>
              <w:t xml:space="preserve">Cuestiones relacionadas con las corrientes financieras ilícitas, la justicia fiscal, la evasión fiscal y </w:t>
            </w:r>
            <w:r w:rsidRPr="00F91CFC">
              <w:rPr>
                <w:color w:val="000000" w:themeColor="text1"/>
                <w:sz w:val="20"/>
              </w:rPr>
              <w:t xml:space="preserve">la explotación ilegal, no declarada y no reglamentada de los recursos </w:t>
            </w:r>
          </w:p>
        </w:tc>
        <w:tc>
          <w:tcPr>
            <w:tcW w:w="4535" w:type="dxa"/>
          </w:tcPr>
          <w:p w14:paraId="05636531" w14:textId="1844B896" w:rsidR="004232E9" w:rsidRPr="00F91CFC" w:rsidRDefault="004232E9" w:rsidP="00826AED">
            <w:pPr>
              <w:pStyle w:val="CBDNormalNumber"/>
              <w:numPr>
                <w:ilvl w:val="0"/>
                <w:numId w:val="0"/>
              </w:numPr>
              <w:tabs>
                <w:tab w:val="clear" w:pos="567"/>
              </w:tabs>
              <w:jc w:val="left"/>
              <w:rPr>
                <w:sz w:val="20"/>
                <w:szCs w:val="20"/>
              </w:rPr>
            </w:pPr>
            <w:r w:rsidRPr="00F91CFC">
              <w:rPr>
                <w:sz w:val="20"/>
              </w:rPr>
              <w:t>Estudiar la posibilidad de llevar a cabo reformas normativas para aumentar la transparencia, la justicia fiscal, la rendición de cuentas y la aplicación de la ley</w:t>
            </w:r>
          </w:p>
        </w:tc>
      </w:tr>
      <w:tr w:rsidR="004232E9" w:rsidRPr="00F91CFC" w14:paraId="6A27C955" w14:textId="77777777" w:rsidTr="00F347FD">
        <w:tc>
          <w:tcPr>
            <w:tcW w:w="8788" w:type="dxa"/>
            <w:gridSpan w:val="2"/>
          </w:tcPr>
          <w:p w14:paraId="60CB166A" w14:textId="77777777" w:rsidR="004232E9" w:rsidRPr="00F91CFC" w:rsidRDefault="004232E9" w:rsidP="00E10B69">
            <w:pPr>
              <w:pStyle w:val="CBDNormalNumber"/>
              <w:keepNext/>
              <w:numPr>
                <w:ilvl w:val="0"/>
                <w:numId w:val="0"/>
              </w:numPr>
              <w:tabs>
                <w:tab w:val="clear" w:pos="567"/>
              </w:tabs>
              <w:jc w:val="left"/>
              <w:rPr>
                <w:b/>
                <w:bCs/>
                <w:sz w:val="20"/>
                <w:szCs w:val="20"/>
              </w:rPr>
            </w:pPr>
            <w:r w:rsidRPr="00F91CFC">
              <w:rPr>
                <w:b/>
                <w:sz w:val="20"/>
              </w:rPr>
              <w:lastRenderedPageBreak/>
              <w:t>Restricciones macroeconómicas y de finanzas públicas</w:t>
            </w:r>
          </w:p>
        </w:tc>
      </w:tr>
      <w:tr w:rsidR="004232E9" w:rsidRPr="00F91CFC" w14:paraId="49830FE4" w14:textId="77777777" w:rsidTr="00F347FD">
        <w:tc>
          <w:tcPr>
            <w:tcW w:w="4253" w:type="dxa"/>
          </w:tcPr>
          <w:p w14:paraId="1363A024" w14:textId="68ECC94D" w:rsidR="004232E9" w:rsidRPr="00F91CFC" w:rsidRDefault="00A112B4" w:rsidP="00826AED">
            <w:pPr>
              <w:pStyle w:val="CBDNormalNumber"/>
              <w:numPr>
                <w:ilvl w:val="0"/>
                <w:numId w:val="0"/>
              </w:numPr>
              <w:tabs>
                <w:tab w:val="clear" w:pos="567"/>
              </w:tabs>
              <w:jc w:val="left"/>
              <w:rPr>
                <w:sz w:val="20"/>
                <w:szCs w:val="20"/>
              </w:rPr>
            </w:pPr>
            <w:r w:rsidRPr="00F91CFC">
              <w:rPr>
                <w:sz w:val="20"/>
              </w:rPr>
              <w:t>Carácter discrecional y fragmentación institucional del gasto en biodiversidad; corrientes de financiación pública internacional imprevisibles; y repercusiones de la sostenibilidad de la deuda</w:t>
            </w:r>
          </w:p>
        </w:tc>
        <w:tc>
          <w:tcPr>
            <w:tcW w:w="4535" w:type="dxa"/>
          </w:tcPr>
          <w:p w14:paraId="70034BE2" w14:textId="2301E485" w:rsidR="004232E9" w:rsidRPr="00F91CFC" w:rsidRDefault="004232E9" w:rsidP="00826AED">
            <w:pPr>
              <w:pStyle w:val="CBDNormalNumber"/>
              <w:numPr>
                <w:ilvl w:val="0"/>
                <w:numId w:val="0"/>
              </w:numPr>
              <w:tabs>
                <w:tab w:val="clear" w:pos="567"/>
              </w:tabs>
              <w:jc w:val="left"/>
              <w:rPr>
                <w:sz w:val="20"/>
                <w:szCs w:val="20"/>
              </w:rPr>
            </w:pPr>
            <w:r w:rsidRPr="00F91CFC">
              <w:rPr>
                <w:sz w:val="20"/>
              </w:rPr>
              <w:t>Aumentar considerablemente las medidas para cumplir la meta 19; integrar la asignación presupuestaria para la financiación de la biodiversidad; y considerar la posibilidad de aplicar las recomendaciones formuladas en [espacio reservado para el párrafo de la parte dispositiva de la presente decisión que incluiría las disposiciones del párrafo 5 de los elementos de un proyecto de decisión contenidos en la recomendación </w:t>
            </w:r>
            <w:hyperlink r:id="rId83" w:history="1">
              <w:r w:rsidRPr="00F91CFC">
                <w:rPr>
                  <w:rStyle w:val="Hipervnculo"/>
                  <w:sz w:val="20"/>
                </w:rPr>
                <w:t>6/1</w:t>
              </w:r>
            </w:hyperlink>
            <w:r w:rsidRPr="00F91CFC">
              <w:rPr>
                <w:sz w:val="20"/>
              </w:rPr>
              <w:t xml:space="preserve"> del Órgano Subsidiario sobre la Aplicación]</w:t>
            </w:r>
          </w:p>
        </w:tc>
      </w:tr>
      <w:tr w:rsidR="004232E9" w:rsidRPr="00F91CFC" w14:paraId="358FA9D4" w14:textId="77777777" w:rsidTr="00F347FD">
        <w:tc>
          <w:tcPr>
            <w:tcW w:w="4253" w:type="dxa"/>
          </w:tcPr>
          <w:p w14:paraId="44058228" w14:textId="77777777" w:rsidR="004232E9" w:rsidRPr="00F91CFC" w:rsidRDefault="004232E9" w:rsidP="00826AED">
            <w:pPr>
              <w:pStyle w:val="CBDNormalNumber"/>
              <w:numPr>
                <w:ilvl w:val="0"/>
                <w:numId w:val="0"/>
              </w:numPr>
              <w:tabs>
                <w:tab w:val="clear" w:pos="567"/>
              </w:tabs>
              <w:jc w:val="left"/>
              <w:rPr>
                <w:sz w:val="20"/>
                <w:szCs w:val="20"/>
              </w:rPr>
            </w:pPr>
            <w:r w:rsidRPr="00F91CFC">
              <w:rPr>
                <w:sz w:val="20"/>
              </w:rPr>
              <w:t>Desajuste entre las necesidades de financiación a largo plazo y la financiación de proyectos a corto plazo, especialmente en la financiación internacional de la biodiversidad</w:t>
            </w:r>
          </w:p>
        </w:tc>
        <w:tc>
          <w:tcPr>
            <w:tcW w:w="4535" w:type="dxa"/>
          </w:tcPr>
          <w:p w14:paraId="225F1AB0" w14:textId="56AC2CD8" w:rsidR="004232E9" w:rsidRPr="00F91CFC" w:rsidRDefault="004232E9" w:rsidP="00826AED">
            <w:pPr>
              <w:pStyle w:val="CBDNormalNumber"/>
              <w:numPr>
                <w:ilvl w:val="0"/>
                <w:numId w:val="0"/>
              </w:numPr>
              <w:tabs>
                <w:tab w:val="clear" w:pos="567"/>
              </w:tabs>
              <w:jc w:val="left"/>
              <w:rPr>
                <w:sz w:val="20"/>
                <w:szCs w:val="20"/>
              </w:rPr>
            </w:pPr>
            <w:r w:rsidRPr="00F91CFC">
              <w:rPr>
                <w:sz w:val="20"/>
              </w:rPr>
              <w:t>Armonizar la financiación internacional de la biodiversidad con las necesidades, y no con los ciclos de financiación de los proyectos; destinar la financiación internacional de la biodiversidad a la creación de capacidad y la reducción de riesgos, con el fin de movilizar recursos nacionales sostenibles; invertir en “financiación para la financiación” con miras a desarrollar capacidad y movilizar recursos nacionales; e invertir en la elaboración y puesta en marcha de planes nacionales de financiación de la biodiversidad</w:t>
            </w:r>
          </w:p>
        </w:tc>
      </w:tr>
      <w:tr w:rsidR="004232E9" w:rsidRPr="00F91CFC" w14:paraId="4EC695F6" w14:textId="77777777" w:rsidTr="00F347FD">
        <w:tc>
          <w:tcPr>
            <w:tcW w:w="8788" w:type="dxa"/>
            <w:gridSpan w:val="2"/>
          </w:tcPr>
          <w:p w14:paraId="63730653" w14:textId="77777777" w:rsidR="004232E9" w:rsidRPr="00F91CFC" w:rsidRDefault="004232E9" w:rsidP="00826AED">
            <w:pPr>
              <w:pStyle w:val="CBDNormalNumber"/>
              <w:numPr>
                <w:ilvl w:val="0"/>
                <w:numId w:val="0"/>
              </w:numPr>
              <w:tabs>
                <w:tab w:val="clear" w:pos="567"/>
              </w:tabs>
              <w:jc w:val="left"/>
              <w:rPr>
                <w:b/>
                <w:bCs/>
                <w:sz w:val="20"/>
                <w:szCs w:val="20"/>
              </w:rPr>
            </w:pPr>
            <w:r w:rsidRPr="00F91CFC">
              <w:rPr>
                <w:b/>
                <w:sz w:val="20"/>
              </w:rPr>
              <w:t>Limitaciones de capacidad institucional y de absorción</w:t>
            </w:r>
          </w:p>
        </w:tc>
      </w:tr>
      <w:tr w:rsidR="004232E9" w:rsidRPr="00F91CFC" w14:paraId="636354AA" w14:textId="77777777" w:rsidTr="00F347FD">
        <w:tc>
          <w:tcPr>
            <w:tcW w:w="4253" w:type="dxa"/>
          </w:tcPr>
          <w:p w14:paraId="3373E937" w14:textId="77777777" w:rsidR="004232E9" w:rsidRPr="00F91CFC" w:rsidRDefault="004232E9" w:rsidP="00826AED">
            <w:pPr>
              <w:pStyle w:val="CBDNormalNumber"/>
              <w:numPr>
                <w:ilvl w:val="0"/>
                <w:numId w:val="0"/>
              </w:numPr>
              <w:tabs>
                <w:tab w:val="clear" w:pos="567"/>
              </w:tabs>
              <w:jc w:val="left"/>
              <w:rPr>
                <w:sz w:val="20"/>
                <w:szCs w:val="20"/>
              </w:rPr>
            </w:pPr>
            <w:r w:rsidRPr="00F91CFC">
              <w:rPr>
                <w:sz w:val="20"/>
              </w:rPr>
              <w:t>Limitaciones de capacidad institucional</w:t>
            </w:r>
          </w:p>
        </w:tc>
        <w:tc>
          <w:tcPr>
            <w:tcW w:w="4535" w:type="dxa"/>
          </w:tcPr>
          <w:p w14:paraId="00C6BD93" w14:textId="678C0417" w:rsidR="004232E9" w:rsidRPr="00F91CFC" w:rsidRDefault="004232E9" w:rsidP="00826AED">
            <w:pPr>
              <w:pStyle w:val="CBDNormalNumber"/>
              <w:numPr>
                <w:ilvl w:val="0"/>
                <w:numId w:val="0"/>
              </w:numPr>
              <w:tabs>
                <w:tab w:val="clear" w:pos="567"/>
              </w:tabs>
              <w:jc w:val="left"/>
              <w:rPr>
                <w:sz w:val="20"/>
                <w:szCs w:val="20"/>
              </w:rPr>
            </w:pPr>
            <w:r w:rsidRPr="00F91CFC">
              <w:rPr>
                <w:sz w:val="20"/>
              </w:rPr>
              <w:t>Integrar las necesidades en materia de capacidad en la planificación sistémica a largo plazo de la financiación de la biodiversidad; y crear unidades específicas de financiación de la biodiversidad en los ministerios tanto de finanzas como de medio ambiente</w:t>
            </w:r>
          </w:p>
        </w:tc>
      </w:tr>
      <w:tr w:rsidR="004232E9" w:rsidRPr="00F91CFC" w14:paraId="2FCD2A1F" w14:textId="77777777" w:rsidTr="00F347FD">
        <w:tc>
          <w:tcPr>
            <w:tcW w:w="4253" w:type="dxa"/>
          </w:tcPr>
          <w:p w14:paraId="74B3FAA9" w14:textId="77777777" w:rsidR="004232E9" w:rsidRPr="00F91CFC" w:rsidRDefault="004232E9" w:rsidP="00826AED">
            <w:pPr>
              <w:pStyle w:val="CBDNormalNumber"/>
              <w:numPr>
                <w:ilvl w:val="0"/>
                <w:numId w:val="0"/>
              </w:numPr>
              <w:tabs>
                <w:tab w:val="clear" w:pos="567"/>
              </w:tabs>
              <w:jc w:val="left"/>
              <w:rPr>
                <w:sz w:val="20"/>
                <w:szCs w:val="20"/>
              </w:rPr>
            </w:pPr>
            <w:r w:rsidRPr="00F91CFC">
              <w:rPr>
                <w:sz w:val="20"/>
              </w:rPr>
              <w:t>Limitaciones de capacidad de absorción</w:t>
            </w:r>
          </w:p>
        </w:tc>
        <w:tc>
          <w:tcPr>
            <w:tcW w:w="4535" w:type="dxa"/>
          </w:tcPr>
          <w:p w14:paraId="37A42932" w14:textId="0185D8A0" w:rsidR="004232E9" w:rsidRPr="00F91CFC" w:rsidRDefault="004232E9" w:rsidP="00826AED">
            <w:pPr>
              <w:pStyle w:val="CBDNormalNumber"/>
              <w:numPr>
                <w:ilvl w:val="0"/>
                <w:numId w:val="0"/>
              </w:numPr>
              <w:tabs>
                <w:tab w:val="clear" w:pos="567"/>
              </w:tabs>
              <w:jc w:val="left"/>
              <w:rPr>
                <w:sz w:val="20"/>
                <w:szCs w:val="20"/>
              </w:rPr>
            </w:pPr>
            <w:r w:rsidRPr="00F91CFC">
              <w:rPr>
                <w:sz w:val="20"/>
              </w:rPr>
              <w:t>Revisar y simplificar las políticas, los procedimientos y los reglamentos nacionales</w:t>
            </w:r>
          </w:p>
        </w:tc>
      </w:tr>
      <w:tr w:rsidR="004232E9" w:rsidRPr="00F91CFC" w14:paraId="5F71F336" w14:textId="77777777" w:rsidTr="00F347FD">
        <w:tc>
          <w:tcPr>
            <w:tcW w:w="8788" w:type="dxa"/>
            <w:gridSpan w:val="2"/>
          </w:tcPr>
          <w:p w14:paraId="6CD5C19F" w14:textId="06D425AE" w:rsidR="004232E9" w:rsidRPr="00F91CFC" w:rsidRDefault="004232E9" w:rsidP="00826AED">
            <w:pPr>
              <w:pStyle w:val="CBDNormalNumber"/>
              <w:numPr>
                <w:ilvl w:val="0"/>
                <w:numId w:val="0"/>
              </w:numPr>
              <w:tabs>
                <w:tab w:val="clear" w:pos="567"/>
              </w:tabs>
              <w:jc w:val="left"/>
              <w:rPr>
                <w:b/>
                <w:bCs/>
                <w:sz w:val="20"/>
                <w:szCs w:val="20"/>
              </w:rPr>
            </w:pPr>
            <w:r w:rsidRPr="00F91CFC">
              <w:rPr>
                <w:b/>
                <w:sz w:val="20"/>
              </w:rPr>
              <w:t>Fragmentación del seguimiento de la financiación de la biodiversidad y de las taxonomías</w:t>
            </w:r>
          </w:p>
        </w:tc>
      </w:tr>
      <w:tr w:rsidR="004232E9" w:rsidRPr="00F91CFC" w14:paraId="3874B866" w14:textId="77777777" w:rsidTr="00F347FD">
        <w:tc>
          <w:tcPr>
            <w:tcW w:w="4253" w:type="dxa"/>
          </w:tcPr>
          <w:p w14:paraId="318C4199" w14:textId="77777777" w:rsidR="004232E9" w:rsidRPr="00F91CFC" w:rsidRDefault="004232E9" w:rsidP="00826AED">
            <w:pPr>
              <w:pStyle w:val="CBDNormalNumber"/>
              <w:numPr>
                <w:ilvl w:val="0"/>
                <w:numId w:val="0"/>
              </w:numPr>
              <w:tabs>
                <w:tab w:val="clear" w:pos="567"/>
              </w:tabs>
              <w:jc w:val="left"/>
              <w:rPr>
                <w:sz w:val="20"/>
                <w:szCs w:val="20"/>
              </w:rPr>
            </w:pPr>
            <w:r w:rsidRPr="00F91CFC">
              <w:rPr>
                <w:sz w:val="20"/>
              </w:rPr>
              <w:t>Seguimiento fragmentado de la financiación de la biodiversidad</w:t>
            </w:r>
          </w:p>
        </w:tc>
        <w:tc>
          <w:tcPr>
            <w:tcW w:w="4535" w:type="dxa"/>
          </w:tcPr>
          <w:p w14:paraId="6CBD6265" w14:textId="50553A2E" w:rsidR="004232E9" w:rsidRPr="00F91CFC" w:rsidRDefault="004232E9" w:rsidP="00826AED">
            <w:pPr>
              <w:pStyle w:val="CBDNormalNumber"/>
              <w:numPr>
                <w:ilvl w:val="0"/>
                <w:numId w:val="0"/>
              </w:numPr>
              <w:tabs>
                <w:tab w:val="clear" w:pos="567"/>
              </w:tabs>
              <w:jc w:val="left"/>
              <w:rPr>
                <w:sz w:val="20"/>
                <w:szCs w:val="20"/>
              </w:rPr>
            </w:pPr>
            <w:r w:rsidRPr="00F91CFC">
              <w:rPr>
                <w:sz w:val="20"/>
              </w:rPr>
              <w:t xml:space="preserve">Mejorar las asignaciones presupuestarias, y estructuras de presentación de informes coherentes, tanto a nivel nacional como internacional </w:t>
            </w:r>
          </w:p>
        </w:tc>
      </w:tr>
      <w:tr w:rsidR="004232E9" w:rsidRPr="00F91CFC" w14:paraId="392A71F3" w14:textId="77777777" w:rsidTr="00F347FD">
        <w:tc>
          <w:tcPr>
            <w:tcW w:w="4253" w:type="dxa"/>
          </w:tcPr>
          <w:p w14:paraId="70D2F6B2" w14:textId="77777777" w:rsidR="004232E9" w:rsidRPr="00F91CFC" w:rsidRDefault="004232E9" w:rsidP="00826AED">
            <w:pPr>
              <w:pStyle w:val="CBDNormalNumber"/>
              <w:numPr>
                <w:ilvl w:val="0"/>
                <w:numId w:val="0"/>
              </w:numPr>
              <w:tabs>
                <w:tab w:val="clear" w:pos="567"/>
              </w:tabs>
              <w:jc w:val="left"/>
              <w:rPr>
                <w:sz w:val="20"/>
                <w:szCs w:val="20"/>
              </w:rPr>
            </w:pPr>
            <w:r w:rsidRPr="00F91CFC">
              <w:rPr>
                <w:sz w:val="20"/>
              </w:rPr>
              <w:t>Adopción insuficiente de las taxonomías de financiación de la biodiversidad</w:t>
            </w:r>
          </w:p>
        </w:tc>
        <w:tc>
          <w:tcPr>
            <w:tcW w:w="4535" w:type="dxa"/>
          </w:tcPr>
          <w:p w14:paraId="684EFC1A" w14:textId="21C8AC45" w:rsidR="004232E9" w:rsidRPr="00F91CFC" w:rsidRDefault="004232E9" w:rsidP="00826AED">
            <w:pPr>
              <w:pStyle w:val="CBDNormalNumber"/>
              <w:numPr>
                <w:ilvl w:val="0"/>
                <w:numId w:val="0"/>
              </w:numPr>
              <w:tabs>
                <w:tab w:val="clear" w:pos="567"/>
              </w:tabs>
              <w:jc w:val="left"/>
              <w:rPr>
                <w:sz w:val="20"/>
                <w:szCs w:val="20"/>
              </w:rPr>
            </w:pPr>
            <w:r w:rsidRPr="00F91CFC">
              <w:rPr>
                <w:sz w:val="20"/>
              </w:rPr>
              <w:t>Incentivar al sector privado para que incluya y adopte taxonomías de financiación de la biodiversidad establecidas</w:t>
            </w:r>
          </w:p>
        </w:tc>
      </w:tr>
      <w:tr w:rsidR="004232E9" w:rsidRPr="00F91CFC" w14:paraId="5002FDC6" w14:textId="77777777" w:rsidTr="00F347FD">
        <w:tc>
          <w:tcPr>
            <w:tcW w:w="8788" w:type="dxa"/>
            <w:gridSpan w:val="2"/>
            <w:tcBorders>
              <w:bottom w:val="nil"/>
            </w:tcBorders>
          </w:tcPr>
          <w:p w14:paraId="2C623E76" w14:textId="2A858FFC" w:rsidR="004232E9" w:rsidRPr="00F91CFC" w:rsidRDefault="004232E9" w:rsidP="00826AED">
            <w:pPr>
              <w:pStyle w:val="CBDNormalNumber"/>
              <w:numPr>
                <w:ilvl w:val="0"/>
                <w:numId w:val="0"/>
              </w:numPr>
              <w:tabs>
                <w:tab w:val="clear" w:pos="567"/>
              </w:tabs>
              <w:jc w:val="left"/>
              <w:rPr>
                <w:b/>
                <w:bCs/>
                <w:sz w:val="20"/>
                <w:szCs w:val="20"/>
              </w:rPr>
            </w:pPr>
            <w:r w:rsidRPr="00F91CFC">
              <w:rPr>
                <w:b/>
                <w:sz w:val="20"/>
              </w:rPr>
              <w:t>Lagunas en materia de salvaguardias, gobernanza y seguimiento</w:t>
            </w:r>
          </w:p>
        </w:tc>
      </w:tr>
      <w:tr w:rsidR="004232E9" w:rsidRPr="00F91CFC" w14:paraId="7B8A1F4F" w14:textId="77777777" w:rsidTr="00F347FD">
        <w:tc>
          <w:tcPr>
            <w:tcW w:w="4253" w:type="dxa"/>
            <w:tcBorders>
              <w:top w:val="nil"/>
              <w:bottom w:val="nil"/>
            </w:tcBorders>
          </w:tcPr>
          <w:p w14:paraId="1DCE64A8" w14:textId="0E9BAF49" w:rsidR="004232E9" w:rsidRPr="00F91CFC" w:rsidRDefault="004232E9" w:rsidP="00826AED">
            <w:pPr>
              <w:pStyle w:val="CBDNormalNumber"/>
              <w:numPr>
                <w:ilvl w:val="0"/>
                <w:numId w:val="0"/>
              </w:numPr>
              <w:tabs>
                <w:tab w:val="clear" w:pos="567"/>
              </w:tabs>
              <w:jc w:val="left"/>
              <w:rPr>
                <w:sz w:val="20"/>
                <w:szCs w:val="20"/>
              </w:rPr>
            </w:pPr>
            <w:r w:rsidRPr="00F91CFC">
              <w:rPr>
                <w:sz w:val="20"/>
              </w:rPr>
              <w:t xml:space="preserve">Déficits de capacidad y recursos; falta de coordinación; dificultades en la medición, la presentación de informes y la verificación; complejidad normativa; asimetría de la información, falta de confianza y limitaciones en </w:t>
            </w:r>
            <w:r w:rsidRPr="00F91CFC">
              <w:rPr>
                <w:sz w:val="20"/>
              </w:rPr>
              <w:lastRenderedPageBreak/>
              <w:t>cuanto a la sensibilización; problemas relacionados con la implicación de los interesados; y dificultades en materia de gobernanza</w:t>
            </w:r>
          </w:p>
        </w:tc>
        <w:tc>
          <w:tcPr>
            <w:tcW w:w="4535" w:type="dxa"/>
            <w:tcBorders>
              <w:top w:val="nil"/>
              <w:bottom w:val="nil"/>
            </w:tcBorders>
          </w:tcPr>
          <w:p w14:paraId="11F83EB3" w14:textId="4E791EDD" w:rsidR="004232E9" w:rsidRPr="00F91CFC" w:rsidRDefault="004232E9" w:rsidP="00826AED">
            <w:pPr>
              <w:pStyle w:val="CBDNormalNumber"/>
              <w:numPr>
                <w:ilvl w:val="0"/>
                <w:numId w:val="0"/>
              </w:numPr>
              <w:tabs>
                <w:tab w:val="clear" w:pos="567"/>
              </w:tabs>
              <w:jc w:val="left"/>
              <w:rPr>
                <w:sz w:val="20"/>
                <w:szCs w:val="20"/>
              </w:rPr>
            </w:pPr>
            <w:r w:rsidRPr="00F91CFC">
              <w:rPr>
                <w:sz w:val="20"/>
              </w:rPr>
              <w:lastRenderedPageBreak/>
              <w:t xml:space="preserve">Tener en cuenta las recomendaciones formuladas en [espacio reservado para el párrafo de la parte dispositiva de la presente decisión que incluiría las disposiciones del párrafo 7 de los elementos de un proyecto de decisión que figura en la </w:t>
            </w:r>
            <w:r w:rsidRPr="00F91CFC">
              <w:rPr>
                <w:sz w:val="20"/>
              </w:rPr>
              <w:lastRenderedPageBreak/>
              <w:t>recomendación </w:t>
            </w:r>
            <w:hyperlink r:id="rId84" w:history="1">
              <w:r w:rsidRPr="00F91CFC">
                <w:rPr>
                  <w:rStyle w:val="Hipervnculo"/>
                  <w:sz w:val="20"/>
                </w:rPr>
                <w:t>6/1</w:t>
              </w:r>
            </w:hyperlink>
            <w:r w:rsidRPr="00F91CFC">
              <w:rPr>
                <w:sz w:val="20"/>
              </w:rPr>
              <w:t xml:space="preserve"> del Órgano Subsidiario sobre la Aplicación]; potenciar la creación de capacidad en materia de salvaguardias; mejorar las políticas nacionales de seguimiento y presentación de informes; y reforzar los marcos jurídicos que respaldan las salvaguardias</w:t>
            </w:r>
          </w:p>
        </w:tc>
      </w:tr>
      <w:tr w:rsidR="004232E9" w:rsidRPr="00F91CFC" w14:paraId="38BC6DCB" w14:textId="77777777" w:rsidTr="00F347FD">
        <w:tc>
          <w:tcPr>
            <w:tcW w:w="8788" w:type="dxa"/>
            <w:gridSpan w:val="2"/>
            <w:tcBorders>
              <w:top w:val="nil"/>
            </w:tcBorders>
          </w:tcPr>
          <w:p w14:paraId="7CE00212" w14:textId="654C51C3" w:rsidR="004232E9" w:rsidRPr="00F91CFC" w:rsidRDefault="004232E9" w:rsidP="00826AED">
            <w:pPr>
              <w:pStyle w:val="CBDNormalNumber"/>
              <w:numPr>
                <w:ilvl w:val="0"/>
                <w:numId w:val="0"/>
              </w:numPr>
              <w:tabs>
                <w:tab w:val="clear" w:pos="567"/>
              </w:tabs>
              <w:jc w:val="left"/>
              <w:rPr>
                <w:b/>
                <w:bCs/>
                <w:sz w:val="20"/>
                <w:szCs w:val="20"/>
              </w:rPr>
            </w:pPr>
            <w:r w:rsidRPr="00F91CFC">
              <w:rPr>
                <w:b/>
                <w:sz w:val="20"/>
              </w:rPr>
              <w:lastRenderedPageBreak/>
              <w:t>Equidad, acceso y asimetrías de poder en la financiación de la biodiversidad</w:t>
            </w:r>
          </w:p>
        </w:tc>
      </w:tr>
      <w:tr w:rsidR="004232E9" w:rsidRPr="00F91CFC" w14:paraId="51691B14" w14:textId="77777777" w:rsidTr="00F347FD">
        <w:tc>
          <w:tcPr>
            <w:tcW w:w="4253" w:type="dxa"/>
          </w:tcPr>
          <w:p w14:paraId="0241FEDF" w14:textId="60A0D01A" w:rsidR="004232E9" w:rsidRPr="00F91CFC" w:rsidRDefault="004232E9" w:rsidP="00826AED">
            <w:pPr>
              <w:pStyle w:val="CBDNormalNumber"/>
              <w:numPr>
                <w:ilvl w:val="0"/>
                <w:numId w:val="0"/>
              </w:numPr>
              <w:tabs>
                <w:tab w:val="clear" w:pos="567"/>
              </w:tabs>
              <w:jc w:val="left"/>
              <w:rPr>
                <w:sz w:val="20"/>
                <w:szCs w:val="20"/>
              </w:rPr>
            </w:pPr>
            <w:r w:rsidRPr="00F91CFC">
              <w:rPr>
                <w:sz w:val="20"/>
              </w:rPr>
              <w:t>Financiación insuficiente y acceso limitado; y desajustes entre las necesidades de financiación a largo plazo y los enfoques de financiación de proyectos a corto plazo</w:t>
            </w:r>
          </w:p>
        </w:tc>
        <w:tc>
          <w:tcPr>
            <w:tcW w:w="4535" w:type="dxa"/>
          </w:tcPr>
          <w:p w14:paraId="38DB556D" w14:textId="07D12804" w:rsidR="004232E9" w:rsidRPr="00F91CFC" w:rsidRDefault="004232E9" w:rsidP="00826AED">
            <w:pPr>
              <w:pStyle w:val="CBDNormalNumber"/>
              <w:numPr>
                <w:ilvl w:val="0"/>
                <w:numId w:val="0"/>
              </w:numPr>
              <w:tabs>
                <w:tab w:val="clear" w:pos="567"/>
              </w:tabs>
              <w:jc w:val="left"/>
              <w:rPr>
                <w:sz w:val="20"/>
                <w:szCs w:val="20"/>
              </w:rPr>
            </w:pPr>
            <w:r w:rsidRPr="00F91CFC">
              <w:rPr>
                <w:sz w:val="20"/>
              </w:rPr>
              <w:t>Simplificar el acceso mediante una financiación flexible, a largo plazo y previsible; e invertir en “financiación para la financiación” con el fin de apoyar la movilización de recursos nacionales</w:t>
            </w:r>
          </w:p>
        </w:tc>
      </w:tr>
      <w:tr w:rsidR="004232E9" w:rsidRPr="00F91CFC" w14:paraId="38D2CBDF" w14:textId="77777777" w:rsidTr="00F347FD">
        <w:tc>
          <w:tcPr>
            <w:tcW w:w="4253" w:type="dxa"/>
          </w:tcPr>
          <w:p w14:paraId="68C19F2E" w14:textId="1273B676" w:rsidR="004232E9" w:rsidRPr="00F91CFC" w:rsidRDefault="004232E9" w:rsidP="00826AED">
            <w:pPr>
              <w:pStyle w:val="CBDNormalNumber"/>
              <w:numPr>
                <w:ilvl w:val="0"/>
                <w:numId w:val="0"/>
              </w:numPr>
              <w:tabs>
                <w:tab w:val="clear" w:pos="567"/>
              </w:tabs>
              <w:jc w:val="left"/>
              <w:rPr>
                <w:sz w:val="20"/>
                <w:szCs w:val="20"/>
              </w:rPr>
            </w:pPr>
            <w:r w:rsidRPr="00F91CFC">
              <w:rPr>
                <w:sz w:val="20"/>
              </w:rPr>
              <w:t>Barreras adicionales que enfrentan los pueblos indígenas y las comunidades locales; y representación desigual</w:t>
            </w:r>
          </w:p>
        </w:tc>
        <w:tc>
          <w:tcPr>
            <w:tcW w:w="4535" w:type="dxa"/>
          </w:tcPr>
          <w:p w14:paraId="6704A8F6" w14:textId="368B920A" w:rsidR="004232E9" w:rsidRPr="00F91CFC" w:rsidRDefault="004232E9" w:rsidP="00826AED">
            <w:pPr>
              <w:pStyle w:val="CBDNormalNumber"/>
              <w:numPr>
                <w:ilvl w:val="0"/>
                <w:numId w:val="0"/>
              </w:numPr>
              <w:tabs>
                <w:tab w:val="clear" w:pos="567"/>
              </w:tabs>
              <w:jc w:val="left"/>
              <w:rPr>
                <w:sz w:val="20"/>
                <w:szCs w:val="20"/>
              </w:rPr>
            </w:pPr>
            <w:r w:rsidRPr="00F91CFC">
              <w:rPr>
                <w:sz w:val="20"/>
              </w:rPr>
              <w:t>Considerar las estrategias para mejorar el acceso recopiladas en el documento </w:t>
            </w:r>
            <w:hyperlink r:id="rId85" w:history="1">
              <w:r w:rsidRPr="00F91CFC">
                <w:rPr>
                  <w:rStyle w:val="Hipervnculo"/>
                  <w:sz w:val="20"/>
                </w:rPr>
                <w:t>CBD/SB8J/1/2</w:t>
              </w:r>
            </w:hyperlink>
            <w:r w:rsidRPr="00F91CFC">
              <w:rPr>
                <w:sz w:val="20"/>
              </w:rPr>
              <w:t>; y trabajar a través de intermediarios de confianza</w:t>
            </w:r>
          </w:p>
        </w:tc>
      </w:tr>
    </w:tbl>
    <w:p w14:paraId="134CDE56" w14:textId="77777777" w:rsidR="00E57440" w:rsidRPr="00F91CFC" w:rsidRDefault="00E57440" w:rsidP="00C3605E">
      <w:pPr>
        <w:pStyle w:val="CBDAnnex"/>
        <w:sectPr w:rsidR="00E57440" w:rsidRPr="00F91CFC" w:rsidSect="00C27EB7">
          <w:headerReference w:type="even" r:id="rId86"/>
          <w:headerReference w:type="default" r:id="rId87"/>
          <w:footerReference w:type="even" r:id="rId88"/>
          <w:footerReference w:type="default" r:id="rId89"/>
          <w:headerReference w:type="first" r:id="rId90"/>
          <w:pgSz w:w="12240" w:h="15840" w:code="1"/>
          <w:pgMar w:top="567" w:right="1440" w:bottom="1134" w:left="1440" w:header="709" w:footer="709" w:gutter="0"/>
          <w:cols w:space="708"/>
          <w:titlePg/>
          <w:docGrid w:linePitch="360"/>
        </w:sectPr>
      </w:pPr>
    </w:p>
    <w:p w14:paraId="2580B220" w14:textId="77777777" w:rsidR="00C3605E" w:rsidRPr="00F91CFC" w:rsidRDefault="00C3605E" w:rsidP="00F347FD">
      <w:pPr>
        <w:pStyle w:val="CBDAnnex"/>
        <w:ind w:left="567"/>
      </w:pPr>
      <w:r w:rsidRPr="00F91CFC">
        <w:lastRenderedPageBreak/>
        <w:t>Anexo</w:t>
      </w:r>
    </w:p>
    <w:p w14:paraId="553E2C8C" w14:textId="77777777" w:rsidR="00C3605E" w:rsidRPr="00F91CFC" w:rsidRDefault="00C3605E" w:rsidP="00C3605E">
      <w:pPr>
        <w:pStyle w:val="CBDTitle"/>
      </w:pPr>
      <w:r w:rsidRPr="00F91CFC">
        <w:t>Estimación de las necesidades de recursos extrapresupuestarios</w:t>
      </w:r>
    </w:p>
    <w:p w14:paraId="4D3FD62B" w14:textId="1C188A8F" w:rsidR="00C3605E" w:rsidRPr="00F91CFC" w:rsidRDefault="00C3605E" w:rsidP="00C3605E">
      <w:pPr>
        <w:pStyle w:val="CBDNormalNoNumber"/>
      </w:pPr>
      <w:r w:rsidRPr="00F91CFC">
        <w:t>El cuadro que figura a continuación se ha preparado para indicar la estimación de las necesidades de recursos extrapresupuestarios para las actividades solicitadas a la Secretaría, como se describe en el proyecto de decisión, a fin de apoyar su consideración.</w:t>
      </w:r>
      <w:bookmarkStart w:id="1" w:name="_Hlk216086750"/>
      <w:r w:rsidRPr="00F91CFC">
        <w:t xml:space="preserve"> El presente anexo no es parte del proyecto de decisión que se somete a la consideración del Órgano Subsidiario.</w:t>
      </w:r>
    </w:p>
    <w:p w14:paraId="2E910373" w14:textId="65C5C0EC" w:rsidR="00470E20" w:rsidRPr="00F91CFC" w:rsidRDefault="00470E20" w:rsidP="00F347FD">
      <w:pPr>
        <w:pStyle w:val="CBDTableTitle"/>
        <w:tabs>
          <w:tab w:val="clear" w:pos="567"/>
        </w:tabs>
        <w:ind w:left="0"/>
      </w:pPr>
      <w:r w:rsidRPr="00F91CFC">
        <w:t>Necesidades de recursos extrapresupuestarios</w:t>
      </w:r>
      <w:r w:rsidRPr="00F91CFC">
        <w:rPr>
          <w:sz w:val="18"/>
        </w:rPr>
        <w:br/>
      </w:r>
      <w:r w:rsidRPr="00F91CFC">
        <w:rPr>
          <w:b w:val="0"/>
          <w:sz w:val="18"/>
        </w:rPr>
        <w:t xml:space="preserve">(En dólares de los </w:t>
      </w:r>
      <w:proofErr w:type="gramStart"/>
      <w:r w:rsidRPr="00F91CFC">
        <w:rPr>
          <w:b w:val="0"/>
          <w:sz w:val="18"/>
        </w:rPr>
        <w:t>EE.UU.</w:t>
      </w:r>
      <w:proofErr w:type="gramEnd"/>
      <w:r w:rsidRPr="00F91CFC">
        <w:rPr>
          <w:b w:val="0"/>
          <w:sz w:val="18"/>
        </w:rPr>
        <w:t>)</w:t>
      </w:r>
    </w:p>
    <w:tbl>
      <w:tblPr>
        <w:tblW w:w="9963" w:type="dxa"/>
        <w:tblLayout w:type="fixed"/>
        <w:tblCellMar>
          <w:left w:w="0" w:type="dxa"/>
          <w:right w:w="0" w:type="dxa"/>
        </w:tblCellMar>
        <w:tblLook w:val="04A0" w:firstRow="1" w:lastRow="0" w:firstColumn="1" w:lastColumn="0" w:noHBand="0" w:noVBand="1"/>
      </w:tblPr>
      <w:tblGrid>
        <w:gridCol w:w="850"/>
        <w:gridCol w:w="3021"/>
        <w:gridCol w:w="807"/>
        <w:gridCol w:w="1090"/>
        <w:gridCol w:w="1178"/>
        <w:gridCol w:w="992"/>
        <w:gridCol w:w="897"/>
        <w:gridCol w:w="1128"/>
      </w:tblGrid>
      <w:tr w:rsidR="00470E20" w:rsidRPr="00F91CFC" w14:paraId="53359E04" w14:textId="77777777" w:rsidTr="00E10B69">
        <w:trPr>
          <w:trHeight w:val="290"/>
        </w:trPr>
        <w:tc>
          <w:tcPr>
            <w:tcW w:w="427" w:type="pct"/>
            <w:tcBorders>
              <w:top w:val="single" w:sz="4" w:space="0" w:color="auto"/>
              <w:bottom w:val="single" w:sz="8" w:space="0" w:color="auto"/>
            </w:tcBorders>
            <w:vAlign w:val="bottom"/>
          </w:tcPr>
          <w:p w14:paraId="0C3E170A" w14:textId="77777777" w:rsidR="00470E20" w:rsidRPr="00F91CFC" w:rsidRDefault="00470E20" w:rsidP="00826AED">
            <w:pPr>
              <w:jc w:val="left"/>
              <w:rPr>
                <w:sz w:val="20"/>
                <w:szCs w:val="20"/>
              </w:rPr>
            </w:pPr>
            <w:r w:rsidRPr="00F91CFC">
              <w:rPr>
                <w:i/>
                <w:sz w:val="20"/>
              </w:rPr>
              <w:t>Párr.</w:t>
            </w:r>
          </w:p>
        </w:tc>
        <w:tc>
          <w:tcPr>
            <w:tcW w:w="1516" w:type="pct"/>
            <w:tcBorders>
              <w:top w:val="single" w:sz="4" w:space="0" w:color="auto"/>
              <w:bottom w:val="single" w:sz="8" w:space="0" w:color="auto"/>
            </w:tcBorders>
            <w:noWrap/>
            <w:tcMar>
              <w:top w:w="0" w:type="dxa"/>
              <w:left w:w="108" w:type="dxa"/>
              <w:bottom w:w="0" w:type="dxa"/>
              <w:right w:w="108" w:type="dxa"/>
            </w:tcMar>
            <w:vAlign w:val="bottom"/>
          </w:tcPr>
          <w:p w14:paraId="4506A051" w14:textId="77777777" w:rsidR="00470E20" w:rsidRPr="00F91CFC" w:rsidRDefault="00470E20" w:rsidP="00826AED">
            <w:pPr>
              <w:jc w:val="left"/>
              <w:rPr>
                <w:sz w:val="20"/>
                <w:szCs w:val="20"/>
              </w:rPr>
            </w:pPr>
            <w:r w:rsidRPr="00F91CFC">
              <w:rPr>
                <w:i/>
                <w:sz w:val="20"/>
              </w:rPr>
              <w:t>Actividad</w:t>
            </w:r>
          </w:p>
        </w:tc>
        <w:tc>
          <w:tcPr>
            <w:tcW w:w="405" w:type="pct"/>
            <w:tcBorders>
              <w:top w:val="single" w:sz="4" w:space="0" w:color="auto"/>
              <w:bottom w:val="single" w:sz="8" w:space="0" w:color="auto"/>
            </w:tcBorders>
            <w:noWrap/>
            <w:tcMar>
              <w:top w:w="0" w:type="dxa"/>
              <w:left w:w="108" w:type="dxa"/>
              <w:bottom w:w="0" w:type="dxa"/>
              <w:right w:w="108" w:type="dxa"/>
            </w:tcMar>
            <w:vAlign w:val="bottom"/>
          </w:tcPr>
          <w:p w14:paraId="2A411A6B" w14:textId="60CD2A9D" w:rsidR="00470E20" w:rsidRPr="00F91CFC" w:rsidRDefault="00470E20" w:rsidP="00826AED">
            <w:pPr>
              <w:jc w:val="center"/>
              <w:rPr>
                <w:sz w:val="20"/>
                <w:szCs w:val="20"/>
              </w:rPr>
            </w:pPr>
            <w:r w:rsidRPr="00F91CFC">
              <w:rPr>
                <w:i/>
                <w:sz w:val="20"/>
              </w:rPr>
              <w:t xml:space="preserve">Costos de </w:t>
            </w:r>
            <w:proofErr w:type="spellStart"/>
            <w:r w:rsidRPr="00F91CFC">
              <w:rPr>
                <w:i/>
                <w:sz w:val="20"/>
              </w:rPr>
              <w:t>reu</w:t>
            </w:r>
            <w:r w:rsidR="00F91CFC">
              <w:rPr>
                <w:i/>
                <w:sz w:val="20"/>
              </w:rPr>
              <w:t>-</w:t>
            </w:r>
            <w:r w:rsidRPr="00F91CFC">
              <w:rPr>
                <w:i/>
                <w:sz w:val="20"/>
              </w:rPr>
              <w:t>niones</w:t>
            </w:r>
            <w:r w:rsidRPr="00F91CFC">
              <w:rPr>
                <w:i/>
                <w:sz w:val="20"/>
                <w:vertAlign w:val="superscript"/>
              </w:rPr>
              <w:t>a</w:t>
            </w:r>
            <w:proofErr w:type="spellEnd"/>
          </w:p>
        </w:tc>
        <w:tc>
          <w:tcPr>
            <w:tcW w:w="547" w:type="pct"/>
            <w:tcBorders>
              <w:top w:val="single" w:sz="4" w:space="0" w:color="auto"/>
              <w:bottom w:val="single" w:sz="8" w:space="0" w:color="auto"/>
            </w:tcBorders>
            <w:noWrap/>
            <w:tcMar>
              <w:top w:w="0" w:type="dxa"/>
              <w:left w:w="108" w:type="dxa"/>
              <w:bottom w:w="0" w:type="dxa"/>
              <w:right w:w="108" w:type="dxa"/>
            </w:tcMar>
            <w:vAlign w:val="bottom"/>
          </w:tcPr>
          <w:p w14:paraId="1E9F504B" w14:textId="1895B84F" w:rsidR="00470E20" w:rsidRPr="00F91CFC" w:rsidRDefault="00470E20" w:rsidP="00826AED">
            <w:pPr>
              <w:jc w:val="center"/>
              <w:rPr>
                <w:sz w:val="20"/>
                <w:szCs w:val="20"/>
              </w:rPr>
            </w:pPr>
            <w:r w:rsidRPr="00F91CFC">
              <w:rPr>
                <w:i/>
                <w:sz w:val="20"/>
              </w:rPr>
              <w:t>Viajes de funcio</w:t>
            </w:r>
            <w:r w:rsidR="00E10B69" w:rsidRPr="00F91CFC">
              <w:rPr>
                <w:i/>
                <w:sz w:val="20"/>
              </w:rPr>
              <w:t>-</w:t>
            </w:r>
            <w:r w:rsidRPr="00F91CFC">
              <w:rPr>
                <w:i/>
                <w:sz w:val="20"/>
              </w:rPr>
              <w:t>narios</w:t>
            </w:r>
          </w:p>
        </w:tc>
        <w:tc>
          <w:tcPr>
            <w:tcW w:w="591" w:type="pct"/>
            <w:tcBorders>
              <w:top w:val="single" w:sz="4" w:space="0" w:color="auto"/>
              <w:bottom w:val="single" w:sz="8" w:space="0" w:color="auto"/>
            </w:tcBorders>
            <w:noWrap/>
            <w:tcMar>
              <w:top w:w="0" w:type="dxa"/>
              <w:left w:w="108" w:type="dxa"/>
              <w:bottom w:w="0" w:type="dxa"/>
              <w:right w:w="108" w:type="dxa"/>
            </w:tcMar>
            <w:vAlign w:val="bottom"/>
          </w:tcPr>
          <w:p w14:paraId="60D8036B" w14:textId="0D261E69" w:rsidR="00470E20" w:rsidRPr="00F91CFC" w:rsidRDefault="00470E20" w:rsidP="00826AED">
            <w:pPr>
              <w:jc w:val="center"/>
              <w:rPr>
                <w:sz w:val="20"/>
                <w:szCs w:val="20"/>
              </w:rPr>
            </w:pPr>
            <w:r w:rsidRPr="00F91CFC">
              <w:rPr>
                <w:i/>
                <w:sz w:val="20"/>
              </w:rPr>
              <w:t>Gastos de personal</w:t>
            </w:r>
            <w:r w:rsidRPr="00F91CFC">
              <w:rPr>
                <w:i/>
                <w:sz w:val="20"/>
                <w:vertAlign w:val="superscript"/>
              </w:rPr>
              <w:t>b</w:t>
            </w:r>
          </w:p>
        </w:tc>
        <w:tc>
          <w:tcPr>
            <w:tcW w:w="498" w:type="pct"/>
            <w:tcBorders>
              <w:top w:val="single" w:sz="4" w:space="0" w:color="auto"/>
              <w:bottom w:val="single" w:sz="8" w:space="0" w:color="auto"/>
            </w:tcBorders>
            <w:noWrap/>
            <w:tcMar>
              <w:top w:w="0" w:type="dxa"/>
              <w:left w:w="108" w:type="dxa"/>
              <w:bottom w:w="0" w:type="dxa"/>
              <w:right w:w="108" w:type="dxa"/>
            </w:tcMar>
            <w:vAlign w:val="bottom"/>
          </w:tcPr>
          <w:p w14:paraId="5A080639" w14:textId="77777777" w:rsidR="00470E20" w:rsidRPr="00F91CFC" w:rsidRDefault="00470E20" w:rsidP="00826AED">
            <w:pPr>
              <w:jc w:val="center"/>
              <w:rPr>
                <w:sz w:val="20"/>
                <w:szCs w:val="20"/>
              </w:rPr>
            </w:pPr>
            <w:r w:rsidRPr="00F91CFC">
              <w:rPr>
                <w:i/>
                <w:sz w:val="20"/>
              </w:rPr>
              <w:t>Subtotal</w:t>
            </w:r>
          </w:p>
        </w:tc>
        <w:tc>
          <w:tcPr>
            <w:tcW w:w="450" w:type="pct"/>
            <w:tcBorders>
              <w:top w:val="single" w:sz="4" w:space="0" w:color="auto"/>
              <w:bottom w:val="single" w:sz="8" w:space="0" w:color="auto"/>
            </w:tcBorders>
            <w:noWrap/>
            <w:tcMar>
              <w:top w:w="0" w:type="dxa"/>
              <w:left w:w="108" w:type="dxa"/>
              <w:bottom w:w="0" w:type="dxa"/>
              <w:right w:w="108" w:type="dxa"/>
            </w:tcMar>
          </w:tcPr>
          <w:p w14:paraId="38335397" w14:textId="77777777" w:rsidR="00E10B69" w:rsidRPr="00F91CFC" w:rsidRDefault="00E10B69" w:rsidP="00826AED">
            <w:pPr>
              <w:jc w:val="center"/>
              <w:rPr>
                <w:i/>
                <w:sz w:val="20"/>
              </w:rPr>
            </w:pPr>
          </w:p>
          <w:p w14:paraId="00E39732" w14:textId="12BEAE59" w:rsidR="00470E20" w:rsidRPr="00F91CFC" w:rsidRDefault="00470E20" w:rsidP="00826AED">
            <w:pPr>
              <w:jc w:val="center"/>
              <w:rPr>
                <w:sz w:val="20"/>
                <w:szCs w:val="20"/>
              </w:rPr>
            </w:pPr>
            <w:r w:rsidRPr="00F91CFC">
              <w:rPr>
                <w:i/>
                <w:sz w:val="20"/>
              </w:rPr>
              <w:t xml:space="preserve">GAP </w:t>
            </w:r>
            <w:r w:rsidRPr="00F91CFC">
              <w:rPr>
                <w:i/>
                <w:sz w:val="20"/>
              </w:rPr>
              <w:br/>
              <w:t>(13 %)</w:t>
            </w:r>
          </w:p>
        </w:tc>
        <w:tc>
          <w:tcPr>
            <w:tcW w:w="566" w:type="pct"/>
            <w:tcBorders>
              <w:top w:val="single" w:sz="4" w:space="0" w:color="auto"/>
              <w:bottom w:val="single" w:sz="8" w:space="0" w:color="auto"/>
            </w:tcBorders>
            <w:noWrap/>
            <w:tcMar>
              <w:top w:w="0" w:type="dxa"/>
              <w:left w:w="108" w:type="dxa"/>
              <w:bottom w:w="0" w:type="dxa"/>
              <w:right w:w="108" w:type="dxa"/>
            </w:tcMar>
            <w:vAlign w:val="bottom"/>
          </w:tcPr>
          <w:p w14:paraId="362C0E84" w14:textId="77777777" w:rsidR="00470E20" w:rsidRPr="00F91CFC" w:rsidRDefault="00470E20" w:rsidP="00826AED">
            <w:pPr>
              <w:jc w:val="right"/>
              <w:rPr>
                <w:i/>
                <w:iCs/>
                <w:sz w:val="20"/>
                <w:szCs w:val="20"/>
              </w:rPr>
            </w:pPr>
            <w:r w:rsidRPr="00F91CFC">
              <w:rPr>
                <w:i/>
                <w:sz w:val="20"/>
              </w:rPr>
              <w:t>Total</w:t>
            </w:r>
          </w:p>
        </w:tc>
      </w:tr>
      <w:tr w:rsidR="001966F0" w:rsidRPr="00F91CFC" w14:paraId="60B4D61D" w14:textId="77777777" w:rsidTr="00E10B69">
        <w:trPr>
          <w:trHeight w:val="290"/>
        </w:trPr>
        <w:tc>
          <w:tcPr>
            <w:tcW w:w="427" w:type="pct"/>
            <w:tcBorders>
              <w:top w:val="single" w:sz="4" w:space="0" w:color="auto"/>
              <w:bottom w:val="single" w:sz="8" w:space="0" w:color="auto"/>
            </w:tcBorders>
            <w:vAlign w:val="bottom"/>
          </w:tcPr>
          <w:p w14:paraId="66348C93" w14:textId="77777777" w:rsidR="001966F0" w:rsidRPr="00F91CFC" w:rsidRDefault="001966F0" w:rsidP="00826AED">
            <w:pPr>
              <w:jc w:val="left"/>
              <w:rPr>
                <w:i/>
                <w:iCs/>
                <w:sz w:val="20"/>
                <w:szCs w:val="20"/>
              </w:rPr>
            </w:pPr>
          </w:p>
        </w:tc>
        <w:tc>
          <w:tcPr>
            <w:tcW w:w="1516" w:type="pct"/>
            <w:tcBorders>
              <w:top w:val="single" w:sz="4" w:space="0" w:color="auto"/>
              <w:bottom w:val="single" w:sz="8" w:space="0" w:color="auto"/>
            </w:tcBorders>
            <w:noWrap/>
            <w:tcMar>
              <w:top w:w="0" w:type="dxa"/>
              <w:left w:w="108" w:type="dxa"/>
              <w:bottom w:w="0" w:type="dxa"/>
              <w:right w:w="108" w:type="dxa"/>
            </w:tcMar>
            <w:vAlign w:val="bottom"/>
          </w:tcPr>
          <w:p w14:paraId="0901D11A" w14:textId="77777777" w:rsidR="001966F0" w:rsidRPr="00F91CFC" w:rsidRDefault="001966F0" w:rsidP="00826AED">
            <w:pPr>
              <w:jc w:val="left"/>
              <w:rPr>
                <w:i/>
                <w:iCs/>
                <w:sz w:val="20"/>
                <w:szCs w:val="20"/>
              </w:rPr>
            </w:pPr>
          </w:p>
        </w:tc>
        <w:tc>
          <w:tcPr>
            <w:tcW w:w="405" w:type="pct"/>
            <w:tcBorders>
              <w:top w:val="single" w:sz="4" w:space="0" w:color="auto"/>
              <w:bottom w:val="single" w:sz="8" w:space="0" w:color="auto"/>
            </w:tcBorders>
            <w:noWrap/>
            <w:tcMar>
              <w:top w:w="0" w:type="dxa"/>
              <w:left w:w="108" w:type="dxa"/>
              <w:bottom w:w="0" w:type="dxa"/>
              <w:right w:w="108" w:type="dxa"/>
            </w:tcMar>
            <w:vAlign w:val="bottom"/>
          </w:tcPr>
          <w:p w14:paraId="25BF82ED" w14:textId="77777777" w:rsidR="001966F0" w:rsidRPr="00F91CFC" w:rsidRDefault="001966F0" w:rsidP="00826AED">
            <w:pPr>
              <w:jc w:val="center"/>
              <w:rPr>
                <w:i/>
                <w:iCs/>
                <w:sz w:val="20"/>
                <w:szCs w:val="20"/>
              </w:rPr>
            </w:pPr>
          </w:p>
        </w:tc>
        <w:tc>
          <w:tcPr>
            <w:tcW w:w="547" w:type="pct"/>
            <w:tcBorders>
              <w:top w:val="single" w:sz="4" w:space="0" w:color="auto"/>
              <w:bottom w:val="single" w:sz="8" w:space="0" w:color="auto"/>
            </w:tcBorders>
            <w:noWrap/>
            <w:tcMar>
              <w:top w:w="0" w:type="dxa"/>
              <w:left w:w="108" w:type="dxa"/>
              <w:bottom w:w="0" w:type="dxa"/>
              <w:right w:w="108" w:type="dxa"/>
            </w:tcMar>
            <w:vAlign w:val="bottom"/>
          </w:tcPr>
          <w:p w14:paraId="3F0E8594" w14:textId="77777777" w:rsidR="001966F0" w:rsidRPr="00F91CFC" w:rsidRDefault="001966F0" w:rsidP="00826AED">
            <w:pPr>
              <w:jc w:val="center"/>
              <w:rPr>
                <w:i/>
                <w:iCs/>
                <w:sz w:val="20"/>
                <w:szCs w:val="20"/>
              </w:rPr>
            </w:pPr>
          </w:p>
        </w:tc>
        <w:tc>
          <w:tcPr>
            <w:tcW w:w="591" w:type="pct"/>
            <w:tcBorders>
              <w:top w:val="single" w:sz="4" w:space="0" w:color="auto"/>
              <w:bottom w:val="single" w:sz="8" w:space="0" w:color="auto"/>
            </w:tcBorders>
            <w:noWrap/>
            <w:tcMar>
              <w:top w:w="0" w:type="dxa"/>
              <w:left w:w="108" w:type="dxa"/>
              <w:bottom w:w="0" w:type="dxa"/>
              <w:right w:w="108" w:type="dxa"/>
            </w:tcMar>
            <w:vAlign w:val="bottom"/>
          </w:tcPr>
          <w:p w14:paraId="2B27638C" w14:textId="77777777" w:rsidR="001966F0" w:rsidRPr="00F91CFC" w:rsidRDefault="001966F0" w:rsidP="00826AED">
            <w:pPr>
              <w:jc w:val="center"/>
              <w:rPr>
                <w:i/>
                <w:iCs/>
                <w:sz w:val="20"/>
                <w:szCs w:val="20"/>
              </w:rPr>
            </w:pPr>
          </w:p>
        </w:tc>
        <w:tc>
          <w:tcPr>
            <w:tcW w:w="498" w:type="pct"/>
            <w:tcBorders>
              <w:top w:val="single" w:sz="4" w:space="0" w:color="auto"/>
              <w:bottom w:val="single" w:sz="8" w:space="0" w:color="auto"/>
            </w:tcBorders>
            <w:noWrap/>
            <w:tcMar>
              <w:top w:w="0" w:type="dxa"/>
              <w:left w:w="108" w:type="dxa"/>
              <w:bottom w:w="0" w:type="dxa"/>
              <w:right w:w="108" w:type="dxa"/>
            </w:tcMar>
            <w:vAlign w:val="bottom"/>
          </w:tcPr>
          <w:p w14:paraId="2122B11A" w14:textId="77777777" w:rsidR="001966F0" w:rsidRPr="00F91CFC" w:rsidRDefault="001966F0" w:rsidP="00826AED">
            <w:pPr>
              <w:jc w:val="center"/>
              <w:rPr>
                <w:i/>
                <w:iCs/>
                <w:sz w:val="20"/>
                <w:szCs w:val="20"/>
              </w:rPr>
            </w:pPr>
          </w:p>
        </w:tc>
        <w:tc>
          <w:tcPr>
            <w:tcW w:w="450" w:type="pct"/>
            <w:tcBorders>
              <w:top w:val="single" w:sz="4" w:space="0" w:color="auto"/>
              <w:bottom w:val="single" w:sz="8" w:space="0" w:color="auto"/>
            </w:tcBorders>
            <w:noWrap/>
            <w:tcMar>
              <w:top w:w="0" w:type="dxa"/>
              <w:left w:w="108" w:type="dxa"/>
              <w:bottom w:w="0" w:type="dxa"/>
              <w:right w:w="108" w:type="dxa"/>
            </w:tcMar>
          </w:tcPr>
          <w:p w14:paraId="4AF0F19C" w14:textId="77777777" w:rsidR="001966F0" w:rsidRPr="00F91CFC" w:rsidRDefault="001966F0" w:rsidP="00826AED">
            <w:pPr>
              <w:jc w:val="center"/>
              <w:rPr>
                <w:i/>
                <w:iCs/>
                <w:sz w:val="20"/>
                <w:szCs w:val="20"/>
              </w:rPr>
            </w:pPr>
          </w:p>
        </w:tc>
        <w:tc>
          <w:tcPr>
            <w:tcW w:w="566" w:type="pct"/>
            <w:tcBorders>
              <w:top w:val="single" w:sz="4" w:space="0" w:color="auto"/>
              <w:bottom w:val="single" w:sz="8" w:space="0" w:color="auto"/>
            </w:tcBorders>
            <w:noWrap/>
            <w:tcMar>
              <w:top w:w="0" w:type="dxa"/>
              <w:left w:w="108" w:type="dxa"/>
              <w:bottom w:w="0" w:type="dxa"/>
              <w:right w:w="108" w:type="dxa"/>
            </w:tcMar>
            <w:vAlign w:val="bottom"/>
          </w:tcPr>
          <w:p w14:paraId="1871CC3C" w14:textId="77777777" w:rsidR="001966F0" w:rsidRPr="00F91CFC" w:rsidRDefault="001966F0" w:rsidP="00826AED">
            <w:pPr>
              <w:jc w:val="right"/>
              <w:rPr>
                <w:i/>
                <w:iCs/>
                <w:sz w:val="20"/>
                <w:szCs w:val="20"/>
              </w:rPr>
            </w:pPr>
          </w:p>
        </w:tc>
      </w:tr>
      <w:tr w:rsidR="00470E20" w:rsidRPr="00F91CFC" w14:paraId="622A021A" w14:textId="77777777" w:rsidTr="00E10B69">
        <w:trPr>
          <w:trHeight w:val="290"/>
        </w:trPr>
        <w:tc>
          <w:tcPr>
            <w:tcW w:w="427" w:type="pct"/>
          </w:tcPr>
          <w:p w14:paraId="4AFBF05F" w14:textId="2A8E372A" w:rsidR="00470E20" w:rsidRPr="00F91CFC" w:rsidRDefault="00034022" w:rsidP="00F347FD">
            <w:pPr>
              <w:jc w:val="left"/>
              <w:rPr>
                <w:sz w:val="20"/>
                <w:szCs w:val="20"/>
              </w:rPr>
            </w:pPr>
            <w:r w:rsidRPr="00F91CFC">
              <w:rPr>
                <w:sz w:val="20"/>
              </w:rPr>
              <w:t>4, 7 y 9</w:t>
            </w:r>
          </w:p>
        </w:tc>
        <w:tc>
          <w:tcPr>
            <w:tcW w:w="1516" w:type="pct"/>
            <w:noWrap/>
            <w:tcMar>
              <w:top w:w="0" w:type="dxa"/>
              <w:left w:w="108" w:type="dxa"/>
              <w:bottom w:w="0" w:type="dxa"/>
              <w:right w:w="108" w:type="dxa"/>
            </w:tcMar>
            <w:vAlign w:val="center"/>
            <w:hideMark/>
          </w:tcPr>
          <w:p w14:paraId="3E413C16" w14:textId="35C4FEED" w:rsidR="00470E20" w:rsidRPr="00F91CFC" w:rsidRDefault="00470E20" w:rsidP="00826AED">
            <w:pPr>
              <w:jc w:val="left"/>
              <w:rPr>
                <w:sz w:val="20"/>
                <w:szCs w:val="20"/>
              </w:rPr>
            </w:pPr>
            <w:r w:rsidRPr="00F91CFC">
              <w:rPr>
                <w:sz w:val="20"/>
              </w:rPr>
              <w:t>Gestionar el programa de trabajo sobre movilización de recursos</w:t>
            </w:r>
            <w:r w:rsidRPr="00F91CFC">
              <w:rPr>
                <w:i/>
                <w:sz w:val="20"/>
                <w:vertAlign w:val="superscript"/>
              </w:rPr>
              <w:t>c</w:t>
            </w:r>
            <w:r w:rsidRPr="00F91CFC">
              <w:rPr>
                <w:sz w:val="20"/>
              </w:rPr>
              <w:t xml:space="preserve"> </w:t>
            </w:r>
          </w:p>
        </w:tc>
        <w:tc>
          <w:tcPr>
            <w:tcW w:w="405" w:type="pct"/>
            <w:noWrap/>
            <w:tcMar>
              <w:top w:w="0" w:type="dxa"/>
              <w:left w:w="108" w:type="dxa"/>
              <w:bottom w:w="0" w:type="dxa"/>
              <w:right w:w="108" w:type="dxa"/>
            </w:tcMar>
            <w:vAlign w:val="bottom"/>
            <w:hideMark/>
          </w:tcPr>
          <w:p w14:paraId="67AAEE15" w14:textId="77777777" w:rsidR="00470E20" w:rsidRPr="00F91CFC" w:rsidRDefault="00470E20" w:rsidP="00826AED">
            <w:pPr>
              <w:jc w:val="right"/>
              <w:rPr>
                <w:sz w:val="20"/>
                <w:szCs w:val="20"/>
              </w:rPr>
            </w:pPr>
            <w:r w:rsidRPr="00F91CFC">
              <w:rPr>
                <w:sz w:val="20"/>
              </w:rPr>
              <w:t>–</w:t>
            </w:r>
          </w:p>
        </w:tc>
        <w:tc>
          <w:tcPr>
            <w:tcW w:w="547" w:type="pct"/>
            <w:noWrap/>
            <w:tcMar>
              <w:top w:w="0" w:type="dxa"/>
              <w:left w:w="108" w:type="dxa"/>
              <w:bottom w:w="0" w:type="dxa"/>
              <w:right w:w="108" w:type="dxa"/>
            </w:tcMar>
            <w:vAlign w:val="bottom"/>
            <w:hideMark/>
          </w:tcPr>
          <w:p w14:paraId="237C9085" w14:textId="61748A89" w:rsidR="00470E20" w:rsidRPr="00F91CFC" w:rsidRDefault="00470E20" w:rsidP="00826AED">
            <w:pPr>
              <w:jc w:val="right"/>
              <w:rPr>
                <w:sz w:val="20"/>
                <w:szCs w:val="20"/>
              </w:rPr>
            </w:pPr>
            <w:r w:rsidRPr="00F91CFC">
              <w:rPr>
                <w:sz w:val="20"/>
              </w:rPr>
              <w:t>26 250</w:t>
            </w:r>
          </w:p>
        </w:tc>
        <w:tc>
          <w:tcPr>
            <w:tcW w:w="591" w:type="pct"/>
            <w:noWrap/>
            <w:tcMar>
              <w:top w:w="0" w:type="dxa"/>
              <w:left w:w="108" w:type="dxa"/>
              <w:bottom w:w="0" w:type="dxa"/>
              <w:right w:w="108" w:type="dxa"/>
            </w:tcMar>
            <w:vAlign w:val="bottom"/>
            <w:hideMark/>
          </w:tcPr>
          <w:p w14:paraId="7CC0FF93" w14:textId="4EF38BB3" w:rsidR="00470E20" w:rsidRPr="00F91CFC" w:rsidRDefault="00470E20" w:rsidP="00826AED">
            <w:pPr>
              <w:jc w:val="right"/>
              <w:rPr>
                <w:sz w:val="20"/>
                <w:szCs w:val="20"/>
              </w:rPr>
            </w:pPr>
            <w:r w:rsidRPr="00F91CFC">
              <w:rPr>
                <w:sz w:val="20"/>
              </w:rPr>
              <w:t>352 000</w:t>
            </w:r>
          </w:p>
        </w:tc>
        <w:tc>
          <w:tcPr>
            <w:tcW w:w="498" w:type="pct"/>
            <w:noWrap/>
            <w:tcMar>
              <w:top w:w="0" w:type="dxa"/>
              <w:left w:w="108" w:type="dxa"/>
              <w:bottom w:w="0" w:type="dxa"/>
              <w:right w:w="108" w:type="dxa"/>
            </w:tcMar>
            <w:vAlign w:val="bottom"/>
            <w:hideMark/>
          </w:tcPr>
          <w:p w14:paraId="1319B2A0" w14:textId="70433B60" w:rsidR="00470E20" w:rsidRPr="00F91CFC" w:rsidRDefault="00470E20" w:rsidP="00826AED">
            <w:pPr>
              <w:jc w:val="right"/>
              <w:rPr>
                <w:sz w:val="20"/>
                <w:szCs w:val="20"/>
              </w:rPr>
            </w:pPr>
            <w:r w:rsidRPr="00F91CFC">
              <w:rPr>
                <w:sz w:val="20"/>
              </w:rPr>
              <w:t>378 250</w:t>
            </w:r>
          </w:p>
        </w:tc>
        <w:tc>
          <w:tcPr>
            <w:tcW w:w="450" w:type="pct"/>
            <w:noWrap/>
            <w:tcMar>
              <w:top w:w="0" w:type="dxa"/>
              <w:left w:w="108" w:type="dxa"/>
              <w:bottom w:w="0" w:type="dxa"/>
              <w:right w:w="108" w:type="dxa"/>
            </w:tcMar>
            <w:vAlign w:val="bottom"/>
            <w:hideMark/>
          </w:tcPr>
          <w:p w14:paraId="5BE6604B" w14:textId="5E49BA8C" w:rsidR="00470E20" w:rsidRPr="00F91CFC" w:rsidRDefault="00470E20" w:rsidP="00826AED">
            <w:pPr>
              <w:jc w:val="right"/>
              <w:rPr>
                <w:sz w:val="20"/>
                <w:szCs w:val="20"/>
              </w:rPr>
            </w:pPr>
            <w:r w:rsidRPr="00F91CFC">
              <w:rPr>
                <w:sz w:val="20"/>
              </w:rPr>
              <w:t>49 173</w:t>
            </w:r>
          </w:p>
        </w:tc>
        <w:tc>
          <w:tcPr>
            <w:tcW w:w="566" w:type="pct"/>
            <w:noWrap/>
            <w:tcMar>
              <w:top w:w="0" w:type="dxa"/>
              <w:left w:w="108" w:type="dxa"/>
              <w:bottom w:w="0" w:type="dxa"/>
              <w:right w:w="108" w:type="dxa"/>
            </w:tcMar>
            <w:vAlign w:val="bottom"/>
            <w:hideMark/>
          </w:tcPr>
          <w:p w14:paraId="3008F19E" w14:textId="4D86839F" w:rsidR="00470E20" w:rsidRPr="00F91CFC" w:rsidRDefault="00470E20" w:rsidP="00826AED">
            <w:pPr>
              <w:jc w:val="right"/>
              <w:rPr>
                <w:sz w:val="20"/>
                <w:szCs w:val="20"/>
              </w:rPr>
            </w:pPr>
            <w:r w:rsidRPr="00F91CFC">
              <w:rPr>
                <w:sz w:val="20"/>
              </w:rPr>
              <w:t>427 423</w:t>
            </w:r>
          </w:p>
        </w:tc>
      </w:tr>
      <w:tr w:rsidR="00470E20" w:rsidRPr="00F91CFC" w14:paraId="16DAD2AA" w14:textId="77777777" w:rsidTr="00E10B69">
        <w:trPr>
          <w:trHeight w:val="290"/>
        </w:trPr>
        <w:tc>
          <w:tcPr>
            <w:tcW w:w="427" w:type="pct"/>
          </w:tcPr>
          <w:p w14:paraId="009F9922" w14:textId="74C4E844" w:rsidR="00470E20" w:rsidRPr="00F91CFC" w:rsidRDefault="00034022" w:rsidP="00F347FD">
            <w:pPr>
              <w:jc w:val="left"/>
              <w:rPr>
                <w:sz w:val="20"/>
                <w:szCs w:val="20"/>
              </w:rPr>
            </w:pPr>
            <w:r w:rsidRPr="00F91CFC">
              <w:rPr>
                <w:sz w:val="20"/>
              </w:rPr>
              <w:t>7 a) y 9</w:t>
            </w:r>
          </w:p>
        </w:tc>
        <w:tc>
          <w:tcPr>
            <w:tcW w:w="1516" w:type="pct"/>
            <w:noWrap/>
            <w:tcMar>
              <w:top w:w="0" w:type="dxa"/>
              <w:left w:w="108" w:type="dxa"/>
              <w:bottom w:w="0" w:type="dxa"/>
              <w:right w:w="108" w:type="dxa"/>
            </w:tcMar>
            <w:vAlign w:val="center"/>
          </w:tcPr>
          <w:p w14:paraId="05C2603B" w14:textId="32141196" w:rsidR="00470E20" w:rsidRPr="00F91CFC" w:rsidRDefault="00A208FA" w:rsidP="00826AED">
            <w:pPr>
              <w:jc w:val="left"/>
              <w:rPr>
                <w:sz w:val="20"/>
                <w:szCs w:val="20"/>
              </w:rPr>
            </w:pPr>
            <w:r w:rsidRPr="00F91CFC">
              <w:rPr>
                <w:sz w:val="20"/>
              </w:rPr>
              <w:t>Encargar la elaboración de un estudio sobre las medidas que se podrían adoptar para mejorar la financiación mundial de la biodiversidad a fin de movilizar recursos nuevos y adicionales de todas las fuentes</w:t>
            </w:r>
          </w:p>
        </w:tc>
        <w:tc>
          <w:tcPr>
            <w:tcW w:w="405" w:type="pct"/>
            <w:noWrap/>
            <w:tcMar>
              <w:top w:w="0" w:type="dxa"/>
              <w:left w:w="108" w:type="dxa"/>
              <w:bottom w:w="0" w:type="dxa"/>
              <w:right w:w="108" w:type="dxa"/>
            </w:tcMar>
            <w:vAlign w:val="bottom"/>
          </w:tcPr>
          <w:p w14:paraId="0CF277BA" w14:textId="77777777" w:rsidR="00470E20" w:rsidRPr="00F91CFC" w:rsidRDefault="00470E20" w:rsidP="00826AED">
            <w:pPr>
              <w:jc w:val="right"/>
              <w:rPr>
                <w:sz w:val="20"/>
                <w:szCs w:val="20"/>
              </w:rPr>
            </w:pPr>
            <w:r w:rsidRPr="00F91CFC">
              <w:rPr>
                <w:sz w:val="20"/>
              </w:rPr>
              <w:t>–</w:t>
            </w:r>
          </w:p>
        </w:tc>
        <w:tc>
          <w:tcPr>
            <w:tcW w:w="547" w:type="pct"/>
            <w:noWrap/>
            <w:tcMar>
              <w:top w:w="0" w:type="dxa"/>
              <w:left w:w="108" w:type="dxa"/>
              <w:bottom w:w="0" w:type="dxa"/>
              <w:right w:w="108" w:type="dxa"/>
            </w:tcMar>
            <w:vAlign w:val="bottom"/>
          </w:tcPr>
          <w:p w14:paraId="4CE7D3B3" w14:textId="77777777" w:rsidR="00470E20" w:rsidRPr="00F91CFC" w:rsidRDefault="00470E20" w:rsidP="00826AED">
            <w:pPr>
              <w:jc w:val="right"/>
              <w:rPr>
                <w:sz w:val="20"/>
                <w:szCs w:val="20"/>
              </w:rPr>
            </w:pPr>
            <w:r w:rsidRPr="00F91CFC">
              <w:rPr>
                <w:sz w:val="20"/>
              </w:rPr>
              <w:t>–</w:t>
            </w:r>
          </w:p>
        </w:tc>
        <w:tc>
          <w:tcPr>
            <w:tcW w:w="591" w:type="pct"/>
            <w:noWrap/>
            <w:tcMar>
              <w:top w:w="0" w:type="dxa"/>
              <w:left w:w="108" w:type="dxa"/>
              <w:bottom w:w="0" w:type="dxa"/>
              <w:right w:w="108" w:type="dxa"/>
            </w:tcMar>
            <w:vAlign w:val="bottom"/>
          </w:tcPr>
          <w:p w14:paraId="74B14C47" w14:textId="46F387A0" w:rsidR="00470E20" w:rsidRPr="00F91CFC" w:rsidRDefault="00470E20" w:rsidP="00826AED">
            <w:pPr>
              <w:jc w:val="right"/>
              <w:rPr>
                <w:sz w:val="20"/>
                <w:szCs w:val="20"/>
              </w:rPr>
            </w:pPr>
            <w:r w:rsidRPr="00F91CFC">
              <w:rPr>
                <w:sz w:val="20"/>
              </w:rPr>
              <w:t>27 000</w:t>
            </w:r>
          </w:p>
        </w:tc>
        <w:tc>
          <w:tcPr>
            <w:tcW w:w="498" w:type="pct"/>
            <w:noWrap/>
            <w:tcMar>
              <w:top w:w="0" w:type="dxa"/>
              <w:left w:w="108" w:type="dxa"/>
              <w:bottom w:w="0" w:type="dxa"/>
              <w:right w:w="108" w:type="dxa"/>
            </w:tcMar>
            <w:vAlign w:val="bottom"/>
          </w:tcPr>
          <w:p w14:paraId="50C8326F" w14:textId="07A6E0B1" w:rsidR="00470E20" w:rsidRPr="00F91CFC" w:rsidRDefault="00470E20" w:rsidP="00826AED">
            <w:pPr>
              <w:jc w:val="right"/>
              <w:rPr>
                <w:sz w:val="20"/>
                <w:szCs w:val="20"/>
              </w:rPr>
            </w:pPr>
            <w:r w:rsidRPr="00F91CFC">
              <w:rPr>
                <w:sz w:val="20"/>
              </w:rPr>
              <w:t>27 000</w:t>
            </w:r>
          </w:p>
        </w:tc>
        <w:tc>
          <w:tcPr>
            <w:tcW w:w="450" w:type="pct"/>
            <w:noWrap/>
            <w:tcMar>
              <w:top w:w="0" w:type="dxa"/>
              <w:left w:w="108" w:type="dxa"/>
              <w:bottom w:w="0" w:type="dxa"/>
              <w:right w:w="108" w:type="dxa"/>
            </w:tcMar>
            <w:vAlign w:val="bottom"/>
          </w:tcPr>
          <w:p w14:paraId="2B43A2DE" w14:textId="2806986E" w:rsidR="00470E20" w:rsidRPr="00F91CFC" w:rsidRDefault="00470E20" w:rsidP="00826AED">
            <w:pPr>
              <w:jc w:val="right"/>
              <w:rPr>
                <w:sz w:val="20"/>
                <w:szCs w:val="20"/>
              </w:rPr>
            </w:pPr>
            <w:r w:rsidRPr="00F91CFC">
              <w:rPr>
                <w:sz w:val="20"/>
              </w:rPr>
              <w:t>3 510</w:t>
            </w:r>
          </w:p>
        </w:tc>
        <w:tc>
          <w:tcPr>
            <w:tcW w:w="566" w:type="pct"/>
            <w:noWrap/>
            <w:tcMar>
              <w:top w:w="0" w:type="dxa"/>
              <w:left w:w="108" w:type="dxa"/>
              <w:bottom w:w="0" w:type="dxa"/>
              <w:right w:w="108" w:type="dxa"/>
            </w:tcMar>
            <w:vAlign w:val="bottom"/>
          </w:tcPr>
          <w:p w14:paraId="5CCBF09E" w14:textId="20127B4C" w:rsidR="00470E20" w:rsidRPr="00F91CFC" w:rsidRDefault="00470E20" w:rsidP="00826AED">
            <w:pPr>
              <w:jc w:val="right"/>
              <w:rPr>
                <w:sz w:val="20"/>
                <w:szCs w:val="20"/>
              </w:rPr>
            </w:pPr>
            <w:r w:rsidRPr="00F91CFC">
              <w:rPr>
                <w:sz w:val="20"/>
              </w:rPr>
              <w:t>30 510</w:t>
            </w:r>
          </w:p>
        </w:tc>
      </w:tr>
      <w:tr w:rsidR="00470E20" w:rsidRPr="00F91CFC" w14:paraId="798A69BD" w14:textId="77777777" w:rsidTr="00E10B69">
        <w:trPr>
          <w:trHeight w:val="290"/>
        </w:trPr>
        <w:tc>
          <w:tcPr>
            <w:tcW w:w="427" w:type="pct"/>
          </w:tcPr>
          <w:p w14:paraId="63D0817F" w14:textId="3977CF8F" w:rsidR="00470E20" w:rsidRPr="00F91CFC" w:rsidRDefault="006576BA" w:rsidP="00F347FD">
            <w:pPr>
              <w:jc w:val="left"/>
              <w:rPr>
                <w:sz w:val="20"/>
                <w:szCs w:val="20"/>
              </w:rPr>
            </w:pPr>
            <w:r w:rsidRPr="00F91CFC">
              <w:rPr>
                <w:sz w:val="20"/>
              </w:rPr>
              <w:t>7 b) y 9</w:t>
            </w:r>
          </w:p>
        </w:tc>
        <w:tc>
          <w:tcPr>
            <w:tcW w:w="1516" w:type="pct"/>
            <w:noWrap/>
            <w:tcMar>
              <w:top w:w="0" w:type="dxa"/>
              <w:left w:w="108" w:type="dxa"/>
              <w:bottom w:w="0" w:type="dxa"/>
              <w:right w:w="108" w:type="dxa"/>
            </w:tcMar>
            <w:vAlign w:val="center"/>
          </w:tcPr>
          <w:p w14:paraId="5104D8C0" w14:textId="5CD93F1E" w:rsidR="00470E20" w:rsidRPr="00F91CFC" w:rsidRDefault="00470E20" w:rsidP="00826AED">
            <w:pPr>
              <w:jc w:val="left"/>
              <w:rPr>
                <w:sz w:val="20"/>
                <w:szCs w:val="20"/>
              </w:rPr>
            </w:pPr>
            <w:r w:rsidRPr="00F91CFC">
              <w:rPr>
                <w:sz w:val="20"/>
              </w:rPr>
              <w:t>Evaluar los resultados de los instrumentos financieros y entidades pertinentes existentes con respecto a la implementación del Marco Mundial de Biodiversidad de Kunming-Montreal, en particular la meta 19 a)</w:t>
            </w:r>
          </w:p>
        </w:tc>
        <w:tc>
          <w:tcPr>
            <w:tcW w:w="405" w:type="pct"/>
            <w:noWrap/>
            <w:tcMar>
              <w:top w:w="0" w:type="dxa"/>
              <w:left w:w="108" w:type="dxa"/>
              <w:bottom w:w="0" w:type="dxa"/>
              <w:right w:w="108" w:type="dxa"/>
            </w:tcMar>
            <w:vAlign w:val="bottom"/>
          </w:tcPr>
          <w:p w14:paraId="41FC2201" w14:textId="77777777" w:rsidR="00470E20" w:rsidRPr="00F91CFC" w:rsidRDefault="00470E20" w:rsidP="00826AED">
            <w:pPr>
              <w:jc w:val="right"/>
              <w:rPr>
                <w:sz w:val="20"/>
                <w:szCs w:val="20"/>
              </w:rPr>
            </w:pPr>
            <w:r w:rsidRPr="00F91CFC">
              <w:rPr>
                <w:sz w:val="20"/>
              </w:rPr>
              <w:t>–</w:t>
            </w:r>
          </w:p>
        </w:tc>
        <w:tc>
          <w:tcPr>
            <w:tcW w:w="547" w:type="pct"/>
            <w:noWrap/>
            <w:tcMar>
              <w:top w:w="0" w:type="dxa"/>
              <w:left w:w="108" w:type="dxa"/>
              <w:bottom w:w="0" w:type="dxa"/>
              <w:right w:w="108" w:type="dxa"/>
            </w:tcMar>
            <w:vAlign w:val="bottom"/>
          </w:tcPr>
          <w:p w14:paraId="00B15B8E" w14:textId="77777777" w:rsidR="00470E20" w:rsidRPr="00F91CFC" w:rsidRDefault="00470E20" w:rsidP="00826AED">
            <w:pPr>
              <w:jc w:val="right"/>
              <w:rPr>
                <w:sz w:val="20"/>
                <w:szCs w:val="20"/>
              </w:rPr>
            </w:pPr>
            <w:r w:rsidRPr="00F91CFC">
              <w:rPr>
                <w:sz w:val="20"/>
              </w:rPr>
              <w:t>–</w:t>
            </w:r>
          </w:p>
        </w:tc>
        <w:tc>
          <w:tcPr>
            <w:tcW w:w="591" w:type="pct"/>
            <w:noWrap/>
            <w:tcMar>
              <w:top w:w="0" w:type="dxa"/>
              <w:left w:w="108" w:type="dxa"/>
              <w:bottom w:w="0" w:type="dxa"/>
              <w:right w:w="108" w:type="dxa"/>
            </w:tcMar>
            <w:vAlign w:val="bottom"/>
          </w:tcPr>
          <w:p w14:paraId="2F120C3C" w14:textId="15574F72" w:rsidR="00470E20" w:rsidRPr="00F91CFC" w:rsidRDefault="00470E20" w:rsidP="00826AED">
            <w:pPr>
              <w:jc w:val="right"/>
              <w:rPr>
                <w:sz w:val="20"/>
                <w:szCs w:val="20"/>
              </w:rPr>
            </w:pPr>
            <w:r w:rsidRPr="00F91CFC">
              <w:rPr>
                <w:sz w:val="20"/>
              </w:rPr>
              <w:t>27 000</w:t>
            </w:r>
          </w:p>
        </w:tc>
        <w:tc>
          <w:tcPr>
            <w:tcW w:w="498" w:type="pct"/>
            <w:noWrap/>
            <w:tcMar>
              <w:top w:w="0" w:type="dxa"/>
              <w:left w:w="108" w:type="dxa"/>
              <w:bottom w:w="0" w:type="dxa"/>
              <w:right w:w="108" w:type="dxa"/>
            </w:tcMar>
            <w:vAlign w:val="bottom"/>
          </w:tcPr>
          <w:p w14:paraId="626C35BC" w14:textId="518F9152" w:rsidR="00470E20" w:rsidRPr="00F91CFC" w:rsidRDefault="00470E20" w:rsidP="00826AED">
            <w:pPr>
              <w:jc w:val="right"/>
              <w:rPr>
                <w:sz w:val="20"/>
                <w:szCs w:val="20"/>
              </w:rPr>
            </w:pPr>
            <w:r w:rsidRPr="00F91CFC">
              <w:rPr>
                <w:sz w:val="20"/>
              </w:rPr>
              <w:t>27 000</w:t>
            </w:r>
          </w:p>
        </w:tc>
        <w:tc>
          <w:tcPr>
            <w:tcW w:w="450" w:type="pct"/>
            <w:noWrap/>
            <w:tcMar>
              <w:top w:w="0" w:type="dxa"/>
              <w:left w:w="108" w:type="dxa"/>
              <w:bottom w:w="0" w:type="dxa"/>
              <w:right w:w="108" w:type="dxa"/>
            </w:tcMar>
            <w:vAlign w:val="bottom"/>
          </w:tcPr>
          <w:p w14:paraId="6C564DC4" w14:textId="0BC6C684" w:rsidR="00470E20" w:rsidRPr="00F91CFC" w:rsidRDefault="00470E20" w:rsidP="00826AED">
            <w:pPr>
              <w:jc w:val="right"/>
              <w:rPr>
                <w:sz w:val="20"/>
                <w:szCs w:val="20"/>
              </w:rPr>
            </w:pPr>
            <w:r w:rsidRPr="00F91CFC">
              <w:rPr>
                <w:sz w:val="20"/>
              </w:rPr>
              <w:t>3 510</w:t>
            </w:r>
          </w:p>
        </w:tc>
        <w:tc>
          <w:tcPr>
            <w:tcW w:w="566" w:type="pct"/>
            <w:noWrap/>
            <w:tcMar>
              <w:top w:w="0" w:type="dxa"/>
              <w:left w:w="108" w:type="dxa"/>
              <w:bottom w:w="0" w:type="dxa"/>
              <w:right w:w="108" w:type="dxa"/>
            </w:tcMar>
            <w:vAlign w:val="bottom"/>
          </w:tcPr>
          <w:p w14:paraId="45F23FE7" w14:textId="63BA739E" w:rsidR="00470E20" w:rsidRPr="00F91CFC" w:rsidRDefault="00470E20" w:rsidP="00826AED">
            <w:pPr>
              <w:jc w:val="right"/>
              <w:rPr>
                <w:sz w:val="20"/>
                <w:szCs w:val="20"/>
              </w:rPr>
            </w:pPr>
            <w:r w:rsidRPr="00F91CFC">
              <w:rPr>
                <w:sz w:val="20"/>
              </w:rPr>
              <w:t>30 510</w:t>
            </w:r>
          </w:p>
        </w:tc>
      </w:tr>
      <w:tr w:rsidR="00470E20" w:rsidRPr="00F91CFC" w14:paraId="703CEE54" w14:textId="77777777" w:rsidTr="00E10B69">
        <w:trPr>
          <w:trHeight w:val="290"/>
        </w:trPr>
        <w:tc>
          <w:tcPr>
            <w:tcW w:w="427" w:type="pct"/>
          </w:tcPr>
          <w:p w14:paraId="4E077C48" w14:textId="462224B0" w:rsidR="00470E20" w:rsidRPr="00F91CFC" w:rsidRDefault="00034022" w:rsidP="00F347FD">
            <w:pPr>
              <w:jc w:val="left"/>
              <w:rPr>
                <w:sz w:val="20"/>
                <w:szCs w:val="20"/>
              </w:rPr>
            </w:pPr>
            <w:r w:rsidRPr="00F91CFC">
              <w:rPr>
                <w:sz w:val="20"/>
              </w:rPr>
              <w:t>4 a) y 9</w:t>
            </w:r>
          </w:p>
        </w:tc>
        <w:tc>
          <w:tcPr>
            <w:tcW w:w="1516" w:type="pct"/>
            <w:noWrap/>
            <w:tcMar>
              <w:top w:w="0" w:type="dxa"/>
              <w:left w:w="108" w:type="dxa"/>
              <w:bottom w:w="0" w:type="dxa"/>
              <w:right w:w="108" w:type="dxa"/>
            </w:tcMar>
            <w:vAlign w:val="center"/>
          </w:tcPr>
          <w:p w14:paraId="1037C37B" w14:textId="26E65B6A" w:rsidR="00470E20" w:rsidRPr="00F91CFC" w:rsidRDefault="00470E20" w:rsidP="00826AED">
            <w:pPr>
              <w:jc w:val="left"/>
              <w:rPr>
                <w:sz w:val="20"/>
                <w:szCs w:val="20"/>
              </w:rPr>
            </w:pPr>
            <w:r w:rsidRPr="00F91CFC">
              <w:rPr>
                <w:sz w:val="20"/>
              </w:rPr>
              <w:t>Llevar a cabo una revisión de los progresos realizados en la reforma de las entidades financieras existentes pertinentes</w:t>
            </w:r>
          </w:p>
        </w:tc>
        <w:tc>
          <w:tcPr>
            <w:tcW w:w="405" w:type="pct"/>
            <w:noWrap/>
            <w:tcMar>
              <w:top w:w="0" w:type="dxa"/>
              <w:left w:w="108" w:type="dxa"/>
              <w:bottom w:w="0" w:type="dxa"/>
              <w:right w:w="108" w:type="dxa"/>
            </w:tcMar>
            <w:vAlign w:val="bottom"/>
          </w:tcPr>
          <w:p w14:paraId="4652F9AF" w14:textId="77777777" w:rsidR="00470E20" w:rsidRPr="00F91CFC" w:rsidRDefault="00470E20" w:rsidP="00826AED">
            <w:pPr>
              <w:jc w:val="right"/>
              <w:rPr>
                <w:sz w:val="20"/>
                <w:szCs w:val="20"/>
              </w:rPr>
            </w:pPr>
            <w:r w:rsidRPr="00F91CFC">
              <w:rPr>
                <w:sz w:val="20"/>
              </w:rPr>
              <w:t>–</w:t>
            </w:r>
          </w:p>
        </w:tc>
        <w:tc>
          <w:tcPr>
            <w:tcW w:w="547" w:type="pct"/>
            <w:noWrap/>
            <w:tcMar>
              <w:top w:w="0" w:type="dxa"/>
              <w:left w:w="108" w:type="dxa"/>
              <w:bottom w:w="0" w:type="dxa"/>
              <w:right w:w="108" w:type="dxa"/>
            </w:tcMar>
            <w:vAlign w:val="bottom"/>
          </w:tcPr>
          <w:p w14:paraId="78418AA8" w14:textId="77777777" w:rsidR="00470E20" w:rsidRPr="00F91CFC" w:rsidRDefault="00470E20" w:rsidP="00826AED">
            <w:pPr>
              <w:jc w:val="right"/>
              <w:rPr>
                <w:sz w:val="20"/>
                <w:szCs w:val="20"/>
              </w:rPr>
            </w:pPr>
            <w:r w:rsidRPr="00F91CFC">
              <w:rPr>
                <w:sz w:val="20"/>
              </w:rPr>
              <w:t>–</w:t>
            </w:r>
          </w:p>
        </w:tc>
        <w:tc>
          <w:tcPr>
            <w:tcW w:w="591" w:type="pct"/>
            <w:noWrap/>
            <w:tcMar>
              <w:top w:w="0" w:type="dxa"/>
              <w:left w:w="108" w:type="dxa"/>
              <w:bottom w:w="0" w:type="dxa"/>
              <w:right w:w="108" w:type="dxa"/>
            </w:tcMar>
            <w:vAlign w:val="bottom"/>
          </w:tcPr>
          <w:p w14:paraId="0571584E" w14:textId="6E4DC56D" w:rsidR="00470E20" w:rsidRPr="00F91CFC" w:rsidRDefault="00470E20" w:rsidP="00826AED">
            <w:pPr>
              <w:jc w:val="right"/>
              <w:rPr>
                <w:sz w:val="20"/>
                <w:szCs w:val="20"/>
              </w:rPr>
            </w:pPr>
            <w:r w:rsidRPr="00F91CFC">
              <w:rPr>
                <w:sz w:val="20"/>
              </w:rPr>
              <w:t>27 000</w:t>
            </w:r>
          </w:p>
        </w:tc>
        <w:tc>
          <w:tcPr>
            <w:tcW w:w="498" w:type="pct"/>
            <w:noWrap/>
            <w:tcMar>
              <w:top w:w="0" w:type="dxa"/>
              <w:left w:w="108" w:type="dxa"/>
              <w:bottom w:w="0" w:type="dxa"/>
              <w:right w:w="108" w:type="dxa"/>
            </w:tcMar>
            <w:vAlign w:val="bottom"/>
          </w:tcPr>
          <w:p w14:paraId="685552D1" w14:textId="389BD139" w:rsidR="00470E20" w:rsidRPr="00F91CFC" w:rsidRDefault="00470E20" w:rsidP="00826AED">
            <w:pPr>
              <w:jc w:val="right"/>
              <w:rPr>
                <w:sz w:val="20"/>
                <w:szCs w:val="20"/>
              </w:rPr>
            </w:pPr>
            <w:r w:rsidRPr="00F91CFC">
              <w:rPr>
                <w:sz w:val="20"/>
              </w:rPr>
              <w:t>27 000</w:t>
            </w:r>
          </w:p>
        </w:tc>
        <w:tc>
          <w:tcPr>
            <w:tcW w:w="450" w:type="pct"/>
            <w:noWrap/>
            <w:tcMar>
              <w:top w:w="0" w:type="dxa"/>
              <w:left w:w="108" w:type="dxa"/>
              <w:bottom w:w="0" w:type="dxa"/>
              <w:right w:w="108" w:type="dxa"/>
            </w:tcMar>
            <w:vAlign w:val="bottom"/>
          </w:tcPr>
          <w:p w14:paraId="2C571BC1" w14:textId="4CB63D77" w:rsidR="00470E20" w:rsidRPr="00F91CFC" w:rsidRDefault="00470E20" w:rsidP="00826AED">
            <w:pPr>
              <w:jc w:val="right"/>
              <w:rPr>
                <w:sz w:val="20"/>
                <w:szCs w:val="20"/>
              </w:rPr>
            </w:pPr>
            <w:r w:rsidRPr="00F91CFC">
              <w:rPr>
                <w:sz w:val="20"/>
              </w:rPr>
              <w:t>3 510</w:t>
            </w:r>
          </w:p>
        </w:tc>
        <w:tc>
          <w:tcPr>
            <w:tcW w:w="566" w:type="pct"/>
            <w:noWrap/>
            <w:tcMar>
              <w:top w:w="0" w:type="dxa"/>
              <w:left w:w="108" w:type="dxa"/>
              <w:bottom w:w="0" w:type="dxa"/>
              <w:right w:w="108" w:type="dxa"/>
            </w:tcMar>
            <w:vAlign w:val="bottom"/>
          </w:tcPr>
          <w:p w14:paraId="24D0904F" w14:textId="0660DC32" w:rsidR="00470E20" w:rsidRPr="00F91CFC" w:rsidRDefault="00470E20" w:rsidP="00826AED">
            <w:pPr>
              <w:jc w:val="right"/>
              <w:rPr>
                <w:sz w:val="20"/>
                <w:szCs w:val="20"/>
              </w:rPr>
            </w:pPr>
            <w:r w:rsidRPr="00F91CFC">
              <w:rPr>
                <w:sz w:val="20"/>
              </w:rPr>
              <w:t>30 510</w:t>
            </w:r>
          </w:p>
        </w:tc>
      </w:tr>
      <w:tr w:rsidR="00470E20" w:rsidRPr="00F91CFC" w14:paraId="672FF7E3" w14:textId="77777777" w:rsidTr="00E10B69">
        <w:trPr>
          <w:trHeight w:val="290"/>
        </w:trPr>
        <w:tc>
          <w:tcPr>
            <w:tcW w:w="427" w:type="pct"/>
          </w:tcPr>
          <w:p w14:paraId="6C8FFF3A" w14:textId="742238AF" w:rsidR="00470E20" w:rsidRPr="00F91CFC" w:rsidRDefault="00034022" w:rsidP="00F347FD">
            <w:pPr>
              <w:jc w:val="left"/>
              <w:rPr>
                <w:sz w:val="20"/>
                <w:szCs w:val="20"/>
              </w:rPr>
            </w:pPr>
            <w:r w:rsidRPr="00F91CFC">
              <w:rPr>
                <w:sz w:val="20"/>
              </w:rPr>
              <w:t>4 d) y 9</w:t>
            </w:r>
          </w:p>
        </w:tc>
        <w:tc>
          <w:tcPr>
            <w:tcW w:w="1516" w:type="pct"/>
            <w:noWrap/>
            <w:tcMar>
              <w:top w:w="0" w:type="dxa"/>
              <w:left w:w="108" w:type="dxa"/>
              <w:bottom w:w="0" w:type="dxa"/>
              <w:right w:w="108" w:type="dxa"/>
            </w:tcMar>
            <w:vAlign w:val="center"/>
          </w:tcPr>
          <w:p w14:paraId="6B3F57DE" w14:textId="02CDF6EE" w:rsidR="00470E20" w:rsidRPr="00F91CFC" w:rsidRDefault="00470E20" w:rsidP="00826AED">
            <w:pPr>
              <w:jc w:val="left"/>
              <w:rPr>
                <w:sz w:val="20"/>
                <w:szCs w:val="20"/>
              </w:rPr>
            </w:pPr>
            <w:r w:rsidRPr="00F91CFC">
              <w:rPr>
                <w:sz w:val="20"/>
              </w:rPr>
              <w:t>Llevar a cabo una revisión de balance sobre las operaciones y el desempeño del Fondo para el Marco Mundial de Biodiversidad</w:t>
            </w:r>
          </w:p>
        </w:tc>
        <w:tc>
          <w:tcPr>
            <w:tcW w:w="405" w:type="pct"/>
            <w:noWrap/>
            <w:tcMar>
              <w:top w:w="0" w:type="dxa"/>
              <w:left w:w="108" w:type="dxa"/>
              <w:bottom w:w="0" w:type="dxa"/>
              <w:right w:w="108" w:type="dxa"/>
            </w:tcMar>
            <w:vAlign w:val="bottom"/>
          </w:tcPr>
          <w:p w14:paraId="781ACCF7" w14:textId="77777777" w:rsidR="00470E20" w:rsidRPr="00F91CFC" w:rsidRDefault="00470E20" w:rsidP="00826AED">
            <w:pPr>
              <w:jc w:val="right"/>
              <w:rPr>
                <w:sz w:val="20"/>
                <w:szCs w:val="20"/>
              </w:rPr>
            </w:pPr>
            <w:r w:rsidRPr="00F91CFC">
              <w:rPr>
                <w:sz w:val="20"/>
              </w:rPr>
              <w:t>–</w:t>
            </w:r>
          </w:p>
        </w:tc>
        <w:tc>
          <w:tcPr>
            <w:tcW w:w="547" w:type="pct"/>
            <w:noWrap/>
            <w:tcMar>
              <w:top w:w="0" w:type="dxa"/>
              <w:left w:w="108" w:type="dxa"/>
              <w:bottom w:w="0" w:type="dxa"/>
              <w:right w:w="108" w:type="dxa"/>
            </w:tcMar>
            <w:vAlign w:val="bottom"/>
          </w:tcPr>
          <w:p w14:paraId="37362088" w14:textId="77777777" w:rsidR="00470E20" w:rsidRPr="00F91CFC" w:rsidRDefault="00470E20" w:rsidP="00826AED">
            <w:pPr>
              <w:jc w:val="right"/>
              <w:rPr>
                <w:sz w:val="20"/>
                <w:szCs w:val="20"/>
              </w:rPr>
            </w:pPr>
            <w:r w:rsidRPr="00F91CFC">
              <w:rPr>
                <w:sz w:val="20"/>
              </w:rPr>
              <w:t>–</w:t>
            </w:r>
          </w:p>
        </w:tc>
        <w:tc>
          <w:tcPr>
            <w:tcW w:w="591" w:type="pct"/>
            <w:noWrap/>
            <w:tcMar>
              <w:top w:w="0" w:type="dxa"/>
              <w:left w:w="108" w:type="dxa"/>
              <w:bottom w:w="0" w:type="dxa"/>
              <w:right w:w="108" w:type="dxa"/>
            </w:tcMar>
            <w:vAlign w:val="bottom"/>
          </w:tcPr>
          <w:p w14:paraId="328AE48A" w14:textId="3286BF4F" w:rsidR="00470E20" w:rsidRPr="00F91CFC" w:rsidRDefault="00470E20" w:rsidP="00826AED">
            <w:pPr>
              <w:jc w:val="right"/>
              <w:rPr>
                <w:sz w:val="20"/>
                <w:szCs w:val="20"/>
              </w:rPr>
            </w:pPr>
            <w:r w:rsidRPr="00F91CFC">
              <w:rPr>
                <w:sz w:val="20"/>
              </w:rPr>
              <w:t>27 000</w:t>
            </w:r>
          </w:p>
        </w:tc>
        <w:tc>
          <w:tcPr>
            <w:tcW w:w="498" w:type="pct"/>
            <w:noWrap/>
            <w:tcMar>
              <w:top w:w="0" w:type="dxa"/>
              <w:left w:w="108" w:type="dxa"/>
              <w:bottom w:w="0" w:type="dxa"/>
              <w:right w:w="108" w:type="dxa"/>
            </w:tcMar>
            <w:vAlign w:val="bottom"/>
          </w:tcPr>
          <w:p w14:paraId="156E4186" w14:textId="7666120A" w:rsidR="00470E20" w:rsidRPr="00F91CFC" w:rsidRDefault="00470E20" w:rsidP="00826AED">
            <w:pPr>
              <w:jc w:val="right"/>
              <w:rPr>
                <w:sz w:val="20"/>
                <w:szCs w:val="20"/>
              </w:rPr>
            </w:pPr>
            <w:r w:rsidRPr="00F91CFC">
              <w:rPr>
                <w:sz w:val="20"/>
              </w:rPr>
              <w:t>27 000</w:t>
            </w:r>
          </w:p>
        </w:tc>
        <w:tc>
          <w:tcPr>
            <w:tcW w:w="450" w:type="pct"/>
            <w:noWrap/>
            <w:tcMar>
              <w:top w:w="0" w:type="dxa"/>
              <w:left w:w="108" w:type="dxa"/>
              <w:bottom w:w="0" w:type="dxa"/>
              <w:right w:w="108" w:type="dxa"/>
            </w:tcMar>
            <w:vAlign w:val="bottom"/>
          </w:tcPr>
          <w:p w14:paraId="41D47EC8" w14:textId="44CF0065" w:rsidR="00470E20" w:rsidRPr="00F91CFC" w:rsidRDefault="00470E20" w:rsidP="00826AED">
            <w:pPr>
              <w:jc w:val="right"/>
              <w:rPr>
                <w:sz w:val="20"/>
                <w:szCs w:val="20"/>
              </w:rPr>
            </w:pPr>
            <w:r w:rsidRPr="00F91CFC">
              <w:rPr>
                <w:sz w:val="20"/>
              </w:rPr>
              <w:t>3 510</w:t>
            </w:r>
          </w:p>
        </w:tc>
        <w:tc>
          <w:tcPr>
            <w:tcW w:w="566" w:type="pct"/>
            <w:noWrap/>
            <w:tcMar>
              <w:top w:w="0" w:type="dxa"/>
              <w:left w:w="108" w:type="dxa"/>
              <w:bottom w:w="0" w:type="dxa"/>
              <w:right w:w="108" w:type="dxa"/>
            </w:tcMar>
            <w:vAlign w:val="bottom"/>
          </w:tcPr>
          <w:p w14:paraId="101094FA" w14:textId="544EF8C8" w:rsidR="00470E20" w:rsidRPr="00F91CFC" w:rsidRDefault="00470E20" w:rsidP="00826AED">
            <w:pPr>
              <w:jc w:val="right"/>
              <w:rPr>
                <w:sz w:val="20"/>
                <w:szCs w:val="20"/>
              </w:rPr>
            </w:pPr>
            <w:r w:rsidRPr="00F91CFC">
              <w:rPr>
                <w:sz w:val="20"/>
              </w:rPr>
              <w:t>30 510</w:t>
            </w:r>
          </w:p>
        </w:tc>
      </w:tr>
      <w:tr w:rsidR="00470E20" w:rsidRPr="00F91CFC" w14:paraId="56E7B649" w14:textId="77777777" w:rsidTr="00E10B69">
        <w:trPr>
          <w:trHeight w:val="290"/>
        </w:trPr>
        <w:tc>
          <w:tcPr>
            <w:tcW w:w="427" w:type="pct"/>
            <w:tcBorders>
              <w:top w:val="single" w:sz="4" w:space="0" w:color="auto"/>
              <w:bottom w:val="single" w:sz="8" w:space="0" w:color="auto"/>
            </w:tcBorders>
          </w:tcPr>
          <w:p w14:paraId="61B0EFB4" w14:textId="77777777" w:rsidR="00470E20" w:rsidRPr="00F91CFC" w:rsidRDefault="00470E20" w:rsidP="00826AED">
            <w:pPr>
              <w:rPr>
                <w:sz w:val="20"/>
                <w:szCs w:val="20"/>
              </w:rPr>
            </w:pPr>
          </w:p>
        </w:tc>
        <w:tc>
          <w:tcPr>
            <w:tcW w:w="1516" w:type="pct"/>
            <w:tcBorders>
              <w:top w:val="single" w:sz="4" w:space="0" w:color="auto"/>
              <w:bottom w:val="single" w:sz="8" w:space="0" w:color="auto"/>
            </w:tcBorders>
            <w:noWrap/>
            <w:tcMar>
              <w:top w:w="0" w:type="dxa"/>
              <w:left w:w="108" w:type="dxa"/>
              <w:bottom w:w="0" w:type="dxa"/>
              <w:right w:w="108" w:type="dxa"/>
            </w:tcMar>
            <w:vAlign w:val="bottom"/>
          </w:tcPr>
          <w:p w14:paraId="5BE8A81A" w14:textId="77777777" w:rsidR="00470E20" w:rsidRPr="00F91CFC" w:rsidRDefault="00470E20" w:rsidP="00826AED">
            <w:pPr>
              <w:tabs>
                <w:tab w:val="clear" w:pos="567"/>
                <w:tab w:val="left" w:pos="230"/>
              </w:tabs>
              <w:jc w:val="left"/>
              <w:rPr>
                <w:sz w:val="20"/>
                <w:szCs w:val="20"/>
              </w:rPr>
            </w:pPr>
            <w:r w:rsidRPr="00F91CFC">
              <w:rPr>
                <w:b/>
                <w:sz w:val="20"/>
              </w:rPr>
              <w:tab/>
              <w:t>Total</w:t>
            </w:r>
          </w:p>
        </w:tc>
        <w:tc>
          <w:tcPr>
            <w:tcW w:w="1543" w:type="pct"/>
            <w:gridSpan w:val="3"/>
            <w:tcBorders>
              <w:top w:val="single" w:sz="4" w:space="0" w:color="auto"/>
              <w:bottom w:val="single" w:sz="8" w:space="0" w:color="auto"/>
            </w:tcBorders>
            <w:vAlign w:val="bottom"/>
          </w:tcPr>
          <w:p w14:paraId="0785D3E0" w14:textId="77777777" w:rsidR="00470E20" w:rsidRPr="00F91CFC" w:rsidRDefault="00470E20" w:rsidP="00826AED">
            <w:pPr>
              <w:tabs>
                <w:tab w:val="clear" w:pos="1134"/>
              </w:tabs>
              <w:ind w:right="143"/>
              <w:jc w:val="right"/>
              <w:rPr>
                <w:b/>
                <w:bCs/>
                <w:sz w:val="20"/>
                <w:szCs w:val="20"/>
              </w:rPr>
            </w:pPr>
          </w:p>
        </w:tc>
        <w:tc>
          <w:tcPr>
            <w:tcW w:w="498" w:type="pct"/>
            <w:tcBorders>
              <w:top w:val="single" w:sz="4" w:space="0" w:color="auto"/>
              <w:bottom w:val="single" w:sz="8" w:space="0" w:color="auto"/>
            </w:tcBorders>
            <w:noWrap/>
            <w:tcMar>
              <w:top w:w="0" w:type="dxa"/>
              <w:left w:w="108" w:type="dxa"/>
              <w:bottom w:w="0" w:type="dxa"/>
              <w:right w:w="108" w:type="dxa"/>
            </w:tcMar>
            <w:vAlign w:val="bottom"/>
          </w:tcPr>
          <w:p w14:paraId="341DF777" w14:textId="4241BE81" w:rsidR="00470E20" w:rsidRPr="00F91CFC" w:rsidRDefault="00470E20" w:rsidP="00826AED">
            <w:pPr>
              <w:jc w:val="right"/>
              <w:rPr>
                <w:sz w:val="20"/>
                <w:szCs w:val="20"/>
              </w:rPr>
            </w:pPr>
            <w:r w:rsidRPr="00F91CFC">
              <w:rPr>
                <w:b/>
                <w:sz w:val="20"/>
              </w:rPr>
              <w:t>486 250</w:t>
            </w:r>
          </w:p>
        </w:tc>
        <w:tc>
          <w:tcPr>
            <w:tcW w:w="450" w:type="pct"/>
            <w:tcBorders>
              <w:top w:val="single" w:sz="4" w:space="0" w:color="auto"/>
              <w:bottom w:val="single" w:sz="8" w:space="0" w:color="auto"/>
            </w:tcBorders>
            <w:noWrap/>
            <w:tcMar>
              <w:top w:w="0" w:type="dxa"/>
              <w:left w:w="108" w:type="dxa"/>
              <w:bottom w:w="0" w:type="dxa"/>
              <w:right w:w="108" w:type="dxa"/>
            </w:tcMar>
            <w:vAlign w:val="bottom"/>
          </w:tcPr>
          <w:p w14:paraId="7CAB67D1" w14:textId="6F363380" w:rsidR="00470E20" w:rsidRPr="00F91CFC" w:rsidRDefault="00470E20" w:rsidP="00826AED">
            <w:pPr>
              <w:jc w:val="right"/>
              <w:rPr>
                <w:b/>
                <w:bCs/>
                <w:sz w:val="20"/>
                <w:szCs w:val="20"/>
              </w:rPr>
            </w:pPr>
            <w:r w:rsidRPr="00F91CFC">
              <w:rPr>
                <w:b/>
                <w:sz w:val="20"/>
              </w:rPr>
              <w:t>63 213</w:t>
            </w:r>
          </w:p>
        </w:tc>
        <w:tc>
          <w:tcPr>
            <w:tcW w:w="566" w:type="pct"/>
            <w:tcBorders>
              <w:top w:val="single" w:sz="4" w:space="0" w:color="auto"/>
              <w:bottom w:val="single" w:sz="8" w:space="0" w:color="auto"/>
            </w:tcBorders>
            <w:noWrap/>
            <w:tcMar>
              <w:top w:w="0" w:type="dxa"/>
              <w:left w:w="108" w:type="dxa"/>
              <w:bottom w:w="0" w:type="dxa"/>
              <w:right w:w="108" w:type="dxa"/>
            </w:tcMar>
            <w:vAlign w:val="bottom"/>
          </w:tcPr>
          <w:p w14:paraId="56BACA17" w14:textId="0D62B123" w:rsidR="00470E20" w:rsidRPr="00F91CFC" w:rsidRDefault="00470E20" w:rsidP="00826AED">
            <w:pPr>
              <w:ind w:right="-22"/>
              <w:jc w:val="right"/>
              <w:rPr>
                <w:b/>
                <w:bCs/>
                <w:sz w:val="20"/>
                <w:szCs w:val="20"/>
              </w:rPr>
            </w:pPr>
            <w:r w:rsidRPr="00F91CFC">
              <w:rPr>
                <w:b/>
                <w:sz w:val="20"/>
              </w:rPr>
              <w:t>549 463</w:t>
            </w:r>
          </w:p>
        </w:tc>
      </w:tr>
    </w:tbl>
    <w:p w14:paraId="1248F7DF" w14:textId="77777777" w:rsidR="00470E20" w:rsidRPr="00F91CFC" w:rsidRDefault="00470E20" w:rsidP="00470E20">
      <w:pPr>
        <w:spacing w:before="120"/>
        <w:ind w:firstLine="567"/>
        <w:rPr>
          <w:sz w:val="18"/>
          <w:szCs w:val="18"/>
        </w:rPr>
      </w:pPr>
      <w:r w:rsidRPr="00F91CFC">
        <w:rPr>
          <w:i/>
          <w:sz w:val="18"/>
        </w:rPr>
        <w:t>Abreviaturas</w:t>
      </w:r>
      <w:r w:rsidRPr="00F91CFC">
        <w:rPr>
          <w:sz w:val="18"/>
        </w:rPr>
        <w:t>: GAP, gastos de apoyo a los programas; Párr., párrafo de la parte dispositiva del proyecto de decisión.</w:t>
      </w:r>
    </w:p>
    <w:p w14:paraId="1459E854" w14:textId="77777777" w:rsidR="00470E20" w:rsidRPr="00F91CFC" w:rsidRDefault="00470E20" w:rsidP="00470E20">
      <w:pPr>
        <w:ind w:firstLine="567"/>
        <w:rPr>
          <w:sz w:val="18"/>
          <w:szCs w:val="18"/>
        </w:rPr>
      </w:pPr>
      <w:r w:rsidRPr="00F91CFC">
        <w:rPr>
          <w:i/>
          <w:sz w:val="18"/>
          <w:vertAlign w:val="superscript"/>
        </w:rPr>
        <w:t>a</w:t>
      </w:r>
      <w:r w:rsidRPr="00F91CFC">
        <w:rPr>
          <w:sz w:val="18"/>
        </w:rPr>
        <w:tab/>
        <w:t>Incluidos viajes de los participantes.</w:t>
      </w:r>
    </w:p>
    <w:p w14:paraId="58328879" w14:textId="77777777" w:rsidR="00470E20" w:rsidRPr="00F91CFC" w:rsidRDefault="00470E20" w:rsidP="00470E20">
      <w:pPr>
        <w:ind w:firstLine="567"/>
        <w:rPr>
          <w:sz w:val="18"/>
          <w:szCs w:val="18"/>
        </w:rPr>
      </w:pPr>
      <w:r w:rsidRPr="00F91CFC">
        <w:rPr>
          <w:i/>
          <w:sz w:val="18"/>
          <w:vertAlign w:val="superscript"/>
        </w:rPr>
        <w:t>b</w:t>
      </w:r>
      <w:r w:rsidRPr="00F91CFC">
        <w:rPr>
          <w:sz w:val="18"/>
        </w:rPr>
        <w:tab/>
        <w:t>Consultores, asociados y personal adicional.</w:t>
      </w:r>
    </w:p>
    <w:p w14:paraId="25AA7F5F" w14:textId="07059F9E" w:rsidR="00470E20" w:rsidRPr="00F91CFC" w:rsidRDefault="00470E20" w:rsidP="00F347FD">
      <w:pPr>
        <w:ind w:left="1134" w:hanging="567"/>
      </w:pPr>
      <w:r w:rsidRPr="00F91CFC">
        <w:rPr>
          <w:sz w:val="18"/>
          <w:vertAlign w:val="superscript"/>
        </w:rPr>
        <w:t>c</w:t>
      </w:r>
      <w:r w:rsidRPr="00F91CFC">
        <w:rPr>
          <w:sz w:val="18"/>
        </w:rPr>
        <w:tab/>
        <w:t>Costo de la financiación continuada del puesto de Oficial de Gestión de Programas (P-3) en materia de movilización de recursos, financiado actualmente por la Unión Europea.</w:t>
      </w:r>
    </w:p>
    <w:bookmarkEnd w:id="1"/>
    <w:p w14:paraId="38FE3296" w14:textId="6B0E884B" w:rsidR="00E26AC4" w:rsidRPr="00E26AC4" w:rsidRDefault="00F946F9" w:rsidP="00F347FD">
      <w:pPr>
        <w:pStyle w:val="CBDNormalNumber"/>
        <w:numPr>
          <w:ilvl w:val="0"/>
          <w:numId w:val="0"/>
        </w:numPr>
        <w:tabs>
          <w:tab w:val="clear" w:pos="567"/>
        </w:tabs>
        <w:ind w:left="1134" w:firstLine="567"/>
        <w:jc w:val="center"/>
      </w:pPr>
      <w:r w:rsidRPr="00F91CFC">
        <w:t>__________</w:t>
      </w:r>
    </w:p>
    <w:sectPr w:rsidR="00E26AC4" w:rsidRPr="00E26AC4" w:rsidSect="00F347FD">
      <w:pgSz w:w="12240" w:h="15840" w:code="1"/>
      <w:pgMar w:top="567"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58958A" w14:textId="77777777" w:rsidR="00F645FC" w:rsidRPr="00F91CFC" w:rsidRDefault="00F645FC" w:rsidP="00CF1848">
      <w:r w:rsidRPr="00F91CFC">
        <w:separator/>
      </w:r>
    </w:p>
  </w:endnote>
  <w:endnote w:type="continuationSeparator" w:id="0">
    <w:p w14:paraId="15FFF045" w14:textId="77777777" w:rsidR="00F645FC" w:rsidRPr="00F91CFC" w:rsidRDefault="00F645FC" w:rsidP="00CF1848">
      <w:r w:rsidRPr="00F91CF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Content>
      <w:sdt>
        <w:sdtPr>
          <w:id w:val="-1705238520"/>
          <w:docPartObj>
            <w:docPartGallery w:val="Page Numbers (Top of Page)"/>
            <w:docPartUnique/>
          </w:docPartObj>
        </w:sdtPr>
        <w:sdtContent>
          <w:p w14:paraId="37D40BB4" w14:textId="77777777" w:rsidR="00D75CA6" w:rsidRPr="00F91CFC" w:rsidRDefault="00D75CA6" w:rsidP="000E4EE5">
            <w:pPr>
              <w:pStyle w:val="CBDFooter"/>
            </w:pPr>
            <w:r w:rsidRPr="00F91CFC">
              <w:fldChar w:fldCharType="begin"/>
            </w:r>
            <w:r w:rsidRPr="00F91CFC">
              <w:instrText xml:space="preserve"> PAGE </w:instrText>
            </w:r>
            <w:r w:rsidRPr="00F91CFC">
              <w:fldChar w:fldCharType="separate"/>
            </w:r>
            <w:r w:rsidRPr="00F91CFC">
              <w:t>2</w:t>
            </w:r>
            <w:r w:rsidRPr="00F91CFC">
              <w:fldChar w:fldCharType="end"/>
            </w:r>
            <w:r w:rsidRPr="00F91CFC">
              <w:t>/</w:t>
            </w:r>
            <w:r w:rsidRPr="00F91CFC">
              <w:fldChar w:fldCharType="begin"/>
            </w:r>
            <w:r w:rsidRPr="00F91CFC">
              <w:instrText xml:space="preserve"> NUMPAGES  </w:instrText>
            </w:r>
            <w:r w:rsidRPr="00F91CFC">
              <w:fldChar w:fldCharType="separate"/>
            </w:r>
            <w:r w:rsidRPr="00F91CFC">
              <w:t>2</w:t>
            </w:r>
            <w:r w:rsidRPr="00F91CFC">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Content>
      <w:p w14:paraId="79EDC26B" w14:textId="77777777" w:rsidR="00D75CA6" w:rsidRPr="00F91CFC" w:rsidRDefault="00D75CA6" w:rsidP="000E4EE5">
        <w:pPr>
          <w:pStyle w:val="CBDFooter"/>
          <w:jc w:val="right"/>
        </w:pPr>
        <w:r w:rsidRPr="00F91CFC">
          <w:fldChar w:fldCharType="begin"/>
        </w:r>
        <w:r w:rsidRPr="00F91CFC">
          <w:instrText xml:space="preserve"> PAGE </w:instrText>
        </w:r>
        <w:r w:rsidRPr="00F91CFC">
          <w:fldChar w:fldCharType="separate"/>
        </w:r>
        <w:r w:rsidRPr="00F91CFC">
          <w:t>2</w:t>
        </w:r>
        <w:r w:rsidRPr="00F91CFC">
          <w:fldChar w:fldCharType="end"/>
        </w:r>
        <w:r w:rsidRPr="00F91CFC">
          <w:t>/</w:t>
        </w:r>
        <w:r w:rsidRPr="00F91CFC">
          <w:fldChar w:fldCharType="begin"/>
        </w:r>
        <w:r w:rsidRPr="00F91CFC">
          <w:instrText xml:space="preserve"> NUMPAGES  </w:instrText>
        </w:r>
        <w:r w:rsidRPr="00F91CFC">
          <w:fldChar w:fldCharType="separate"/>
        </w:r>
        <w:r w:rsidRPr="00F91CFC">
          <w:t>3</w:t>
        </w:r>
        <w:r w:rsidRPr="00F91CFC">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00AE60" w14:textId="77777777" w:rsidR="00F645FC" w:rsidRPr="00F91CFC" w:rsidRDefault="00F645FC" w:rsidP="00CF1848">
      <w:r w:rsidRPr="00F91CFC">
        <w:separator/>
      </w:r>
    </w:p>
  </w:footnote>
  <w:footnote w:type="continuationSeparator" w:id="0">
    <w:p w14:paraId="5BC37864" w14:textId="77777777" w:rsidR="00F645FC" w:rsidRPr="00F91CFC" w:rsidRDefault="00F645FC" w:rsidP="00CF1848">
      <w:r w:rsidRPr="00F91CFC">
        <w:continuationSeparator/>
      </w:r>
    </w:p>
  </w:footnote>
  <w:footnote w:id="1">
    <w:p w14:paraId="1728F436" w14:textId="5E43DB1C" w:rsidR="008A1499" w:rsidRPr="00F91CFC" w:rsidRDefault="008A1499">
      <w:pPr>
        <w:pStyle w:val="Textonotapie"/>
      </w:pPr>
      <w:r w:rsidRPr="00F91CFC">
        <w:rPr>
          <w:rStyle w:val="Refdenotaalpie"/>
        </w:rPr>
        <w:t>*</w:t>
      </w:r>
      <w:r w:rsidRPr="00F91CFC">
        <w:t xml:space="preserve"> </w:t>
      </w:r>
      <w:hyperlink r:id="rId1" w:history="1">
        <w:r w:rsidRPr="00F91CFC">
          <w:rPr>
            <w:rStyle w:val="Hipervnculo"/>
          </w:rPr>
          <w:t>CBD/SBI/7/1</w:t>
        </w:r>
      </w:hyperlink>
      <w:r w:rsidRPr="00F91CFC">
        <w:t>.</w:t>
      </w:r>
    </w:p>
  </w:footnote>
  <w:footnote w:id="2">
    <w:p w14:paraId="24A98A3F" w14:textId="16D40770" w:rsidR="00FB6976" w:rsidRPr="00F91CFC" w:rsidRDefault="00FB6976">
      <w:pPr>
        <w:pStyle w:val="Textonotapie"/>
      </w:pPr>
      <w:r w:rsidRPr="00F91CFC">
        <w:rPr>
          <w:rStyle w:val="Refdenotaalpie"/>
        </w:rPr>
        <w:sym w:font="Symbol" w:char="F02A"/>
      </w:r>
      <w:r w:rsidRPr="00F91CFC">
        <w:rPr>
          <w:rStyle w:val="Refdenotaalpie"/>
        </w:rPr>
        <w:sym w:font="Symbol" w:char="F02A"/>
      </w:r>
      <w:r w:rsidRPr="00F91CFC">
        <w:t xml:space="preserve"> El presente documento se publica sin revisión editorial oficial, a excepción del proyecto de recomendación que figura en la sección IV.</w:t>
      </w:r>
    </w:p>
  </w:footnote>
  <w:footnote w:id="3">
    <w:p w14:paraId="0AA13772" w14:textId="798C4D4B" w:rsidR="00321118" w:rsidRPr="00F91CFC" w:rsidRDefault="00321118">
      <w:pPr>
        <w:pStyle w:val="Textonotapie"/>
      </w:pPr>
      <w:r w:rsidRPr="00F91CFC">
        <w:rPr>
          <w:rStyle w:val="Refdenotaalpie"/>
        </w:rPr>
        <w:footnoteRef/>
      </w:r>
      <w:r w:rsidRPr="00F91CFC">
        <w:t xml:space="preserve"> Véase </w:t>
      </w:r>
      <w:hyperlink r:id="rId2" w:history="1">
        <w:r w:rsidRPr="00F91CFC">
          <w:rPr>
            <w:rStyle w:val="Hipervnculo"/>
          </w:rPr>
          <w:t>https://chm.cbd.int/en/submissions-to-notifications?notification=2025-148&amp;currentPage=1&amp;schema=submission</w:t>
        </w:r>
      </w:hyperlink>
      <w:r w:rsidRPr="00F91CFC">
        <w:t xml:space="preserve">. </w:t>
      </w:r>
    </w:p>
  </w:footnote>
  <w:footnote w:id="4">
    <w:p w14:paraId="793494F3" w14:textId="522E998A" w:rsidR="00872596" w:rsidRPr="00F91CFC" w:rsidRDefault="00872596">
      <w:pPr>
        <w:pStyle w:val="Textonotapie"/>
      </w:pPr>
      <w:r w:rsidRPr="00F91CFC">
        <w:rPr>
          <w:rStyle w:val="Refdenotaalpie"/>
        </w:rPr>
        <w:footnoteRef/>
      </w:r>
      <w:r w:rsidRPr="00F91CFC">
        <w:t xml:space="preserve"> </w:t>
      </w:r>
      <w:r w:rsidRPr="00F91CFC">
        <w:rPr>
          <w:i/>
          <w:iCs/>
        </w:rPr>
        <w:t>Ibid</w:t>
      </w:r>
      <w:r w:rsidRPr="00F91CFC">
        <w:t>.</w:t>
      </w:r>
    </w:p>
  </w:footnote>
  <w:footnote w:id="5">
    <w:p w14:paraId="4FAFB514" w14:textId="0DD02600" w:rsidR="001B4234" w:rsidRPr="00F91CFC" w:rsidRDefault="001B4234">
      <w:pPr>
        <w:pStyle w:val="Textonotapie"/>
      </w:pPr>
      <w:r w:rsidRPr="00F91CFC">
        <w:rPr>
          <w:rStyle w:val="Refdenotaalpie"/>
        </w:rPr>
        <w:footnoteRef/>
      </w:r>
      <w:r w:rsidRPr="00F91CFC">
        <w:t xml:space="preserve"> Véanse las notificaciones núms. </w:t>
      </w:r>
      <w:hyperlink r:id="rId3" w:history="1">
        <w:r w:rsidRPr="00F91CFC">
          <w:rPr>
            <w:rStyle w:val="Hipervnculo"/>
          </w:rPr>
          <w:t>2023/063</w:t>
        </w:r>
      </w:hyperlink>
      <w:r w:rsidRPr="00F91CFC">
        <w:t xml:space="preserve">, de 13 de junio de 2023, y </w:t>
      </w:r>
      <w:hyperlink r:id="rId4" w:history="1">
        <w:r w:rsidRPr="00F91CFC">
          <w:rPr>
            <w:rStyle w:val="Hipervnculo"/>
          </w:rPr>
          <w:t>2023/132</w:t>
        </w:r>
      </w:hyperlink>
      <w:r w:rsidRPr="00F91CFC">
        <w:t>, de 11 de diciembre de 2023.</w:t>
      </w:r>
    </w:p>
  </w:footnote>
  <w:footnote w:id="6">
    <w:p w14:paraId="5BA7B314" w14:textId="4F6AB87C" w:rsidR="00835AA1" w:rsidRPr="00F91CFC" w:rsidRDefault="00835AA1" w:rsidP="00780711">
      <w:pPr>
        <w:pStyle w:val="Textonotapie"/>
        <w:jc w:val="both"/>
      </w:pPr>
      <w:r w:rsidRPr="00F91CFC">
        <w:rPr>
          <w:rStyle w:val="Refdenotaalpie"/>
        </w:rPr>
        <w:footnoteRef/>
      </w:r>
      <w:r w:rsidRPr="00F91CFC">
        <w:t xml:space="preserve"> A saber: la lista de países menos adelantados que mantiene el Comité de Políticas de Desarrollo, la lista que mantiene la Asociación Internacional de Fomento, el sistema de clasificación utilizado por el Banco Mundial y el sistema de clasificación utilizado por el Fondo Monetario Internacional. Teniendo en cuenta su pertinencia en el contexto del artículo 20 2), en el análisis se examinan asimismo los criterios para ser miembro de pleno derecho del Comité de Ayuda al Desarrollo de la Organización de Cooperación y Desarrollo Económicos, así como los criterios para los participantes y asociados de dicho Comité.</w:t>
      </w:r>
    </w:p>
  </w:footnote>
  <w:footnote w:id="7">
    <w:p w14:paraId="0434ADD1" w14:textId="2FBE9921" w:rsidR="000A2D65" w:rsidRPr="00F91CFC" w:rsidRDefault="000A2D65">
      <w:pPr>
        <w:pStyle w:val="Textonotapie"/>
      </w:pPr>
      <w:r w:rsidRPr="00F91CFC">
        <w:rPr>
          <w:rStyle w:val="Refdenotaalpie"/>
        </w:rPr>
        <w:footnoteRef/>
      </w:r>
      <w:r w:rsidRPr="00F91CFC">
        <w:t xml:space="preserve"> CBD/SBI/7/3.</w:t>
      </w:r>
    </w:p>
  </w:footnote>
  <w:footnote w:id="8">
    <w:p w14:paraId="160A0E68" w14:textId="77777777" w:rsidR="000753DB" w:rsidRPr="00F91CFC" w:rsidRDefault="000753DB" w:rsidP="000753DB">
      <w:pPr>
        <w:pStyle w:val="Textonotapie"/>
      </w:pPr>
      <w:r w:rsidRPr="00F91CFC">
        <w:rPr>
          <w:rStyle w:val="Refdenotaalpie"/>
        </w:rPr>
        <w:footnoteRef/>
      </w:r>
      <w:r w:rsidRPr="00F91CFC">
        <w:t xml:space="preserve"> Naciones Unidas, </w:t>
      </w:r>
      <w:r w:rsidRPr="00F91CFC">
        <w:rPr>
          <w:i/>
        </w:rPr>
        <w:t>Treaty Series</w:t>
      </w:r>
      <w:r w:rsidRPr="00F91CFC">
        <w:t>, vol. 1760, núm. 30619.</w:t>
      </w:r>
    </w:p>
  </w:footnote>
  <w:footnote w:id="9">
    <w:p w14:paraId="3B28CC82" w14:textId="77777777" w:rsidR="00323512" w:rsidRPr="00F91CFC" w:rsidRDefault="00323512" w:rsidP="00323512">
      <w:pPr>
        <w:pStyle w:val="Textonotapie"/>
      </w:pPr>
      <w:r w:rsidRPr="00F91CFC">
        <w:rPr>
          <w:rStyle w:val="Refdenotaalpie"/>
        </w:rPr>
        <w:footnoteRef/>
      </w:r>
      <w:r w:rsidRPr="00F91CFC">
        <w:t xml:space="preserve"> La estimación de las necesidades de recursos extrapresupuestarios para las actividades descritas en el proyecto de decisión figura en el anexo del presente documento.</w:t>
      </w:r>
    </w:p>
  </w:footnote>
  <w:footnote w:id="10">
    <w:p w14:paraId="04B0F8D8" w14:textId="2F69AB53" w:rsidR="00A17C7F" w:rsidRPr="00F91CFC" w:rsidRDefault="00A17C7F">
      <w:pPr>
        <w:pStyle w:val="Textonotapie"/>
      </w:pPr>
      <w:r w:rsidRPr="00F91CFC">
        <w:rPr>
          <w:rStyle w:val="Refdenotaalpie"/>
        </w:rPr>
        <w:footnoteRef/>
      </w:r>
      <w:r w:rsidRPr="00F91CFC">
        <w:t xml:space="preserve"> Como complemento de la recomendación</w:t>
      </w:r>
      <w:hyperlink r:id="rId5" w:history="1">
        <w:r w:rsidRPr="00F91CFC">
          <w:rPr>
            <w:rStyle w:val="Hipervnculo"/>
          </w:rPr>
          <w:t xml:space="preserve"> 6/1</w:t>
        </w:r>
      </w:hyperlink>
      <w:r w:rsidRPr="00F91CFC">
        <w:t xml:space="preserve"> del Órgano Subsidiario sobre la Aplicación.</w:t>
      </w:r>
    </w:p>
  </w:footnote>
  <w:footnote w:id="11">
    <w:p w14:paraId="6349CD3A" w14:textId="06EE9432" w:rsidR="0099616C" w:rsidRPr="00F91CFC" w:rsidRDefault="0099616C" w:rsidP="0099616C">
      <w:pPr>
        <w:pStyle w:val="Textonotapie"/>
      </w:pPr>
      <w:r w:rsidRPr="00F91CFC">
        <w:rPr>
          <w:rStyle w:val="Refdenotaalpie"/>
        </w:rPr>
        <w:footnoteRef/>
      </w:r>
      <w:r w:rsidRPr="00F91CFC">
        <w:t xml:space="preserve"> Decisión </w:t>
      </w:r>
      <w:hyperlink r:id="rId6" w:history="1">
        <w:r w:rsidRPr="00F91CFC">
          <w:rPr>
            <w:rStyle w:val="Hipervnculo"/>
          </w:rPr>
          <w:t>16/34</w:t>
        </w:r>
      </w:hyperlink>
      <w:r w:rsidRPr="00F91CFC">
        <w:t>, anexo I.</w:t>
      </w:r>
    </w:p>
  </w:footnote>
  <w:footnote w:id="12">
    <w:p w14:paraId="7050DA32" w14:textId="6FA9A995" w:rsidR="006313FC" w:rsidRPr="00F91CFC" w:rsidRDefault="006313FC">
      <w:pPr>
        <w:pStyle w:val="Textonotapie"/>
      </w:pPr>
      <w:r w:rsidRPr="00F91CFC">
        <w:rPr>
          <w:rStyle w:val="Refdenotaalpie"/>
        </w:rPr>
        <w:footnoteRef/>
      </w:r>
      <w:r w:rsidRPr="00F91CFC">
        <w:t xml:space="preserve"> Decisión </w:t>
      </w:r>
      <w:hyperlink r:id="rId7" w:history="1">
        <w:r w:rsidRPr="00F91CFC">
          <w:rPr>
            <w:rStyle w:val="Hipervnculo"/>
          </w:rPr>
          <w:t>15/4</w:t>
        </w:r>
      </w:hyperlink>
      <w:r w:rsidRPr="00F91CFC">
        <w:t>, anexo.</w:t>
      </w:r>
    </w:p>
  </w:footnote>
  <w:footnote w:id="13">
    <w:p w14:paraId="753F73F5" w14:textId="3000BE81" w:rsidR="00BC6AD3" w:rsidRPr="00F91CFC" w:rsidRDefault="00BC6AD3">
      <w:pPr>
        <w:pStyle w:val="Textonotapie"/>
      </w:pPr>
      <w:r w:rsidRPr="00F91CFC">
        <w:rPr>
          <w:rStyle w:val="Refdenotaalpie"/>
        </w:rPr>
        <w:footnoteRef/>
      </w:r>
      <w:r w:rsidRPr="00F91CFC">
        <w:t xml:space="preserve"> Naciones Unidas, </w:t>
      </w:r>
      <w:r w:rsidRPr="00F91CFC">
        <w:rPr>
          <w:i/>
        </w:rPr>
        <w:t>Treaty Series</w:t>
      </w:r>
      <w:r w:rsidRPr="00F91CFC">
        <w:t>, vol. 1760, núm. 30619.</w:t>
      </w:r>
    </w:p>
  </w:footnote>
  <w:footnote w:id="14">
    <w:p w14:paraId="140E3A5F" w14:textId="6AF1517C" w:rsidR="00940E01" w:rsidRPr="00F347FD" w:rsidRDefault="00940E01">
      <w:pPr>
        <w:pStyle w:val="Textonotapie"/>
      </w:pPr>
      <w:r w:rsidRPr="00F91CFC">
        <w:rPr>
          <w:rStyle w:val="Refdenotaalpie"/>
        </w:rPr>
        <w:footnoteRef/>
      </w:r>
      <w:r w:rsidRPr="00F91CFC">
        <w:t xml:space="preserve"> La Secretaría ha sugerido, en el documento CBD/SBI/7/4, relativo al mecanismo financiero, que los trabajos preparatorios para la revisión de balance se lleven a cabo </w:t>
      </w:r>
      <w:proofErr w:type="gramStart"/>
      <w:r w:rsidRPr="00F91CFC">
        <w:t>conjuntamente con</w:t>
      </w:r>
      <w:proofErr w:type="gramEnd"/>
      <w:r w:rsidRPr="00F91CFC">
        <w:t xml:space="preserve"> el séptimo examen cuatrienal de la eficacia del mecanismo financiero.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37E286FC" w14:textId="35AB3B56" w:rsidR="00534681" w:rsidRPr="00F91CFC" w:rsidRDefault="00447F4A" w:rsidP="007C4951">
        <w:pPr>
          <w:pStyle w:val="Encabezado"/>
          <w:spacing w:after="240"/>
          <w:rPr>
            <w:szCs w:val="20"/>
          </w:rPr>
        </w:pPr>
        <w:r w:rsidRPr="00F91CFC">
          <w:rPr>
            <w:szCs w:val="20"/>
          </w:rPr>
          <w:t>CBD/</w:t>
        </w:r>
        <w:r w:rsidR="00163EA8" w:rsidRPr="00F91CFC">
          <w:rPr>
            <w:szCs w:val="20"/>
          </w:rPr>
          <w:t>SBI/</w:t>
        </w:r>
        <w:r w:rsidR="001D17E3" w:rsidRPr="00F91CFC">
          <w:rPr>
            <w:szCs w:val="20"/>
          </w:rPr>
          <w:t>7</w:t>
        </w:r>
        <w:r w:rsidR="00163EA8" w:rsidRPr="00F91CFC">
          <w:rPr>
            <w:szCs w:val="20"/>
          </w:rPr>
          <w:t>/</w:t>
        </w:r>
        <w:r w:rsidR="001D17E3" w:rsidRPr="00F91CFC">
          <w:rPr>
            <w:szCs w:val="20"/>
          </w:rPr>
          <w:t>3</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Content>
      <w:p w14:paraId="16A75160" w14:textId="33C212E6" w:rsidR="009505C9" w:rsidRPr="00F91CFC" w:rsidRDefault="001D17E3" w:rsidP="007C4951">
        <w:pPr>
          <w:pStyle w:val="Encabezado"/>
          <w:spacing w:after="240"/>
          <w:jc w:val="right"/>
        </w:pPr>
        <w:r w:rsidRPr="00F91CFC">
          <w:t>CBD/SBI/7/3</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F6C3A9" w14:textId="497CEC62" w:rsidR="00522AF3" w:rsidRPr="00F91CFC" w:rsidRDefault="00522AF3" w:rsidP="00F347FD">
    <w:pPr>
      <w:pStyle w:val="Encabezado"/>
      <w:pBdr>
        <w:bottom w:val="none" w:sz="0" w:space="0" w:color="auto"/>
      </w:pBdr>
      <w:spacing w:after="24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FE6454A"/>
    <w:multiLevelType w:val="hybridMultilevel"/>
    <w:tmpl w:val="CAB292BE"/>
    <w:lvl w:ilvl="0" w:tplc="0C0A0017">
      <w:start w:val="1"/>
      <w:numFmt w:val="lowerLetter"/>
      <w:lvlText w:val="%1)"/>
      <w:lvlJc w:val="left"/>
      <w:pPr>
        <w:ind w:left="1854" w:hanging="360"/>
      </w:pPr>
    </w:lvl>
    <w:lvl w:ilvl="1" w:tplc="0C0A0019" w:tentative="1">
      <w:start w:val="1"/>
      <w:numFmt w:val="lowerLetter"/>
      <w:lvlText w:val="%2."/>
      <w:lvlJc w:val="left"/>
      <w:pPr>
        <w:ind w:left="2574" w:hanging="360"/>
      </w:pPr>
    </w:lvl>
    <w:lvl w:ilvl="2" w:tplc="0C0A001B" w:tentative="1">
      <w:start w:val="1"/>
      <w:numFmt w:val="lowerRoman"/>
      <w:lvlText w:val="%3."/>
      <w:lvlJc w:val="right"/>
      <w:pPr>
        <w:ind w:left="3294" w:hanging="180"/>
      </w:pPr>
    </w:lvl>
    <w:lvl w:ilvl="3" w:tplc="0C0A000F" w:tentative="1">
      <w:start w:val="1"/>
      <w:numFmt w:val="decimal"/>
      <w:lvlText w:val="%4."/>
      <w:lvlJc w:val="left"/>
      <w:pPr>
        <w:ind w:left="4014" w:hanging="360"/>
      </w:pPr>
    </w:lvl>
    <w:lvl w:ilvl="4" w:tplc="0C0A0019" w:tentative="1">
      <w:start w:val="1"/>
      <w:numFmt w:val="lowerLetter"/>
      <w:lvlText w:val="%5."/>
      <w:lvlJc w:val="left"/>
      <w:pPr>
        <w:ind w:left="4734" w:hanging="360"/>
      </w:pPr>
    </w:lvl>
    <w:lvl w:ilvl="5" w:tplc="0C0A001B" w:tentative="1">
      <w:start w:val="1"/>
      <w:numFmt w:val="lowerRoman"/>
      <w:lvlText w:val="%6."/>
      <w:lvlJc w:val="right"/>
      <w:pPr>
        <w:ind w:left="5454" w:hanging="180"/>
      </w:pPr>
    </w:lvl>
    <w:lvl w:ilvl="6" w:tplc="0C0A000F" w:tentative="1">
      <w:start w:val="1"/>
      <w:numFmt w:val="decimal"/>
      <w:lvlText w:val="%7."/>
      <w:lvlJc w:val="left"/>
      <w:pPr>
        <w:ind w:left="6174" w:hanging="360"/>
      </w:pPr>
    </w:lvl>
    <w:lvl w:ilvl="7" w:tplc="0C0A0019" w:tentative="1">
      <w:start w:val="1"/>
      <w:numFmt w:val="lowerLetter"/>
      <w:lvlText w:val="%8."/>
      <w:lvlJc w:val="left"/>
      <w:pPr>
        <w:ind w:left="6894" w:hanging="360"/>
      </w:pPr>
    </w:lvl>
    <w:lvl w:ilvl="8" w:tplc="0C0A001B" w:tentative="1">
      <w:start w:val="1"/>
      <w:numFmt w:val="lowerRoman"/>
      <w:lvlText w:val="%9."/>
      <w:lvlJc w:val="right"/>
      <w:pPr>
        <w:ind w:left="7614" w:hanging="180"/>
      </w:pPr>
    </w:lvl>
  </w:abstractNum>
  <w:abstractNum w:abstractNumId="1"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3" w15:restartNumberingAfterBreak="0">
    <w:nsid w:val="4AD34F52"/>
    <w:multiLevelType w:val="hybridMultilevel"/>
    <w:tmpl w:val="72E09EB8"/>
    <w:lvl w:ilvl="0" w:tplc="A9ACA680">
      <w:start w:val="1"/>
      <w:numFmt w:val="lowerLetter"/>
      <w:lvlText w:val="%1)"/>
      <w:lvlJc w:val="left"/>
      <w:pPr>
        <w:ind w:left="1854"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5" w15:restartNumberingAfterBreak="0">
    <w:nsid w:val="5D943BEE"/>
    <w:multiLevelType w:val="multilevel"/>
    <w:tmpl w:val="222A08B4"/>
    <w:numStyleLink w:val="ListCBD"/>
  </w:abstractNum>
  <w:abstractNum w:abstractNumId="6" w15:restartNumberingAfterBreak="0">
    <w:nsid w:val="6D191DF4"/>
    <w:multiLevelType w:val="multilevel"/>
    <w:tmpl w:val="07D269C8"/>
    <w:styleLink w:val="CBDHeadings"/>
    <w:lvl w:ilvl="0">
      <w:start w:val="1"/>
      <w:numFmt w:val="upperRoman"/>
      <w:pStyle w:val="Ttulo1"/>
      <w:lvlText w:val="%1."/>
      <w:lvlJc w:val="left"/>
      <w:pPr>
        <w:tabs>
          <w:tab w:val="num" w:pos="567"/>
        </w:tabs>
        <w:ind w:left="567" w:hanging="567"/>
      </w:pPr>
      <w:rPr>
        <w:rFonts w:ascii="Times New Roman" w:hAnsi="Times New Roman" w:hint="default"/>
        <w:sz w:val="28"/>
      </w:rPr>
    </w:lvl>
    <w:lvl w:ilvl="1">
      <w:start w:val="1"/>
      <w:numFmt w:val="upperLetter"/>
      <w:pStyle w:val="Ttulo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Ttulo3"/>
      <w:lvlText w:val="%3."/>
      <w:lvlJc w:val="left"/>
      <w:pPr>
        <w:tabs>
          <w:tab w:val="num" w:pos="567"/>
        </w:tabs>
        <w:ind w:left="567" w:hanging="567"/>
      </w:pPr>
      <w:rPr>
        <w:rFonts w:ascii="Times New Roman Bold" w:hAnsi="Times New Roman Bold" w:hint="default"/>
        <w:b/>
        <w:i w:val="0"/>
        <w:sz w:val="22"/>
      </w:rPr>
    </w:lvl>
    <w:lvl w:ilvl="3">
      <w:start w:val="1"/>
      <w:numFmt w:val="lowerLetter"/>
      <w:pStyle w:val="Ttulo4"/>
      <w:lvlText w:val="(%4)"/>
      <w:lvlJc w:val="left"/>
      <w:pPr>
        <w:tabs>
          <w:tab w:val="num" w:pos="567"/>
        </w:tabs>
        <w:ind w:left="567" w:hanging="567"/>
      </w:pPr>
      <w:rPr>
        <w:rFonts w:ascii="Times New Roman Bold" w:hAnsi="Times New Roman Bold" w:hint="default"/>
        <w:b/>
        <w:i w:val="0"/>
        <w:sz w:val="22"/>
      </w:rPr>
    </w:lvl>
    <w:lvl w:ilvl="4">
      <w:start w:val="1"/>
      <w:numFmt w:val="lowerRoman"/>
      <w:pStyle w:val="Ttulo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Ttulo6"/>
      <w:lvlText w:val="%6)"/>
      <w:lvlJc w:val="left"/>
      <w:pPr>
        <w:ind w:left="1152" w:hanging="432"/>
      </w:pPr>
      <w:rPr>
        <w:rFonts w:hint="default"/>
      </w:rPr>
    </w:lvl>
    <w:lvl w:ilvl="6">
      <w:start w:val="1"/>
      <w:numFmt w:val="lowerRoman"/>
      <w:pStyle w:val="Ttulo7"/>
      <w:lvlText w:val="%7)"/>
      <w:lvlJc w:val="right"/>
      <w:pPr>
        <w:ind w:left="1296" w:hanging="288"/>
      </w:pPr>
      <w:rPr>
        <w:rFonts w:hint="default"/>
      </w:rPr>
    </w:lvl>
    <w:lvl w:ilvl="7">
      <w:start w:val="1"/>
      <w:numFmt w:val="lowerLetter"/>
      <w:pStyle w:val="Ttulo8"/>
      <w:lvlText w:val="%8."/>
      <w:lvlJc w:val="left"/>
      <w:pPr>
        <w:ind w:left="1440" w:hanging="432"/>
      </w:pPr>
      <w:rPr>
        <w:rFonts w:hint="default"/>
      </w:rPr>
    </w:lvl>
    <w:lvl w:ilvl="8">
      <w:start w:val="1"/>
      <w:numFmt w:val="lowerRoman"/>
      <w:pStyle w:val="Ttulo9"/>
      <w:lvlText w:val="%9."/>
      <w:lvlJc w:val="right"/>
      <w:pPr>
        <w:ind w:left="1584" w:hanging="144"/>
      </w:pPr>
      <w:rPr>
        <w:rFonts w:hint="default"/>
      </w:rPr>
    </w:lvl>
  </w:abstractNum>
  <w:num w:numId="1" w16cid:durableId="830828777">
    <w:abstractNumId w:val="4"/>
  </w:num>
  <w:num w:numId="2" w16cid:durableId="1858829">
    <w:abstractNumId w:val="1"/>
  </w:num>
  <w:num w:numId="3" w16cid:durableId="1333221471">
    <w:abstractNumId w:val="7"/>
  </w:num>
  <w:num w:numId="4" w16cid:durableId="1072390599">
    <w:abstractNumId w:val="8"/>
  </w:num>
  <w:num w:numId="5" w16cid:durableId="960385107">
    <w:abstractNumId w:val="2"/>
  </w:num>
  <w:num w:numId="6" w16cid:durableId="893932166">
    <w:abstractNumId w:val="6"/>
  </w:num>
  <w:num w:numId="7" w16cid:durableId="323945383">
    <w:abstractNumId w:val="5"/>
    <w:lvlOverride w:ilvl="0">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8" w16cid:durableId="228005498">
    <w:abstractNumId w:val="5"/>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9" w16cid:durableId="1426150870">
    <w:abstractNumId w:val="0"/>
  </w:num>
  <w:num w:numId="10" w16cid:durableId="2092852152">
    <w:abstractNumId w:val="3"/>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proofState w:spelling="clean" w:grammar="clean"/>
  <w:defaultTabStop w:val="720"/>
  <w:hyphenationZone w:val="425"/>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0A2E"/>
    <w:rsid w:val="00002AC0"/>
    <w:rsid w:val="00003410"/>
    <w:rsid w:val="00003463"/>
    <w:rsid w:val="00003CC2"/>
    <w:rsid w:val="00003DAC"/>
    <w:rsid w:val="00003FE7"/>
    <w:rsid w:val="0000404C"/>
    <w:rsid w:val="00004119"/>
    <w:rsid w:val="0000425A"/>
    <w:rsid w:val="00004E28"/>
    <w:rsid w:val="0000506D"/>
    <w:rsid w:val="0000572E"/>
    <w:rsid w:val="0000575D"/>
    <w:rsid w:val="00006348"/>
    <w:rsid w:val="000063FD"/>
    <w:rsid w:val="00006CF2"/>
    <w:rsid w:val="00006F05"/>
    <w:rsid w:val="000071A4"/>
    <w:rsid w:val="0000761A"/>
    <w:rsid w:val="00010018"/>
    <w:rsid w:val="00010D1C"/>
    <w:rsid w:val="0001163B"/>
    <w:rsid w:val="00011DE9"/>
    <w:rsid w:val="000129F0"/>
    <w:rsid w:val="00013542"/>
    <w:rsid w:val="0001371D"/>
    <w:rsid w:val="000137B0"/>
    <w:rsid w:val="00014B48"/>
    <w:rsid w:val="00014D4F"/>
    <w:rsid w:val="00015945"/>
    <w:rsid w:val="000160DA"/>
    <w:rsid w:val="0001611B"/>
    <w:rsid w:val="00016148"/>
    <w:rsid w:val="00017A2E"/>
    <w:rsid w:val="00021483"/>
    <w:rsid w:val="00021EE0"/>
    <w:rsid w:val="0002328C"/>
    <w:rsid w:val="0002397C"/>
    <w:rsid w:val="00023B2F"/>
    <w:rsid w:val="000241FE"/>
    <w:rsid w:val="000249F2"/>
    <w:rsid w:val="00024FF9"/>
    <w:rsid w:val="00025B8B"/>
    <w:rsid w:val="00026AB9"/>
    <w:rsid w:val="00027DAC"/>
    <w:rsid w:val="00030582"/>
    <w:rsid w:val="0003061F"/>
    <w:rsid w:val="00030749"/>
    <w:rsid w:val="00030C46"/>
    <w:rsid w:val="000317B0"/>
    <w:rsid w:val="00032029"/>
    <w:rsid w:val="000324FD"/>
    <w:rsid w:val="00032671"/>
    <w:rsid w:val="00032971"/>
    <w:rsid w:val="00032B28"/>
    <w:rsid w:val="00032BCB"/>
    <w:rsid w:val="00032CF4"/>
    <w:rsid w:val="00033760"/>
    <w:rsid w:val="00034022"/>
    <w:rsid w:val="000366FF"/>
    <w:rsid w:val="000374BB"/>
    <w:rsid w:val="000376BC"/>
    <w:rsid w:val="00040302"/>
    <w:rsid w:val="00040376"/>
    <w:rsid w:val="000403EF"/>
    <w:rsid w:val="00042496"/>
    <w:rsid w:val="0004253C"/>
    <w:rsid w:val="000428B7"/>
    <w:rsid w:val="000435DE"/>
    <w:rsid w:val="00044130"/>
    <w:rsid w:val="00044335"/>
    <w:rsid w:val="000453E4"/>
    <w:rsid w:val="000467A9"/>
    <w:rsid w:val="00046E1D"/>
    <w:rsid w:val="00046F1B"/>
    <w:rsid w:val="000472E3"/>
    <w:rsid w:val="000476CE"/>
    <w:rsid w:val="000476D7"/>
    <w:rsid w:val="00047E52"/>
    <w:rsid w:val="00047F14"/>
    <w:rsid w:val="000513FE"/>
    <w:rsid w:val="0005410B"/>
    <w:rsid w:val="00054708"/>
    <w:rsid w:val="00055B68"/>
    <w:rsid w:val="00055CC6"/>
    <w:rsid w:val="0005639E"/>
    <w:rsid w:val="0005663E"/>
    <w:rsid w:val="00056C53"/>
    <w:rsid w:val="00056E81"/>
    <w:rsid w:val="00056F31"/>
    <w:rsid w:val="00056F74"/>
    <w:rsid w:val="00057379"/>
    <w:rsid w:val="00057CC9"/>
    <w:rsid w:val="00057FCA"/>
    <w:rsid w:val="00060550"/>
    <w:rsid w:val="00060AA2"/>
    <w:rsid w:val="00061547"/>
    <w:rsid w:val="0006194D"/>
    <w:rsid w:val="00061F8F"/>
    <w:rsid w:val="00062396"/>
    <w:rsid w:val="000637AB"/>
    <w:rsid w:val="00063A1C"/>
    <w:rsid w:val="0006439B"/>
    <w:rsid w:val="00064CA5"/>
    <w:rsid w:val="00065B57"/>
    <w:rsid w:val="00066BB4"/>
    <w:rsid w:val="0006709D"/>
    <w:rsid w:val="000673BE"/>
    <w:rsid w:val="00070600"/>
    <w:rsid w:val="00070895"/>
    <w:rsid w:val="00070E32"/>
    <w:rsid w:val="0007171B"/>
    <w:rsid w:val="00071C69"/>
    <w:rsid w:val="00071ED4"/>
    <w:rsid w:val="00072AE7"/>
    <w:rsid w:val="00072CDE"/>
    <w:rsid w:val="00074653"/>
    <w:rsid w:val="00074654"/>
    <w:rsid w:val="00074688"/>
    <w:rsid w:val="000753DB"/>
    <w:rsid w:val="000762C8"/>
    <w:rsid w:val="000763F4"/>
    <w:rsid w:val="00076643"/>
    <w:rsid w:val="0007762C"/>
    <w:rsid w:val="00077A25"/>
    <w:rsid w:val="000800E7"/>
    <w:rsid w:val="00080ED5"/>
    <w:rsid w:val="00081331"/>
    <w:rsid w:val="000815D6"/>
    <w:rsid w:val="00081749"/>
    <w:rsid w:val="000819FF"/>
    <w:rsid w:val="00082838"/>
    <w:rsid w:val="00082CA8"/>
    <w:rsid w:val="00082FB5"/>
    <w:rsid w:val="00082FF4"/>
    <w:rsid w:val="000835FD"/>
    <w:rsid w:val="0008395B"/>
    <w:rsid w:val="00084789"/>
    <w:rsid w:val="000848FD"/>
    <w:rsid w:val="00084BCE"/>
    <w:rsid w:val="00084E04"/>
    <w:rsid w:val="00085D8C"/>
    <w:rsid w:val="00087F95"/>
    <w:rsid w:val="00090F05"/>
    <w:rsid w:val="00090F44"/>
    <w:rsid w:val="00091C6D"/>
    <w:rsid w:val="000921D3"/>
    <w:rsid w:val="000924E9"/>
    <w:rsid w:val="00092E2C"/>
    <w:rsid w:val="0009309B"/>
    <w:rsid w:val="0009314D"/>
    <w:rsid w:val="000933E0"/>
    <w:rsid w:val="000940A5"/>
    <w:rsid w:val="000948AD"/>
    <w:rsid w:val="00094A9D"/>
    <w:rsid w:val="00095A34"/>
    <w:rsid w:val="00096330"/>
    <w:rsid w:val="00096584"/>
    <w:rsid w:val="00096C66"/>
    <w:rsid w:val="00096F6B"/>
    <w:rsid w:val="000A1659"/>
    <w:rsid w:val="000A2445"/>
    <w:rsid w:val="000A248F"/>
    <w:rsid w:val="000A2D65"/>
    <w:rsid w:val="000A490B"/>
    <w:rsid w:val="000A55D5"/>
    <w:rsid w:val="000A588E"/>
    <w:rsid w:val="000A6272"/>
    <w:rsid w:val="000A64CF"/>
    <w:rsid w:val="000A6A0F"/>
    <w:rsid w:val="000A6FD3"/>
    <w:rsid w:val="000A718A"/>
    <w:rsid w:val="000A7F06"/>
    <w:rsid w:val="000B2CBD"/>
    <w:rsid w:val="000B304F"/>
    <w:rsid w:val="000B4263"/>
    <w:rsid w:val="000B50F5"/>
    <w:rsid w:val="000B5894"/>
    <w:rsid w:val="000B6689"/>
    <w:rsid w:val="000B7101"/>
    <w:rsid w:val="000B73BC"/>
    <w:rsid w:val="000C0302"/>
    <w:rsid w:val="000C06D2"/>
    <w:rsid w:val="000C0DAD"/>
    <w:rsid w:val="000C1F9C"/>
    <w:rsid w:val="000C2371"/>
    <w:rsid w:val="000C3FDD"/>
    <w:rsid w:val="000C4408"/>
    <w:rsid w:val="000C4CFD"/>
    <w:rsid w:val="000C4DA4"/>
    <w:rsid w:val="000C4E18"/>
    <w:rsid w:val="000C5432"/>
    <w:rsid w:val="000C56A8"/>
    <w:rsid w:val="000C5EE9"/>
    <w:rsid w:val="000C6247"/>
    <w:rsid w:val="000C63BC"/>
    <w:rsid w:val="000C6431"/>
    <w:rsid w:val="000C6795"/>
    <w:rsid w:val="000C6C03"/>
    <w:rsid w:val="000D0E7B"/>
    <w:rsid w:val="000D0F68"/>
    <w:rsid w:val="000D1843"/>
    <w:rsid w:val="000D1ED7"/>
    <w:rsid w:val="000D1FF0"/>
    <w:rsid w:val="000D3329"/>
    <w:rsid w:val="000D3AA2"/>
    <w:rsid w:val="000D3DC1"/>
    <w:rsid w:val="000D49F3"/>
    <w:rsid w:val="000D4BB2"/>
    <w:rsid w:val="000D4BBA"/>
    <w:rsid w:val="000D4C4F"/>
    <w:rsid w:val="000D4CF7"/>
    <w:rsid w:val="000D5238"/>
    <w:rsid w:val="000D5D6D"/>
    <w:rsid w:val="000D5EA1"/>
    <w:rsid w:val="000D6728"/>
    <w:rsid w:val="000D6A86"/>
    <w:rsid w:val="000D6CDF"/>
    <w:rsid w:val="000D703B"/>
    <w:rsid w:val="000D7238"/>
    <w:rsid w:val="000D7717"/>
    <w:rsid w:val="000D785D"/>
    <w:rsid w:val="000E0025"/>
    <w:rsid w:val="000E0223"/>
    <w:rsid w:val="000E030D"/>
    <w:rsid w:val="000E09D3"/>
    <w:rsid w:val="000E0C44"/>
    <w:rsid w:val="000E17DA"/>
    <w:rsid w:val="000E2239"/>
    <w:rsid w:val="000E2C2E"/>
    <w:rsid w:val="000E4AC7"/>
    <w:rsid w:val="000E4EE5"/>
    <w:rsid w:val="000E52EB"/>
    <w:rsid w:val="000E5AA9"/>
    <w:rsid w:val="000E5AFE"/>
    <w:rsid w:val="000E630D"/>
    <w:rsid w:val="000E673A"/>
    <w:rsid w:val="000E688E"/>
    <w:rsid w:val="000E6F3A"/>
    <w:rsid w:val="000E7653"/>
    <w:rsid w:val="000E791B"/>
    <w:rsid w:val="000E7946"/>
    <w:rsid w:val="000F00D7"/>
    <w:rsid w:val="000F08A3"/>
    <w:rsid w:val="000F0B15"/>
    <w:rsid w:val="000F1046"/>
    <w:rsid w:val="000F3607"/>
    <w:rsid w:val="000F43DA"/>
    <w:rsid w:val="000F444C"/>
    <w:rsid w:val="000F5510"/>
    <w:rsid w:val="000F5762"/>
    <w:rsid w:val="000F5B46"/>
    <w:rsid w:val="000F6175"/>
    <w:rsid w:val="000F6259"/>
    <w:rsid w:val="000F6614"/>
    <w:rsid w:val="000F68CD"/>
    <w:rsid w:val="000F6945"/>
    <w:rsid w:val="000F73A3"/>
    <w:rsid w:val="000F74F5"/>
    <w:rsid w:val="000F78FC"/>
    <w:rsid w:val="000F7933"/>
    <w:rsid w:val="000F7FD3"/>
    <w:rsid w:val="00100762"/>
    <w:rsid w:val="00100B77"/>
    <w:rsid w:val="001015EA"/>
    <w:rsid w:val="00101BDB"/>
    <w:rsid w:val="00102907"/>
    <w:rsid w:val="0010292B"/>
    <w:rsid w:val="00103037"/>
    <w:rsid w:val="00103414"/>
    <w:rsid w:val="00103E29"/>
    <w:rsid w:val="00103E57"/>
    <w:rsid w:val="00104BBE"/>
    <w:rsid w:val="00105372"/>
    <w:rsid w:val="001054A6"/>
    <w:rsid w:val="00105C7C"/>
    <w:rsid w:val="00105D07"/>
    <w:rsid w:val="00105DB8"/>
    <w:rsid w:val="001065B9"/>
    <w:rsid w:val="00106CD2"/>
    <w:rsid w:val="00106ED5"/>
    <w:rsid w:val="00106F7D"/>
    <w:rsid w:val="001078A1"/>
    <w:rsid w:val="001079DD"/>
    <w:rsid w:val="00107E34"/>
    <w:rsid w:val="001103FF"/>
    <w:rsid w:val="00110B5B"/>
    <w:rsid w:val="00110E16"/>
    <w:rsid w:val="001117DA"/>
    <w:rsid w:val="00111866"/>
    <w:rsid w:val="00111DBB"/>
    <w:rsid w:val="00113467"/>
    <w:rsid w:val="00113D84"/>
    <w:rsid w:val="00114017"/>
    <w:rsid w:val="001147DC"/>
    <w:rsid w:val="00114A07"/>
    <w:rsid w:val="00114AF3"/>
    <w:rsid w:val="001155D1"/>
    <w:rsid w:val="00115E4C"/>
    <w:rsid w:val="00116299"/>
    <w:rsid w:val="001163BB"/>
    <w:rsid w:val="0011644D"/>
    <w:rsid w:val="001164A9"/>
    <w:rsid w:val="001172F6"/>
    <w:rsid w:val="0011761A"/>
    <w:rsid w:val="00117814"/>
    <w:rsid w:val="00117AD4"/>
    <w:rsid w:val="00117CE8"/>
    <w:rsid w:val="00120949"/>
    <w:rsid w:val="00121244"/>
    <w:rsid w:val="0012131A"/>
    <w:rsid w:val="001214CA"/>
    <w:rsid w:val="00121A67"/>
    <w:rsid w:val="001222D1"/>
    <w:rsid w:val="001229DD"/>
    <w:rsid w:val="00123A3E"/>
    <w:rsid w:val="00126571"/>
    <w:rsid w:val="00126E41"/>
    <w:rsid w:val="00127431"/>
    <w:rsid w:val="00130833"/>
    <w:rsid w:val="00130A70"/>
    <w:rsid w:val="00130CB1"/>
    <w:rsid w:val="00130EF1"/>
    <w:rsid w:val="001312AD"/>
    <w:rsid w:val="00131C4C"/>
    <w:rsid w:val="00131E7A"/>
    <w:rsid w:val="0013320A"/>
    <w:rsid w:val="0013323E"/>
    <w:rsid w:val="001333E1"/>
    <w:rsid w:val="00133DB7"/>
    <w:rsid w:val="001342BF"/>
    <w:rsid w:val="00134846"/>
    <w:rsid w:val="00135044"/>
    <w:rsid w:val="001350DA"/>
    <w:rsid w:val="00135FA0"/>
    <w:rsid w:val="00136C7F"/>
    <w:rsid w:val="0013784E"/>
    <w:rsid w:val="001379F8"/>
    <w:rsid w:val="00137A20"/>
    <w:rsid w:val="00137CF4"/>
    <w:rsid w:val="001402EB"/>
    <w:rsid w:val="00140820"/>
    <w:rsid w:val="00140B09"/>
    <w:rsid w:val="00141AE5"/>
    <w:rsid w:val="00142180"/>
    <w:rsid w:val="001429C9"/>
    <w:rsid w:val="001438B7"/>
    <w:rsid w:val="00143934"/>
    <w:rsid w:val="00144525"/>
    <w:rsid w:val="00145988"/>
    <w:rsid w:val="001471AA"/>
    <w:rsid w:val="00147804"/>
    <w:rsid w:val="00147FB5"/>
    <w:rsid w:val="0015015F"/>
    <w:rsid w:val="001501D2"/>
    <w:rsid w:val="001503D3"/>
    <w:rsid w:val="00151046"/>
    <w:rsid w:val="001519F1"/>
    <w:rsid w:val="00151DE3"/>
    <w:rsid w:val="00152D47"/>
    <w:rsid w:val="00154040"/>
    <w:rsid w:val="0015479F"/>
    <w:rsid w:val="001547C4"/>
    <w:rsid w:val="00155382"/>
    <w:rsid w:val="001556E1"/>
    <w:rsid w:val="0015579A"/>
    <w:rsid w:val="0015613E"/>
    <w:rsid w:val="0015667A"/>
    <w:rsid w:val="0015669D"/>
    <w:rsid w:val="001579D1"/>
    <w:rsid w:val="00161308"/>
    <w:rsid w:val="00161E9A"/>
    <w:rsid w:val="0016211C"/>
    <w:rsid w:val="001623C3"/>
    <w:rsid w:val="0016325B"/>
    <w:rsid w:val="00163AFA"/>
    <w:rsid w:val="00163EA8"/>
    <w:rsid w:val="001643BC"/>
    <w:rsid w:val="00164534"/>
    <w:rsid w:val="0016464C"/>
    <w:rsid w:val="00164FBD"/>
    <w:rsid w:val="00165F8B"/>
    <w:rsid w:val="00166969"/>
    <w:rsid w:val="00167AC2"/>
    <w:rsid w:val="00170FF3"/>
    <w:rsid w:val="00171139"/>
    <w:rsid w:val="00171329"/>
    <w:rsid w:val="0017164B"/>
    <w:rsid w:val="00171677"/>
    <w:rsid w:val="00171A4E"/>
    <w:rsid w:val="00171D66"/>
    <w:rsid w:val="00172AF6"/>
    <w:rsid w:val="00173330"/>
    <w:rsid w:val="001739CB"/>
    <w:rsid w:val="001759DA"/>
    <w:rsid w:val="00175C0D"/>
    <w:rsid w:val="00176245"/>
    <w:rsid w:val="00176736"/>
    <w:rsid w:val="00176CEE"/>
    <w:rsid w:val="0017790A"/>
    <w:rsid w:val="00177D41"/>
    <w:rsid w:val="00177FD3"/>
    <w:rsid w:val="0018118C"/>
    <w:rsid w:val="00181336"/>
    <w:rsid w:val="00181693"/>
    <w:rsid w:val="001820EA"/>
    <w:rsid w:val="001823C9"/>
    <w:rsid w:val="00183BBD"/>
    <w:rsid w:val="00183FF5"/>
    <w:rsid w:val="00184DC8"/>
    <w:rsid w:val="001853FD"/>
    <w:rsid w:val="001854E0"/>
    <w:rsid w:val="001864F6"/>
    <w:rsid w:val="00186DD8"/>
    <w:rsid w:val="00187221"/>
    <w:rsid w:val="001879EF"/>
    <w:rsid w:val="00190135"/>
    <w:rsid w:val="001908D7"/>
    <w:rsid w:val="00190AD2"/>
    <w:rsid w:val="00190D8D"/>
    <w:rsid w:val="00190F5F"/>
    <w:rsid w:val="00191667"/>
    <w:rsid w:val="00191A2E"/>
    <w:rsid w:val="001927F6"/>
    <w:rsid w:val="00193AC7"/>
    <w:rsid w:val="00193B7B"/>
    <w:rsid w:val="00194013"/>
    <w:rsid w:val="00194215"/>
    <w:rsid w:val="0019437E"/>
    <w:rsid w:val="00194AED"/>
    <w:rsid w:val="001951CB"/>
    <w:rsid w:val="0019530E"/>
    <w:rsid w:val="001955D4"/>
    <w:rsid w:val="00195612"/>
    <w:rsid w:val="00195652"/>
    <w:rsid w:val="001957C4"/>
    <w:rsid w:val="00195A29"/>
    <w:rsid w:val="00195C71"/>
    <w:rsid w:val="00195D29"/>
    <w:rsid w:val="00195FD7"/>
    <w:rsid w:val="001966F0"/>
    <w:rsid w:val="00196846"/>
    <w:rsid w:val="00197AD0"/>
    <w:rsid w:val="001A0581"/>
    <w:rsid w:val="001A2E99"/>
    <w:rsid w:val="001A3477"/>
    <w:rsid w:val="001A35EC"/>
    <w:rsid w:val="001A40A4"/>
    <w:rsid w:val="001A4CF9"/>
    <w:rsid w:val="001A5EB5"/>
    <w:rsid w:val="001A610F"/>
    <w:rsid w:val="001A6622"/>
    <w:rsid w:val="001A6B25"/>
    <w:rsid w:val="001A6FAC"/>
    <w:rsid w:val="001A78AA"/>
    <w:rsid w:val="001B02BC"/>
    <w:rsid w:val="001B0981"/>
    <w:rsid w:val="001B13FE"/>
    <w:rsid w:val="001B1D0E"/>
    <w:rsid w:val="001B2001"/>
    <w:rsid w:val="001B208C"/>
    <w:rsid w:val="001B24E0"/>
    <w:rsid w:val="001B24EF"/>
    <w:rsid w:val="001B2637"/>
    <w:rsid w:val="001B2ECF"/>
    <w:rsid w:val="001B3E01"/>
    <w:rsid w:val="001B4234"/>
    <w:rsid w:val="001B5703"/>
    <w:rsid w:val="001B650F"/>
    <w:rsid w:val="001B6599"/>
    <w:rsid w:val="001B716F"/>
    <w:rsid w:val="001B7201"/>
    <w:rsid w:val="001B748E"/>
    <w:rsid w:val="001B749F"/>
    <w:rsid w:val="001C1142"/>
    <w:rsid w:val="001C1EC9"/>
    <w:rsid w:val="001C222A"/>
    <w:rsid w:val="001C2D69"/>
    <w:rsid w:val="001C320A"/>
    <w:rsid w:val="001C33F6"/>
    <w:rsid w:val="001C3A8E"/>
    <w:rsid w:val="001C3B15"/>
    <w:rsid w:val="001C4F55"/>
    <w:rsid w:val="001C528D"/>
    <w:rsid w:val="001C5BB8"/>
    <w:rsid w:val="001C5D22"/>
    <w:rsid w:val="001C5E4D"/>
    <w:rsid w:val="001C62FA"/>
    <w:rsid w:val="001C7903"/>
    <w:rsid w:val="001C7B3D"/>
    <w:rsid w:val="001C7FD2"/>
    <w:rsid w:val="001D0302"/>
    <w:rsid w:val="001D0550"/>
    <w:rsid w:val="001D0BDD"/>
    <w:rsid w:val="001D0CE3"/>
    <w:rsid w:val="001D16AB"/>
    <w:rsid w:val="001D17E3"/>
    <w:rsid w:val="001D1BC1"/>
    <w:rsid w:val="001D1CDB"/>
    <w:rsid w:val="001D1E16"/>
    <w:rsid w:val="001D34BC"/>
    <w:rsid w:val="001D35DA"/>
    <w:rsid w:val="001D3F7C"/>
    <w:rsid w:val="001D42CC"/>
    <w:rsid w:val="001D48FD"/>
    <w:rsid w:val="001D5551"/>
    <w:rsid w:val="001D55CD"/>
    <w:rsid w:val="001D5DF9"/>
    <w:rsid w:val="001D6EA6"/>
    <w:rsid w:val="001E157D"/>
    <w:rsid w:val="001E166B"/>
    <w:rsid w:val="001E21A4"/>
    <w:rsid w:val="001E229C"/>
    <w:rsid w:val="001E2737"/>
    <w:rsid w:val="001E28A2"/>
    <w:rsid w:val="001E2A23"/>
    <w:rsid w:val="001E41E3"/>
    <w:rsid w:val="001E42DE"/>
    <w:rsid w:val="001E434C"/>
    <w:rsid w:val="001E4432"/>
    <w:rsid w:val="001E452E"/>
    <w:rsid w:val="001E4A7C"/>
    <w:rsid w:val="001E5985"/>
    <w:rsid w:val="001E59DB"/>
    <w:rsid w:val="001E64CD"/>
    <w:rsid w:val="001E683C"/>
    <w:rsid w:val="001E6905"/>
    <w:rsid w:val="001E6AA5"/>
    <w:rsid w:val="001E6E83"/>
    <w:rsid w:val="001E7387"/>
    <w:rsid w:val="001E76DF"/>
    <w:rsid w:val="001E76FE"/>
    <w:rsid w:val="001E7AD2"/>
    <w:rsid w:val="001F0BC3"/>
    <w:rsid w:val="001F203A"/>
    <w:rsid w:val="001F21D3"/>
    <w:rsid w:val="001F2F18"/>
    <w:rsid w:val="001F475D"/>
    <w:rsid w:val="001F4D54"/>
    <w:rsid w:val="001F5289"/>
    <w:rsid w:val="001F6675"/>
    <w:rsid w:val="001F679F"/>
    <w:rsid w:val="001F69D3"/>
    <w:rsid w:val="001F6AB8"/>
    <w:rsid w:val="001F70C8"/>
    <w:rsid w:val="00201F34"/>
    <w:rsid w:val="00202229"/>
    <w:rsid w:val="00202313"/>
    <w:rsid w:val="002035DB"/>
    <w:rsid w:val="002040C4"/>
    <w:rsid w:val="00204100"/>
    <w:rsid w:val="00204ED7"/>
    <w:rsid w:val="0020575E"/>
    <w:rsid w:val="00205CBC"/>
    <w:rsid w:val="0020656F"/>
    <w:rsid w:val="00206D2A"/>
    <w:rsid w:val="00206DDF"/>
    <w:rsid w:val="002075B1"/>
    <w:rsid w:val="002075B2"/>
    <w:rsid w:val="002102C3"/>
    <w:rsid w:val="00210534"/>
    <w:rsid w:val="002108F2"/>
    <w:rsid w:val="00210B0C"/>
    <w:rsid w:val="00210B6A"/>
    <w:rsid w:val="00211AC2"/>
    <w:rsid w:val="002126BB"/>
    <w:rsid w:val="00214DE4"/>
    <w:rsid w:val="00214F44"/>
    <w:rsid w:val="002153EB"/>
    <w:rsid w:val="002172A2"/>
    <w:rsid w:val="0021763B"/>
    <w:rsid w:val="0022070A"/>
    <w:rsid w:val="00220788"/>
    <w:rsid w:val="002208D8"/>
    <w:rsid w:val="00220A53"/>
    <w:rsid w:val="002214BC"/>
    <w:rsid w:val="002216B4"/>
    <w:rsid w:val="0022213F"/>
    <w:rsid w:val="00222173"/>
    <w:rsid w:val="002225E2"/>
    <w:rsid w:val="00222A19"/>
    <w:rsid w:val="00222BC4"/>
    <w:rsid w:val="00222EB4"/>
    <w:rsid w:val="00223002"/>
    <w:rsid w:val="00224668"/>
    <w:rsid w:val="00224B4D"/>
    <w:rsid w:val="00225182"/>
    <w:rsid w:val="00225286"/>
    <w:rsid w:val="0022530F"/>
    <w:rsid w:val="002257BB"/>
    <w:rsid w:val="00226623"/>
    <w:rsid w:val="002267E9"/>
    <w:rsid w:val="00226D96"/>
    <w:rsid w:val="00227F6A"/>
    <w:rsid w:val="00230E20"/>
    <w:rsid w:val="002310B3"/>
    <w:rsid w:val="002311BB"/>
    <w:rsid w:val="002314BD"/>
    <w:rsid w:val="00232845"/>
    <w:rsid w:val="00233CCD"/>
    <w:rsid w:val="00233E63"/>
    <w:rsid w:val="00234304"/>
    <w:rsid w:val="00234A20"/>
    <w:rsid w:val="00235534"/>
    <w:rsid w:val="002358E0"/>
    <w:rsid w:val="00236602"/>
    <w:rsid w:val="0023680D"/>
    <w:rsid w:val="00236B27"/>
    <w:rsid w:val="00236CDC"/>
    <w:rsid w:val="00237BD4"/>
    <w:rsid w:val="00237D29"/>
    <w:rsid w:val="002401F8"/>
    <w:rsid w:val="00240890"/>
    <w:rsid w:val="00240C3C"/>
    <w:rsid w:val="0024127D"/>
    <w:rsid w:val="0024134B"/>
    <w:rsid w:val="0024181A"/>
    <w:rsid w:val="002418E1"/>
    <w:rsid w:val="00241916"/>
    <w:rsid w:val="002420C7"/>
    <w:rsid w:val="002420E2"/>
    <w:rsid w:val="002424AB"/>
    <w:rsid w:val="0024296B"/>
    <w:rsid w:val="0024329F"/>
    <w:rsid w:val="00243383"/>
    <w:rsid w:val="00243C3E"/>
    <w:rsid w:val="00244566"/>
    <w:rsid w:val="0024566F"/>
    <w:rsid w:val="0024600E"/>
    <w:rsid w:val="00246522"/>
    <w:rsid w:val="00247115"/>
    <w:rsid w:val="002473AD"/>
    <w:rsid w:val="002477B1"/>
    <w:rsid w:val="00247F59"/>
    <w:rsid w:val="0025006E"/>
    <w:rsid w:val="00251023"/>
    <w:rsid w:val="00251E0E"/>
    <w:rsid w:val="002525AF"/>
    <w:rsid w:val="0025278E"/>
    <w:rsid w:val="00253005"/>
    <w:rsid w:val="00253A15"/>
    <w:rsid w:val="00253E1A"/>
    <w:rsid w:val="00254849"/>
    <w:rsid w:val="00255DFA"/>
    <w:rsid w:val="00256652"/>
    <w:rsid w:val="002566CE"/>
    <w:rsid w:val="00256D97"/>
    <w:rsid w:val="0025711A"/>
    <w:rsid w:val="002578EB"/>
    <w:rsid w:val="00257C6A"/>
    <w:rsid w:val="00257E0D"/>
    <w:rsid w:val="00260400"/>
    <w:rsid w:val="00260951"/>
    <w:rsid w:val="00260A3A"/>
    <w:rsid w:val="00260C7B"/>
    <w:rsid w:val="002611FE"/>
    <w:rsid w:val="002616B6"/>
    <w:rsid w:val="002617E3"/>
    <w:rsid w:val="00261FBB"/>
    <w:rsid w:val="002628D7"/>
    <w:rsid w:val="00262A78"/>
    <w:rsid w:val="00263816"/>
    <w:rsid w:val="00263CC1"/>
    <w:rsid w:val="00263E91"/>
    <w:rsid w:val="00264028"/>
    <w:rsid w:val="00264BBE"/>
    <w:rsid w:val="00265560"/>
    <w:rsid w:val="00265862"/>
    <w:rsid w:val="00265F14"/>
    <w:rsid w:val="0026604E"/>
    <w:rsid w:val="002669A8"/>
    <w:rsid w:val="00266B11"/>
    <w:rsid w:val="00266C6D"/>
    <w:rsid w:val="00267C9B"/>
    <w:rsid w:val="00267FE1"/>
    <w:rsid w:val="00270043"/>
    <w:rsid w:val="002703F1"/>
    <w:rsid w:val="00270511"/>
    <w:rsid w:val="002707EA"/>
    <w:rsid w:val="002711DF"/>
    <w:rsid w:val="002725F4"/>
    <w:rsid w:val="00272A7D"/>
    <w:rsid w:val="00272B72"/>
    <w:rsid w:val="00272C47"/>
    <w:rsid w:val="00273552"/>
    <w:rsid w:val="002738BF"/>
    <w:rsid w:val="002741D2"/>
    <w:rsid w:val="00274AC9"/>
    <w:rsid w:val="00274D1C"/>
    <w:rsid w:val="00275014"/>
    <w:rsid w:val="0027554F"/>
    <w:rsid w:val="00276430"/>
    <w:rsid w:val="00276630"/>
    <w:rsid w:val="00276AC2"/>
    <w:rsid w:val="00276EB6"/>
    <w:rsid w:val="00277243"/>
    <w:rsid w:val="0027779D"/>
    <w:rsid w:val="00280C12"/>
    <w:rsid w:val="00280CF7"/>
    <w:rsid w:val="002815E9"/>
    <w:rsid w:val="00281DA3"/>
    <w:rsid w:val="00283058"/>
    <w:rsid w:val="002834D1"/>
    <w:rsid w:val="00283689"/>
    <w:rsid w:val="00283F4C"/>
    <w:rsid w:val="00284CA0"/>
    <w:rsid w:val="002855C2"/>
    <w:rsid w:val="002864B9"/>
    <w:rsid w:val="002869FA"/>
    <w:rsid w:val="00286C3A"/>
    <w:rsid w:val="002900CE"/>
    <w:rsid w:val="0029075A"/>
    <w:rsid w:val="002908A1"/>
    <w:rsid w:val="002908E4"/>
    <w:rsid w:val="002908E9"/>
    <w:rsid w:val="00290F56"/>
    <w:rsid w:val="00291F82"/>
    <w:rsid w:val="00292292"/>
    <w:rsid w:val="002927A3"/>
    <w:rsid w:val="00293466"/>
    <w:rsid w:val="002939A6"/>
    <w:rsid w:val="00293B32"/>
    <w:rsid w:val="00293BCD"/>
    <w:rsid w:val="002949CC"/>
    <w:rsid w:val="00294B9C"/>
    <w:rsid w:val="00294DCC"/>
    <w:rsid w:val="002965F4"/>
    <w:rsid w:val="002969A4"/>
    <w:rsid w:val="002975D6"/>
    <w:rsid w:val="00297A07"/>
    <w:rsid w:val="00297DD0"/>
    <w:rsid w:val="00297DE9"/>
    <w:rsid w:val="002A06EF"/>
    <w:rsid w:val="002A0A57"/>
    <w:rsid w:val="002A0BCA"/>
    <w:rsid w:val="002A10D5"/>
    <w:rsid w:val="002A216E"/>
    <w:rsid w:val="002A238A"/>
    <w:rsid w:val="002A30C2"/>
    <w:rsid w:val="002A45FC"/>
    <w:rsid w:val="002A46D4"/>
    <w:rsid w:val="002A5E67"/>
    <w:rsid w:val="002A6D1C"/>
    <w:rsid w:val="002A70D6"/>
    <w:rsid w:val="002A7432"/>
    <w:rsid w:val="002A7C75"/>
    <w:rsid w:val="002B3FCF"/>
    <w:rsid w:val="002B463D"/>
    <w:rsid w:val="002B4EBD"/>
    <w:rsid w:val="002B521E"/>
    <w:rsid w:val="002B5D5E"/>
    <w:rsid w:val="002B61D3"/>
    <w:rsid w:val="002B6AE2"/>
    <w:rsid w:val="002B7DAB"/>
    <w:rsid w:val="002C0281"/>
    <w:rsid w:val="002C06FF"/>
    <w:rsid w:val="002C0AB5"/>
    <w:rsid w:val="002C0CC2"/>
    <w:rsid w:val="002C1304"/>
    <w:rsid w:val="002C4029"/>
    <w:rsid w:val="002C5528"/>
    <w:rsid w:val="002C5A00"/>
    <w:rsid w:val="002C5EF4"/>
    <w:rsid w:val="002C63E3"/>
    <w:rsid w:val="002C6618"/>
    <w:rsid w:val="002C6957"/>
    <w:rsid w:val="002C6AC3"/>
    <w:rsid w:val="002C7D60"/>
    <w:rsid w:val="002D0135"/>
    <w:rsid w:val="002D0585"/>
    <w:rsid w:val="002D0DA4"/>
    <w:rsid w:val="002D21C4"/>
    <w:rsid w:val="002D2562"/>
    <w:rsid w:val="002D26E6"/>
    <w:rsid w:val="002D3BC4"/>
    <w:rsid w:val="002D42EB"/>
    <w:rsid w:val="002D573A"/>
    <w:rsid w:val="002D621C"/>
    <w:rsid w:val="002D642F"/>
    <w:rsid w:val="002D70BA"/>
    <w:rsid w:val="002E0240"/>
    <w:rsid w:val="002E1949"/>
    <w:rsid w:val="002E20A0"/>
    <w:rsid w:val="002E297E"/>
    <w:rsid w:val="002E371B"/>
    <w:rsid w:val="002E3B47"/>
    <w:rsid w:val="002E4227"/>
    <w:rsid w:val="002E435D"/>
    <w:rsid w:val="002E4D3B"/>
    <w:rsid w:val="002E5565"/>
    <w:rsid w:val="002E5DCF"/>
    <w:rsid w:val="002E669F"/>
    <w:rsid w:val="002E691B"/>
    <w:rsid w:val="002E72E2"/>
    <w:rsid w:val="002F00D7"/>
    <w:rsid w:val="002F0590"/>
    <w:rsid w:val="002F090E"/>
    <w:rsid w:val="002F0AA3"/>
    <w:rsid w:val="002F0AE3"/>
    <w:rsid w:val="002F13DA"/>
    <w:rsid w:val="002F1E28"/>
    <w:rsid w:val="002F2872"/>
    <w:rsid w:val="002F3454"/>
    <w:rsid w:val="002F459D"/>
    <w:rsid w:val="002F4843"/>
    <w:rsid w:val="002F625E"/>
    <w:rsid w:val="002F66B3"/>
    <w:rsid w:val="002F6AA3"/>
    <w:rsid w:val="002F6FCC"/>
    <w:rsid w:val="002F7BA1"/>
    <w:rsid w:val="003006C4"/>
    <w:rsid w:val="003008FE"/>
    <w:rsid w:val="00300DD1"/>
    <w:rsid w:val="0030169D"/>
    <w:rsid w:val="00301E78"/>
    <w:rsid w:val="00302016"/>
    <w:rsid w:val="00302D3E"/>
    <w:rsid w:val="003032E2"/>
    <w:rsid w:val="00303FE6"/>
    <w:rsid w:val="00304AAA"/>
    <w:rsid w:val="00304EF8"/>
    <w:rsid w:val="00305772"/>
    <w:rsid w:val="00305E0A"/>
    <w:rsid w:val="003060EB"/>
    <w:rsid w:val="0030655B"/>
    <w:rsid w:val="00306738"/>
    <w:rsid w:val="00307599"/>
    <w:rsid w:val="00307951"/>
    <w:rsid w:val="00310485"/>
    <w:rsid w:val="00310EC2"/>
    <w:rsid w:val="00311DBC"/>
    <w:rsid w:val="00312120"/>
    <w:rsid w:val="00312432"/>
    <w:rsid w:val="003128C1"/>
    <w:rsid w:val="0031345E"/>
    <w:rsid w:val="003135CC"/>
    <w:rsid w:val="00313A98"/>
    <w:rsid w:val="00313BF6"/>
    <w:rsid w:val="00314415"/>
    <w:rsid w:val="003147C5"/>
    <w:rsid w:val="00314E7B"/>
    <w:rsid w:val="003153EB"/>
    <w:rsid w:val="0031693A"/>
    <w:rsid w:val="00316998"/>
    <w:rsid w:val="003169F1"/>
    <w:rsid w:val="00316A12"/>
    <w:rsid w:val="0031767F"/>
    <w:rsid w:val="00317E94"/>
    <w:rsid w:val="00321118"/>
    <w:rsid w:val="003218FF"/>
    <w:rsid w:val="00321985"/>
    <w:rsid w:val="00321B1A"/>
    <w:rsid w:val="00322DC5"/>
    <w:rsid w:val="0032328B"/>
    <w:rsid w:val="00323512"/>
    <w:rsid w:val="00323AC3"/>
    <w:rsid w:val="00323F82"/>
    <w:rsid w:val="003240DE"/>
    <w:rsid w:val="003249B2"/>
    <w:rsid w:val="00324A8A"/>
    <w:rsid w:val="00324E56"/>
    <w:rsid w:val="00324F78"/>
    <w:rsid w:val="00326376"/>
    <w:rsid w:val="00330352"/>
    <w:rsid w:val="00330901"/>
    <w:rsid w:val="00330C15"/>
    <w:rsid w:val="003313FA"/>
    <w:rsid w:val="0033149D"/>
    <w:rsid w:val="00332E15"/>
    <w:rsid w:val="00332FB5"/>
    <w:rsid w:val="00333056"/>
    <w:rsid w:val="00333738"/>
    <w:rsid w:val="00334206"/>
    <w:rsid w:val="00334C7D"/>
    <w:rsid w:val="003361A8"/>
    <w:rsid w:val="00336273"/>
    <w:rsid w:val="00336B5A"/>
    <w:rsid w:val="00336F79"/>
    <w:rsid w:val="00337532"/>
    <w:rsid w:val="003377CF"/>
    <w:rsid w:val="00337BDD"/>
    <w:rsid w:val="0034072E"/>
    <w:rsid w:val="00340C44"/>
    <w:rsid w:val="0034195E"/>
    <w:rsid w:val="003424BD"/>
    <w:rsid w:val="003441E6"/>
    <w:rsid w:val="00344C0C"/>
    <w:rsid w:val="00345035"/>
    <w:rsid w:val="00345A13"/>
    <w:rsid w:val="00346164"/>
    <w:rsid w:val="003462C2"/>
    <w:rsid w:val="003467B1"/>
    <w:rsid w:val="00346B77"/>
    <w:rsid w:val="00346D6C"/>
    <w:rsid w:val="0034756C"/>
    <w:rsid w:val="00347C7D"/>
    <w:rsid w:val="00350E70"/>
    <w:rsid w:val="00351205"/>
    <w:rsid w:val="00352D8B"/>
    <w:rsid w:val="003534B2"/>
    <w:rsid w:val="00353727"/>
    <w:rsid w:val="0035384C"/>
    <w:rsid w:val="00353881"/>
    <w:rsid w:val="00353CF2"/>
    <w:rsid w:val="00353E89"/>
    <w:rsid w:val="00354312"/>
    <w:rsid w:val="003543E3"/>
    <w:rsid w:val="00354F7A"/>
    <w:rsid w:val="00356038"/>
    <w:rsid w:val="003565BB"/>
    <w:rsid w:val="00356FB1"/>
    <w:rsid w:val="00357C74"/>
    <w:rsid w:val="00357F7B"/>
    <w:rsid w:val="0036029B"/>
    <w:rsid w:val="00361794"/>
    <w:rsid w:val="00361E58"/>
    <w:rsid w:val="00361F7C"/>
    <w:rsid w:val="0036254F"/>
    <w:rsid w:val="00362DA3"/>
    <w:rsid w:val="003630EF"/>
    <w:rsid w:val="00363676"/>
    <w:rsid w:val="00363E40"/>
    <w:rsid w:val="00363E91"/>
    <w:rsid w:val="00363F8A"/>
    <w:rsid w:val="00365598"/>
    <w:rsid w:val="0036595B"/>
    <w:rsid w:val="00365A0A"/>
    <w:rsid w:val="003660DF"/>
    <w:rsid w:val="00366ED5"/>
    <w:rsid w:val="00366F2C"/>
    <w:rsid w:val="003672E1"/>
    <w:rsid w:val="00367E43"/>
    <w:rsid w:val="00367EF3"/>
    <w:rsid w:val="00370150"/>
    <w:rsid w:val="0037056E"/>
    <w:rsid w:val="00370EA1"/>
    <w:rsid w:val="00371429"/>
    <w:rsid w:val="0037237A"/>
    <w:rsid w:val="00372F74"/>
    <w:rsid w:val="00374B90"/>
    <w:rsid w:val="0037512A"/>
    <w:rsid w:val="00375492"/>
    <w:rsid w:val="00375E64"/>
    <w:rsid w:val="00376374"/>
    <w:rsid w:val="003766C1"/>
    <w:rsid w:val="0037741C"/>
    <w:rsid w:val="00377726"/>
    <w:rsid w:val="003778F4"/>
    <w:rsid w:val="00377F45"/>
    <w:rsid w:val="003802DA"/>
    <w:rsid w:val="0038074B"/>
    <w:rsid w:val="00380864"/>
    <w:rsid w:val="00382132"/>
    <w:rsid w:val="00382F0C"/>
    <w:rsid w:val="00383530"/>
    <w:rsid w:val="003838C6"/>
    <w:rsid w:val="00383AF1"/>
    <w:rsid w:val="00383E28"/>
    <w:rsid w:val="00383EA4"/>
    <w:rsid w:val="003844DF"/>
    <w:rsid w:val="00384557"/>
    <w:rsid w:val="00384D1A"/>
    <w:rsid w:val="00385144"/>
    <w:rsid w:val="003851E1"/>
    <w:rsid w:val="003851F1"/>
    <w:rsid w:val="0038561E"/>
    <w:rsid w:val="003862B6"/>
    <w:rsid w:val="00386A51"/>
    <w:rsid w:val="00386C8D"/>
    <w:rsid w:val="0038731A"/>
    <w:rsid w:val="00387CD3"/>
    <w:rsid w:val="00387EDE"/>
    <w:rsid w:val="00390A54"/>
    <w:rsid w:val="00390A7A"/>
    <w:rsid w:val="00390B1B"/>
    <w:rsid w:val="00391405"/>
    <w:rsid w:val="00392682"/>
    <w:rsid w:val="003929FB"/>
    <w:rsid w:val="00392B68"/>
    <w:rsid w:val="00392BFD"/>
    <w:rsid w:val="00392D47"/>
    <w:rsid w:val="00394AB5"/>
    <w:rsid w:val="00395842"/>
    <w:rsid w:val="00396821"/>
    <w:rsid w:val="0039705B"/>
    <w:rsid w:val="00397838"/>
    <w:rsid w:val="00397E0A"/>
    <w:rsid w:val="003A011A"/>
    <w:rsid w:val="003A0870"/>
    <w:rsid w:val="003A1061"/>
    <w:rsid w:val="003A2109"/>
    <w:rsid w:val="003A2802"/>
    <w:rsid w:val="003A2EE1"/>
    <w:rsid w:val="003A31CF"/>
    <w:rsid w:val="003A35CE"/>
    <w:rsid w:val="003A4540"/>
    <w:rsid w:val="003A454D"/>
    <w:rsid w:val="003A511A"/>
    <w:rsid w:val="003A5149"/>
    <w:rsid w:val="003A5518"/>
    <w:rsid w:val="003A57C9"/>
    <w:rsid w:val="003A5BDA"/>
    <w:rsid w:val="003A612C"/>
    <w:rsid w:val="003A6376"/>
    <w:rsid w:val="003A7CA8"/>
    <w:rsid w:val="003A7E78"/>
    <w:rsid w:val="003B0E66"/>
    <w:rsid w:val="003B1811"/>
    <w:rsid w:val="003B1A65"/>
    <w:rsid w:val="003B2570"/>
    <w:rsid w:val="003B26D3"/>
    <w:rsid w:val="003B2766"/>
    <w:rsid w:val="003B2796"/>
    <w:rsid w:val="003B2C82"/>
    <w:rsid w:val="003B2D77"/>
    <w:rsid w:val="003B3AE4"/>
    <w:rsid w:val="003B3FF4"/>
    <w:rsid w:val="003B478B"/>
    <w:rsid w:val="003B6022"/>
    <w:rsid w:val="003B61E0"/>
    <w:rsid w:val="003B6712"/>
    <w:rsid w:val="003B7320"/>
    <w:rsid w:val="003C01B3"/>
    <w:rsid w:val="003C06CC"/>
    <w:rsid w:val="003C1125"/>
    <w:rsid w:val="003C1810"/>
    <w:rsid w:val="003C32CC"/>
    <w:rsid w:val="003C3479"/>
    <w:rsid w:val="003C4320"/>
    <w:rsid w:val="003C46A7"/>
    <w:rsid w:val="003C48A3"/>
    <w:rsid w:val="003C6B48"/>
    <w:rsid w:val="003C7205"/>
    <w:rsid w:val="003C72DF"/>
    <w:rsid w:val="003C743F"/>
    <w:rsid w:val="003C7912"/>
    <w:rsid w:val="003C7916"/>
    <w:rsid w:val="003C79D4"/>
    <w:rsid w:val="003D1763"/>
    <w:rsid w:val="003D197D"/>
    <w:rsid w:val="003D2845"/>
    <w:rsid w:val="003D29AE"/>
    <w:rsid w:val="003D2D1B"/>
    <w:rsid w:val="003D5B51"/>
    <w:rsid w:val="003D66CF"/>
    <w:rsid w:val="003D67A0"/>
    <w:rsid w:val="003D6AC8"/>
    <w:rsid w:val="003D7F01"/>
    <w:rsid w:val="003D7F4B"/>
    <w:rsid w:val="003E0E53"/>
    <w:rsid w:val="003E1074"/>
    <w:rsid w:val="003E15A4"/>
    <w:rsid w:val="003E1AA1"/>
    <w:rsid w:val="003E1C05"/>
    <w:rsid w:val="003E2639"/>
    <w:rsid w:val="003E3448"/>
    <w:rsid w:val="003E37CA"/>
    <w:rsid w:val="003E3D80"/>
    <w:rsid w:val="003E3F55"/>
    <w:rsid w:val="003E3FAE"/>
    <w:rsid w:val="003E4046"/>
    <w:rsid w:val="003E4109"/>
    <w:rsid w:val="003E4367"/>
    <w:rsid w:val="003E5207"/>
    <w:rsid w:val="003E56D1"/>
    <w:rsid w:val="003E57B9"/>
    <w:rsid w:val="003E59B9"/>
    <w:rsid w:val="003E76FB"/>
    <w:rsid w:val="003E7780"/>
    <w:rsid w:val="003E78A4"/>
    <w:rsid w:val="003F0EE7"/>
    <w:rsid w:val="003F1C2B"/>
    <w:rsid w:val="003F209B"/>
    <w:rsid w:val="003F5D1B"/>
    <w:rsid w:val="003F6701"/>
    <w:rsid w:val="003F7224"/>
    <w:rsid w:val="003F7A85"/>
    <w:rsid w:val="003F7E35"/>
    <w:rsid w:val="003F7EA8"/>
    <w:rsid w:val="003F7F53"/>
    <w:rsid w:val="004002BD"/>
    <w:rsid w:val="00400513"/>
    <w:rsid w:val="0040099E"/>
    <w:rsid w:val="00401149"/>
    <w:rsid w:val="004011C9"/>
    <w:rsid w:val="0040176C"/>
    <w:rsid w:val="00401787"/>
    <w:rsid w:val="004021F3"/>
    <w:rsid w:val="0040236A"/>
    <w:rsid w:val="00402693"/>
    <w:rsid w:val="00402A3A"/>
    <w:rsid w:val="00402E4F"/>
    <w:rsid w:val="00403708"/>
    <w:rsid w:val="00403CE9"/>
    <w:rsid w:val="00404AC9"/>
    <w:rsid w:val="00406DC4"/>
    <w:rsid w:val="004075A8"/>
    <w:rsid w:val="00410B41"/>
    <w:rsid w:val="004110E6"/>
    <w:rsid w:val="0041149E"/>
    <w:rsid w:val="00411DAE"/>
    <w:rsid w:val="00412778"/>
    <w:rsid w:val="0041330F"/>
    <w:rsid w:val="00413A97"/>
    <w:rsid w:val="00413B63"/>
    <w:rsid w:val="00413E4D"/>
    <w:rsid w:val="00414993"/>
    <w:rsid w:val="0041620C"/>
    <w:rsid w:val="004162AF"/>
    <w:rsid w:val="00416AD4"/>
    <w:rsid w:val="00416C2B"/>
    <w:rsid w:val="00420DDD"/>
    <w:rsid w:val="00420E8E"/>
    <w:rsid w:val="004224A2"/>
    <w:rsid w:val="004230AC"/>
    <w:rsid w:val="004232E9"/>
    <w:rsid w:val="0042380E"/>
    <w:rsid w:val="00423C51"/>
    <w:rsid w:val="00423F61"/>
    <w:rsid w:val="00425542"/>
    <w:rsid w:val="00426719"/>
    <w:rsid w:val="00427812"/>
    <w:rsid w:val="00427D21"/>
    <w:rsid w:val="00427E90"/>
    <w:rsid w:val="0043002F"/>
    <w:rsid w:val="00430670"/>
    <w:rsid w:val="004312FC"/>
    <w:rsid w:val="00432FB6"/>
    <w:rsid w:val="00433870"/>
    <w:rsid w:val="0043443E"/>
    <w:rsid w:val="00434A22"/>
    <w:rsid w:val="00434BA4"/>
    <w:rsid w:val="00434E92"/>
    <w:rsid w:val="00435C1A"/>
    <w:rsid w:val="00436E47"/>
    <w:rsid w:val="004376EC"/>
    <w:rsid w:val="004379EE"/>
    <w:rsid w:val="0044019B"/>
    <w:rsid w:val="004405F3"/>
    <w:rsid w:val="0044151C"/>
    <w:rsid w:val="00441728"/>
    <w:rsid w:val="00441ABF"/>
    <w:rsid w:val="00441AC6"/>
    <w:rsid w:val="00442045"/>
    <w:rsid w:val="00442628"/>
    <w:rsid w:val="00442D9B"/>
    <w:rsid w:val="00442F12"/>
    <w:rsid w:val="00443883"/>
    <w:rsid w:val="00444152"/>
    <w:rsid w:val="00444AB3"/>
    <w:rsid w:val="00444C0A"/>
    <w:rsid w:val="004450FA"/>
    <w:rsid w:val="0044558C"/>
    <w:rsid w:val="0044569E"/>
    <w:rsid w:val="004461B2"/>
    <w:rsid w:val="00446EE2"/>
    <w:rsid w:val="00447F4A"/>
    <w:rsid w:val="0045000B"/>
    <w:rsid w:val="004500BF"/>
    <w:rsid w:val="004501DA"/>
    <w:rsid w:val="004502F3"/>
    <w:rsid w:val="004503F9"/>
    <w:rsid w:val="00450489"/>
    <w:rsid w:val="0045052A"/>
    <w:rsid w:val="00450E94"/>
    <w:rsid w:val="004518BA"/>
    <w:rsid w:val="00451B34"/>
    <w:rsid w:val="00452936"/>
    <w:rsid w:val="00452D52"/>
    <w:rsid w:val="0045347A"/>
    <w:rsid w:val="00453626"/>
    <w:rsid w:val="00453850"/>
    <w:rsid w:val="004546A6"/>
    <w:rsid w:val="00454C60"/>
    <w:rsid w:val="00454E5B"/>
    <w:rsid w:val="00455310"/>
    <w:rsid w:val="00455AF2"/>
    <w:rsid w:val="0045639B"/>
    <w:rsid w:val="004568D7"/>
    <w:rsid w:val="00456F67"/>
    <w:rsid w:val="0045797B"/>
    <w:rsid w:val="004604DF"/>
    <w:rsid w:val="004605D3"/>
    <w:rsid w:val="004611C8"/>
    <w:rsid w:val="00461AC3"/>
    <w:rsid w:val="0046208E"/>
    <w:rsid w:val="0046224F"/>
    <w:rsid w:val="00462272"/>
    <w:rsid w:val="0046274E"/>
    <w:rsid w:val="004644C2"/>
    <w:rsid w:val="00464CC7"/>
    <w:rsid w:val="0046526C"/>
    <w:rsid w:val="00465432"/>
    <w:rsid w:val="00465A95"/>
    <w:rsid w:val="00466355"/>
    <w:rsid w:val="00466824"/>
    <w:rsid w:val="00466C4A"/>
    <w:rsid w:val="00466F1C"/>
    <w:rsid w:val="00467B32"/>
    <w:rsid w:val="00467F9C"/>
    <w:rsid w:val="004703C3"/>
    <w:rsid w:val="0047082B"/>
    <w:rsid w:val="00470E20"/>
    <w:rsid w:val="00471528"/>
    <w:rsid w:val="004729D1"/>
    <w:rsid w:val="00472B4B"/>
    <w:rsid w:val="00473751"/>
    <w:rsid w:val="0047380F"/>
    <w:rsid w:val="00473AE2"/>
    <w:rsid w:val="0047463C"/>
    <w:rsid w:val="00474877"/>
    <w:rsid w:val="00474A0D"/>
    <w:rsid w:val="00476013"/>
    <w:rsid w:val="00480048"/>
    <w:rsid w:val="00481073"/>
    <w:rsid w:val="0048131D"/>
    <w:rsid w:val="004816A0"/>
    <w:rsid w:val="004816D8"/>
    <w:rsid w:val="00481C87"/>
    <w:rsid w:val="00481EC4"/>
    <w:rsid w:val="00481FAC"/>
    <w:rsid w:val="004826A3"/>
    <w:rsid w:val="00482A3A"/>
    <w:rsid w:val="004832C8"/>
    <w:rsid w:val="00483405"/>
    <w:rsid w:val="004835F3"/>
    <w:rsid w:val="00483C34"/>
    <w:rsid w:val="0048499F"/>
    <w:rsid w:val="00484C2F"/>
    <w:rsid w:val="00484F8A"/>
    <w:rsid w:val="004851C0"/>
    <w:rsid w:val="004860DD"/>
    <w:rsid w:val="00486305"/>
    <w:rsid w:val="00486644"/>
    <w:rsid w:val="004866CD"/>
    <w:rsid w:val="00487859"/>
    <w:rsid w:val="004901C5"/>
    <w:rsid w:val="004902FC"/>
    <w:rsid w:val="004912C3"/>
    <w:rsid w:val="004917B4"/>
    <w:rsid w:val="004918C9"/>
    <w:rsid w:val="00491F68"/>
    <w:rsid w:val="0049250F"/>
    <w:rsid w:val="004929DF"/>
    <w:rsid w:val="00493B78"/>
    <w:rsid w:val="004948A4"/>
    <w:rsid w:val="00494C2D"/>
    <w:rsid w:val="00495AA7"/>
    <w:rsid w:val="00497851"/>
    <w:rsid w:val="004A0420"/>
    <w:rsid w:val="004A04A5"/>
    <w:rsid w:val="004A0722"/>
    <w:rsid w:val="004A1BC3"/>
    <w:rsid w:val="004A1C02"/>
    <w:rsid w:val="004A2A7B"/>
    <w:rsid w:val="004A3734"/>
    <w:rsid w:val="004A668C"/>
    <w:rsid w:val="004A6C33"/>
    <w:rsid w:val="004A7662"/>
    <w:rsid w:val="004B0B3E"/>
    <w:rsid w:val="004B0F37"/>
    <w:rsid w:val="004B19B2"/>
    <w:rsid w:val="004B1B4C"/>
    <w:rsid w:val="004B1C42"/>
    <w:rsid w:val="004B252A"/>
    <w:rsid w:val="004B3226"/>
    <w:rsid w:val="004B4056"/>
    <w:rsid w:val="004B478C"/>
    <w:rsid w:val="004B5EED"/>
    <w:rsid w:val="004B65A7"/>
    <w:rsid w:val="004B6D23"/>
    <w:rsid w:val="004B6F8B"/>
    <w:rsid w:val="004C0E2E"/>
    <w:rsid w:val="004C1785"/>
    <w:rsid w:val="004C1DE6"/>
    <w:rsid w:val="004C300A"/>
    <w:rsid w:val="004C3DDF"/>
    <w:rsid w:val="004C4AB8"/>
    <w:rsid w:val="004C4B15"/>
    <w:rsid w:val="004C4CBB"/>
    <w:rsid w:val="004C4F7D"/>
    <w:rsid w:val="004C70F3"/>
    <w:rsid w:val="004C71BA"/>
    <w:rsid w:val="004C735B"/>
    <w:rsid w:val="004C7F1A"/>
    <w:rsid w:val="004D001B"/>
    <w:rsid w:val="004D0148"/>
    <w:rsid w:val="004D0BCF"/>
    <w:rsid w:val="004D0DEB"/>
    <w:rsid w:val="004D139B"/>
    <w:rsid w:val="004D2253"/>
    <w:rsid w:val="004D2456"/>
    <w:rsid w:val="004D2477"/>
    <w:rsid w:val="004D26EA"/>
    <w:rsid w:val="004D2924"/>
    <w:rsid w:val="004D2BC6"/>
    <w:rsid w:val="004D3D99"/>
    <w:rsid w:val="004D41CF"/>
    <w:rsid w:val="004D4461"/>
    <w:rsid w:val="004D48F0"/>
    <w:rsid w:val="004D4D8B"/>
    <w:rsid w:val="004D53D8"/>
    <w:rsid w:val="004D5430"/>
    <w:rsid w:val="004D6157"/>
    <w:rsid w:val="004D6206"/>
    <w:rsid w:val="004D66DF"/>
    <w:rsid w:val="004D7FDE"/>
    <w:rsid w:val="004E0522"/>
    <w:rsid w:val="004E05A2"/>
    <w:rsid w:val="004E07BB"/>
    <w:rsid w:val="004E146E"/>
    <w:rsid w:val="004E1D2E"/>
    <w:rsid w:val="004E1DBC"/>
    <w:rsid w:val="004E1DC1"/>
    <w:rsid w:val="004E1F53"/>
    <w:rsid w:val="004E275C"/>
    <w:rsid w:val="004E285D"/>
    <w:rsid w:val="004E2DFB"/>
    <w:rsid w:val="004E313F"/>
    <w:rsid w:val="004E31BC"/>
    <w:rsid w:val="004E41AC"/>
    <w:rsid w:val="004E4837"/>
    <w:rsid w:val="004E5233"/>
    <w:rsid w:val="004E6017"/>
    <w:rsid w:val="004E7184"/>
    <w:rsid w:val="004E778C"/>
    <w:rsid w:val="004E7A26"/>
    <w:rsid w:val="004E7D7D"/>
    <w:rsid w:val="004F0074"/>
    <w:rsid w:val="004F0522"/>
    <w:rsid w:val="004F09A4"/>
    <w:rsid w:val="004F14BE"/>
    <w:rsid w:val="004F4833"/>
    <w:rsid w:val="004F49D1"/>
    <w:rsid w:val="004F4A02"/>
    <w:rsid w:val="004F53D8"/>
    <w:rsid w:val="004F594A"/>
    <w:rsid w:val="004F5C2E"/>
    <w:rsid w:val="004F6123"/>
    <w:rsid w:val="004F666F"/>
    <w:rsid w:val="004F69E2"/>
    <w:rsid w:val="004F6D14"/>
    <w:rsid w:val="004F729A"/>
    <w:rsid w:val="00500110"/>
    <w:rsid w:val="00500F71"/>
    <w:rsid w:val="005014E4"/>
    <w:rsid w:val="005033F9"/>
    <w:rsid w:val="00503DE4"/>
    <w:rsid w:val="00504A44"/>
    <w:rsid w:val="00504D9B"/>
    <w:rsid w:val="005055DF"/>
    <w:rsid w:val="00505C85"/>
    <w:rsid w:val="0050720D"/>
    <w:rsid w:val="0051006C"/>
    <w:rsid w:val="00510394"/>
    <w:rsid w:val="00510A4F"/>
    <w:rsid w:val="005117A1"/>
    <w:rsid w:val="00511D5F"/>
    <w:rsid w:val="00511F62"/>
    <w:rsid w:val="0051246B"/>
    <w:rsid w:val="00513ADE"/>
    <w:rsid w:val="00514066"/>
    <w:rsid w:val="00514A4B"/>
    <w:rsid w:val="00514DC9"/>
    <w:rsid w:val="005151C8"/>
    <w:rsid w:val="005159DB"/>
    <w:rsid w:val="005172A7"/>
    <w:rsid w:val="00517678"/>
    <w:rsid w:val="00520461"/>
    <w:rsid w:val="00520EA5"/>
    <w:rsid w:val="0052125C"/>
    <w:rsid w:val="0052170D"/>
    <w:rsid w:val="005225CB"/>
    <w:rsid w:val="00522A15"/>
    <w:rsid w:val="00522AF3"/>
    <w:rsid w:val="00523B44"/>
    <w:rsid w:val="00523D1B"/>
    <w:rsid w:val="00523E9D"/>
    <w:rsid w:val="005265EE"/>
    <w:rsid w:val="005269E5"/>
    <w:rsid w:val="0052773C"/>
    <w:rsid w:val="00527E07"/>
    <w:rsid w:val="005303CB"/>
    <w:rsid w:val="00530B43"/>
    <w:rsid w:val="00530BDE"/>
    <w:rsid w:val="00532FC0"/>
    <w:rsid w:val="0053314D"/>
    <w:rsid w:val="00533A6D"/>
    <w:rsid w:val="00533BCA"/>
    <w:rsid w:val="00533BE0"/>
    <w:rsid w:val="005344EE"/>
    <w:rsid w:val="00534681"/>
    <w:rsid w:val="00534EA2"/>
    <w:rsid w:val="005354C1"/>
    <w:rsid w:val="005356D2"/>
    <w:rsid w:val="005359AC"/>
    <w:rsid w:val="00535D5B"/>
    <w:rsid w:val="00535E30"/>
    <w:rsid w:val="00535F07"/>
    <w:rsid w:val="005368D1"/>
    <w:rsid w:val="00536B6E"/>
    <w:rsid w:val="005370ED"/>
    <w:rsid w:val="005373B2"/>
    <w:rsid w:val="005406DC"/>
    <w:rsid w:val="00541703"/>
    <w:rsid w:val="00541EA1"/>
    <w:rsid w:val="005426BA"/>
    <w:rsid w:val="00542987"/>
    <w:rsid w:val="00543191"/>
    <w:rsid w:val="00543E58"/>
    <w:rsid w:val="00543F2C"/>
    <w:rsid w:val="00544302"/>
    <w:rsid w:val="005449FC"/>
    <w:rsid w:val="00544FB8"/>
    <w:rsid w:val="005450DD"/>
    <w:rsid w:val="0054541B"/>
    <w:rsid w:val="005455E1"/>
    <w:rsid w:val="00547001"/>
    <w:rsid w:val="00547614"/>
    <w:rsid w:val="00550224"/>
    <w:rsid w:val="00550407"/>
    <w:rsid w:val="00550BBC"/>
    <w:rsid w:val="00550EAE"/>
    <w:rsid w:val="0055140D"/>
    <w:rsid w:val="00551ACA"/>
    <w:rsid w:val="00552680"/>
    <w:rsid w:val="00553049"/>
    <w:rsid w:val="0055349D"/>
    <w:rsid w:val="00553853"/>
    <w:rsid w:val="00553D33"/>
    <w:rsid w:val="0055450C"/>
    <w:rsid w:val="00555365"/>
    <w:rsid w:val="00557252"/>
    <w:rsid w:val="0055725F"/>
    <w:rsid w:val="0056014A"/>
    <w:rsid w:val="005602CC"/>
    <w:rsid w:val="0056068E"/>
    <w:rsid w:val="005608AC"/>
    <w:rsid w:val="00561239"/>
    <w:rsid w:val="00561513"/>
    <w:rsid w:val="00561683"/>
    <w:rsid w:val="00561BA2"/>
    <w:rsid w:val="00561D93"/>
    <w:rsid w:val="00563442"/>
    <w:rsid w:val="0056348E"/>
    <w:rsid w:val="005634F5"/>
    <w:rsid w:val="00564058"/>
    <w:rsid w:val="00564BB2"/>
    <w:rsid w:val="0056570B"/>
    <w:rsid w:val="00565769"/>
    <w:rsid w:val="00565B42"/>
    <w:rsid w:val="00566606"/>
    <w:rsid w:val="00566847"/>
    <w:rsid w:val="00566900"/>
    <w:rsid w:val="00566A6D"/>
    <w:rsid w:val="00567432"/>
    <w:rsid w:val="00570369"/>
    <w:rsid w:val="005709B9"/>
    <w:rsid w:val="00570E44"/>
    <w:rsid w:val="00571218"/>
    <w:rsid w:val="005719FC"/>
    <w:rsid w:val="0057350E"/>
    <w:rsid w:val="005737CE"/>
    <w:rsid w:val="0057394D"/>
    <w:rsid w:val="005747D5"/>
    <w:rsid w:val="00574871"/>
    <w:rsid w:val="0057500D"/>
    <w:rsid w:val="00575303"/>
    <w:rsid w:val="00575496"/>
    <w:rsid w:val="005756AF"/>
    <w:rsid w:val="00575DD4"/>
    <w:rsid w:val="005761F7"/>
    <w:rsid w:val="005762D1"/>
    <w:rsid w:val="0057749A"/>
    <w:rsid w:val="0057794B"/>
    <w:rsid w:val="00580143"/>
    <w:rsid w:val="00580341"/>
    <w:rsid w:val="0058071F"/>
    <w:rsid w:val="00580FA3"/>
    <w:rsid w:val="005815A4"/>
    <w:rsid w:val="00581925"/>
    <w:rsid w:val="005819D9"/>
    <w:rsid w:val="00581B36"/>
    <w:rsid w:val="00582427"/>
    <w:rsid w:val="005824D2"/>
    <w:rsid w:val="00582DBC"/>
    <w:rsid w:val="005838D5"/>
    <w:rsid w:val="00584C6D"/>
    <w:rsid w:val="00585043"/>
    <w:rsid w:val="0058504C"/>
    <w:rsid w:val="00585C0D"/>
    <w:rsid w:val="00586634"/>
    <w:rsid w:val="00586B9D"/>
    <w:rsid w:val="00587289"/>
    <w:rsid w:val="005872A9"/>
    <w:rsid w:val="0058784E"/>
    <w:rsid w:val="005907AF"/>
    <w:rsid w:val="00590B26"/>
    <w:rsid w:val="00590EAB"/>
    <w:rsid w:val="005913A2"/>
    <w:rsid w:val="00591599"/>
    <w:rsid w:val="005919BB"/>
    <w:rsid w:val="00591D8C"/>
    <w:rsid w:val="00592802"/>
    <w:rsid w:val="005929A3"/>
    <w:rsid w:val="005929FB"/>
    <w:rsid w:val="00593757"/>
    <w:rsid w:val="00593990"/>
    <w:rsid w:val="005939EB"/>
    <w:rsid w:val="00593EDE"/>
    <w:rsid w:val="0059417C"/>
    <w:rsid w:val="00595154"/>
    <w:rsid w:val="005951BB"/>
    <w:rsid w:val="005954BC"/>
    <w:rsid w:val="005964B9"/>
    <w:rsid w:val="005964D7"/>
    <w:rsid w:val="0059677A"/>
    <w:rsid w:val="0059707F"/>
    <w:rsid w:val="00597668"/>
    <w:rsid w:val="00597F00"/>
    <w:rsid w:val="005A0D8A"/>
    <w:rsid w:val="005A116F"/>
    <w:rsid w:val="005A13DB"/>
    <w:rsid w:val="005A1721"/>
    <w:rsid w:val="005A1C0B"/>
    <w:rsid w:val="005A2688"/>
    <w:rsid w:val="005A2832"/>
    <w:rsid w:val="005A2F7D"/>
    <w:rsid w:val="005A328C"/>
    <w:rsid w:val="005A3406"/>
    <w:rsid w:val="005A3514"/>
    <w:rsid w:val="005A358C"/>
    <w:rsid w:val="005A3D01"/>
    <w:rsid w:val="005A4830"/>
    <w:rsid w:val="005A4E4E"/>
    <w:rsid w:val="005A58B6"/>
    <w:rsid w:val="005A6467"/>
    <w:rsid w:val="005A66AB"/>
    <w:rsid w:val="005B0166"/>
    <w:rsid w:val="005B0701"/>
    <w:rsid w:val="005B0900"/>
    <w:rsid w:val="005B0BA2"/>
    <w:rsid w:val="005B1459"/>
    <w:rsid w:val="005B155B"/>
    <w:rsid w:val="005B23D6"/>
    <w:rsid w:val="005B24F5"/>
    <w:rsid w:val="005B2580"/>
    <w:rsid w:val="005B2AC7"/>
    <w:rsid w:val="005B3023"/>
    <w:rsid w:val="005B3493"/>
    <w:rsid w:val="005B35E2"/>
    <w:rsid w:val="005B3628"/>
    <w:rsid w:val="005B3E07"/>
    <w:rsid w:val="005B3F32"/>
    <w:rsid w:val="005B42F7"/>
    <w:rsid w:val="005B4DFD"/>
    <w:rsid w:val="005B4E99"/>
    <w:rsid w:val="005B553D"/>
    <w:rsid w:val="005B5638"/>
    <w:rsid w:val="005B589F"/>
    <w:rsid w:val="005B5C38"/>
    <w:rsid w:val="005B5EED"/>
    <w:rsid w:val="005B60BE"/>
    <w:rsid w:val="005B634F"/>
    <w:rsid w:val="005B698F"/>
    <w:rsid w:val="005B75FF"/>
    <w:rsid w:val="005B7D0B"/>
    <w:rsid w:val="005B7FC3"/>
    <w:rsid w:val="005C01C3"/>
    <w:rsid w:val="005C10EF"/>
    <w:rsid w:val="005C1B1D"/>
    <w:rsid w:val="005C2561"/>
    <w:rsid w:val="005C28FA"/>
    <w:rsid w:val="005C3C97"/>
    <w:rsid w:val="005C3CC0"/>
    <w:rsid w:val="005C4A7E"/>
    <w:rsid w:val="005C4A88"/>
    <w:rsid w:val="005C4CE6"/>
    <w:rsid w:val="005C533F"/>
    <w:rsid w:val="005C5A9A"/>
    <w:rsid w:val="005C5BA6"/>
    <w:rsid w:val="005C5D65"/>
    <w:rsid w:val="005C5F12"/>
    <w:rsid w:val="005C6253"/>
    <w:rsid w:val="005C62C8"/>
    <w:rsid w:val="005C7592"/>
    <w:rsid w:val="005C7890"/>
    <w:rsid w:val="005D08B7"/>
    <w:rsid w:val="005D1004"/>
    <w:rsid w:val="005D178D"/>
    <w:rsid w:val="005D19EE"/>
    <w:rsid w:val="005D1CBF"/>
    <w:rsid w:val="005D20CB"/>
    <w:rsid w:val="005D2938"/>
    <w:rsid w:val="005D2A41"/>
    <w:rsid w:val="005D3B48"/>
    <w:rsid w:val="005D40DD"/>
    <w:rsid w:val="005D446D"/>
    <w:rsid w:val="005D4C43"/>
    <w:rsid w:val="005D4FED"/>
    <w:rsid w:val="005D5179"/>
    <w:rsid w:val="005D535D"/>
    <w:rsid w:val="005D563D"/>
    <w:rsid w:val="005D58A9"/>
    <w:rsid w:val="005D6440"/>
    <w:rsid w:val="005E1046"/>
    <w:rsid w:val="005E27A6"/>
    <w:rsid w:val="005E4C69"/>
    <w:rsid w:val="005E511A"/>
    <w:rsid w:val="005E615A"/>
    <w:rsid w:val="005E6188"/>
    <w:rsid w:val="005E64B2"/>
    <w:rsid w:val="005E6914"/>
    <w:rsid w:val="005E6A19"/>
    <w:rsid w:val="005E70AE"/>
    <w:rsid w:val="005E76DA"/>
    <w:rsid w:val="005E77CB"/>
    <w:rsid w:val="005F0A87"/>
    <w:rsid w:val="005F0AA6"/>
    <w:rsid w:val="005F0C2A"/>
    <w:rsid w:val="005F1341"/>
    <w:rsid w:val="005F13AA"/>
    <w:rsid w:val="005F2616"/>
    <w:rsid w:val="005F26F5"/>
    <w:rsid w:val="005F2DD6"/>
    <w:rsid w:val="005F2E16"/>
    <w:rsid w:val="005F39C1"/>
    <w:rsid w:val="005F3BB2"/>
    <w:rsid w:val="005F424E"/>
    <w:rsid w:val="005F43D6"/>
    <w:rsid w:val="005F508D"/>
    <w:rsid w:val="005F53CD"/>
    <w:rsid w:val="005F650C"/>
    <w:rsid w:val="005F6717"/>
    <w:rsid w:val="005F6F35"/>
    <w:rsid w:val="00600111"/>
    <w:rsid w:val="00600A53"/>
    <w:rsid w:val="00600E3A"/>
    <w:rsid w:val="0060199A"/>
    <w:rsid w:val="00601B4A"/>
    <w:rsid w:val="0060377C"/>
    <w:rsid w:val="006047BA"/>
    <w:rsid w:val="00604B0B"/>
    <w:rsid w:val="00604BA0"/>
    <w:rsid w:val="006050FE"/>
    <w:rsid w:val="006054DD"/>
    <w:rsid w:val="00605EA7"/>
    <w:rsid w:val="00606199"/>
    <w:rsid w:val="00606AC3"/>
    <w:rsid w:val="00606C82"/>
    <w:rsid w:val="0060782D"/>
    <w:rsid w:val="00607C06"/>
    <w:rsid w:val="00607CF6"/>
    <w:rsid w:val="006114C3"/>
    <w:rsid w:val="00611561"/>
    <w:rsid w:val="0061180E"/>
    <w:rsid w:val="00611A10"/>
    <w:rsid w:val="00612124"/>
    <w:rsid w:val="006122BA"/>
    <w:rsid w:val="006125F8"/>
    <w:rsid w:val="00615610"/>
    <w:rsid w:val="00615A11"/>
    <w:rsid w:val="006162C1"/>
    <w:rsid w:val="00616403"/>
    <w:rsid w:val="006164AA"/>
    <w:rsid w:val="0061706A"/>
    <w:rsid w:val="0061740F"/>
    <w:rsid w:val="00617680"/>
    <w:rsid w:val="00617B1C"/>
    <w:rsid w:val="006202D4"/>
    <w:rsid w:val="00620CA8"/>
    <w:rsid w:val="006213FC"/>
    <w:rsid w:val="00621606"/>
    <w:rsid w:val="00621AC0"/>
    <w:rsid w:val="00622525"/>
    <w:rsid w:val="006229DD"/>
    <w:rsid w:val="00622D83"/>
    <w:rsid w:val="006237B3"/>
    <w:rsid w:val="0062462E"/>
    <w:rsid w:val="00624C7C"/>
    <w:rsid w:val="006256DE"/>
    <w:rsid w:val="00625782"/>
    <w:rsid w:val="00625F35"/>
    <w:rsid w:val="006264C5"/>
    <w:rsid w:val="00626EA9"/>
    <w:rsid w:val="00627137"/>
    <w:rsid w:val="006300D6"/>
    <w:rsid w:val="00630109"/>
    <w:rsid w:val="00630EB5"/>
    <w:rsid w:val="006313FC"/>
    <w:rsid w:val="00631AF7"/>
    <w:rsid w:val="00631E51"/>
    <w:rsid w:val="0063227B"/>
    <w:rsid w:val="00632A61"/>
    <w:rsid w:val="00632AFC"/>
    <w:rsid w:val="00633440"/>
    <w:rsid w:val="00634019"/>
    <w:rsid w:val="00634A29"/>
    <w:rsid w:val="00634A93"/>
    <w:rsid w:val="00634F35"/>
    <w:rsid w:val="0063507E"/>
    <w:rsid w:val="00635663"/>
    <w:rsid w:val="00636B2C"/>
    <w:rsid w:val="006374FD"/>
    <w:rsid w:val="006376DA"/>
    <w:rsid w:val="0064036B"/>
    <w:rsid w:val="00641853"/>
    <w:rsid w:val="00641890"/>
    <w:rsid w:val="006418DA"/>
    <w:rsid w:val="00641D77"/>
    <w:rsid w:val="0064286A"/>
    <w:rsid w:val="00642CB2"/>
    <w:rsid w:val="00643127"/>
    <w:rsid w:val="00643186"/>
    <w:rsid w:val="006431C5"/>
    <w:rsid w:val="0064343B"/>
    <w:rsid w:val="006435B6"/>
    <w:rsid w:val="00643B8C"/>
    <w:rsid w:val="00643FDB"/>
    <w:rsid w:val="00644557"/>
    <w:rsid w:val="0064461B"/>
    <w:rsid w:val="00645A2A"/>
    <w:rsid w:val="00645D17"/>
    <w:rsid w:val="00645E87"/>
    <w:rsid w:val="00645F05"/>
    <w:rsid w:val="0064644B"/>
    <w:rsid w:val="006469AB"/>
    <w:rsid w:val="006478BF"/>
    <w:rsid w:val="00650307"/>
    <w:rsid w:val="00650A25"/>
    <w:rsid w:val="006518BF"/>
    <w:rsid w:val="00651F77"/>
    <w:rsid w:val="0065224E"/>
    <w:rsid w:val="0065245A"/>
    <w:rsid w:val="0065377C"/>
    <w:rsid w:val="00653BA6"/>
    <w:rsid w:val="006541E0"/>
    <w:rsid w:val="006543B5"/>
    <w:rsid w:val="00654B24"/>
    <w:rsid w:val="00655A21"/>
    <w:rsid w:val="00656977"/>
    <w:rsid w:val="00656A73"/>
    <w:rsid w:val="00656B3E"/>
    <w:rsid w:val="00656D1A"/>
    <w:rsid w:val="006576BA"/>
    <w:rsid w:val="0065774C"/>
    <w:rsid w:val="006603C0"/>
    <w:rsid w:val="00660AE0"/>
    <w:rsid w:val="00660B19"/>
    <w:rsid w:val="00660EB3"/>
    <w:rsid w:val="00660FF8"/>
    <w:rsid w:val="00661029"/>
    <w:rsid w:val="00661318"/>
    <w:rsid w:val="00662101"/>
    <w:rsid w:val="00662695"/>
    <w:rsid w:val="00662B06"/>
    <w:rsid w:val="00662D1D"/>
    <w:rsid w:val="00662D66"/>
    <w:rsid w:val="00662FC2"/>
    <w:rsid w:val="00663140"/>
    <w:rsid w:val="00664990"/>
    <w:rsid w:val="006656B7"/>
    <w:rsid w:val="00665729"/>
    <w:rsid w:val="0066588A"/>
    <w:rsid w:val="0066606A"/>
    <w:rsid w:val="0066657D"/>
    <w:rsid w:val="006665D1"/>
    <w:rsid w:val="00666779"/>
    <w:rsid w:val="00666B64"/>
    <w:rsid w:val="00666F17"/>
    <w:rsid w:val="006675E6"/>
    <w:rsid w:val="0066792A"/>
    <w:rsid w:val="006706C3"/>
    <w:rsid w:val="006708A6"/>
    <w:rsid w:val="00670C28"/>
    <w:rsid w:val="00670D1E"/>
    <w:rsid w:val="006723AA"/>
    <w:rsid w:val="00672C4E"/>
    <w:rsid w:val="00672FA1"/>
    <w:rsid w:val="006730FA"/>
    <w:rsid w:val="00674366"/>
    <w:rsid w:val="00674537"/>
    <w:rsid w:val="00674867"/>
    <w:rsid w:val="00674F55"/>
    <w:rsid w:val="0067572B"/>
    <w:rsid w:val="006757DA"/>
    <w:rsid w:val="00675FF1"/>
    <w:rsid w:val="006779DC"/>
    <w:rsid w:val="00677BE9"/>
    <w:rsid w:val="006807C9"/>
    <w:rsid w:val="00682053"/>
    <w:rsid w:val="00682966"/>
    <w:rsid w:val="00682C5E"/>
    <w:rsid w:val="00683302"/>
    <w:rsid w:val="006835D2"/>
    <w:rsid w:val="0068376E"/>
    <w:rsid w:val="006838D5"/>
    <w:rsid w:val="00684BC4"/>
    <w:rsid w:val="00684D67"/>
    <w:rsid w:val="00684DFA"/>
    <w:rsid w:val="00685F62"/>
    <w:rsid w:val="00686289"/>
    <w:rsid w:val="00686852"/>
    <w:rsid w:val="006877A3"/>
    <w:rsid w:val="00687B91"/>
    <w:rsid w:val="006902EF"/>
    <w:rsid w:val="00690A4B"/>
    <w:rsid w:val="00691A8E"/>
    <w:rsid w:val="00692E89"/>
    <w:rsid w:val="00692EEC"/>
    <w:rsid w:val="006935F4"/>
    <w:rsid w:val="00694C42"/>
    <w:rsid w:val="00695413"/>
    <w:rsid w:val="0069594D"/>
    <w:rsid w:val="00696AD4"/>
    <w:rsid w:val="00696D5A"/>
    <w:rsid w:val="0069713B"/>
    <w:rsid w:val="00697AD9"/>
    <w:rsid w:val="006A04BB"/>
    <w:rsid w:val="006A0956"/>
    <w:rsid w:val="006A0C72"/>
    <w:rsid w:val="006A0D57"/>
    <w:rsid w:val="006A15E5"/>
    <w:rsid w:val="006A17BA"/>
    <w:rsid w:val="006A2A83"/>
    <w:rsid w:val="006A2EE6"/>
    <w:rsid w:val="006A347B"/>
    <w:rsid w:val="006A49BC"/>
    <w:rsid w:val="006A5063"/>
    <w:rsid w:val="006A565F"/>
    <w:rsid w:val="006A5A62"/>
    <w:rsid w:val="006A6BEB"/>
    <w:rsid w:val="006A702C"/>
    <w:rsid w:val="006A73C1"/>
    <w:rsid w:val="006A7C74"/>
    <w:rsid w:val="006B00DA"/>
    <w:rsid w:val="006B0449"/>
    <w:rsid w:val="006B1050"/>
    <w:rsid w:val="006B1A25"/>
    <w:rsid w:val="006B2290"/>
    <w:rsid w:val="006B25CA"/>
    <w:rsid w:val="006B2702"/>
    <w:rsid w:val="006B2859"/>
    <w:rsid w:val="006B2A38"/>
    <w:rsid w:val="006B3ACC"/>
    <w:rsid w:val="006B4366"/>
    <w:rsid w:val="006B43C1"/>
    <w:rsid w:val="006B482C"/>
    <w:rsid w:val="006B4BF2"/>
    <w:rsid w:val="006B570A"/>
    <w:rsid w:val="006B5FE3"/>
    <w:rsid w:val="006B62CA"/>
    <w:rsid w:val="006B63E5"/>
    <w:rsid w:val="006B6B2D"/>
    <w:rsid w:val="006B740A"/>
    <w:rsid w:val="006B7FBA"/>
    <w:rsid w:val="006C0446"/>
    <w:rsid w:val="006C05F9"/>
    <w:rsid w:val="006C0EE3"/>
    <w:rsid w:val="006C2FF4"/>
    <w:rsid w:val="006C306E"/>
    <w:rsid w:val="006C356F"/>
    <w:rsid w:val="006C35A8"/>
    <w:rsid w:val="006C3B25"/>
    <w:rsid w:val="006C54E9"/>
    <w:rsid w:val="006C5E61"/>
    <w:rsid w:val="006C5EEE"/>
    <w:rsid w:val="006C660C"/>
    <w:rsid w:val="006C76F6"/>
    <w:rsid w:val="006C77F2"/>
    <w:rsid w:val="006C79E1"/>
    <w:rsid w:val="006D0433"/>
    <w:rsid w:val="006D0DE2"/>
    <w:rsid w:val="006D154A"/>
    <w:rsid w:val="006D17BF"/>
    <w:rsid w:val="006D1B9C"/>
    <w:rsid w:val="006D363A"/>
    <w:rsid w:val="006D4E72"/>
    <w:rsid w:val="006D4EF9"/>
    <w:rsid w:val="006D5364"/>
    <w:rsid w:val="006D57D3"/>
    <w:rsid w:val="006D57FC"/>
    <w:rsid w:val="006D645E"/>
    <w:rsid w:val="006D693E"/>
    <w:rsid w:val="006D78F8"/>
    <w:rsid w:val="006D7A03"/>
    <w:rsid w:val="006E0790"/>
    <w:rsid w:val="006E0826"/>
    <w:rsid w:val="006E1242"/>
    <w:rsid w:val="006E1438"/>
    <w:rsid w:val="006E1938"/>
    <w:rsid w:val="006E1DBC"/>
    <w:rsid w:val="006E20BC"/>
    <w:rsid w:val="006E2376"/>
    <w:rsid w:val="006E2F52"/>
    <w:rsid w:val="006E331C"/>
    <w:rsid w:val="006E5413"/>
    <w:rsid w:val="006E5F77"/>
    <w:rsid w:val="006E686D"/>
    <w:rsid w:val="006E7922"/>
    <w:rsid w:val="006E7BE6"/>
    <w:rsid w:val="006F066B"/>
    <w:rsid w:val="006F2125"/>
    <w:rsid w:val="006F2257"/>
    <w:rsid w:val="006F2483"/>
    <w:rsid w:val="006F2959"/>
    <w:rsid w:val="006F2F2F"/>
    <w:rsid w:val="006F3967"/>
    <w:rsid w:val="006F39BE"/>
    <w:rsid w:val="006F403E"/>
    <w:rsid w:val="006F478A"/>
    <w:rsid w:val="006F5914"/>
    <w:rsid w:val="006F5E1E"/>
    <w:rsid w:val="006F782D"/>
    <w:rsid w:val="006F79EC"/>
    <w:rsid w:val="006F7E4A"/>
    <w:rsid w:val="00701592"/>
    <w:rsid w:val="00701672"/>
    <w:rsid w:val="00701947"/>
    <w:rsid w:val="00701B98"/>
    <w:rsid w:val="00701EA0"/>
    <w:rsid w:val="00703EA1"/>
    <w:rsid w:val="007046F6"/>
    <w:rsid w:val="00704B40"/>
    <w:rsid w:val="00704F85"/>
    <w:rsid w:val="00705225"/>
    <w:rsid w:val="00705579"/>
    <w:rsid w:val="00705AE0"/>
    <w:rsid w:val="0070681B"/>
    <w:rsid w:val="00706AD5"/>
    <w:rsid w:val="007071EC"/>
    <w:rsid w:val="0070728A"/>
    <w:rsid w:val="00707F7A"/>
    <w:rsid w:val="00710BEF"/>
    <w:rsid w:val="00710EAF"/>
    <w:rsid w:val="00711024"/>
    <w:rsid w:val="0071168D"/>
    <w:rsid w:val="00712254"/>
    <w:rsid w:val="007127A9"/>
    <w:rsid w:val="00712B2D"/>
    <w:rsid w:val="00714AC7"/>
    <w:rsid w:val="00714C48"/>
    <w:rsid w:val="00715461"/>
    <w:rsid w:val="00716C5D"/>
    <w:rsid w:val="00717D88"/>
    <w:rsid w:val="00720485"/>
    <w:rsid w:val="007204C6"/>
    <w:rsid w:val="00720FD7"/>
    <w:rsid w:val="00721101"/>
    <w:rsid w:val="00721406"/>
    <w:rsid w:val="007214FE"/>
    <w:rsid w:val="0072168E"/>
    <w:rsid w:val="007217AB"/>
    <w:rsid w:val="00722EBD"/>
    <w:rsid w:val="007232EB"/>
    <w:rsid w:val="00723AB4"/>
    <w:rsid w:val="00723B73"/>
    <w:rsid w:val="0072500B"/>
    <w:rsid w:val="00725C24"/>
    <w:rsid w:val="00726A43"/>
    <w:rsid w:val="00726FE3"/>
    <w:rsid w:val="00727768"/>
    <w:rsid w:val="00727AC8"/>
    <w:rsid w:val="00730872"/>
    <w:rsid w:val="00731095"/>
    <w:rsid w:val="0073121D"/>
    <w:rsid w:val="0073134A"/>
    <w:rsid w:val="007313D6"/>
    <w:rsid w:val="00731441"/>
    <w:rsid w:val="0073282A"/>
    <w:rsid w:val="0073298F"/>
    <w:rsid w:val="00733557"/>
    <w:rsid w:val="0073416F"/>
    <w:rsid w:val="00734266"/>
    <w:rsid w:val="0073451B"/>
    <w:rsid w:val="00735779"/>
    <w:rsid w:val="00735A5B"/>
    <w:rsid w:val="00735B31"/>
    <w:rsid w:val="00735C8F"/>
    <w:rsid w:val="00736A35"/>
    <w:rsid w:val="00737A89"/>
    <w:rsid w:val="00737E04"/>
    <w:rsid w:val="007409F6"/>
    <w:rsid w:val="00740C74"/>
    <w:rsid w:val="00741EDF"/>
    <w:rsid w:val="0074252A"/>
    <w:rsid w:val="007426C4"/>
    <w:rsid w:val="0074308C"/>
    <w:rsid w:val="00743135"/>
    <w:rsid w:val="0074337A"/>
    <w:rsid w:val="00743E34"/>
    <w:rsid w:val="00744246"/>
    <w:rsid w:val="007447A5"/>
    <w:rsid w:val="00744D80"/>
    <w:rsid w:val="00745242"/>
    <w:rsid w:val="00746C5B"/>
    <w:rsid w:val="00746DA6"/>
    <w:rsid w:val="00746FE7"/>
    <w:rsid w:val="007471D3"/>
    <w:rsid w:val="00750F8A"/>
    <w:rsid w:val="007510DB"/>
    <w:rsid w:val="00751485"/>
    <w:rsid w:val="00752351"/>
    <w:rsid w:val="00752C52"/>
    <w:rsid w:val="00754842"/>
    <w:rsid w:val="00755407"/>
    <w:rsid w:val="00755C14"/>
    <w:rsid w:val="00756324"/>
    <w:rsid w:val="00756A8C"/>
    <w:rsid w:val="00756B28"/>
    <w:rsid w:val="007575F6"/>
    <w:rsid w:val="00760A2C"/>
    <w:rsid w:val="00761355"/>
    <w:rsid w:val="00761C57"/>
    <w:rsid w:val="00761DF4"/>
    <w:rsid w:val="00762161"/>
    <w:rsid w:val="00762393"/>
    <w:rsid w:val="007632A6"/>
    <w:rsid w:val="00763515"/>
    <w:rsid w:val="00763599"/>
    <w:rsid w:val="007649CB"/>
    <w:rsid w:val="00764ABC"/>
    <w:rsid w:val="00764CE4"/>
    <w:rsid w:val="00764D8D"/>
    <w:rsid w:val="00764F75"/>
    <w:rsid w:val="0076512C"/>
    <w:rsid w:val="0076552F"/>
    <w:rsid w:val="00766E76"/>
    <w:rsid w:val="007676FA"/>
    <w:rsid w:val="0077262E"/>
    <w:rsid w:val="007729F2"/>
    <w:rsid w:val="00772CB9"/>
    <w:rsid w:val="00772DF3"/>
    <w:rsid w:val="00773C5A"/>
    <w:rsid w:val="007744D4"/>
    <w:rsid w:val="007750A3"/>
    <w:rsid w:val="00775A85"/>
    <w:rsid w:val="007763D6"/>
    <w:rsid w:val="00776686"/>
    <w:rsid w:val="0077716F"/>
    <w:rsid w:val="00777813"/>
    <w:rsid w:val="0077790C"/>
    <w:rsid w:val="0077792D"/>
    <w:rsid w:val="00777A6B"/>
    <w:rsid w:val="007800BC"/>
    <w:rsid w:val="00780711"/>
    <w:rsid w:val="00780ADD"/>
    <w:rsid w:val="00780EDE"/>
    <w:rsid w:val="00781027"/>
    <w:rsid w:val="00783806"/>
    <w:rsid w:val="007844EB"/>
    <w:rsid w:val="00785913"/>
    <w:rsid w:val="00786056"/>
    <w:rsid w:val="007860A3"/>
    <w:rsid w:val="007862CC"/>
    <w:rsid w:val="00786463"/>
    <w:rsid w:val="007864A1"/>
    <w:rsid w:val="007864C9"/>
    <w:rsid w:val="00790D26"/>
    <w:rsid w:val="00791212"/>
    <w:rsid w:val="007913F2"/>
    <w:rsid w:val="00791F27"/>
    <w:rsid w:val="00792316"/>
    <w:rsid w:val="00792A42"/>
    <w:rsid w:val="00792A70"/>
    <w:rsid w:val="0079387C"/>
    <w:rsid w:val="007942D3"/>
    <w:rsid w:val="00794FB2"/>
    <w:rsid w:val="007954E5"/>
    <w:rsid w:val="0079572C"/>
    <w:rsid w:val="0079691C"/>
    <w:rsid w:val="007969B3"/>
    <w:rsid w:val="00796DA6"/>
    <w:rsid w:val="007972D2"/>
    <w:rsid w:val="0079782B"/>
    <w:rsid w:val="0079782D"/>
    <w:rsid w:val="00797ACE"/>
    <w:rsid w:val="007A0CB4"/>
    <w:rsid w:val="007A1172"/>
    <w:rsid w:val="007A1A53"/>
    <w:rsid w:val="007A1E08"/>
    <w:rsid w:val="007A2A30"/>
    <w:rsid w:val="007A2F75"/>
    <w:rsid w:val="007A4403"/>
    <w:rsid w:val="007A4D35"/>
    <w:rsid w:val="007A4DB3"/>
    <w:rsid w:val="007A5EDA"/>
    <w:rsid w:val="007A6915"/>
    <w:rsid w:val="007A69A4"/>
    <w:rsid w:val="007A69AF"/>
    <w:rsid w:val="007A6B64"/>
    <w:rsid w:val="007B0166"/>
    <w:rsid w:val="007B0528"/>
    <w:rsid w:val="007B1230"/>
    <w:rsid w:val="007B202D"/>
    <w:rsid w:val="007B2099"/>
    <w:rsid w:val="007B24BC"/>
    <w:rsid w:val="007B2D19"/>
    <w:rsid w:val="007B2E08"/>
    <w:rsid w:val="007B3689"/>
    <w:rsid w:val="007B3CF9"/>
    <w:rsid w:val="007B4CC8"/>
    <w:rsid w:val="007B4F98"/>
    <w:rsid w:val="007B518A"/>
    <w:rsid w:val="007B54E4"/>
    <w:rsid w:val="007B5E2A"/>
    <w:rsid w:val="007B5FF2"/>
    <w:rsid w:val="007B6C09"/>
    <w:rsid w:val="007B7105"/>
    <w:rsid w:val="007B7697"/>
    <w:rsid w:val="007B7741"/>
    <w:rsid w:val="007B7D2D"/>
    <w:rsid w:val="007B7F2C"/>
    <w:rsid w:val="007C030F"/>
    <w:rsid w:val="007C083D"/>
    <w:rsid w:val="007C1493"/>
    <w:rsid w:val="007C1F31"/>
    <w:rsid w:val="007C1FC0"/>
    <w:rsid w:val="007C28C7"/>
    <w:rsid w:val="007C2E75"/>
    <w:rsid w:val="007C4951"/>
    <w:rsid w:val="007C5837"/>
    <w:rsid w:val="007C5AF6"/>
    <w:rsid w:val="007C5F77"/>
    <w:rsid w:val="007C6E46"/>
    <w:rsid w:val="007C70F9"/>
    <w:rsid w:val="007C7109"/>
    <w:rsid w:val="007C76AC"/>
    <w:rsid w:val="007C7F0A"/>
    <w:rsid w:val="007D05DC"/>
    <w:rsid w:val="007D0710"/>
    <w:rsid w:val="007D1A26"/>
    <w:rsid w:val="007D2098"/>
    <w:rsid w:val="007D2A91"/>
    <w:rsid w:val="007D2B49"/>
    <w:rsid w:val="007D36B4"/>
    <w:rsid w:val="007D39C7"/>
    <w:rsid w:val="007D3BD0"/>
    <w:rsid w:val="007D412A"/>
    <w:rsid w:val="007D4376"/>
    <w:rsid w:val="007D4646"/>
    <w:rsid w:val="007D4B2D"/>
    <w:rsid w:val="007D5A6D"/>
    <w:rsid w:val="007D5FB7"/>
    <w:rsid w:val="007D67C0"/>
    <w:rsid w:val="007D6D6B"/>
    <w:rsid w:val="007D76B3"/>
    <w:rsid w:val="007D7F30"/>
    <w:rsid w:val="007E09DA"/>
    <w:rsid w:val="007E0CA1"/>
    <w:rsid w:val="007E0F23"/>
    <w:rsid w:val="007E0F8A"/>
    <w:rsid w:val="007E130D"/>
    <w:rsid w:val="007E1D8E"/>
    <w:rsid w:val="007E1F4D"/>
    <w:rsid w:val="007E241E"/>
    <w:rsid w:val="007E2FA5"/>
    <w:rsid w:val="007E3442"/>
    <w:rsid w:val="007E3ED0"/>
    <w:rsid w:val="007E4541"/>
    <w:rsid w:val="007E454F"/>
    <w:rsid w:val="007E4F27"/>
    <w:rsid w:val="007E5528"/>
    <w:rsid w:val="007E5D28"/>
    <w:rsid w:val="007E5FD8"/>
    <w:rsid w:val="007E60BE"/>
    <w:rsid w:val="007E67F7"/>
    <w:rsid w:val="007E6C80"/>
    <w:rsid w:val="007E6F32"/>
    <w:rsid w:val="007E70FC"/>
    <w:rsid w:val="007E7147"/>
    <w:rsid w:val="007E74B5"/>
    <w:rsid w:val="007E7583"/>
    <w:rsid w:val="007E7999"/>
    <w:rsid w:val="007F068F"/>
    <w:rsid w:val="007F1477"/>
    <w:rsid w:val="007F21D9"/>
    <w:rsid w:val="007F296A"/>
    <w:rsid w:val="007F32C8"/>
    <w:rsid w:val="007F34D2"/>
    <w:rsid w:val="007F36C4"/>
    <w:rsid w:val="007F3CF0"/>
    <w:rsid w:val="007F435F"/>
    <w:rsid w:val="007F462E"/>
    <w:rsid w:val="007F491E"/>
    <w:rsid w:val="007F50FA"/>
    <w:rsid w:val="007F6654"/>
    <w:rsid w:val="007F67E9"/>
    <w:rsid w:val="007F692F"/>
    <w:rsid w:val="007F6B9D"/>
    <w:rsid w:val="007F718D"/>
    <w:rsid w:val="007F75C9"/>
    <w:rsid w:val="007F7EFE"/>
    <w:rsid w:val="00800591"/>
    <w:rsid w:val="00800F66"/>
    <w:rsid w:val="00801927"/>
    <w:rsid w:val="00801FAD"/>
    <w:rsid w:val="0080238D"/>
    <w:rsid w:val="0080339C"/>
    <w:rsid w:val="00803810"/>
    <w:rsid w:val="00804169"/>
    <w:rsid w:val="008044A5"/>
    <w:rsid w:val="00804669"/>
    <w:rsid w:val="00805DFC"/>
    <w:rsid w:val="008066ED"/>
    <w:rsid w:val="00807DC3"/>
    <w:rsid w:val="00810A99"/>
    <w:rsid w:val="00810D5C"/>
    <w:rsid w:val="00810F59"/>
    <w:rsid w:val="008110B0"/>
    <w:rsid w:val="00811F21"/>
    <w:rsid w:val="008121E0"/>
    <w:rsid w:val="008130D6"/>
    <w:rsid w:val="008136B3"/>
    <w:rsid w:val="00813AEA"/>
    <w:rsid w:val="0081407C"/>
    <w:rsid w:val="0081428F"/>
    <w:rsid w:val="0081466A"/>
    <w:rsid w:val="008147CA"/>
    <w:rsid w:val="00814A45"/>
    <w:rsid w:val="00814F1F"/>
    <w:rsid w:val="008153C5"/>
    <w:rsid w:val="00815901"/>
    <w:rsid w:val="008178B6"/>
    <w:rsid w:val="008178B8"/>
    <w:rsid w:val="008200A8"/>
    <w:rsid w:val="008200E2"/>
    <w:rsid w:val="008202E5"/>
    <w:rsid w:val="00820399"/>
    <w:rsid w:val="00820561"/>
    <w:rsid w:val="00820577"/>
    <w:rsid w:val="008215F9"/>
    <w:rsid w:val="00821747"/>
    <w:rsid w:val="00821FB1"/>
    <w:rsid w:val="00822020"/>
    <w:rsid w:val="00823746"/>
    <w:rsid w:val="00823A71"/>
    <w:rsid w:val="00824A1C"/>
    <w:rsid w:val="00825186"/>
    <w:rsid w:val="008259E3"/>
    <w:rsid w:val="00825CB7"/>
    <w:rsid w:val="00825FB6"/>
    <w:rsid w:val="00826A67"/>
    <w:rsid w:val="00826AED"/>
    <w:rsid w:val="0082712B"/>
    <w:rsid w:val="0082769C"/>
    <w:rsid w:val="008278A1"/>
    <w:rsid w:val="00827AAD"/>
    <w:rsid w:val="0083009C"/>
    <w:rsid w:val="008305AC"/>
    <w:rsid w:val="00830D1F"/>
    <w:rsid w:val="008310CB"/>
    <w:rsid w:val="00831B03"/>
    <w:rsid w:val="00832D13"/>
    <w:rsid w:val="00833003"/>
    <w:rsid w:val="0083300A"/>
    <w:rsid w:val="00833AD8"/>
    <w:rsid w:val="0083473B"/>
    <w:rsid w:val="0083508D"/>
    <w:rsid w:val="00835A09"/>
    <w:rsid w:val="00835AA1"/>
    <w:rsid w:val="008360AD"/>
    <w:rsid w:val="00836FBA"/>
    <w:rsid w:val="008373B6"/>
    <w:rsid w:val="0083777E"/>
    <w:rsid w:val="0083782F"/>
    <w:rsid w:val="00837BC2"/>
    <w:rsid w:val="008409E5"/>
    <w:rsid w:val="00841263"/>
    <w:rsid w:val="00841339"/>
    <w:rsid w:val="00841BD4"/>
    <w:rsid w:val="008421EE"/>
    <w:rsid w:val="008426BB"/>
    <w:rsid w:val="00842D79"/>
    <w:rsid w:val="008435C8"/>
    <w:rsid w:val="008447AE"/>
    <w:rsid w:val="00845060"/>
    <w:rsid w:val="00845C03"/>
    <w:rsid w:val="00845FEE"/>
    <w:rsid w:val="00846421"/>
    <w:rsid w:val="00846C95"/>
    <w:rsid w:val="00847190"/>
    <w:rsid w:val="008471B2"/>
    <w:rsid w:val="00847DE6"/>
    <w:rsid w:val="008500A7"/>
    <w:rsid w:val="00850E55"/>
    <w:rsid w:val="00850F5D"/>
    <w:rsid w:val="0085100E"/>
    <w:rsid w:val="0085181A"/>
    <w:rsid w:val="00851CA2"/>
    <w:rsid w:val="00851F5E"/>
    <w:rsid w:val="008520FF"/>
    <w:rsid w:val="00852625"/>
    <w:rsid w:val="00852A49"/>
    <w:rsid w:val="0085313A"/>
    <w:rsid w:val="00853ACB"/>
    <w:rsid w:val="00854C11"/>
    <w:rsid w:val="0085586B"/>
    <w:rsid w:val="00856112"/>
    <w:rsid w:val="008569F2"/>
    <w:rsid w:val="0085732E"/>
    <w:rsid w:val="00857B45"/>
    <w:rsid w:val="00857C57"/>
    <w:rsid w:val="008604FD"/>
    <w:rsid w:val="0086095B"/>
    <w:rsid w:val="0086106A"/>
    <w:rsid w:val="00861529"/>
    <w:rsid w:val="00862624"/>
    <w:rsid w:val="008630B8"/>
    <w:rsid w:val="0086341A"/>
    <w:rsid w:val="00863546"/>
    <w:rsid w:val="00863863"/>
    <w:rsid w:val="00865B74"/>
    <w:rsid w:val="00865E63"/>
    <w:rsid w:val="00865FB2"/>
    <w:rsid w:val="00866063"/>
    <w:rsid w:val="00866727"/>
    <w:rsid w:val="0086723D"/>
    <w:rsid w:val="008678A7"/>
    <w:rsid w:val="00867B10"/>
    <w:rsid w:val="00870288"/>
    <w:rsid w:val="00870483"/>
    <w:rsid w:val="008708BD"/>
    <w:rsid w:val="00870DFA"/>
    <w:rsid w:val="008710B3"/>
    <w:rsid w:val="008713FD"/>
    <w:rsid w:val="00871850"/>
    <w:rsid w:val="00872596"/>
    <w:rsid w:val="00872618"/>
    <w:rsid w:val="00872FA8"/>
    <w:rsid w:val="00873026"/>
    <w:rsid w:val="00873EB1"/>
    <w:rsid w:val="008740CB"/>
    <w:rsid w:val="00874690"/>
    <w:rsid w:val="008751AA"/>
    <w:rsid w:val="00877A24"/>
    <w:rsid w:val="008810BD"/>
    <w:rsid w:val="00881245"/>
    <w:rsid w:val="0088168B"/>
    <w:rsid w:val="00881A24"/>
    <w:rsid w:val="00881E1B"/>
    <w:rsid w:val="008830E4"/>
    <w:rsid w:val="008838F5"/>
    <w:rsid w:val="00883D98"/>
    <w:rsid w:val="00883DBE"/>
    <w:rsid w:val="00883FE9"/>
    <w:rsid w:val="0088400E"/>
    <w:rsid w:val="008856FC"/>
    <w:rsid w:val="00885DCF"/>
    <w:rsid w:val="008864EF"/>
    <w:rsid w:val="008866E2"/>
    <w:rsid w:val="008868F4"/>
    <w:rsid w:val="008873D0"/>
    <w:rsid w:val="0088788F"/>
    <w:rsid w:val="00890620"/>
    <w:rsid w:val="00893CAB"/>
    <w:rsid w:val="00895724"/>
    <w:rsid w:val="00896105"/>
    <w:rsid w:val="00896114"/>
    <w:rsid w:val="008974F0"/>
    <w:rsid w:val="00897837"/>
    <w:rsid w:val="008A0742"/>
    <w:rsid w:val="008A0E61"/>
    <w:rsid w:val="008A1301"/>
    <w:rsid w:val="008A1499"/>
    <w:rsid w:val="008A1509"/>
    <w:rsid w:val="008A175F"/>
    <w:rsid w:val="008A19D7"/>
    <w:rsid w:val="008A1E43"/>
    <w:rsid w:val="008A27DC"/>
    <w:rsid w:val="008A3549"/>
    <w:rsid w:val="008A5600"/>
    <w:rsid w:val="008A5B90"/>
    <w:rsid w:val="008A6CF2"/>
    <w:rsid w:val="008A70CE"/>
    <w:rsid w:val="008A7149"/>
    <w:rsid w:val="008B012A"/>
    <w:rsid w:val="008B0B23"/>
    <w:rsid w:val="008B0D39"/>
    <w:rsid w:val="008B1BE1"/>
    <w:rsid w:val="008B2084"/>
    <w:rsid w:val="008B2376"/>
    <w:rsid w:val="008B2A96"/>
    <w:rsid w:val="008B2D12"/>
    <w:rsid w:val="008B2DA6"/>
    <w:rsid w:val="008B2E95"/>
    <w:rsid w:val="008B3391"/>
    <w:rsid w:val="008B3479"/>
    <w:rsid w:val="008B3756"/>
    <w:rsid w:val="008B3803"/>
    <w:rsid w:val="008B3DAD"/>
    <w:rsid w:val="008B4472"/>
    <w:rsid w:val="008B472D"/>
    <w:rsid w:val="008B6016"/>
    <w:rsid w:val="008B61DB"/>
    <w:rsid w:val="008B7BE4"/>
    <w:rsid w:val="008B7D7A"/>
    <w:rsid w:val="008C03F4"/>
    <w:rsid w:val="008C0680"/>
    <w:rsid w:val="008C0F1F"/>
    <w:rsid w:val="008C111D"/>
    <w:rsid w:val="008C1F01"/>
    <w:rsid w:val="008C224F"/>
    <w:rsid w:val="008C2A01"/>
    <w:rsid w:val="008C33D2"/>
    <w:rsid w:val="008C3B13"/>
    <w:rsid w:val="008C40C5"/>
    <w:rsid w:val="008C5162"/>
    <w:rsid w:val="008C575F"/>
    <w:rsid w:val="008C59A6"/>
    <w:rsid w:val="008C5B4F"/>
    <w:rsid w:val="008C6579"/>
    <w:rsid w:val="008C663C"/>
    <w:rsid w:val="008C69BA"/>
    <w:rsid w:val="008C6A9E"/>
    <w:rsid w:val="008C6CB4"/>
    <w:rsid w:val="008C7201"/>
    <w:rsid w:val="008C7E52"/>
    <w:rsid w:val="008D00ED"/>
    <w:rsid w:val="008D0305"/>
    <w:rsid w:val="008D069C"/>
    <w:rsid w:val="008D0C5F"/>
    <w:rsid w:val="008D1A81"/>
    <w:rsid w:val="008D1B1B"/>
    <w:rsid w:val="008D25E1"/>
    <w:rsid w:val="008D2726"/>
    <w:rsid w:val="008D27FB"/>
    <w:rsid w:val="008D290A"/>
    <w:rsid w:val="008D2A80"/>
    <w:rsid w:val="008D36BB"/>
    <w:rsid w:val="008D3E6B"/>
    <w:rsid w:val="008D501B"/>
    <w:rsid w:val="008D5B71"/>
    <w:rsid w:val="008D5E0B"/>
    <w:rsid w:val="008D6120"/>
    <w:rsid w:val="008D7967"/>
    <w:rsid w:val="008E03D9"/>
    <w:rsid w:val="008E06D6"/>
    <w:rsid w:val="008E0D39"/>
    <w:rsid w:val="008E11B2"/>
    <w:rsid w:val="008E16B4"/>
    <w:rsid w:val="008E1EA5"/>
    <w:rsid w:val="008E23FF"/>
    <w:rsid w:val="008E28FC"/>
    <w:rsid w:val="008E2B14"/>
    <w:rsid w:val="008E3A16"/>
    <w:rsid w:val="008E4363"/>
    <w:rsid w:val="008E4423"/>
    <w:rsid w:val="008E480D"/>
    <w:rsid w:val="008E51D3"/>
    <w:rsid w:val="008E5DC6"/>
    <w:rsid w:val="008E67E8"/>
    <w:rsid w:val="008E6DA3"/>
    <w:rsid w:val="008E7183"/>
    <w:rsid w:val="008E71DC"/>
    <w:rsid w:val="008E745B"/>
    <w:rsid w:val="008F0020"/>
    <w:rsid w:val="008F04BF"/>
    <w:rsid w:val="008F118B"/>
    <w:rsid w:val="008F1241"/>
    <w:rsid w:val="008F1463"/>
    <w:rsid w:val="008F179F"/>
    <w:rsid w:val="008F1AC7"/>
    <w:rsid w:val="008F1B9A"/>
    <w:rsid w:val="008F3196"/>
    <w:rsid w:val="008F35BF"/>
    <w:rsid w:val="008F3AFD"/>
    <w:rsid w:val="008F403D"/>
    <w:rsid w:val="008F420F"/>
    <w:rsid w:val="008F44DB"/>
    <w:rsid w:val="008F4914"/>
    <w:rsid w:val="008F49C3"/>
    <w:rsid w:val="008F5004"/>
    <w:rsid w:val="008F708D"/>
    <w:rsid w:val="008F79DB"/>
    <w:rsid w:val="00900521"/>
    <w:rsid w:val="0090141E"/>
    <w:rsid w:val="00901700"/>
    <w:rsid w:val="00901879"/>
    <w:rsid w:val="00901D63"/>
    <w:rsid w:val="009025D9"/>
    <w:rsid w:val="00902C5B"/>
    <w:rsid w:val="0090317F"/>
    <w:rsid w:val="009032B3"/>
    <w:rsid w:val="009041FB"/>
    <w:rsid w:val="009047DB"/>
    <w:rsid w:val="00904980"/>
    <w:rsid w:val="00904D84"/>
    <w:rsid w:val="0090574A"/>
    <w:rsid w:val="00906731"/>
    <w:rsid w:val="00906DE7"/>
    <w:rsid w:val="00906E17"/>
    <w:rsid w:val="00906F64"/>
    <w:rsid w:val="009071F9"/>
    <w:rsid w:val="009100FC"/>
    <w:rsid w:val="0091071A"/>
    <w:rsid w:val="00910739"/>
    <w:rsid w:val="00912CD6"/>
    <w:rsid w:val="0091416B"/>
    <w:rsid w:val="00914BCA"/>
    <w:rsid w:val="009153FC"/>
    <w:rsid w:val="0091547C"/>
    <w:rsid w:val="00916436"/>
    <w:rsid w:val="00916465"/>
    <w:rsid w:val="00916552"/>
    <w:rsid w:val="00916BDB"/>
    <w:rsid w:val="00916E05"/>
    <w:rsid w:val="009170FE"/>
    <w:rsid w:val="0091773E"/>
    <w:rsid w:val="0092085C"/>
    <w:rsid w:val="00920DC1"/>
    <w:rsid w:val="009217E0"/>
    <w:rsid w:val="00922D23"/>
    <w:rsid w:val="0092352F"/>
    <w:rsid w:val="00923BC6"/>
    <w:rsid w:val="00923DF6"/>
    <w:rsid w:val="00925006"/>
    <w:rsid w:val="0092515D"/>
    <w:rsid w:val="00925ED9"/>
    <w:rsid w:val="00925FCC"/>
    <w:rsid w:val="00926707"/>
    <w:rsid w:val="00926B84"/>
    <w:rsid w:val="009305DC"/>
    <w:rsid w:val="00930805"/>
    <w:rsid w:val="00930BA1"/>
    <w:rsid w:val="00930E29"/>
    <w:rsid w:val="00931078"/>
    <w:rsid w:val="009311A7"/>
    <w:rsid w:val="00931403"/>
    <w:rsid w:val="0093169E"/>
    <w:rsid w:val="00931D29"/>
    <w:rsid w:val="0093383F"/>
    <w:rsid w:val="009339A7"/>
    <w:rsid w:val="0093413C"/>
    <w:rsid w:val="0093538D"/>
    <w:rsid w:val="0093621C"/>
    <w:rsid w:val="0093716C"/>
    <w:rsid w:val="00937F35"/>
    <w:rsid w:val="00940010"/>
    <w:rsid w:val="009402BD"/>
    <w:rsid w:val="00940724"/>
    <w:rsid w:val="00940964"/>
    <w:rsid w:val="00940E01"/>
    <w:rsid w:val="00941B40"/>
    <w:rsid w:val="00941C14"/>
    <w:rsid w:val="009425BF"/>
    <w:rsid w:val="009426F7"/>
    <w:rsid w:val="009433DD"/>
    <w:rsid w:val="00945187"/>
    <w:rsid w:val="009455ED"/>
    <w:rsid w:val="00945F29"/>
    <w:rsid w:val="009468FD"/>
    <w:rsid w:val="00947461"/>
    <w:rsid w:val="00947A11"/>
    <w:rsid w:val="009500C4"/>
    <w:rsid w:val="009505C9"/>
    <w:rsid w:val="00950752"/>
    <w:rsid w:val="00950A58"/>
    <w:rsid w:val="00950FB0"/>
    <w:rsid w:val="00951729"/>
    <w:rsid w:val="009518B3"/>
    <w:rsid w:val="00951FBE"/>
    <w:rsid w:val="00952C99"/>
    <w:rsid w:val="00952FEC"/>
    <w:rsid w:val="0095460E"/>
    <w:rsid w:val="00955176"/>
    <w:rsid w:val="009557C9"/>
    <w:rsid w:val="00955953"/>
    <w:rsid w:val="00955B19"/>
    <w:rsid w:val="00955DDA"/>
    <w:rsid w:val="00955EDC"/>
    <w:rsid w:val="00956B27"/>
    <w:rsid w:val="00957340"/>
    <w:rsid w:val="00957E0E"/>
    <w:rsid w:val="0096012A"/>
    <w:rsid w:val="00960669"/>
    <w:rsid w:val="0096073C"/>
    <w:rsid w:val="00960C19"/>
    <w:rsid w:val="009612E9"/>
    <w:rsid w:val="009615E7"/>
    <w:rsid w:val="00961B15"/>
    <w:rsid w:val="009620CD"/>
    <w:rsid w:val="009624BD"/>
    <w:rsid w:val="00962AAB"/>
    <w:rsid w:val="00962C3A"/>
    <w:rsid w:val="00963AC8"/>
    <w:rsid w:val="0096517F"/>
    <w:rsid w:val="00966424"/>
    <w:rsid w:val="00966945"/>
    <w:rsid w:val="00966B6D"/>
    <w:rsid w:val="0096720F"/>
    <w:rsid w:val="009700F7"/>
    <w:rsid w:val="00970847"/>
    <w:rsid w:val="00970B8A"/>
    <w:rsid w:val="009711F3"/>
    <w:rsid w:val="00971369"/>
    <w:rsid w:val="0097141D"/>
    <w:rsid w:val="009717D4"/>
    <w:rsid w:val="00971F03"/>
    <w:rsid w:val="00971F2F"/>
    <w:rsid w:val="00972469"/>
    <w:rsid w:val="0097275A"/>
    <w:rsid w:val="00972B4D"/>
    <w:rsid w:val="009731C2"/>
    <w:rsid w:val="00973452"/>
    <w:rsid w:val="00973870"/>
    <w:rsid w:val="00973A3F"/>
    <w:rsid w:val="00973F0A"/>
    <w:rsid w:val="00974D81"/>
    <w:rsid w:val="009755CD"/>
    <w:rsid w:val="00975634"/>
    <w:rsid w:val="00975A6E"/>
    <w:rsid w:val="00975C64"/>
    <w:rsid w:val="009763DE"/>
    <w:rsid w:val="009769AB"/>
    <w:rsid w:val="00976A03"/>
    <w:rsid w:val="00981188"/>
    <w:rsid w:val="00982403"/>
    <w:rsid w:val="00982A08"/>
    <w:rsid w:val="00982EE1"/>
    <w:rsid w:val="009836B1"/>
    <w:rsid w:val="00983CAF"/>
    <w:rsid w:val="00984120"/>
    <w:rsid w:val="00984F4E"/>
    <w:rsid w:val="00985208"/>
    <w:rsid w:val="009853E6"/>
    <w:rsid w:val="00986370"/>
    <w:rsid w:val="00986DF3"/>
    <w:rsid w:val="009870F4"/>
    <w:rsid w:val="009902C7"/>
    <w:rsid w:val="0099078E"/>
    <w:rsid w:val="00991D5E"/>
    <w:rsid w:val="00992546"/>
    <w:rsid w:val="00992A99"/>
    <w:rsid w:val="00992C93"/>
    <w:rsid w:val="00992D72"/>
    <w:rsid w:val="0099392E"/>
    <w:rsid w:val="00993B68"/>
    <w:rsid w:val="00993FCD"/>
    <w:rsid w:val="00994347"/>
    <w:rsid w:val="00995245"/>
    <w:rsid w:val="009956C6"/>
    <w:rsid w:val="009957D5"/>
    <w:rsid w:val="00995DB8"/>
    <w:rsid w:val="0099616C"/>
    <w:rsid w:val="00996F28"/>
    <w:rsid w:val="00997993"/>
    <w:rsid w:val="00997B48"/>
    <w:rsid w:val="00997D37"/>
    <w:rsid w:val="00997F0D"/>
    <w:rsid w:val="009A0D65"/>
    <w:rsid w:val="009A0E73"/>
    <w:rsid w:val="009A0FAB"/>
    <w:rsid w:val="009A2635"/>
    <w:rsid w:val="009A29D7"/>
    <w:rsid w:val="009A381B"/>
    <w:rsid w:val="009A391D"/>
    <w:rsid w:val="009A444E"/>
    <w:rsid w:val="009A453C"/>
    <w:rsid w:val="009A4687"/>
    <w:rsid w:val="009A4A54"/>
    <w:rsid w:val="009A5342"/>
    <w:rsid w:val="009A72DF"/>
    <w:rsid w:val="009B04B3"/>
    <w:rsid w:val="009B07DF"/>
    <w:rsid w:val="009B21C2"/>
    <w:rsid w:val="009B25B0"/>
    <w:rsid w:val="009B2E74"/>
    <w:rsid w:val="009B2ED7"/>
    <w:rsid w:val="009B3285"/>
    <w:rsid w:val="009B37E5"/>
    <w:rsid w:val="009B3FAB"/>
    <w:rsid w:val="009B4C7D"/>
    <w:rsid w:val="009B5008"/>
    <w:rsid w:val="009B5D6F"/>
    <w:rsid w:val="009B60BD"/>
    <w:rsid w:val="009B6690"/>
    <w:rsid w:val="009B683C"/>
    <w:rsid w:val="009B6F33"/>
    <w:rsid w:val="009B724C"/>
    <w:rsid w:val="009B7DBC"/>
    <w:rsid w:val="009B7F57"/>
    <w:rsid w:val="009C0829"/>
    <w:rsid w:val="009C12E9"/>
    <w:rsid w:val="009C2351"/>
    <w:rsid w:val="009C281E"/>
    <w:rsid w:val="009C2DE6"/>
    <w:rsid w:val="009C348C"/>
    <w:rsid w:val="009C4464"/>
    <w:rsid w:val="009C4908"/>
    <w:rsid w:val="009C4B2D"/>
    <w:rsid w:val="009C500D"/>
    <w:rsid w:val="009C5D45"/>
    <w:rsid w:val="009C68A5"/>
    <w:rsid w:val="009C69AB"/>
    <w:rsid w:val="009C7768"/>
    <w:rsid w:val="009C7F98"/>
    <w:rsid w:val="009D020D"/>
    <w:rsid w:val="009D065B"/>
    <w:rsid w:val="009D0A3D"/>
    <w:rsid w:val="009D0A6F"/>
    <w:rsid w:val="009D0CAB"/>
    <w:rsid w:val="009D120A"/>
    <w:rsid w:val="009D1EEF"/>
    <w:rsid w:val="009D1F7D"/>
    <w:rsid w:val="009D3D8B"/>
    <w:rsid w:val="009D4690"/>
    <w:rsid w:val="009D5224"/>
    <w:rsid w:val="009D55B9"/>
    <w:rsid w:val="009D5B67"/>
    <w:rsid w:val="009D5F18"/>
    <w:rsid w:val="009D6356"/>
    <w:rsid w:val="009D66DB"/>
    <w:rsid w:val="009D6C0F"/>
    <w:rsid w:val="009D787F"/>
    <w:rsid w:val="009E0095"/>
    <w:rsid w:val="009E0219"/>
    <w:rsid w:val="009E19CA"/>
    <w:rsid w:val="009E1C14"/>
    <w:rsid w:val="009E1E0F"/>
    <w:rsid w:val="009E1FA2"/>
    <w:rsid w:val="009E2242"/>
    <w:rsid w:val="009E26BC"/>
    <w:rsid w:val="009E3402"/>
    <w:rsid w:val="009E3738"/>
    <w:rsid w:val="009E37D3"/>
    <w:rsid w:val="009E381D"/>
    <w:rsid w:val="009E49D4"/>
    <w:rsid w:val="009E4B03"/>
    <w:rsid w:val="009E4FE6"/>
    <w:rsid w:val="009E5884"/>
    <w:rsid w:val="009E69B3"/>
    <w:rsid w:val="009E74F3"/>
    <w:rsid w:val="009E754E"/>
    <w:rsid w:val="009E7684"/>
    <w:rsid w:val="009E7893"/>
    <w:rsid w:val="009F005E"/>
    <w:rsid w:val="009F1F35"/>
    <w:rsid w:val="009F201B"/>
    <w:rsid w:val="009F20BE"/>
    <w:rsid w:val="009F455A"/>
    <w:rsid w:val="009F494D"/>
    <w:rsid w:val="009F4B01"/>
    <w:rsid w:val="009F5557"/>
    <w:rsid w:val="009F5B74"/>
    <w:rsid w:val="009F5E6E"/>
    <w:rsid w:val="009F6221"/>
    <w:rsid w:val="009F634D"/>
    <w:rsid w:val="009F7300"/>
    <w:rsid w:val="009F79C7"/>
    <w:rsid w:val="009F7CCF"/>
    <w:rsid w:val="00A003A7"/>
    <w:rsid w:val="00A0068E"/>
    <w:rsid w:val="00A01DF8"/>
    <w:rsid w:val="00A0275A"/>
    <w:rsid w:val="00A03293"/>
    <w:rsid w:val="00A03543"/>
    <w:rsid w:val="00A0382E"/>
    <w:rsid w:val="00A03F98"/>
    <w:rsid w:val="00A044E0"/>
    <w:rsid w:val="00A04544"/>
    <w:rsid w:val="00A04AE9"/>
    <w:rsid w:val="00A04C1B"/>
    <w:rsid w:val="00A04F6D"/>
    <w:rsid w:val="00A05C91"/>
    <w:rsid w:val="00A063A8"/>
    <w:rsid w:val="00A06D27"/>
    <w:rsid w:val="00A10017"/>
    <w:rsid w:val="00A103FC"/>
    <w:rsid w:val="00A10559"/>
    <w:rsid w:val="00A108A7"/>
    <w:rsid w:val="00A10EC2"/>
    <w:rsid w:val="00A111D1"/>
    <w:rsid w:val="00A112B4"/>
    <w:rsid w:val="00A11B68"/>
    <w:rsid w:val="00A128BC"/>
    <w:rsid w:val="00A12940"/>
    <w:rsid w:val="00A12B0A"/>
    <w:rsid w:val="00A12C04"/>
    <w:rsid w:val="00A12F4E"/>
    <w:rsid w:val="00A15F60"/>
    <w:rsid w:val="00A16524"/>
    <w:rsid w:val="00A16E4E"/>
    <w:rsid w:val="00A17C7F"/>
    <w:rsid w:val="00A202A5"/>
    <w:rsid w:val="00A206CA"/>
    <w:rsid w:val="00A208FA"/>
    <w:rsid w:val="00A216B4"/>
    <w:rsid w:val="00A221EC"/>
    <w:rsid w:val="00A22336"/>
    <w:rsid w:val="00A22438"/>
    <w:rsid w:val="00A22C41"/>
    <w:rsid w:val="00A22CBF"/>
    <w:rsid w:val="00A22F95"/>
    <w:rsid w:val="00A2369A"/>
    <w:rsid w:val="00A243FD"/>
    <w:rsid w:val="00A25B35"/>
    <w:rsid w:val="00A26361"/>
    <w:rsid w:val="00A278C2"/>
    <w:rsid w:val="00A279AF"/>
    <w:rsid w:val="00A30125"/>
    <w:rsid w:val="00A306CA"/>
    <w:rsid w:val="00A30BC0"/>
    <w:rsid w:val="00A30E12"/>
    <w:rsid w:val="00A3107A"/>
    <w:rsid w:val="00A31548"/>
    <w:rsid w:val="00A322E8"/>
    <w:rsid w:val="00A34AD9"/>
    <w:rsid w:val="00A35A8C"/>
    <w:rsid w:val="00A35E62"/>
    <w:rsid w:val="00A36B87"/>
    <w:rsid w:val="00A37058"/>
    <w:rsid w:val="00A40B1D"/>
    <w:rsid w:val="00A41225"/>
    <w:rsid w:val="00A4233C"/>
    <w:rsid w:val="00A426F0"/>
    <w:rsid w:val="00A42C03"/>
    <w:rsid w:val="00A44FDB"/>
    <w:rsid w:val="00A463C3"/>
    <w:rsid w:val="00A47593"/>
    <w:rsid w:val="00A50268"/>
    <w:rsid w:val="00A502F5"/>
    <w:rsid w:val="00A503BA"/>
    <w:rsid w:val="00A5043E"/>
    <w:rsid w:val="00A517B6"/>
    <w:rsid w:val="00A52426"/>
    <w:rsid w:val="00A5244D"/>
    <w:rsid w:val="00A541ED"/>
    <w:rsid w:val="00A54F53"/>
    <w:rsid w:val="00A55B1C"/>
    <w:rsid w:val="00A56760"/>
    <w:rsid w:val="00A56DEB"/>
    <w:rsid w:val="00A573EB"/>
    <w:rsid w:val="00A578D3"/>
    <w:rsid w:val="00A5794E"/>
    <w:rsid w:val="00A608E7"/>
    <w:rsid w:val="00A60CF5"/>
    <w:rsid w:val="00A61023"/>
    <w:rsid w:val="00A612CA"/>
    <w:rsid w:val="00A61F76"/>
    <w:rsid w:val="00A628E3"/>
    <w:rsid w:val="00A62CAF"/>
    <w:rsid w:val="00A634F7"/>
    <w:rsid w:val="00A640C9"/>
    <w:rsid w:val="00A64483"/>
    <w:rsid w:val="00A651CA"/>
    <w:rsid w:val="00A65D87"/>
    <w:rsid w:val="00A67031"/>
    <w:rsid w:val="00A670E4"/>
    <w:rsid w:val="00A6716D"/>
    <w:rsid w:val="00A67BE4"/>
    <w:rsid w:val="00A70252"/>
    <w:rsid w:val="00A70916"/>
    <w:rsid w:val="00A70ACA"/>
    <w:rsid w:val="00A70E19"/>
    <w:rsid w:val="00A716C2"/>
    <w:rsid w:val="00A727FA"/>
    <w:rsid w:val="00A7388A"/>
    <w:rsid w:val="00A749B6"/>
    <w:rsid w:val="00A74C4A"/>
    <w:rsid w:val="00A7508F"/>
    <w:rsid w:val="00A75460"/>
    <w:rsid w:val="00A76829"/>
    <w:rsid w:val="00A76DF3"/>
    <w:rsid w:val="00A77261"/>
    <w:rsid w:val="00A77322"/>
    <w:rsid w:val="00A77912"/>
    <w:rsid w:val="00A77E0E"/>
    <w:rsid w:val="00A77FF5"/>
    <w:rsid w:val="00A80812"/>
    <w:rsid w:val="00A80899"/>
    <w:rsid w:val="00A80987"/>
    <w:rsid w:val="00A80F60"/>
    <w:rsid w:val="00A81C6F"/>
    <w:rsid w:val="00A82955"/>
    <w:rsid w:val="00A83A4B"/>
    <w:rsid w:val="00A83BE4"/>
    <w:rsid w:val="00A83D11"/>
    <w:rsid w:val="00A83FBF"/>
    <w:rsid w:val="00A8419F"/>
    <w:rsid w:val="00A844A2"/>
    <w:rsid w:val="00A84BAF"/>
    <w:rsid w:val="00A853A1"/>
    <w:rsid w:val="00A857F3"/>
    <w:rsid w:val="00A859AB"/>
    <w:rsid w:val="00A85D33"/>
    <w:rsid w:val="00A85DC2"/>
    <w:rsid w:val="00A86123"/>
    <w:rsid w:val="00A874AB"/>
    <w:rsid w:val="00A90AAE"/>
    <w:rsid w:val="00A90D9E"/>
    <w:rsid w:val="00A91DB9"/>
    <w:rsid w:val="00A92030"/>
    <w:rsid w:val="00A927D6"/>
    <w:rsid w:val="00A93CCB"/>
    <w:rsid w:val="00A943F9"/>
    <w:rsid w:val="00A94530"/>
    <w:rsid w:val="00A95022"/>
    <w:rsid w:val="00A9656F"/>
    <w:rsid w:val="00A966C8"/>
    <w:rsid w:val="00A96D88"/>
    <w:rsid w:val="00A97075"/>
    <w:rsid w:val="00AA0DC7"/>
    <w:rsid w:val="00AA1062"/>
    <w:rsid w:val="00AA133F"/>
    <w:rsid w:val="00AA1C91"/>
    <w:rsid w:val="00AA2930"/>
    <w:rsid w:val="00AA2B83"/>
    <w:rsid w:val="00AA2C59"/>
    <w:rsid w:val="00AA2CCF"/>
    <w:rsid w:val="00AA3532"/>
    <w:rsid w:val="00AA361C"/>
    <w:rsid w:val="00AA4593"/>
    <w:rsid w:val="00AA5EA4"/>
    <w:rsid w:val="00AA6519"/>
    <w:rsid w:val="00AA69CD"/>
    <w:rsid w:val="00AA6F92"/>
    <w:rsid w:val="00AA75FB"/>
    <w:rsid w:val="00AA781D"/>
    <w:rsid w:val="00AB02D0"/>
    <w:rsid w:val="00AB0740"/>
    <w:rsid w:val="00AB096E"/>
    <w:rsid w:val="00AB0999"/>
    <w:rsid w:val="00AB0DDF"/>
    <w:rsid w:val="00AB0E6E"/>
    <w:rsid w:val="00AB197A"/>
    <w:rsid w:val="00AB1A41"/>
    <w:rsid w:val="00AB1D6E"/>
    <w:rsid w:val="00AB2342"/>
    <w:rsid w:val="00AB515F"/>
    <w:rsid w:val="00AB53EA"/>
    <w:rsid w:val="00AB575E"/>
    <w:rsid w:val="00AB6840"/>
    <w:rsid w:val="00AB6934"/>
    <w:rsid w:val="00AB724E"/>
    <w:rsid w:val="00AC04B5"/>
    <w:rsid w:val="00AC078F"/>
    <w:rsid w:val="00AC0A2A"/>
    <w:rsid w:val="00AC114A"/>
    <w:rsid w:val="00AC1466"/>
    <w:rsid w:val="00AC1662"/>
    <w:rsid w:val="00AC16F3"/>
    <w:rsid w:val="00AC1E5B"/>
    <w:rsid w:val="00AC2AA9"/>
    <w:rsid w:val="00AC2B9A"/>
    <w:rsid w:val="00AC2EA8"/>
    <w:rsid w:val="00AC36EB"/>
    <w:rsid w:val="00AC3F8F"/>
    <w:rsid w:val="00AC3FEC"/>
    <w:rsid w:val="00AC402B"/>
    <w:rsid w:val="00AC4ADF"/>
    <w:rsid w:val="00AC4BDB"/>
    <w:rsid w:val="00AC519D"/>
    <w:rsid w:val="00AC6579"/>
    <w:rsid w:val="00AC7D52"/>
    <w:rsid w:val="00AC7FCC"/>
    <w:rsid w:val="00AD12D6"/>
    <w:rsid w:val="00AD294C"/>
    <w:rsid w:val="00AD2F99"/>
    <w:rsid w:val="00AD302B"/>
    <w:rsid w:val="00AD384B"/>
    <w:rsid w:val="00AD397D"/>
    <w:rsid w:val="00AD3C3C"/>
    <w:rsid w:val="00AD454E"/>
    <w:rsid w:val="00AD4EF3"/>
    <w:rsid w:val="00AD5695"/>
    <w:rsid w:val="00AD5870"/>
    <w:rsid w:val="00AD5DD2"/>
    <w:rsid w:val="00AD66A6"/>
    <w:rsid w:val="00AD6B3B"/>
    <w:rsid w:val="00AD720B"/>
    <w:rsid w:val="00AD7FEB"/>
    <w:rsid w:val="00AE01A5"/>
    <w:rsid w:val="00AE01E1"/>
    <w:rsid w:val="00AE1234"/>
    <w:rsid w:val="00AE12B5"/>
    <w:rsid w:val="00AE1E44"/>
    <w:rsid w:val="00AE32B9"/>
    <w:rsid w:val="00AE338F"/>
    <w:rsid w:val="00AE3912"/>
    <w:rsid w:val="00AE3AD7"/>
    <w:rsid w:val="00AE3BA6"/>
    <w:rsid w:val="00AE49DB"/>
    <w:rsid w:val="00AE4A46"/>
    <w:rsid w:val="00AE4B47"/>
    <w:rsid w:val="00AE5896"/>
    <w:rsid w:val="00AE6480"/>
    <w:rsid w:val="00AE67C5"/>
    <w:rsid w:val="00AE6C53"/>
    <w:rsid w:val="00AE6CC4"/>
    <w:rsid w:val="00AE732B"/>
    <w:rsid w:val="00AE77D2"/>
    <w:rsid w:val="00AE7BE1"/>
    <w:rsid w:val="00AF01A0"/>
    <w:rsid w:val="00AF0579"/>
    <w:rsid w:val="00AF09D9"/>
    <w:rsid w:val="00AF1C8D"/>
    <w:rsid w:val="00AF2013"/>
    <w:rsid w:val="00AF252D"/>
    <w:rsid w:val="00AF2812"/>
    <w:rsid w:val="00AF2BF7"/>
    <w:rsid w:val="00AF3145"/>
    <w:rsid w:val="00AF42DE"/>
    <w:rsid w:val="00AF4939"/>
    <w:rsid w:val="00AF52CB"/>
    <w:rsid w:val="00AF59DC"/>
    <w:rsid w:val="00AF5A30"/>
    <w:rsid w:val="00AF5A43"/>
    <w:rsid w:val="00AF5A9B"/>
    <w:rsid w:val="00AF5B65"/>
    <w:rsid w:val="00AF632A"/>
    <w:rsid w:val="00AF6FF4"/>
    <w:rsid w:val="00AF7CF0"/>
    <w:rsid w:val="00B00016"/>
    <w:rsid w:val="00B00079"/>
    <w:rsid w:val="00B0038C"/>
    <w:rsid w:val="00B004BC"/>
    <w:rsid w:val="00B00C6D"/>
    <w:rsid w:val="00B019F0"/>
    <w:rsid w:val="00B01D3F"/>
    <w:rsid w:val="00B024D7"/>
    <w:rsid w:val="00B0250E"/>
    <w:rsid w:val="00B02C85"/>
    <w:rsid w:val="00B03EC6"/>
    <w:rsid w:val="00B04533"/>
    <w:rsid w:val="00B0485B"/>
    <w:rsid w:val="00B04F68"/>
    <w:rsid w:val="00B050AC"/>
    <w:rsid w:val="00B06DB3"/>
    <w:rsid w:val="00B071BE"/>
    <w:rsid w:val="00B07E8C"/>
    <w:rsid w:val="00B10A44"/>
    <w:rsid w:val="00B1128D"/>
    <w:rsid w:val="00B11CD3"/>
    <w:rsid w:val="00B11E04"/>
    <w:rsid w:val="00B12A3A"/>
    <w:rsid w:val="00B13524"/>
    <w:rsid w:val="00B13542"/>
    <w:rsid w:val="00B135C2"/>
    <w:rsid w:val="00B153AD"/>
    <w:rsid w:val="00B166DB"/>
    <w:rsid w:val="00B1677F"/>
    <w:rsid w:val="00B16841"/>
    <w:rsid w:val="00B17FB2"/>
    <w:rsid w:val="00B20174"/>
    <w:rsid w:val="00B20572"/>
    <w:rsid w:val="00B20782"/>
    <w:rsid w:val="00B2212D"/>
    <w:rsid w:val="00B23961"/>
    <w:rsid w:val="00B23FD1"/>
    <w:rsid w:val="00B25C03"/>
    <w:rsid w:val="00B26497"/>
    <w:rsid w:val="00B26EF5"/>
    <w:rsid w:val="00B271A6"/>
    <w:rsid w:val="00B274E8"/>
    <w:rsid w:val="00B2767F"/>
    <w:rsid w:val="00B27F21"/>
    <w:rsid w:val="00B30E52"/>
    <w:rsid w:val="00B312D9"/>
    <w:rsid w:val="00B3202F"/>
    <w:rsid w:val="00B32609"/>
    <w:rsid w:val="00B32785"/>
    <w:rsid w:val="00B32869"/>
    <w:rsid w:val="00B3369F"/>
    <w:rsid w:val="00B33ECA"/>
    <w:rsid w:val="00B3485D"/>
    <w:rsid w:val="00B34A12"/>
    <w:rsid w:val="00B34CDC"/>
    <w:rsid w:val="00B34FCA"/>
    <w:rsid w:val="00B350D2"/>
    <w:rsid w:val="00B3533C"/>
    <w:rsid w:val="00B3581A"/>
    <w:rsid w:val="00B35F31"/>
    <w:rsid w:val="00B35F45"/>
    <w:rsid w:val="00B36755"/>
    <w:rsid w:val="00B3739F"/>
    <w:rsid w:val="00B402D3"/>
    <w:rsid w:val="00B406CB"/>
    <w:rsid w:val="00B4354E"/>
    <w:rsid w:val="00B4390C"/>
    <w:rsid w:val="00B44094"/>
    <w:rsid w:val="00B44956"/>
    <w:rsid w:val="00B4567E"/>
    <w:rsid w:val="00B45C47"/>
    <w:rsid w:val="00B47883"/>
    <w:rsid w:val="00B479AE"/>
    <w:rsid w:val="00B479DF"/>
    <w:rsid w:val="00B5026D"/>
    <w:rsid w:val="00B50F9B"/>
    <w:rsid w:val="00B50FA5"/>
    <w:rsid w:val="00B51340"/>
    <w:rsid w:val="00B5173D"/>
    <w:rsid w:val="00B519AE"/>
    <w:rsid w:val="00B53007"/>
    <w:rsid w:val="00B53488"/>
    <w:rsid w:val="00B53D82"/>
    <w:rsid w:val="00B5445D"/>
    <w:rsid w:val="00B54A7B"/>
    <w:rsid w:val="00B555EB"/>
    <w:rsid w:val="00B56071"/>
    <w:rsid w:val="00B56426"/>
    <w:rsid w:val="00B56786"/>
    <w:rsid w:val="00B56AB1"/>
    <w:rsid w:val="00B56C67"/>
    <w:rsid w:val="00B571A7"/>
    <w:rsid w:val="00B579AB"/>
    <w:rsid w:val="00B57A5B"/>
    <w:rsid w:val="00B57B34"/>
    <w:rsid w:val="00B57CA4"/>
    <w:rsid w:val="00B60011"/>
    <w:rsid w:val="00B60154"/>
    <w:rsid w:val="00B601D7"/>
    <w:rsid w:val="00B6023D"/>
    <w:rsid w:val="00B6037F"/>
    <w:rsid w:val="00B60385"/>
    <w:rsid w:val="00B604A0"/>
    <w:rsid w:val="00B606FB"/>
    <w:rsid w:val="00B60AA6"/>
    <w:rsid w:val="00B60FAB"/>
    <w:rsid w:val="00B61372"/>
    <w:rsid w:val="00B6198E"/>
    <w:rsid w:val="00B61B83"/>
    <w:rsid w:val="00B6256D"/>
    <w:rsid w:val="00B625AE"/>
    <w:rsid w:val="00B62E56"/>
    <w:rsid w:val="00B63C5A"/>
    <w:rsid w:val="00B63F6E"/>
    <w:rsid w:val="00B6487E"/>
    <w:rsid w:val="00B65C50"/>
    <w:rsid w:val="00B65C84"/>
    <w:rsid w:val="00B661B0"/>
    <w:rsid w:val="00B66CA2"/>
    <w:rsid w:val="00B67CD9"/>
    <w:rsid w:val="00B67EC5"/>
    <w:rsid w:val="00B70207"/>
    <w:rsid w:val="00B7037F"/>
    <w:rsid w:val="00B70A15"/>
    <w:rsid w:val="00B7189B"/>
    <w:rsid w:val="00B7359C"/>
    <w:rsid w:val="00B737DF"/>
    <w:rsid w:val="00B73EF5"/>
    <w:rsid w:val="00B742C9"/>
    <w:rsid w:val="00B743F7"/>
    <w:rsid w:val="00B74692"/>
    <w:rsid w:val="00B75006"/>
    <w:rsid w:val="00B75839"/>
    <w:rsid w:val="00B76FD1"/>
    <w:rsid w:val="00B80A4D"/>
    <w:rsid w:val="00B82E05"/>
    <w:rsid w:val="00B84C31"/>
    <w:rsid w:val="00B85862"/>
    <w:rsid w:val="00B859FC"/>
    <w:rsid w:val="00B85B3F"/>
    <w:rsid w:val="00B86118"/>
    <w:rsid w:val="00B87208"/>
    <w:rsid w:val="00B87B05"/>
    <w:rsid w:val="00B904CC"/>
    <w:rsid w:val="00B907F8"/>
    <w:rsid w:val="00B9092B"/>
    <w:rsid w:val="00B90BD9"/>
    <w:rsid w:val="00B90DAC"/>
    <w:rsid w:val="00B9198A"/>
    <w:rsid w:val="00B91E6C"/>
    <w:rsid w:val="00B927E3"/>
    <w:rsid w:val="00B92C25"/>
    <w:rsid w:val="00B930DF"/>
    <w:rsid w:val="00B94CC3"/>
    <w:rsid w:val="00B94E6C"/>
    <w:rsid w:val="00B95765"/>
    <w:rsid w:val="00B95B31"/>
    <w:rsid w:val="00B96657"/>
    <w:rsid w:val="00B972B5"/>
    <w:rsid w:val="00B9774C"/>
    <w:rsid w:val="00B979ED"/>
    <w:rsid w:val="00BA00C6"/>
    <w:rsid w:val="00BA04C3"/>
    <w:rsid w:val="00BA0702"/>
    <w:rsid w:val="00BA0AE6"/>
    <w:rsid w:val="00BA22CE"/>
    <w:rsid w:val="00BA2A99"/>
    <w:rsid w:val="00BA35BC"/>
    <w:rsid w:val="00BA38EF"/>
    <w:rsid w:val="00BA3FC0"/>
    <w:rsid w:val="00BA41D8"/>
    <w:rsid w:val="00BA4683"/>
    <w:rsid w:val="00BA498A"/>
    <w:rsid w:val="00BA521B"/>
    <w:rsid w:val="00BA6157"/>
    <w:rsid w:val="00BA62B4"/>
    <w:rsid w:val="00BA72C4"/>
    <w:rsid w:val="00BA7AD6"/>
    <w:rsid w:val="00BA7ED1"/>
    <w:rsid w:val="00BB0806"/>
    <w:rsid w:val="00BB0D6F"/>
    <w:rsid w:val="00BB0E50"/>
    <w:rsid w:val="00BB0EDA"/>
    <w:rsid w:val="00BB1C14"/>
    <w:rsid w:val="00BB218B"/>
    <w:rsid w:val="00BB2222"/>
    <w:rsid w:val="00BB2321"/>
    <w:rsid w:val="00BB2372"/>
    <w:rsid w:val="00BB2618"/>
    <w:rsid w:val="00BB2925"/>
    <w:rsid w:val="00BB29D3"/>
    <w:rsid w:val="00BB2B55"/>
    <w:rsid w:val="00BB2EC1"/>
    <w:rsid w:val="00BB3809"/>
    <w:rsid w:val="00BB3E8C"/>
    <w:rsid w:val="00BB4606"/>
    <w:rsid w:val="00BB4C1D"/>
    <w:rsid w:val="00BB4DE1"/>
    <w:rsid w:val="00BB5DED"/>
    <w:rsid w:val="00BB5EFF"/>
    <w:rsid w:val="00BB5F83"/>
    <w:rsid w:val="00BB5FE3"/>
    <w:rsid w:val="00BB6B75"/>
    <w:rsid w:val="00BB7818"/>
    <w:rsid w:val="00BC055F"/>
    <w:rsid w:val="00BC0728"/>
    <w:rsid w:val="00BC1C43"/>
    <w:rsid w:val="00BC2B38"/>
    <w:rsid w:val="00BC2F26"/>
    <w:rsid w:val="00BC4169"/>
    <w:rsid w:val="00BC4932"/>
    <w:rsid w:val="00BC495B"/>
    <w:rsid w:val="00BC4DF8"/>
    <w:rsid w:val="00BC50B7"/>
    <w:rsid w:val="00BC55EC"/>
    <w:rsid w:val="00BC6164"/>
    <w:rsid w:val="00BC643C"/>
    <w:rsid w:val="00BC698F"/>
    <w:rsid w:val="00BC6AD3"/>
    <w:rsid w:val="00BC7EE0"/>
    <w:rsid w:val="00BD0795"/>
    <w:rsid w:val="00BD0B65"/>
    <w:rsid w:val="00BD0D66"/>
    <w:rsid w:val="00BD11A1"/>
    <w:rsid w:val="00BD11BA"/>
    <w:rsid w:val="00BD1609"/>
    <w:rsid w:val="00BD2609"/>
    <w:rsid w:val="00BD3454"/>
    <w:rsid w:val="00BD3E8A"/>
    <w:rsid w:val="00BD4E95"/>
    <w:rsid w:val="00BD5268"/>
    <w:rsid w:val="00BD5845"/>
    <w:rsid w:val="00BD5FB0"/>
    <w:rsid w:val="00BD75D2"/>
    <w:rsid w:val="00BD782D"/>
    <w:rsid w:val="00BD7D0F"/>
    <w:rsid w:val="00BE0485"/>
    <w:rsid w:val="00BE162A"/>
    <w:rsid w:val="00BE1804"/>
    <w:rsid w:val="00BE1BE0"/>
    <w:rsid w:val="00BE2657"/>
    <w:rsid w:val="00BE3EB5"/>
    <w:rsid w:val="00BE429D"/>
    <w:rsid w:val="00BE4722"/>
    <w:rsid w:val="00BE48B8"/>
    <w:rsid w:val="00BE4C18"/>
    <w:rsid w:val="00BE4CBB"/>
    <w:rsid w:val="00BE5A99"/>
    <w:rsid w:val="00BE64A2"/>
    <w:rsid w:val="00BE6CCD"/>
    <w:rsid w:val="00BE70F7"/>
    <w:rsid w:val="00BE7321"/>
    <w:rsid w:val="00BF02B0"/>
    <w:rsid w:val="00BF0C97"/>
    <w:rsid w:val="00BF11C6"/>
    <w:rsid w:val="00BF132D"/>
    <w:rsid w:val="00BF1736"/>
    <w:rsid w:val="00BF1C7C"/>
    <w:rsid w:val="00BF1F98"/>
    <w:rsid w:val="00BF209B"/>
    <w:rsid w:val="00BF2373"/>
    <w:rsid w:val="00BF26D4"/>
    <w:rsid w:val="00BF2715"/>
    <w:rsid w:val="00BF30D2"/>
    <w:rsid w:val="00BF3606"/>
    <w:rsid w:val="00BF3AD2"/>
    <w:rsid w:val="00BF4575"/>
    <w:rsid w:val="00BF4765"/>
    <w:rsid w:val="00BF476C"/>
    <w:rsid w:val="00BF4B6E"/>
    <w:rsid w:val="00BF4BAF"/>
    <w:rsid w:val="00BF4C42"/>
    <w:rsid w:val="00BF4D51"/>
    <w:rsid w:val="00BF4DF3"/>
    <w:rsid w:val="00BF4E43"/>
    <w:rsid w:val="00BF4EDD"/>
    <w:rsid w:val="00BF5380"/>
    <w:rsid w:val="00BF59C5"/>
    <w:rsid w:val="00BF6785"/>
    <w:rsid w:val="00C0126E"/>
    <w:rsid w:val="00C01712"/>
    <w:rsid w:val="00C0211E"/>
    <w:rsid w:val="00C02A5E"/>
    <w:rsid w:val="00C0328D"/>
    <w:rsid w:val="00C036E8"/>
    <w:rsid w:val="00C038A0"/>
    <w:rsid w:val="00C03B0C"/>
    <w:rsid w:val="00C03DB3"/>
    <w:rsid w:val="00C04DA7"/>
    <w:rsid w:val="00C051FB"/>
    <w:rsid w:val="00C06230"/>
    <w:rsid w:val="00C0625B"/>
    <w:rsid w:val="00C0637A"/>
    <w:rsid w:val="00C06396"/>
    <w:rsid w:val="00C07294"/>
    <w:rsid w:val="00C07DF1"/>
    <w:rsid w:val="00C11AC9"/>
    <w:rsid w:val="00C11C8D"/>
    <w:rsid w:val="00C14F65"/>
    <w:rsid w:val="00C15AC9"/>
    <w:rsid w:val="00C15F98"/>
    <w:rsid w:val="00C167B3"/>
    <w:rsid w:val="00C167B5"/>
    <w:rsid w:val="00C200D5"/>
    <w:rsid w:val="00C20423"/>
    <w:rsid w:val="00C209B2"/>
    <w:rsid w:val="00C21125"/>
    <w:rsid w:val="00C2113E"/>
    <w:rsid w:val="00C2229B"/>
    <w:rsid w:val="00C22453"/>
    <w:rsid w:val="00C224D4"/>
    <w:rsid w:val="00C2281C"/>
    <w:rsid w:val="00C22821"/>
    <w:rsid w:val="00C229CB"/>
    <w:rsid w:val="00C2385E"/>
    <w:rsid w:val="00C23C9B"/>
    <w:rsid w:val="00C23D2F"/>
    <w:rsid w:val="00C26764"/>
    <w:rsid w:val="00C2730B"/>
    <w:rsid w:val="00C27EB7"/>
    <w:rsid w:val="00C30343"/>
    <w:rsid w:val="00C303AE"/>
    <w:rsid w:val="00C305C0"/>
    <w:rsid w:val="00C30D75"/>
    <w:rsid w:val="00C31F0D"/>
    <w:rsid w:val="00C32156"/>
    <w:rsid w:val="00C32590"/>
    <w:rsid w:val="00C3259D"/>
    <w:rsid w:val="00C32FA0"/>
    <w:rsid w:val="00C3324E"/>
    <w:rsid w:val="00C336FF"/>
    <w:rsid w:val="00C3372B"/>
    <w:rsid w:val="00C33DCF"/>
    <w:rsid w:val="00C33EC2"/>
    <w:rsid w:val="00C342B1"/>
    <w:rsid w:val="00C349CD"/>
    <w:rsid w:val="00C34B86"/>
    <w:rsid w:val="00C35401"/>
    <w:rsid w:val="00C3547D"/>
    <w:rsid w:val="00C35650"/>
    <w:rsid w:val="00C35B1E"/>
    <w:rsid w:val="00C3605E"/>
    <w:rsid w:val="00C365CC"/>
    <w:rsid w:val="00C3717C"/>
    <w:rsid w:val="00C376AA"/>
    <w:rsid w:val="00C37EF9"/>
    <w:rsid w:val="00C40874"/>
    <w:rsid w:val="00C4102A"/>
    <w:rsid w:val="00C4118B"/>
    <w:rsid w:val="00C41885"/>
    <w:rsid w:val="00C41C64"/>
    <w:rsid w:val="00C41F1F"/>
    <w:rsid w:val="00C427FE"/>
    <w:rsid w:val="00C4348A"/>
    <w:rsid w:val="00C43AB9"/>
    <w:rsid w:val="00C443A3"/>
    <w:rsid w:val="00C443BD"/>
    <w:rsid w:val="00C443D3"/>
    <w:rsid w:val="00C446C5"/>
    <w:rsid w:val="00C4470C"/>
    <w:rsid w:val="00C44936"/>
    <w:rsid w:val="00C451C5"/>
    <w:rsid w:val="00C4530D"/>
    <w:rsid w:val="00C456F2"/>
    <w:rsid w:val="00C45B0A"/>
    <w:rsid w:val="00C45D38"/>
    <w:rsid w:val="00C467A7"/>
    <w:rsid w:val="00C46C8A"/>
    <w:rsid w:val="00C46D67"/>
    <w:rsid w:val="00C47605"/>
    <w:rsid w:val="00C47836"/>
    <w:rsid w:val="00C47F13"/>
    <w:rsid w:val="00C500EF"/>
    <w:rsid w:val="00C50889"/>
    <w:rsid w:val="00C511D4"/>
    <w:rsid w:val="00C513F2"/>
    <w:rsid w:val="00C5160C"/>
    <w:rsid w:val="00C51C10"/>
    <w:rsid w:val="00C51CF9"/>
    <w:rsid w:val="00C51F3E"/>
    <w:rsid w:val="00C51FFB"/>
    <w:rsid w:val="00C522BA"/>
    <w:rsid w:val="00C52305"/>
    <w:rsid w:val="00C53641"/>
    <w:rsid w:val="00C53B91"/>
    <w:rsid w:val="00C53CA8"/>
    <w:rsid w:val="00C53DA4"/>
    <w:rsid w:val="00C540EB"/>
    <w:rsid w:val="00C54D81"/>
    <w:rsid w:val="00C564E1"/>
    <w:rsid w:val="00C56507"/>
    <w:rsid w:val="00C56CCF"/>
    <w:rsid w:val="00C56D8D"/>
    <w:rsid w:val="00C57065"/>
    <w:rsid w:val="00C5723D"/>
    <w:rsid w:val="00C60E30"/>
    <w:rsid w:val="00C61360"/>
    <w:rsid w:val="00C613C3"/>
    <w:rsid w:val="00C614C6"/>
    <w:rsid w:val="00C6153F"/>
    <w:rsid w:val="00C623FE"/>
    <w:rsid w:val="00C638D8"/>
    <w:rsid w:val="00C639F5"/>
    <w:rsid w:val="00C63EA4"/>
    <w:rsid w:val="00C64296"/>
    <w:rsid w:val="00C64596"/>
    <w:rsid w:val="00C647E4"/>
    <w:rsid w:val="00C6488F"/>
    <w:rsid w:val="00C64FC6"/>
    <w:rsid w:val="00C6515A"/>
    <w:rsid w:val="00C65D6D"/>
    <w:rsid w:val="00C668C2"/>
    <w:rsid w:val="00C6696B"/>
    <w:rsid w:val="00C66D1B"/>
    <w:rsid w:val="00C673EB"/>
    <w:rsid w:val="00C67695"/>
    <w:rsid w:val="00C67D4F"/>
    <w:rsid w:val="00C704BE"/>
    <w:rsid w:val="00C70853"/>
    <w:rsid w:val="00C708D6"/>
    <w:rsid w:val="00C70A41"/>
    <w:rsid w:val="00C70BF4"/>
    <w:rsid w:val="00C7113A"/>
    <w:rsid w:val="00C71433"/>
    <w:rsid w:val="00C735D1"/>
    <w:rsid w:val="00C74418"/>
    <w:rsid w:val="00C7442C"/>
    <w:rsid w:val="00C74890"/>
    <w:rsid w:val="00C74CDE"/>
    <w:rsid w:val="00C75520"/>
    <w:rsid w:val="00C75D1A"/>
    <w:rsid w:val="00C761F5"/>
    <w:rsid w:val="00C76B68"/>
    <w:rsid w:val="00C76C1E"/>
    <w:rsid w:val="00C76C98"/>
    <w:rsid w:val="00C774F5"/>
    <w:rsid w:val="00C77F03"/>
    <w:rsid w:val="00C801E0"/>
    <w:rsid w:val="00C80E52"/>
    <w:rsid w:val="00C813DE"/>
    <w:rsid w:val="00C81E6C"/>
    <w:rsid w:val="00C8342A"/>
    <w:rsid w:val="00C8358D"/>
    <w:rsid w:val="00C83644"/>
    <w:rsid w:val="00C837EF"/>
    <w:rsid w:val="00C84023"/>
    <w:rsid w:val="00C84EFF"/>
    <w:rsid w:val="00C85618"/>
    <w:rsid w:val="00C858E1"/>
    <w:rsid w:val="00C87EB3"/>
    <w:rsid w:val="00C9161D"/>
    <w:rsid w:val="00C91A97"/>
    <w:rsid w:val="00C92120"/>
    <w:rsid w:val="00C92233"/>
    <w:rsid w:val="00C925A8"/>
    <w:rsid w:val="00C92B27"/>
    <w:rsid w:val="00C92C6F"/>
    <w:rsid w:val="00C94090"/>
    <w:rsid w:val="00C945E9"/>
    <w:rsid w:val="00C94E83"/>
    <w:rsid w:val="00C95B76"/>
    <w:rsid w:val="00C9656B"/>
    <w:rsid w:val="00C96A5E"/>
    <w:rsid w:val="00C97740"/>
    <w:rsid w:val="00C97792"/>
    <w:rsid w:val="00C97A18"/>
    <w:rsid w:val="00CA0C10"/>
    <w:rsid w:val="00CA0C1D"/>
    <w:rsid w:val="00CA19D8"/>
    <w:rsid w:val="00CA2614"/>
    <w:rsid w:val="00CA2777"/>
    <w:rsid w:val="00CA2C3B"/>
    <w:rsid w:val="00CA3EA7"/>
    <w:rsid w:val="00CA4B26"/>
    <w:rsid w:val="00CA5000"/>
    <w:rsid w:val="00CA5F70"/>
    <w:rsid w:val="00CA6565"/>
    <w:rsid w:val="00CA7630"/>
    <w:rsid w:val="00CA76C6"/>
    <w:rsid w:val="00CA7C70"/>
    <w:rsid w:val="00CB029E"/>
    <w:rsid w:val="00CB05E4"/>
    <w:rsid w:val="00CB0A80"/>
    <w:rsid w:val="00CB0CAA"/>
    <w:rsid w:val="00CB110D"/>
    <w:rsid w:val="00CB2D04"/>
    <w:rsid w:val="00CB33F5"/>
    <w:rsid w:val="00CB360E"/>
    <w:rsid w:val="00CB37C6"/>
    <w:rsid w:val="00CB3F6D"/>
    <w:rsid w:val="00CB51C9"/>
    <w:rsid w:val="00CB5918"/>
    <w:rsid w:val="00CB7306"/>
    <w:rsid w:val="00CB76BA"/>
    <w:rsid w:val="00CC0101"/>
    <w:rsid w:val="00CC02B8"/>
    <w:rsid w:val="00CC1355"/>
    <w:rsid w:val="00CC1740"/>
    <w:rsid w:val="00CC1AAF"/>
    <w:rsid w:val="00CC1BCA"/>
    <w:rsid w:val="00CC2984"/>
    <w:rsid w:val="00CC450A"/>
    <w:rsid w:val="00CC6E42"/>
    <w:rsid w:val="00CC7108"/>
    <w:rsid w:val="00CC7452"/>
    <w:rsid w:val="00CD096A"/>
    <w:rsid w:val="00CD0C33"/>
    <w:rsid w:val="00CD0CFB"/>
    <w:rsid w:val="00CD1114"/>
    <w:rsid w:val="00CD1131"/>
    <w:rsid w:val="00CD1539"/>
    <w:rsid w:val="00CD1E3A"/>
    <w:rsid w:val="00CD2C8A"/>
    <w:rsid w:val="00CD3090"/>
    <w:rsid w:val="00CD3DBE"/>
    <w:rsid w:val="00CD5E0D"/>
    <w:rsid w:val="00CD63C3"/>
    <w:rsid w:val="00CD6CEF"/>
    <w:rsid w:val="00CD74A1"/>
    <w:rsid w:val="00CD754E"/>
    <w:rsid w:val="00CE0162"/>
    <w:rsid w:val="00CE034F"/>
    <w:rsid w:val="00CE062E"/>
    <w:rsid w:val="00CE32C4"/>
    <w:rsid w:val="00CE381C"/>
    <w:rsid w:val="00CE3CD3"/>
    <w:rsid w:val="00CE3CFC"/>
    <w:rsid w:val="00CE4773"/>
    <w:rsid w:val="00CE4BB0"/>
    <w:rsid w:val="00CE5252"/>
    <w:rsid w:val="00CE5475"/>
    <w:rsid w:val="00CE5C0E"/>
    <w:rsid w:val="00CE629E"/>
    <w:rsid w:val="00CE6608"/>
    <w:rsid w:val="00CE6E38"/>
    <w:rsid w:val="00CE72C4"/>
    <w:rsid w:val="00CE77D8"/>
    <w:rsid w:val="00CE7974"/>
    <w:rsid w:val="00CF017B"/>
    <w:rsid w:val="00CF0B2A"/>
    <w:rsid w:val="00CF0C69"/>
    <w:rsid w:val="00CF1031"/>
    <w:rsid w:val="00CF1632"/>
    <w:rsid w:val="00CF1848"/>
    <w:rsid w:val="00CF22C1"/>
    <w:rsid w:val="00CF2BB2"/>
    <w:rsid w:val="00CF303A"/>
    <w:rsid w:val="00CF4123"/>
    <w:rsid w:val="00CF4AA1"/>
    <w:rsid w:val="00CF62EF"/>
    <w:rsid w:val="00CF66D1"/>
    <w:rsid w:val="00CF6844"/>
    <w:rsid w:val="00CF7246"/>
    <w:rsid w:val="00D0004A"/>
    <w:rsid w:val="00D000E0"/>
    <w:rsid w:val="00D01099"/>
    <w:rsid w:val="00D024C5"/>
    <w:rsid w:val="00D027F7"/>
    <w:rsid w:val="00D0290E"/>
    <w:rsid w:val="00D02B9B"/>
    <w:rsid w:val="00D04B9A"/>
    <w:rsid w:val="00D04D62"/>
    <w:rsid w:val="00D04DEB"/>
    <w:rsid w:val="00D05A33"/>
    <w:rsid w:val="00D05EE1"/>
    <w:rsid w:val="00D05F0D"/>
    <w:rsid w:val="00D06182"/>
    <w:rsid w:val="00D07C62"/>
    <w:rsid w:val="00D07D97"/>
    <w:rsid w:val="00D07FED"/>
    <w:rsid w:val="00D113DC"/>
    <w:rsid w:val="00D11503"/>
    <w:rsid w:val="00D1188D"/>
    <w:rsid w:val="00D12044"/>
    <w:rsid w:val="00D121B5"/>
    <w:rsid w:val="00D12AD8"/>
    <w:rsid w:val="00D131C6"/>
    <w:rsid w:val="00D1341F"/>
    <w:rsid w:val="00D14329"/>
    <w:rsid w:val="00D14C55"/>
    <w:rsid w:val="00D15801"/>
    <w:rsid w:val="00D15886"/>
    <w:rsid w:val="00D15C42"/>
    <w:rsid w:val="00D16C94"/>
    <w:rsid w:val="00D16D90"/>
    <w:rsid w:val="00D16DC7"/>
    <w:rsid w:val="00D17051"/>
    <w:rsid w:val="00D170D1"/>
    <w:rsid w:val="00D170D9"/>
    <w:rsid w:val="00D171F3"/>
    <w:rsid w:val="00D17AC9"/>
    <w:rsid w:val="00D20236"/>
    <w:rsid w:val="00D20575"/>
    <w:rsid w:val="00D2070A"/>
    <w:rsid w:val="00D20CF2"/>
    <w:rsid w:val="00D21AFD"/>
    <w:rsid w:val="00D22E1D"/>
    <w:rsid w:val="00D232FB"/>
    <w:rsid w:val="00D25408"/>
    <w:rsid w:val="00D25F71"/>
    <w:rsid w:val="00D260AD"/>
    <w:rsid w:val="00D263A3"/>
    <w:rsid w:val="00D269F4"/>
    <w:rsid w:val="00D26A0C"/>
    <w:rsid w:val="00D26DAF"/>
    <w:rsid w:val="00D27183"/>
    <w:rsid w:val="00D27257"/>
    <w:rsid w:val="00D27CAA"/>
    <w:rsid w:val="00D27F71"/>
    <w:rsid w:val="00D31908"/>
    <w:rsid w:val="00D32B05"/>
    <w:rsid w:val="00D32D88"/>
    <w:rsid w:val="00D32FE3"/>
    <w:rsid w:val="00D33EFC"/>
    <w:rsid w:val="00D359A6"/>
    <w:rsid w:val="00D36526"/>
    <w:rsid w:val="00D366AE"/>
    <w:rsid w:val="00D37857"/>
    <w:rsid w:val="00D37957"/>
    <w:rsid w:val="00D37F85"/>
    <w:rsid w:val="00D37F94"/>
    <w:rsid w:val="00D402C1"/>
    <w:rsid w:val="00D40DBC"/>
    <w:rsid w:val="00D40E91"/>
    <w:rsid w:val="00D4168B"/>
    <w:rsid w:val="00D41B93"/>
    <w:rsid w:val="00D41C68"/>
    <w:rsid w:val="00D41F10"/>
    <w:rsid w:val="00D43721"/>
    <w:rsid w:val="00D44C52"/>
    <w:rsid w:val="00D44CAA"/>
    <w:rsid w:val="00D44DEA"/>
    <w:rsid w:val="00D46E16"/>
    <w:rsid w:val="00D479FB"/>
    <w:rsid w:val="00D47B82"/>
    <w:rsid w:val="00D506F2"/>
    <w:rsid w:val="00D51549"/>
    <w:rsid w:val="00D51E93"/>
    <w:rsid w:val="00D51F25"/>
    <w:rsid w:val="00D52154"/>
    <w:rsid w:val="00D527D7"/>
    <w:rsid w:val="00D52AE4"/>
    <w:rsid w:val="00D52D61"/>
    <w:rsid w:val="00D53042"/>
    <w:rsid w:val="00D53456"/>
    <w:rsid w:val="00D53C0C"/>
    <w:rsid w:val="00D540B3"/>
    <w:rsid w:val="00D541F3"/>
    <w:rsid w:val="00D54B1B"/>
    <w:rsid w:val="00D55153"/>
    <w:rsid w:val="00D552B6"/>
    <w:rsid w:val="00D55424"/>
    <w:rsid w:val="00D5557F"/>
    <w:rsid w:val="00D57305"/>
    <w:rsid w:val="00D578A6"/>
    <w:rsid w:val="00D57D33"/>
    <w:rsid w:val="00D57E15"/>
    <w:rsid w:val="00D57F5D"/>
    <w:rsid w:val="00D6143D"/>
    <w:rsid w:val="00D618DF"/>
    <w:rsid w:val="00D61A09"/>
    <w:rsid w:val="00D61C85"/>
    <w:rsid w:val="00D62051"/>
    <w:rsid w:val="00D62E09"/>
    <w:rsid w:val="00D645A4"/>
    <w:rsid w:val="00D64864"/>
    <w:rsid w:val="00D64CB6"/>
    <w:rsid w:val="00D65A17"/>
    <w:rsid w:val="00D660F0"/>
    <w:rsid w:val="00D6664E"/>
    <w:rsid w:val="00D66D52"/>
    <w:rsid w:val="00D66FE0"/>
    <w:rsid w:val="00D70A9F"/>
    <w:rsid w:val="00D71219"/>
    <w:rsid w:val="00D72F3B"/>
    <w:rsid w:val="00D732BE"/>
    <w:rsid w:val="00D73B27"/>
    <w:rsid w:val="00D73B9F"/>
    <w:rsid w:val="00D74314"/>
    <w:rsid w:val="00D75CA6"/>
    <w:rsid w:val="00D76139"/>
    <w:rsid w:val="00D763AF"/>
    <w:rsid w:val="00D769DF"/>
    <w:rsid w:val="00D76A18"/>
    <w:rsid w:val="00D76D0B"/>
    <w:rsid w:val="00D772CC"/>
    <w:rsid w:val="00D77552"/>
    <w:rsid w:val="00D77A82"/>
    <w:rsid w:val="00D8003F"/>
    <w:rsid w:val="00D80849"/>
    <w:rsid w:val="00D81186"/>
    <w:rsid w:val="00D81B53"/>
    <w:rsid w:val="00D82E8F"/>
    <w:rsid w:val="00D840AF"/>
    <w:rsid w:val="00D844B7"/>
    <w:rsid w:val="00D84930"/>
    <w:rsid w:val="00D84B55"/>
    <w:rsid w:val="00D84BDB"/>
    <w:rsid w:val="00D855A9"/>
    <w:rsid w:val="00D85600"/>
    <w:rsid w:val="00D86705"/>
    <w:rsid w:val="00D86F93"/>
    <w:rsid w:val="00D870AE"/>
    <w:rsid w:val="00D872EA"/>
    <w:rsid w:val="00D87603"/>
    <w:rsid w:val="00D87C68"/>
    <w:rsid w:val="00D87E11"/>
    <w:rsid w:val="00D9035F"/>
    <w:rsid w:val="00D90C46"/>
    <w:rsid w:val="00D91ABE"/>
    <w:rsid w:val="00D92561"/>
    <w:rsid w:val="00D92FA5"/>
    <w:rsid w:val="00D93DD7"/>
    <w:rsid w:val="00D94006"/>
    <w:rsid w:val="00D95A86"/>
    <w:rsid w:val="00D95C44"/>
    <w:rsid w:val="00D96065"/>
    <w:rsid w:val="00D961B0"/>
    <w:rsid w:val="00D96676"/>
    <w:rsid w:val="00D96CBC"/>
    <w:rsid w:val="00D96CC5"/>
    <w:rsid w:val="00DA0592"/>
    <w:rsid w:val="00DA0681"/>
    <w:rsid w:val="00DA0A03"/>
    <w:rsid w:val="00DA0A5A"/>
    <w:rsid w:val="00DA24BF"/>
    <w:rsid w:val="00DA34C0"/>
    <w:rsid w:val="00DA4423"/>
    <w:rsid w:val="00DA56EE"/>
    <w:rsid w:val="00DA596E"/>
    <w:rsid w:val="00DA5E4D"/>
    <w:rsid w:val="00DA61A3"/>
    <w:rsid w:val="00DA6490"/>
    <w:rsid w:val="00DA65C7"/>
    <w:rsid w:val="00DA76EE"/>
    <w:rsid w:val="00DA7D34"/>
    <w:rsid w:val="00DA7EA9"/>
    <w:rsid w:val="00DB0C5A"/>
    <w:rsid w:val="00DB1A3F"/>
    <w:rsid w:val="00DB21E8"/>
    <w:rsid w:val="00DB45B6"/>
    <w:rsid w:val="00DB4E11"/>
    <w:rsid w:val="00DB59D9"/>
    <w:rsid w:val="00DB5B31"/>
    <w:rsid w:val="00DB5E0F"/>
    <w:rsid w:val="00DB6412"/>
    <w:rsid w:val="00DB6A83"/>
    <w:rsid w:val="00DB6E4C"/>
    <w:rsid w:val="00DB6F26"/>
    <w:rsid w:val="00DB700D"/>
    <w:rsid w:val="00DB7181"/>
    <w:rsid w:val="00DB76AC"/>
    <w:rsid w:val="00DB7D0C"/>
    <w:rsid w:val="00DB7FB0"/>
    <w:rsid w:val="00DC0146"/>
    <w:rsid w:val="00DC0932"/>
    <w:rsid w:val="00DC0952"/>
    <w:rsid w:val="00DC12E5"/>
    <w:rsid w:val="00DC13D5"/>
    <w:rsid w:val="00DC143A"/>
    <w:rsid w:val="00DC2241"/>
    <w:rsid w:val="00DC2947"/>
    <w:rsid w:val="00DC3C2B"/>
    <w:rsid w:val="00DC59CC"/>
    <w:rsid w:val="00DC64EA"/>
    <w:rsid w:val="00DC6DF6"/>
    <w:rsid w:val="00DC753C"/>
    <w:rsid w:val="00DD03DF"/>
    <w:rsid w:val="00DD0915"/>
    <w:rsid w:val="00DD10E9"/>
    <w:rsid w:val="00DD118C"/>
    <w:rsid w:val="00DD12F9"/>
    <w:rsid w:val="00DD234F"/>
    <w:rsid w:val="00DD296F"/>
    <w:rsid w:val="00DD30DB"/>
    <w:rsid w:val="00DD33FE"/>
    <w:rsid w:val="00DD34B3"/>
    <w:rsid w:val="00DD4329"/>
    <w:rsid w:val="00DD4AA1"/>
    <w:rsid w:val="00DD69BC"/>
    <w:rsid w:val="00DD736C"/>
    <w:rsid w:val="00DE001C"/>
    <w:rsid w:val="00DE0076"/>
    <w:rsid w:val="00DE07F2"/>
    <w:rsid w:val="00DE1368"/>
    <w:rsid w:val="00DE178D"/>
    <w:rsid w:val="00DE1792"/>
    <w:rsid w:val="00DE1832"/>
    <w:rsid w:val="00DE19E2"/>
    <w:rsid w:val="00DE2B7E"/>
    <w:rsid w:val="00DE3E37"/>
    <w:rsid w:val="00DE3EF7"/>
    <w:rsid w:val="00DE40A5"/>
    <w:rsid w:val="00DE41DB"/>
    <w:rsid w:val="00DE5691"/>
    <w:rsid w:val="00DE57E8"/>
    <w:rsid w:val="00DE5BD1"/>
    <w:rsid w:val="00DE5F4F"/>
    <w:rsid w:val="00DE65B2"/>
    <w:rsid w:val="00DE73E0"/>
    <w:rsid w:val="00DE765C"/>
    <w:rsid w:val="00DF0371"/>
    <w:rsid w:val="00DF0482"/>
    <w:rsid w:val="00DF07E7"/>
    <w:rsid w:val="00DF133E"/>
    <w:rsid w:val="00DF1590"/>
    <w:rsid w:val="00DF1BDB"/>
    <w:rsid w:val="00DF266B"/>
    <w:rsid w:val="00DF322A"/>
    <w:rsid w:val="00DF3601"/>
    <w:rsid w:val="00DF3F0D"/>
    <w:rsid w:val="00DF4208"/>
    <w:rsid w:val="00DF461C"/>
    <w:rsid w:val="00DF4B77"/>
    <w:rsid w:val="00DF59B2"/>
    <w:rsid w:val="00DF65A8"/>
    <w:rsid w:val="00DF65DA"/>
    <w:rsid w:val="00DF7051"/>
    <w:rsid w:val="00DF77D2"/>
    <w:rsid w:val="00DF7EE7"/>
    <w:rsid w:val="00E004FD"/>
    <w:rsid w:val="00E00A20"/>
    <w:rsid w:val="00E01994"/>
    <w:rsid w:val="00E01C87"/>
    <w:rsid w:val="00E0250B"/>
    <w:rsid w:val="00E02F94"/>
    <w:rsid w:val="00E045DF"/>
    <w:rsid w:val="00E06566"/>
    <w:rsid w:val="00E068B7"/>
    <w:rsid w:val="00E076D8"/>
    <w:rsid w:val="00E078E9"/>
    <w:rsid w:val="00E07AEF"/>
    <w:rsid w:val="00E07B7E"/>
    <w:rsid w:val="00E1025C"/>
    <w:rsid w:val="00E10ACD"/>
    <w:rsid w:val="00E10B69"/>
    <w:rsid w:val="00E115A9"/>
    <w:rsid w:val="00E13399"/>
    <w:rsid w:val="00E133C8"/>
    <w:rsid w:val="00E13B49"/>
    <w:rsid w:val="00E14791"/>
    <w:rsid w:val="00E150E5"/>
    <w:rsid w:val="00E15BBE"/>
    <w:rsid w:val="00E15C51"/>
    <w:rsid w:val="00E165FF"/>
    <w:rsid w:val="00E179FA"/>
    <w:rsid w:val="00E2053B"/>
    <w:rsid w:val="00E205F1"/>
    <w:rsid w:val="00E209BB"/>
    <w:rsid w:val="00E20E19"/>
    <w:rsid w:val="00E210A6"/>
    <w:rsid w:val="00E21919"/>
    <w:rsid w:val="00E23353"/>
    <w:rsid w:val="00E23F63"/>
    <w:rsid w:val="00E2474A"/>
    <w:rsid w:val="00E24DB7"/>
    <w:rsid w:val="00E25011"/>
    <w:rsid w:val="00E2547D"/>
    <w:rsid w:val="00E269A7"/>
    <w:rsid w:val="00E26AC4"/>
    <w:rsid w:val="00E26B29"/>
    <w:rsid w:val="00E271AE"/>
    <w:rsid w:val="00E274FB"/>
    <w:rsid w:val="00E31AA8"/>
    <w:rsid w:val="00E32B08"/>
    <w:rsid w:val="00E331DE"/>
    <w:rsid w:val="00E338B4"/>
    <w:rsid w:val="00E338D1"/>
    <w:rsid w:val="00E338FC"/>
    <w:rsid w:val="00E33C86"/>
    <w:rsid w:val="00E33FE5"/>
    <w:rsid w:val="00E34299"/>
    <w:rsid w:val="00E34388"/>
    <w:rsid w:val="00E35CFB"/>
    <w:rsid w:val="00E35FF8"/>
    <w:rsid w:val="00E363A7"/>
    <w:rsid w:val="00E36A9A"/>
    <w:rsid w:val="00E36CCD"/>
    <w:rsid w:val="00E37111"/>
    <w:rsid w:val="00E40304"/>
    <w:rsid w:val="00E4040B"/>
    <w:rsid w:val="00E40AFF"/>
    <w:rsid w:val="00E40B48"/>
    <w:rsid w:val="00E40BD9"/>
    <w:rsid w:val="00E40D73"/>
    <w:rsid w:val="00E414E6"/>
    <w:rsid w:val="00E41C6E"/>
    <w:rsid w:val="00E41D27"/>
    <w:rsid w:val="00E41D5F"/>
    <w:rsid w:val="00E43013"/>
    <w:rsid w:val="00E4302E"/>
    <w:rsid w:val="00E43C5F"/>
    <w:rsid w:val="00E4438C"/>
    <w:rsid w:val="00E44DB7"/>
    <w:rsid w:val="00E45C0B"/>
    <w:rsid w:val="00E45F6E"/>
    <w:rsid w:val="00E46EB8"/>
    <w:rsid w:val="00E503DE"/>
    <w:rsid w:val="00E50660"/>
    <w:rsid w:val="00E50A2E"/>
    <w:rsid w:val="00E50DDB"/>
    <w:rsid w:val="00E50E00"/>
    <w:rsid w:val="00E50E98"/>
    <w:rsid w:val="00E51468"/>
    <w:rsid w:val="00E524AE"/>
    <w:rsid w:val="00E52791"/>
    <w:rsid w:val="00E530D6"/>
    <w:rsid w:val="00E5310B"/>
    <w:rsid w:val="00E53E42"/>
    <w:rsid w:val="00E54068"/>
    <w:rsid w:val="00E54215"/>
    <w:rsid w:val="00E549E3"/>
    <w:rsid w:val="00E55AE2"/>
    <w:rsid w:val="00E565B9"/>
    <w:rsid w:val="00E56868"/>
    <w:rsid w:val="00E57440"/>
    <w:rsid w:val="00E576F0"/>
    <w:rsid w:val="00E61AE0"/>
    <w:rsid w:val="00E61AE7"/>
    <w:rsid w:val="00E61CBB"/>
    <w:rsid w:val="00E61F77"/>
    <w:rsid w:val="00E61FC7"/>
    <w:rsid w:val="00E62147"/>
    <w:rsid w:val="00E62391"/>
    <w:rsid w:val="00E63A0B"/>
    <w:rsid w:val="00E6445E"/>
    <w:rsid w:val="00E64A70"/>
    <w:rsid w:val="00E64BC7"/>
    <w:rsid w:val="00E64CDF"/>
    <w:rsid w:val="00E656B2"/>
    <w:rsid w:val="00E656F6"/>
    <w:rsid w:val="00E66235"/>
    <w:rsid w:val="00E6678E"/>
    <w:rsid w:val="00E66E9F"/>
    <w:rsid w:val="00E677D4"/>
    <w:rsid w:val="00E67CF5"/>
    <w:rsid w:val="00E70FA4"/>
    <w:rsid w:val="00E72EEB"/>
    <w:rsid w:val="00E73233"/>
    <w:rsid w:val="00E73466"/>
    <w:rsid w:val="00E743AF"/>
    <w:rsid w:val="00E75012"/>
    <w:rsid w:val="00E7617D"/>
    <w:rsid w:val="00E766D9"/>
    <w:rsid w:val="00E77028"/>
    <w:rsid w:val="00E777B6"/>
    <w:rsid w:val="00E77A17"/>
    <w:rsid w:val="00E77BA9"/>
    <w:rsid w:val="00E80020"/>
    <w:rsid w:val="00E802A2"/>
    <w:rsid w:val="00E81110"/>
    <w:rsid w:val="00E81C4E"/>
    <w:rsid w:val="00E81FFE"/>
    <w:rsid w:val="00E8208D"/>
    <w:rsid w:val="00E82550"/>
    <w:rsid w:val="00E825A7"/>
    <w:rsid w:val="00E829D7"/>
    <w:rsid w:val="00E82DB9"/>
    <w:rsid w:val="00E82FF9"/>
    <w:rsid w:val="00E83435"/>
    <w:rsid w:val="00E839E6"/>
    <w:rsid w:val="00E83A38"/>
    <w:rsid w:val="00E83C24"/>
    <w:rsid w:val="00E843F0"/>
    <w:rsid w:val="00E846A3"/>
    <w:rsid w:val="00E8563C"/>
    <w:rsid w:val="00E8670A"/>
    <w:rsid w:val="00E86C8C"/>
    <w:rsid w:val="00E875CA"/>
    <w:rsid w:val="00E87617"/>
    <w:rsid w:val="00E8781A"/>
    <w:rsid w:val="00E904AF"/>
    <w:rsid w:val="00E90E1A"/>
    <w:rsid w:val="00E90EE6"/>
    <w:rsid w:val="00E91297"/>
    <w:rsid w:val="00E915F1"/>
    <w:rsid w:val="00E9177A"/>
    <w:rsid w:val="00E92171"/>
    <w:rsid w:val="00E92523"/>
    <w:rsid w:val="00E92C22"/>
    <w:rsid w:val="00E9318D"/>
    <w:rsid w:val="00E93658"/>
    <w:rsid w:val="00E93CFD"/>
    <w:rsid w:val="00E93F3E"/>
    <w:rsid w:val="00E9456E"/>
    <w:rsid w:val="00E94E34"/>
    <w:rsid w:val="00E951A3"/>
    <w:rsid w:val="00E95414"/>
    <w:rsid w:val="00E966E8"/>
    <w:rsid w:val="00E96C1C"/>
    <w:rsid w:val="00EA10CA"/>
    <w:rsid w:val="00EA1E29"/>
    <w:rsid w:val="00EA243A"/>
    <w:rsid w:val="00EA249C"/>
    <w:rsid w:val="00EA2582"/>
    <w:rsid w:val="00EA3417"/>
    <w:rsid w:val="00EA355D"/>
    <w:rsid w:val="00EA35A6"/>
    <w:rsid w:val="00EA35D1"/>
    <w:rsid w:val="00EA409D"/>
    <w:rsid w:val="00EA40E3"/>
    <w:rsid w:val="00EA43B2"/>
    <w:rsid w:val="00EA4DF5"/>
    <w:rsid w:val="00EA5088"/>
    <w:rsid w:val="00EA57E6"/>
    <w:rsid w:val="00EA6A57"/>
    <w:rsid w:val="00EA70B5"/>
    <w:rsid w:val="00EA70F7"/>
    <w:rsid w:val="00EA76CC"/>
    <w:rsid w:val="00EA79B7"/>
    <w:rsid w:val="00EB05CC"/>
    <w:rsid w:val="00EB066E"/>
    <w:rsid w:val="00EB103C"/>
    <w:rsid w:val="00EB134C"/>
    <w:rsid w:val="00EB2714"/>
    <w:rsid w:val="00EB327B"/>
    <w:rsid w:val="00EB3ECE"/>
    <w:rsid w:val="00EB4614"/>
    <w:rsid w:val="00EB48E5"/>
    <w:rsid w:val="00EB6B66"/>
    <w:rsid w:val="00EB70AC"/>
    <w:rsid w:val="00EB70C1"/>
    <w:rsid w:val="00EC0CA9"/>
    <w:rsid w:val="00EC0E87"/>
    <w:rsid w:val="00EC0E92"/>
    <w:rsid w:val="00EC1B87"/>
    <w:rsid w:val="00EC1FB8"/>
    <w:rsid w:val="00EC238A"/>
    <w:rsid w:val="00EC25BD"/>
    <w:rsid w:val="00EC2DC8"/>
    <w:rsid w:val="00EC337B"/>
    <w:rsid w:val="00EC3B8C"/>
    <w:rsid w:val="00EC3C66"/>
    <w:rsid w:val="00EC3CEF"/>
    <w:rsid w:val="00EC3DF7"/>
    <w:rsid w:val="00EC3FAD"/>
    <w:rsid w:val="00EC434F"/>
    <w:rsid w:val="00EC49AA"/>
    <w:rsid w:val="00EC49CE"/>
    <w:rsid w:val="00EC53DF"/>
    <w:rsid w:val="00EC5C1C"/>
    <w:rsid w:val="00EC607C"/>
    <w:rsid w:val="00EC7EDE"/>
    <w:rsid w:val="00ED026D"/>
    <w:rsid w:val="00ED0709"/>
    <w:rsid w:val="00ED1107"/>
    <w:rsid w:val="00ED326A"/>
    <w:rsid w:val="00ED35C8"/>
    <w:rsid w:val="00ED36B5"/>
    <w:rsid w:val="00ED38FD"/>
    <w:rsid w:val="00ED3E8A"/>
    <w:rsid w:val="00ED4DDF"/>
    <w:rsid w:val="00ED511A"/>
    <w:rsid w:val="00ED5C11"/>
    <w:rsid w:val="00ED741B"/>
    <w:rsid w:val="00ED7B67"/>
    <w:rsid w:val="00EE00F5"/>
    <w:rsid w:val="00EE01C5"/>
    <w:rsid w:val="00EE0379"/>
    <w:rsid w:val="00EE05FA"/>
    <w:rsid w:val="00EE0B86"/>
    <w:rsid w:val="00EE0D09"/>
    <w:rsid w:val="00EE19A2"/>
    <w:rsid w:val="00EE20FD"/>
    <w:rsid w:val="00EE242B"/>
    <w:rsid w:val="00EE25FB"/>
    <w:rsid w:val="00EE3BAE"/>
    <w:rsid w:val="00EE3E27"/>
    <w:rsid w:val="00EE4048"/>
    <w:rsid w:val="00EE4E4D"/>
    <w:rsid w:val="00EE4EF6"/>
    <w:rsid w:val="00EE4FE0"/>
    <w:rsid w:val="00EE51CF"/>
    <w:rsid w:val="00EE5262"/>
    <w:rsid w:val="00EE5540"/>
    <w:rsid w:val="00EE70E8"/>
    <w:rsid w:val="00EE7517"/>
    <w:rsid w:val="00EE7E54"/>
    <w:rsid w:val="00EF0BB4"/>
    <w:rsid w:val="00EF159A"/>
    <w:rsid w:val="00EF1FA9"/>
    <w:rsid w:val="00EF3A74"/>
    <w:rsid w:val="00EF3FA4"/>
    <w:rsid w:val="00EF46C5"/>
    <w:rsid w:val="00EF46C9"/>
    <w:rsid w:val="00EF5408"/>
    <w:rsid w:val="00EF7E5D"/>
    <w:rsid w:val="00F0009E"/>
    <w:rsid w:val="00F00F97"/>
    <w:rsid w:val="00F0136B"/>
    <w:rsid w:val="00F01C1D"/>
    <w:rsid w:val="00F0217A"/>
    <w:rsid w:val="00F0286E"/>
    <w:rsid w:val="00F04760"/>
    <w:rsid w:val="00F05703"/>
    <w:rsid w:val="00F05979"/>
    <w:rsid w:val="00F05D18"/>
    <w:rsid w:val="00F06215"/>
    <w:rsid w:val="00F063C2"/>
    <w:rsid w:val="00F06441"/>
    <w:rsid w:val="00F07162"/>
    <w:rsid w:val="00F07D29"/>
    <w:rsid w:val="00F07F0F"/>
    <w:rsid w:val="00F1005F"/>
    <w:rsid w:val="00F1077A"/>
    <w:rsid w:val="00F11321"/>
    <w:rsid w:val="00F13564"/>
    <w:rsid w:val="00F13EFC"/>
    <w:rsid w:val="00F13F58"/>
    <w:rsid w:val="00F13F5E"/>
    <w:rsid w:val="00F144E2"/>
    <w:rsid w:val="00F1576F"/>
    <w:rsid w:val="00F162CE"/>
    <w:rsid w:val="00F162CF"/>
    <w:rsid w:val="00F16853"/>
    <w:rsid w:val="00F16887"/>
    <w:rsid w:val="00F16C24"/>
    <w:rsid w:val="00F16CB2"/>
    <w:rsid w:val="00F171D1"/>
    <w:rsid w:val="00F1799A"/>
    <w:rsid w:val="00F17D79"/>
    <w:rsid w:val="00F209D5"/>
    <w:rsid w:val="00F20DBB"/>
    <w:rsid w:val="00F21749"/>
    <w:rsid w:val="00F21F41"/>
    <w:rsid w:val="00F2344C"/>
    <w:rsid w:val="00F2346E"/>
    <w:rsid w:val="00F23629"/>
    <w:rsid w:val="00F23677"/>
    <w:rsid w:val="00F236A7"/>
    <w:rsid w:val="00F23CD6"/>
    <w:rsid w:val="00F2421D"/>
    <w:rsid w:val="00F243D1"/>
    <w:rsid w:val="00F2557A"/>
    <w:rsid w:val="00F26B6F"/>
    <w:rsid w:val="00F26C51"/>
    <w:rsid w:val="00F26F5C"/>
    <w:rsid w:val="00F271EC"/>
    <w:rsid w:val="00F27814"/>
    <w:rsid w:val="00F278E9"/>
    <w:rsid w:val="00F30224"/>
    <w:rsid w:val="00F30B2D"/>
    <w:rsid w:val="00F30E6F"/>
    <w:rsid w:val="00F30FE4"/>
    <w:rsid w:val="00F31AE4"/>
    <w:rsid w:val="00F32661"/>
    <w:rsid w:val="00F32B4E"/>
    <w:rsid w:val="00F333DE"/>
    <w:rsid w:val="00F33A37"/>
    <w:rsid w:val="00F34473"/>
    <w:rsid w:val="00F347FD"/>
    <w:rsid w:val="00F34D33"/>
    <w:rsid w:val="00F350CE"/>
    <w:rsid w:val="00F35408"/>
    <w:rsid w:val="00F35CB4"/>
    <w:rsid w:val="00F360BC"/>
    <w:rsid w:val="00F36DEC"/>
    <w:rsid w:val="00F37D28"/>
    <w:rsid w:val="00F40988"/>
    <w:rsid w:val="00F41BBE"/>
    <w:rsid w:val="00F4232B"/>
    <w:rsid w:val="00F4237A"/>
    <w:rsid w:val="00F4292F"/>
    <w:rsid w:val="00F42C08"/>
    <w:rsid w:val="00F435D5"/>
    <w:rsid w:val="00F439DA"/>
    <w:rsid w:val="00F447FB"/>
    <w:rsid w:val="00F448C7"/>
    <w:rsid w:val="00F44912"/>
    <w:rsid w:val="00F44C11"/>
    <w:rsid w:val="00F45330"/>
    <w:rsid w:val="00F46102"/>
    <w:rsid w:val="00F470F1"/>
    <w:rsid w:val="00F473CE"/>
    <w:rsid w:val="00F476FE"/>
    <w:rsid w:val="00F47CF3"/>
    <w:rsid w:val="00F47D64"/>
    <w:rsid w:val="00F50294"/>
    <w:rsid w:val="00F504DE"/>
    <w:rsid w:val="00F508F0"/>
    <w:rsid w:val="00F51A84"/>
    <w:rsid w:val="00F51F95"/>
    <w:rsid w:val="00F52098"/>
    <w:rsid w:val="00F52301"/>
    <w:rsid w:val="00F5295A"/>
    <w:rsid w:val="00F52FD6"/>
    <w:rsid w:val="00F53193"/>
    <w:rsid w:val="00F5357E"/>
    <w:rsid w:val="00F5379E"/>
    <w:rsid w:val="00F5462E"/>
    <w:rsid w:val="00F54D8A"/>
    <w:rsid w:val="00F54E67"/>
    <w:rsid w:val="00F55080"/>
    <w:rsid w:val="00F55081"/>
    <w:rsid w:val="00F561DB"/>
    <w:rsid w:val="00F56326"/>
    <w:rsid w:val="00F5647A"/>
    <w:rsid w:val="00F57951"/>
    <w:rsid w:val="00F57E9F"/>
    <w:rsid w:val="00F60098"/>
    <w:rsid w:val="00F60CFB"/>
    <w:rsid w:val="00F615E2"/>
    <w:rsid w:val="00F624C0"/>
    <w:rsid w:val="00F63795"/>
    <w:rsid w:val="00F638FC"/>
    <w:rsid w:val="00F63FC8"/>
    <w:rsid w:val="00F645FC"/>
    <w:rsid w:val="00F6478E"/>
    <w:rsid w:val="00F64A1B"/>
    <w:rsid w:val="00F656D0"/>
    <w:rsid w:val="00F6586C"/>
    <w:rsid w:val="00F65A16"/>
    <w:rsid w:val="00F6600B"/>
    <w:rsid w:val="00F665A6"/>
    <w:rsid w:val="00F6661C"/>
    <w:rsid w:val="00F66DEC"/>
    <w:rsid w:val="00F67113"/>
    <w:rsid w:val="00F67606"/>
    <w:rsid w:val="00F676E3"/>
    <w:rsid w:val="00F67F79"/>
    <w:rsid w:val="00F704B6"/>
    <w:rsid w:val="00F705A0"/>
    <w:rsid w:val="00F70BB6"/>
    <w:rsid w:val="00F70DA8"/>
    <w:rsid w:val="00F72A8E"/>
    <w:rsid w:val="00F73097"/>
    <w:rsid w:val="00F73818"/>
    <w:rsid w:val="00F7393F"/>
    <w:rsid w:val="00F73D1F"/>
    <w:rsid w:val="00F741E0"/>
    <w:rsid w:val="00F7442D"/>
    <w:rsid w:val="00F746F8"/>
    <w:rsid w:val="00F74BD5"/>
    <w:rsid w:val="00F74EE8"/>
    <w:rsid w:val="00F75271"/>
    <w:rsid w:val="00F753EF"/>
    <w:rsid w:val="00F7644E"/>
    <w:rsid w:val="00F764C0"/>
    <w:rsid w:val="00F76636"/>
    <w:rsid w:val="00F76883"/>
    <w:rsid w:val="00F77950"/>
    <w:rsid w:val="00F77E96"/>
    <w:rsid w:val="00F800CD"/>
    <w:rsid w:val="00F80300"/>
    <w:rsid w:val="00F807F2"/>
    <w:rsid w:val="00F81526"/>
    <w:rsid w:val="00F8259B"/>
    <w:rsid w:val="00F838ED"/>
    <w:rsid w:val="00F83A5A"/>
    <w:rsid w:val="00F83CC7"/>
    <w:rsid w:val="00F84186"/>
    <w:rsid w:val="00F847D6"/>
    <w:rsid w:val="00F855C5"/>
    <w:rsid w:val="00F85EE4"/>
    <w:rsid w:val="00F8638B"/>
    <w:rsid w:val="00F8640E"/>
    <w:rsid w:val="00F865D8"/>
    <w:rsid w:val="00F86669"/>
    <w:rsid w:val="00F86946"/>
    <w:rsid w:val="00F86F74"/>
    <w:rsid w:val="00F87144"/>
    <w:rsid w:val="00F8756D"/>
    <w:rsid w:val="00F878EC"/>
    <w:rsid w:val="00F87C4E"/>
    <w:rsid w:val="00F9038B"/>
    <w:rsid w:val="00F912DD"/>
    <w:rsid w:val="00F918AD"/>
    <w:rsid w:val="00F91C6A"/>
    <w:rsid w:val="00F91CFC"/>
    <w:rsid w:val="00F92A63"/>
    <w:rsid w:val="00F92AC4"/>
    <w:rsid w:val="00F93149"/>
    <w:rsid w:val="00F934D6"/>
    <w:rsid w:val="00F9363C"/>
    <w:rsid w:val="00F94611"/>
    <w:rsid w:val="00F946F9"/>
    <w:rsid w:val="00F94774"/>
    <w:rsid w:val="00F94CB8"/>
    <w:rsid w:val="00F95562"/>
    <w:rsid w:val="00F95AFB"/>
    <w:rsid w:val="00F95E52"/>
    <w:rsid w:val="00F9742D"/>
    <w:rsid w:val="00F97989"/>
    <w:rsid w:val="00FA03C6"/>
    <w:rsid w:val="00FA0DFB"/>
    <w:rsid w:val="00FA13E6"/>
    <w:rsid w:val="00FA1FB0"/>
    <w:rsid w:val="00FA21EC"/>
    <w:rsid w:val="00FA2607"/>
    <w:rsid w:val="00FA2791"/>
    <w:rsid w:val="00FA3453"/>
    <w:rsid w:val="00FA3F23"/>
    <w:rsid w:val="00FA451B"/>
    <w:rsid w:val="00FA55F5"/>
    <w:rsid w:val="00FA58A5"/>
    <w:rsid w:val="00FA5F89"/>
    <w:rsid w:val="00FA643A"/>
    <w:rsid w:val="00FA663B"/>
    <w:rsid w:val="00FA6A89"/>
    <w:rsid w:val="00FA6CC0"/>
    <w:rsid w:val="00FA6E60"/>
    <w:rsid w:val="00FA7000"/>
    <w:rsid w:val="00FB028A"/>
    <w:rsid w:val="00FB07AB"/>
    <w:rsid w:val="00FB1AE5"/>
    <w:rsid w:val="00FB1DC7"/>
    <w:rsid w:val="00FB2186"/>
    <w:rsid w:val="00FB2E4B"/>
    <w:rsid w:val="00FB4671"/>
    <w:rsid w:val="00FB4811"/>
    <w:rsid w:val="00FB4AFF"/>
    <w:rsid w:val="00FB4E50"/>
    <w:rsid w:val="00FB4E99"/>
    <w:rsid w:val="00FB506D"/>
    <w:rsid w:val="00FB5D2C"/>
    <w:rsid w:val="00FB6976"/>
    <w:rsid w:val="00FB69A6"/>
    <w:rsid w:val="00FB758A"/>
    <w:rsid w:val="00FB77D2"/>
    <w:rsid w:val="00FC01A8"/>
    <w:rsid w:val="00FC0FEA"/>
    <w:rsid w:val="00FC1188"/>
    <w:rsid w:val="00FC1668"/>
    <w:rsid w:val="00FC1D48"/>
    <w:rsid w:val="00FC1EDA"/>
    <w:rsid w:val="00FC251F"/>
    <w:rsid w:val="00FC2ABA"/>
    <w:rsid w:val="00FC2C13"/>
    <w:rsid w:val="00FC306A"/>
    <w:rsid w:val="00FC44F4"/>
    <w:rsid w:val="00FC53DB"/>
    <w:rsid w:val="00FC5754"/>
    <w:rsid w:val="00FC6B66"/>
    <w:rsid w:val="00FC7161"/>
    <w:rsid w:val="00FC7766"/>
    <w:rsid w:val="00FD19E1"/>
    <w:rsid w:val="00FD1AB4"/>
    <w:rsid w:val="00FD23B9"/>
    <w:rsid w:val="00FD26BE"/>
    <w:rsid w:val="00FD2AB6"/>
    <w:rsid w:val="00FD2D0A"/>
    <w:rsid w:val="00FD36E9"/>
    <w:rsid w:val="00FD4224"/>
    <w:rsid w:val="00FD4734"/>
    <w:rsid w:val="00FD4E9C"/>
    <w:rsid w:val="00FD6DFE"/>
    <w:rsid w:val="00FE073C"/>
    <w:rsid w:val="00FE0A4B"/>
    <w:rsid w:val="00FE0CAC"/>
    <w:rsid w:val="00FE0EA6"/>
    <w:rsid w:val="00FE123C"/>
    <w:rsid w:val="00FE18D4"/>
    <w:rsid w:val="00FE1FB8"/>
    <w:rsid w:val="00FE2204"/>
    <w:rsid w:val="00FE2C71"/>
    <w:rsid w:val="00FE3239"/>
    <w:rsid w:val="00FE3D78"/>
    <w:rsid w:val="00FE3DB8"/>
    <w:rsid w:val="00FE4FAE"/>
    <w:rsid w:val="00FE5B2A"/>
    <w:rsid w:val="00FE5CCF"/>
    <w:rsid w:val="00FE62C9"/>
    <w:rsid w:val="00FE680A"/>
    <w:rsid w:val="00FE695E"/>
    <w:rsid w:val="00FE6A63"/>
    <w:rsid w:val="00FE6B9F"/>
    <w:rsid w:val="00FE7F9B"/>
    <w:rsid w:val="00FF04C2"/>
    <w:rsid w:val="00FF1264"/>
    <w:rsid w:val="00FF1BF8"/>
    <w:rsid w:val="00FF201F"/>
    <w:rsid w:val="00FF24AB"/>
    <w:rsid w:val="00FF294A"/>
    <w:rsid w:val="00FF2E52"/>
    <w:rsid w:val="00FF309B"/>
    <w:rsid w:val="00FF4E4B"/>
    <w:rsid w:val="00FF50C3"/>
    <w:rsid w:val="00FF5423"/>
    <w:rsid w:val="00FF694E"/>
    <w:rsid w:val="00FF771E"/>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51C6CFD"/>
  <w15:docId w15:val="{06F1586B-91A7-4BC2-8C5D-5433B09D55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s-E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66063"/>
    <w:pPr>
      <w:tabs>
        <w:tab w:val="left" w:pos="567"/>
        <w:tab w:val="left" w:pos="1134"/>
        <w:tab w:val="left" w:pos="1701"/>
        <w:tab w:val="left" w:pos="2268"/>
      </w:tabs>
      <w:jc w:val="both"/>
    </w:pPr>
    <w:rPr>
      <w:rFonts w:ascii="Times New Roman" w:eastAsia="SimSun" w:hAnsi="Times New Roman" w:cs="Times New Roman"/>
      <w:sz w:val="22"/>
      <w:szCs w:val="22"/>
    </w:rPr>
  </w:style>
  <w:style w:type="paragraph" w:styleId="Ttulo1">
    <w:name w:val="heading 1"/>
    <w:basedOn w:val="Normal"/>
    <w:next w:val="Ttulo2"/>
    <w:link w:val="Ttulo1Car"/>
    <w:uiPriority w:val="9"/>
    <w:qFormat/>
    <w:rsid w:val="00866063"/>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Ttulo2">
    <w:name w:val="heading 2"/>
    <w:basedOn w:val="Normal"/>
    <w:next w:val="CBDNormalNumber"/>
    <w:link w:val="Ttulo2Car"/>
    <w:uiPriority w:val="9"/>
    <w:qFormat/>
    <w:rsid w:val="00866063"/>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Ttulo3">
    <w:name w:val="heading 3"/>
    <w:basedOn w:val="Normal"/>
    <w:next w:val="CBDNormalNumber"/>
    <w:link w:val="Ttulo3Car"/>
    <w:uiPriority w:val="9"/>
    <w:qFormat/>
    <w:rsid w:val="00866063"/>
    <w:pPr>
      <w:keepNext/>
      <w:keepLines/>
      <w:numPr>
        <w:ilvl w:val="2"/>
        <w:numId w:val="6"/>
      </w:numPr>
      <w:spacing w:before="120" w:after="120"/>
      <w:jc w:val="left"/>
      <w:outlineLvl w:val="2"/>
    </w:pPr>
    <w:rPr>
      <w:rFonts w:eastAsiaTheme="majorEastAsia"/>
      <w:b/>
      <w:bCs/>
    </w:rPr>
  </w:style>
  <w:style w:type="paragraph" w:styleId="Ttulo4">
    <w:name w:val="heading 4"/>
    <w:basedOn w:val="Normal"/>
    <w:next w:val="CBDNormalNumber"/>
    <w:link w:val="Ttulo4Car"/>
    <w:uiPriority w:val="9"/>
    <w:qFormat/>
    <w:rsid w:val="00866063"/>
    <w:pPr>
      <w:keepNext/>
      <w:numPr>
        <w:ilvl w:val="3"/>
        <w:numId w:val="6"/>
      </w:numPr>
      <w:spacing w:before="120" w:after="120"/>
      <w:jc w:val="left"/>
      <w:outlineLvl w:val="3"/>
    </w:pPr>
    <w:rPr>
      <w:rFonts w:eastAsiaTheme="majorEastAsia"/>
      <w:b/>
      <w:bCs/>
    </w:rPr>
  </w:style>
  <w:style w:type="paragraph" w:styleId="Ttulo5">
    <w:name w:val="heading 5"/>
    <w:basedOn w:val="Normal"/>
    <w:next w:val="Normal"/>
    <w:link w:val="Ttulo5Car"/>
    <w:uiPriority w:val="9"/>
    <w:qFormat/>
    <w:rsid w:val="00866063"/>
    <w:pPr>
      <w:keepNext/>
      <w:numPr>
        <w:ilvl w:val="4"/>
        <w:numId w:val="6"/>
      </w:numPr>
      <w:spacing w:before="120" w:after="120"/>
      <w:jc w:val="left"/>
      <w:outlineLvl w:val="4"/>
    </w:pPr>
    <w:rPr>
      <w:rFonts w:eastAsiaTheme="majorEastAsia"/>
      <w:i/>
      <w:iCs/>
    </w:rPr>
  </w:style>
  <w:style w:type="paragraph" w:styleId="Ttulo6">
    <w:name w:val="heading 6"/>
    <w:basedOn w:val="Normal"/>
    <w:next w:val="Normal"/>
    <w:link w:val="Ttulo6Car"/>
    <w:rsid w:val="00866063"/>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Ttulo7">
    <w:name w:val="heading 7"/>
    <w:basedOn w:val="Normal"/>
    <w:next w:val="Normal"/>
    <w:link w:val="Ttulo7Car"/>
    <w:rsid w:val="00866063"/>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Ttulo8">
    <w:name w:val="heading 8"/>
    <w:basedOn w:val="Normal"/>
    <w:next w:val="Normal"/>
    <w:link w:val="Ttulo8Car"/>
    <w:rsid w:val="00866063"/>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Ttulo9">
    <w:name w:val="heading 9"/>
    <w:basedOn w:val="Normal"/>
    <w:next w:val="Normal"/>
    <w:link w:val="Ttulo9Car"/>
    <w:rsid w:val="00866063"/>
    <w:pPr>
      <w:keepNext/>
      <w:widowControl w:val="0"/>
      <w:numPr>
        <w:ilvl w:val="8"/>
        <w:numId w:val="4"/>
      </w:numPr>
      <w:suppressAutoHyphens/>
      <w:jc w:val="left"/>
      <w:outlineLvl w:val="8"/>
    </w:pPr>
    <w:rPr>
      <w:snapToGrid w:val="0"/>
      <w:u w:val="singl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globo">
    <w:name w:val="Balloon Text"/>
    <w:basedOn w:val="Normal"/>
    <w:link w:val="TextodegloboCar"/>
    <w:uiPriority w:val="99"/>
    <w:semiHidden/>
    <w:unhideWhenUsed/>
    <w:rsid w:val="00C9161D"/>
    <w:rPr>
      <w:rFonts w:ascii="Lucida Grande" w:hAnsi="Lucida Grande" w:cs="Lucida Grande"/>
      <w:sz w:val="18"/>
      <w:szCs w:val="18"/>
    </w:rPr>
  </w:style>
  <w:style w:type="character" w:customStyle="1" w:styleId="TextodegloboCar">
    <w:name w:val="Texto de globo Car"/>
    <w:basedOn w:val="Fuentedeprrafopredeter"/>
    <w:link w:val="Textodeglobo"/>
    <w:uiPriority w:val="99"/>
    <w:semiHidden/>
    <w:rsid w:val="00C9161D"/>
    <w:rPr>
      <w:rFonts w:ascii="Lucida Grande" w:eastAsia="SimSun" w:hAnsi="Lucida Grande" w:cs="Lucida Grande"/>
      <w:sz w:val="18"/>
      <w:szCs w:val="18"/>
      <w:lang w:val="es-ES"/>
    </w:rPr>
  </w:style>
  <w:style w:type="character" w:styleId="Textodelmarcadordeposicin">
    <w:name w:val="Placeholder Text"/>
    <w:basedOn w:val="Fuentedeprrafopredeter"/>
    <w:uiPriority w:val="99"/>
    <w:semiHidden/>
    <w:rsid w:val="00105372"/>
    <w:rPr>
      <w:color w:val="808080"/>
      <w:lang w:val="es-ES"/>
    </w:rPr>
  </w:style>
  <w:style w:type="paragraph" w:styleId="Encabezado">
    <w:name w:val="header"/>
    <w:basedOn w:val="Normal"/>
    <w:link w:val="EncabezadoCar"/>
    <w:rsid w:val="00866063"/>
    <w:pPr>
      <w:pBdr>
        <w:bottom w:val="single" w:sz="4" w:space="1" w:color="auto"/>
      </w:pBdr>
      <w:tabs>
        <w:tab w:val="center" w:pos="4680"/>
        <w:tab w:val="right" w:pos="9360"/>
      </w:tabs>
      <w:jc w:val="left"/>
    </w:pPr>
    <w:rPr>
      <w:sz w:val="20"/>
    </w:rPr>
  </w:style>
  <w:style w:type="character" w:customStyle="1" w:styleId="EncabezadoCar">
    <w:name w:val="Encabezado Car"/>
    <w:basedOn w:val="Fuentedeprrafopredeter"/>
    <w:link w:val="Encabezado"/>
    <w:rsid w:val="00866063"/>
    <w:rPr>
      <w:rFonts w:ascii="Times New Roman" w:eastAsia="SimSun" w:hAnsi="Times New Roman" w:cs="Times New Roman"/>
      <w:sz w:val="20"/>
      <w:szCs w:val="22"/>
      <w:lang w:val="es-ES"/>
    </w:rPr>
  </w:style>
  <w:style w:type="paragraph" w:styleId="Piedepgina">
    <w:name w:val="footer"/>
    <w:basedOn w:val="Normal"/>
    <w:link w:val="PiedepginaCar"/>
    <w:uiPriority w:val="99"/>
    <w:rsid w:val="00866063"/>
    <w:pPr>
      <w:tabs>
        <w:tab w:val="center" w:pos="4680"/>
        <w:tab w:val="right" w:pos="9360"/>
      </w:tabs>
    </w:pPr>
    <w:rPr>
      <w:sz w:val="20"/>
    </w:rPr>
  </w:style>
  <w:style w:type="character" w:customStyle="1" w:styleId="PiedepginaCar">
    <w:name w:val="Pie de página Car"/>
    <w:basedOn w:val="Fuentedeprrafopredeter"/>
    <w:link w:val="Piedepgina"/>
    <w:uiPriority w:val="99"/>
    <w:rsid w:val="00866063"/>
    <w:rPr>
      <w:rFonts w:ascii="Times New Roman" w:eastAsia="SimSun" w:hAnsi="Times New Roman" w:cs="Times New Roman"/>
      <w:sz w:val="20"/>
      <w:szCs w:val="22"/>
      <w:lang w:val="es-ES"/>
    </w:rPr>
  </w:style>
  <w:style w:type="paragraph" w:customStyle="1" w:styleId="meetingname">
    <w:name w:val="meeting name"/>
    <w:basedOn w:val="Normal"/>
    <w:qFormat/>
    <w:rsid w:val="00534681"/>
    <w:pPr>
      <w:ind w:left="142" w:right="4218" w:hanging="142"/>
    </w:pPr>
    <w:rPr>
      <w:caps/>
    </w:rPr>
  </w:style>
  <w:style w:type="paragraph" w:styleId="Ttulo">
    <w:name w:val="Title"/>
    <w:basedOn w:val="Normal"/>
    <w:next w:val="Normal"/>
    <w:link w:val="TtuloC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ar">
    <w:name w:val="Título Car"/>
    <w:basedOn w:val="Fuentedeprrafopredeter"/>
    <w:link w:val="Ttulo"/>
    <w:uiPriority w:val="10"/>
    <w:rsid w:val="007E09DA"/>
    <w:rPr>
      <w:rFonts w:asciiTheme="majorHAnsi" w:eastAsiaTheme="majorEastAsia" w:hAnsiTheme="majorHAnsi" w:cstheme="majorBidi"/>
      <w:color w:val="17365D" w:themeColor="text2" w:themeShade="BF"/>
      <w:spacing w:val="5"/>
      <w:kern w:val="28"/>
      <w:sz w:val="52"/>
      <w:szCs w:val="52"/>
      <w:lang w:val="es-ES"/>
    </w:rPr>
  </w:style>
  <w:style w:type="paragraph" w:styleId="Subttulo">
    <w:name w:val="Subtitle"/>
    <w:basedOn w:val="Normal"/>
    <w:next w:val="Normal"/>
    <w:link w:val="SubttuloC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tuloCar">
    <w:name w:val="Subtítulo Car"/>
    <w:basedOn w:val="Fuentedeprrafopredeter"/>
    <w:link w:val="Subttulo"/>
    <w:uiPriority w:val="11"/>
    <w:rsid w:val="007E09DA"/>
    <w:rPr>
      <w:rFonts w:asciiTheme="majorHAnsi" w:eastAsiaTheme="majorEastAsia" w:hAnsiTheme="majorHAnsi" w:cstheme="majorBidi"/>
      <w:i/>
      <w:iCs/>
      <w:color w:val="4F81BD" w:themeColor="accent1"/>
      <w:spacing w:val="15"/>
      <w:szCs w:val="22"/>
      <w:lang w:val="es-ES"/>
    </w:rPr>
  </w:style>
  <w:style w:type="character" w:customStyle="1" w:styleId="Ttulo1Car">
    <w:name w:val="Título 1 Car"/>
    <w:basedOn w:val="Fuentedeprrafopredeter"/>
    <w:link w:val="Ttulo1"/>
    <w:uiPriority w:val="9"/>
    <w:rsid w:val="00866063"/>
    <w:rPr>
      <w:rFonts w:ascii="Times New Roman" w:eastAsiaTheme="majorEastAsia" w:hAnsi="Times New Roman" w:cstheme="majorBidi"/>
      <w:b/>
      <w:bCs/>
      <w:kern w:val="2"/>
      <w:sz w:val="28"/>
      <w:szCs w:val="32"/>
      <w14:ligatures w14:val="standardContextual"/>
    </w:rPr>
  </w:style>
  <w:style w:type="paragraph" w:styleId="Textoindependiente">
    <w:name w:val="Body Text"/>
    <w:basedOn w:val="Normal"/>
    <w:link w:val="TextoindependienteCar"/>
    <w:uiPriority w:val="99"/>
    <w:unhideWhenUsed/>
    <w:rsid w:val="00866063"/>
    <w:pPr>
      <w:spacing w:after="120" w:line="259" w:lineRule="auto"/>
      <w:jc w:val="left"/>
    </w:pPr>
    <w:rPr>
      <w:rFonts w:asciiTheme="minorHAnsi" w:eastAsiaTheme="minorHAnsi" w:hAnsiTheme="minorHAnsi" w:cstheme="minorBidi"/>
      <w:kern w:val="2"/>
      <w14:ligatures w14:val="standardContextual"/>
    </w:rPr>
  </w:style>
  <w:style w:type="character" w:customStyle="1" w:styleId="TextoindependienteCar">
    <w:name w:val="Texto independiente Car"/>
    <w:basedOn w:val="Fuentedeprrafopredeter"/>
    <w:link w:val="Textoindependiente"/>
    <w:uiPriority w:val="99"/>
    <w:rsid w:val="00866063"/>
    <w:rPr>
      <w:rFonts w:eastAsiaTheme="minorHAnsi"/>
      <w:kern w:val="2"/>
      <w:sz w:val="22"/>
      <w:szCs w:val="22"/>
      <w:lang w:val="es-ES"/>
      <w14:ligatures w14:val="standardContextual"/>
    </w:rPr>
  </w:style>
  <w:style w:type="paragraph" w:styleId="Sangradetextonormal">
    <w:name w:val="Body Text Indent"/>
    <w:basedOn w:val="Normal"/>
    <w:link w:val="SangradetextonormalCar"/>
    <w:rsid w:val="007E09DA"/>
    <w:pPr>
      <w:spacing w:before="120" w:after="120"/>
      <w:ind w:left="1440" w:hanging="720"/>
      <w:jc w:val="left"/>
    </w:pPr>
  </w:style>
  <w:style w:type="character" w:customStyle="1" w:styleId="SangradetextonormalCar">
    <w:name w:val="Sangría de texto normal Car"/>
    <w:basedOn w:val="Fuentedeprrafopredeter"/>
    <w:link w:val="Sangradetextonormal"/>
    <w:rsid w:val="007E09DA"/>
    <w:rPr>
      <w:rFonts w:ascii="Times New Roman" w:eastAsia="SimSun" w:hAnsi="Times New Roman" w:cs="Times New Roman"/>
      <w:sz w:val="22"/>
      <w:szCs w:val="22"/>
      <w:lang w:val="es-ES"/>
    </w:rPr>
  </w:style>
  <w:style w:type="character" w:styleId="Refdecomentario">
    <w:name w:val="annotation reference"/>
    <w:basedOn w:val="Fuentedeprrafopredeter"/>
    <w:uiPriority w:val="99"/>
    <w:unhideWhenUsed/>
    <w:rsid w:val="00866063"/>
    <w:rPr>
      <w:sz w:val="16"/>
      <w:szCs w:val="16"/>
      <w:lang w:val="es-ES"/>
    </w:rPr>
  </w:style>
  <w:style w:type="paragraph" w:styleId="Textocomentario">
    <w:name w:val="annotation text"/>
    <w:basedOn w:val="Normal"/>
    <w:link w:val="TextocomentarioCar"/>
    <w:uiPriority w:val="99"/>
    <w:rsid w:val="00866063"/>
    <w:rPr>
      <w:sz w:val="20"/>
      <w:szCs w:val="20"/>
    </w:rPr>
  </w:style>
  <w:style w:type="character" w:customStyle="1" w:styleId="TextocomentarioCar">
    <w:name w:val="Texto comentario Car"/>
    <w:basedOn w:val="Fuentedeprrafopredeter"/>
    <w:link w:val="Textocomentario"/>
    <w:uiPriority w:val="99"/>
    <w:rsid w:val="00866063"/>
    <w:rPr>
      <w:rFonts w:ascii="Times New Roman" w:eastAsia="SimSun" w:hAnsi="Times New Roman" w:cs="Times New Roman"/>
      <w:sz w:val="20"/>
      <w:szCs w:val="20"/>
      <w:lang w:val="es-ES"/>
    </w:rPr>
  </w:style>
  <w:style w:type="paragraph" w:customStyle="1" w:styleId="Cornernotation">
    <w:name w:val="Corner notation"/>
    <w:basedOn w:val="Normal"/>
    <w:rsid w:val="007E09DA"/>
    <w:pPr>
      <w:ind w:left="170" w:right="3119" w:hanging="170"/>
      <w:jc w:val="left"/>
    </w:pPr>
  </w:style>
  <w:style w:type="character" w:styleId="Refdenotaalfinal">
    <w:name w:val="endnote reference"/>
    <w:semiHidden/>
    <w:rsid w:val="007E09DA"/>
    <w:rPr>
      <w:vertAlign w:val="superscript"/>
      <w:lang w:val="es-ES"/>
    </w:rPr>
  </w:style>
  <w:style w:type="paragraph" w:styleId="Textonotaalfinal">
    <w:name w:val="endnote text"/>
    <w:basedOn w:val="Normal"/>
    <w:link w:val="TextonotaalfinalCar"/>
    <w:semiHidden/>
    <w:rsid w:val="007E09DA"/>
    <w:pPr>
      <w:widowControl w:val="0"/>
      <w:tabs>
        <w:tab w:val="left" w:pos="-720"/>
      </w:tabs>
      <w:suppressAutoHyphens/>
    </w:pPr>
    <w:rPr>
      <w:rFonts w:ascii="Courier New" w:hAnsi="Courier New"/>
    </w:rPr>
  </w:style>
  <w:style w:type="character" w:customStyle="1" w:styleId="TextonotaalfinalCar">
    <w:name w:val="Texto nota al final Car"/>
    <w:basedOn w:val="Fuentedeprrafopredeter"/>
    <w:link w:val="Textonotaalfinal"/>
    <w:semiHidden/>
    <w:rsid w:val="007E09DA"/>
    <w:rPr>
      <w:rFonts w:ascii="Courier New" w:eastAsia="SimSun" w:hAnsi="Courier New" w:cs="Times New Roman"/>
      <w:sz w:val="22"/>
      <w:szCs w:val="22"/>
      <w:lang w:val="es-ES"/>
    </w:rPr>
  </w:style>
  <w:style w:type="character" w:styleId="Hipervnculovisitado">
    <w:name w:val="FollowedHyperlink"/>
    <w:rsid w:val="007E09DA"/>
    <w:rPr>
      <w:color w:val="800080"/>
      <w:u w:val="single"/>
      <w:lang w:val="es-ES"/>
    </w:rPr>
  </w:style>
  <w:style w:type="character" w:styleId="Refdenotaalpie">
    <w:name w:val="footnote reference"/>
    <w:aliases w:val="number,Footnote Reference Superscript,-E Fußnotenzeichen,(Diplomarbeit FZ),(Diplomarbeit FZ)1,(Diplomarbeit FZ)2,(Diplomarbeit FZ)3,(Diplomarbeit FZ)4,(Diplomarbeit FZ)5,(Diplomarbeit FZ)6,(Diplomarbeit FZ)7,(Diplomarbeit FZ)8"/>
    <w:basedOn w:val="Fuentedeprrafopredeter"/>
    <w:link w:val="BVIfnrChar"/>
    <w:uiPriority w:val="99"/>
    <w:unhideWhenUsed/>
    <w:qFormat/>
    <w:rsid w:val="00866063"/>
    <w:rPr>
      <w:vertAlign w:val="superscript"/>
      <w:lang w:val="es-ES"/>
    </w:rPr>
  </w:style>
  <w:style w:type="paragraph" w:styleId="Textonotapie">
    <w:name w:val="footnote text"/>
    <w:aliases w:val="Geneva 9,Font: Geneva 9,Boston 10,f,ft,Fotnotstext Char,ft Char,single space,footnote text,FOOTNOTES,ADB,single space1,footnote text1,FOOTNOTES1,fn1,ADB1,single space2,footnote text2,FOOTNOTES2,fn2,ADB2,single space3,fn3,fn,footnote text3"/>
    <w:basedOn w:val="Normal"/>
    <w:link w:val="TextonotapieCar"/>
    <w:uiPriority w:val="99"/>
    <w:unhideWhenUsed/>
    <w:qFormat/>
    <w:rsid w:val="00866063"/>
    <w:pPr>
      <w:jc w:val="left"/>
    </w:pPr>
    <w:rPr>
      <w:sz w:val="18"/>
      <w:szCs w:val="20"/>
    </w:rPr>
  </w:style>
  <w:style w:type="character" w:customStyle="1" w:styleId="TextonotapieCar">
    <w:name w:val="Texto nota pie Car"/>
    <w:aliases w:val="Geneva 9 Car,Font: Geneva 9 Car,Boston 10 Car,f Car,ft Car,Fotnotstext Char Car,ft Char Car,single space Car,footnote text Car,FOOTNOTES Car,ADB Car,single space1 Car,footnote text1 Car,FOOTNOTES1 Car,fn1 Car,ADB1 Car,FOOTNOTES2 Car"/>
    <w:basedOn w:val="Fuentedeprrafopredeter"/>
    <w:link w:val="Textonotapie"/>
    <w:uiPriority w:val="99"/>
    <w:qFormat/>
    <w:rsid w:val="00866063"/>
    <w:rPr>
      <w:rFonts w:ascii="Times New Roman" w:eastAsia="SimSun" w:hAnsi="Times New Roman" w:cs="Times New Roman"/>
      <w:sz w:val="18"/>
      <w:szCs w:val="20"/>
      <w:lang w:val="es-ES"/>
    </w:rPr>
  </w:style>
  <w:style w:type="paragraph" w:customStyle="1" w:styleId="HEADING">
    <w:name w:val="HEADING"/>
    <w:basedOn w:val="Normal"/>
    <w:rsid w:val="007E09DA"/>
    <w:pPr>
      <w:keepNext/>
      <w:spacing w:before="240" w:after="120"/>
      <w:jc w:val="center"/>
    </w:pPr>
    <w:rPr>
      <w:b/>
      <w:bCs/>
      <w:caps/>
    </w:rPr>
  </w:style>
  <w:style w:type="character" w:customStyle="1" w:styleId="Ttulo2Car">
    <w:name w:val="Título 2 Car"/>
    <w:basedOn w:val="Fuentedeprrafopredeter"/>
    <w:link w:val="Ttulo2"/>
    <w:uiPriority w:val="9"/>
    <w:rsid w:val="00866063"/>
    <w:rPr>
      <w:rFonts w:ascii="Times New Roman Bold" w:eastAsiaTheme="majorEastAsia" w:hAnsi="Times New Roman Bold" w:cstheme="majorBidi"/>
      <w:b/>
      <w:szCs w:val="26"/>
    </w:rPr>
  </w:style>
  <w:style w:type="paragraph" w:customStyle="1" w:styleId="HEADINGNOTFORTOC">
    <w:name w:val="HEADING (NOT FOR TOC)"/>
    <w:basedOn w:val="Ttulo1"/>
    <w:next w:val="Ttulo2"/>
    <w:rsid w:val="007E09DA"/>
  </w:style>
  <w:style w:type="paragraph" w:customStyle="1" w:styleId="Heading1longmultiline">
    <w:name w:val="Heading 1 (long multiline)"/>
    <w:basedOn w:val="Ttulo1"/>
    <w:rsid w:val="007E09DA"/>
    <w:pPr>
      <w:ind w:left="1843" w:hanging="1134"/>
    </w:pPr>
  </w:style>
  <w:style w:type="paragraph" w:customStyle="1" w:styleId="Heading1multiline">
    <w:name w:val="Heading 1 (multiline)"/>
    <w:basedOn w:val="Ttulo1"/>
    <w:rsid w:val="007E09DA"/>
    <w:pPr>
      <w:ind w:left="1843" w:right="996"/>
    </w:pPr>
  </w:style>
  <w:style w:type="paragraph" w:customStyle="1" w:styleId="Heading2multiline">
    <w:name w:val="Heading 2 (multiline)"/>
    <w:basedOn w:val="Ttulo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Ttulo3Car">
    <w:name w:val="Título 3 Car"/>
    <w:basedOn w:val="Fuentedeprrafopredeter"/>
    <w:link w:val="Ttulo3"/>
    <w:uiPriority w:val="9"/>
    <w:rsid w:val="00866063"/>
    <w:rPr>
      <w:rFonts w:ascii="Times New Roman" w:eastAsiaTheme="majorEastAsia" w:hAnsi="Times New Roman" w:cs="Times New Roman"/>
      <w:b/>
      <w:bCs/>
      <w:sz w:val="22"/>
      <w:szCs w:val="22"/>
    </w:rPr>
  </w:style>
  <w:style w:type="paragraph" w:customStyle="1" w:styleId="heading2notforTOC">
    <w:name w:val="heading 2 not for TOC"/>
    <w:basedOn w:val="Ttulo3"/>
    <w:rsid w:val="007E09DA"/>
  </w:style>
  <w:style w:type="paragraph" w:customStyle="1" w:styleId="Heading3multiline">
    <w:name w:val="Heading 3 (multiline)"/>
    <w:basedOn w:val="Ttulo3"/>
    <w:next w:val="Normal"/>
    <w:rsid w:val="007E09DA"/>
    <w:pPr>
      <w:ind w:left="1418" w:hanging="425"/>
    </w:pPr>
  </w:style>
  <w:style w:type="character" w:customStyle="1" w:styleId="Ttulo4Car">
    <w:name w:val="Título 4 Car"/>
    <w:basedOn w:val="Fuentedeprrafopredeter"/>
    <w:link w:val="Ttulo4"/>
    <w:uiPriority w:val="9"/>
    <w:rsid w:val="00866063"/>
    <w:rPr>
      <w:rFonts w:ascii="Times New Roman" w:eastAsiaTheme="majorEastAsia" w:hAnsi="Times New Roman" w:cs="Times New Roman"/>
      <w:b/>
      <w:bCs/>
      <w:sz w:val="22"/>
      <w:szCs w:val="22"/>
    </w:rPr>
  </w:style>
  <w:style w:type="paragraph" w:customStyle="1" w:styleId="Heading4indent">
    <w:name w:val="Heading 4 indent"/>
    <w:basedOn w:val="Ttulo4"/>
    <w:rsid w:val="007E09DA"/>
    <w:pPr>
      <w:ind w:left="720"/>
      <w:outlineLvl w:val="9"/>
    </w:pPr>
  </w:style>
  <w:style w:type="character" w:customStyle="1" w:styleId="Ttulo5Car">
    <w:name w:val="Título 5 Car"/>
    <w:basedOn w:val="Fuentedeprrafopredeter"/>
    <w:link w:val="Ttulo5"/>
    <w:uiPriority w:val="9"/>
    <w:rsid w:val="00866063"/>
    <w:rPr>
      <w:rFonts w:ascii="Times New Roman" w:eastAsiaTheme="majorEastAsia" w:hAnsi="Times New Roman" w:cs="Times New Roman"/>
      <w:i/>
      <w:iCs/>
      <w:sz w:val="22"/>
      <w:szCs w:val="22"/>
    </w:rPr>
  </w:style>
  <w:style w:type="character" w:customStyle="1" w:styleId="Ttulo6Car">
    <w:name w:val="Título 6 Car"/>
    <w:basedOn w:val="Fuentedeprrafopredeter"/>
    <w:link w:val="Ttulo6"/>
    <w:rsid w:val="00866063"/>
    <w:rPr>
      <w:rFonts w:ascii="Times New Roman" w:eastAsia="SimSun" w:hAnsi="Times New Roman" w:cs="Times New Roman"/>
      <w:bCs/>
      <w:szCs w:val="22"/>
    </w:rPr>
  </w:style>
  <w:style w:type="character" w:customStyle="1" w:styleId="Ttulo7Car">
    <w:name w:val="Título 7 Car"/>
    <w:basedOn w:val="Fuentedeprrafopredeter"/>
    <w:link w:val="Ttulo7"/>
    <w:rsid w:val="00866063"/>
    <w:rPr>
      <w:rFonts w:ascii="Times New Roman" w:eastAsia="SimSun" w:hAnsi="Times New Roman" w:cs="Times New Roman"/>
      <w:b/>
      <w:snapToGrid w:val="0"/>
      <w:sz w:val="22"/>
      <w:szCs w:val="22"/>
      <w:u w:val="single"/>
    </w:rPr>
  </w:style>
  <w:style w:type="character" w:customStyle="1" w:styleId="Ttulo8Car">
    <w:name w:val="Título 8 Car"/>
    <w:basedOn w:val="Fuentedeprrafopredeter"/>
    <w:link w:val="Ttulo8"/>
    <w:rsid w:val="00866063"/>
    <w:rPr>
      <w:rFonts w:ascii="Times New Roman" w:eastAsia="SimSun" w:hAnsi="Times New Roman" w:cs="Times New Roman"/>
      <w:b/>
      <w:snapToGrid w:val="0"/>
      <w:sz w:val="22"/>
      <w:szCs w:val="22"/>
      <w:u w:val="single"/>
    </w:rPr>
  </w:style>
  <w:style w:type="character" w:customStyle="1" w:styleId="Ttulo9Car">
    <w:name w:val="Título 9 Car"/>
    <w:basedOn w:val="Fuentedeprrafopredeter"/>
    <w:link w:val="Ttulo9"/>
    <w:rsid w:val="00866063"/>
    <w:rPr>
      <w:rFonts w:ascii="Times New Roman" w:eastAsia="SimSun" w:hAnsi="Times New Roman" w:cs="Times New Roman"/>
      <w:snapToGrid w:val="0"/>
      <w:sz w:val="22"/>
      <w:szCs w:val="22"/>
      <w:u w:val="single"/>
    </w:rPr>
  </w:style>
  <w:style w:type="character" w:styleId="Nmerodepgina">
    <w:name w:val="page number"/>
    <w:rsid w:val="007E09DA"/>
    <w:rPr>
      <w:rFonts w:ascii="Times New Roman" w:hAnsi="Times New Roman"/>
      <w:sz w:val="22"/>
      <w:lang w:val="es-ES"/>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Ttulo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Ttulo9"/>
    <w:qFormat/>
    <w:rsid w:val="007E09DA"/>
    <w:rPr>
      <w:i/>
      <w:sz w:val="18"/>
    </w:rPr>
  </w:style>
  <w:style w:type="character" w:customStyle="1" w:styleId="StyleFootnoteReferenceNounderline">
    <w:name w:val="Style Footnote Reference + No underline"/>
    <w:rsid w:val="007E09DA"/>
    <w:rPr>
      <w:sz w:val="18"/>
      <w:u w:val="none"/>
      <w:vertAlign w:val="baseline"/>
      <w:lang w:val="es-ES"/>
    </w:rPr>
  </w:style>
  <w:style w:type="paragraph" w:customStyle="1" w:styleId="tabletitle">
    <w:name w:val="table title"/>
    <w:basedOn w:val="Ttulo2"/>
    <w:qFormat/>
    <w:rsid w:val="0093169E"/>
    <w:pPr>
      <w:outlineLvl w:val="9"/>
    </w:pPr>
    <w:rPr>
      <w:i/>
    </w:rPr>
  </w:style>
  <w:style w:type="paragraph" w:styleId="Encabezadodelista">
    <w:name w:val="toa heading"/>
    <w:basedOn w:val="Normal"/>
    <w:next w:val="Normal"/>
    <w:semiHidden/>
    <w:rsid w:val="007E09DA"/>
    <w:pPr>
      <w:spacing w:before="120"/>
    </w:pPr>
    <w:rPr>
      <w:rFonts w:cs="Arial"/>
      <w:b/>
      <w:bCs/>
      <w:sz w:val="24"/>
    </w:rPr>
  </w:style>
  <w:style w:type="paragraph" w:styleId="TDC1">
    <w:name w:val="toc 1"/>
    <w:basedOn w:val="CBDNormal"/>
    <w:next w:val="Normal"/>
    <w:autoRedefine/>
    <w:uiPriority w:val="39"/>
    <w:unhideWhenUsed/>
    <w:rsid w:val="00866063"/>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DC2">
    <w:name w:val="toc 2"/>
    <w:basedOn w:val="CBDNormal"/>
    <w:next w:val="Normal"/>
    <w:uiPriority w:val="39"/>
    <w:unhideWhenUsed/>
    <w:rsid w:val="00866063"/>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DC3">
    <w:name w:val="toc 3"/>
    <w:basedOn w:val="CBDNormal"/>
    <w:next w:val="Normal"/>
    <w:uiPriority w:val="39"/>
    <w:unhideWhenUsed/>
    <w:rsid w:val="00866063"/>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DC4">
    <w:name w:val="toc 4"/>
    <w:basedOn w:val="CBDNormal"/>
    <w:next w:val="Normal"/>
    <w:uiPriority w:val="39"/>
    <w:unhideWhenUsed/>
    <w:rsid w:val="00866063"/>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DC5">
    <w:name w:val="toc 5"/>
    <w:basedOn w:val="CBDNormal"/>
    <w:next w:val="Normal"/>
    <w:uiPriority w:val="39"/>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DC6">
    <w:name w:val="toc 6"/>
    <w:basedOn w:val="Normal"/>
    <w:next w:val="Normal"/>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DC7">
    <w:name w:val="toc 7"/>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DC8">
    <w:name w:val="toc 8"/>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DC9">
    <w:name w:val="toc 9"/>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ipervnculo">
    <w:name w:val="Hyperlink"/>
    <w:basedOn w:val="Fuentedeprrafopredeter"/>
    <w:uiPriority w:val="99"/>
    <w:unhideWhenUsed/>
    <w:rsid w:val="00866063"/>
    <w:rPr>
      <w:rFonts w:ascii="Times New Roman" w:hAnsi="Times New Roman"/>
      <w:color w:val="0000FF" w:themeColor="hyperlink"/>
      <w:u w:val="single"/>
      <w:lang w:val="es-ES"/>
    </w:rPr>
  </w:style>
  <w:style w:type="character" w:customStyle="1" w:styleId="Para1Char">
    <w:name w:val="Para1 Char"/>
    <w:link w:val="Para1"/>
    <w:locked/>
    <w:rsid w:val="005B35E2"/>
    <w:rPr>
      <w:rFonts w:ascii="Times New Roman" w:eastAsia="SimSun" w:hAnsi="Times New Roman" w:cs="Times New Roman"/>
      <w:snapToGrid w:val="0"/>
      <w:sz w:val="22"/>
      <w:szCs w:val="18"/>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Prrafodelista">
    <w:name w:val="List Paragraph"/>
    <w:basedOn w:val="Normal"/>
    <w:qFormat/>
    <w:rsid w:val="00866063"/>
    <w:pPr>
      <w:ind w:left="720"/>
      <w:contextualSpacing/>
    </w:pPr>
  </w:style>
  <w:style w:type="paragraph" w:styleId="Descripci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Ttulo2"/>
    <w:qFormat/>
    <w:rsid w:val="00F6586C"/>
    <w:rPr>
      <w:i/>
    </w:rPr>
  </w:style>
  <w:style w:type="table" w:customStyle="1" w:styleId="TableGrid1">
    <w:name w:val="Table Grid1"/>
    <w:basedOn w:val="Tablanormal"/>
    <w:next w:val="Tablaconcuadrcula"/>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n">
    <w:name w:val="Revision"/>
    <w:hidden/>
    <w:uiPriority w:val="99"/>
    <w:semiHidden/>
    <w:rsid w:val="00866063"/>
    <w:rPr>
      <w:rFonts w:ascii="Simplified Arabic" w:eastAsia="Times New Roman" w:hAnsi="Simplified Arabic" w:cs="Simplified Arabic"/>
      <w:noProof/>
    </w:rPr>
  </w:style>
  <w:style w:type="paragraph" w:customStyle="1" w:styleId="DarkList-Accent31">
    <w:name w:val="Dark List - Accent 31"/>
    <w:hidden/>
    <w:uiPriority w:val="99"/>
    <w:semiHidden/>
    <w:rsid w:val="00866063"/>
    <w:rPr>
      <w:rFonts w:ascii="Times New Roman" w:eastAsia="SimSun" w:hAnsi="Times New Roman" w:cs="Times New Roman"/>
      <w:sz w:val="22"/>
      <w:szCs w:val="22"/>
      <w:lang w:eastAsia="en-GB"/>
    </w:rPr>
  </w:style>
  <w:style w:type="paragraph" w:customStyle="1" w:styleId="CBDNormalNoNumber">
    <w:name w:val="CBD_Normal_NoNumber"/>
    <w:basedOn w:val="CBDNormal"/>
    <w:qFormat/>
    <w:rsid w:val="00866063"/>
    <w:pPr>
      <w:spacing w:after="120"/>
      <w:ind w:left="567"/>
    </w:pPr>
  </w:style>
  <w:style w:type="paragraph" w:customStyle="1" w:styleId="Footnote">
    <w:name w:val="Footnote"/>
    <w:basedOn w:val="Textonotapie"/>
    <w:semiHidden/>
    <w:qFormat/>
    <w:rsid w:val="00866063"/>
    <w:rPr>
      <w:szCs w:val="18"/>
    </w:rPr>
  </w:style>
  <w:style w:type="paragraph" w:customStyle="1" w:styleId="Annex">
    <w:name w:val="Annex"/>
    <w:basedOn w:val="Normal"/>
    <w:semiHidden/>
    <w:qFormat/>
    <w:rsid w:val="00866063"/>
    <w:pPr>
      <w:spacing w:after="240"/>
    </w:pPr>
    <w:rPr>
      <w:b/>
      <w:sz w:val="28"/>
    </w:rPr>
  </w:style>
  <w:style w:type="paragraph" w:customStyle="1" w:styleId="ABSymbol">
    <w:name w:val="AB_Symbol"/>
    <w:basedOn w:val="Normal"/>
    <w:qFormat/>
    <w:rsid w:val="00866063"/>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866063"/>
    <w:pPr>
      <w:numPr>
        <w:numId w:val="7"/>
      </w:numPr>
      <w:tabs>
        <w:tab w:val="left" w:pos="3969"/>
      </w:tabs>
      <w:spacing w:before="120" w:after="120"/>
    </w:pPr>
  </w:style>
  <w:style w:type="paragraph" w:customStyle="1" w:styleId="AFCorNNormal">
    <w:name w:val="AF_CorNNormal"/>
    <w:basedOn w:val="Normal"/>
    <w:unhideWhenUsed/>
    <w:rsid w:val="00866063"/>
    <w:pPr>
      <w:jc w:val="left"/>
    </w:pPr>
  </w:style>
  <w:style w:type="paragraph" w:customStyle="1" w:styleId="AEDistrNormal">
    <w:name w:val="AE_DistrNormal"/>
    <w:basedOn w:val="Normal"/>
    <w:unhideWhenUsed/>
    <w:rsid w:val="00866063"/>
    <w:pPr>
      <w:jc w:val="left"/>
    </w:pPr>
  </w:style>
  <w:style w:type="paragraph" w:customStyle="1" w:styleId="AASmallLogo">
    <w:name w:val="AA_SmallLogo"/>
    <w:basedOn w:val="AEDistrNormal"/>
    <w:unhideWhenUsed/>
    <w:rsid w:val="00866063"/>
    <w:pPr>
      <w:spacing w:before="40"/>
    </w:pPr>
    <w:rPr>
      <w:sz w:val="4"/>
    </w:rPr>
  </w:style>
  <w:style w:type="paragraph" w:customStyle="1" w:styleId="ACLargeLogo">
    <w:name w:val="AC_LargeLogo"/>
    <w:basedOn w:val="AFCorNNormal"/>
    <w:next w:val="AISpacer"/>
    <w:unhideWhenUsed/>
    <w:rsid w:val="00866063"/>
    <w:pPr>
      <w:spacing w:before="120"/>
      <w:contextualSpacing/>
    </w:pPr>
    <w:rPr>
      <w:sz w:val="8"/>
    </w:rPr>
  </w:style>
  <w:style w:type="paragraph" w:styleId="Asuntodelcomentario">
    <w:name w:val="annotation subject"/>
    <w:basedOn w:val="Textocomentario"/>
    <w:next w:val="Textocomentario"/>
    <w:link w:val="AsuntodelcomentarioCar"/>
    <w:uiPriority w:val="99"/>
    <w:semiHidden/>
    <w:unhideWhenUsed/>
    <w:rsid w:val="00866063"/>
    <w:rPr>
      <w:b/>
      <w:bCs/>
    </w:rPr>
  </w:style>
  <w:style w:type="character" w:customStyle="1" w:styleId="AsuntodelcomentarioCar">
    <w:name w:val="Asunto del comentario Car"/>
    <w:basedOn w:val="TextocomentarioCar"/>
    <w:link w:val="Asuntodelcomentario"/>
    <w:uiPriority w:val="99"/>
    <w:semiHidden/>
    <w:rsid w:val="00866063"/>
    <w:rPr>
      <w:rFonts w:ascii="Times New Roman" w:eastAsia="SimSun" w:hAnsi="Times New Roman" w:cs="Times New Roman"/>
      <w:b/>
      <w:bCs/>
      <w:sz w:val="20"/>
      <w:szCs w:val="20"/>
      <w:lang w:val="es-ES"/>
    </w:rPr>
  </w:style>
  <w:style w:type="paragraph" w:customStyle="1" w:styleId="Item">
    <w:name w:val="Item"/>
    <w:basedOn w:val="Normal"/>
    <w:qFormat/>
    <w:rsid w:val="00866063"/>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866063"/>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rPr>
  </w:style>
  <w:style w:type="paragraph" w:styleId="Lista">
    <w:name w:val="List"/>
    <w:basedOn w:val="Normal"/>
    <w:semiHidden/>
    <w:rsid w:val="00866063"/>
    <w:pPr>
      <w:contextualSpacing/>
    </w:pPr>
  </w:style>
  <w:style w:type="numbering" w:customStyle="1" w:styleId="ListCBD">
    <w:name w:val="ListCBD"/>
    <w:basedOn w:val="Sinlista"/>
    <w:uiPriority w:val="99"/>
    <w:rsid w:val="00866063"/>
    <w:pPr>
      <w:numPr>
        <w:numId w:val="5"/>
      </w:numPr>
    </w:pPr>
  </w:style>
  <w:style w:type="numbering" w:customStyle="1" w:styleId="CBDHeadings">
    <w:name w:val="CBD_Headings"/>
    <w:basedOn w:val="ListCBD"/>
    <w:uiPriority w:val="99"/>
    <w:rsid w:val="00866063"/>
    <w:pPr>
      <w:numPr>
        <w:numId w:val="6"/>
      </w:numPr>
    </w:pPr>
  </w:style>
  <w:style w:type="paragraph" w:customStyle="1" w:styleId="AISpacer">
    <w:name w:val="AI_Spacer"/>
    <w:next w:val="Normal"/>
    <w:unhideWhenUsed/>
    <w:qFormat/>
    <w:rsid w:val="00866063"/>
    <w:rPr>
      <w:rFonts w:ascii="Times New Roman" w:eastAsia="SimSun" w:hAnsi="Times New Roman" w:cs="Times New Roman"/>
      <w:sz w:val="2"/>
      <w:szCs w:val="22"/>
    </w:rPr>
  </w:style>
  <w:style w:type="paragraph" w:customStyle="1" w:styleId="AEDistrNormal6pt">
    <w:name w:val="AE_DistrNormal6pt"/>
    <w:basedOn w:val="AEDistrNormal"/>
    <w:next w:val="AFCorNNormal"/>
    <w:unhideWhenUsed/>
    <w:qFormat/>
    <w:rsid w:val="00866063"/>
    <w:pPr>
      <w:spacing w:before="120"/>
    </w:pPr>
  </w:style>
  <w:style w:type="paragraph" w:customStyle="1" w:styleId="AFCorNBold">
    <w:name w:val="AF_CorNBold"/>
    <w:basedOn w:val="AFCorNNormal"/>
    <w:next w:val="AFCorNNormal"/>
    <w:unhideWhenUsed/>
    <w:qFormat/>
    <w:rsid w:val="00866063"/>
    <w:rPr>
      <w:b/>
    </w:rPr>
  </w:style>
  <w:style w:type="paragraph" w:customStyle="1" w:styleId="AFCorN12Bold">
    <w:name w:val="AF_CorN12Bold"/>
    <w:basedOn w:val="AFCorNNormal"/>
    <w:next w:val="AFCorNNormal"/>
    <w:unhideWhenUsed/>
    <w:qFormat/>
    <w:rsid w:val="00866063"/>
    <w:rPr>
      <w:b/>
      <w:sz w:val="24"/>
    </w:rPr>
  </w:style>
  <w:style w:type="paragraph" w:customStyle="1" w:styleId="CBDAgendaItem">
    <w:name w:val="CBD_AgendaItem"/>
    <w:basedOn w:val="Normal"/>
    <w:qFormat/>
    <w:rsid w:val="00A111D1"/>
    <w:pPr>
      <w:keepNext/>
      <w:keepLines/>
      <w:spacing w:before="240" w:after="120"/>
      <w:jc w:val="left"/>
    </w:pPr>
    <w:rPr>
      <w:b/>
      <w:sz w:val="24"/>
    </w:rPr>
  </w:style>
  <w:style w:type="paragraph" w:customStyle="1" w:styleId="CBDDesicionText">
    <w:name w:val="CBD_DesicionText"/>
    <w:basedOn w:val="CBDNormal"/>
    <w:qFormat/>
    <w:rsid w:val="00866063"/>
    <w:pPr>
      <w:spacing w:after="120"/>
      <w:ind w:left="567" w:firstLine="567"/>
    </w:pPr>
  </w:style>
  <w:style w:type="paragraph" w:customStyle="1" w:styleId="CBDDesicionAnnex">
    <w:name w:val="CBD_DesicionAnnex"/>
    <w:basedOn w:val="CBDNormal"/>
    <w:next w:val="CBDDesicionText"/>
    <w:qFormat/>
    <w:rsid w:val="00866063"/>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866063"/>
    <w:pPr>
      <w:keepNext/>
      <w:keepLines/>
      <w:spacing w:after="240"/>
      <w:jc w:val="left"/>
    </w:pPr>
    <w:rPr>
      <w:b/>
      <w:sz w:val="28"/>
      <w:lang w:bidi="ar-SY"/>
    </w:rPr>
  </w:style>
  <w:style w:type="paragraph" w:customStyle="1" w:styleId="CBDSubTitle">
    <w:name w:val="CBD_SubTitle"/>
    <w:basedOn w:val="CBDNormal"/>
    <w:qFormat/>
    <w:rsid w:val="00866063"/>
    <w:pPr>
      <w:keepNext/>
      <w:keepLines/>
      <w:spacing w:before="240" w:after="240"/>
      <w:ind w:left="567"/>
      <w:jc w:val="left"/>
    </w:pPr>
    <w:rPr>
      <w:b/>
    </w:rPr>
  </w:style>
  <w:style w:type="paragraph" w:customStyle="1" w:styleId="CBDTitle">
    <w:name w:val="CBD_Title"/>
    <w:basedOn w:val="CBDNormal"/>
    <w:next w:val="CBDSubTitle"/>
    <w:qFormat/>
    <w:rsid w:val="00866063"/>
    <w:pPr>
      <w:keepNext/>
      <w:keepLines/>
      <w:spacing w:before="240" w:after="240"/>
      <w:ind w:left="567"/>
      <w:jc w:val="left"/>
    </w:pPr>
    <w:rPr>
      <w:b/>
      <w:sz w:val="28"/>
    </w:rPr>
  </w:style>
  <w:style w:type="paragraph" w:customStyle="1" w:styleId="AENormal">
    <w:name w:val="AE_Normal"/>
    <w:basedOn w:val="Normal"/>
    <w:rsid w:val="00866063"/>
  </w:style>
  <w:style w:type="paragraph" w:customStyle="1" w:styleId="CBDH1">
    <w:name w:val="CBD_H1"/>
    <w:basedOn w:val="CBDNormal"/>
    <w:qFormat/>
    <w:rsid w:val="00866063"/>
    <w:pPr>
      <w:keepNext/>
      <w:keepLines/>
      <w:spacing w:before="240" w:after="120"/>
      <w:ind w:left="567" w:hanging="567"/>
      <w:jc w:val="left"/>
      <w:outlineLvl w:val="0"/>
    </w:pPr>
    <w:rPr>
      <w:b/>
      <w:sz w:val="28"/>
    </w:rPr>
  </w:style>
  <w:style w:type="paragraph" w:customStyle="1" w:styleId="CBDH2">
    <w:name w:val="CBD_H2"/>
    <w:basedOn w:val="CBDNormalNumber"/>
    <w:qFormat/>
    <w:rsid w:val="00866063"/>
    <w:pPr>
      <w:keepNext/>
      <w:keepLines/>
      <w:numPr>
        <w:numId w:val="0"/>
      </w:numPr>
      <w:ind w:left="567" w:hanging="567"/>
    </w:pPr>
    <w:rPr>
      <w:b/>
      <w:sz w:val="24"/>
    </w:rPr>
  </w:style>
  <w:style w:type="paragraph" w:customStyle="1" w:styleId="CBDFootnoteText">
    <w:name w:val="CBD_Footnote_Text"/>
    <w:basedOn w:val="CBDNormal"/>
    <w:qFormat/>
    <w:rsid w:val="00866063"/>
    <w:pPr>
      <w:jc w:val="left"/>
    </w:pPr>
    <w:rPr>
      <w:sz w:val="18"/>
    </w:rPr>
  </w:style>
  <w:style w:type="paragraph" w:customStyle="1" w:styleId="CBDFooter">
    <w:name w:val="CBD_Footer"/>
    <w:basedOn w:val="CBDNormal"/>
    <w:qFormat/>
    <w:rsid w:val="00866063"/>
    <w:rPr>
      <w:sz w:val="20"/>
    </w:rPr>
  </w:style>
  <w:style w:type="paragraph" w:customStyle="1" w:styleId="CBDHeader">
    <w:name w:val="CBD_Header"/>
    <w:basedOn w:val="CBDNormal"/>
    <w:next w:val="CBDFooter"/>
    <w:qFormat/>
    <w:rsid w:val="00866063"/>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866063"/>
    <w:pPr>
      <w:keepNext/>
      <w:keepLines/>
      <w:spacing w:before="120" w:after="120"/>
      <w:ind w:left="567" w:hanging="567"/>
      <w:jc w:val="left"/>
    </w:pPr>
    <w:rPr>
      <w:b/>
    </w:rPr>
  </w:style>
  <w:style w:type="paragraph" w:customStyle="1" w:styleId="CBDH4">
    <w:name w:val="CBD_H4"/>
    <w:basedOn w:val="CBDNormal"/>
    <w:rsid w:val="00866063"/>
    <w:pPr>
      <w:keepNext/>
      <w:keepLines/>
      <w:spacing w:before="120" w:after="120"/>
      <w:ind w:left="567" w:hanging="567"/>
      <w:jc w:val="left"/>
    </w:pPr>
    <w:rPr>
      <w:b/>
    </w:rPr>
  </w:style>
  <w:style w:type="paragraph" w:customStyle="1" w:styleId="CBDH5">
    <w:name w:val="CBD_H5"/>
    <w:basedOn w:val="CBDNormal"/>
    <w:qFormat/>
    <w:rsid w:val="00866063"/>
    <w:pPr>
      <w:keepNext/>
      <w:keepLines/>
      <w:spacing w:before="120" w:after="120"/>
      <w:ind w:left="567" w:hanging="567"/>
      <w:jc w:val="left"/>
    </w:pPr>
    <w:rPr>
      <w:i/>
    </w:rPr>
  </w:style>
  <w:style w:type="paragraph" w:customStyle="1" w:styleId="CBDTableNormal">
    <w:name w:val="CBD_TableNormal"/>
    <w:basedOn w:val="CBDNormal"/>
    <w:qFormat/>
    <w:rsid w:val="00866063"/>
    <w:pPr>
      <w:spacing w:before="40" w:after="80"/>
      <w:jc w:val="left"/>
    </w:pPr>
    <w:rPr>
      <w:sz w:val="20"/>
    </w:rPr>
  </w:style>
  <w:style w:type="paragraph" w:customStyle="1" w:styleId="CBDTableTitle">
    <w:name w:val="CBD_TableTitle"/>
    <w:basedOn w:val="CBDNormal"/>
    <w:qFormat/>
    <w:rsid w:val="00866063"/>
    <w:pPr>
      <w:keepNext/>
      <w:keepLines/>
      <w:spacing w:before="120" w:after="60"/>
      <w:ind w:left="567"/>
      <w:jc w:val="left"/>
    </w:pPr>
    <w:rPr>
      <w:b/>
    </w:rPr>
  </w:style>
  <w:style w:type="paragraph" w:customStyle="1" w:styleId="CBDFigureTitle">
    <w:name w:val="CBD_FigureTitle"/>
    <w:basedOn w:val="CBDNormal"/>
    <w:next w:val="CBDNormalNoNumber"/>
    <w:qFormat/>
    <w:rsid w:val="00866063"/>
    <w:pPr>
      <w:keepNext/>
      <w:keepLines/>
      <w:spacing w:before="120" w:after="60"/>
      <w:ind w:left="567"/>
      <w:jc w:val="left"/>
    </w:pPr>
    <w:rPr>
      <w:b/>
    </w:rPr>
  </w:style>
  <w:style w:type="paragraph" w:styleId="Bibliografa">
    <w:name w:val="Bibliography"/>
    <w:basedOn w:val="Normal"/>
    <w:next w:val="Normal"/>
    <w:uiPriority w:val="37"/>
    <w:semiHidden/>
    <w:unhideWhenUsed/>
    <w:rsid w:val="00A111D1"/>
  </w:style>
  <w:style w:type="paragraph" w:styleId="Textodebloque">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Textoindependiente2">
    <w:name w:val="Body Text 2"/>
    <w:basedOn w:val="Normal"/>
    <w:link w:val="Textoindependiente2Car"/>
    <w:uiPriority w:val="99"/>
    <w:semiHidden/>
    <w:unhideWhenUsed/>
    <w:rsid w:val="00A111D1"/>
    <w:pPr>
      <w:spacing w:after="120" w:line="480" w:lineRule="auto"/>
    </w:pPr>
  </w:style>
  <w:style w:type="character" w:customStyle="1" w:styleId="Textoindependiente2Car">
    <w:name w:val="Texto independiente 2 Car"/>
    <w:basedOn w:val="Fuentedeprrafopredeter"/>
    <w:link w:val="Textoindependiente2"/>
    <w:uiPriority w:val="99"/>
    <w:semiHidden/>
    <w:rsid w:val="00A111D1"/>
    <w:rPr>
      <w:rFonts w:ascii="Times New Roman" w:eastAsia="SimSun" w:hAnsi="Times New Roman" w:cs="Times New Roman"/>
      <w:sz w:val="22"/>
      <w:szCs w:val="22"/>
      <w:lang w:val="es-ES"/>
    </w:rPr>
  </w:style>
  <w:style w:type="paragraph" w:styleId="Textoindependiente3">
    <w:name w:val="Body Text 3"/>
    <w:basedOn w:val="Normal"/>
    <w:link w:val="Textoindependiente3Car"/>
    <w:uiPriority w:val="99"/>
    <w:semiHidden/>
    <w:unhideWhenUsed/>
    <w:rsid w:val="00A111D1"/>
    <w:pPr>
      <w:spacing w:after="120"/>
    </w:pPr>
    <w:rPr>
      <w:sz w:val="16"/>
      <w:szCs w:val="16"/>
    </w:rPr>
  </w:style>
  <w:style w:type="character" w:customStyle="1" w:styleId="Textoindependiente3Car">
    <w:name w:val="Texto independiente 3 Car"/>
    <w:basedOn w:val="Fuentedeprrafopredeter"/>
    <w:link w:val="Textoindependiente3"/>
    <w:uiPriority w:val="99"/>
    <w:semiHidden/>
    <w:rsid w:val="00A111D1"/>
    <w:rPr>
      <w:rFonts w:ascii="Times New Roman" w:eastAsia="SimSun" w:hAnsi="Times New Roman" w:cs="Times New Roman"/>
      <w:sz w:val="16"/>
      <w:szCs w:val="16"/>
      <w:lang w:val="es-ES"/>
    </w:rPr>
  </w:style>
  <w:style w:type="paragraph" w:styleId="Textoindependienteprimerasangra">
    <w:name w:val="Body Text First Indent"/>
    <w:basedOn w:val="Textoindependiente"/>
    <w:link w:val="TextoindependienteprimerasangraC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TextoindependienteprimerasangraCar">
    <w:name w:val="Texto independiente primera sangría Car"/>
    <w:basedOn w:val="TextoindependienteCar"/>
    <w:link w:val="Textoindependienteprimerasangra"/>
    <w:uiPriority w:val="99"/>
    <w:semiHidden/>
    <w:rsid w:val="00A111D1"/>
    <w:rPr>
      <w:rFonts w:ascii="Times New Roman" w:eastAsia="SimSun" w:hAnsi="Times New Roman" w:cs="Times New Roman"/>
      <w:kern w:val="2"/>
      <w:sz w:val="22"/>
      <w:szCs w:val="22"/>
      <w:lang w:val="es-ES"/>
      <w14:ligatures w14:val="standardContextual"/>
    </w:rPr>
  </w:style>
  <w:style w:type="paragraph" w:styleId="Textoindependienteprimerasangra2">
    <w:name w:val="Body Text First Indent 2"/>
    <w:basedOn w:val="Sangradetextonormal"/>
    <w:link w:val="Textoindependienteprimerasangra2Car"/>
    <w:uiPriority w:val="99"/>
    <w:semiHidden/>
    <w:unhideWhenUsed/>
    <w:rsid w:val="00A111D1"/>
    <w:pPr>
      <w:spacing w:before="0" w:after="0"/>
      <w:ind w:left="360" w:firstLine="360"/>
      <w:jc w:val="both"/>
    </w:pPr>
  </w:style>
  <w:style w:type="character" w:customStyle="1" w:styleId="Textoindependienteprimerasangra2Car">
    <w:name w:val="Texto independiente primera sangría 2 Car"/>
    <w:basedOn w:val="SangradetextonormalCar"/>
    <w:link w:val="Textoindependienteprimerasangra2"/>
    <w:uiPriority w:val="99"/>
    <w:semiHidden/>
    <w:rsid w:val="00A111D1"/>
    <w:rPr>
      <w:rFonts w:ascii="Times New Roman" w:eastAsia="SimSun" w:hAnsi="Times New Roman" w:cs="Times New Roman"/>
      <w:sz w:val="22"/>
      <w:szCs w:val="22"/>
      <w:lang w:val="es-ES"/>
    </w:rPr>
  </w:style>
  <w:style w:type="paragraph" w:styleId="Sangra2detindependiente">
    <w:name w:val="Body Text Indent 2"/>
    <w:basedOn w:val="Normal"/>
    <w:link w:val="Sangra2detindependienteCar"/>
    <w:uiPriority w:val="99"/>
    <w:semiHidden/>
    <w:unhideWhenUsed/>
    <w:rsid w:val="00A111D1"/>
    <w:pPr>
      <w:spacing w:after="120" w:line="480" w:lineRule="auto"/>
      <w:ind w:left="283"/>
    </w:pPr>
  </w:style>
  <w:style w:type="character" w:customStyle="1" w:styleId="Sangra2detindependienteCar">
    <w:name w:val="Sangría 2 de t. independiente Car"/>
    <w:basedOn w:val="Fuentedeprrafopredeter"/>
    <w:link w:val="Sangra2detindependiente"/>
    <w:uiPriority w:val="99"/>
    <w:semiHidden/>
    <w:rsid w:val="00A111D1"/>
    <w:rPr>
      <w:rFonts w:ascii="Times New Roman" w:eastAsia="SimSun" w:hAnsi="Times New Roman" w:cs="Times New Roman"/>
      <w:sz w:val="22"/>
      <w:szCs w:val="22"/>
      <w:lang w:val="es-ES"/>
    </w:rPr>
  </w:style>
  <w:style w:type="paragraph" w:styleId="Sangra3detindependiente">
    <w:name w:val="Body Text Indent 3"/>
    <w:basedOn w:val="Normal"/>
    <w:link w:val="Sangra3detindependienteCar"/>
    <w:uiPriority w:val="99"/>
    <w:semiHidden/>
    <w:unhideWhenUsed/>
    <w:rsid w:val="00A111D1"/>
    <w:pPr>
      <w:spacing w:after="120"/>
      <w:ind w:left="283"/>
    </w:pPr>
    <w:rPr>
      <w:sz w:val="16"/>
      <w:szCs w:val="16"/>
    </w:rPr>
  </w:style>
  <w:style w:type="character" w:customStyle="1" w:styleId="Sangra3detindependienteCar">
    <w:name w:val="Sangría 3 de t. independiente Car"/>
    <w:basedOn w:val="Fuentedeprrafopredeter"/>
    <w:link w:val="Sangra3detindependiente"/>
    <w:uiPriority w:val="99"/>
    <w:semiHidden/>
    <w:rsid w:val="00A111D1"/>
    <w:rPr>
      <w:rFonts w:ascii="Times New Roman" w:eastAsia="SimSun" w:hAnsi="Times New Roman" w:cs="Times New Roman"/>
      <w:sz w:val="16"/>
      <w:szCs w:val="16"/>
      <w:lang w:val="es-ES"/>
    </w:rPr>
  </w:style>
  <w:style w:type="character" w:styleId="Ttulodellibro">
    <w:name w:val="Book Title"/>
    <w:basedOn w:val="Fuentedeprrafopredeter"/>
    <w:uiPriority w:val="33"/>
    <w:qFormat/>
    <w:rsid w:val="00A111D1"/>
    <w:rPr>
      <w:b/>
      <w:bCs/>
      <w:i/>
      <w:iCs/>
      <w:spacing w:val="5"/>
      <w:lang w:val="es-ES"/>
    </w:rPr>
  </w:style>
  <w:style w:type="paragraph" w:styleId="Cierre">
    <w:name w:val="Closing"/>
    <w:basedOn w:val="Normal"/>
    <w:link w:val="CierreCar"/>
    <w:uiPriority w:val="99"/>
    <w:semiHidden/>
    <w:unhideWhenUsed/>
    <w:rsid w:val="00A111D1"/>
    <w:pPr>
      <w:ind w:left="4252"/>
    </w:pPr>
  </w:style>
  <w:style w:type="character" w:customStyle="1" w:styleId="CierreCar">
    <w:name w:val="Cierre Car"/>
    <w:basedOn w:val="Fuentedeprrafopredeter"/>
    <w:link w:val="Cierre"/>
    <w:uiPriority w:val="99"/>
    <w:semiHidden/>
    <w:rsid w:val="00A111D1"/>
    <w:rPr>
      <w:rFonts w:ascii="Times New Roman" w:eastAsia="SimSun" w:hAnsi="Times New Roman" w:cs="Times New Roman"/>
      <w:sz w:val="22"/>
      <w:szCs w:val="22"/>
      <w:lang w:val="es-ES"/>
    </w:rPr>
  </w:style>
  <w:style w:type="table" w:styleId="Cuadrculavistosa">
    <w:name w:val="Colorful Grid"/>
    <w:basedOn w:val="Tabla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vistosa-nfasis1">
    <w:name w:val="Colorful Grid Accent 1"/>
    <w:basedOn w:val="Tabla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vistosa-nfasis2">
    <w:name w:val="Colorful Grid Accent 2"/>
    <w:basedOn w:val="Tabla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vistosa-nfasis3">
    <w:name w:val="Colorful Grid Accent 3"/>
    <w:basedOn w:val="Tabla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vistosa-nfasis4">
    <w:name w:val="Colorful Grid Accent 4"/>
    <w:basedOn w:val="Tabla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vistosa-nfasis5">
    <w:name w:val="Colorful Grid Accent 5"/>
    <w:basedOn w:val="Tabla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vistosa-nfasis6">
    <w:name w:val="Colorful Grid Accent 6"/>
    <w:basedOn w:val="Tabla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Listavistosa">
    <w:name w:val="Colorful List"/>
    <w:basedOn w:val="Tabla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avistosa-nfasis1">
    <w:name w:val="Colorful List Accent 1"/>
    <w:basedOn w:val="Tabla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avistosa-nfasis2">
    <w:name w:val="Colorful List Accent 2"/>
    <w:basedOn w:val="Tabla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avistosa-nfasis3">
    <w:name w:val="Colorful List Accent 3"/>
    <w:basedOn w:val="Tabla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avistosa-nfasis4">
    <w:name w:val="Colorful List Accent 4"/>
    <w:basedOn w:val="Tabla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avistosa-nfasis5">
    <w:name w:val="Colorful List Accent 5"/>
    <w:basedOn w:val="Tabla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avistosa-nfasis6">
    <w:name w:val="Colorful List Accent 6"/>
    <w:basedOn w:val="Tabla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Sombreadovistoso">
    <w:name w:val="Colorful Shading"/>
    <w:basedOn w:val="Tabla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ombreadovistoso-nfasis1">
    <w:name w:val="Colorful Shading Accent 1"/>
    <w:basedOn w:val="Tabla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ombreadovistoso-nfasis2">
    <w:name w:val="Colorful Shading Accent 2"/>
    <w:basedOn w:val="Tabla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ombreadovistoso-nfasis3">
    <w:name w:val="Colorful Shading Accent 3"/>
    <w:basedOn w:val="Tabla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ombreadovistoso-nfasis4">
    <w:name w:val="Colorful Shading Accent 4"/>
    <w:basedOn w:val="Tabla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ombreadovistoso-nfasis5">
    <w:name w:val="Colorful Shading Accent 5"/>
    <w:basedOn w:val="Tabla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ombreadovistoso-nfasis6">
    <w:name w:val="Colorful Shading Accent 6"/>
    <w:basedOn w:val="Tabla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aoscura">
    <w:name w:val="Dark List"/>
    <w:basedOn w:val="Tabla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aoscura-nfasis1">
    <w:name w:val="Dark List Accent 1"/>
    <w:basedOn w:val="Tabla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aoscura-nfasis2">
    <w:name w:val="Dark List Accent 2"/>
    <w:basedOn w:val="Tabla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aoscura-nfasis3">
    <w:name w:val="Dark List Accent 3"/>
    <w:basedOn w:val="Tabla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aoscura-nfasis4">
    <w:name w:val="Dark List Accent 4"/>
    <w:basedOn w:val="Tabla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aoscura-nfasis5">
    <w:name w:val="Dark List Accent 5"/>
    <w:basedOn w:val="Tabla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aoscura-nfasis6">
    <w:name w:val="Dark List Accent 6"/>
    <w:basedOn w:val="Tabla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Fecha">
    <w:name w:val="Date"/>
    <w:basedOn w:val="Normal"/>
    <w:next w:val="Normal"/>
    <w:link w:val="FechaCar"/>
    <w:uiPriority w:val="99"/>
    <w:semiHidden/>
    <w:unhideWhenUsed/>
    <w:rsid w:val="00A111D1"/>
  </w:style>
  <w:style w:type="character" w:customStyle="1" w:styleId="FechaCar">
    <w:name w:val="Fecha Car"/>
    <w:basedOn w:val="Fuentedeprrafopredeter"/>
    <w:link w:val="Fecha"/>
    <w:uiPriority w:val="99"/>
    <w:semiHidden/>
    <w:rsid w:val="00A111D1"/>
    <w:rPr>
      <w:rFonts w:ascii="Times New Roman" w:eastAsia="SimSun" w:hAnsi="Times New Roman" w:cs="Times New Roman"/>
      <w:sz w:val="22"/>
      <w:szCs w:val="22"/>
      <w:lang w:val="es-ES"/>
    </w:rPr>
  </w:style>
  <w:style w:type="paragraph" w:styleId="Mapadeldocumento">
    <w:name w:val="Document Map"/>
    <w:basedOn w:val="Normal"/>
    <w:link w:val="MapadeldocumentoCar"/>
    <w:uiPriority w:val="99"/>
    <w:semiHidden/>
    <w:unhideWhenUsed/>
    <w:rsid w:val="00A111D1"/>
    <w:rPr>
      <w:rFonts w:ascii="Segoe UI" w:hAnsi="Segoe UI" w:cs="Segoe UI"/>
      <w:sz w:val="16"/>
      <w:szCs w:val="16"/>
    </w:rPr>
  </w:style>
  <w:style w:type="character" w:customStyle="1" w:styleId="MapadeldocumentoCar">
    <w:name w:val="Mapa del documento Car"/>
    <w:basedOn w:val="Fuentedeprrafopredeter"/>
    <w:link w:val="Mapadeldocumento"/>
    <w:uiPriority w:val="99"/>
    <w:semiHidden/>
    <w:rsid w:val="00A111D1"/>
    <w:rPr>
      <w:rFonts w:ascii="Segoe UI" w:eastAsia="SimSun" w:hAnsi="Segoe UI" w:cs="Segoe UI"/>
      <w:sz w:val="16"/>
      <w:szCs w:val="16"/>
      <w:lang w:val="es-ES"/>
    </w:rPr>
  </w:style>
  <w:style w:type="paragraph" w:styleId="Firmadecorreoelectrnico">
    <w:name w:val="E-mail Signature"/>
    <w:basedOn w:val="Normal"/>
    <w:link w:val="FirmadecorreoelectrnicoCar"/>
    <w:uiPriority w:val="99"/>
    <w:semiHidden/>
    <w:unhideWhenUsed/>
    <w:rsid w:val="00A111D1"/>
  </w:style>
  <w:style w:type="character" w:customStyle="1" w:styleId="FirmadecorreoelectrnicoCar">
    <w:name w:val="Firma de correo electrónico Car"/>
    <w:basedOn w:val="Fuentedeprrafopredeter"/>
    <w:link w:val="Firmadecorreoelectrnico"/>
    <w:uiPriority w:val="99"/>
    <w:semiHidden/>
    <w:rsid w:val="00A111D1"/>
    <w:rPr>
      <w:rFonts w:ascii="Times New Roman" w:eastAsia="SimSun" w:hAnsi="Times New Roman" w:cs="Times New Roman"/>
      <w:sz w:val="22"/>
      <w:szCs w:val="22"/>
      <w:lang w:val="es-ES"/>
    </w:rPr>
  </w:style>
  <w:style w:type="character" w:styleId="nfasis">
    <w:name w:val="Emphasis"/>
    <w:basedOn w:val="Fuentedeprrafopredeter"/>
    <w:uiPriority w:val="20"/>
    <w:qFormat/>
    <w:rsid w:val="00A111D1"/>
    <w:rPr>
      <w:i/>
      <w:iCs/>
      <w:lang w:val="es-ES"/>
    </w:rPr>
  </w:style>
  <w:style w:type="paragraph" w:styleId="Direccinsobre">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Remitedesobre">
    <w:name w:val="envelope return"/>
    <w:basedOn w:val="Normal"/>
    <w:uiPriority w:val="99"/>
    <w:semiHidden/>
    <w:unhideWhenUsed/>
    <w:rsid w:val="00A111D1"/>
    <w:rPr>
      <w:rFonts w:asciiTheme="majorHAnsi" w:eastAsiaTheme="majorEastAsia" w:hAnsiTheme="majorHAnsi" w:cstheme="majorBidi"/>
      <w:sz w:val="20"/>
      <w:szCs w:val="20"/>
    </w:rPr>
  </w:style>
  <w:style w:type="table" w:styleId="Tablaconcuadrcula1clara">
    <w:name w:val="Grid Table 1 Light"/>
    <w:basedOn w:val="Tabla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Tablaconcuadrcula1clara-nfasis1">
    <w:name w:val="Grid Table 1 Light Accent 1"/>
    <w:basedOn w:val="Tabla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Tablaconcuadrcula1Claro-nfasis2">
    <w:name w:val="Grid Table 1 Light Accent 2"/>
    <w:basedOn w:val="Tabla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Tablaconcuadrcula1clara-nfasis3">
    <w:name w:val="Grid Table 1 Light Accent 3"/>
    <w:basedOn w:val="Tabla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Tablaconcuadrcula1clara-nfasis4">
    <w:name w:val="Grid Table 1 Light Accent 4"/>
    <w:basedOn w:val="Tabla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Tablaconcuadrcula1clara-nfasis5">
    <w:name w:val="Grid Table 1 Light Accent 5"/>
    <w:basedOn w:val="Tabla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Tablaconcuadrcula1clara-nfasis6">
    <w:name w:val="Grid Table 1 Light Accent 6"/>
    <w:basedOn w:val="Tabla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Tabladecuadrcula2">
    <w:name w:val="Grid Table 2"/>
    <w:basedOn w:val="Tabla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concuadrcula2-nfasis1">
    <w:name w:val="Grid Table 2 Accent 1"/>
    <w:basedOn w:val="Tabla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aconcuadrcula2-nfasis2">
    <w:name w:val="Grid Table 2 Accent 2"/>
    <w:basedOn w:val="Tabla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aconcuadrcula2-nfasis3">
    <w:name w:val="Grid Table 2 Accent 3"/>
    <w:basedOn w:val="Tabla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aconcuadrcula2-nfasis4">
    <w:name w:val="Grid Table 2 Accent 4"/>
    <w:basedOn w:val="Tabla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aconcuadrcula2-nfasis5">
    <w:name w:val="Grid Table 2 Accent 5"/>
    <w:basedOn w:val="Tabla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aconcuadrcula2-nfasis6">
    <w:name w:val="Grid Table 2 Accent 6"/>
    <w:basedOn w:val="Tabla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adecuadrcula3">
    <w:name w:val="Grid Table 3"/>
    <w:basedOn w:val="Tabla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aconcuadrcula3-nfasis1">
    <w:name w:val="Grid Table 3 Accent 1"/>
    <w:basedOn w:val="Tabla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Tablaconcuadrcula3-nfasis2">
    <w:name w:val="Grid Table 3 Accent 2"/>
    <w:basedOn w:val="Tabla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Tablaconcuadrcula3-nfasis3">
    <w:name w:val="Grid Table 3 Accent 3"/>
    <w:basedOn w:val="Tabla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Tablaconcuadrcula3-nfasis4">
    <w:name w:val="Grid Table 3 Accent 4"/>
    <w:basedOn w:val="Tabla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Tablaconcuadrcula3-nfasis5">
    <w:name w:val="Grid Table 3 Accent 5"/>
    <w:basedOn w:val="Tabla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Tablaconcuadrcula3-nfasis6">
    <w:name w:val="Grid Table 3 Accent 6"/>
    <w:basedOn w:val="Tabla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Tabladecuadrcula4">
    <w:name w:val="Grid Table 4"/>
    <w:basedOn w:val="Tabla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concuadrcula4-nfasis1">
    <w:name w:val="Grid Table 4 Accent 1"/>
    <w:basedOn w:val="Tabla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aconcuadrcula4-nfasis2">
    <w:name w:val="Grid Table 4 Accent 2"/>
    <w:basedOn w:val="Tabla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aconcuadrcula4-nfasis3">
    <w:name w:val="Grid Table 4 Accent 3"/>
    <w:basedOn w:val="Tabla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aconcuadrcula4-nfasis4">
    <w:name w:val="Grid Table 4 Accent 4"/>
    <w:basedOn w:val="Tabla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aconcuadrcula4-nfasis5">
    <w:name w:val="Grid Table 4 Accent 5"/>
    <w:basedOn w:val="Tabla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aconcuadrcula4-nfasis6">
    <w:name w:val="Grid Table 4 Accent 6"/>
    <w:basedOn w:val="Tabla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aconcuadrcula5oscura">
    <w:name w:val="Grid Table 5 Dark"/>
    <w:basedOn w:val="Tabla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Tablaconcuadrcula5oscura-nfasis1">
    <w:name w:val="Grid Table 5 Dark Accent 1"/>
    <w:basedOn w:val="Tabla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Tablaconcuadrcula5oscura-nfasis2">
    <w:name w:val="Grid Table 5 Dark Accent 2"/>
    <w:basedOn w:val="Tabla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Tablaconcuadrcula5oscura-nfasis3">
    <w:name w:val="Grid Table 5 Dark Accent 3"/>
    <w:basedOn w:val="Tabla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Tablaconcuadrcula5oscura-nfasis4">
    <w:name w:val="Grid Table 5 Dark Accent 4"/>
    <w:basedOn w:val="Tabla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Tablaconcuadrcula5oscura-nfasis5">
    <w:name w:val="Grid Table 5 Dark Accent 5"/>
    <w:basedOn w:val="Tabla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Tablaconcuadrcula5oscura-nfasis6">
    <w:name w:val="Grid Table 5 Dark Accent 6"/>
    <w:basedOn w:val="Tabla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Tablaconcuadrcula6concolores">
    <w:name w:val="Grid Table 6 Colorful"/>
    <w:basedOn w:val="Tabla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concuadrcula6concolores-nfasis1">
    <w:name w:val="Grid Table 6 Colorful Accent 1"/>
    <w:basedOn w:val="Tabla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aconcuadrcula6concolores-nfasis2">
    <w:name w:val="Grid Table 6 Colorful Accent 2"/>
    <w:basedOn w:val="Tabla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aconcuadrcula6concolores-nfasis3">
    <w:name w:val="Grid Table 6 Colorful Accent 3"/>
    <w:basedOn w:val="Tabla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aconcuadrcula6concolores-nfasis4">
    <w:name w:val="Grid Table 6 Colorful Accent 4"/>
    <w:basedOn w:val="Tabla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aconcuadrcula6concolores-nfasis5">
    <w:name w:val="Grid Table 6 Colorful Accent 5"/>
    <w:basedOn w:val="Tabla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aconcuadrcula6concolores-nfasis6">
    <w:name w:val="Grid Table 6 Colorful Accent 6"/>
    <w:basedOn w:val="Tabla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aconcuadrcula7concolores">
    <w:name w:val="Grid Table 7 Colorful"/>
    <w:basedOn w:val="Tabla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aconcuadrcula7concolores-nfasis1">
    <w:name w:val="Grid Table 7 Colorful Accent 1"/>
    <w:basedOn w:val="Tabla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Tablaconcuadrcula7concolores-nfasis2">
    <w:name w:val="Grid Table 7 Colorful Accent 2"/>
    <w:basedOn w:val="Tabla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Tablaconcuadrcula7concolores-nfasis3">
    <w:name w:val="Grid Table 7 Colorful Accent 3"/>
    <w:basedOn w:val="Tabla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Tablaconcuadrcula7concolores-nfasis4">
    <w:name w:val="Grid Table 7 Colorful Accent 4"/>
    <w:basedOn w:val="Tabla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Tablaconcuadrcula7concolores-nfasis5">
    <w:name w:val="Grid Table 7 Colorful Accent 5"/>
    <w:basedOn w:val="Tabla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Tablaconcuadrcula7concolores-nfasis6">
    <w:name w:val="Grid Table 7 Colorful Accent 6"/>
    <w:basedOn w:val="Tabla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Fuentedeprrafopredeter"/>
    <w:uiPriority w:val="99"/>
    <w:semiHidden/>
    <w:unhideWhenUsed/>
    <w:rsid w:val="00A111D1"/>
    <w:rPr>
      <w:color w:val="2B579A"/>
      <w:shd w:val="clear" w:color="auto" w:fill="E1DFDD"/>
      <w:lang w:val="es-ES"/>
    </w:rPr>
  </w:style>
  <w:style w:type="character" w:styleId="AcrnimoHTML">
    <w:name w:val="HTML Acronym"/>
    <w:basedOn w:val="Fuentedeprrafopredeter"/>
    <w:uiPriority w:val="99"/>
    <w:semiHidden/>
    <w:unhideWhenUsed/>
    <w:rsid w:val="00A111D1"/>
    <w:rPr>
      <w:lang w:val="es-ES"/>
    </w:rPr>
  </w:style>
  <w:style w:type="paragraph" w:styleId="DireccinHTML">
    <w:name w:val="HTML Address"/>
    <w:basedOn w:val="Normal"/>
    <w:link w:val="DireccinHTMLCar"/>
    <w:uiPriority w:val="99"/>
    <w:semiHidden/>
    <w:unhideWhenUsed/>
    <w:rsid w:val="00A111D1"/>
    <w:rPr>
      <w:i/>
      <w:iCs/>
    </w:rPr>
  </w:style>
  <w:style w:type="character" w:customStyle="1" w:styleId="DireccinHTMLCar">
    <w:name w:val="Dirección HTML Car"/>
    <w:basedOn w:val="Fuentedeprrafopredeter"/>
    <w:link w:val="DireccinHTML"/>
    <w:uiPriority w:val="99"/>
    <w:semiHidden/>
    <w:rsid w:val="00A111D1"/>
    <w:rPr>
      <w:rFonts w:ascii="Times New Roman" w:eastAsia="SimSun" w:hAnsi="Times New Roman" w:cs="Times New Roman"/>
      <w:i/>
      <w:iCs/>
      <w:sz w:val="22"/>
      <w:szCs w:val="22"/>
      <w:lang w:val="es-ES"/>
    </w:rPr>
  </w:style>
  <w:style w:type="character" w:styleId="CitaHTML">
    <w:name w:val="HTML Cite"/>
    <w:basedOn w:val="Fuentedeprrafopredeter"/>
    <w:uiPriority w:val="99"/>
    <w:semiHidden/>
    <w:unhideWhenUsed/>
    <w:rsid w:val="00A111D1"/>
    <w:rPr>
      <w:i/>
      <w:iCs/>
      <w:lang w:val="es-ES"/>
    </w:rPr>
  </w:style>
  <w:style w:type="character" w:styleId="CdigoHTML">
    <w:name w:val="HTML Code"/>
    <w:basedOn w:val="Fuentedeprrafopredeter"/>
    <w:uiPriority w:val="99"/>
    <w:semiHidden/>
    <w:unhideWhenUsed/>
    <w:rsid w:val="00A111D1"/>
    <w:rPr>
      <w:rFonts w:ascii="Consolas" w:hAnsi="Consolas"/>
      <w:sz w:val="20"/>
      <w:szCs w:val="20"/>
      <w:lang w:val="es-ES"/>
    </w:rPr>
  </w:style>
  <w:style w:type="character" w:styleId="DefinicinHTML">
    <w:name w:val="HTML Definition"/>
    <w:basedOn w:val="Fuentedeprrafopredeter"/>
    <w:uiPriority w:val="99"/>
    <w:semiHidden/>
    <w:unhideWhenUsed/>
    <w:rsid w:val="00A111D1"/>
    <w:rPr>
      <w:i/>
      <w:iCs/>
      <w:lang w:val="es-ES"/>
    </w:rPr>
  </w:style>
  <w:style w:type="character" w:styleId="TecladoHTML">
    <w:name w:val="HTML Keyboard"/>
    <w:basedOn w:val="Fuentedeprrafopredeter"/>
    <w:uiPriority w:val="99"/>
    <w:semiHidden/>
    <w:unhideWhenUsed/>
    <w:rsid w:val="00A111D1"/>
    <w:rPr>
      <w:rFonts w:ascii="Consolas" w:hAnsi="Consolas"/>
      <w:sz w:val="20"/>
      <w:szCs w:val="20"/>
      <w:lang w:val="es-ES"/>
    </w:rPr>
  </w:style>
  <w:style w:type="paragraph" w:styleId="HTMLconformatoprevio">
    <w:name w:val="HTML Preformatted"/>
    <w:basedOn w:val="Normal"/>
    <w:link w:val="HTMLconformatoprevioCar"/>
    <w:uiPriority w:val="99"/>
    <w:semiHidden/>
    <w:unhideWhenUsed/>
    <w:rsid w:val="00A111D1"/>
    <w:rPr>
      <w:rFonts w:ascii="Consolas" w:hAnsi="Consolas"/>
      <w:sz w:val="20"/>
      <w:szCs w:val="20"/>
    </w:rPr>
  </w:style>
  <w:style w:type="character" w:customStyle="1" w:styleId="HTMLconformatoprevioCar">
    <w:name w:val="HTML con formato previo Car"/>
    <w:basedOn w:val="Fuentedeprrafopredeter"/>
    <w:link w:val="HTMLconformatoprevio"/>
    <w:uiPriority w:val="99"/>
    <w:semiHidden/>
    <w:rsid w:val="00A111D1"/>
    <w:rPr>
      <w:rFonts w:ascii="Consolas" w:eastAsia="SimSun" w:hAnsi="Consolas" w:cs="Times New Roman"/>
      <w:sz w:val="20"/>
      <w:szCs w:val="20"/>
      <w:lang w:val="es-ES"/>
    </w:rPr>
  </w:style>
  <w:style w:type="character" w:styleId="EjemplodeHTML">
    <w:name w:val="HTML Sample"/>
    <w:basedOn w:val="Fuentedeprrafopredeter"/>
    <w:uiPriority w:val="99"/>
    <w:semiHidden/>
    <w:unhideWhenUsed/>
    <w:rsid w:val="00A111D1"/>
    <w:rPr>
      <w:rFonts w:ascii="Consolas" w:hAnsi="Consolas"/>
      <w:sz w:val="24"/>
      <w:szCs w:val="24"/>
      <w:lang w:val="es-ES"/>
    </w:rPr>
  </w:style>
  <w:style w:type="character" w:styleId="MquinadeescribirHTML">
    <w:name w:val="HTML Typewriter"/>
    <w:basedOn w:val="Fuentedeprrafopredeter"/>
    <w:uiPriority w:val="99"/>
    <w:semiHidden/>
    <w:unhideWhenUsed/>
    <w:rsid w:val="00A111D1"/>
    <w:rPr>
      <w:rFonts w:ascii="Consolas" w:hAnsi="Consolas"/>
      <w:sz w:val="20"/>
      <w:szCs w:val="20"/>
      <w:lang w:val="es-ES"/>
    </w:rPr>
  </w:style>
  <w:style w:type="character" w:styleId="VariableHTML">
    <w:name w:val="HTML Variable"/>
    <w:basedOn w:val="Fuentedeprrafopredeter"/>
    <w:uiPriority w:val="99"/>
    <w:semiHidden/>
    <w:unhideWhenUsed/>
    <w:rsid w:val="00A111D1"/>
    <w:rPr>
      <w:i/>
      <w:iCs/>
      <w:lang w:val="es-ES"/>
    </w:rPr>
  </w:style>
  <w:style w:type="paragraph" w:styleId="ndice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ndice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ndice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ndice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ndice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ndice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ndice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ndice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ndice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Ttulodendice">
    <w:name w:val="index heading"/>
    <w:basedOn w:val="Normal"/>
    <w:next w:val="ndice1"/>
    <w:uiPriority w:val="99"/>
    <w:semiHidden/>
    <w:unhideWhenUsed/>
    <w:rsid w:val="00A111D1"/>
    <w:rPr>
      <w:rFonts w:asciiTheme="majorHAnsi" w:eastAsiaTheme="majorEastAsia" w:hAnsiTheme="majorHAnsi" w:cstheme="majorBidi"/>
      <w:b/>
      <w:bCs/>
    </w:rPr>
  </w:style>
  <w:style w:type="character" w:styleId="nfasisintenso">
    <w:name w:val="Intense Emphasis"/>
    <w:basedOn w:val="Fuentedeprrafopredeter"/>
    <w:uiPriority w:val="21"/>
    <w:qFormat/>
    <w:rsid w:val="00A111D1"/>
    <w:rPr>
      <w:i/>
      <w:iCs/>
      <w:color w:val="4F81BD" w:themeColor="accent1"/>
      <w:lang w:val="es-ES"/>
    </w:rPr>
  </w:style>
  <w:style w:type="paragraph" w:styleId="Citadestacada">
    <w:name w:val="Intense Quote"/>
    <w:basedOn w:val="Normal"/>
    <w:next w:val="Normal"/>
    <w:link w:val="CitadestacadaC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CitadestacadaCar">
    <w:name w:val="Cita destacada Car"/>
    <w:basedOn w:val="Fuentedeprrafopredeter"/>
    <w:link w:val="Citadestacada"/>
    <w:uiPriority w:val="30"/>
    <w:rsid w:val="00A111D1"/>
    <w:rPr>
      <w:rFonts w:ascii="Times New Roman" w:eastAsia="SimSun" w:hAnsi="Times New Roman" w:cs="Times New Roman"/>
      <w:i/>
      <w:iCs/>
      <w:color w:val="4F81BD" w:themeColor="accent1"/>
      <w:sz w:val="22"/>
      <w:szCs w:val="22"/>
      <w:lang w:val="es-ES"/>
    </w:rPr>
  </w:style>
  <w:style w:type="character" w:styleId="Referenciaintensa">
    <w:name w:val="Intense Reference"/>
    <w:basedOn w:val="Fuentedeprrafopredeter"/>
    <w:uiPriority w:val="32"/>
    <w:qFormat/>
    <w:rsid w:val="00A111D1"/>
    <w:rPr>
      <w:b/>
      <w:bCs/>
      <w:smallCaps/>
      <w:color w:val="4F81BD" w:themeColor="accent1"/>
      <w:spacing w:val="5"/>
      <w:lang w:val="es-ES"/>
    </w:rPr>
  </w:style>
  <w:style w:type="table" w:styleId="Cuadrculaclara">
    <w:name w:val="Light Grid"/>
    <w:basedOn w:val="Tabla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Cuadrculaclara-nfasis1">
    <w:name w:val="Light Grid Accent 1"/>
    <w:basedOn w:val="Tabla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Cuadrculaclara-nfasis2">
    <w:name w:val="Light Grid Accent 2"/>
    <w:basedOn w:val="Tabla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Cuadrculaclara-nfasis3">
    <w:name w:val="Light Grid Accent 3"/>
    <w:basedOn w:val="Tabla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Cuadrculaclara-nfasis4">
    <w:name w:val="Light Grid Accent 4"/>
    <w:basedOn w:val="Tabla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Cuadrculaclara-nfasis5">
    <w:name w:val="Light Grid Accent 5"/>
    <w:basedOn w:val="Tabla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Cuadrculaclara-nfasis6">
    <w:name w:val="Light Grid Accent 6"/>
    <w:basedOn w:val="Tabla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staclara">
    <w:name w:val="Light List"/>
    <w:basedOn w:val="Tabla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aclara-nfasis1">
    <w:name w:val="Light List Accent 1"/>
    <w:basedOn w:val="Tabla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aclara-nfasis2">
    <w:name w:val="Light List Accent 2"/>
    <w:basedOn w:val="Tabla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aclara-nfasis3">
    <w:name w:val="Light List Accent 3"/>
    <w:basedOn w:val="Tabla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aclara-nfasis4">
    <w:name w:val="Light List Accent 4"/>
    <w:basedOn w:val="Tabla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aclara-nfasis5">
    <w:name w:val="Light List Accent 5"/>
    <w:basedOn w:val="Tabla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aclara-nfasis6">
    <w:name w:val="Light List Accent 6"/>
    <w:basedOn w:val="Tabla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Sombreadoclaro">
    <w:name w:val="Light Shading"/>
    <w:basedOn w:val="Tabla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doclaro-nfasis1">
    <w:name w:val="Light Shading Accent 1"/>
    <w:basedOn w:val="Tabla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ombreadoclaro-nfasis2">
    <w:name w:val="Light Shading Accent 2"/>
    <w:basedOn w:val="Tabla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ombreadoclaro-nfasis3">
    <w:name w:val="Light Shading Accent 3"/>
    <w:basedOn w:val="Tabla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ombreadoclaro-nfasis4">
    <w:name w:val="Light Shading Accent 4"/>
    <w:basedOn w:val="Tabla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ombreadoclaro-nfasis5">
    <w:name w:val="Light Shading Accent 5"/>
    <w:basedOn w:val="Tabla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ombreadoclaro-nfasis6">
    <w:name w:val="Light Shading Accent 6"/>
    <w:basedOn w:val="Tabla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Nmerodelnea">
    <w:name w:val="line number"/>
    <w:basedOn w:val="Fuentedeprrafopredeter"/>
    <w:uiPriority w:val="99"/>
    <w:semiHidden/>
    <w:unhideWhenUsed/>
    <w:rsid w:val="00A111D1"/>
    <w:rPr>
      <w:lang w:val="es-ES"/>
    </w:rPr>
  </w:style>
  <w:style w:type="paragraph" w:styleId="Lista2">
    <w:name w:val="List 2"/>
    <w:basedOn w:val="Normal"/>
    <w:uiPriority w:val="99"/>
    <w:semiHidden/>
    <w:unhideWhenUsed/>
    <w:rsid w:val="00A111D1"/>
    <w:pPr>
      <w:ind w:left="566" w:hanging="283"/>
      <w:contextualSpacing/>
    </w:pPr>
  </w:style>
  <w:style w:type="paragraph" w:styleId="Lista3">
    <w:name w:val="List 3"/>
    <w:basedOn w:val="Normal"/>
    <w:uiPriority w:val="99"/>
    <w:semiHidden/>
    <w:unhideWhenUsed/>
    <w:rsid w:val="00A111D1"/>
    <w:pPr>
      <w:ind w:left="849" w:hanging="283"/>
      <w:contextualSpacing/>
    </w:pPr>
  </w:style>
  <w:style w:type="paragraph" w:styleId="Lista4">
    <w:name w:val="List 4"/>
    <w:basedOn w:val="Normal"/>
    <w:uiPriority w:val="99"/>
    <w:semiHidden/>
    <w:unhideWhenUsed/>
    <w:rsid w:val="00A111D1"/>
    <w:pPr>
      <w:ind w:left="1132" w:hanging="283"/>
      <w:contextualSpacing/>
    </w:pPr>
  </w:style>
  <w:style w:type="paragraph" w:styleId="Lista5">
    <w:name w:val="List 5"/>
    <w:basedOn w:val="Normal"/>
    <w:uiPriority w:val="99"/>
    <w:semiHidden/>
    <w:unhideWhenUsed/>
    <w:rsid w:val="00A111D1"/>
    <w:pPr>
      <w:ind w:left="1415" w:hanging="283"/>
      <w:contextualSpacing/>
    </w:pPr>
  </w:style>
  <w:style w:type="paragraph" w:styleId="Listaconvietas">
    <w:name w:val="List Bullet"/>
    <w:basedOn w:val="Normal"/>
    <w:uiPriority w:val="99"/>
    <w:semiHidden/>
    <w:unhideWhenUsed/>
    <w:rsid w:val="00A111D1"/>
    <w:pPr>
      <w:tabs>
        <w:tab w:val="num" w:pos="360"/>
      </w:tabs>
      <w:ind w:left="360" w:hanging="360"/>
      <w:contextualSpacing/>
    </w:pPr>
  </w:style>
  <w:style w:type="paragraph" w:styleId="Listaconvietas2">
    <w:name w:val="List Bullet 2"/>
    <w:basedOn w:val="Normal"/>
    <w:uiPriority w:val="99"/>
    <w:semiHidden/>
    <w:unhideWhenUsed/>
    <w:rsid w:val="00A111D1"/>
    <w:pPr>
      <w:tabs>
        <w:tab w:val="num" w:pos="643"/>
      </w:tabs>
      <w:ind w:left="643" w:hanging="360"/>
      <w:contextualSpacing/>
    </w:pPr>
  </w:style>
  <w:style w:type="paragraph" w:styleId="Listaconvietas3">
    <w:name w:val="List Bullet 3"/>
    <w:basedOn w:val="Normal"/>
    <w:uiPriority w:val="99"/>
    <w:semiHidden/>
    <w:unhideWhenUsed/>
    <w:rsid w:val="00A111D1"/>
    <w:pPr>
      <w:tabs>
        <w:tab w:val="num" w:pos="926"/>
      </w:tabs>
      <w:ind w:left="926" w:hanging="360"/>
      <w:contextualSpacing/>
    </w:pPr>
  </w:style>
  <w:style w:type="paragraph" w:styleId="Listaconvietas4">
    <w:name w:val="List Bullet 4"/>
    <w:basedOn w:val="Normal"/>
    <w:uiPriority w:val="99"/>
    <w:semiHidden/>
    <w:unhideWhenUsed/>
    <w:rsid w:val="00A111D1"/>
    <w:pPr>
      <w:tabs>
        <w:tab w:val="num" w:pos="1209"/>
      </w:tabs>
      <w:ind w:left="1209" w:hanging="360"/>
      <w:contextualSpacing/>
    </w:pPr>
  </w:style>
  <w:style w:type="paragraph" w:styleId="Listaconvietas5">
    <w:name w:val="List Bullet 5"/>
    <w:basedOn w:val="Normal"/>
    <w:uiPriority w:val="99"/>
    <w:semiHidden/>
    <w:unhideWhenUsed/>
    <w:rsid w:val="00A111D1"/>
    <w:pPr>
      <w:tabs>
        <w:tab w:val="num" w:pos="1492"/>
      </w:tabs>
      <w:ind w:left="1492" w:hanging="360"/>
      <w:contextualSpacing/>
    </w:pPr>
  </w:style>
  <w:style w:type="paragraph" w:styleId="Continuarlista">
    <w:name w:val="List Continue"/>
    <w:basedOn w:val="Normal"/>
    <w:uiPriority w:val="99"/>
    <w:semiHidden/>
    <w:unhideWhenUsed/>
    <w:rsid w:val="00A111D1"/>
    <w:pPr>
      <w:spacing w:after="120"/>
      <w:ind w:left="283"/>
      <w:contextualSpacing/>
    </w:pPr>
  </w:style>
  <w:style w:type="paragraph" w:styleId="Continuarlista2">
    <w:name w:val="List Continue 2"/>
    <w:basedOn w:val="Normal"/>
    <w:uiPriority w:val="99"/>
    <w:semiHidden/>
    <w:unhideWhenUsed/>
    <w:rsid w:val="00A111D1"/>
    <w:pPr>
      <w:spacing w:after="120"/>
      <w:ind w:left="566"/>
      <w:contextualSpacing/>
    </w:pPr>
  </w:style>
  <w:style w:type="paragraph" w:styleId="Continuarlista3">
    <w:name w:val="List Continue 3"/>
    <w:basedOn w:val="Normal"/>
    <w:uiPriority w:val="99"/>
    <w:semiHidden/>
    <w:unhideWhenUsed/>
    <w:rsid w:val="00A111D1"/>
    <w:pPr>
      <w:spacing w:after="120"/>
      <w:ind w:left="849"/>
      <w:contextualSpacing/>
    </w:pPr>
  </w:style>
  <w:style w:type="paragraph" w:styleId="Continuarlista4">
    <w:name w:val="List Continue 4"/>
    <w:basedOn w:val="Normal"/>
    <w:uiPriority w:val="99"/>
    <w:semiHidden/>
    <w:unhideWhenUsed/>
    <w:rsid w:val="00A111D1"/>
    <w:pPr>
      <w:spacing w:after="120"/>
      <w:ind w:left="1132"/>
      <w:contextualSpacing/>
    </w:pPr>
  </w:style>
  <w:style w:type="paragraph" w:styleId="Continuarlista5">
    <w:name w:val="List Continue 5"/>
    <w:basedOn w:val="Normal"/>
    <w:uiPriority w:val="99"/>
    <w:semiHidden/>
    <w:unhideWhenUsed/>
    <w:rsid w:val="00A111D1"/>
    <w:pPr>
      <w:spacing w:after="120"/>
      <w:ind w:left="1415"/>
      <w:contextualSpacing/>
    </w:pPr>
  </w:style>
  <w:style w:type="paragraph" w:styleId="Listaconnmeros">
    <w:name w:val="List Number"/>
    <w:basedOn w:val="Normal"/>
    <w:uiPriority w:val="99"/>
    <w:semiHidden/>
    <w:unhideWhenUsed/>
    <w:rsid w:val="00A111D1"/>
    <w:pPr>
      <w:tabs>
        <w:tab w:val="num" w:pos="360"/>
      </w:tabs>
      <w:ind w:left="360" w:hanging="360"/>
      <w:contextualSpacing/>
    </w:pPr>
  </w:style>
  <w:style w:type="paragraph" w:styleId="Listaconnmeros2">
    <w:name w:val="List Number 2"/>
    <w:basedOn w:val="Normal"/>
    <w:uiPriority w:val="99"/>
    <w:semiHidden/>
    <w:unhideWhenUsed/>
    <w:rsid w:val="00A111D1"/>
    <w:pPr>
      <w:tabs>
        <w:tab w:val="num" w:pos="643"/>
      </w:tabs>
      <w:ind w:left="643" w:hanging="360"/>
      <w:contextualSpacing/>
    </w:pPr>
  </w:style>
  <w:style w:type="paragraph" w:styleId="Listaconnmeros3">
    <w:name w:val="List Number 3"/>
    <w:basedOn w:val="Normal"/>
    <w:uiPriority w:val="99"/>
    <w:semiHidden/>
    <w:unhideWhenUsed/>
    <w:rsid w:val="00A111D1"/>
    <w:pPr>
      <w:tabs>
        <w:tab w:val="num" w:pos="926"/>
      </w:tabs>
      <w:ind w:left="926" w:hanging="360"/>
      <w:contextualSpacing/>
    </w:pPr>
  </w:style>
  <w:style w:type="paragraph" w:styleId="Listaconnmeros4">
    <w:name w:val="List Number 4"/>
    <w:basedOn w:val="Normal"/>
    <w:uiPriority w:val="99"/>
    <w:semiHidden/>
    <w:unhideWhenUsed/>
    <w:rsid w:val="00A111D1"/>
    <w:pPr>
      <w:tabs>
        <w:tab w:val="num" w:pos="1209"/>
      </w:tabs>
      <w:ind w:left="1209" w:hanging="360"/>
      <w:contextualSpacing/>
    </w:pPr>
  </w:style>
  <w:style w:type="paragraph" w:styleId="Listaconnmeros5">
    <w:name w:val="List Number 5"/>
    <w:basedOn w:val="Normal"/>
    <w:uiPriority w:val="99"/>
    <w:semiHidden/>
    <w:unhideWhenUsed/>
    <w:rsid w:val="00A111D1"/>
    <w:pPr>
      <w:tabs>
        <w:tab w:val="num" w:pos="1800"/>
      </w:tabs>
      <w:ind w:left="1800" w:hanging="360"/>
      <w:contextualSpacing/>
    </w:pPr>
  </w:style>
  <w:style w:type="table" w:styleId="Tabladelista1clara">
    <w:name w:val="List Table 1 Light"/>
    <w:basedOn w:val="Tabla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delista1clara-nfasis1">
    <w:name w:val="List Table 1 Light Accent 1"/>
    <w:basedOn w:val="Tabla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adelista1clara-nfasis2">
    <w:name w:val="List Table 1 Light Accent 2"/>
    <w:basedOn w:val="Tabla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adelista1clara-nfasis3">
    <w:name w:val="List Table 1 Light Accent 3"/>
    <w:basedOn w:val="Tabla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adelista1clara-nfasis4">
    <w:name w:val="List Table 1 Light Accent 4"/>
    <w:basedOn w:val="Tabla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adelista1clara-nfasis5">
    <w:name w:val="List Table 1 Light Accent 5"/>
    <w:basedOn w:val="Tabla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adelista1clara-nfasis6">
    <w:name w:val="List Table 1 Light Accent 6"/>
    <w:basedOn w:val="Tabla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adelista2">
    <w:name w:val="List Table 2"/>
    <w:basedOn w:val="Tabla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delista2-nfasis1">
    <w:name w:val="List Table 2 Accent 1"/>
    <w:basedOn w:val="Tabla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adelista2-nfasis2">
    <w:name w:val="List Table 2 Accent 2"/>
    <w:basedOn w:val="Tabla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adelista2-nfasis3">
    <w:name w:val="List Table 2 Accent 3"/>
    <w:basedOn w:val="Tabla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adelista2-nfasis4">
    <w:name w:val="List Table 2 Accent 4"/>
    <w:basedOn w:val="Tabla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adelista2-nfasis5">
    <w:name w:val="List Table 2 Accent 5"/>
    <w:basedOn w:val="Tabla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adelista2-nfasis6">
    <w:name w:val="List Table 2 Accent 6"/>
    <w:basedOn w:val="Tabla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adelista3">
    <w:name w:val="List Table 3"/>
    <w:basedOn w:val="Tabla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Tabladelista3-nfasis1">
    <w:name w:val="List Table 3 Accent 1"/>
    <w:basedOn w:val="Tabla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Tabladelista3-nfasis2">
    <w:name w:val="List Table 3 Accent 2"/>
    <w:basedOn w:val="Tabla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Tabladelista3-nfasis3">
    <w:name w:val="List Table 3 Accent 3"/>
    <w:basedOn w:val="Tabla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Tabladelista3-nfasis4">
    <w:name w:val="List Table 3 Accent 4"/>
    <w:basedOn w:val="Tabla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Tabladelista3-nfasis5">
    <w:name w:val="List Table 3 Accent 5"/>
    <w:basedOn w:val="Tabla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Tabladelista3-nfasis6">
    <w:name w:val="List Table 3 Accent 6"/>
    <w:basedOn w:val="Tabla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Tabladelista4">
    <w:name w:val="List Table 4"/>
    <w:basedOn w:val="Tabla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delista4-nfasis1">
    <w:name w:val="List Table 4 Accent 1"/>
    <w:basedOn w:val="Tabla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adelista4-nfasis2">
    <w:name w:val="List Table 4 Accent 2"/>
    <w:basedOn w:val="Tabla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adelista4-nfasis3">
    <w:name w:val="List Table 4 Accent 3"/>
    <w:basedOn w:val="Tabla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adelista4-nfasis4">
    <w:name w:val="List Table 4 Accent 4"/>
    <w:basedOn w:val="Tabla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adelista4-nfasis5">
    <w:name w:val="List Table 4 Accent 5"/>
    <w:basedOn w:val="Tabla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adelista4-nfasis6">
    <w:name w:val="List Table 4 Accent 6"/>
    <w:basedOn w:val="Tabla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adelista5oscura">
    <w:name w:val="List Table 5 Dark"/>
    <w:basedOn w:val="Tabla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1">
    <w:name w:val="List Table 5 Dark Accent 1"/>
    <w:basedOn w:val="Tabla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2">
    <w:name w:val="List Table 5 Dark Accent 2"/>
    <w:basedOn w:val="Tabla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3">
    <w:name w:val="List Table 5 Dark Accent 3"/>
    <w:basedOn w:val="Tabla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4">
    <w:name w:val="List Table 5 Dark Accent 4"/>
    <w:basedOn w:val="Tabla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5">
    <w:name w:val="List Table 5 Dark Accent 5"/>
    <w:basedOn w:val="Tabla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6">
    <w:name w:val="List Table 5 Dark Accent 6"/>
    <w:basedOn w:val="Tabla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6concolores">
    <w:name w:val="List Table 6 Colorful"/>
    <w:basedOn w:val="Tabla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delista6concolores-nfasis1">
    <w:name w:val="List Table 6 Colorful Accent 1"/>
    <w:basedOn w:val="Tabla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adelista6concolores-nfasis2">
    <w:name w:val="List Table 6 Colorful Accent 2"/>
    <w:basedOn w:val="Tabla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adelista6concolores-nfasis3">
    <w:name w:val="List Table 6 Colorful Accent 3"/>
    <w:basedOn w:val="Tabla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adelista6concolores-nfasis4">
    <w:name w:val="List Table 6 Colorful Accent 4"/>
    <w:basedOn w:val="Tabla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adelista6concolores-nfasis5">
    <w:name w:val="List Table 6 Colorful Accent 5"/>
    <w:basedOn w:val="Tabla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adelista6concolores-nfasis6">
    <w:name w:val="List Table 6 Colorful Accent 6"/>
    <w:basedOn w:val="Tabla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adelista7concolores">
    <w:name w:val="List Table 7 Colorful"/>
    <w:basedOn w:val="Tabla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1">
    <w:name w:val="List Table 7 Colorful Accent 1"/>
    <w:basedOn w:val="Tabla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2">
    <w:name w:val="List Table 7 Colorful Accent 2"/>
    <w:basedOn w:val="Tabla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3">
    <w:name w:val="List Table 7 Colorful Accent 3"/>
    <w:basedOn w:val="Tabla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4">
    <w:name w:val="List Table 7 Colorful Accent 4"/>
    <w:basedOn w:val="Tabla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5">
    <w:name w:val="List Table 7 Colorful Accent 5"/>
    <w:basedOn w:val="Tabla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6">
    <w:name w:val="List Table 7 Colorful Accent 6"/>
    <w:basedOn w:val="Tabla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omacro">
    <w:name w:val="macro"/>
    <w:link w:val="TextomacroC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rPr>
  </w:style>
  <w:style w:type="character" w:customStyle="1" w:styleId="TextomacroCar">
    <w:name w:val="Texto macro Car"/>
    <w:basedOn w:val="Fuentedeprrafopredeter"/>
    <w:link w:val="Textomacro"/>
    <w:uiPriority w:val="99"/>
    <w:semiHidden/>
    <w:rsid w:val="00A111D1"/>
    <w:rPr>
      <w:rFonts w:ascii="Consolas" w:eastAsia="SimSun" w:hAnsi="Consolas" w:cs="Times New Roman"/>
      <w:sz w:val="20"/>
      <w:szCs w:val="20"/>
      <w:lang w:val="es-ES"/>
    </w:rPr>
  </w:style>
  <w:style w:type="table" w:styleId="Cuadrculamedia1">
    <w:name w:val="Medium Grid 1"/>
    <w:basedOn w:val="Tabla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media1-nfasis1">
    <w:name w:val="Medium Grid 1 Accent 1"/>
    <w:basedOn w:val="Tabla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media1-nfasis2">
    <w:name w:val="Medium Grid 1 Accent 2"/>
    <w:basedOn w:val="Tabla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media1-nfasis3">
    <w:name w:val="Medium Grid 1 Accent 3"/>
    <w:basedOn w:val="Tabla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media1-nfasis4">
    <w:name w:val="Medium Grid 1 Accent 4"/>
    <w:basedOn w:val="Tabla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media1-nfasis5">
    <w:name w:val="Medium Grid 1 Accent 5"/>
    <w:basedOn w:val="Tabla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media1-nfasis6">
    <w:name w:val="Medium Grid 1 Accent 6"/>
    <w:basedOn w:val="Tabla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uadrculamedia2">
    <w:name w:val="Medium Grid 2"/>
    <w:basedOn w:val="Tabla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Cuadrculamedia2-nfasis1">
    <w:name w:val="Medium Grid 2 Accent 1"/>
    <w:basedOn w:val="Tabla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Cuadrculamedia2-nfasis2">
    <w:name w:val="Medium Grid 2 Accent 2"/>
    <w:basedOn w:val="Tabla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Cuadrculamedia2-nfasis3">
    <w:name w:val="Medium Grid 2 Accent 3"/>
    <w:basedOn w:val="Tabla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Cuadrculamedia2-nfasis4">
    <w:name w:val="Medium Grid 2 Accent 4"/>
    <w:basedOn w:val="Tabla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Cuadrculamedia2-nfasis5">
    <w:name w:val="Medium Grid 2 Accent 5"/>
    <w:basedOn w:val="Tabla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Cuadrculamedia2-nfasis6">
    <w:name w:val="Medium Grid 2 Accent 6"/>
    <w:basedOn w:val="Tabla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Cuadrculamedia3">
    <w:name w:val="Medium Grid 3"/>
    <w:basedOn w:val="Tabla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Cuadrculamedia3-nfasis1">
    <w:name w:val="Medium Grid 3 Accent 1"/>
    <w:basedOn w:val="Tabla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Cuadrculamedia3-nfasis2">
    <w:name w:val="Medium Grid 3 Accent 2"/>
    <w:basedOn w:val="Tabla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Cuadrculamedia3-nfasis3">
    <w:name w:val="Medium Grid 3 Accent 3"/>
    <w:basedOn w:val="Tabla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Cuadrculamedia3-nfasis4">
    <w:name w:val="Medium Grid 3 Accent 4"/>
    <w:basedOn w:val="Tabla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Cuadrculamedia3-nfasis5">
    <w:name w:val="Medium Grid 3 Accent 5"/>
    <w:basedOn w:val="Tabla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Cuadrculamedia3-nfasis6">
    <w:name w:val="Medium Grid 3 Accent 6"/>
    <w:basedOn w:val="Tabla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amedia1">
    <w:name w:val="Medium List 1"/>
    <w:basedOn w:val="Tabla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amedia1-nfasis1">
    <w:name w:val="Medium List 1 Accent 1"/>
    <w:basedOn w:val="Tabla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amedia1-nfasis2">
    <w:name w:val="Medium List 1 Accent 2"/>
    <w:basedOn w:val="Tabla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amedia1-nfasis3">
    <w:name w:val="Medium List 1 Accent 3"/>
    <w:basedOn w:val="Tabla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amedia1-nfasis4">
    <w:name w:val="Medium List 1 Accent 4"/>
    <w:basedOn w:val="Tabla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amedia1-nfasis5">
    <w:name w:val="Medium List 1 Accent 5"/>
    <w:basedOn w:val="Tabla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amedia1-nfasis6">
    <w:name w:val="Medium List 1 Accent 6"/>
    <w:basedOn w:val="Tabla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amedia2">
    <w:name w:val="Medium List 2"/>
    <w:basedOn w:val="Tabla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1">
    <w:name w:val="Medium List 2 Accent 1"/>
    <w:basedOn w:val="Tabla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2">
    <w:name w:val="Medium List 2 Accent 2"/>
    <w:basedOn w:val="Tabla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3">
    <w:name w:val="Medium List 2 Accent 3"/>
    <w:basedOn w:val="Tabla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4">
    <w:name w:val="Medium List 2 Accent 4"/>
    <w:basedOn w:val="Tabla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5">
    <w:name w:val="Medium List 2 Accent 5"/>
    <w:basedOn w:val="Tabla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6">
    <w:name w:val="Medium List 2 Accent 6"/>
    <w:basedOn w:val="Tabla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Sombreadomedio1">
    <w:name w:val="Medium Shading 1"/>
    <w:basedOn w:val="Tabla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ombreadomedio1-nfasis1">
    <w:name w:val="Medium Shading 1 Accent 1"/>
    <w:basedOn w:val="Tabla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ombreadomedio1-nfasis2">
    <w:name w:val="Medium Shading 1 Accent 2"/>
    <w:basedOn w:val="Tabla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ombreadomedio1-nfasis3">
    <w:name w:val="Medium Shading 1 Accent 3"/>
    <w:basedOn w:val="Tabla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ombreadomedio1-nfasis4">
    <w:name w:val="Medium Shading 1 Accent 4"/>
    <w:basedOn w:val="Tabla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ombreadomedio1-nfasis5">
    <w:name w:val="Medium Shading 1 Accent 5"/>
    <w:basedOn w:val="Tabla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ombreadomedio1-nfasis6">
    <w:name w:val="Medium Shading 1 Accent 6"/>
    <w:basedOn w:val="Tabla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ombreadomedio2">
    <w:name w:val="Medium Shading 2"/>
    <w:basedOn w:val="Tabla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1">
    <w:name w:val="Medium Shading 2 Accent 1"/>
    <w:basedOn w:val="Tabla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2">
    <w:name w:val="Medium Shading 2 Accent 2"/>
    <w:basedOn w:val="Tabla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3">
    <w:name w:val="Medium Shading 2 Accent 3"/>
    <w:basedOn w:val="Tabla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4">
    <w:name w:val="Medium Shading 2 Accent 4"/>
    <w:basedOn w:val="Tabla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5">
    <w:name w:val="Medium Shading 2 Accent 5"/>
    <w:basedOn w:val="Tabla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6">
    <w:name w:val="Medium Shading 2 Accent 6"/>
    <w:basedOn w:val="Tabla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cionar">
    <w:name w:val="Mention"/>
    <w:basedOn w:val="Fuentedeprrafopredeter"/>
    <w:uiPriority w:val="99"/>
    <w:semiHidden/>
    <w:unhideWhenUsed/>
    <w:rsid w:val="00A111D1"/>
    <w:rPr>
      <w:color w:val="2B579A"/>
      <w:shd w:val="clear" w:color="auto" w:fill="E1DFDD"/>
      <w:lang w:val="es-ES"/>
    </w:rPr>
  </w:style>
  <w:style w:type="paragraph" w:styleId="Encabezadodemensaje">
    <w:name w:val="Message Header"/>
    <w:basedOn w:val="Normal"/>
    <w:link w:val="EncabezadodemensajeC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EncabezadodemensajeCar">
    <w:name w:val="Encabezado de mensaje Car"/>
    <w:basedOn w:val="Fuentedeprrafopredeter"/>
    <w:link w:val="Encabezadodemensaje"/>
    <w:uiPriority w:val="99"/>
    <w:semiHidden/>
    <w:rsid w:val="00A111D1"/>
    <w:rPr>
      <w:rFonts w:asciiTheme="majorHAnsi" w:eastAsiaTheme="majorEastAsia" w:hAnsiTheme="majorHAnsi" w:cstheme="majorBidi"/>
      <w:shd w:val="pct20" w:color="auto" w:fill="auto"/>
      <w:lang w:val="es-ES"/>
    </w:rPr>
  </w:style>
  <w:style w:type="paragraph" w:styleId="Sinespaciado">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rPr>
  </w:style>
  <w:style w:type="paragraph" w:styleId="NormalWeb">
    <w:name w:val="Normal (Web)"/>
    <w:basedOn w:val="Normal"/>
    <w:uiPriority w:val="99"/>
    <w:semiHidden/>
    <w:unhideWhenUsed/>
    <w:rsid w:val="00A111D1"/>
    <w:rPr>
      <w:sz w:val="24"/>
      <w:szCs w:val="24"/>
    </w:rPr>
  </w:style>
  <w:style w:type="paragraph" w:styleId="Sangranormal">
    <w:name w:val="Normal Indent"/>
    <w:basedOn w:val="Normal"/>
    <w:uiPriority w:val="99"/>
    <w:semiHidden/>
    <w:unhideWhenUsed/>
    <w:rsid w:val="00A111D1"/>
    <w:pPr>
      <w:ind w:left="720"/>
    </w:pPr>
  </w:style>
  <w:style w:type="paragraph" w:styleId="Encabezadodenota">
    <w:name w:val="Note Heading"/>
    <w:basedOn w:val="Normal"/>
    <w:next w:val="Normal"/>
    <w:link w:val="EncabezadodenotaCar"/>
    <w:uiPriority w:val="99"/>
    <w:semiHidden/>
    <w:unhideWhenUsed/>
    <w:rsid w:val="00A111D1"/>
  </w:style>
  <w:style w:type="character" w:customStyle="1" w:styleId="EncabezadodenotaCar">
    <w:name w:val="Encabezado de nota Car"/>
    <w:basedOn w:val="Fuentedeprrafopredeter"/>
    <w:link w:val="Encabezadodenota"/>
    <w:uiPriority w:val="99"/>
    <w:semiHidden/>
    <w:rsid w:val="00A111D1"/>
    <w:rPr>
      <w:rFonts w:ascii="Times New Roman" w:eastAsia="SimSun" w:hAnsi="Times New Roman" w:cs="Times New Roman"/>
      <w:sz w:val="22"/>
      <w:szCs w:val="22"/>
      <w:lang w:val="es-ES"/>
    </w:rPr>
  </w:style>
  <w:style w:type="table" w:styleId="Tablanormal1">
    <w:name w:val="Plain Table 1"/>
    <w:basedOn w:val="Tabla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anormal2">
    <w:name w:val="Plain Table 2"/>
    <w:basedOn w:val="Tabla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anormal3">
    <w:name w:val="Plain Table 3"/>
    <w:basedOn w:val="Tabla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Tablanormal4">
    <w:name w:val="Plain Table 4"/>
    <w:basedOn w:val="Tabla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anormal5">
    <w:name w:val="Plain Table 5"/>
    <w:basedOn w:val="Tabla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osinformato">
    <w:name w:val="Plain Text"/>
    <w:basedOn w:val="Normal"/>
    <w:link w:val="TextosinformatoCar"/>
    <w:uiPriority w:val="99"/>
    <w:semiHidden/>
    <w:unhideWhenUsed/>
    <w:rsid w:val="00A111D1"/>
    <w:rPr>
      <w:rFonts w:ascii="Consolas" w:hAnsi="Consolas"/>
      <w:sz w:val="21"/>
      <w:szCs w:val="21"/>
    </w:rPr>
  </w:style>
  <w:style w:type="character" w:customStyle="1" w:styleId="TextosinformatoCar">
    <w:name w:val="Texto sin formato Car"/>
    <w:basedOn w:val="Fuentedeprrafopredeter"/>
    <w:link w:val="Textosinformato"/>
    <w:uiPriority w:val="99"/>
    <w:semiHidden/>
    <w:rsid w:val="00A111D1"/>
    <w:rPr>
      <w:rFonts w:ascii="Consolas" w:eastAsia="SimSun" w:hAnsi="Consolas" w:cs="Times New Roman"/>
      <w:sz w:val="21"/>
      <w:szCs w:val="21"/>
      <w:lang w:val="es-ES"/>
    </w:rPr>
  </w:style>
  <w:style w:type="paragraph" w:styleId="Cita">
    <w:name w:val="Quote"/>
    <w:basedOn w:val="Normal"/>
    <w:next w:val="Normal"/>
    <w:link w:val="CitaCar"/>
    <w:uiPriority w:val="29"/>
    <w:qFormat/>
    <w:rsid w:val="00A111D1"/>
    <w:pPr>
      <w:spacing w:before="200" w:after="160"/>
      <w:ind w:left="864" w:right="864"/>
      <w:jc w:val="center"/>
    </w:pPr>
    <w:rPr>
      <w:i/>
      <w:iCs/>
      <w:color w:val="404040" w:themeColor="text1" w:themeTint="BF"/>
    </w:rPr>
  </w:style>
  <w:style w:type="character" w:customStyle="1" w:styleId="CitaCar">
    <w:name w:val="Cita Car"/>
    <w:basedOn w:val="Fuentedeprrafopredeter"/>
    <w:link w:val="Cita"/>
    <w:uiPriority w:val="29"/>
    <w:rsid w:val="00A111D1"/>
    <w:rPr>
      <w:rFonts w:ascii="Times New Roman" w:eastAsia="SimSun" w:hAnsi="Times New Roman" w:cs="Times New Roman"/>
      <w:i/>
      <w:iCs/>
      <w:color w:val="404040" w:themeColor="text1" w:themeTint="BF"/>
      <w:sz w:val="22"/>
      <w:szCs w:val="22"/>
      <w:lang w:val="es-ES"/>
    </w:rPr>
  </w:style>
  <w:style w:type="paragraph" w:styleId="Saludo">
    <w:name w:val="Salutation"/>
    <w:basedOn w:val="Normal"/>
    <w:next w:val="Normal"/>
    <w:link w:val="SaludoCar"/>
    <w:uiPriority w:val="99"/>
    <w:semiHidden/>
    <w:unhideWhenUsed/>
    <w:rsid w:val="00A111D1"/>
  </w:style>
  <w:style w:type="character" w:customStyle="1" w:styleId="SaludoCar">
    <w:name w:val="Saludo Car"/>
    <w:basedOn w:val="Fuentedeprrafopredeter"/>
    <w:link w:val="Saludo"/>
    <w:uiPriority w:val="99"/>
    <w:semiHidden/>
    <w:rsid w:val="00A111D1"/>
    <w:rPr>
      <w:rFonts w:ascii="Times New Roman" w:eastAsia="SimSun" w:hAnsi="Times New Roman" w:cs="Times New Roman"/>
      <w:sz w:val="22"/>
      <w:szCs w:val="22"/>
      <w:lang w:val="es-ES"/>
    </w:rPr>
  </w:style>
  <w:style w:type="paragraph" w:styleId="Firma">
    <w:name w:val="Signature"/>
    <w:basedOn w:val="Normal"/>
    <w:link w:val="FirmaCar"/>
    <w:uiPriority w:val="99"/>
    <w:semiHidden/>
    <w:unhideWhenUsed/>
    <w:rsid w:val="00A111D1"/>
    <w:pPr>
      <w:ind w:left="4252"/>
    </w:pPr>
  </w:style>
  <w:style w:type="character" w:customStyle="1" w:styleId="FirmaCar">
    <w:name w:val="Firma Car"/>
    <w:basedOn w:val="Fuentedeprrafopredeter"/>
    <w:link w:val="Firma"/>
    <w:uiPriority w:val="99"/>
    <w:semiHidden/>
    <w:rsid w:val="00A111D1"/>
    <w:rPr>
      <w:rFonts w:ascii="Times New Roman" w:eastAsia="SimSun" w:hAnsi="Times New Roman" w:cs="Times New Roman"/>
      <w:sz w:val="22"/>
      <w:szCs w:val="22"/>
      <w:lang w:val="es-ES"/>
    </w:rPr>
  </w:style>
  <w:style w:type="character" w:styleId="Hipervnculointeligente">
    <w:name w:val="Smart Hyperlink"/>
    <w:basedOn w:val="Fuentedeprrafopredeter"/>
    <w:uiPriority w:val="99"/>
    <w:semiHidden/>
    <w:unhideWhenUsed/>
    <w:rsid w:val="00A111D1"/>
    <w:rPr>
      <w:u w:val="dotted"/>
      <w:lang w:val="es-ES"/>
    </w:rPr>
  </w:style>
  <w:style w:type="character" w:styleId="SmartLink">
    <w:name w:val="Smart Link"/>
    <w:basedOn w:val="Fuentedeprrafopredeter"/>
    <w:uiPriority w:val="99"/>
    <w:semiHidden/>
    <w:unhideWhenUsed/>
    <w:rsid w:val="00A111D1"/>
    <w:rPr>
      <w:color w:val="0000FF"/>
      <w:u w:val="single"/>
      <w:shd w:val="clear" w:color="auto" w:fill="F3F2F1"/>
      <w:lang w:val="es-ES"/>
    </w:rPr>
  </w:style>
  <w:style w:type="character" w:styleId="Fuerte">
    <w:name w:val="Strong"/>
    <w:basedOn w:val="Fuentedeprrafopredeter"/>
    <w:uiPriority w:val="22"/>
    <w:qFormat/>
    <w:rsid w:val="00A111D1"/>
    <w:rPr>
      <w:b/>
      <w:bCs/>
      <w:lang w:val="es-ES"/>
    </w:rPr>
  </w:style>
  <w:style w:type="character" w:styleId="nfasissutil">
    <w:name w:val="Subtle Emphasis"/>
    <w:basedOn w:val="Fuentedeprrafopredeter"/>
    <w:uiPriority w:val="19"/>
    <w:qFormat/>
    <w:rsid w:val="00A111D1"/>
    <w:rPr>
      <w:i/>
      <w:iCs/>
      <w:color w:val="404040" w:themeColor="text1" w:themeTint="BF"/>
      <w:lang w:val="es-ES"/>
    </w:rPr>
  </w:style>
  <w:style w:type="character" w:styleId="Referenciasutil">
    <w:name w:val="Subtle Reference"/>
    <w:basedOn w:val="Fuentedeprrafopredeter"/>
    <w:uiPriority w:val="31"/>
    <w:qFormat/>
    <w:rsid w:val="00A111D1"/>
    <w:rPr>
      <w:smallCaps/>
      <w:color w:val="5A5A5A" w:themeColor="text1" w:themeTint="A5"/>
      <w:lang w:val="es-ES"/>
    </w:rPr>
  </w:style>
  <w:style w:type="table" w:styleId="Tablaconefectos3D1">
    <w:name w:val="Table 3D effects 1"/>
    <w:basedOn w:val="Tabla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aconefectos3D2">
    <w:name w:val="Table 3D effects 2"/>
    <w:basedOn w:val="Tabla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efectos3D3">
    <w:name w:val="Table 3D effects 3"/>
    <w:basedOn w:val="Tabla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lsica1">
    <w:name w:val="Table Classic 1"/>
    <w:basedOn w:val="Tabla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lsica2">
    <w:name w:val="Table Classic 2"/>
    <w:basedOn w:val="Tabla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aclsica3">
    <w:name w:val="Table Classic 3"/>
    <w:basedOn w:val="Tabla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aclsica4">
    <w:name w:val="Table Classic 4"/>
    <w:basedOn w:val="Tabla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avistosa1">
    <w:name w:val="Table Colorful 1"/>
    <w:basedOn w:val="Tabla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avistosa2">
    <w:name w:val="Table Colorful 2"/>
    <w:basedOn w:val="Tabla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avistosa3">
    <w:name w:val="Table Colorful 3"/>
    <w:basedOn w:val="Tabla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aconcolumnas1">
    <w:name w:val="Table Columns 1"/>
    <w:basedOn w:val="Tabla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olumnas2">
    <w:name w:val="Table Columns 2"/>
    <w:basedOn w:val="Tabla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olumnas3">
    <w:name w:val="Table Columns 3"/>
    <w:basedOn w:val="Tabla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aconcolumnas4">
    <w:name w:val="Table Columns 4"/>
    <w:basedOn w:val="Tabla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aconcolumnas5">
    <w:name w:val="Table Columns 5"/>
    <w:basedOn w:val="Tabla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amoderna">
    <w:name w:val="Table Contemporary"/>
    <w:basedOn w:val="Tabla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aelegante">
    <w:name w:val="Table Elegant"/>
    <w:basedOn w:val="Tabla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aconcuadrcula1">
    <w:name w:val="Table Grid 1"/>
    <w:basedOn w:val="Tabla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Cuadrculadetabla2">
    <w:name w:val="Table Grid 2"/>
    <w:basedOn w:val="Tabla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Cuadrculadetabla3">
    <w:name w:val="Table Grid 3"/>
    <w:basedOn w:val="Tabla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Cuadrculadetabla4">
    <w:name w:val="Table Grid 4"/>
    <w:basedOn w:val="Tabla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aconcuadrcula5">
    <w:name w:val="Table Grid 5"/>
    <w:basedOn w:val="Tabla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6">
    <w:name w:val="Table Grid 6"/>
    <w:basedOn w:val="Tabla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7">
    <w:name w:val="Table Grid 7"/>
    <w:basedOn w:val="Tabla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8">
    <w:name w:val="Table Grid 8"/>
    <w:basedOn w:val="Tabla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aconcuadrculaclara">
    <w:name w:val="Grid Table Light"/>
    <w:basedOn w:val="Tabla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aconlista1">
    <w:name w:val="Table List 1"/>
    <w:basedOn w:val="Tabla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lista2">
    <w:name w:val="Table List 2"/>
    <w:basedOn w:val="Tabla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lista3">
    <w:name w:val="Table List 3"/>
    <w:basedOn w:val="Tabla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aconlista4">
    <w:name w:val="Table List 4"/>
    <w:basedOn w:val="Tabla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aconlista5">
    <w:name w:val="Table List 5"/>
    <w:basedOn w:val="Tabla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aconlista6">
    <w:name w:val="Table List 6"/>
    <w:basedOn w:val="Tabla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aconlista7">
    <w:name w:val="Table List 7"/>
    <w:basedOn w:val="Tabla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aconlista8">
    <w:name w:val="Table List 8"/>
    <w:basedOn w:val="Tabla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extoconsangra">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adeilustracion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aprofesional">
    <w:name w:val="Table Professional"/>
    <w:basedOn w:val="Tabla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absica1">
    <w:name w:val="Table Simple 1"/>
    <w:basedOn w:val="Tabla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absica2">
    <w:name w:val="Table Simple 2"/>
    <w:basedOn w:val="Tabla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absica3">
    <w:name w:val="Table Simple 3"/>
    <w:basedOn w:val="Tabla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asutil1">
    <w:name w:val="Table Subtle 1"/>
    <w:basedOn w:val="Tabla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sutil2">
    <w:name w:val="Table Subtle 2"/>
    <w:basedOn w:val="Tabla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tema">
    <w:name w:val="Table Theme"/>
    <w:basedOn w:val="Tabla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web1">
    <w:name w:val="Table Web 1"/>
    <w:basedOn w:val="Tabla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aweb2">
    <w:name w:val="Table Web 2"/>
    <w:basedOn w:val="Tabla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aweb3">
    <w:name w:val="Table Web 3"/>
    <w:basedOn w:val="Tabla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tuloTDC">
    <w:name w:val="TOC Heading"/>
    <w:basedOn w:val="Ttulo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Mencinsinresolver">
    <w:name w:val="Unresolved Mention"/>
    <w:basedOn w:val="Fuentedeprrafopredeter"/>
    <w:uiPriority w:val="99"/>
    <w:semiHidden/>
    <w:unhideWhenUsed/>
    <w:rsid w:val="00A111D1"/>
    <w:rPr>
      <w:color w:val="605E5C"/>
      <w:shd w:val="clear" w:color="auto" w:fill="E1DFDD"/>
      <w:lang w:val="es-ES"/>
    </w:rPr>
  </w:style>
  <w:style w:type="paragraph" w:customStyle="1" w:styleId="CBDAgendaItemReport">
    <w:name w:val="CBD_AgendaItem_Report"/>
    <w:basedOn w:val="Normal"/>
    <w:qFormat/>
    <w:rsid w:val="00866063"/>
    <w:pPr>
      <w:keepNext/>
      <w:keepLines/>
      <w:spacing w:before="240" w:after="120"/>
      <w:jc w:val="left"/>
    </w:pPr>
    <w:rPr>
      <w:b/>
      <w:sz w:val="24"/>
    </w:rPr>
  </w:style>
  <w:style w:type="paragraph" w:customStyle="1" w:styleId="CBDagendaItem0">
    <w:name w:val="CBD_agenda_Item"/>
    <w:basedOn w:val="CBDNormalNumber"/>
    <w:qFormat/>
    <w:rsid w:val="00866063"/>
  </w:style>
  <w:style w:type="paragraph" w:customStyle="1" w:styleId="Cornernotation-Item">
    <w:name w:val="Corner notation - Item"/>
    <w:basedOn w:val="Normal"/>
    <w:qFormat/>
    <w:rsid w:val="00D17051"/>
    <w:pPr>
      <w:tabs>
        <w:tab w:val="clear" w:pos="567"/>
        <w:tab w:val="clear" w:pos="1134"/>
        <w:tab w:val="clear" w:pos="1701"/>
        <w:tab w:val="clear" w:pos="2268"/>
      </w:tabs>
      <w:ind w:left="170" w:right="3119" w:hanging="170"/>
      <w:jc w:val="left"/>
    </w:pPr>
    <w:rPr>
      <w:rFonts w:eastAsia="Times New Roman"/>
      <w:b/>
      <w:bCs/>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Refdenotaalpie"/>
    <w:uiPriority w:val="99"/>
    <w:qFormat/>
    <w:rsid w:val="003E37CA"/>
    <w:pPr>
      <w:tabs>
        <w:tab w:val="clear" w:pos="567"/>
        <w:tab w:val="clear" w:pos="1134"/>
        <w:tab w:val="clear" w:pos="1701"/>
        <w:tab w:val="clear" w:pos="2268"/>
      </w:tabs>
      <w:spacing w:after="160" w:line="240" w:lineRule="exact"/>
      <w:jc w:val="left"/>
    </w:pPr>
    <w:rPr>
      <w:rFonts w:asciiTheme="minorHAnsi" w:eastAsiaTheme="minorEastAsia" w:hAnsiTheme="minorHAnsi" w:cstheme="minorBidi"/>
      <w:sz w:val="24"/>
      <w:szCs w:val="24"/>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cbd.int/recommendations/sbi/?m=sbi-06" TargetMode="External"/><Relationship Id="rId21" Type="http://schemas.openxmlformats.org/officeDocument/2006/relationships/hyperlink" Target="https://www.cbd.int/decisions/cop/?m=cop-16" TargetMode="External"/><Relationship Id="rId42" Type="http://schemas.openxmlformats.org/officeDocument/2006/relationships/hyperlink" Target="https://www.cbd.int/decisions/cop/?m=cop-16" TargetMode="External"/><Relationship Id="rId47" Type="http://schemas.openxmlformats.org/officeDocument/2006/relationships/hyperlink" Target="https://www.cbd.int/decisions/cop/?m=cop-16" TargetMode="External"/><Relationship Id="rId63" Type="http://schemas.openxmlformats.org/officeDocument/2006/relationships/hyperlink" Target="https://www.cbd.int/decisions/cop/?m=cop-16" TargetMode="External"/><Relationship Id="rId68" Type="http://schemas.openxmlformats.org/officeDocument/2006/relationships/hyperlink" Target="https://www.cbd.int/decisions/cop/?m=cop-16" TargetMode="External"/><Relationship Id="rId84" Type="http://schemas.openxmlformats.org/officeDocument/2006/relationships/hyperlink" Target="https://www.cbd.int/recommendations/sbi/?m=sbi-06" TargetMode="External"/><Relationship Id="rId89" Type="http://schemas.openxmlformats.org/officeDocument/2006/relationships/footer" Target="footer2.xml"/><Relationship Id="rId16" Type="http://schemas.openxmlformats.org/officeDocument/2006/relationships/hyperlink" Target="https://www.cbd.int/doc/legal/cbd-es.pdf" TargetMode="External"/><Relationship Id="rId11" Type="http://schemas.openxmlformats.org/officeDocument/2006/relationships/endnotes" Target="endnotes.xml"/><Relationship Id="rId32" Type="http://schemas.openxmlformats.org/officeDocument/2006/relationships/hyperlink" Target="https://www.cbd.int/decisions/cop/?m=cop-16" TargetMode="External"/><Relationship Id="rId37" Type="http://schemas.openxmlformats.org/officeDocument/2006/relationships/hyperlink" Target="https://www.cbd.int/decisions/cop/?m=cop-16" TargetMode="External"/><Relationship Id="rId53" Type="http://schemas.openxmlformats.org/officeDocument/2006/relationships/hyperlink" Target="https://www.cbd.int/decisions/cop/?m=cop-16" TargetMode="External"/><Relationship Id="rId58" Type="http://schemas.openxmlformats.org/officeDocument/2006/relationships/hyperlink" Target="https://www.cbd.int/decisions/cop/?m=cop-15" TargetMode="External"/><Relationship Id="rId74" Type="http://schemas.openxmlformats.org/officeDocument/2006/relationships/hyperlink" Target="https://www.cbd.int/decisions/cop/?m=cop-16" TargetMode="External"/><Relationship Id="rId79" Type="http://schemas.openxmlformats.org/officeDocument/2006/relationships/hyperlink" Target="https://www.cbd.int/decisions/cop/?m=cop-15" TargetMode="External"/><Relationship Id="rId5" Type="http://schemas.openxmlformats.org/officeDocument/2006/relationships/customXml" Target="../customXml/item5.xml"/><Relationship Id="rId90" Type="http://schemas.openxmlformats.org/officeDocument/2006/relationships/header" Target="header3.xml"/><Relationship Id="rId14" Type="http://schemas.openxmlformats.org/officeDocument/2006/relationships/image" Target="media/image3.png"/><Relationship Id="rId22" Type="http://schemas.openxmlformats.org/officeDocument/2006/relationships/hyperlink" Target="https://www.cbd.int/decisions/cop/?m=cop-16" TargetMode="External"/><Relationship Id="rId27" Type="http://schemas.openxmlformats.org/officeDocument/2006/relationships/hyperlink" Target="https://www.cbd.int/recommendations/sbi/?m=sbi-06" TargetMode="External"/><Relationship Id="rId30" Type="http://schemas.openxmlformats.org/officeDocument/2006/relationships/hyperlink" Target="https://www.cbd.int/decisions/cop/?m=cop-16" TargetMode="External"/><Relationship Id="rId35" Type="http://schemas.openxmlformats.org/officeDocument/2006/relationships/hyperlink" Target="https://www.cbd.int/decisions/cop/?m=cop-16" TargetMode="External"/><Relationship Id="rId43" Type="http://schemas.openxmlformats.org/officeDocument/2006/relationships/hyperlink" Target="https://www.cbd.int/decisions/cop/?m=cop-16" TargetMode="External"/><Relationship Id="rId48" Type="http://schemas.openxmlformats.org/officeDocument/2006/relationships/hyperlink" Target="https://www.cbd.int/decisions/cop?m=cop-16" TargetMode="External"/><Relationship Id="rId56" Type="http://schemas.openxmlformats.org/officeDocument/2006/relationships/hyperlink" Target="https://www.cbd.int/decisions/cop/?m=cop-16" TargetMode="External"/><Relationship Id="rId64" Type="http://schemas.openxmlformats.org/officeDocument/2006/relationships/hyperlink" Target="https://www.cbd.int/decisions/cop/?m=cop-16" TargetMode="External"/><Relationship Id="rId69" Type="http://schemas.openxmlformats.org/officeDocument/2006/relationships/hyperlink" Target="https://www.cbd.int/decisions/cop/?m=cop-16" TargetMode="External"/><Relationship Id="rId77" Type="http://schemas.openxmlformats.org/officeDocument/2006/relationships/hyperlink" Target="https://www.cbd.int/decisions/cop/?m=cop-16" TargetMode="External"/><Relationship Id="rId8" Type="http://schemas.openxmlformats.org/officeDocument/2006/relationships/settings" Target="settings.xml"/><Relationship Id="rId51" Type="http://schemas.openxmlformats.org/officeDocument/2006/relationships/hyperlink" Target="https://www.cbd.int/decisions/cop?m=cop-16" TargetMode="External"/><Relationship Id="rId72" Type="http://schemas.openxmlformats.org/officeDocument/2006/relationships/hyperlink" Target="https://www.cbd.int/decisions/cop/?m=cop-16" TargetMode="External"/><Relationship Id="rId80" Type="http://schemas.openxmlformats.org/officeDocument/2006/relationships/hyperlink" Target="https://www.cbd.int/decisions/cop/?m=cop-16" TargetMode="External"/><Relationship Id="rId85" Type="http://schemas.openxmlformats.org/officeDocument/2006/relationships/hyperlink" Target="https://www.cbd.int/doc/c/58e7/6882/2af692f5b811fc40936be200/sb8j-01-02-en.pdf" TargetMode="External"/><Relationship Id="rId3" Type="http://schemas.openxmlformats.org/officeDocument/2006/relationships/customXml" Target="../customXml/item3.xml"/><Relationship Id="rId12" Type="http://schemas.openxmlformats.org/officeDocument/2006/relationships/image" Target="media/image1.png"/><Relationship Id="rId17" Type="http://schemas.openxmlformats.org/officeDocument/2006/relationships/hyperlink" Target="https://www.cbd.int/doc/legal/cbd-es.pdf" TargetMode="External"/><Relationship Id="rId25" Type="http://schemas.openxmlformats.org/officeDocument/2006/relationships/hyperlink" Target="https://www.cbd.int/recommendations/sbi/?m=sbi-06" TargetMode="External"/><Relationship Id="rId33" Type="http://schemas.openxmlformats.org/officeDocument/2006/relationships/hyperlink" Target="https://www.cbd.int/decisions/cop/?m=cop-16" TargetMode="External"/><Relationship Id="rId38" Type="http://schemas.openxmlformats.org/officeDocument/2006/relationships/hyperlink" Target="https://www.cbd.int/decisions/cop/?m=cop-16" TargetMode="External"/><Relationship Id="rId46" Type="http://schemas.openxmlformats.org/officeDocument/2006/relationships/hyperlink" Target="https://www.cbd.int/decisions/cop?m=cop-16" TargetMode="External"/><Relationship Id="rId59" Type="http://schemas.openxmlformats.org/officeDocument/2006/relationships/hyperlink" Target="https://www.cbd.int/decisions/cop/?m=cop-16" TargetMode="External"/><Relationship Id="rId67" Type="http://schemas.openxmlformats.org/officeDocument/2006/relationships/hyperlink" Target="https://www.cbd.int/decisions/cop/?m=cop-16" TargetMode="External"/><Relationship Id="rId20" Type="http://schemas.openxmlformats.org/officeDocument/2006/relationships/hyperlink" Target="https://www.cbd.int/decisions/cop/?m=cop-16" TargetMode="External"/><Relationship Id="rId41" Type="http://schemas.openxmlformats.org/officeDocument/2006/relationships/hyperlink" Target="https://www.cbd.int/decisions/cop/?m=cop-16" TargetMode="External"/><Relationship Id="rId54" Type="http://schemas.openxmlformats.org/officeDocument/2006/relationships/hyperlink" Target="https://www.cbd.int/decisions/cop/?m=cop-16" TargetMode="External"/><Relationship Id="rId62" Type="http://schemas.openxmlformats.org/officeDocument/2006/relationships/hyperlink" Target="https://www.cbd.int/decisions/cop/?m=cop-16" TargetMode="External"/><Relationship Id="rId70" Type="http://schemas.openxmlformats.org/officeDocument/2006/relationships/hyperlink" Target="https://www.cbd.int/decisions/cop/?m=cop-16" TargetMode="External"/><Relationship Id="rId75" Type="http://schemas.openxmlformats.org/officeDocument/2006/relationships/hyperlink" Target="https://www.cbd.int/decisions/cop/?m=cop-16" TargetMode="External"/><Relationship Id="rId83" Type="http://schemas.openxmlformats.org/officeDocument/2006/relationships/hyperlink" Target="https://www.cbd.int/recommendations/sbi/?m=sbi-06" TargetMode="External"/><Relationship Id="rId88" Type="http://schemas.openxmlformats.org/officeDocument/2006/relationships/footer" Target="footer1.xml"/><Relationship Id="rId9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5" Type="http://schemas.openxmlformats.org/officeDocument/2006/relationships/hyperlink" Target="https://www.cbd.int/decisions/cop/?m=cop-16" TargetMode="External"/><Relationship Id="rId23" Type="http://schemas.openxmlformats.org/officeDocument/2006/relationships/hyperlink" Target="https://www.cbd.int/decisions/cop?m=cop-12" TargetMode="External"/><Relationship Id="rId28" Type="http://schemas.openxmlformats.org/officeDocument/2006/relationships/hyperlink" Target="https://www.cbd.int/decisions/cop/?m=cop-16" TargetMode="External"/><Relationship Id="rId36" Type="http://schemas.openxmlformats.org/officeDocument/2006/relationships/hyperlink" Target="https://www.cbd.int/decisions/cop/?m=cop-16" TargetMode="External"/><Relationship Id="rId49" Type="http://schemas.openxmlformats.org/officeDocument/2006/relationships/hyperlink" Target="https://www.cbd.int/decisions/cop?m=cop-16" TargetMode="External"/><Relationship Id="rId57" Type="http://schemas.openxmlformats.org/officeDocument/2006/relationships/hyperlink" Target="https://www.cbd.int/decisions/cop/?m=cop-15" TargetMode="External"/><Relationship Id="rId10" Type="http://schemas.openxmlformats.org/officeDocument/2006/relationships/footnotes" Target="footnotes.xml"/><Relationship Id="rId31" Type="http://schemas.openxmlformats.org/officeDocument/2006/relationships/hyperlink" Target="https://www.cbd.int/decisions/cop/?m=cop-16" TargetMode="External"/><Relationship Id="rId44" Type="http://schemas.openxmlformats.org/officeDocument/2006/relationships/hyperlink" Target="https://www.cbd.int/decisions/cop/?m=cop-16" TargetMode="External"/><Relationship Id="rId52" Type="http://schemas.openxmlformats.org/officeDocument/2006/relationships/hyperlink" Target="https://www.cbd.int/decisions/cop?m=cop-16" TargetMode="External"/><Relationship Id="rId60" Type="http://schemas.openxmlformats.org/officeDocument/2006/relationships/hyperlink" Target="https://www.cbd.int/decisions/cop/?m=cop-16" TargetMode="External"/><Relationship Id="rId65" Type="http://schemas.openxmlformats.org/officeDocument/2006/relationships/hyperlink" Target="https://www.cbd.int/decisions/cop/?m=cop-16" TargetMode="External"/><Relationship Id="rId73" Type="http://schemas.openxmlformats.org/officeDocument/2006/relationships/hyperlink" Target="https://www.cbd.int/decisions/cop/?m=cop-15" TargetMode="External"/><Relationship Id="rId78" Type="http://schemas.openxmlformats.org/officeDocument/2006/relationships/hyperlink" Target="https://www.cbd.int/decisions/cop/?m=cop-15" TargetMode="External"/><Relationship Id="rId81" Type="http://schemas.openxmlformats.org/officeDocument/2006/relationships/hyperlink" Target="https://www.cbd.int/recommendations/sbi/?m=sbi-06" TargetMode="External"/><Relationship Id="rId86"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webSettings" Target="webSettings.xml"/><Relationship Id="rId13" Type="http://schemas.openxmlformats.org/officeDocument/2006/relationships/image" Target="media/image2.png"/><Relationship Id="rId18" Type="http://schemas.openxmlformats.org/officeDocument/2006/relationships/hyperlink" Target="https://www.cbd.int/doc/legal/cbd-es.pdf" TargetMode="External"/><Relationship Id="rId39" Type="http://schemas.openxmlformats.org/officeDocument/2006/relationships/hyperlink" Target="https://www.cbd.int/decisions/cop/?m=cop-16" TargetMode="External"/><Relationship Id="rId34" Type="http://schemas.openxmlformats.org/officeDocument/2006/relationships/hyperlink" Target="https://www.cbd.int/decisions/cop/?m=cop-15" TargetMode="External"/><Relationship Id="rId50" Type="http://schemas.openxmlformats.org/officeDocument/2006/relationships/hyperlink" Target="https://www.cbd.int/decisions/cop/?m=cop-16" TargetMode="External"/><Relationship Id="rId55" Type="http://schemas.openxmlformats.org/officeDocument/2006/relationships/hyperlink" Target="https://www.cbd.int/recommendations/sbi/?m=sbi-06" TargetMode="External"/><Relationship Id="rId76" Type="http://schemas.openxmlformats.org/officeDocument/2006/relationships/hyperlink" Target="https://www.cbd.int/decisions/cop/?m=cop-16" TargetMode="External"/><Relationship Id="rId7" Type="http://schemas.openxmlformats.org/officeDocument/2006/relationships/styles" Target="styles.xml"/><Relationship Id="rId71" Type="http://schemas.openxmlformats.org/officeDocument/2006/relationships/hyperlink" Target="https://www.cbd.int/decisions/cop/?m=cop-15" TargetMode="External"/><Relationship Id="rId92" Type="http://schemas.openxmlformats.org/officeDocument/2006/relationships/theme" Target="theme/theme1.xml"/><Relationship Id="rId2" Type="http://schemas.openxmlformats.org/officeDocument/2006/relationships/customXml" Target="../customXml/item2.xml"/><Relationship Id="rId29" Type="http://schemas.openxmlformats.org/officeDocument/2006/relationships/hyperlink" Target="https://www.cbd.int/doc/notifications/2025/ntf-2025-148-mainstreaming-en.pdf" TargetMode="External"/><Relationship Id="rId24" Type="http://schemas.openxmlformats.org/officeDocument/2006/relationships/hyperlink" Target="https://www.cbd.int/decisions/cop?m=cop-14" TargetMode="External"/><Relationship Id="rId40" Type="http://schemas.openxmlformats.org/officeDocument/2006/relationships/hyperlink" Target="https://www.cbd.int/decisions/cop/?m=cop-16" TargetMode="External"/><Relationship Id="rId45" Type="http://schemas.openxmlformats.org/officeDocument/2006/relationships/hyperlink" Target="https://www.cbd.int/decisions/cop/?m=cop-16" TargetMode="External"/><Relationship Id="rId66" Type="http://schemas.openxmlformats.org/officeDocument/2006/relationships/hyperlink" Target="https://www.cbd.int/decisions/cop/?m=cop-16" TargetMode="External"/><Relationship Id="rId87" Type="http://schemas.openxmlformats.org/officeDocument/2006/relationships/header" Target="header2.xml"/><Relationship Id="rId61" Type="http://schemas.openxmlformats.org/officeDocument/2006/relationships/hyperlink" Target="https://www.cbd.int/decisions/cop/?m=cop-16" TargetMode="External"/><Relationship Id="rId82" Type="http://schemas.openxmlformats.org/officeDocument/2006/relationships/hyperlink" Target="https://www.cbd.int/recommendations/sbstta/?m=sbstta-27" TargetMode="External"/><Relationship Id="rId19" Type="http://schemas.openxmlformats.org/officeDocument/2006/relationships/hyperlink" Target="https://www.cbd.int/decisions/cop/?m=cop-16"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oc/notifications/2023/ntf-2023-063-rm-en.pdf" TargetMode="External"/><Relationship Id="rId7" Type="http://schemas.openxmlformats.org/officeDocument/2006/relationships/hyperlink" Target="https://www.cbd.int/decisions/cop/?m=cop-15" TargetMode="External"/><Relationship Id="rId2" Type="http://schemas.openxmlformats.org/officeDocument/2006/relationships/hyperlink" Target="https://chm.cbd.int/en/submissions-to-notifications?notification=2025-148&amp;currentPage=1&amp;schema=submission" TargetMode="External"/><Relationship Id="rId1" Type="http://schemas.openxmlformats.org/officeDocument/2006/relationships/hyperlink" Target="https://www.cbd.int/documents/CBD/SBI/7/1" TargetMode="External"/><Relationship Id="rId6" Type="http://schemas.openxmlformats.org/officeDocument/2006/relationships/hyperlink" Target="https://www.cbd.int/decisions/cop/?m=cop-16" TargetMode="External"/><Relationship Id="rId5" Type="http://schemas.openxmlformats.org/officeDocument/2006/relationships/hyperlink" Target="https://www.cbd.int/recommendations/sbi/?m=sbi-06" TargetMode="External"/><Relationship Id="rId4" Type="http://schemas.openxmlformats.org/officeDocument/2006/relationships/hyperlink" Target="https://www.cbd.int/doc/notifications/2023/ntf-2023-132-rm-en.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TaxCatchAll xmlns="c89cf9d1-532e-4c94-875d-12e9041bbcb0" xsi:nil="true"/>
    <lcf76f155ced4ddcb4097134ff3c332f xmlns="292e8265-61e8-4476-9c6d-719af089d244">
      <Terms xmlns="http://schemas.microsoft.com/office/infopath/2007/PartnerControls"/>
    </lcf76f155ced4ddcb4097134ff3c332f>
  </documentManagement>
</p:properties>
</file>

<file path=customXml/item5.xml><?xml version="1.0" encoding="utf-8"?>
<ct:contentTypeSchema xmlns:ct="http://schemas.microsoft.com/office/2006/metadata/contentType" xmlns:ma="http://schemas.microsoft.com/office/2006/metadata/properties/metaAttributes" ct:_="" ma:_="" ma:contentTypeName="Document" ma:contentTypeID="0x0101007A328EB00E67F346B6174BE96D327B2B" ma:contentTypeVersion="11" ma:contentTypeDescription="Create a new document." ma:contentTypeScope="" ma:versionID="b1769ac123458866e93c1e1a8f5d7264">
  <xsd:schema xmlns:xsd="http://www.w3.org/2001/XMLSchema" xmlns:xs="http://www.w3.org/2001/XMLSchema" xmlns:p="http://schemas.microsoft.com/office/2006/metadata/properties" xmlns:ns2="292e8265-61e8-4476-9c6d-719af089d244" xmlns:ns3="c89cf9d1-532e-4c94-875d-12e9041bbcb0" targetNamespace="http://schemas.microsoft.com/office/2006/metadata/properties" ma:root="true" ma:fieldsID="cef69a2368db5a80933a10034f3f94d7" ns2:_="" ns3:_="">
    <xsd:import namespace="292e8265-61e8-4476-9c6d-719af089d244"/>
    <xsd:import namespace="c89cf9d1-532e-4c94-875d-12e9041bbcb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2e8265-61e8-4476-9c6d-719af089d2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89cf9d1-532e-4c94-875d-12e9041bbcb0"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3ffcbcd2-b711-4b56-9cc9-ef645dd2f1b1}" ma:internalName="TaxCatchAll" ma:showField="CatchAllData" ma:web="c89cf9d1-532e-4c94-875d-12e9041bbc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3.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4.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5.xml><?xml version="1.0" encoding="utf-8"?>
<ds:datastoreItem xmlns:ds="http://schemas.openxmlformats.org/officeDocument/2006/customXml" ds:itemID="{2B842C15-F921-4C11-A391-30C9956A21EB}"/>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Normal.dotm</Template>
  <TotalTime>11</TotalTime>
  <Pages>1</Pages>
  <Words>8145</Words>
  <Characters>44801</Characters>
  <Application>Microsoft Office Word</Application>
  <DocSecurity>0</DocSecurity>
  <Lines>373</Lines>
  <Paragraphs>105</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Resource mobilization</vt:lpstr>
      <vt:lpstr>RESOURCE MOBILIZATION</vt:lpstr>
    </vt:vector>
  </TitlesOfParts>
  <Company>SCBD</Company>
  <LinksUpToDate>false</LinksUpToDate>
  <CharactersWithSpaces>52841</CharactersWithSpaces>
  <SharedDoc>false</SharedDoc>
  <HLinks>
    <vt:vector size="420" baseType="variant">
      <vt:variant>
        <vt:i4>7274556</vt:i4>
      </vt:variant>
      <vt:variant>
        <vt:i4>204</vt:i4>
      </vt:variant>
      <vt:variant>
        <vt:i4>0</vt:i4>
      </vt:variant>
      <vt:variant>
        <vt:i4>5</vt:i4>
      </vt:variant>
      <vt:variant>
        <vt:lpwstr>https://www.cbd.int/doc/c/58e7/6882/2af692f5b811fc40936be200/sb8j-01-02-en.pdf</vt:lpwstr>
      </vt:variant>
      <vt:variant>
        <vt:lpwstr/>
      </vt:variant>
      <vt:variant>
        <vt:i4>7143462</vt:i4>
      </vt:variant>
      <vt:variant>
        <vt:i4>201</vt:i4>
      </vt:variant>
      <vt:variant>
        <vt:i4>0</vt:i4>
      </vt:variant>
      <vt:variant>
        <vt:i4>5</vt:i4>
      </vt:variant>
      <vt:variant>
        <vt:lpwstr>https://www.cbd.int/doc/recommendations/sbi-06/sbi-06-rec-01-en.pdf</vt:lpwstr>
      </vt:variant>
      <vt:variant>
        <vt:lpwstr/>
      </vt:variant>
      <vt:variant>
        <vt:i4>7143462</vt:i4>
      </vt:variant>
      <vt:variant>
        <vt:i4>198</vt:i4>
      </vt:variant>
      <vt:variant>
        <vt:i4>0</vt:i4>
      </vt:variant>
      <vt:variant>
        <vt:i4>5</vt:i4>
      </vt:variant>
      <vt:variant>
        <vt:lpwstr>https://www.cbd.int/doc/recommendations/sbi-06/sbi-06-rec-01-en.pdf</vt:lpwstr>
      </vt:variant>
      <vt:variant>
        <vt:lpwstr/>
      </vt:variant>
      <vt:variant>
        <vt:i4>3473440</vt:i4>
      </vt:variant>
      <vt:variant>
        <vt:i4>195</vt:i4>
      </vt:variant>
      <vt:variant>
        <vt:i4>0</vt:i4>
      </vt:variant>
      <vt:variant>
        <vt:i4>5</vt:i4>
      </vt:variant>
      <vt:variant>
        <vt:lpwstr>https://www.cbd.int/recommendations/sbstta/?m=sbstta-27</vt:lpwstr>
      </vt:variant>
      <vt:variant>
        <vt:lpwstr/>
      </vt:variant>
      <vt:variant>
        <vt:i4>7143462</vt:i4>
      </vt:variant>
      <vt:variant>
        <vt:i4>192</vt:i4>
      </vt:variant>
      <vt:variant>
        <vt:i4>0</vt:i4>
      </vt:variant>
      <vt:variant>
        <vt:i4>5</vt:i4>
      </vt:variant>
      <vt:variant>
        <vt:lpwstr>https://www.cbd.int/doc/recommendations/sbi-06/sbi-06-rec-01-en.pdf</vt:lpwstr>
      </vt:variant>
      <vt:variant>
        <vt:lpwstr/>
      </vt:variant>
      <vt:variant>
        <vt:i4>589899</vt:i4>
      </vt:variant>
      <vt:variant>
        <vt:i4>186</vt:i4>
      </vt:variant>
      <vt:variant>
        <vt:i4>0</vt:i4>
      </vt:variant>
      <vt:variant>
        <vt:i4>5</vt:i4>
      </vt:variant>
      <vt:variant>
        <vt:lpwstr>https://www.cbd.int/doc/decisions/cop-16/cop-16-dec-34-en.pdf</vt:lpwstr>
      </vt:variant>
      <vt:variant>
        <vt:lpwstr/>
      </vt:variant>
      <vt:variant>
        <vt:i4>720970</vt:i4>
      </vt:variant>
      <vt:variant>
        <vt:i4>180</vt:i4>
      </vt:variant>
      <vt:variant>
        <vt:i4>0</vt:i4>
      </vt:variant>
      <vt:variant>
        <vt:i4>5</vt:i4>
      </vt:variant>
      <vt:variant>
        <vt:lpwstr>https://www.cbd.int/doc/decisions/cop-15/cop-15-dec-15-en.pdf</vt:lpwstr>
      </vt:variant>
      <vt:variant>
        <vt:lpwstr/>
      </vt:variant>
      <vt:variant>
        <vt:i4>589899</vt:i4>
      </vt:variant>
      <vt:variant>
        <vt:i4>177</vt:i4>
      </vt:variant>
      <vt:variant>
        <vt:i4>0</vt:i4>
      </vt:variant>
      <vt:variant>
        <vt:i4>5</vt:i4>
      </vt:variant>
      <vt:variant>
        <vt:lpwstr>https://www.cbd.int/doc/decisions/cop-15/cop-15-dec-07-en.pdf</vt:lpwstr>
      </vt:variant>
      <vt:variant>
        <vt:lpwstr/>
      </vt:variant>
      <vt:variant>
        <vt:i4>917579</vt:i4>
      </vt:variant>
      <vt:variant>
        <vt:i4>171</vt:i4>
      </vt:variant>
      <vt:variant>
        <vt:i4>0</vt:i4>
      </vt:variant>
      <vt:variant>
        <vt:i4>5</vt:i4>
      </vt:variant>
      <vt:variant>
        <vt:lpwstr>https://www.cbd.int/doc/decisions/cop-16/cop-16-dec-33-en.pdf</vt:lpwstr>
      </vt:variant>
      <vt:variant>
        <vt:lpwstr/>
      </vt:variant>
      <vt:variant>
        <vt:i4>589899</vt:i4>
      </vt:variant>
      <vt:variant>
        <vt:i4>168</vt:i4>
      </vt:variant>
      <vt:variant>
        <vt:i4>0</vt:i4>
      </vt:variant>
      <vt:variant>
        <vt:i4>5</vt:i4>
      </vt:variant>
      <vt:variant>
        <vt:lpwstr>https://www.cbd.int/doc/decisions/cop-16/cop-16-dec-34-en.pdf</vt:lpwstr>
      </vt:variant>
      <vt:variant>
        <vt:lpwstr/>
      </vt:variant>
      <vt:variant>
        <vt:i4>589899</vt:i4>
      </vt:variant>
      <vt:variant>
        <vt:i4>165</vt:i4>
      </vt:variant>
      <vt:variant>
        <vt:i4>0</vt:i4>
      </vt:variant>
      <vt:variant>
        <vt:i4>5</vt:i4>
      </vt:variant>
      <vt:variant>
        <vt:lpwstr>https://www.cbd.int/doc/decisions/cop-16/cop-16-dec-34-en.pdf</vt:lpwstr>
      </vt:variant>
      <vt:variant>
        <vt:lpwstr/>
      </vt:variant>
      <vt:variant>
        <vt:i4>7209057</vt:i4>
      </vt:variant>
      <vt:variant>
        <vt:i4>162</vt:i4>
      </vt:variant>
      <vt:variant>
        <vt:i4>0</vt:i4>
      </vt:variant>
      <vt:variant>
        <vt:i4>5</vt:i4>
      </vt:variant>
      <vt:variant>
        <vt:lpwstr>https://www.cbd.int/decisions/cop/?m=cop-16</vt:lpwstr>
      </vt:variant>
      <vt:variant>
        <vt:lpwstr/>
      </vt:variant>
      <vt:variant>
        <vt:i4>589899</vt:i4>
      </vt:variant>
      <vt:variant>
        <vt:i4>159</vt:i4>
      </vt:variant>
      <vt:variant>
        <vt:i4>0</vt:i4>
      </vt:variant>
      <vt:variant>
        <vt:i4>5</vt:i4>
      </vt:variant>
      <vt:variant>
        <vt:lpwstr>https://www.cbd.int/doc/decisions/cop-15/cop-15-dec-07-en.pdf</vt:lpwstr>
      </vt:variant>
      <vt:variant>
        <vt:lpwstr/>
      </vt:variant>
      <vt:variant>
        <vt:i4>589899</vt:i4>
      </vt:variant>
      <vt:variant>
        <vt:i4>156</vt:i4>
      </vt:variant>
      <vt:variant>
        <vt:i4>0</vt:i4>
      </vt:variant>
      <vt:variant>
        <vt:i4>5</vt:i4>
      </vt:variant>
      <vt:variant>
        <vt:lpwstr>https://www.cbd.int/doc/decisions/cop-16/cop-16-dec-34-en.pdf</vt:lpwstr>
      </vt:variant>
      <vt:variant>
        <vt:lpwstr/>
      </vt:variant>
      <vt:variant>
        <vt:i4>589899</vt:i4>
      </vt:variant>
      <vt:variant>
        <vt:i4>147</vt:i4>
      </vt:variant>
      <vt:variant>
        <vt:i4>0</vt:i4>
      </vt:variant>
      <vt:variant>
        <vt:i4>5</vt:i4>
      </vt:variant>
      <vt:variant>
        <vt:lpwstr>https://www.cbd.int/doc/decisions/cop-15/cop-15-dec-07-en.pdf</vt:lpwstr>
      </vt:variant>
      <vt:variant>
        <vt:lpwstr/>
      </vt:variant>
      <vt:variant>
        <vt:i4>589899</vt:i4>
      </vt:variant>
      <vt:variant>
        <vt:i4>144</vt:i4>
      </vt:variant>
      <vt:variant>
        <vt:i4>0</vt:i4>
      </vt:variant>
      <vt:variant>
        <vt:i4>5</vt:i4>
      </vt:variant>
      <vt:variant>
        <vt:lpwstr>https://www.cbd.int/doc/decisions/cop-16/cop-16-dec-34-en.pdf</vt:lpwstr>
      </vt:variant>
      <vt:variant>
        <vt:lpwstr/>
      </vt:variant>
      <vt:variant>
        <vt:i4>589899</vt:i4>
      </vt:variant>
      <vt:variant>
        <vt:i4>141</vt:i4>
      </vt:variant>
      <vt:variant>
        <vt:i4>0</vt:i4>
      </vt:variant>
      <vt:variant>
        <vt:i4>5</vt:i4>
      </vt:variant>
      <vt:variant>
        <vt:lpwstr>https://www.cbd.int/doc/decisions/cop-16/cop-16-dec-34-en.pdf</vt:lpwstr>
      </vt:variant>
      <vt:variant>
        <vt:lpwstr/>
      </vt:variant>
      <vt:variant>
        <vt:i4>589899</vt:i4>
      </vt:variant>
      <vt:variant>
        <vt:i4>138</vt:i4>
      </vt:variant>
      <vt:variant>
        <vt:i4>0</vt:i4>
      </vt:variant>
      <vt:variant>
        <vt:i4>5</vt:i4>
      </vt:variant>
      <vt:variant>
        <vt:lpwstr>https://www.cbd.int/doc/decisions/cop-16/cop-16-dec-34-en.pdf</vt:lpwstr>
      </vt:variant>
      <vt:variant>
        <vt:lpwstr/>
      </vt:variant>
      <vt:variant>
        <vt:i4>589899</vt:i4>
      </vt:variant>
      <vt:variant>
        <vt:i4>135</vt:i4>
      </vt:variant>
      <vt:variant>
        <vt:i4>0</vt:i4>
      </vt:variant>
      <vt:variant>
        <vt:i4>5</vt:i4>
      </vt:variant>
      <vt:variant>
        <vt:lpwstr>https://www.cbd.int/doc/decisions/cop-16/cop-16-dec-34-en.pdf</vt:lpwstr>
      </vt:variant>
      <vt:variant>
        <vt:lpwstr/>
      </vt:variant>
      <vt:variant>
        <vt:i4>589899</vt:i4>
      </vt:variant>
      <vt:variant>
        <vt:i4>132</vt:i4>
      </vt:variant>
      <vt:variant>
        <vt:i4>0</vt:i4>
      </vt:variant>
      <vt:variant>
        <vt:i4>5</vt:i4>
      </vt:variant>
      <vt:variant>
        <vt:lpwstr>https://www.cbd.int/doc/decisions/cop-16/cop-16-dec-34-en.pdf</vt:lpwstr>
      </vt:variant>
      <vt:variant>
        <vt:lpwstr/>
      </vt:variant>
      <vt:variant>
        <vt:i4>589899</vt:i4>
      </vt:variant>
      <vt:variant>
        <vt:i4>129</vt:i4>
      </vt:variant>
      <vt:variant>
        <vt:i4>0</vt:i4>
      </vt:variant>
      <vt:variant>
        <vt:i4>5</vt:i4>
      </vt:variant>
      <vt:variant>
        <vt:lpwstr>https://www.cbd.int/doc/decisions/cop-16/cop-16-dec-34-en.pdf</vt:lpwstr>
      </vt:variant>
      <vt:variant>
        <vt:lpwstr/>
      </vt:variant>
      <vt:variant>
        <vt:i4>589899</vt:i4>
      </vt:variant>
      <vt:variant>
        <vt:i4>126</vt:i4>
      </vt:variant>
      <vt:variant>
        <vt:i4>0</vt:i4>
      </vt:variant>
      <vt:variant>
        <vt:i4>5</vt:i4>
      </vt:variant>
      <vt:variant>
        <vt:lpwstr>https://www.cbd.int/doc/decisions/cop-16/cop-16-dec-34-en.pdf</vt:lpwstr>
      </vt:variant>
      <vt:variant>
        <vt:lpwstr/>
      </vt:variant>
      <vt:variant>
        <vt:i4>589899</vt:i4>
      </vt:variant>
      <vt:variant>
        <vt:i4>123</vt:i4>
      </vt:variant>
      <vt:variant>
        <vt:i4>0</vt:i4>
      </vt:variant>
      <vt:variant>
        <vt:i4>5</vt:i4>
      </vt:variant>
      <vt:variant>
        <vt:lpwstr>https://www.cbd.int/doc/decisions/cop-16/cop-16-dec-34-en.pdf</vt:lpwstr>
      </vt:variant>
      <vt:variant>
        <vt:lpwstr/>
      </vt:variant>
      <vt:variant>
        <vt:i4>589899</vt:i4>
      </vt:variant>
      <vt:variant>
        <vt:i4>120</vt:i4>
      </vt:variant>
      <vt:variant>
        <vt:i4>0</vt:i4>
      </vt:variant>
      <vt:variant>
        <vt:i4>5</vt:i4>
      </vt:variant>
      <vt:variant>
        <vt:lpwstr>https://www.cbd.int/doc/decisions/cop-16/cop-16-dec-34-en.pdf</vt:lpwstr>
      </vt:variant>
      <vt:variant>
        <vt:lpwstr/>
      </vt:variant>
      <vt:variant>
        <vt:i4>786507</vt:i4>
      </vt:variant>
      <vt:variant>
        <vt:i4>117</vt:i4>
      </vt:variant>
      <vt:variant>
        <vt:i4>0</vt:i4>
      </vt:variant>
      <vt:variant>
        <vt:i4>5</vt:i4>
      </vt:variant>
      <vt:variant>
        <vt:lpwstr>https://www.cbd.int/doc/decisions/cop-16/cop-16-dec-31-en.pdf</vt:lpwstr>
      </vt:variant>
      <vt:variant>
        <vt:lpwstr/>
      </vt:variant>
      <vt:variant>
        <vt:i4>589899</vt:i4>
      </vt:variant>
      <vt:variant>
        <vt:i4>114</vt:i4>
      </vt:variant>
      <vt:variant>
        <vt:i4>0</vt:i4>
      </vt:variant>
      <vt:variant>
        <vt:i4>5</vt:i4>
      </vt:variant>
      <vt:variant>
        <vt:lpwstr>https://www.cbd.int/doc/decisions/cop-16/cop-16-dec-34-en.pdf</vt:lpwstr>
      </vt:variant>
      <vt:variant>
        <vt:lpwstr/>
      </vt:variant>
      <vt:variant>
        <vt:i4>589899</vt:i4>
      </vt:variant>
      <vt:variant>
        <vt:i4>111</vt:i4>
      </vt:variant>
      <vt:variant>
        <vt:i4>0</vt:i4>
      </vt:variant>
      <vt:variant>
        <vt:i4>5</vt:i4>
      </vt:variant>
      <vt:variant>
        <vt:lpwstr>https://www.cbd.int/doc/decisions/cop-16/cop-16-dec-34-en.pdf</vt:lpwstr>
      </vt:variant>
      <vt:variant>
        <vt:lpwstr/>
      </vt:variant>
      <vt:variant>
        <vt:i4>720970</vt:i4>
      </vt:variant>
      <vt:variant>
        <vt:i4>108</vt:i4>
      </vt:variant>
      <vt:variant>
        <vt:i4>0</vt:i4>
      </vt:variant>
      <vt:variant>
        <vt:i4>5</vt:i4>
      </vt:variant>
      <vt:variant>
        <vt:lpwstr>https://www.cbd.int/doc/decisions/cop-15/cop-15-dec-15-en.pdf</vt:lpwstr>
      </vt:variant>
      <vt:variant>
        <vt:lpwstr/>
      </vt:variant>
      <vt:variant>
        <vt:i4>589899</vt:i4>
      </vt:variant>
      <vt:variant>
        <vt:i4>105</vt:i4>
      </vt:variant>
      <vt:variant>
        <vt:i4>0</vt:i4>
      </vt:variant>
      <vt:variant>
        <vt:i4>5</vt:i4>
      </vt:variant>
      <vt:variant>
        <vt:lpwstr>https://www.cbd.int/doc/decisions/cop-15/cop-15-dec-07-en.pdf</vt:lpwstr>
      </vt:variant>
      <vt:variant>
        <vt:lpwstr/>
      </vt:variant>
      <vt:variant>
        <vt:i4>917579</vt:i4>
      </vt:variant>
      <vt:variant>
        <vt:i4>102</vt:i4>
      </vt:variant>
      <vt:variant>
        <vt:i4>0</vt:i4>
      </vt:variant>
      <vt:variant>
        <vt:i4>5</vt:i4>
      </vt:variant>
      <vt:variant>
        <vt:lpwstr>https://www.cbd.int/doc/decisions/cop-16/cop-16-dec-33-en.pdf</vt:lpwstr>
      </vt:variant>
      <vt:variant>
        <vt:lpwstr/>
      </vt:variant>
      <vt:variant>
        <vt:i4>7208998</vt:i4>
      </vt:variant>
      <vt:variant>
        <vt:i4>99</vt:i4>
      </vt:variant>
      <vt:variant>
        <vt:i4>0</vt:i4>
      </vt:variant>
      <vt:variant>
        <vt:i4>5</vt:i4>
      </vt:variant>
      <vt:variant>
        <vt:lpwstr>https://www.cbd.int/doc/recommendations/sbi-06/sbi-06-rec-02-en.pdf</vt:lpwstr>
      </vt:variant>
      <vt:variant>
        <vt:lpwstr/>
      </vt:variant>
      <vt:variant>
        <vt:i4>589899</vt:i4>
      </vt:variant>
      <vt:variant>
        <vt:i4>96</vt:i4>
      </vt:variant>
      <vt:variant>
        <vt:i4>0</vt:i4>
      </vt:variant>
      <vt:variant>
        <vt:i4>5</vt:i4>
      </vt:variant>
      <vt:variant>
        <vt:lpwstr>https://www.cbd.int/doc/decisions/cop-16/cop-16-dec-34-en.pdf</vt:lpwstr>
      </vt:variant>
      <vt:variant>
        <vt:lpwstr/>
      </vt:variant>
      <vt:variant>
        <vt:i4>589899</vt:i4>
      </vt:variant>
      <vt:variant>
        <vt:i4>93</vt:i4>
      </vt:variant>
      <vt:variant>
        <vt:i4>0</vt:i4>
      </vt:variant>
      <vt:variant>
        <vt:i4>5</vt:i4>
      </vt:variant>
      <vt:variant>
        <vt:lpwstr>https://www.cbd.int/doc/decisions/cop-16/cop-16-dec-34-en.pdf</vt:lpwstr>
      </vt:variant>
      <vt:variant>
        <vt:lpwstr/>
      </vt:variant>
      <vt:variant>
        <vt:i4>589899</vt:i4>
      </vt:variant>
      <vt:variant>
        <vt:i4>90</vt:i4>
      </vt:variant>
      <vt:variant>
        <vt:i4>0</vt:i4>
      </vt:variant>
      <vt:variant>
        <vt:i4>5</vt:i4>
      </vt:variant>
      <vt:variant>
        <vt:lpwstr>https://www.cbd.int/doc/decisions/cop-16/cop-16-dec-34-en.pdf</vt:lpwstr>
      </vt:variant>
      <vt:variant>
        <vt:lpwstr/>
      </vt:variant>
      <vt:variant>
        <vt:i4>589899</vt:i4>
      </vt:variant>
      <vt:variant>
        <vt:i4>87</vt:i4>
      </vt:variant>
      <vt:variant>
        <vt:i4>0</vt:i4>
      </vt:variant>
      <vt:variant>
        <vt:i4>5</vt:i4>
      </vt:variant>
      <vt:variant>
        <vt:lpwstr>https://www.cbd.int/doc/decisions/cop-16/cop-16-dec-34-en.pdf</vt:lpwstr>
      </vt:variant>
      <vt:variant>
        <vt:lpwstr/>
      </vt:variant>
      <vt:variant>
        <vt:i4>589899</vt:i4>
      </vt:variant>
      <vt:variant>
        <vt:i4>84</vt:i4>
      </vt:variant>
      <vt:variant>
        <vt:i4>0</vt:i4>
      </vt:variant>
      <vt:variant>
        <vt:i4>5</vt:i4>
      </vt:variant>
      <vt:variant>
        <vt:lpwstr>https://www.cbd.int/doc/decisions/cop-16/cop-16-dec-34-en.pdf</vt:lpwstr>
      </vt:variant>
      <vt:variant>
        <vt:lpwstr/>
      </vt:variant>
      <vt:variant>
        <vt:i4>589899</vt:i4>
      </vt:variant>
      <vt:variant>
        <vt:i4>81</vt:i4>
      </vt:variant>
      <vt:variant>
        <vt:i4>0</vt:i4>
      </vt:variant>
      <vt:variant>
        <vt:i4>5</vt:i4>
      </vt:variant>
      <vt:variant>
        <vt:lpwstr>https://www.cbd.int/doc/decisions/cop-16/cop-16-dec-34-en.pdf</vt:lpwstr>
      </vt:variant>
      <vt:variant>
        <vt:lpwstr/>
      </vt:variant>
      <vt:variant>
        <vt:i4>589899</vt:i4>
      </vt:variant>
      <vt:variant>
        <vt:i4>78</vt:i4>
      </vt:variant>
      <vt:variant>
        <vt:i4>0</vt:i4>
      </vt:variant>
      <vt:variant>
        <vt:i4>5</vt:i4>
      </vt:variant>
      <vt:variant>
        <vt:lpwstr>https://www.cbd.int/doc/decisions/cop-16/cop-16-dec-34-en.pdf</vt:lpwstr>
      </vt:variant>
      <vt:variant>
        <vt:lpwstr/>
      </vt:variant>
      <vt:variant>
        <vt:i4>589899</vt:i4>
      </vt:variant>
      <vt:variant>
        <vt:i4>75</vt:i4>
      </vt:variant>
      <vt:variant>
        <vt:i4>0</vt:i4>
      </vt:variant>
      <vt:variant>
        <vt:i4>5</vt:i4>
      </vt:variant>
      <vt:variant>
        <vt:lpwstr>https://www.cbd.int/doc/decisions/cop-16/cop-16-dec-34-en.pdf</vt:lpwstr>
      </vt:variant>
      <vt:variant>
        <vt:lpwstr/>
      </vt:variant>
      <vt:variant>
        <vt:i4>589899</vt:i4>
      </vt:variant>
      <vt:variant>
        <vt:i4>72</vt:i4>
      </vt:variant>
      <vt:variant>
        <vt:i4>0</vt:i4>
      </vt:variant>
      <vt:variant>
        <vt:i4>5</vt:i4>
      </vt:variant>
      <vt:variant>
        <vt:lpwstr>https://www.cbd.int/doc/decisions/cop-16/cop-16-dec-34-en.pdf</vt:lpwstr>
      </vt:variant>
      <vt:variant>
        <vt:lpwstr/>
      </vt:variant>
      <vt:variant>
        <vt:i4>589899</vt:i4>
      </vt:variant>
      <vt:variant>
        <vt:i4>69</vt:i4>
      </vt:variant>
      <vt:variant>
        <vt:i4>0</vt:i4>
      </vt:variant>
      <vt:variant>
        <vt:i4>5</vt:i4>
      </vt:variant>
      <vt:variant>
        <vt:lpwstr>https://www.cbd.int/doc/decisions/cop-16/cop-16-dec-34-en.pdf</vt:lpwstr>
      </vt:variant>
      <vt:variant>
        <vt:lpwstr/>
      </vt:variant>
      <vt:variant>
        <vt:i4>589899</vt:i4>
      </vt:variant>
      <vt:variant>
        <vt:i4>66</vt:i4>
      </vt:variant>
      <vt:variant>
        <vt:i4>0</vt:i4>
      </vt:variant>
      <vt:variant>
        <vt:i4>5</vt:i4>
      </vt:variant>
      <vt:variant>
        <vt:lpwstr>https://www.cbd.int/doc/decisions/cop-16/cop-16-dec-34-en.pdf</vt:lpwstr>
      </vt:variant>
      <vt:variant>
        <vt:lpwstr/>
      </vt:variant>
      <vt:variant>
        <vt:i4>589899</vt:i4>
      </vt:variant>
      <vt:variant>
        <vt:i4>63</vt:i4>
      </vt:variant>
      <vt:variant>
        <vt:i4>0</vt:i4>
      </vt:variant>
      <vt:variant>
        <vt:i4>5</vt:i4>
      </vt:variant>
      <vt:variant>
        <vt:lpwstr>https://www.cbd.int/doc/decisions/cop-16/cop-16-dec-34-en.pdf</vt:lpwstr>
      </vt:variant>
      <vt:variant>
        <vt:lpwstr/>
      </vt:variant>
      <vt:variant>
        <vt:i4>589899</vt:i4>
      </vt:variant>
      <vt:variant>
        <vt:i4>60</vt:i4>
      </vt:variant>
      <vt:variant>
        <vt:i4>0</vt:i4>
      </vt:variant>
      <vt:variant>
        <vt:i4>5</vt:i4>
      </vt:variant>
      <vt:variant>
        <vt:lpwstr>https://www.cbd.int/doc/decisions/cop-16/cop-16-dec-34-en.pdf</vt:lpwstr>
      </vt:variant>
      <vt:variant>
        <vt:lpwstr/>
      </vt:variant>
      <vt:variant>
        <vt:i4>983115</vt:i4>
      </vt:variant>
      <vt:variant>
        <vt:i4>57</vt:i4>
      </vt:variant>
      <vt:variant>
        <vt:i4>0</vt:i4>
      </vt:variant>
      <vt:variant>
        <vt:i4>5</vt:i4>
      </vt:variant>
      <vt:variant>
        <vt:lpwstr>https://www.cbd.int/doc/decisions/cop-16/cop-16-dec-32-en.pdf</vt:lpwstr>
      </vt:variant>
      <vt:variant>
        <vt:lpwstr/>
      </vt:variant>
      <vt:variant>
        <vt:i4>524363</vt:i4>
      </vt:variant>
      <vt:variant>
        <vt:i4>54</vt:i4>
      </vt:variant>
      <vt:variant>
        <vt:i4>0</vt:i4>
      </vt:variant>
      <vt:variant>
        <vt:i4>5</vt:i4>
      </vt:variant>
      <vt:variant>
        <vt:lpwstr>https://www.cbd.int/doc/decisions/cop-15/cop-15-dec-06-en.pdf</vt:lpwstr>
      </vt:variant>
      <vt:variant>
        <vt:lpwstr/>
      </vt:variant>
      <vt:variant>
        <vt:i4>589899</vt:i4>
      </vt:variant>
      <vt:variant>
        <vt:i4>51</vt:i4>
      </vt:variant>
      <vt:variant>
        <vt:i4>0</vt:i4>
      </vt:variant>
      <vt:variant>
        <vt:i4>5</vt:i4>
      </vt:variant>
      <vt:variant>
        <vt:lpwstr>https://www.cbd.int/doc/decisions/cop-16/cop-16-dec-34-en.pdf</vt:lpwstr>
      </vt:variant>
      <vt:variant>
        <vt:lpwstr/>
      </vt:variant>
      <vt:variant>
        <vt:i4>589899</vt:i4>
      </vt:variant>
      <vt:variant>
        <vt:i4>48</vt:i4>
      </vt:variant>
      <vt:variant>
        <vt:i4>0</vt:i4>
      </vt:variant>
      <vt:variant>
        <vt:i4>5</vt:i4>
      </vt:variant>
      <vt:variant>
        <vt:lpwstr>https://www.cbd.int/doc/decisions/cop-16/cop-16-dec-34-en.pdf</vt:lpwstr>
      </vt:variant>
      <vt:variant>
        <vt:lpwstr/>
      </vt:variant>
      <vt:variant>
        <vt:i4>589899</vt:i4>
      </vt:variant>
      <vt:variant>
        <vt:i4>45</vt:i4>
      </vt:variant>
      <vt:variant>
        <vt:i4>0</vt:i4>
      </vt:variant>
      <vt:variant>
        <vt:i4>5</vt:i4>
      </vt:variant>
      <vt:variant>
        <vt:lpwstr>https://www.cbd.int/doc/decisions/cop-16/cop-16-dec-34-en.pdf</vt:lpwstr>
      </vt:variant>
      <vt:variant>
        <vt:lpwstr/>
      </vt:variant>
      <vt:variant>
        <vt:i4>589899</vt:i4>
      </vt:variant>
      <vt:variant>
        <vt:i4>42</vt:i4>
      </vt:variant>
      <vt:variant>
        <vt:i4>0</vt:i4>
      </vt:variant>
      <vt:variant>
        <vt:i4>5</vt:i4>
      </vt:variant>
      <vt:variant>
        <vt:lpwstr>https://www.cbd.int/doc/decisions/cop-16/cop-16-dec-34-en.pdf</vt:lpwstr>
      </vt:variant>
      <vt:variant>
        <vt:lpwstr/>
      </vt:variant>
      <vt:variant>
        <vt:i4>1835022</vt:i4>
      </vt:variant>
      <vt:variant>
        <vt:i4>39</vt:i4>
      </vt:variant>
      <vt:variant>
        <vt:i4>0</vt:i4>
      </vt:variant>
      <vt:variant>
        <vt:i4>5</vt:i4>
      </vt:variant>
      <vt:variant>
        <vt:lpwstr>https://chm.cbd.int/en/submissions-to-notifications?notification=2025-148&amp;currentPage=1&amp;schema=submission</vt:lpwstr>
      </vt:variant>
      <vt:variant>
        <vt:lpwstr/>
      </vt:variant>
      <vt:variant>
        <vt:i4>5373973</vt:i4>
      </vt:variant>
      <vt:variant>
        <vt:i4>36</vt:i4>
      </vt:variant>
      <vt:variant>
        <vt:i4>0</vt:i4>
      </vt:variant>
      <vt:variant>
        <vt:i4>5</vt:i4>
      </vt:variant>
      <vt:variant>
        <vt:lpwstr>https://www.cbd.int/doc/notifications/2025/ntf-2025-148-mainstreaming-en.pdf</vt:lpwstr>
      </vt:variant>
      <vt:variant>
        <vt:lpwstr/>
      </vt:variant>
      <vt:variant>
        <vt:i4>589899</vt:i4>
      </vt:variant>
      <vt:variant>
        <vt:i4>33</vt:i4>
      </vt:variant>
      <vt:variant>
        <vt:i4>0</vt:i4>
      </vt:variant>
      <vt:variant>
        <vt:i4>5</vt:i4>
      </vt:variant>
      <vt:variant>
        <vt:lpwstr>https://www.cbd.int/doc/decisions/cop-16/cop-16-dec-34-en.pdf</vt:lpwstr>
      </vt:variant>
      <vt:variant>
        <vt:lpwstr/>
      </vt:variant>
      <vt:variant>
        <vt:i4>7143462</vt:i4>
      </vt:variant>
      <vt:variant>
        <vt:i4>30</vt:i4>
      </vt:variant>
      <vt:variant>
        <vt:i4>0</vt:i4>
      </vt:variant>
      <vt:variant>
        <vt:i4>5</vt:i4>
      </vt:variant>
      <vt:variant>
        <vt:lpwstr>https://www.cbd.int/doc/recommendations/sbi-06/sbi-06-rec-01-en.pdf</vt:lpwstr>
      </vt:variant>
      <vt:variant>
        <vt:lpwstr/>
      </vt:variant>
      <vt:variant>
        <vt:i4>7143462</vt:i4>
      </vt:variant>
      <vt:variant>
        <vt:i4>27</vt:i4>
      </vt:variant>
      <vt:variant>
        <vt:i4>0</vt:i4>
      </vt:variant>
      <vt:variant>
        <vt:i4>5</vt:i4>
      </vt:variant>
      <vt:variant>
        <vt:lpwstr>https://www.cbd.int/doc/recommendations/sbi-06/sbi-06-rec-01-en.pdf</vt:lpwstr>
      </vt:variant>
      <vt:variant>
        <vt:lpwstr/>
      </vt:variant>
      <vt:variant>
        <vt:i4>3276910</vt:i4>
      </vt:variant>
      <vt:variant>
        <vt:i4>24</vt:i4>
      </vt:variant>
      <vt:variant>
        <vt:i4>0</vt:i4>
      </vt:variant>
      <vt:variant>
        <vt:i4>5</vt:i4>
      </vt:variant>
      <vt:variant>
        <vt:lpwstr>https://www.cbd.int/decisions/?id=13648</vt:lpwstr>
      </vt:variant>
      <vt:variant>
        <vt:lpwstr/>
      </vt:variant>
      <vt:variant>
        <vt:i4>3145835</vt:i4>
      </vt:variant>
      <vt:variant>
        <vt:i4>21</vt:i4>
      </vt:variant>
      <vt:variant>
        <vt:i4>0</vt:i4>
      </vt:variant>
      <vt:variant>
        <vt:i4>5</vt:i4>
      </vt:variant>
      <vt:variant>
        <vt:lpwstr>https://www.cbd.int/decisions/?id=13366</vt:lpwstr>
      </vt:variant>
      <vt:variant>
        <vt:lpwstr/>
      </vt:variant>
      <vt:variant>
        <vt:i4>589899</vt:i4>
      </vt:variant>
      <vt:variant>
        <vt:i4>18</vt:i4>
      </vt:variant>
      <vt:variant>
        <vt:i4>0</vt:i4>
      </vt:variant>
      <vt:variant>
        <vt:i4>5</vt:i4>
      </vt:variant>
      <vt:variant>
        <vt:lpwstr>https://www.cbd.int/doc/decisions/cop-16/cop-16-dec-34-en.pdf</vt:lpwstr>
      </vt:variant>
      <vt:variant>
        <vt:lpwstr/>
      </vt:variant>
      <vt:variant>
        <vt:i4>589899</vt:i4>
      </vt:variant>
      <vt:variant>
        <vt:i4>15</vt:i4>
      </vt:variant>
      <vt:variant>
        <vt:i4>0</vt:i4>
      </vt:variant>
      <vt:variant>
        <vt:i4>5</vt:i4>
      </vt:variant>
      <vt:variant>
        <vt:lpwstr>https://www.cbd.int/doc/decisions/cop-16/cop-16-dec-34-en.pdf</vt:lpwstr>
      </vt:variant>
      <vt:variant>
        <vt:lpwstr/>
      </vt:variant>
      <vt:variant>
        <vt:i4>589899</vt:i4>
      </vt:variant>
      <vt:variant>
        <vt:i4>12</vt:i4>
      </vt:variant>
      <vt:variant>
        <vt:i4>0</vt:i4>
      </vt:variant>
      <vt:variant>
        <vt:i4>5</vt:i4>
      </vt:variant>
      <vt:variant>
        <vt:lpwstr>https://www.cbd.int/doc/decisions/cop-16/cop-16-dec-34-en.pdf</vt:lpwstr>
      </vt:variant>
      <vt:variant>
        <vt:lpwstr/>
      </vt:variant>
      <vt:variant>
        <vt:i4>1638418</vt:i4>
      </vt:variant>
      <vt:variant>
        <vt:i4>9</vt:i4>
      </vt:variant>
      <vt:variant>
        <vt:i4>0</vt:i4>
      </vt:variant>
      <vt:variant>
        <vt:i4>5</vt:i4>
      </vt:variant>
      <vt:variant>
        <vt:lpwstr>https://www.cbd.int/doc/legal/cbd-en.pdf</vt:lpwstr>
      </vt:variant>
      <vt:variant>
        <vt:lpwstr/>
      </vt:variant>
      <vt:variant>
        <vt:i4>1638418</vt:i4>
      </vt:variant>
      <vt:variant>
        <vt:i4>6</vt:i4>
      </vt:variant>
      <vt:variant>
        <vt:i4>0</vt:i4>
      </vt:variant>
      <vt:variant>
        <vt:i4>5</vt:i4>
      </vt:variant>
      <vt:variant>
        <vt:lpwstr>https://www.cbd.int/doc/legal/cbd-en.pdf</vt:lpwstr>
      </vt:variant>
      <vt:variant>
        <vt:lpwstr/>
      </vt:variant>
      <vt:variant>
        <vt:i4>1638418</vt:i4>
      </vt:variant>
      <vt:variant>
        <vt:i4>3</vt:i4>
      </vt:variant>
      <vt:variant>
        <vt:i4>0</vt:i4>
      </vt:variant>
      <vt:variant>
        <vt:i4>5</vt:i4>
      </vt:variant>
      <vt:variant>
        <vt:lpwstr>https://www.cbd.int/doc/legal/cbd-en.pdf</vt:lpwstr>
      </vt:variant>
      <vt:variant>
        <vt:lpwstr/>
      </vt:variant>
      <vt:variant>
        <vt:i4>589899</vt:i4>
      </vt:variant>
      <vt:variant>
        <vt:i4>0</vt:i4>
      </vt:variant>
      <vt:variant>
        <vt:i4>0</vt:i4>
      </vt:variant>
      <vt:variant>
        <vt:i4>5</vt:i4>
      </vt:variant>
      <vt:variant>
        <vt:lpwstr>https://www.cbd.int/doc/decisions/cop-16/cop-16-dec-34-en.pdf</vt:lpwstr>
      </vt:variant>
      <vt:variant>
        <vt:lpwstr/>
      </vt:variant>
      <vt:variant>
        <vt:i4>8061038</vt:i4>
      </vt:variant>
      <vt:variant>
        <vt:i4>15</vt:i4>
      </vt:variant>
      <vt:variant>
        <vt:i4>0</vt:i4>
      </vt:variant>
      <vt:variant>
        <vt:i4>5</vt:i4>
      </vt:variant>
      <vt:variant>
        <vt:lpwstr>https://www.cbd.int/decisions/cop?m=cop-15</vt:lpwstr>
      </vt:variant>
      <vt:variant>
        <vt:lpwstr/>
      </vt:variant>
      <vt:variant>
        <vt:i4>983064</vt:i4>
      </vt:variant>
      <vt:variant>
        <vt:i4>12</vt:i4>
      </vt:variant>
      <vt:variant>
        <vt:i4>0</vt:i4>
      </vt:variant>
      <vt:variant>
        <vt:i4>5</vt:i4>
      </vt:variant>
      <vt:variant>
        <vt:lpwstr>https://www.cbd.int/recommendations/sbi/?m=sbi-06</vt:lpwstr>
      </vt:variant>
      <vt:variant>
        <vt:lpwstr/>
      </vt:variant>
      <vt:variant>
        <vt:i4>5111814</vt:i4>
      </vt:variant>
      <vt:variant>
        <vt:i4>9</vt:i4>
      </vt:variant>
      <vt:variant>
        <vt:i4>0</vt:i4>
      </vt:variant>
      <vt:variant>
        <vt:i4>5</vt:i4>
      </vt:variant>
      <vt:variant>
        <vt:lpwstr>https://www.cbd.int/documents/CBD/SBI/6/2</vt:lpwstr>
      </vt:variant>
      <vt:variant>
        <vt:lpwstr/>
      </vt:variant>
      <vt:variant>
        <vt:i4>5832733</vt:i4>
      </vt:variant>
      <vt:variant>
        <vt:i4>6</vt:i4>
      </vt:variant>
      <vt:variant>
        <vt:i4>0</vt:i4>
      </vt:variant>
      <vt:variant>
        <vt:i4>5</vt:i4>
      </vt:variant>
      <vt:variant>
        <vt:lpwstr>https://www.cbd.int/doc/notifications/2023/ntf-2023-132-rm-en.pdf</vt:lpwstr>
      </vt:variant>
      <vt:variant>
        <vt:lpwstr/>
      </vt:variant>
      <vt:variant>
        <vt:i4>6029341</vt:i4>
      </vt:variant>
      <vt:variant>
        <vt:i4>3</vt:i4>
      </vt:variant>
      <vt:variant>
        <vt:i4>0</vt:i4>
      </vt:variant>
      <vt:variant>
        <vt:i4>5</vt:i4>
      </vt:variant>
      <vt:variant>
        <vt:lpwstr>https://www.cbd.int/doc/notifications/2023/ntf-2023-063-rm-en.pdf</vt:lpwstr>
      </vt:variant>
      <vt:variant>
        <vt:lpwstr/>
      </vt:variant>
      <vt:variant>
        <vt:i4>5111815</vt:i4>
      </vt:variant>
      <vt:variant>
        <vt:i4>0</vt:i4>
      </vt:variant>
      <vt:variant>
        <vt:i4>0</vt:i4>
      </vt:variant>
      <vt:variant>
        <vt:i4>5</vt:i4>
      </vt:variant>
      <vt:variant>
        <vt:lpwstr>https://www.cbd.int/documents/CBD/SBI/7/1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Resource mobilization</dc:title>
  <dc:subject>CBD/SBI/7/3</dc:subject>
  <dc:creator>Secretariat of the Convention on Biological Diversity</dc:creator>
  <cp:keywords>Convention on Biological Diversity</cp:keywords>
  <dc:description/>
  <cp:lastModifiedBy>Maria Troitino</cp:lastModifiedBy>
  <cp:revision>5</cp:revision>
  <cp:lastPrinted>2026-06-09T23:19:00Z</cp:lastPrinted>
  <dcterms:created xsi:type="dcterms:W3CDTF">2026-06-30T23:52:00Z</dcterms:created>
  <dcterms:modified xsi:type="dcterms:W3CDTF">2026-07-01T00:06:00Z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0x0101007A328EB00E67F346B6174BE96D327B2B</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ies>
</file>