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emf" ContentType="image/x-emf"/>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0240"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
        <w:gridCol w:w="5141"/>
        <w:gridCol w:w="4214"/>
      </w:tblGrid>
      <w:tr w:rsidR="00AF2846" w:rsidRPr="003D067D" w:rsidTr="00D1209D">
        <w:trPr>
          <w:trHeight w:val="844"/>
        </w:trPr>
        <w:tc>
          <w:tcPr>
            <w:tcW w:w="885" w:type="dxa"/>
            <w:tcBorders>
              <w:bottom w:val="single" w:sz="12" w:space="0" w:color="auto"/>
            </w:tcBorders>
          </w:tcPr>
          <w:p w:rsidR="00AF2846" w:rsidRPr="008A0A75" w:rsidRDefault="00AF2846" w:rsidP="00FB4441">
            <w:pPr>
              <w:rPr>
                <w:kern w:val="22"/>
              </w:rPr>
            </w:pPr>
            <w:bookmarkStart w:id="0" w:name="_Hlk505247837"/>
            <w:bookmarkStart w:id="1" w:name="_Toc462934071"/>
            <w:bookmarkStart w:id="2" w:name="_Toc480714127"/>
            <w:r>
              <w:rPr>
                <w:noProof/>
                <w:kern w:val="22"/>
                <w:lang w:eastAsia="ru-RU"/>
              </w:rPr>
              <w:drawing>
                <wp:anchor distT="0" distB="0" distL="114300" distR="114300" simplePos="0" relativeHeight="251667968" behindDoc="0" locked="0" layoutInCell="1" allowOverlap="1">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AF2846" w:rsidRPr="008A0A75" w:rsidRDefault="00D1209D" w:rsidP="00D1209D">
            <w:pPr>
              <w:ind w:left="175" w:hanging="175"/>
              <w:rPr>
                <w:kern w:val="22"/>
              </w:rPr>
            </w:pPr>
            <w:r w:rsidRPr="00D1209D">
              <w:rPr>
                <w:noProof/>
                <w:lang w:eastAsia="ru-RU"/>
              </w:rPr>
              <w:drawing>
                <wp:inline distT="0" distB="0" distL="0" distR="0">
                  <wp:extent cx="911225" cy="390525"/>
                  <wp:effectExtent l="19050" t="0" r="3175" b="0"/>
                  <wp:docPr id="6"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1225" cy="390525"/>
                          </a:xfrm>
                          <a:prstGeom prst="rect">
                            <a:avLst/>
                          </a:prstGeom>
                          <a:noFill/>
                          <a:ln w="9525">
                            <a:noFill/>
                            <a:miter lim="800000"/>
                            <a:headEnd/>
                            <a:tailEnd/>
                          </a:ln>
                        </pic:spPr>
                      </pic:pic>
                    </a:graphicData>
                  </a:graphic>
                </wp:inline>
              </w:drawing>
            </w:r>
          </w:p>
        </w:tc>
        <w:tc>
          <w:tcPr>
            <w:tcW w:w="4214" w:type="dxa"/>
            <w:tcBorders>
              <w:bottom w:val="single" w:sz="12" w:space="0" w:color="auto"/>
            </w:tcBorders>
          </w:tcPr>
          <w:p w:rsidR="00AF2846" w:rsidRPr="008A0A75" w:rsidRDefault="00AF2846" w:rsidP="00FB4441">
            <w:pPr>
              <w:jc w:val="right"/>
              <w:rPr>
                <w:rFonts w:ascii="Arial" w:hAnsi="Arial" w:cs="Arial"/>
                <w:b/>
                <w:kern w:val="22"/>
                <w:sz w:val="32"/>
                <w:szCs w:val="32"/>
              </w:rPr>
            </w:pPr>
            <w:r>
              <w:rPr>
                <w:rFonts w:ascii="Arial" w:hAnsi="Arial" w:cs="Arial"/>
                <w:b/>
                <w:bCs/>
                <w:kern w:val="22"/>
                <w:sz w:val="32"/>
                <w:szCs w:val="32"/>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AF2846" w:rsidRPr="003D067D" w:rsidTr="00FB4441">
        <w:trPr>
          <w:trHeight w:val="1693"/>
        </w:trPr>
        <w:tc>
          <w:tcPr>
            <w:tcW w:w="6086" w:type="dxa"/>
            <w:tcBorders>
              <w:top w:val="nil"/>
              <w:bottom w:val="single" w:sz="36" w:space="0" w:color="000000"/>
            </w:tcBorders>
          </w:tcPr>
          <w:bookmarkEnd w:id="0"/>
          <w:p w:rsidR="00AF2846" w:rsidRPr="00AF2846" w:rsidRDefault="00D1209D" w:rsidP="00AF2846">
            <w:pPr>
              <w:suppressLineNumbers/>
              <w:suppressAutoHyphens/>
              <w:spacing w:after="0" w:line="240" w:lineRule="auto"/>
              <w:rPr>
                <w:rFonts w:ascii="Times New Roman" w:hAnsi="Times New Roman" w:cs="Times New Roman"/>
                <w:snapToGrid w:val="0"/>
                <w:kern w:val="22"/>
              </w:rPr>
            </w:pPr>
            <w:r w:rsidRPr="00D1209D">
              <w:rPr>
                <w:rFonts w:ascii="Times New Roman" w:hAnsi="Times New Roman" w:cs="Times New Roman"/>
                <w:noProof/>
                <w:kern w:val="22"/>
                <w:lang w:eastAsia="ru-RU"/>
              </w:rPr>
              <w:drawing>
                <wp:inline distT="0" distB="0" distL="0" distR="0">
                  <wp:extent cx="2619375" cy="1095375"/>
                  <wp:effectExtent l="19050" t="0" r="9525"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AF2846" w:rsidRPr="00AF2846" w:rsidRDefault="00AF2846" w:rsidP="00AF2846">
            <w:pPr>
              <w:pStyle w:val="ab"/>
              <w:suppressLineNumbers/>
              <w:suppressAutoHyphens/>
              <w:jc w:val="both"/>
              <w:rPr>
                <w:rFonts w:ascii="Times New Roman" w:eastAsia="MS Mincho" w:hAnsi="Times New Roman" w:cs="Times New Roman"/>
                <w:bCs/>
                <w:snapToGrid w:val="0"/>
                <w:kern w:val="22"/>
              </w:rPr>
            </w:pPr>
          </w:p>
        </w:tc>
        <w:tc>
          <w:tcPr>
            <w:tcW w:w="2977" w:type="dxa"/>
            <w:tcBorders>
              <w:top w:val="nil"/>
              <w:bottom w:val="single" w:sz="36" w:space="0" w:color="000000"/>
            </w:tcBorders>
          </w:tcPr>
          <w:p w:rsidR="00AF2846" w:rsidRPr="00644CCA" w:rsidRDefault="00AF2846" w:rsidP="00AF2846">
            <w:pPr>
              <w:suppressLineNumbers/>
              <w:suppressAutoHyphens/>
              <w:spacing w:after="0" w:line="240" w:lineRule="auto"/>
              <w:ind w:left="318"/>
              <w:rPr>
                <w:rFonts w:ascii="Times New Roman" w:hAnsi="Times New Roman" w:cs="Times New Roman"/>
                <w:snapToGrid w:val="0"/>
                <w:kern w:val="22"/>
                <w:lang w:val="en-US"/>
              </w:rPr>
            </w:pPr>
            <w:r w:rsidRPr="00644CCA">
              <w:rPr>
                <w:rFonts w:ascii="Times New Roman" w:hAnsi="Times New Roman" w:cs="Times New Roman"/>
                <w:snapToGrid w:val="0"/>
                <w:kern w:val="22"/>
                <w:lang w:val="en-US"/>
              </w:rPr>
              <w:t>Distr.</w:t>
            </w:r>
          </w:p>
          <w:p w:rsidR="00AF2846" w:rsidRPr="00644CCA" w:rsidRDefault="00AF2846" w:rsidP="00AF2846">
            <w:pPr>
              <w:suppressLineNumbers/>
              <w:suppressAutoHyphens/>
              <w:spacing w:after="0" w:line="240" w:lineRule="auto"/>
              <w:ind w:left="318"/>
              <w:rPr>
                <w:rFonts w:ascii="Times New Roman" w:hAnsi="Times New Roman" w:cs="Times New Roman"/>
                <w:snapToGrid w:val="0"/>
                <w:kern w:val="22"/>
                <w:lang w:val="en-US"/>
              </w:rPr>
            </w:pPr>
            <w:r w:rsidRPr="00644CCA">
              <w:rPr>
                <w:rFonts w:ascii="Times New Roman" w:hAnsi="Times New Roman" w:cs="Times New Roman"/>
                <w:snapToGrid w:val="0"/>
                <w:kern w:val="22"/>
                <w:lang w:val="en-US"/>
              </w:rPr>
              <w:t>GENERAL</w:t>
            </w:r>
          </w:p>
          <w:p w:rsidR="00AF2846" w:rsidRPr="00644CCA" w:rsidRDefault="00AF2846" w:rsidP="00AF2846">
            <w:pPr>
              <w:suppressLineNumbers/>
              <w:suppressAutoHyphens/>
              <w:spacing w:after="0" w:line="240" w:lineRule="auto"/>
              <w:ind w:left="318"/>
              <w:rPr>
                <w:rFonts w:ascii="Times New Roman" w:hAnsi="Times New Roman" w:cs="Times New Roman"/>
                <w:snapToGrid w:val="0"/>
                <w:kern w:val="22"/>
                <w:lang w:val="en-US"/>
              </w:rPr>
            </w:pPr>
          </w:p>
          <w:bookmarkStart w:id="3" w:name="_Hlk22815168" w:displacedByCustomXml="next"/>
          <w:sdt>
            <w:sdtPr>
              <w:rPr>
                <w:rFonts w:ascii="Times New Roman" w:hAnsi="Times New Roman" w:cs="Times New Roman"/>
                <w:snapToGrid w:val="0"/>
                <w:kern w:val="22"/>
                <w:lang w:val="en-US"/>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Content>
              <w:bookmarkEnd w:id="3" w:displacedByCustomXml="prev"/>
              <w:p w:rsidR="00AF2846" w:rsidRPr="00644CCA" w:rsidRDefault="00247801" w:rsidP="00AF2846">
                <w:pPr>
                  <w:suppressLineNumbers/>
                  <w:suppressAutoHyphens/>
                  <w:spacing w:after="0" w:line="240" w:lineRule="auto"/>
                  <w:ind w:left="318"/>
                  <w:rPr>
                    <w:rFonts w:ascii="Times New Roman" w:hAnsi="Times New Roman" w:cs="Times New Roman"/>
                    <w:snapToGrid w:val="0"/>
                    <w:kern w:val="22"/>
                    <w:lang w:val="en-US"/>
                  </w:rPr>
                </w:pPr>
                <w:r w:rsidRPr="00644CCA">
                  <w:rPr>
                    <w:rFonts w:ascii="Times New Roman" w:hAnsi="Times New Roman" w:cs="Times New Roman"/>
                    <w:snapToGrid w:val="0"/>
                    <w:kern w:val="22"/>
                    <w:lang w:val="en-US"/>
                  </w:rPr>
                  <w:t>CBD/</w:t>
                </w:r>
                <w:proofErr w:type="spellStart"/>
                <w:r w:rsidRPr="00644CCA">
                  <w:rPr>
                    <w:rFonts w:ascii="Times New Roman" w:hAnsi="Times New Roman" w:cs="Times New Roman"/>
                    <w:snapToGrid w:val="0"/>
                    <w:kern w:val="22"/>
                    <w:lang w:val="en-US"/>
                  </w:rPr>
                  <w:t>SBI</w:t>
                </w:r>
                <w:proofErr w:type="spellEnd"/>
                <w:r w:rsidRPr="00644CCA">
                  <w:rPr>
                    <w:rFonts w:ascii="Times New Roman" w:hAnsi="Times New Roman" w:cs="Times New Roman"/>
                    <w:snapToGrid w:val="0"/>
                    <w:kern w:val="22"/>
                    <w:lang w:val="en-US"/>
                  </w:rPr>
                  <w:t>/3/6/Add.1</w:t>
                </w:r>
              </w:p>
            </w:sdtContent>
          </w:sdt>
          <w:p w:rsidR="00AF2846" w:rsidRPr="00AF2846" w:rsidRDefault="00AF2846" w:rsidP="00AF2846">
            <w:pPr>
              <w:suppressLineNumbers/>
              <w:suppressAutoHyphens/>
              <w:spacing w:after="0" w:line="240" w:lineRule="auto"/>
              <w:ind w:left="318"/>
              <w:rPr>
                <w:rFonts w:ascii="Times New Roman" w:hAnsi="Times New Roman" w:cs="Times New Roman"/>
                <w:snapToGrid w:val="0"/>
                <w:kern w:val="22"/>
              </w:rPr>
            </w:pPr>
            <w:r>
              <w:rPr>
                <w:rFonts w:ascii="Times New Roman" w:hAnsi="Times New Roman" w:cs="Times New Roman"/>
                <w:snapToGrid w:val="0"/>
                <w:kern w:val="22"/>
              </w:rPr>
              <w:t xml:space="preserve">12 </w:t>
            </w:r>
            <w:proofErr w:type="spellStart"/>
            <w:r>
              <w:rPr>
                <w:rFonts w:ascii="Times New Roman" w:hAnsi="Times New Roman" w:cs="Times New Roman"/>
                <w:snapToGrid w:val="0"/>
                <w:kern w:val="22"/>
              </w:rPr>
              <w:t>June</w:t>
            </w:r>
            <w:proofErr w:type="spellEnd"/>
            <w:r>
              <w:rPr>
                <w:rFonts w:ascii="Times New Roman" w:hAnsi="Times New Roman" w:cs="Times New Roman"/>
                <w:snapToGrid w:val="0"/>
                <w:kern w:val="22"/>
              </w:rPr>
              <w:t xml:space="preserve"> 2020</w:t>
            </w:r>
          </w:p>
          <w:p w:rsidR="003819C0" w:rsidRDefault="003819C0" w:rsidP="00AF2846">
            <w:pPr>
              <w:suppressLineNumbers/>
              <w:suppressAutoHyphens/>
              <w:spacing w:after="0" w:line="240" w:lineRule="auto"/>
              <w:ind w:left="318"/>
              <w:rPr>
                <w:rFonts w:ascii="Times New Roman" w:hAnsi="Times New Roman" w:cs="Times New Roman"/>
                <w:snapToGrid w:val="0"/>
                <w:kern w:val="22"/>
              </w:rPr>
            </w:pPr>
          </w:p>
          <w:p w:rsidR="00AF2846" w:rsidRPr="00AF2846" w:rsidRDefault="003819C0" w:rsidP="00AF2846">
            <w:pPr>
              <w:suppressLineNumbers/>
              <w:suppressAutoHyphens/>
              <w:spacing w:after="0" w:line="240" w:lineRule="auto"/>
              <w:ind w:left="318"/>
              <w:rPr>
                <w:rFonts w:ascii="Times New Roman" w:hAnsi="Times New Roman" w:cs="Times New Roman"/>
                <w:snapToGrid w:val="0"/>
                <w:kern w:val="22"/>
              </w:rPr>
            </w:pPr>
            <w:proofErr w:type="spellStart"/>
            <w:r>
              <w:rPr>
                <w:rFonts w:ascii="Times New Roman" w:hAnsi="Times New Roman" w:cs="Times New Roman"/>
                <w:snapToGrid w:val="0"/>
                <w:kern w:val="22"/>
              </w:rPr>
              <w:t>RUSSIAN</w:t>
            </w:r>
            <w:proofErr w:type="spellEnd"/>
          </w:p>
          <w:p w:rsidR="00AF2846" w:rsidRPr="00AF2846" w:rsidRDefault="00AF2846" w:rsidP="00AF2846">
            <w:pPr>
              <w:suppressLineNumbers/>
              <w:suppressAutoHyphens/>
              <w:spacing w:after="0" w:line="240" w:lineRule="auto"/>
              <w:ind w:left="318"/>
              <w:rPr>
                <w:rFonts w:ascii="Times New Roman" w:hAnsi="Times New Roman" w:cs="Times New Roman"/>
                <w:snapToGrid w:val="0"/>
                <w:kern w:val="22"/>
                <w:u w:val="single"/>
              </w:rPr>
            </w:pPr>
            <w:proofErr w:type="spellStart"/>
            <w:r>
              <w:rPr>
                <w:rFonts w:ascii="Times New Roman" w:hAnsi="Times New Roman" w:cs="Times New Roman"/>
                <w:snapToGrid w:val="0"/>
                <w:kern w:val="22"/>
              </w:rPr>
              <w:t>ORIGINAL</w:t>
            </w:r>
            <w:proofErr w:type="spellEnd"/>
            <w:r>
              <w:rPr>
                <w:rFonts w:ascii="Times New Roman" w:hAnsi="Times New Roman" w:cs="Times New Roman"/>
                <w:snapToGrid w:val="0"/>
                <w:kern w:val="22"/>
              </w:rPr>
              <w:t xml:space="preserve">: </w:t>
            </w:r>
            <w:proofErr w:type="spellStart"/>
            <w:r>
              <w:rPr>
                <w:rFonts w:ascii="Times New Roman" w:hAnsi="Times New Roman" w:cs="Times New Roman"/>
                <w:snapToGrid w:val="0"/>
                <w:kern w:val="22"/>
              </w:rPr>
              <w:t>ENGLISH</w:t>
            </w:r>
            <w:proofErr w:type="spellEnd"/>
          </w:p>
        </w:tc>
      </w:tr>
    </w:tbl>
    <w:p w:rsidR="00AF2846" w:rsidRPr="00FB4441" w:rsidRDefault="00AF2846" w:rsidP="00313CAB">
      <w:pPr>
        <w:pStyle w:val="meetingname"/>
        <w:suppressLineNumbers/>
        <w:suppressAutoHyphens/>
        <w:ind w:left="-180" w:right="4398" w:hanging="104"/>
        <w:rPr>
          <w:kern w:val="22"/>
          <w:sz w:val="22"/>
          <w:szCs w:val="22"/>
          <w:lang w:val="ru-RU"/>
        </w:rPr>
      </w:pPr>
      <w:bookmarkStart w:id="4" w:name="Meeting"/>
      <w:proofErr w:type="spellStart"/>
      <w:r>
        <w:rPr>
          <w:kern w:val="22"/>
          <w:sz w:val="22"/>
          <w:szCs w:val="22"/>
        </w:rPr>
        <w:t>ВСПОМОГАТЕЛЬНЫЙ</w:t>
      </w:r>
      <w:proofErr w:type="spellEnd"/>
      <w:r>
        <w:rPr>
          <w:kern w:val="22"/>
          <w:sz w:val="22"/>
          <w:szCs w:val="22"/>
        </w:rPr>
        <w:t xml:space="preserve"> </w:t>
      </w:r>
      <w:proofErr w:type="spellStart"/>
      <w:r>
        <w:rPr>
          <w:kern w:val="22"/>
          <w:sz w:val="22"/>
          <w:szCs w:val="22"/>
        </w:rPr>
        <w:t>ОРГАН</w:t>
      </w:r>
      <w:proofErr w:type="spellEnd"/>
      <w:r>
        <w:rPr>
          <w:kern w:val="22"/>
          <w:sz w:val="22"/>
          <w:szCs w:val="22"/>
        </w:rPr>
        <w:t xml:space="preserve"> </w:t>
      </w:r>
      <w:proofErr w:type="spellStart"/>
      <w:r>
        <w:rPr>
          <w:kern w:val="22"/>
          <w:sz w:val="22"/>
          <w:szCs w:val="22"/>
        </w:rPr>
        <w:t>ПО</w:t>
      </w:r>
      <w:proofErr w:type="spellEnd"/>
      <w:r>
        <w:rPr>
          <w:kern w:val="22"/>
          <w:sz w:val="22"/>
          <w:szCs w:val="22"/>
        </w:rPr>
        <w:t xml:space="preserve"> </w:t>
      </w:r>
      <w:proofErr w:type="spellStart"/>
      <w:r>
        <w:rPr>
          <w:kern w:val="22"/>
          <w:sz w:val="22"/>
          <w:szCs w:val="22"/>
        </w:rPr>
        <w:t>ОСУЩЕСТВЛЕНИЮ</w:t>
      </w:r>
      <w:bookmarkEnd w:id="4"/>
      <w:proofErr w:type="spellEnd"/>
    </w:p>
    <w:p w:rsidR="00AF2846" w:rsidRPr="00FB4441" w:rsidRDefault="00AF2846" w:rsidP="00D1209D">
      <w:pPr>
        <w:suppressLineNumbers/>
        <w:suppressAutoHyphens/>
        <w:spacing w:after="0" w:line="240" w:lineRule="auto"/>
        <w:ind w:hanging="284"/>
        <w:rPr>
          <w:rFonts w:ascii="Times New Roman" w:hAnsi="Times New Roman" w:cs="Times New Roman"/>
          <w:snapToGrid w:val="0"/>
          <w:kern w:val="22"/>
        </w:rPr>
      </w:pPr>
      <w:r>
        <w:rPr>
          <w:rFonts w:ascii="Times New Roman" w:hAnsi="Times New Roman" w:cs="Times New Roman"/>
          <w:snapToGrid w:val="0"/>
          <w:kern w:val="22"/>
        </w:rPr>
        <w:t>Третье совещание</w:t>
      </w:r>
    </w:p>
    <w:p w:rsidR="00AF2846" w:rsidRPr="00FB4441" w:rsidRDefault="00F73AA3" w:rsidP="00D1209D">
      <w:pPr>
        <w:suppressLineNumbers/>
        <w:suppressAutoHyphens/>
        <w:spacing w:after="0" w:line="240" w:lineRule="auto"/>
        <w:ind w:hanging="284"/>
        <w:rPr>
          <w:rFonts w:ascii="Times New Roman" w:hAnsi="Times New Roman" w:cs="Times New Roman"/>
          <w:snapToGrid w:val="0"/>
          <w:kern w:val="22"/>
        </w:rPr>
      </w:pPr>
      <w:r>
        <w:rPr>
          <w:rFonts w:ascii="Times New Roman" w:hAnsi="Times New Roman" w:cs="Times New Roman"/>
          <w:snapToGrid w:val="0"/>
          <w:kern w:val="22"/>
        </w:rPr>
        <w:t>Квебек (</w:t>
      </w:r>
      <w:r w:rsidR="00644CCA" w:rsidRPr="00644CCA">
        <w:rPr>
          <w:rFonts w:ascii="Times New Roman" w:hAnsi="Times New Roman" w:cs="Times New Roman"/>
          <w:snapToGrid w:val="0"/>
          <w:kern w:val="22"/>
        </w:rPr>
        <w:t>будет подтверждено позднее</w:t>
      </w:r>
      <w:r>
        <w:rPr>
          <w:rFonts w:ascii="Times New Roman" w:hAnsi="Times New Roman" w:cs="Times New Roman"/>
          <w:snapToGrid w:val="0"/>
          <w:kern w:val="22"/>
        </w:rPr>
        <w:t>), Канада, 9-14 ноября 2020 г.</w:t>
      </w:r>
    </w:p>
    <w:p w:rsidR="00AF2846" w:rsidRPr="00FB4441" w:rsidRDefault="00AF2846" w:rsidP="00D1209D">
      <w:pPr>
        <w:pStyle w:val="ab"/>
        <w:suppressLineNumbers/>
        <w:suppressAutoHyphens/>
        <w:ind w:hanging="284"/>
        <w:rPr>
          <w:rFonts w:ascii="Times New Roman" w:hAnsi="Times New Roman" w:cs="Times New Roman"/>
          <w:snapToGrid w:val="0"/>
          <w:kern w:val="22"/>
        </w:rPr>
      </w:pPr>
      <w:r>
        <w:rPr>
          <w:rFonts w:ascii="Times New Roman" w:hAnsi="Times New Roman" w:cs="Times New Roman"/>
          <w:snapToGrid w:val="0"/>
          <w:kern w:val="22"/>
        </w:rPr>
        <w:t>Пункт 6 предварительной повестки дня</w:t>
      </w:r>
      <w:r>
        <w:rPr>
          <w:rStyle w:val="a5"/>
          <w:rFonts w:ascii="Times New Roman" w:hAnsi="Times New Roman" w:cs="Times New Roman"/>
          <w:snapToGrid w:val="0"/>
          <w:kern w:val="22"/>
        </w:rPr>
        <w:footnoteReference w:customMarkFollows="1" w:id="2"/>
        <w:t>*</w:t>
      </w:r>
    </w:p>
    <w:sdt>
      <w:sdtPr>
        <w:rPr>
          <w:vertAlign w:val="superscript"/>
          <w:lang w:val="ru-RU"/>
        </w:rPr>
        <w:alias w:val="Title"/>
        <w:tag w:val=""/>
        <w:id w:val="1423067625"/>
        <w:placeholder>
          <w:docPart w:val="B16882D3CD1D4AF581A165F293A75A9E"/>
        </w:placeholder>
        <w:dataBinding w:prefixMappings="xmlns:ns0='http://purl.org/dc/elements/1.1/' xmlns:ns1='http://schemas.openxmlformats.org/package/2006/metadata/core-properties' " w:xpath="/ns1:coreProperties[1]/ns0:title[1]" w:storeItemID="{6C3C8BC8-F283-45AE-878A-BAB7291924A1}"/>
        <w:text/>
      </w:sdtPr>
      <w:sdtContent>
        <w:p w:rsidR="00AF2846" w:rsidRPr="00644CCA" w:rsidRDefault="00FB4441" w:rsidP="0092611E">
          <w:pPr>
            <w:pStyle w:val="HEADINGNOTFORTOC"/>
            <w:rPr>
              <w:lang w:val="ru-RU"/>
            </w:rPr>
          </w:pPr>
          <w:r w:rsidRPr="008F5A5A">
            <w:rPr>
              <w:lang w:val="ru-RU"/>
            </w:rPr>
            <w:t>МЕХАНИЗМ ФИНАНСИРОВАНИЯ – ПРЕДВАРИТЕЛЬНЫЙ ДОКЛАД ГЛОБАЛЬНОГО ЭКОЛОГИЧЕСКОГО ФОНДА</w:t>
          </w:r>
        </w:p>
      </w:sdtContent>
    </w:sdt>
    <w:p w:rsidR="00AF2846" w:rsidRPr="00FB4441" w:rsidRDefault="00247801" w:rsidP="00247801">
      <w:pPr>
        <w:spacing w:before="120" w:after="120" w:line="240" w:lineRule="auto"/>
        <w:jc w:val="center"/>
        <w:rPr>
          <w:rFonts w:ascii="Times New Roman" w:hAnsi="Times New Roman" w:cs="Times New Roman"/>
          <w:b/>
          <w:caps/>
          <w:snapToGrid w:val="0"/>
        </w:rPr>
      </w:pPr>
      <w:r>
        <w:rPr>
          <w:rFonts w:ascii="Times New Roman" w:hAnsi="Times New Roman" w:cs="Times New Roman"/>
        </w:rPr>
        <w:t>Записка Исполнительного секретаря</w:t>
      </w:r>
    </w:p>
    <w:p w:rsidR="00AF2846" w:rsidRPr="008A0A75" w:rsidRDefault="00AF2846" w:rsidP="0092611E">
      <w:pPr>
        <w:pStyle w:val="1"/>
        <w:rPr>
          <w:caps/>
        </w:rPr>
      </w:pPr>
      <w:r>
        <w:t>ВВЕДЕНИЕ</w:t>
      </w:r>
    </w:p>
    <w:p w:rsidR="00AF2846" w:rsidRPr="008A0A75" w:rsidRDefault="00AF2846" w:rsidP="00AF2846">
      <w:pPr>
        <w:pStyle w:val="Para1"/>
        <w:numPr>
          <w:ilvl w:val="0"/>
          <w:numId w:val="30"/>
        </w:numPr>
        <w:suppressLineNumbers/>
        <w:suppressAutoHyphens/>
        <w:spacing w:before="120"/>
        <w:ind w:left="0" w:firstLine="0"/>
        <w:jc w:val="both"/>
        <w:rPr>
          <w:kern w:val="22"/>
          <w:szCs w:val="22"/>
        </w:rPr>
      </w:pPr>
      <w:r w:rsidRPr="00644CCA">
        <w:rPr>
          <w:snapToGrid/>
          <w:kern w:val="22"/>
          <w:szCs w:val="22"/>
          <w:lang w:val="ru-RU"/>
        </w:rPr>
        <w:t xml:space="preserve">Меморандум о договоренности между Конференцией Сторон Конвенции о биологическом разнообразии и Советом Глобального экологического фонда предусматривает, что Совет подготавливает и представляет доклад каждому очередному совещанию </w:t>
      </w:r>
      <w:r>
        <w:rPr>
          <w:snapToGrid/>
          <w:kern w:val="22"/>
          <w:szCs w:val="22"/>
        </w:rPr>
        <w:t>К</w:t>
      </w:r>
      <w:proofErr w:type="spellStart"/>
      <w:r w:rsidR="00ED0F7F">
        <w:rPr>
          <w:snapToGrid/>
          <w:kern w:val="22"/>
          <w:szCs w:val="22"/>
          <w:lang w:val="ru-RU"/>
        </w:rPr>
        <w:t>онференции</w:t>
      </w:r>
      <w:proofErr w:type="spellEnd"/>
      <w:r w:rsidR="00ED0F7F">
        <w:rPr>
          <w:snapToGrid/>
          <w:kern w:val="22"/>
          <w:szCs w:val="22"/>
          <w:lang w:val="ru-RU"/>
        </w:rPr>
        <w:t xml:space="preserve"> </w:t>
      </w:r>
      <w:proofErr w:type="spellStart"/>
      <w:r>
        <w:rPr>
          <w:snapToGrid/>
          <w:kern w:val="22"/>
          <w:szCs w:val="22"/>
        </w:rPr>
        <w:t>Сторон</w:t>
      </w:r>
      <w:proofErr w:type="spellEnd"/>
      <w:r>
        <w:rPr>
          <w:snapToGrid/>
          <w:kern w:val="22"/>
          <w:szCs w:val="22"/>
        </w:rPr>
        <w:t xml:space="preserve"> (</w:t>
      </w:r>
      <w:proofErr w:type="spellStart"/>
      <w:r>
        <w:rPr>
          <w:snapToGrid/>
          <w:kern w:val="22"/>
          <w:szCs w:val="22"/>
        </w:rPr>
        <w:t>см</w:t>
      </w:r>
      <w:proofErr w:type="spellEnd"/>
      <w:r>
        <w:rPr>
          <w:snapToGrid/>
          <w:kern w:val="22"/>
          <w:szCs w:val="22"/>
        </w:rPr>
        <w:t xml:space="preserve">. </w:t>
      </w:r>
      <w:proofErr w:type="spellStart"/>
      <w:proofErr w:type="gramStart"/>
      <w:r>
        <w:rPr>
          <w:snapToGrid/>
          <w:kern w:val="22"/>
          <w:szCs w:val="22"/>
        </w:rPr>
        <w:t>пункт</w:t>
      </w:r>
      <w:proofErr w:type="spellEnd"/>
      <w:proofErr w:type="gramEnd"/>
      <w:r>
        <w:rPr>
          <w:snapToGrid/>
          <w:kern w:val="22"/>
          <w:szCs w:val="22"/>
        </w:rPr>
        <w:t xml:space="preserve"> 3 </w:t>
      </w:r>
      <w:proofErr w:type="spellStart"/>
      <w:r>
        <w:rPr>
          <w:snapToGrid/>
          <w:kern w:val="22"/>
          <w:szCs w:val="22"/>
        </w:rPr>
        <w:t>приложения</w:t>
      </w:r>
      <w:proofErr w:type="spellEnd"/>
      <w:r>
        <w:rPr>
          <w:snapToGrid/>
          <w:kern w:val="22"/>
          <w:szCs w:val="22"/>
        </w:rPr>
        <w:t xml:space="preserve"> к </w:t>
      </w:r>
      <w:proofErr w:type="spellStart"/>
      <w:r>
        <w:rPr>
          <w:snapToGrid/>
          <w:kern w:val="22"/>
          <w:szCs w:val="22"/>
        </w:rPr>
        <w:t>решению</w:t>
      </w:r>
      <w:proofErr w:type="spellEnd"/>
      <w:r>
        <w:rPr>
          <w:snapToGrid/>
          <w:kern w:val="22"/>
          <w:szCs w:val="22"/>
        </w:rPr>
        <w:t xml:space="preserve"> III/8).</w:t>
      </w:r>
    </w:p>
    <w:p w:rsidR="00AF2846" w:rsidRPr="00FB4441" w:rsidRDefault="00AF2846" w:rsidP="00AF2846">
      <w:pPr>
        <w:pStyle w:val="Para1"/>
        <w:numPr>
          <w:ilvl w:val="0"/>
          <w:numId w:val="30"/>
        </w:numPr>
        <w:suppressLineNumbers/>
        <w:suppressAutoHyphens/>
        <w:spacing w:before="120"/>
        <w:ind w:left="0" w:firstLine="0"/>
        <w:jc w:val="both"/>
        <w:rPr>
          <w:kern w:val="22"/>
          <w:szCs w:val="22"/>
          <w:lang w:val="ru-RU"/>
        </w:rPr>
      </w:pPr>
      <w:r w:rsidRPr="00644CCA">
        <w:rPr>
          <w:snapToGrid/>
          <w:kern w:val="22"/>
          <w:szCs w:val="22"/>
          <w:lang w:val="ru-RU"/>
        </w:rPr>
        <w:t>В пункте 8</w:t>
      </w:r>
      <w:r>
        <w:rPr>
          <w:snapToGrid/>
          <w:kern w:val="22"/>
          <w:szCs w:val="22"/>
        </w:rPr>
        <w:t> e</w:t>
      </w:r>
      <w:r w:rsidRPr="00644CCA">
        <w:rPr>
          <w:snapToGrid/>
          <w:kern w:val="22"/>
          <w:szCs w:val="22"/>
          <w:lang w:val="ru-RU"/>
        </w:rPr>
        <w:t xml:space="preserve">) решения </w:t>
      </w:r>
      <w:hyperlink r:id="rId14" w:history="1">
        <w:r>
          <w:rPr>
            <w:rStyle w:val="a6"/>
            <w:snapToGrid/>
            <w:kern w:val="22"/>
            <w:szCs w:val="22"/>
            <w:u w:val="none"/>
          </w:rPr>
          <w:t>XII</w:t>
        </w:r>
        <w:r w:rsidRPr="00644CCA">
          <w:rPr>
            <w:rStyle w:val="a6"/>
            <w:snapToGrid/>
            <w:kern w:val="22"/>
            <w:szCs w:val="22"/>
            <w:u w:val="none"/>
            <w:lang w:val="ru-RU"/>
          </w:rPr>
          <w:t>/30</w:t>
        </w:r>
      </w:hyperlink>
      <w:r w:rsidRPr="00644CCA">
        <w:rPr>
          <w:snapToGrid/>
          <w:kern w:val="22"/>
          <w:szCs w:val="22"/>
          <w:lang w:val="ru-RU"/>
        </w:rPr>
        <w:t xml:space="preserve"> Конференция Сторон предложила Глобальному экологическому фонду «представлять предварительный проект своего доклада для Конференции Сторон, обращая особое внимание на действия Глобального экологического фонда в ответ на предыдущие руководящие указания Конференции Сторон, Вспомогательному органу по осуществлению до совещания Конференции Сторон, на котором доклад будет рассматриваться официально, с тем чтобы способствовать эффективному и своевременному изучению информации, приводимой в докладе».</w:t>
      </w:r>
    </w:p>
    <w:p w:rsidR="00AF2846" w:rsidRPr="00FB4441" w:rsidRDefault="00DD2EDE" w:rsidP="00AF2846">
      <w:pPr>
        <w:pStyle w:val="Para1"/>
        <w:numPr>
          <w:ilvl w:val="0"/>
          <w:numId w:val="30"/>
        </w:numPr>
        <w:suppressLineNumbers/>
        <w:suppressAutoHyphens/>
        <w:spacing w:before="120"/>
        <w:ind w:left="0" w:firstLine="0"/>
        <w:jc w:val="both"/>
        <w:rPr>
          <w:snapToGrid/>
          <w:kern w:val="22"/>
          <w:szCs w:val="22"/>
          <w:lang w:val="ru-RU"/>
        </w:rPr>
      </w:pPr>
      <w:r w:rsidRPr="00644CCA">
        <w:rPr>
          <w:lang w:val="ru-RU"/>
        </w:rPr>
        <w:t>С учетом вышесказанного Исполнительный секретарь настоящим направляет предварительный доклад Совета Глобального экологического фонда третьему совещанию Вспомогательного органа по осуществлению. Доклад на английском, французском и испанском языках приводится в том виде, в котором он был получен секретариатом, за исключением прилагаемого списка проектов и программ, утвержденных в отчетный период, который издан отдельно в виде информационного документа (</w:t>
      </w:r>
      <w:r>
        <w:t>CBD</w:t>
      </w:r>
      <w:r w:rsidRPr="00644CCA">
        <w:rPr>
          <w:lang w:val="ru-RU"/>
        </w:rPr>
        <w:t>/</w:t>
      </w:r>
      <w:proofErr w:type="spellStart"/>
      <w:r>
        <w:t>SBI</w:t>
      </w:r>
      <w:proofErr w:type="spellEnd"/>
      <w:r w:rsidRPr="00644CCA">
        <w:rPr>
          <w:lang w:val="ru-RU"/>
        </w:rPr>
        <w:t>/3/</w:t>
      </w:r>
      <w:r>
        <w:t>INF</w:t>
      </w:r>
      <w:r w:rsidRPr="00644CCA">
        <w:rPr>
          <w:lang w:val="ru-RU"/>
        </w:rPr>
        <w:t xml:space="preserve">/7). </w:t>
      </w:r>
      <w:r w:rsidRPr="00644CCA">
        <w:rPr>
          <w:szCs w:val="22"/>
          <w:lang w:val="ru-RU"/>
        </w:rPr>
        <w:t>Настоящий документ будет также представлен на арабском, китайском и русском языках</w:t>
      </w:r>
      <w:r w:rsidRPr="00644CCA">
        <w:rPr>
          <w:kern w:val="22"/>
          <w:szCs w:val="22"/>
          <w:lang w:val="ru-RU"/>
        </w:rPr>
        <w:t>.</w:t>
      </w:r>
    </w:p>
    <w:p w:rsidR="00AF2846" w:rsidRPr="00FB4441" w:rsidRDefault="00AF2846" w:rsidP="00AF2846">
      <w:pPr>
        <w:pStyle w:val="Para1"/>
        <w:numPr>
          <w:ilvl w:val="0"/>
          <w:numId w:val="0"/>
        </w:numPr>
        <w:suppressLineNumbers/>
        <w:suppressAutoHyphens/>
        <w:spacing w:after="0"/>
        <w:rPr>
          <w:kern w:val="22"/>
          <w:szCs w:val="22"/>
          <w:lang w:val="ru-RU"/>
        </w:rPr>
      </w:pPr>
    </w:p>
    <w:p w:rsidR="00AF2846" w:rsidRPr="00FB4441" w:rsidRDefault="00AF2846">
      <w:pPr>
        <w:rPr>
          <w:b/>
          <w:smallCaps/>
          <w:sz w:val="32"/>
          <w:szCs w:val="32"/>
        </w:rPr>
      </w:pPr>
      <w:r>
        <w:rPr>
          <w:b/>
          <w:bCs/>
          <w:smallCaps/>
          <w:sz w:val="32"/>
          <w:szCs w:val="32"/>
        </w:rPr>
        <w:br w:type="page"/>
      </w:r>
    </w:p>
    <w:p w:rsidR="0096056B" w:rsidRDefault="00B2245E" w:rsidP="0096056B">
      <w:pPr>
        <w:jc w:val="center"/>
        <w:rPr>
          <w:b/>
          <w:smallCaps/>
          <w:sz w:val="32"/>
          <w:szCs w:val="32"/>
        </w:rPr>
      </w:pPr>
      <w:r>
        <w:rPr>
          <w:b/>
          <w:bCs/>
          <w:smallCaps/>
          <w:noProof/>
          <w:sz w:val="32"/>
          <w:szCs w:val="32"/>
          <w:lang w:eastAsia="ru-RU"/>
        </w:rPr>
        <w:lastRenderedPageBreak/>
        <w:drawing>
          <wp:anchor distT="0" distB="0" distL="114300" distR="114300" simplePos="0" relativeHeight="251653632" behindDoc="0" locked="0" layoutInCell="1" allowOverlap="1">
            <wp:simplePos x="0" y="0"/>
            <wp:positionH relativeFrom="margin">
              <wp:posOffset>1074420</wp:posOffset>
            </wp:positionH>
            <wp:positionV relativeFrom="margin">
              <wp:posOffset>-25400</wp:posOffset>
            </wp:positionV>
            <wp:extent cx="3810000" cy="838200"/>
            <wp:effectExtent l="0" t="0" r="0" b="0"/>
            <wp:wrapTopAndBottom/>
            <wp:docPr id="2" name="Picture 2" descr="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F-newlogo-large.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10000" cy="838200"/>
                    </a:xfrm>
                    <a:prstGeom prst="rect">
                      <a:avLst/>
                    </a:prstGeom>
                    <a:noFill/>
                    <a:ln>
                      <a:noFill/>
                    </a:ln>
                  </pic:spPr>
                </pic:pic>
              </a:graphicData>
            </a:graphic>
          </wp:anchor>
        </w:drawing>
      </w:r>
    </w:p>
    <w:tbl>
      <w:tblPr>
        <w:tblStyle w:val="aa"/>
        <w:tblW w:w="0" w:type="auto"/>
        <w:tblLook w:val="04A0"/>
      </w:tblPr>
      <w:tblGrid>
        <w:gridCol w:w="9350"/>
      </w:tblGrid>
      <w:tr w:rsidR="00B2245E" w:rsidTr="007A3DA4">
        <w:tc>
          <w:tcPr>
            <w:tcW w:w="9350" w:type="dxa"/>
            <w:tcBorders>
              <w:top w:val="single" w:sz="12" w:space="0" w:color="auto"/>
              <w:left w:val="nil"/>
              <w:bottom w:val="nil"/>
              <w:right w:val="nil"/>
            </w:tcBorders>
          </w:tcPr>
          <w:p w:rsidR="00B2245E" w:rsidRPr="00B2245E" w:rsidRDefault="00B2245E" w:rsidP="0096056B">
            <w:pPr>
              <w:jc w:val="center"/>
              <w:rPr>
                <w:b/>
                <w:smallCaps/>
                <w:sz w:val="2"/>
                <w:szCs w:val="32"/>
              </w:rPr>
            </w:pPr>
          </w:p>
        </w:tc>
      </w:tr>
    </w:tbl>
    <w:p w:rsidR="0096056B" w:rsidRDefault="0096056B" w:rsidP="0096056B">
      <w:pPr>
        <w:jc w:val="center"/>
        <w:rPr>
          <w:b/>
          <w:smallCaps/>
          <w:sz w:val="32"/>
          <w:szCs w:val="32"/>
        </w:rPr>
      </w:pPr>
    </w:p>
    <w:p w:rsidR="0096056B" w:rsidRDefault="0096056B" w:rsidP="0096056B">
      <w:pPr>
        <w:jc w:val="center"/>
        <w:rPr>
          <w:b/>
          <w:smallCaps/>
          <w:sz w:val="32"/>
          <w:szCs w:val="32"/>
        </w:rPr>
      </w:pPr>
    </w:p>
    <w:p w:rsidR="0096056B" w:rsidRDefault="0096056B" w:rsidP="0096056B">
      <w:pPr>
        <w:jc w:val="center"/>
        <w:rPr>
          <w:b/>
          <w:smallCaps/>
          <w:sz w:val="32"/>
          <w:szCs w:val="32"/>
        </w:rPr>
      </w:pPr>
    </w:p>
    <w:p w:rsidR="0096056B" w:rsidRDefault="0096056B" w:rsidP="0096056B">
      <w:pPr>
        <w:jc w:val="center"/>
        <w:rPr>
          <w:b/>
          <w:smallCaps/>
          <w:sz w:val="32"/>
          <w:szCs w:val="32"/>
        </w:rPr>
      </w:pPr>
    </w:p>
    <w:p w:rsidR="0096056B" w:rsidRDefault="0096056B" w:rsidP="0096056B">
      <w:pPr>
        <w:jc w:val="center"/>
        <w:rPr>
          <w:b/>
          <w:smallCaps/>
          <w:sz w:val="32"/>
          <w:szCs w:val="32"/>
        </w:rPr>
      </w:pPr>
    </w:p>
    <w:p w:rsidR="0096056B" w:rsidRDefault="0096056B" w:rsidP="0096056B">
      <w:pPr>
        <w:jc w:val="center"/>
        <w:rPr>
          <w:b/>
          <w:smallCaps/>
          <w:sz w:val="32"/>
          <w:szCs w:val="32"/>
        </w:rPr>
      </w:pPr>
    </w:p>
    <w:p w:rsidR="002A35E4" w:rsidRDefault="002A35E4" w:rsidP="0096056B">
      <w:pPr>
        <w:jc w:val="center"/>
        <w:rPr>
          <w:b/>
          <w:smallCaps/>
          <w:sz w:val="32"/>
          <w:szCs w:val="32"/>
        </w:rPr>
      </w:pPr>
    </w:p>
    <w:p w:rsidR="0096056B" w:rsidRPr="00FB4441" w:rsidRDefault="0096056B" w:rsidP="003819C0">
      <w:pPr>
        <w:pStyle w:val="af6"/>
      </w:pPr>
      <w:r>
        <w:t xml:space="preserve">Проект доклада Глобального экологического фонда для 15-го совещания Конференции Сторон, </w:t>
      </w:r>
      <w:r w:rsidRPr="003819C0">
        <w:t>представленный</w:t>
      </w:r>
      <w:r>
        <w:t xml:space="preserve"> третьему совещанию Вспомогательного органа по осуществлению Конвенции о биологическом разнообразии</w:t>
      </w:r>
    </w:p>
    <w:p w:rsidR="0096056B" w:rsidRPr="00FB4441" w:rsidRDefault="0096056B" w:rsidP="0096056B">
      <w:pPr>
        <w:jc w:val="center"/>
        <w:rPr>
          <w:b/>
          <w:sz w:val="32"/>
          <w:szCs w:val="32"/>
        </w:rPr>
      </w:pPr>
    </w:p>
    <w:p w:rsidR="0096056B" w:rsidRPr="0096056B" w:rsidRDefault="0096056B" w:rsidP="0096056B">
      <w:pPr>
        <w:jc w:val="center"/>
        <w:rPr>
          <w:b/>
          <w:sz w:val="28"/>
          <w:szCs w:val="32"/>
        </w:rPr>
      </w:pPr>
      <w:r>
        <w:rPr>
          <w:b/>
          <w:bCs/>
          <w:sz w:val="28"/>
          <w:szCs w:val="32"/>
        </w:rPr>
        <w:t>14 февраля 2020 г.</w:t>
      </w:r>
    </w:p>
    <w:p w:rsidR="000667F9" w:rsidRDefault="000667F9" w:rsidP="00CB620B">
      <w:pPr>
        <w:spacing w:after="0" w:line="240" w:lineRule="auto"/>
        <w:jc w:val="center"/>
        <w:rPr>
          <w:rFonts w:ascii="Calibri" w:eastAsia="MS Mincho" w:hAnsi="Calibri" w:cs="Angsana New"/>
          <w:b/>
          <w:sz w:val="24"/>
          <w:szCs w:val="24"/>
          <w:u w:val="single"/>
        </w:rPr>
        <w:sectPr w:rsidR="000667F9" w:rsidSect="00E933F8">
          <w:footerReference w:type="even" r:id="rId16"/>
          <w:footerReference w:type="default" r:id="rId17"/>
          <w:pgSz w:w="12240" w:h="15840"/>
          <w:pgMar w:top="851" w:right="1440" w:bottom="1134" w:left="1440" w:header="720" w:footer="720" w:gutter="0"/>
          <w:pgNumType w:fmt="lowerRoman" w:start="1"/>
          <w:cols w:space="720"/>
          <w:titlePg/>
          <w:docGrid w:linePitch="360"/>
        </w:sectPr>
      </w:pPr>
    </w:p>
    <w:p w:rsidR="00CB620B" w:rsidRPr="007A3DA4" w:rsidRDefault="00CB620B" w:rsidP="00CB620B">
      <w:pPr>
        <w:spacing w:after="0" w:line="240" w:lineRule="auto"/>
        <w:jc w:val="center"/>
        <w:rPr>
          <w:rFonts w:ascii="Calibri" w:eastAsia="MS Mincho" w:hAnsi="Calibri" w:cs="Angsana New"/>
          <w:b/>
          <w:smallCaps/>
          <w:sz w:val="24"/>
          <w:szCs w:val="24"/>
        </w:rPr>
      </w:pPr>
      <w:r>
        <w:rPr>
          <w:rFonts w:ascii="Calibri" w:eastAsia="MS Mincho" w:hAnsi="Calibri" w:cs="Angsana New"/>
          <w:b/>
          <w:bCs/>
          <w:smallCaps/>
          <w:sz w:val="24"/>
          <w:szCs w:val="24"/>
        </w:rPr>
        <w:lastRenderedPageBreak/>
        <w:t>Оглавление</w:t>
      </w:r>
    </w:p>
    <w:p w:rsidR="00052F52" w:rsidRDefault="00150674" w:rsidP="0025216A">
      <w:pPr>
        <w:pStyle w:val="11"/>
        <w:rPr>
          <w:rFonts w:eastAsiaTheme="minorEastAsia"/>
          <w:noProof/>
        </w:rPr>
      </w:pPr>
      <w:r>
        <w:rPr>
          <w:rFonts w:ascii="Calibri" w:eastAsia="MS Mincho" w:hAnsi="Calibri" w:cs="Angsana New"/>
          <w:sz w:val="24"/>
          <w:szCs w:val="24"/>
        </w:rPr>
        <w:fldChar w:fldCharType="begin"/>
      </w:r>
      <w:r w:rsidR="00696C54">
        <w:rPr>
          <w:rFonts w:ascii="Calibri" w:eastAsia="MS Mincho" w:hAnsi="Calibri" w:cs="Angsana New"/>
          <w:sz w:val="24"/>
          <w:szCs w:val="24"/>
        </w:rPr>
        <w:instrText xml:space="preserve"> TOC \o "1-3" \h \z \u </w:instrText>
      </w:r>
      <w:r>
        <w:rPr>
          <w:rFonts w:ascii="Calibri" w:eastAsia="MS Mincho" w:hAnsi="Calibri" w:cs="Angsana New"/>
          <w:sz w:val="24"/>
          <w:szCs w:val="24"/>
        </w:rPr>
        <w:fldChar w:fldCharType="separate"/>
      </w:r>
      <w:hyperlink w:anchor="_Toc32494912" w:history="1">
        <w:r w:rsidR="00313CAB" w:rsidRPr="003819C0">
          <w:rPr>
            <w:bCs/>
          </w:rPr>
          <w:t>Резюме</w:t>
        </w:r>
        <w:r w:rsidR="00313CAB">
          <w:rPr>
            <w:rStyle w:val="a6"/>
            <w:noProof/>
          </w:rPr>
          <w:t xml:space="preserve"> </w:t>
        </w:r>
        <w:r w:rsidR="00696C54">
          <w:rPr>
            <w:noProof/>
            <w:webHidden/>
          </w:rPr>
          <w:tab/>
        </w:r>
        <w:r w:rsidR="00543A11">
          <w:rPr>
            <w:noProof/>
            <w:webHidden/>
          </w:rPr>
          <w:t>2</w:t>
        </w:r>
      </w:hyperlink>
    </w:p>
    <w:p w:rsidR="00052F52" w:rsidRPr="00487903" w:rsidRDefault="00150674" w:rsidP="0025216A">
      <w:pPr>
        <w:pStyle w:val="11"/>
        <w:rPr>
          <w:rFonts w:eastAsiaTheme="minorEastAsia"/>
          <w:noProof/>
        </w:rPr>
      </w:pPr>
      <w:hyperlink w:anchor="_Toc32494913" w:history="1">
        <w:r w:rsidR="00696C54">
          <w:rPr>
            <w:rStyle w:val="a6"/>
            <w:noProof/>
          </w:rPr>
          <w:t>I.</w:t>
        </w:r>
        <w:r w:rsidR="00696C54">
          <w:rPr>
            <w:rFonts w:eastAsiaTheme="minorEastAsia"/>
            <w:noProof/>
          </w:rPr>
          <w:tab/>
        </w:r>
        <w:r w:rsidR="00487903" w:rsidRPr="00ED2E30">
          <w:t>Проектная деятельность в поддержку осуществления КБР</w:t>
        </w:r>
        <w:r w:rsidR="00696C54">
          <w:rPr>
            <w:noProof/>
            <w:webHidden/>
          </w:rPr>
          <w:tab/>
        </w:r>
      </w:hyperlink>
      <w:r w:rsidR="00543A11">
        <w:t>6</w:t>
      </w:r>
    </w:p>
    <w:p w:rsidR="00052F52" w:rsidRDefault="00150674">
      <w:pPr>
        <w:pStyle w:val="21"/>
        <w:rPr>
          <w:rFonts w:eastAsiaTheme="minorEastAsia"/>
          <w:noProof/>
        </w:rPr>
      </w:pPr>
      <w:hyperlink w:anchor="_Toc32494914" w:history="1">
        <w:r w:rsidR="00487903">
          <w:rPr>
            <w:bCs/>
          </w:rPr>
          <w:t>Стратегия сохранени</w:t>
        </w:r>
        <w:r w:rsidR="00DC15B6">
          <w:rPr>
            <w:bCs/>
          </w:rPr>
          <w:t>я</w:t>
        </w:r>
        <w:r w:rsidR="00487903">
          <w:rPr>
            <w:bCs/>
          </w:rPr>
          <w:t xml:space="preserve"> биоразнообразия в период ГЭФ-7</w:t>
        </w:r>
        <w:r w:rsidR="00696C54">
          <w:rPr>
            <w:noProof/>
            <w:webHidden/>
          </w:rPr>
          <w:tab/>
        </w:r>
        <w:r w:rsidR="00543A11">
          <w:rPr>
            <w:noProof/>
            <w:webHidden/>
          </w:rPr>
          <w:t>6</w:t>
        </w:r>
      </w:hyperlink>
    </w:p>
    <w:p w:rsidR="00052F52" w:rsidRDefault="00150674">
      <w:pPr>
        <w:pStyle w:val="21"/>
        <w:rPr>
          <w:rFonts w:eastAsiaTheme="minorEastAsia"/>
          <w:noProof/>
        </w:rPr>
      </w:pPr>
      <w:hyperlink w:anchor="_Toc32494915" w:history="1">
        <w:r w:rsidR="00487903">
          <w:rPr>
            <w:bCs/>
          </w:rPr>
          <w:t>Использовани</w:t>
        </w:r>
        <w:r w:rsidR="00DC15B6">
          <w:rPr>
            <w:bCs/>
          </w:rPr>
          <w:t>е</w:t>
        </w:r>
        <w:r w:rsidR="00487903">
          <w:rPr>
            <w:bCs/>
          </w:rPr>
          <w:t xml:space="preserve"> ресурсов в программах ГЭФ-7</w:t>
        </w:r>
        <w:r w:rsidR="00696C54">
          <w:rPr>
            <w:noProof/>
            <w:webHidden/>
          </w:rPr>
          <w:tab/>
        </w:r>
        <w:r w:rsidR="00543A11">
          <w:rPr>
            <w:noProof/>
            <w:webHidden/>
          </w:rPr>
          <w:t>8</w:t>
        </w:r>
      </w:hyperlink>
    </w:p>
    <w:p w:rsidR="00052F52" w:rsidRDefault="00487903" w:rsidP="00487903">
      <w:pPr>
        <w:pStyle w:val="21"/>
      </w:pPr>
      <w:r w:rsidRPr="00B24F57">
        <w:t>Вклад программ в период ГЭФ-7 в выполнение Айтинских целевых задач в области биоразнообразия</w:t>
      </w:r>
      <w:r w:rsidRPr="00487903">
        <w:t xml:space="preserve"> </w:t>
      </w:r>
      <w:r>
        <w:t xml:space="preserve">                                                                                                                                        </w:t>
      </w:r>
      <w:r w:rsidR="00543A11">
        <w:t>9</w:t>
      </w:r>
    </w:p>
    <w:p w:rsidR="00A7789C" w:rsidRDefault="00543A11" w:rsidP="00A7789C">
      <w:pPr>
        <w:pStyle w:val="21"/>
      </w:pPr>
      <w:r w:rsidRPr="00644CCA">
        <w:rPr>
          <w:bCs/>
        </w:rPr>
        <w:t>Вклад стратегии целевой области сохранения биоразнообразия ГЭФ-7 в выполнение Айтинских целевых задач по биоразнообразию</w:t>
      </w:r>
      <w:r w:rsidR="00174E59" w:rsidRPr="00174E59">
        <w:rPr>
          <w:webHidden/>
        </w:rPr>
        <w:tab/>
      </w:r>
      <w:r w:rsidR="00174E59">
        <w:rPr>
          <w:webHidden/>
        </w:rPr>
        <w:t>14</w:t>
      </w:r>
    </w:p>
    <w:p w:rsidR="00174E59" w:rsidRPr="00174E59" w:rsidRDefault="00150674" w:rsidP="00174E59">
      <w:pPr>
        <w:tabs>
          <w:tab w:val="right" w:leader="dot" w:pos="9350"/>
        </w:tabs>
        <w:spacing w:after="100"/>
        <w:ind w:left="1008" w:hanging="299"/>
        <w:rPr>
          <w:rFonts w:ascii="Calibri" w:eastAsia="Times New Roman" w:hAnsi="Calibri" w:cs="Times New Roman"/>
          <w:noProof/>
          <w:lang w:val="en-US"/>
        </w:rPr>
      </w:pPr>
      <w:hyperlink w:anchor="_Toc32494918" w:history="1">
        <w:r w:rsidR="00174E59">
          <w:rPr>
            <w:iCs/>
          </w:rPr>
          <w:t>Гранты на подготов</w:t>
        </w:r>
        <w:r w:rsidR="00174E59">
          <w:rPr>
            <w:iCs/>
          </w:rPr>
          <w:t>к</w:t>
        </w:r>
        <w:r w:rsidR="00174E59">
          <w:rPr>
            <w:iCs/>
          </w:rPr>
          <w:t>у проектов</w:t>
        </w:r>
        <w:r w:rsidR="00174E59" w:rsidRPr="00174E59">
          <w:rPr>
            <w:rFonts w:ascii="Calibri" w:eastAsia="Calibri" w:hAnsi="Calibri" w:cs="Times New Roman"/>
            <w:noProof/>
            <w:webHidden/>
            <w:lang w:val="en-US"/>
          </w:rPr>
          <w:tab/>
        </w:r>
        <w:r w:rsidR="00174E59">
          <w:rPr>
            <w:rFonts w:ascii="Calibri" w:eastAsia="Calibri" w:hAnsi="Calibri" w:cs="Times New Roman"/>
            <w:noProof/>
            <w:webHidden/>
          </w:rPr>
          <w:t>16</w:t>
        </w:r>
      </w:hyperlink>
    </w:p>
    <w:p w:rsidR="00A7789C" w:rsidRPr="00A7789C" w:rsidRDefault="00150674" w:rsidP="00A7789C">
      <w:pPr>
        <w:pStyle w:val="21"/>
      </w:pPr>
      <w:hyperlink w:anchor="_Toc32494919" w:history="1">
        <w:r w:rsidR="00543A11">
          <w:rPr>
            <w:iCs/>
          </w:rPr>
          <w:t>Поддержка осуществлению Картахенского протокола по биобезопасности к Конвенции о биологическом разнообразии</w:t>
        </w:r>
        <w:r w:rsidR="00A7789C" w:rsidRPr="00A7789C">
          <w:rPr>
            <w:webHidden/>
          </w:rPr>
          <w:tab/>
        </w:r>
        <w:r w:rsidR="00543A11">
          <w:rPr>
            <w:webHidden/>
          </w:rPr>
          <w:t>16</w:t>
        </w:r>
      </w:hyperlink>
    </w:p>
    <w:p w:rsidR="00A7789C" w:rsidRPr="00A7789C" w:rsidRDefault="00150674" w:rsidP="00A7789C">
      <w:pPr>
        <w:pStyle w:val="21"/>
      </w:pPr>
      <w:hyperlink w:anchor="_Toc32494920" w:history="1">
        <w:r w:rsidR="003853FE">
          <w:rPr>
            <w:iCs/>
          </w:rPr>
          <w:t>Поддержка ратификации и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00A7789C" w:rsidRPr="00A7789C">
          <w:rPr>
            <w:webHidden/>
          </w:rPr>
          <w:tab/>
        </w:r>
        <w:r w:rsidR="003853FE">
          <w:rPr>
            <w:webHidden/>
          </w:rPr>
          <w:t>16</w:t>
        </w:r>
      </w:hyperlink>
    </w:p>
    <w:p w:rsidR="00A7789C" w:rsidRPr="00A7789C" w:rsidRDefault="00150674" w:rsidP="00A7789C">
      <w:pPr>
        <w:pStyle w:val="21"/>
      </w:pPr>
      <w:hyperlink w:anchor="_Toc32494921" w:history="1">
        <w:r w:rsidR="003853FE" w:rsidRPr="00644CCA">
          <w:rPr>
            <w:bCs/>
          </w:rPr>
          <w:t>Вклад программ широкого воздействия в выполнение Айтинских целевых задач в области биоразнообразия</w:t>
        </w:r>
        <w:r w:rsidR="00A7789C" w:rsidRPr="00A7789C">
          <w:rPr>
            <w:webHidden/>
          </w:rPr>
          <w:tab/>
        </w:r>
        <w:r w:rsidR="003853FE">
          <w:rPr>
            <w:webHidden/>
          </w:rPr>
          <w:t>17</w:t>
        </w:r>
      </w:hyperlink>
    </w:p>
    <w:p w:rsidR="00A7789C" w:rsidRPr="00A7789C" w:rsidRDefault="00150674" w:rsidP="00A7789C">
      <w:pPr>
        <w:pStyle w:val="21"/>
      </w:pPr>
      <w:hyperlink w:anchor="_Toc32494922" w:history="1">
        <w:r w:rsidR="003853FE">
          <w:rPr>
            <w:iCs/>
            <w:snapToGrid w:val="0"/>
          </w:rPr>
          <w:t>Продовольственные системы, землепользование и восстановление</w:t>
        </w:r>
        <w:r w:rsidR="00A7789C" w:rsidRPr="00A7789C">
          <w:rPr>
            <w:webHidden/>
          </w:rPr>
          <w:tab/>
        </w:r>
        <w:r w:rsidR="003853FE">
          <w:rPr>
            <w:webHidden/>
          </w:rPr>
          <w:t>17</w:t>
        </w:r>
      </w:hyperlink>
    </w:p>
    <w:p w:rsidR="00052F52" w:rsidRDefault="00150674" w:rsidP="00512FD5">
      <w:pPr>
        <w:pStyle w:val="31"/>
        <w:rPr>
          <w:rFonts w:eastAsiaTheme="minorEastAsia"/>
          <w:noProof/>
        </w:rPr>
      </w:pPr>
      <w:hyperlink w:anchor="_Toc32494923" w:history="1">
        <w:r w:rsidR="00DC15BD">
          <w:rPr>
            <w:iCs/>
            <w:snapToGrid w:val="0"/>
          </w:rPr>
          <w:t>Устойчивое лесопользование</w:t>
        </w:r>
        <w:r w:rsidR="00696C54">
          <w:rPr>
            <w:noProof/>
            <w:webHidden/>
          </w:rPr>
          <w:tab/>
        </w:r>
        <w:r w:rsidR="003853FE">
          <w:rPr>
            <w:noProof/>
            <w:webHidden/>
          </w:rPr>
          <w:t>18</w:t>
        </w:r>
      </w:hyperlink>
    </w:p>
    <w:p w:rsidR="00052F52" w:rsidRDefault="00150674" w:rsidP="00512FD5">
      <w:pPr>
        <w:pStyle w:val="31"/>
        <w:rPr>
          <w:rFonts w:eastAsiaTheme="minorEastAsia"/>
          <w:noProof/>
        </w:rPr>
      </w:pPr>
      <w:hyperlink w:anchor="_Toc32494924" w:history="1">
        <w:r w:rsidR="00DC15BD">
          <w:rPr>
            <w:iCs/>
            <w:snapToGrid w:val="0"/>
          </w:rPr>
          <w:t>Устойчивое развитие городов</w:t>
        </w:r>
        <w:r w:rsidR="00696C54">
          <w:rPr>
            <w:noProof/>
            <w:webHidden/>
          </w:rPr>
          <w:tab/>
        </w:r>
        <w:r w:rsidR="003853FE">
          <w:rPr>
            <w:noProof/>
            <w:webHidden/>
          </w:rPr>
          <w:t>19</w:t>
        </w:r>
      </w:hyperlink>
    </w:p>
    <w:p w:rsidR="00DC15BD" w:rsidRDefault="00DC15BD" w:rsidP="00512FD5">
      <w:pPr>
        <w:pStyle w:val="31"/>
      </w:pPr>
      <w:r>
        <w:rPr>
          <w:bCs/>
        </w:rPr>
        <w:t>Иные виды вкладов ГЭФ в выполнение Айтинских целевых задач в области биоразнообразия</w:t>
      </w:r>
      <w:r w:rsidRPr="00DC15BD">
        <w:t xml:space="preserve"> </w:t>
      </w:r>
      <w:r>
        <w:t xml:space="preserve">                                                                                                                              </w:t>
      </w:r>
      <w:r w:rsidR="00E571C7">
        <w:t xml:space="preserve">      </w:t>
      </w:r>
      <w:r>
        <w:t xml:space="preserve">  </w:t>
      </w:r>
      <w:r w:rsidR="003853FE">
        <w:t>20</w:t>
      </w:r>
    </w:p>
    <w:p w:rsidR="00052F52" w:rsidRPr="00DC15BD" w:rsidRDefault="00150674" w:rsidP="00512FD5">
      <w:pPr>
        <w:pStyle w:val="31"/>
        <w:rPr>
          <w:rFonts w:eastAsiaTheme="minorEastAsia"/>
          <w:noProof/>
        </w:rPr>
      </w:pPr>
      <w:hyperlink w:anchor="_Toc32494926" w:history="1">
        <w:r w:rsidR="00DC15BD">
          <w:rPr>
            <w:iCs/>
            <w:snapToGrid w:val="0"/>
          </w:rPr>
          <w:t>Адаптация к изменению климата</w:t>
        </w:r>
        <w:r w:rsidR="00696C54" w:rsidRPr="00DC15BD">
          <w:rPr>
            <w:noProof/>
            <w:webHidden/>
          </w:rPr>
          <w:tab/>
        </w:r>
        <w:r w:rsidR="003853FE">
          <w:rPr>
            <w:noProof/>
            <w:webHidden/>
          </w:rPr>
          <w:t>20</w:t>
        </w:r>
      </w:hyperlink>
    </w:p>
    <w:p w:rsidR="00052F52" w:rsidRDefault="00150674" w:rsidP="00512FD5">
      <w:pPr>
        <w:pStyle w:val="31"/>
        <w:rPr>
          <w:rFonts w:eastAsiaTheme="minorEastAsia"/>
          <w:noProof/>
        </w:rPr>
      </w:pPr>
      <w:hyperlink w:anchor="_Toc32494927" w:history="1">
        <w:r w:rsidR="00DC15BD">
          <w:rPr>
            <w:iCs/>
            <w:snapToGrid w:val="0"/>
          </w:rPr>
          <w:t>Целевая область международных вод</w:t>
        </w:r>
        <w:r w:rsidR="00696C54">
          <w:rPr>
            <w:noProof/>
            <w:webHidden/>
          </w:rPr>
          <w:tab/>
        </w:r>
        <w:r w:rsidR="003853FE">
          <w:rPr>
            <w:noProof/>
            <w:webHidden/>
          </w:rPr>
          <w:t>21</w:t>
        </w:r>
      </w:hyperlink>
    </w:p>
    <w:p w:rsidR="00052F52" w:rsidRDefault="00150674" w:rsidP="00512FD5">
      <w:pPr>
        <w:pStyle w:val="31"/>
        <w:rPr>
          <w:rFonts w:eastAsiaTheme="minorEastAsia"/>
          <w:noProof/>
        </w:rPr>
      </w:pPr>
      <w:hyperlink w:anchor="_Toc32494928" w:history="1">
        <w:r w:rsidR="00DC15BD">
          <w:rPr>
            <w:iCs/>
            <w:snapToGrid w:val="0"/>
          </w:rPr>
          <w:t>Несвязанный с грантами инструмент</w:t>
        </w:r>
        <w:r w:rsidR="00696C54">
          <w:rPr>
            <w:noProof/>
            <w:webHidden/>
          </w:rPr>
          <w:tab/>
        </w:r>
        <w:r w:rsidR="003853FE">
          <w:rPr>
            <w:noProof/>
            <w:webHidden/>
          </w:rPr>
          <w:t>22</w:t>
        </w:r>
      </w:hyperlink>
    </w:p>
    <w:p w:rsidR="00052F52" w:rsidRDefault="00150674" w:rsidP="00512FD5">
      <w:pPr>
        <w:pStyle w:val="31"/>
        <w:rPr>
          <w:rFonts w:eastAsiaTheme="minorEastAsia"/>
          <w:noProof/>
        </w:rPr>
      </w:pPr>
      <w:hyperlink w:anchor="_Toc32494929" w:history="1">
        <w:r w:rsidR="00DC15BD">
          <w:rPr>
            <w:iCs/>
            <w:snapToGrid w:val="0"/>
          </w:rPr>
          <w:t>Программа малых грантов</w:t>
        </w:r>
        <w:r w:rsidR="00696C54">
          <w:rPr>
            <w:noProof/>
            <w:webHidden/>
          </w:rPr>
          <w:tab/>
        </w:r>
        <w:r w:rsidR="003853FE">
          <w:rPr>
            <w:noProof/>
            <w:webHidden/>
          </w:rPr>
          <w:t>23</w:t>
        </w:r>
      </w:hyperlink>
    </w:p>
    <w:p w:rsidR="00052F52" w:rsidRDefault="00150674" w:rsidP="0025216A">
      <w:pPr>
        <w:pStyle w:val="11"/>
        <w:rPr>
          <w:rFonts w:eastAsiaTheme="minorEastAsia"/>
          <w:noProof/>
        </w:rPr>
      </w:pPr>
      <w:hyperlink w:anchor="_Toc32494930" w:history="1">
        <w:r w:rsidR="0092611E">
          <w:rPr>
            <w:rStyle w:val="a6"/>
            <w:noProof/>
          </w:rPr>
          <w:t>I</w:t>
        </w:r>
        <w:r w:rsidR="00A1190F">
          <w:rPr>
            <w:rStyle w:val="a6"/>
            <w:noProof/>
            <w:lang w:val="en-US"/>
          </w:rPr>
          <w:t>I</w:t>
        </w:r>
        <w:r w:rsidR="0092611E">
          <w:rPr>
            <w:rStyle w:val="a6"/>
            <w:noProof/>
          </w:rPr>
          <w:t>.</w:t>
        </w:r>
        <w:r w:rsidR="0092611E">
          <w:rPr>
            <w:rFonts w:eastAsiaTheme="minorEastAsia"/>
            <w:noProof/>
          </w:rPr>
          <w:tab/>
        </w:r>
        <w:r w:rsidR="0092611E" w:rsidRPr="0092611E">
          <w:rPr>
            <w:rStyle w:val="a6"/>
            <w:noProof/>
          </w:rPr>
          <w:t xml:space="preserve">Действия </w:t>
        </w:r>
        <w:r w:rsidR="00512FD5">
          <w:rPr>
            <w:rStyle w:val="a6"/>
            <w:noProof/>
          </w:rPr>
          <w:t>ГЭФ</w:t>
        </w:r>
        <w:r w:rsidR="0092611E" w:rsidRPr="0092611E">
          <w:rPr>
            <w:rStyle w:val="a6"/>
            <w:noProof/>
          </w:rPr>
          <w:t xml:space="preserve"> в ответ на руководящие указания </w:t>
        </w:r>
        <w:r w:rsidR="00512FD5">
          <w:rPr>
            <w:rStyle w:val="a6"/>
            <w:noProof/>
          </w:rPr>
          <w:t>КС</w:t>
        </w:r>
        <w:r w:rsidR="0092611E" w:rsidRPr="0092611E">
          <w:rPr>
            <w:rStyle w:val="a6"/>
            <w:noProof/>
          </w:rPr>
          <w:t xml:space="preserve">-14 </w:t>
        </w:r>
        <w:r w:rsidR="0092611E">
          <w:rPr>
            <w:rStyle w:val="a6"/>
            <w:noProof/>
          </w:rPr>
          <w:t>КБР</w:t>
        </w:r>
        <w:r w:rsidR="0092611E">
          <w:rPr>
            <w:noProof/>
            <w:webHidden/>
          </w:rPr>
          <w:tab/>
        </w:r>
        <w:r w:rsidR="003853FE">
          <w:rPr>
            <w:noProof/>
            <w:webHidden/>
          </w:rPr>
          <w:t>25</w:t>
        </w:r>
      </w:hyperlink>
    </w:p>
    <w:p w:rsidR="00052F52" w:rsidRDefault="00150674" w:rsidP="0025216A">
      <w:pPr>
        <w:pStyle w:val="11"/>
        <w:rPr>
          <w:rFonts w:eastAsiaTheme="minorEastAsia"/>
          <w:noProof/>
        </w:rPr>
      </w:pPr>
      <w:hyperlink w:anchor="_Toc32494931" w:history="1">
        <w:r w:rsidR="00696C54">
          <w:rPr>
            <w:rStyle w:val="a6"/>
            <w:noProof/>
          </w:rPr>
          <w:t>III.</w:t>
        </w:r>
        <w:r w:rsidR="00696C54">
          <w:rPr>
            <w:rFonts w:eastAsiaTheme="minorEastAsia"/>
            <w:noProof/>
          </w:rPr>
          <w:tab/>
        </w:r>
        <w:r w:rsidR="0092611E" w:rsidRPr="0085142B">
          <w:rPr>
            <w:bCs/>
          </w:rPr>
          <w:t>Реализация портфеля проектов</w:t>
        </w:r>
        <w:r w:rsidR="00696C54">
          <w:rPr>
            <w:noProof/>
            <w:webHidden/>
          </w:rPr>
          <w:tab/>
        </w:r>
        <w:r w:rsidR="003853FE">
          <w:rPr>
            <w:noProof/>
            <w:webHidden/>
          </w:rPr>
          <w:t>32</w:t>
        </w:r>
      </w:hyperlink>
    </w:p>
    <w:p w:rsidR="00052F52" w:rsidRDefault="00150674">
      <w:pPr>
        <w:pStyle w:val="21"/>
        <w:rPr>
          <w:rFonts w:eastAsiaTheme="minorEastAsia"/>
          <w:noProof/>
        </w:rPr>
      </w:pPr>
      <w:hyperlink w:anchor="_Toc32494932" w:history="1">
        <w:r w:rsidR="0092611E">
          <w:rPr>
            <w:bCs/>
          </w:rPr>
          <w:t>Выполнение задач проектов в области развития и прогресс в реализации проектов</w:t>
        </w:r>
        <w:r w:rsidR="00696C54">
          <w:rPr>
            <w:noProof/>
            <w:webHidden/>
          </w:rPr>
          <w:tab/>
        </w:r>
        <w:r w:rsidR="003853FE">
          <w:rPr>
            <w:noProof/>
            <w:webHidden/>
          </w:rPr>
          <w:t>32</w:t>
        </w:r>
      </w:hyperlink>
    </w:p>
    <w:p w:rsidR="00052F52" w:rsidRDefault="00150674">
      <w:pPr>
        <w:pStyle w:val="21"/>
        <w:rPr>
          <w:rFonts w:eastAsiaTheme="minorEastAsia"/>
          <w:noProof/>
        </w:rPr>
      </w:pPr>
      <w:hyperlink w:anchor="_Toc32494933" w:history="1">
        <w:r w:rsidR="0092611E">
          <w:rPr>
            <w:bCs/>
          </w:rPr>
          <w:t>Рост софинансирования в портфеле проектов</w:t>
        </w:r>
        <w:r w:rsidR="00696C54">
          <w:rPr>
            <w:noProof/>
            <w:webHidden/>
          </w:rPr>
          <w:tab/>
        </w:r>
        <w:r w:rsidR="003853FE">
          <w:rPr>
            <w:noProof/>
            <w:webHidden/>
          </w:rPr>
          <w:t>36</w:t>
        </w:r>
      </w:hyperlink>
    </w:p>
    <w:p w:rsidR="00052F52" w:rsidRDefault="00150674" w:rsidP="000C2800">
      <w:pPr>
        <w:pStyle w:val="11"/>
        <w:jc w:val="left"/>
        <w:rPr>
          <w:rFonts w:eastAsiaTheme="minorEastAsia"/>
          <w:noProof/>
        </w:rPr>
      </w:pPr>
      <w:hyperlink w:anchor="_Toc32494934" w:history="1">
        <w:r w:rsidR="00696C54">
          <w:rPr>
            <w:rStyle w:val="a6"/>
            <w:noProof/>
          </w:rPr>
          <w:t>IV.</w:t>
        </w:r>
        <w:r w:rsidR="00696C54">
          <w:rPr>
            <w:rFonts w:eastAsiaTheme="minorEastAsia"/>
            <w:noProof/>
          </w:rPr>
          <w:tab/>
        </w:r>
        <w:r w:rsidR="00877F83" w:rsidRPr="00D47B05">
          <w:t>Доклад о положении дел в достижени</w:t>
        </w:r>
        <w:r w:rsidR="00E571C7">
          <w:t>и</w:t>
        </w:r>
        <w:r w:rsidR="00877F83" w:rsidRPr="00D47B05">
          <w:t xml:space="preserve">я корпоративных результатов и </w:t>
        </w:r>
        <w:r w:rsidR="000C2800">
          <w:br/>
        </w:r>
        <w:r w:rsidR="00877F83" w:rsidRPr="00D47B05">
          <w:t>целевых задач ГЭФ-7</w:t>
        </w:r>
        <w:r w:rsidR="00696C54">
          <w:rPr>
            <w:noProof/>
            <w:webHidden/>
          </w:rPr>
          <w:tab/>
        </w:r>
        <w:r w:rsidR="003853FE">
          <w:rPr>
            <w:noProof/>
            <w:webHidden/>
          </w:rPr>
          <w:t>37</w:t>
        </w:r>
      </w:hyperlink>
    </w:p>
    <w:p w:rsidR="00052F52" w:rsidRDefault="00150674" w:rsidP="0025216A">
      <w:pPr>
        <w:pStyle w:val="11"/>
        <w:rPr>
          <w:rFonts w:eastAsiaTheme="minorEastAsia"/>
          <w:noProof/>
        </w:rPr>
      </w:pPr>
      <w:hyperlink w:anchor="_Toc32494935" w:history="1">
        <w:r w:rsidR="00696C54">
          <w:rPr>
            <w:rStyle w:val="a6"/>
            <w:noProof/>
          </w:rPr>
          <w:t>V.</w:t>
        </w:r>
        <w:r w:rsidR="00696C54">
          <w:rPr>
            <w:rFonts w:eastAsiaTheme="minorEastAsia"/>
            <w:noProof/>
          </w:rPr>
          <w:tab/>
        </w:r>
        <w:r w:rsidR="00877F83" w:rsidRPr="00D47B05">
          <w:t>Результаты Управления независимой оценки ГЭФ</w:t>
        </w:r>
        <w:r w:rsidR="00696C54">
          <w:rPr>
            <w:noProof/>
            <w:webHidden/>
          </w:rPr>
          <w:tab/>
        </w:r>
        <w:r w:rsidR="003853FE">
          <w:rPr>
            <w:noProof/>
            <w:webHidden/>
          </w:rPr>
          <w:t>40</w:t>
        </w:r>
      </w:hyperlink>
    </w:p>
    <w:p w:rsidR="00052F52" w:rsidRDefault="00150674" w:rsidP="00512FD5">
      <w:pPr>
        <w:pStyle w:val="31"/>
        <w:rPr>
          <w:rFonts w:eastAsiaTheme="minorEastAsia"/>
          <w:noProof/>
        </w:rPr>
      </w:pPr>
      <w:hyperlink w:anchor="_Toc32494936" w:history="1">
        <w:r w:rsidR="00877F83">
          <w:t>Оценка деятельности ГЭФ в поддержку учета проблематики биоразнообразия</w:t>
        </w:r>
        <w:r w:rsidR="00512FD5">
          <w:t>,</w:t>
        </w:r>
        <w:r w:rsidR="00776E86">
          <w:t xml:space="preserve"> </w:t>
        </w:r>
        <w:r w:rsidR="00877F83">
          <w:t>2018</w:t>
        </w:r>
        <w:r w:rsidR="00776E86">
          <w:t xml:space="preserve"> </w:t>
        </w:r>
        <w:r w:rsidR="00877F83">
          <w:t>г.</w:t>
        </w:r>
        <w:r w:rsidR="00696C54">
          <w:rPr>
            <w:noProof/>
            <w:webHidden/>
          </w:rPr>
          <w:tab/>
        </w:r>
        <w:r w:rsidR="003853FE">
          <w:rPr>
            <w:noProof/>
            <w:webHidden/>
          </w:rPr>
          <w:t>40</w:t>
        </w:r>
      </w:hyperlink>
    </w:p>
    <w:p w:rsidR="00052F52" w:rsidRDefault="00150674">
      <w:pPr>
        <w:pStyle w:val="21"/>
        <w:rPr>
          <w:rFonts w:eastAsiaTheme="minorEastAsia"/>
          <w:noProof/>
        </w:rPr>
      </w:pPr>
      <w:hyperlink w:anchor="_Toc32494937" w:history="1">
        <w:r w:rsidR="00877F83">
          <w:rPr>
            <w:bCs/>
          </w:rPr>
          <w:t>Оценка деятельности ГЭФ в поддержку фундаментальных преобразований</w:t>
        </w:r>
        <w:r w:rsidR="00696C54">
          <w:rPr>
            <w:noProof/>
            <w:webHidden/>
          </w:rPr>
          <w:tab/>
        </w:r>
        <w:r w:rsidR="00174E59">
          <w:rPr>
            <w:noProof/>
            <w:webHidden/>
          </w:rPr>
          <w:t>44</w:t>
        </w:r>
      </w:hyperlink>
    </w:p>
    <w:p w:rsidR="00052F52" w:rsidRDefault="00150674">
      <w:pPr>
        <w:pStyle w:val="21"/>
        <w:rPr>
          <w:rFonts w:eastAsiaTheme="minorEastAsia"/>
          <w:noProof/>
        </w:rPr>
      </w:pPr>
      <w:hyperlink w:anchor="_Toc32494938" w:history="1">
        <w:r w:rsidR="00877F83">
          <w:rPr>
            <w:bCs/>
          </w:rPr>
          <w:t>Оценка деятельности ГЭФ по расширению масштабов воздействия, 2019 год</w:t>
        </w:r>
        <w:r w:rsidR="00696C54">
          <w:rPr>
            <w:noProof/>
            <w:webHidden/>
          </w:rPr>
          <w:tab/>
        </w:r>
        <w:r w:rsidR="00174E59">
          <w:rPr>
            <w:noProof/>
            <w:webHidden/>
          </w:rPr>
          <w:t>45</w:t>
        </w:r>
      </w:hyperlink>
    </w:p>
    <w:p w:rsidR="007A3DA4" w:rsidRPr="00877F83" w:rsidRDefault="00150674" w:rsidP="00CB620B">
      <w:pPr>
        <w:spacing w:after="0" w:line="240" w:lineRule="auto"/>
        <w:rPr>
          <w:rFonts w:ascii="Calibri" w:eastAsia="MS Mincho" w:hAnsi="Calibri" w:cs="Angsana New"/>
          <w:sz w:val="24"/>
          <w:szCs w:val="24"/>
        </w:rPr>
      </w:pPr>
      <w:r>
        <w:rPr>
          <w:rFonts w:ascii="Calibri" w:eastAsia="MS Mincho" w:hAnsi="Calibri" w:cs="Angsana New"/>
          <w:sz w:val="24"/>
          <w:szCs w:val="24"/>
        </w:rPr>
        <w:lastRenderedPageBreak/>
        <w:fldChar w:fldCharType="end"/>
      </w:r>
    </w:p>
    <w:p w:rsidR="00EE6E9F" w:rsidRPr="00FB355B" w:rsidRDefault="00EE6E9F" w:rsidP="0092611E">
      <w:pPr>
        <w:pStyle w:val="1"/>
      </w:pPr>
      <w:bookmarkStart w:id="5" w:name="_Toc32494912"/>
      <w:r w:rsidRPr="003819C0">
        <w:t>Резюме</w:t>
      </w:r>
      <w:bookmarkEnd w:id="5"/>
      <w:r>
        <w:t xml:space="preserve"> </w:t>
      </w:r>
    </w:p>
    <w:p w:rsidR="004F1B93" w:rsidRPr="00FB4441" w:rsidRDefault="004F1B93" w:rsidP="00813501">
      <w:pPr>
        <w:pStyle w:val="a9"/>
        <w:numPr>
          <w:ilvl w:val="0"/>
          <w:numId w:val="23"/>
        </w:numPr>
        <w:spacing w:before="240" w:after="240" w:line="240" w:lineRule="auto"/>
        <w:ind w:left="0" w:firstLine="0"/>
        <w:contextualSpacing w:val="0"/>
        <w:rPr>
          <w:sz w:val="24"/>
          <w:szCs w:val="24"/>
        </w:rPr>
      </w:pPr>
      <w:r>
        <w:rPr>
          <w:sz w:val="24"/>
          <w:szCs w:val="24"/>
        </w:rPr>
        <w:t>Проект доклада для Конференции Сторон (КС) Конвенции о биологическом разнообразии (КБР) содержит информацию о деятельности Глобального экологического фонда (ГЭФ) в целевой области сохранения биоразнообразия, предпринятой в ответ на данные КС-14 руководящие указания ГЭФ в ноябре 2018 года.</w:t>
      </w:r>
      <w:r w:rsidR="00776E86">
        <w:rPr>
          <w:sz w:val="24"/>
          <w:szCs w:val="24"/>
        </w:rPr>
        <w:t xml:space="preserve"> </w:t>
      </w:r>
      <w:r>
        <w:rPr>
          <w:sz w:val="24"/>
          <w:szCs w:val="24"/>
        </w:rPr>
        <w:t>Проект доклада охватывает период с 1 июля 2018 года по 31 декабря 2019 года. Окончательный доклад, который будет представлен КС-15, охватит период с 1 июля 2018 года по 30 июня 2020 года, что соответствует первым двум года седьмого пополнения ГЭФ (ГЭФ-7) с 1 июля 2018 года по 30 июня 2022 года.</w:t>
      </w:r>
    </w:p>
    <w:p w:rsidR="009F6931" w:rsidRPr="00FB4441" w:rsidRDefault="009F6931" w:rsidP="006C0191">
      <w:pPr>
        <w:pStyle w:val="a9"/>
        <w:numPr>
          <w:ilvl w:val="0"/>
          <w:numId w:val="23"/>
        </w:numPr>
        <w:spacing w:before="240" w:after="240" w:line="240" w:lineRule="auto"/>
        <w:ind w:left="0" w:firstLine="0"/>
        <w:contextualSpacing w:val="0"/>
        <w:rPr>
          <w:sz w:val="24"/>
          <w:szCs w:val="24"/>
        </w:rPr>
      </w:pPr>
      <w:r>
        <w:rPr>
          <w:sz w:val="24"/>
          <w:szCs w:val="24"/>
        </w:rPr>
        <w:t>Стратегической целью в период ГЭФ-7 в области сохранения биоразнообразия является сохранение глобально значимого биоразнообразия наземных и морских ландшафтов. Для достижения этой цели ГЭФ инвестирует средства в страны, чтобы помочь им в выполнении трех задач, поставленных в декабре 2016 года КС-13 для ГЭФ, которые отражены в документе о программных приоритетах на четырехлетний период:</w:t>
      </w:r>
    </w:p>
    <w:p w:rsidR="009F6931" w:rsidRPr="00FB4441" w:rsidRDefault="009F6931" w:rsidP="00DD5378">
      <w:pPr>
        <w:numPr>
          <w:ilvl w:val="0"/>
          <w:numId w:val="8"/>
        </w:numPr>
        <w:spacing w:before="120" w:after="120" w:line="240" w:lineRule="auto"/>
        <w:ind w:left="1080"/>
        <w:rPr>
          <w:sz w:val="24"/>
          <w:szCs w:val="24"/>
        </w:rPr>
      </w:pPr>
      <w:r>
        <w:rPr>
          <w:sz w:val="24"/>
          <w:szCs w:val="24"/>
        </w:rPr>
        <w:t>учет вопросов сохранения биоразнообразия в работе секторов, а также в деятельности, связанной с наземными и морскими ландшафтами;</w:t>
      </w:r>
    </w:p>
    <w:p w:rsidR="009F6931" w:rsidRPr="00FB4441" w:rsidRDefault="009F6931" w:rsidP="00DD5378">
      <w:pPr>
        <w:numPr>
          <w:ilvl w:val="0"/>
          <w:numId w:val="8"/>
        </w:numPr>
        <w:spacing w:before="120" w:after="120" w:line="240" w:lineRule="auto"/>
        <w:ind w:left="1080"/>
        <w:rPr>
          <w:sz w:val="24"/>
          <w:szCs w:val="24"/>
        </w:rPr>
      </w:pPr>
      <w:r>
        <w:rPr>
          <w:sz w:val="24"/>
          <w:szCs w:val="24"/>
        </w:rPr>
        <w:t>устранение прямых факторов в целях сохранения мест обитания и видов; и</w:t>
      </w:r>
    </w:p>
    <w:p w:rsidR="009F6931" w:rsidRPr="00FB4441" w:rsidRDefault="009F6931" w:rsidP="00DD5378">
      <w:pPr>
        <w:numPr>
          <w:ilvl w:val="0"/>
          <w:numId w:val="8"/>
        </w:numPr>
        <w:spacing w:before="120" w:after="120" w:line="240" w:lineRule="auto"/>
        <w:ind w:left="1080"/>
        <w:rPr>
          <w:sz w:val="24"/>
          <w:szCs w:val="24"/>
        </w:rPr>
      </w:pPr>
      <w:r>
        <w:rPr>
          <w:sz w:val="24"/>
          <w:szCs w:val="24"/>
        </w:rPr>
        <w:t>дальнейшее развитие основ политики и организационных структур в области биоразнообразия.</w:t>
      </w:r>
    </w:p>
    <w:p w:rsidR="007F6562" w:rsidRPr="008F5A5A" w:rsidRDefault="007F6562" w:rsidP="006C0191">
      <w:pPr>
        <w:pStyle w:val="a9"/>
        <w:numPr>
          <w:ilvl w:val="0"/>
          <w:numId w:val="23"/>
        </w:numPr>
        <w:spacing w:before="240" w:after="240" w:line="240" w:lineRule="auto"/>
        <w:ind w:left="0" w:firstLine="0"/>
        <w:contextualSpacing w:val="0"/>
        <w:rPr>
          <w:sz w:val="24"/>
          <w:szCs w:val="24"/>
        </w:rPr>
      </w:pPr>
      <w:r w:rsidRPr="008F5A5A">
        <w:rPr>
          <w:sz w:val="24"/>
          <w:szCs w:val="24"/>
        </w:rPr>
        <w:t>Стратегия ГЭФ по сохранению биоразнообразия включает девять программных инвестиционных направлений, которые вносят непосредственный вклад в выполнение Стратегического плана в области сохранения и устойчивого использования биоразнообразия на 2010-2020 годы и в достижение Айтинских целевых задач в области биоразнообразия на основе принятия широкого спектра мер, направленных на устранение наиболее значимых факторов утраты биоразнообразия во всех наземных и морских ландшафтах.</w:t>
      </w:r>
    </w:p>
    <w:p w:rsidR="007856C0" w:rsidRPr="008F5A5A" w:rsidRDefault="006052D4" w:rsidP="006C0191">
      <w:pPr>
        <w:pStyle w:val="a9"/>
        <w:numPr>
          <w:ilvl w:val="0"/>
          <w:numId w:val="23"/>
        </w:numPr>
        <w:spacing w:before="240" w:after="240" w:line="240" w:lineRule="auto"/>
        <w:ind w:left="0" w:firstLine="0"/>
        <w:contextualSpacing w:val="0"/>
        <w:rPr>
          <w:sz w:val="24"/>
          <w:szCs w:val="24"/>
        </w:rPr>
      </w:pPr>
      <w:r w:rsidRPr="008F5A5A">
        <w:rPr>
          <w:sz w:val="24"/>
          <w:szCs w:val="24"/>
        </w:rPr>
        <w:t>Кроме того, варианты программирования включают инвестиции через программы широкого воздействия, способные обеспечить большую отдачу на единицу инвестиций путем поиска системного решения проблем, возникающих в более чем одном секторе. Они окажут существенный и взаимодополняющий эффект на выполнение задач, поставленных в документе о Программных приоритетах на четырехлетний период в ГЭФ-7, и на достижение соответствующих ожидаемых результатов, согласованных на совещании КС-13.</w:t>
      </w:r>
    </w:p>
    <w:p w:rsidR="009C4413" w:rsidRPr="00FB4441" w:rsidRDefault="009C4413" w:rsidP="006C0191">
      <w:pPr>
        <w:pStyle w:val="a9"/>
        <w:numPr>
          <w:ilvl w:val="0"/>
          <w:numId w:val="23"/>
        </w:numPr>
        <w:spacing w:before="240" w:after="240" w:line="240" w:lineRule="auto"/>
        <w:ind w:left="0" w:firstLine="0"/>
        <w:contextualSpacing w:val="0"/>
        <w:rPr>
          <w:sz w:val="24"/>
          <w:szCs w:val="24"/>
        </w:rPr>
      </w:pPr>
      <w:r>
        <w:rPr>
          <w:sz w:val="24"/>
          <w:szCs w:val="24"/>
        </w:rPr>
        <w:t>В период ГЭФ-7 на целевую область сохранения биоразнообразия выделено 1,292 млрд долл. США, из которых 1,031 млрд долл. предоставлен странам через Систему прозрачного распределения ресурсов (СПРР).</w:t>
      </w:r>
    </w:p>
    <w:p w:rsidR="007A2E3C" w:rsidRPr="00FB4441" w:rsidRDefault="007856C0" w:rsidP="006C0191">
      <w:pPr>
        <w:pStyle w:val="a9"/>
        <w:numPr>
          <w:ilvl w:val="0"/>
          <w:numId w:val="23"/>
        </w:numPr>
        <w:spacing w:before="240" w:after="240" w:line="240" w:lineRule="auto"/>
        <w:ind w:left="0" w:firstLine="0"/>
        <w:contextualSpacing w:val="0"/>
        <w:rPr>
          <w:sz w:val="24"/>
          <w:szCs w:val="24"/>
        </w:rPr>
      </w:pPr>
      <w:r>
        <w:rPr>
          <w:sz w:val="24"/>
          <w:szCs w:val="24"/>
        </w:rPr>
        <w:lastRenderedPageBreak/>
        <w:t>Общая сумма средств, запланированная на отчетный период в целевой области сохранения биоразнообразия, составила 638 млн долл. США или 49 процентов от всей суммы средств, выделенных на целевую область биоразнообразия в период ГЭФ-7. Из этой общей суммы 468 млн долл. (45 процентов), выделенных на биоразнообразие, запланировано освоить через СПРР.</w:t>
      </w:r>
    </w:p>
    <w:p w:rsidR="002C52D6" w:rsidRPr="00FB4441" w:rsidRDefault="007856C0" w:rsidP="006C0191">
      <w:pPr>
        <w:pStyle w:val="a9"/>
        <w:numPr>
          <w:ilvl w:val="0"/>
          <w:numId w:val="23"/>
        </w:numPr>
        <w:spacing w:before="240" w:after="240" w:line="240" w:lineRule="auto"/>
        <w:ind w:left="0" w:firstLine="0"/>
        <w:contextualSpacing w:val="0"/>
        <w:rPr>
          <w:sz w:val="24"/>
          <w:szCs w:val="24"/>
        </w:rPr>
      </w:pPr>
      <w:r>
        <w:rPr>
          <w:sz w:val="24"/>
          <w:szCs w:val="24"/>
        </w:rPr>
        <w:t>Эти ресурсы направлены на финансирование 38 проектов в целевой области сохранения биоразнообразия и 99 проектов многоцелевой направленности.</w:t>
      </w:r>
      <w:r w:rsidR="00776E86">
        <w:rPr>
          <w:sz w:val="24"/>
          <w:szCs w:val="24"/>
        </w:rPr>
        <w:t xml:space="preserve"> </w:t>
      </w:r>
      <w:r>
        <w:rPr>
          <w:sz w:val="24"/>
          <w:szCs w:val="24"/>
        </w:rPr>
        <w:t>Из этого числа 75 проектов проводились в рамках шести программных направлений, включая программы широкого воздействия.</w:t>
      </w:r>
      <w:r w:rsidR="00776E86">
        <w:rPr>
          <w:sz w:val="24"/>
          <w:szCs w:val="24"/>
        </w:rPr>
        <w:t xml:space="preserve"> </w:t>
      </w:r>
      <w:r>
        <w:rPr>
          <w:sz w:val="24"/>
          <w:szCs w:val="24"/>
        </w:rPr>
        <w:t xml:space="preserve">За счет этих инвестиций помощь получили 83 страны. </w:t>
      </w:r>
      <w:r w:rsidR="00DC15B6">
        <w:rPr>
          <w:sz w:val="24"/>
          <w:szCs w:val="24"/>
        </w:rPr>
        <w:t>П</w:t>
      </w:r>
      <w:r>
        <w:rPr>
          <w:sz w:val="24"/>
          <w:szCs w:val="24"/>
        </w:rPr>
        <w:t>оказатели включают оплату услуг учреждений и гранты на подготовку проектов (</w:t>
      </w:r>
      <w:proofErr w:type="spellStart"/>
      <w:r>
        <w:rPr>
          <w:sz w:val="24"/>
          <w:szCs w:val="24"/>
        </w:rPr>
        <w:t>ГПП</w:t>
      </w:r>
      <w:proofErr w:type="spellEnd"/>
      <w:r>
        <w:rPr>
          <w:sz w:val="24"/>
          <w:szCs w:val="24"/>
        </w:rPr>
        <w:t>).</w:t>
      </w:r>
    </w:p>
    <w:p w:rsidR="00446719" w:rsidRPr="00446719" w:rsidRDefault="00446719" w:rsidP="006C0191">
      <w:pPr>
        <w:pStyle w:val="a9"/>
        <w:numPr>
          <w:ilvl w:val="0"/>
          <w:numId w:val="23"/>
        </w:numPr>
        <w:spacing w:before="240" w:after="240" w:line="240" w:lineRule="auto"/>
        <w:ind w:left="0" w:firstLine="0"/>
        <w:contextualSpacing w:val="0"/>
        <w:rPr>
          <w:sz w:val="24"/>
          <w:szCs w:val="24"/>
        </w:rPr>
      </w:pPr>
      <w:r>
        <w:rPr>
          <w:sz w:val="24"/>
          <w:szCs w:val="24"/>
        </w:rPr>
        <w:t>Общая стоимость инвестиций за счет всех ресурсов ГЭФ, направленных на достижение Айтинских целевых задач в области биоразнообразия по всем программным направлениям в период ГЭФ-7 (стратегия целевой области сохранения биоразнообразия, программы широкого воздействия в ГЭФ-7, целевая область международных вод, Фонд наименее развитых стран для адаптации к изменени</w:t>
      </w:r>
      <w:r w:rsidR="00DC15B6">
        <w:rPr>
          <w:sz w:val="24"/>
          <w:szCs w:val="24"/>
        </w:rPr>
        <w:t>ю климата, н</w:t>
      </w:r>
      <w:r>
        <w:rPr>
          <w:sz w:val="24"/>
          <w:szCs w:val="24"/>
        </w:rPr>
        <w:t>есвя</w:t>
      </w:r>
      <w:r w:rsidR="00DC15B6">
        <w:rPr>
          <w:sz w:val="24"/>
          <w:szCs w:val="24"/>
        </w:rPr>
        <w:t>занный с грантами инструмент и п</w:t>
      </w:r>
      <w:r>
        <w:rPr>
          <w:sz w:val="24"/>
          <w:szCs w:val="24"/>
        </w:rPr>
        <w:t>рограмма малых грантов), в первые 18 месяцев ГЭФ-7 составила 1,056 млрд долл. США, которые привлекли софинансирование на 8,955 млрд долл., в результате чего общая сумма инвестирования достигла 10,01 млрд долл. США.</w:t>
      </w:r>
    </w:p>
    <w:p w:rsidR="004D7136" w:rsidRPr="003819C0" w:rsidRDefault="004D7136" w:rsidP="006C0191">
      <w:pPr>
        <w:pStyle w:val="a9"/>
        <w:numPr>
          <w:ilvl w:val="0"/>
          <w:numId w:val="23"/>
        </w:numPr>
        <w:spacing w:before="240" w:after="240" w:line="240" w:lineRule="auto"/>
        <w:ind w:left="0" w:firstLine="0"/>
        <w:contextualSpacing w:val="0"/>
        <w:rPr>
          <w:sz w:val="24"/>
          <w:szCs w:val="24"/>
        </w:rPr>
      </w:pPr>
      <w:r>
        <w:rPr>
          <w:sz w:val="24"/>
          <w:szCs w:val="24"/>
        </w:rPr>
        <w:t>В ходе совещания КС-14 Стороны дали ГЭФ руководящие указания по целому ряду тем</w:t>
      </w:r>
      <w:r w:rsidR="003819C0">
        <w:rPr>
          <w:rStyle w:val="a5"/>
          <w:sz w:val="24"/>
          <w:szCs w:val="24"/>
        </w:rPr>
        <w:footnoteReference w:id="3"/>
      </w:r>
      <w:r>
        <w:rPr>
          <w:sz w:val="24"/>
          <w:szCs w:val="24"/>
        </w:rPr>
        <w:t>.</w:t>
      </w:r>
      <w:r w:rsidR="003819C0">
        <w:rPr>
          <w:sz w:val="24"/>
          <w:szCs w:val="24"/>
        </w:rPr>
        <w:t xml:space="preserve"> </w:t>
      </w:r>
      <w:r>
        <w:rPr>
          <w:sz w:val="24"/>
          <w:szCs w:val="24"/>
        </w:rPr>
        <w:t>В должном порядке были учтены конкретные указания по оперативной деятельности ГЭФ и определенным тематическим направлениям в области биоразнообразия. В докладе представлен текущий отчет об ответных мерах ГЭФ.</w:t>
      </w:r>
    </w:p>
    <w:p w:rsidR="00A4025E" w:rsidRPr="00FB4441" w:rsidRDefault="00A4025E" w:rsidP="006C0191">
      <w:pPr>
        <w:pStyle w:val="a9"/>
        <w:numPr>
          <w:ilvl w:val="0"/>
          <w:numId w:val="23"/>
        </w:numPr>
        <w:spacing w:before="240" w:after="240" w:line="240" w:lineRule="auto"/>
        <w:ind w:left="0" w:firstLine="0"/>
        <w:contextualSpacing w:val="0"/>
        <w:rPr>
          <w:sz w:val="24"/>
          <w:szCs w:val="24"/>
        </w:rPr>
      </w:pPr>
      <w:r>
        <w:rPr>
          <w:sz w:val="24"/>
          <w:szCs w:val="24"/>
        </w:rPr>
        <w:t>Восемьдесят четыре процента проектов из группы проектов по биоразнообразию, реализуемых в настоящий отчетный период, получили удовлетворительную оценку за прогресс в осуществлении проектов и их задач в области развития.</w:t>
      </w:r>
      <w:r w:rsidR="00776E86">
        <w:rPr>
          <w:sz w:val="24"/>
          <w:szCs w:val="24"/>
        </w:rPr>
        <w:t xml:space="preserve"> </w:t>
      </w:r>
      <w:r>
        <w:rPr>
          <w:sz w:val="24"/>
          <w:szCs w:val="24"/>
        </w:rPr>
        <w:t>Кроме того, 84 процента проектов многоцелевой направленности получили удовлетворительную оценку за достигнуты</w:t>
      </w:r>
      <w:r w:rsidR="00DC15B6">
        <w:rPr>
          <w:sz w:val="24"/>
          <w:szCs w:val="24"/>
        </w:rPr>
        <w:t>й</w:t>
      </w:r>
      <w:r>
        <w:rPr>
          <w:sz w:val="24"/>
          <w:szCs w:val="24"/>
        </w:rPr>
        <w:t xml:space="preserve"> прогресс в осуществлении и 90 процентов проектов были удовлетворительно оценены за достижение целей проектов в области развития.</w:t>
      </w:r>
    </w:p>
    <w:p w:rsidR="006A0983" w:rsidRPr="00FB4441" w:rsidRDefault="008D1A97" w:rsidP="006C0191">
      <w:pPr>
        <w:pStyle w:val="a9"/>
        <w:numPr>
          <w:ilvl w:val="0"/>
          <w:numId w:val="23"/>
        </w:numPr>
        <w:spacing w:before="240" w:after="240" w:line="240" w:lineRule="auto"/>
        <w:ind w:left="0" w:firstLine="0"/>
        <w:contextualSpacing w:val="0"/>
        <w:rPr>
          <w:sz w:val="24"/>
          <w:szCs w:val="24"/>
        </w:rPr>
      </w:pPr>
      <w:r>
        <w:rPr>
          <w:sz w:val="24"/>
          <w:szCs w:val="24"/>
        </w:rPr>
        <w:t>В рамках соглашения о пополнении ГЭФ-7 был согласован ряд корпоративных целевых задач</w:t>
      </w:r>
      <w:r w:rsidR="00ED2E30">
        <w:rPr>
          <w:sz w:val="24"/>
          <w:szCs w:val="24"/>
          <w:vertAlign w:val="superscript"/>
        </w:rPr>
        <w:footnoteReference w:id="4"/>
      </w:r>
      <w:r>
        <w:rPr>
          <w:sz w:val="24"/>
          <w:szCs w:val="24"/>
        </w:rPr>
        <w:t>. В доклад включены совокупные целевые задачи, представленные в утвержденных Советом ГЭФ концепциях за период с 1 июля 2018 года по 31 декабря 2019 года, которые имеют значение для КБР и Стратегического плана в области сохранения и устойчивого использования биоразнообразия на 2010-2020 годы. Совокупные целевые показатели отражают основные ожидаемые результаты проектов.</w:t>
      </w:r>
      <w:r w:rsidR="00776E86">
        <w:rPr>
          <w:sz w:val="24"/>
          <w:szCs w:val="24"/>
        </w:rPr>
        <w:t xml:space="preserve"> </w:t>
      </w:r>
      <w:r w:rsidR="00DC15B6">
        <w:rPr>
          <w:sz w:val="24"/>
          <w:szCs w:val="24"/>
        </w:rPr>
        <w:t>Результаты достижения</w:t>
      </w:r>
      <w:r>
        <w:rPr>
          <w:sz w:val="24"/>
          <w:szCs w:val="24"/>
        </w:rPr>
        <w:t xml:space="preserve"> ключевых показателей</w:t>
      </w:r>
      <w:r w:rsidR="00DC15B6">
        <w:rPr>
          <w:sz w:val="24"/>
          <w:szCs w:val="24"/>
        </w:rPr>
        <w:t>, значимых</w:t>
      </w:r>
      <w:r>
        <w:rPr>
          <w:sz w:val="24"/>
          <w:szCs w:val="24"/>
        </w:rPr>
        <w:t xml:space="preserve"> для КБР</w:t>
      </w:r>
      <w:r w:rsidR="00DC15B6">
        <w:rPr>
          <w:sz w:val="24"/>
          <w:szCs w:val="24"/>
        </w:rPr>
        <w:t>,</w:t>
      </w:r>
      <w:r>
        <w:rPr>
          <w:sz w:val="24"/>
          <w:szCs w:val="24"/>
        </w:rPr>
        <w:t xml:space="preserve"> обобщены в нижеприведенной таблице.</w:t>
      </w:r>
    </w:p>
    <w:p w:rsidR="005341E9" w:rsidRPr="00644CCA" w:rsidRDefault="009629C0" w:rsidP="00CB6102">
      <w:pPr>
        <w:spacing w:before="240" w:after="240" w:line="240" w:lineRule="auto"/>
        <w:jc w:val="center"/>
        <w:rPr>
          <w:b/>
          <w:sz w:val="24"/>
          <w:szCs w:val="24"/>
        </w:rPr>
      </w:pPr>
      <w:r>
        <w:rPr>
          <w:b/>
          <w:bCs/>
          <w:sz w:val="24"/>
          <w:szCs w:val="24"/>
        </w:rPr>
        <w:lastRenderedPageBreak/>
        <w:t>Прогресс в достижении ключевых показателей по основным индикаторам, имеющим значение для КБР, в период ГЭФ-7</w:t>
      </w:r>
      <w:r w:rsidR="00ED2E30">
        <w:rPr>
          <w:rStyle w:val="a5"/>
          <w:b/>
          <w:sz w:val="24"/>
          <w:szCs w:val="24"/>
        </w:rPr>
        <w:footnoteReference w:id="5"/>
      </w:r>
    </w:p>
    <w:tbl>
      <w:tblPr>
        <w:tblStyle w:val="aa"/>
        <w:tblW w:w="0" w:type="auto"/>
        <w:tblLook w:val="04A0"/>
      </w:tblPr>
      <w:tblGrid>
        <w:gridCol w:w="5596"/>
        <w:gridCol w:w="2034"/>
        <w:gridCol w:w="1946"/>
      </w:tblGrid>
      <w:tr w:rsidR="005341E9" w:rsidTr="00D56C20">
        <w:trPr>
          <w:trHeight w:val="1070"/>
          <w:tblHeader/>
        </w:trPr>
        <w:tc>
          <w:tcPr>
            <w:tcW w:w="0" w:type="auto"/>
          </w:tcPr>
          <w:p w:rsidR="005341E9" w:rsidRPr="00D56C20" w:rsidRDefault="005341E9" w:rsidP="006F6973">
            <w:pPr>
              <w:rPr>
                <w:b/>
                <w:sz w:val="24"/>
                <w:szCs w:val="24"/>
              </w:rPr>
            </w:pPr>
            <w:r>
              <w:rPr>
                <w:b/>
                <w:bCs/>
                <w:sz w:val="24"/>
                <w:szCs w:val="24"/>
              </w:rPr>
              <w:t>Показатель основного индикатора</w:t>
            </w:r>
          </w:p>
        </w:tc>
        <w:tc>
          <w:tcPr>
            <w:tcW w:w="0" w:type="auto"/>
          </w:tcPr>
          <w:p w:rsidR="005341E9" w:rsidRPr="00D56C20" w:rsidRDefault="00D13DE4" w:rsidP="006F6973">
            <w:pPr>
              <w:rPr>
                <w:b/>
                <w:sz w:val="24"/>
                <w:szCs w:val="24"/>
              </w:rPr>
            </w:pPr>
            <w:r>
              <w:rPr>
                <w:b/>
                <w:bCs/>
                <w:sz w:val="24"/>
                <w:szCs w:val="24"/>
              </w:rPr>
              <w:t>Достижение показателя (количество)</w:t>
            </w:r>
          </w:p>
        </w:tc>
        <w:tc>
          <w:tcPr>
            <w:tcW w:w="0" w:type="auto"/>
          </w:tcPr>
          <w:p w:rsidR="005341E9" w:rsidRPr="00D56C20" w:rsidRDefault="00D13DE4" w:rsidP="006F6973">
            <w:pPr>
              <w:rPr>
                <w:b/>
                <w:sz w:val="24"/>
                <w:szCs w:val="24"/>
              </w:rPr>
            </w:pPr>
            <w:r>
              <w:rPr>
                <w:b/>
                <w:bCs/>
                <w:sz w:val="24"/>
                <w:szCs w:val="24"/>
              </w:rPr>
              <w:t>Достижение показателя (процент)</w:t>
            </w:r>
          </w:p>
        </w:tc>
      </w:tr>
      <w:tr w:rsidR="00D13DE4" w:rsidTr="00E2525C">
        <w:tc>
          <w:tcPr>
            <w:tcW w:w="0" w:type="auto"/>
          </w:tcPr>
          <w:p w:rsidR="00D13DE4" w:rsidRPr="00FB4441" w:rsidRDefault="00EA6FB7" w:rsidP="006F6973">
            <w:pPr>
              <w:rPr>
                <w:sz w:val="24"/>
                <w:szCs w:val="24"/>
              </w:rPr>
            </w:pPr>
            <w:r>
              <w:rPr>
                <w:sz w:val="24"/>
                <w:szCs w:val="24"/>
              </w:rPr>
              <w:t>Показатель основного индикатора 1: Создание наземных охраняемых районов или улучшение методов их управления на территории в 200 млн гектаров в целях сохранения и устойчивого использования</w:t>
            </w:r>
          </w:p>
        </w:tc>
        <w:tc>
          <w:tcPr>
            <w:tcW w:w="0" w:type="auto"/>
          </w:tcPr>
          <w:p w:rsidR="00D13DE4" w:rsidRDefault="002537ED" w:rsidP="006F6973">
            <w:pPr>
              <w:rPr>
                <w:sz w:val="24"/>
                <w:szCs w:val="24"/>
              </w:rPr>
            </w:pPr>
            <w:r>
              <w:rPr>
                <w:sz w:val="24"/>
                <w:szCs w:val="24"/>
              </w:rPr>
              <w:t>78,6 млн га</w:t>
            </w:r>
          </w:p>
        </w:tc>
        <w:tc>
          <w:tcPr>
            <w:tcW w:w="0" w:type="auto"/>
          </w:tcPr>
          <w:p w:rsidR="00D13DE4" w:rsidRDefault="00117B63" w:rsidP="006F6973">
            <w:pPr>
              <w:rPr>
                <w:sz w:val="24"/>
                <w:szCs w:val="24"/>
              </w:rPr>
            </w:pPr>
            <w:r>
              <w:rPr>
                <w:sz w:val="24"/>
                <w:szCs w:val="24"/>
              </w:rPr>
              <w:t>39,3</w:t>
            </w:r>
          </w:p>
        </w:tc>
      </w:tr>
      <w:tr w:rsidR="00EA6FB7" w:rsidTr="00E2525C">
        <w:tc>
          <w:tcPr>
            <w:tcW w:w="0" w:type="auto"/>
          </w:tcPr>
          <w:p w:rsidR="00EA6FB7" w:rsidRPr="00FB4441" w:rsidRDefault="00117B63" w:rsidP="006F6973">
            <w:pPr>
              <w:rPr>
                <w:sz w:val="24"/>
                <w:szCs w:val="24"/>
              </w:rPr>
            </w:pPr>
            <w:r>
              <w:rPr>
                <w:sz w:val="24"/>
                <w:szCs w:val="24"/>
              </w:rPr>
              <w:t>Показатель основного индикатора 2: Создание морских охраняемых районов или улучшение методов их управления на территории в 8 млн гектаров в целях сохранения и устойчивого использования</w:t>
            </w:r>
          </w:p>
        </w:tc>
        <w:tc>
          <w:tcPr>
            <w:tcW w:w="0" w:type="auto"/>
          </w:tcPr>
          <w:p w:rsidR="00EA6FB7" w:rsidRDefault="00B113B0" w:rsidP="006F6973">
            <w:pPr>
              <w:rPr>
                <w:sz w:val="24"/>
                <w:szCs w:val="24"/>
              </w:rPr>
            </w:pPr>
            <w:r>
              <w:rPr>
                <w:sz w:val="24"/>
                <w:szCs w:val="24"/>
              </w:rPr>
              <w:t>&gt;8 млн га</w:t>
            </w:r>
          </w:p>
        </w:tc>
        <w:tc>
          <w:tcPr>
            <w:tcW w:w="0" w:type="auto"/>
          </w:tcPr>
          <w:p w:rsidR="00EA6FB7" w:rsidRDefault="00B113B0" w:rsidP="006F6973">
            <w:pPr>
              <w:rPr>
                <w:sz w:val="24"/>
                <w:szCs w:val="24"/>
              </w:rPr>
            </w:pPr>
            <w:r>
              <w:rPr>
                <w:sz w:val="24"/>
                <w:szCs w:val="24"/>
              </w:rPr>
              <w:t>&gt;100</w:t>
            </w:r>
          </w:p>
        </w:tc>
      </w:tr>
      <w:tr w:rsidR="00EA6FB7" w:rsidTr="00E2525C">
        <w:tc>
          <w:tcPr>
            <w:tcW w:w="0" w:type="auto"/>
          </w:tcPr>
          <w:p w:rsidR="00EA6FB7" w:rsidRPr="00FB4441" w:rsidRDefault="00117B63" w:rsidP="007E083D">
            <w:pPr>
              <w:rPr>
                <w:sz w:val="24"/>
                <w:szCs w:val="24"/>
              </w:rPr>
            </w:pPr>
            <w:r>
              <w:rPr>
                <w:sz w:val="24"/>
                <w:szCs w:val="24"/>
              </w:rPr>
              <w:t>Показатель основного индикатора 3: Восстановлен</w:t>
            </w:r>
            <w:r w:rsidR="007E083D">
              <w:rPr>
                <w:sz w:val="24"/>
                <w:szCs w:val="24"/>
              </w:rPr>
              <w:t>ие</w:t>
            </w:r>
            <w:r>
              <w:rPr>
                <w:sz w:val="24"/>
                <w:szCs w:val="24"/>
              </w:rPr>
              <w:t xml:space="preserve"> 6 млн га суши</w:t>
            </w:r>
          </w:p>
        </w:tc>
        <w:tc>
          <w:tcPr>
            <w:tcW w:w="0" w:type="auto"/>
          </w:tcPr>
          <w:p w:rsidR="00EA6FB7" w:rsidRDefault="00B113B0" w:rsidP="006F6973">
            <w:pPr>
              <w:rPr>
                <w:sz w:val="24"/>
                <w:szCs w:val="24"/>
              </w:rPr>
            </w:pPr>
            <w:r>
              <w:rPr>
                <w:sz w:val="24"/>
                <w:szCs w:val="24"/>
              </w:rPr>
              <w:t>5,7 млн га</w:t>
            </w:r>
          </w:p>
        </w:tc>
        <w:tc>
          <w:tcPr>
            <w:tcW w:w="0" w:type="auto"/>
          </w:tcPr>
          <w:p w:rsidR="00EA6FB7" w:rsidRDefault="001D0D41" w:rsidP="006F6973">
            <w:pPr>
              <w:rPr>
                <w:sz w:val="24"/>
                <w:szCs w:val="24"/>
              </w:rPr>
            </w:pPr>
            <w:r>
              <w:rPr>
                <w:sz w:val="24"/>
                <w:szCs w:val="24"/>
              </w:rPr>
              <w:t>94,5</w:t>
            </w:r>
          </w:p>
        </w:tc>
      </w:tr>
      <w:tr w:rsidR="00EA6FB7" w:rsidTr="00E2525C">
        <w:tc>
          <w:tcPr>
            <w:tcW w:w="0" w:type="auto"/>
          </w:tcPr>
          <w:p w:rsidR="00EA6FB7" w:rsidRPr="00FB4441" w:rsidRDefault="001D0D41" w:rsidP="007E083D">
            <w:pPr>
              <w:rPr>
                <w:sz w:val="24"/>
                <w:szCs w:val="24"/>
              </w:rPr>
            </w:pPr>
            <w:r>
              <w:rPr>
                <w:sz w:val="24"/>
                <w:szCs w:val="24"/>
              </w:rPr>
              <w:t>Показатель основного индикатора 4: Улучшен</w:t>
            </w:r>
            <w:r w:rsidR="007E083D">
              <w:rPr>
                <w:sz w:val="24"/>
                <w:szCs w:val="24"/>
              </w:rPr>
              <w:t>ие</w:t>
            </w:r>
            <w:r>
              <w:rPr>
                <w:sz w:val="24"/>
                <w:szCs w:val="24"/>
              </w:rPr>
              <w:t xml:space="preserve"> практик</w:t>
            </w:r>
            <w:r w:rsidR="007E083D">
              <w:rPr>
                <w:sz w:val="24"/>
                <w:szCs w:val="24"/>
              </w:rPr>
              <w:t>и</w:t>
            </w:r>
            <w:r>
              <w:rPr>
                <w:sz w:val="24"/>
                <w:szCs w:val="24"/>
              </w:rPr>
              <w:t xml:space="preserve"> эксплуатации ландшафтов на территории в 320 млн га, исключая охраняемые районы</w:t>
            </w:r>
          </w:p>
        </w:tc>
        <w:tc>
          <w:tcPr>
            <w:tcW w:w="0" w:type="auto"/>
          </w:tcPr>
          <w:p w:rsidR="00EA6FB7" w:rsidRDefault="00C737AB" w:rsidP="006F6973">
            <w:pPr>
              <w:rPr>
                <w:sz w:val="24"/>
                <w:szCs w:val="24"/>
              </w:rPr>
            </w:pPr>
            <w:r>
              <w:rPr>
                <w:sz w:val="24"/>
                <w:szCs w:val="24"/>
              </w:rPr>
              <w:t>97,5 млн га</w:t>
            </w:r>
          </w:p>
        </w:tc>
        <w:tc>
          <w:tcPr>
            <w:tcW w:w="0" w:type="auto"/>
          </w:tcPr>
          <w:p w:rsidR="00EA6FB7" w:rsidRDefault="001D0D41" w:rsidP="006F6973">
            <w:pPr>
              <w:rPr>
                <w:sz w:val="24"/>
                <w:szCs w:val="24"/>
              </w:rPr>
            </w:pPr>
            <w:r>
              <w:rPr>
                <w:sz w:val="24"/>
                <w:szCs w:val="24"/>
              </w:rPr>
              <w:t>30,5</w:t>
            </w:r>
          </w:p>
        </w:tc>
      </w:tr>
      <w:tr w:rsidR="00EA6FB7" w:rsidTr="00E2525C">
        <w:tc>
          <w:tcPr>
            <w:tcW w:w="0" w:type="auto"/>
          </w:tcPr>
          <w:p w:rsidR="00EA6FB7" w:rsidRPr="00FB4441" w:rsidRDefault="00CB2DC2" w:rsidP="007E083D">
            <w:pPr>
              <w:rPr>
                <w:sz w:val="24"/>
                <w:szCs w:val="24"/>
              </w:rPr>
            </w:pPr>
            <w:r>
              <w:rPr>
                <w:sz w:val="24"/>
                <w:szCs w:val="24"/>
              </w:rPr>
              <w:t>Показатель основного индикатора 5: Улучшен</w:t>
            </w:r>
            <w:r w:rsidR="007E083D">
              <w:rPr>
                <w:sz w:val="24"/>
                <w:szCs w:val="24"/>
              </w:rPr>
              <w:t>ие</w:t>
            </w:r>
            <w:r>
              <w:rPr>
                <w:sz w:val="24"/>
                <w:szCs w:val="24"/>
              </w:rPr>
              <w:t xml:space="preserve"> практик</w:t>
            </w:r>
            <w:r w:rsidR="007E083D">
              <w:rPr>
                <w:sz w:val="24"/>
                <w:szCs w:val="24"/>
              </w:rPr>
              <w:t>и</w:t>
            </w:r>
            <w:r>
              <w:rPr>
                <w:sz w:val="24"/>
                <w:szCs w:val="24"/>
              </w:rPr>
              <w:t xml:space="preserve"> эксплуатации морской среды обитания в интересах сохранения биоразнообразия на территории в 28 млн га, исключая охраняемые районы</w:t>
            </w:r>
          </w:p>
        </w:tc>
        <w:tc>
          <w:tcPr>
            <w:tcW w:w="0" w:type="auto"/>
          </w:tcPr>
          <w:p w:rsidR="00EA6FB7" w:rsidRDefault="0000301F" w:rsidP="006F6973">
            <w:pPr>
              <w:rPr>
                <w:sz w:val="24"/>
                <w:szCs w:val="24"/>
              </w:rPr>
            </w:pPr>
            <w:r>
              <w:rPr>
                <w:sz w:val="24"/>
                <w:szCs w:val="24"/>
              </w:rPr>
              <w:t>5,5 млн га</w:t>
            </w:r>
          </w:p>
        </w:tc>
        <w:tc>
          <w:tcPr>
            <w:tcW w:w="0" w:type="auto"/>
          </w:tcPr>
          <w:p w:rsidR="00EA6FB7" w:rsidRDefault="00CB2DC2" w:rsidP="006F6973">
            <w:pPr>
              <w:rPr>
                <w:sz w:val="24"/>
                <w:szCs w:val="24"/>
              </w:rPr>
            </w:pPr>
            <w:r>
              <w:rPr>
                <w:sz w:val="24"/>
                <w:szCs w:val="24"/>
              </w:rPr>
              <w:t>19,6</w:t>
            </w:r>
          </w:p>
        </w:tc>
      </w:tr>
      <w:tr w:rsidR="00EA6FB7" w:rsidTr="00E2525C">
        <w:tc>
          <w:tcPr>
            <w:tcW w:w="0" w:type="auto"/>
          </w:tcPr>
          <w:p w:rsidR="00EA6FB7" w:rsidRPr="00FB4441" w:rsidRDefault="00CB2DC2" w:rsidP="006F6973">
            <w:pPr>
              <w:rPr>
                <w:sz w:val="24"/>
                <w:szCs w:val="24"/>
              </w:rPr>
            </w:pPr>
            <w:r>
              <w:rPr>
                <w:sz w:val="24"/>
                <w:szCs w:val="24"/>
              </w:rPr>
              <w:t>Показатель основного индикатора 7:</w:t>
            </w:r>
            <w:r w:rsidR="00776E86">
              <w:rPr>
                <w:sz w:val="24"/>
                <w:szCs w:val="24"/>
              </w:rPr>
              <w:t xml:space="preserve"> </w:t>
            </w:r>
            <w:r>
              <w:rPr>
                <w:sz w:val="24"/>
                <w:szCs w:val="24"/>
              </w:rPr>
              <w:t>Внедрение новой или улучшенной практики совместного управления в 32 общих водных экосистемах (пресноводных или морских)</w:t>
            </w:r>
          </w:p>
        </w:tc>
        <w:tc>
          <w:tcPr>
            <w:tcW w:w="0" w:type="auto"/>
          </w:tcPr>
          <w:p w:rsidR="00EA6FB7" w:rsidRDefault="0000301F" w:rsidP="006F6973">
            <w:pPr>
              <w:rPr>
                <w:sz w:val="24"/>
                <w:szCs w:val="24"/>
              </w:rPr>
            </w:pPr>
            <w:r>
              <w:rPr>
                <w:sz w:val="24"/>
                <w:szCs w:val="24"/>
              </w:rPr>
              <w:t>14 общих водных экосистем</w:t>
            </w:r>
          </w:p>
        </w:tc>
        <w:tc>
          <w:tcPr>
            <w:tcW w:w="0" w:type="auto"/>
          </w:tcPr>
          <w:p w:rsidR="00EA6FB7" w:rsidRDefault="00CB2DC2" w:rsidP="006F6973">
            <w:pPr>
              <w:rPr>
                <w:sz w:val="24"/>
                <w:szCs w:val="24"/>
              </w:rPr>
            </w:pPr>
            <w:r>
              <w:rPr>
                <w:sz w:val="24"/>
                <w:szCs w:val="24"/>
              </w:rPr>
              <w:t>43,8</w:t>
            </w:r>
          </w:p>
        </w:tc>
      </w:tr>
      <w:tr w:rsidR="00D13DE4" w:rsidTr="00E2525C">
        <w:tc>
          <w:tcPr>
            <w:tcW w:w="0" w:type="auto"/>
          </w:tcPr>
          <w:p w:rsidR="00D13DE4" w:rsidRPr="00FB4441" w:rsidRDefault="00CB2DC2" w:rsidP="007E083D">
            <w:pPr>
              <w:rPr>
                <w:sz w:val="24"/>
                <w:szCs w:val="24"/>
              </w:rPr>
            </w:pPr>
            <w:r>
              <w:rPr>
                <w:sz w:val="24"/>
                <w:szCs w:val="24"/>
              </w:rPr>
              <w:t>Показатель основного индикатора 8: Повышен</w:t>
            </w:r>
            <w:r w:rsidR="007E083D">
              <w:rPr>
                <w:sz w:val="24"/>
                <w:szCs w:val="24"/>
              </w:rPr>
              <w:t>ие уровня</w:t>
            </w:r>
            <w:r>
              <w:rPr>
                <w:sz w:val="24"/>
                <w:szCs w:val="24"/>
              </w:rPr>
              <w:t xml:space="preserve"> устойчивости рыбного промысла в глобальных зонах рыболовства с чрезмерной эксплуатацией общим объемом в 3 500 000 метрических тонн</w:t>
            </w:r>
          </w:p>
        </w:tc>
        <w:tc>
          <w:tcPr>
            <w:tcW w:w="0" w:type="auto"/>
          </w:tcPr>
          <w:p w:rsidR="00D13DE4" w:rsidRDefault="00EB2F82" w:rsidP="006F6973">
            <w:pPr>
              <w:rPr>
                <w:sz w:val="24"/>
                <w:szCs w:val="24"/>
              </w:rPr>
            </w:pPr>
            <w:r>
              <w:rPr>
                <w:sz w:val="24"/>
                <w:szCs w:val="24"/>
              </w:rPr>
              <w:t>127 000 метрических тонн</w:t>
            </w:r>
          </w:p>
        </w:tc>
        <w:tc>
          <w:tcPr>
            <w:tcW w:w="0" w:type="auto"/>
          </w:tcPr>
          <w:p w:rsidR="00D13DE4" w:rsidRDefault="00CB2DC2" w:rsidP="006F6973">
            <w:pPr>
              <w:rPr>
                <w:sz w:val="24"/>
                <w:szCs w:val="24"/>
              </w:rPr>
            </w:pPr>
            <w:r>
              <w:rPr>
                <w:sz w:val="24"/>
                <w:szCs w:val="24"/>
              </w:rPr>
              <w:t>3,6</w:t>
            </w:r>
          </w:p>
        </w:tc>
      </w:tr>
    </w:tbl>
    <w:p w:rsidR="003B043C" w:rsidRPr="00FB4441" w:rsidRDefault="00A277D5" w:rsidP="006C0191">
      <w:pPr>
        <w:pStyle w:val="a9"/>
        <w:numPr>
          <w:ilvl w:val="0"/>
          <w:numId w:val="23"/>
        </w:numPr>
        <w:spacing w:before="240" w:after="240" w:line="240" w:lineRule="auto"/>
        <w:ind w:left="0" w:firstLine="0"/>
        <w:contextualSpacing w:val="0"/>
        <w:rPr>
          <w:sz w:val="24"/>
          <w:szCs w:val="24"/>
        </w:rPr>
        <w:sectPr w:rsidR="003B043C" w:rsidRPr="00FB4441" w:rsidSect="0049392B">
          <w:footerReference w:type="default" r:id="rId18"/>
          <w:pgSz w:w="12240" w:h="15840"/>
          <w:pgMar w:top="1276" w:right="1440" w:bottom="1276" w:left="1440" w:header="720" w:footer="720" w:gutter="0"/>
          <w:pgNumType w:start="1"/>
          <w:cols w:space="720"/>
          <w:docGrid w:linePitch="360"/>
        </w:sectPr>
      </w:pPr>
      <w:r>
        <w:rPr>
          <w:sz w:val="24"/>
          <w:szCs w:val="24"/>
        </w:rPr>
        <w:t>В отчетный период Управление независимой оценки ГЭФ (</w:t>
      </w:r>
      <w:proofErr w:type="spellStart"/>
      <w:r>
        <w:rPr>
          <w:sz w:val="24"/>
          <w:szCs w:val="24"/>
        </w:rPr>
        <w:t>УНО</w:t>
      </w:r>
      <w:proofErr w:type="spellEnd"/>
      <w:r>
        <w:rPr>
          <w:sz w:val="24"/>
          <w:szCs w:val="24"/>
        </w:rPr>
        <w:t>) провело четыре оценки и обзора, актуальных для целевой области сохранения биоразнообразия:</w:t>
      </w:r>
      <w:r w:rsidR="00776E86">
        <w:rPr>
          <w:sz w:val="24"/>
          <w:szCs w:val="24"/>
        </w:rPr>
        <w:t xml:space="preserve"> </w:t>
      </w:r>
      <w:r>
        <w:rPr>
          <w:sz w:val="24"/>
          <w:szCs w:val="24"/>
        </w:rPr>
        <w:t xml:space="preserve">1) Оценка деятельности ГЭФ по учету проблематики биоразнообразия; 2) Аналитический обзор экспериментальных программ комплексного подхода; 3) Оценка деятельности ГЭФ в поддержку фундаментальных преобразований; 4) Оценка деятельности ГЭФ по </w:t>
      </w:r>
      <w:r>
        <w:rPr>
          <w:sz w:val="24"/>
          <w:szCs w:val="24"/>
        </w:rPr>
        <w:lastRenderedPageBreak/>
        <w:t xml:space="preserve">расширению масштабов воздействия. В настоящем докладе приводятся основные положения этих оценок, изложенные </w:t>
      </w:r>
      <w:proofErr w:type="spellStart"/>
      <w:r>
        <w:rPr>
          <w:sz w:val="24"/>
          <w:szCs w:val="24"/>
        </w:rPr>
        <w:t>УНО</w:t>
      </w:r>
      <w:proofErr w:type="spellEnd"/>
      <w:r>
        <w:rPr>
          <w:sz w:val="24"/>
          <w:szCs w:val="24"/>
        </w:rPr>
        <w:t>.</w:t>
      </w:r>
    </w:p>
    <w:p w:rsidR="00BC29AF" w:rsidRPr="00644CCA" w:rsidRDefault="00BC29AF" w:rsidP="008F5A5A">
      <w:pPr>
        <w:pStyle w:val="1"/>
        <w:numPr>
          <w:ilvl w:val="0"/>
          <w:numId w:val="27"/>
        </w:numPr>
        <w:rPr>
          <w:bCs w:val="0"/>
        </w:rPr>
      </w:pPr>
      <w:bookmarkStart w:id="6" w:name="_Toc32494913"/>
      <w:r w:rsidRPr="00644CCA">
        <w:rPr>
          <w:bCs w:val="0"/>
        </w:rPr>
        <w:lastRenderedPageBreak/>
        <w:t>Проектная деятельность в поддержку осуществления КБР</w:t>
      </w:r>
      <w:bookmarkEnd w:id="6"/>
    </w:p>
    <w:p w:rsidR="003B7507" w:rsidRPr="00FB4441" w:rsidRDefault="003B7507" w:rsidP="00F7014F">
      <w:pPr>
        <w:pStyle w:val="a9"/>
        <w:numPr>
          <w:ilvl w:val="0"/>
          <w:numId w:val="25"/>
        </w:numPr>
        <w:spacing w:before="240" w:after="240" w:line="240" w:lineRule="auto"/>
        <w:ind w:left="0" w:firstLine="0"/>
        <w:contextualSpacing w:val="0"/>
        <w:rPr>
          <w:sz w:val="24"/>
          <w:szCs w:val="24"/>
        </w:rPr>
      </w:pPr>
      <w:r>
        <w:rPr>
          <w:sz w:val="24"/>
          <w:szCs w:val="24"/>
        </w:rPr>
        <w:t>Настоящий проект доклада для Конференции Сторон (КС) Конвенции о биологическом разнообразии (КБР) содержит информацию о деятельности Глобального экологического фонда (ГЭФ) в целевой области сохранения биоразнообразия, предпринятой в ответ на данные КС-14 руководящие указания ГЭФ в ноябре 2018 года.</w:t>
      </w:r>
      <w:r w:rsidR="00776E86">
        <w:rPr>
          <w:sz w:val="24"/>
          <w:szCs w:val="24"/>
        </w:rPr>
        <w:t xml:space="preserve"> </w:t>
      </w:r>
      <w:r>
        <w:rPr>
          <w:sz w:val="24"/>
          <w:szCs w:val="24"/>
        </w:rPr>
        <w:t>Проект доклада охватывает период с 1 июля 2018 года по 31 декабря 2019 года. Окончательный доклад для КС-15 охватит период с 1 июля 2018 года по 30 июня 2020 года, что соответствует первым двум года седьмого пополнения средств ГЭФ (ГЭФ-7) с 1 июля 2018 года по 30 июня 2022 года.</w:t>
      </w:r>
    </w:p>
    <w:p w:rsidR="00983521" w:rsidRPr="00FB4441" w:rsidRDefault="00983521" w:rsidP="000C09D1">
      <w:pPr>
        <w:pStyle w:val="2"/>
        <w:rPr>
          <w:lang w:val="ru-RU"/>
        </w:rPr>
      </w:pPr>
      <w:bookmarkStart w:id="7" w:name="_Toc32494914"/>
      <w:r w:rsidRPr="00644CCA">
        <w:rPr>
          <w:bCs/>
          <w:lang w:val="ru-RU"/>
        </w:rPr>
        <w:t xml:space="preserve">Стратегия </w:t>
      </w:r>
      <w:r w:rsidR="007E083D">
        <w:rPr>
          <w:bCs/>
          <w:lang w:val="ru-RU"/>
        </w:rPr>
        <w:t>сохранения</w:t>
      </w:r>
      <w:r w:rsidRPr="00644CCA">
        <w:rPr>
          <w:bCs/>
          <w:lang w:val="ru-RU"/>
        </w:rPr>
        <w:t xml:space="preserve"> биоразнообразия в период ГЭФ-7</w:t>
      </w:r>
      <w:bookmarkEnd w:id="7"/>
    </w:p>
    <w:p w:rsidR="00925FCB" w:rsidRPr="00FB4441" w:rsidRDefault="00925FCB" w:rsidP="009C36A4">
      <w:pPr>
        <w:pStyle w:val="a9"/>
        <w:numPr>
          <w:ilvl w:val="0"/>
          <w:numId w:val="25"/>
        </w:numPr>
        <w:spacing w:before="240" w:after="240" w:line="240" w:lineRule="auto"/>
        <w:ind w:left="0" w:firstLine="0"/>
        <w:contextualSpacing w:val="0"/>
        <w:rPr>
          <w:sz w:val="24"/>
          <w:szCs w:val="24"/>
        </w:rPr>
      </w:pPr>
      <w:bookmarkStart w:id="8" w:name="_Hlk32178223"/>
      <w:r>
        <w:rPr>
          <w:sz w:val="24"/>
          <w:szCs w:val="24"/>
        </w:rPr>
        <w:t>Стратегической целью в период ГЭФ-7 в области биоразнообразия является сохранение глобально значимого биоразнообразия наземных и морских ландшафтов. Для достижения этой цели ГЭФ инвестирует средства в страны, чтобы помочь им в выполнении трех задач, поставленных в декабре 2016 года КС-13 для ГЭФ, которые отражены в документе о программных приоритетах на четырехлетний период:</w:t>
      </w:r>
    </w:p>
    <w:p w:rsidR="00925FCB" w:rsidRPr="00FB4441" w:rsidRDefault="00925FCB" w:rsidP="00665E66">
      <w:pPr>
        <w:numPr>
          <w:ilvl w:val="0"/>
          <w:numId w:val="8"/>
        </w:numPr>
        <w:spacing w:before="120" w:after="120" w:line="240" w:lineRule="auto"/>
        <w:ind w:left="1080"/>
        <w:rPr>
          <w:sz w:val="24"/>
          <w:szCs w:val="24"/>
        </w:rPr>
      </w:pPr>
      <w:r>
        <w:rPr>
          <w:sz w:val="24"/>
          <w:szCs w:val="24"/>
        </w:rPr>
        <w:t>учет вопросов сохранения биоразнообразия в работе секторов, а также в деятельности, связанной с наземными и морскими ландшафтами;</w:t>
      </w:r>
    </w:p>
    <w:p w:rsidR="00925FCB" w:rsidRPr="00FB4441" w:rsidRDefault="00925FCB" w:rsidP="00665E66">
      <w:pPr>
        <w:numPr>
          <w:ilvl w:val="0"/>
          <w:numId w:val="8"/>
        </w:numPr>
        <w:spacing w:before="120" w:after="120" w:line="240" w:lineRule="auto"/>
        <w:ind w:left="1080"/>
        <w:rPr>
          <w:sz w:val="24"/>
          <w:szCs w:val="24"/>
        </w:rPr>
      </w:pPr>
      <w:r>
        <w:rPr>
          <w:sz w:val="24"/>
          <w:szCs w:val="24"/>
        </w:rPr>
        <w:t>устранение прямых факторов в целях сохранения мест обитания и видов; и</w:t>
      </w:r>
    </w:p>
    <w:p w:rsidR="00925FCB" w:rsidRPr="00FB4441" w:rsidRDefault="00925FCB" w:rsidP="00665E66">
      <w:pPr>
        <w:numPr>
          <w:ilvl w:val="0"/>
          <w:numId w:val="8"/>
        </w:numPr>
        <w:spacing w:before="120" w:after="120" w:line="240" w:lineRule="auto"/>
        <w:ind w:left="1080"/>
        <w:rPr>
          <w:sz w:val="24"/>
          <w:szCs w:val="24"/>
        </w:rPr>
      </w:pPr>
      <w:r>
        <w:rPr>
          <w:sz w:val="24"/>
          <w:szCs w:val="24"/>
        </w:rPr>
        <w:t>дальнейшее развитие основ политики и организационных структур в области биоразнообразия.</w:t>
      </w:r>
    </w:p>
    <w:p w:rsidR="00665E66" w:rsidRPr="00FB4441" w:rsidRDefault="00925FCB" w:rsidP="009C36A4">
      <w:pPr>
        <w:pStyle w:val="a9"/>
        <w:numPr>
          <w:ilvl w:val="0"/>
          <w:numId w:val="25"/>
        </w:numPr>
        <w:spacing w:before="240" w:after="240" w:line="240" w:lineRule="auto"/>
        <w:ind w:left="0" w:firstLine="0"/>
        <w:contextualSpacing w:val="0"/>
        <w:rPr>
          <w:sz w:val="24"/>
          <w:szCs w:val="24"/>
        </w:rPr>
      </w:pPr>
      <w:bookmarkStart w:id="9" w:name="_Toc476081881"/>
      <w:bookmarkStart w:id="10" w:name="_Toc476693266"/>
      <w:bookmarkEnd w:id="8"/>
      <w:r>
        <w:rPr>
          <w:sz w:val="24"/>
          <w:szCs w:val="24"/>
        </w:rPr>
        <w:t>Стратегия целевой области по сохранению биоразнообразия и программные направления этой целевой области, программа широкого воздействия «Продовольственные системы, землепользование и восстановление», программа широкого воздействия «Устойчивое развитие городов», программа широкого воздействия «Устойчивое лесопользование» и инвестиции в целевую область международных вод – все это в совокупности способствует достижению цели ГЭФ-7 и трех задач, представленных в нижеприведенной таблице 1.</w:t>
      </w:r>
    </w:p>
    <w:p w:rsidR="00925FCB" w:rsidRPr="00FB4441" w:rsidRDefault="00925FCB" w:rsidP="00CB6102">
      <w:pPr>
        <w:spacing w:before="240" w:after="240" w:line="240" w:lineRule="auto"/>
        <w:jc w:val="center"/>
        <w:rPr>
          <w:b/>
          <w:iCs/>
          <w:sz w:val="24"/>
          <w:szCs w:val="24"/>
        </w:rPr>
      </w:pPr>
      <w:bookmarkStart w:id="11" w:name="_Toc492908736"/>
      <w:bookmarkStart w:id="12" w:name="_Toc492920107"/>
      <w:bookmarkStart w:id="13" w:name="_Toc492933764"/>
      <w:bookmarkStart w:id="14" w:name="_Toc492986461"/>
      <w:bookmarkStart w:id="15" w:name="_Toc492993869"/>
      <w:bookmarkStart w:id="16" w:name="_Toc492996654"/>
      <w:bookmarkStart w:id="17" w:name="_Toc492998810"/>
      <w:bookmarkStart w:id="18" w:name="_Toc492998980"/>
      <w:bookmarkStart w:id="19" w:name="_Toc493003965"/>
      <w:bookmarkStart w:id="20" w:name="_Toc501635652"/>
      <w:r>
        <w:rPr>
          <w:b/>
          <w:bCs/>
          <w:sz w:val="24"/>
          <w:szCs w:val="24"/>
        </w:rPr>
        <w:t>Таблица 1.</w:t>
      </w:r>
      <w:bookmarkEnd w:id="9"/>
      <w:bookmarkEnd w:id="10"/>
      <w:r>
        <w:rPr>
          <w:b/>
          <w:bCs/>
          <w:sz w:val="24"/>
          <w:szCs w:val="24"/>
        </w:rPr>
        <w:t xml:space="preserve"> Руководящие указания КБР и механизм реализации в период ГЭФ-7</w:t>
      </w:r>
      <w:bookmarkEnd w:id="11"/>
      <w:bookmarkEnd w:id="12"/>
      <w:bookmarkEnd w:id="13"/>
      <w:bookmarkEnd w:id="14"/>
      <w:bookmarkEnd w:id="15"/>
      <w:bookmarkEnd w:id="16"/>
      <w:bookmarkEnd w:id="17"/>
      <w:bookmarkEnd w:id="18"/>
      <w:bookmarkEnd w:id="19"/>
      <w:bookmarkEnd w:id="20"/>
    </w:p>
    <w:tbl>
      <w:tblPr>
        <w:tblW w:w="9455" w:type="dxa"/>
        <w:jc w:val="center"/>
        <w:tblLayout w:type="fixed"/>
        <w:tblLook w:val="0000"/>
      </w:tblPr>
      <w:tblGrid>
        <w:gridCol w:w="4415"/>
        <w:gridCol w:w="5040"/>
      </w:tblGrid>
      <w:tr w:rsidR="00925FCB" w:rsidRPr="00925FCB" w:rsidTr="00B926E0">
        <w:trPr>
          <w:tblHeade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0" w:type="dxa"/>
              <w:bottom w:w="0" w:type="dxa"/>
              <w:right w:w="0" w:type="dxa"/>
            </w:tcMar>
            <w:vAlign w:val="center"/>
          </w:tcPr>
          <w:p w:rsidR="00925FCB" w:rsidRPr="00FB4441" w:rsidRDefault="00925FCB" w:rsidP="00814F5E">
            <w:pPr>
              <w:ind w:left="288"/>
            </w:pPr>
            <w:r>
              <w:rPr>
                <w:b/>
                <w:bCs/>
              </w:rPr>
              <w:t>Руководящие указания КС-13 КБР: Программные приоритеты на четырехлетний период</w:t>
            </w:r>
          </w:p>
        </w:tc>
        <w:tc>
          <w:tcPr>
            <w:tcW w:w="50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25FCB" w:rsidRPr="00925FCB" w:rsidRDefault="00925FCB" w:rsidP="00814F5E">
            <w:pPr>
              <w:ind w:left="288"/>
            </w:pPr>
            <w:r>
              <w:rPr>
                <w:b/>
                <w:bCs/>
              </w:rPr>
              <w:t>Механизм реализации</w:t>
            </w:r>
          </w:p>
        </w:tc>
      </w:tr>
      <w:tr w:rsidR="00925FCB" w:rsidRPr="00FB4441" w:rsidTr="00665E66">
        <w:trP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FCB" w:rsidRPr="00FB4441" w:rsidRDefault="00925FCB" w:rsidP="00814F5E">
            <w:pPr>
              <w:ind w:left="288"/>
            </w:pPr>
            <w:r>
              <w:rPr>
                <w:b/>
                <w:bCs/>
              </w:rPr>
              <w:t xml:space="preserve">I. Учет </w:t>
            </w:r>
            <w:r w:rsidR="007E083D" w:rsidRPr="007E083D">
              <w:rPr>
                <w:b/>
                <w:bCs/>
              </w:rPr>
              <w:t xml:space="preserve">вопросов сохранения </w:t>
            </w:r>
            <w:r>
              <w:rPr>
                <w:b/>
                <w:bCs/>
              </w:rPr>
              <w:t>биоразнообразия в работе секторов, а также в деятельности, связанной с наземными и морскими ландшафтами</w:t>
            </w:r>
          </w:p>
          <w:p w:rsidR="00925FCB" w:rsidRPr="00FB4441" w:rsidRDefault="00925FCB" w:rsidP="00814F5E">
            <w:pPr>
              <w:ind w:left="288"/>
            </w:pPr>
            <w:proofErr w:type="spellStart"/>
            <w:r>
              <w:t>A</w:t>
            </w:r>
            <w:proofErr w:type="spellEnd"/>
            <w:r>
              <w:t xml:space="preserve">) Совершенствование политики и </w:t>
            </w:r>
            <w:r>
              <w:lastRenderedPageBreak/>
              <w:t>процессов принятия решений на основе учета ценностей биоразнообразия и экосистемных услуг</w:t>
            </w:r>
          </w:p>
          <w:p w:rsidR="00925FCB" w:rsidRPr="00FB4441" w:rsidRDefault="00925FCB" w:rsidP="00814F5E">
            <w:pPr>
              <w:ind w:left="288"/>
            </w:pPr>
            <w:proofErr w:type="spellStart"/>
            <w:r>
              <w:t>B</w:t>
            </w:r>
            <w:proofErr w:type="spellEnd"/>
            <w:r>
              <w:t>) Управление ресурсами биоразнообразия в наземных и морских ландшафтах</w:t>
            </w:r>
          </w:p>
          <w:p w:rsidR="00925FCB" w:rsidRPr="00FB4441" w:rsidRDefault="00925FCB" w:rsidP="00814F5E">
            <w:pPr>
              <w:ind w:left="288"/>
            </w:pPr>
            <w:proofErr w:type="spellStart"/>
            <w:r>
              <w:t>C</w:t>
            </w:r>
            <w:proofErr w:type="spellEnd"/>
            <w:r>
              <w:t>) Использование биоразнообразия для целей устойчивого развития сельского хозяйства</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7347FC" w:rsidRPr="00FB4441" w:rsidRDefault="0014002F" w:rsidP="00814F5E">
            <w:pPr>
              <w:ind w:left="288"/>
            </w:pPr>
            <w:r>
              <w:rPr>
                <w:b/>
                <w:bCs/>
              </w:rPr>
              <w:lastRenderedPageBreak/>
              <w:t>Инвестиции и программные направления целевой области сохранения биоразнообразия</w:t>
            </w:r>
          </w:p>
          <w:p w:rsidR="00253DAE" w:rsidRPr="00FB4441" w:rsidRDefault="00925FCB" w:rsidP="00814F5E">
            <w:pPr>
              <w:ind w:left="288"/>
            </w:pPr>
            <w:r>
              <w:t>Учет проблематики биоразнообразия в приоритетных секторах</w:t>
            </w:r>
          </w:p>
          <w:p w:rsidR="00253DAE" w:rsidRPr="00FB4441" w:rsidRDefault="00925FCB" w:rsidP="00814F5E">
            <w:pPr>
              <w:ind w:left="288"/>
            </w:pPr>
            <w:r>
              <w:lastRenderedPageBreak/>
              <w:t>Глобальная программа по охране дикой природы (предотвращение вымирания известных видов, находящихся под угрозой исчезновения, и дикая природа для целей устойчивого развития)</w:t>
            </w:r>
          </w:p>
          <w:p w:rsidR="00253DAE" w:rsidRPr="00FB4441" w:rsidRDefault="00925FCB" w:rsidP="00814F5E">
            <w:pPr>
              <w:ind w:left="288"/>
            </w:pPr>
            <w:r>
              <w:t>Оценка и учет природного капитала</w:t>
            </w:r>
          </w:p>
          <w:p w:rsidR="00253DAE" w:rsidRPr="00FB4441" w:rsidRDefault="00925FCB" w:rsidP="00814F5E">
            <w:pPr>
              <w:ind w:left="288"/>
            </w:pPr>
            <w:r>
              <w:t>Устойчивое использование генетических ресурсов растений и животных</w:t>
            </w:r>
          </w:p>
          <w:p w:rsidR="00253DAE" w:rsidRPr="00FB4441" w:rsidRDefault="00925FCB" w:rsidP="00814F5E">
            <w:pPr>
              <w:ind w:left="288"/>
            </w:pPr>
            <w:r>
              <w:t>Инклюзивное сохранение</w:t>
            </w:r>
          </w:p>
          <w:p w:rsidR="00D87049" w:rsidRPr="00FB4441" w:rsidRDefault="00925FCB" w:rsidP="00814F5E">
            <w:pPr>
              <w:ind w:left="288"/>
            </w:pPr>
            <w:r>
              <w:rPr>
                <w:b/>
                <w:bCs/>
              </w:rPr>
              <w:t>Программы широкого воздействия</w:t>
            </w:r>
          </w:p>
          <w:p w:rsidR="00D87049" w:rsidRPr="00FB4441" w:rsidRDefault="00925FCB" w:rsidP="00814F5E">
            <w:pPr>
              <w:ind w:left="288"/>
            </w:pPr>
            <w:r>
              <w:t>Программа широкого воздействия «Продовольственные системы, землепользование и восстановление»</w:t>
            </w:r>
          </w:p>
          <w:p w:rsidR="00D87049" w:rsidRPr="00FB4441" w:rsidRDefault="00925FCB" w:rsidP="00814F5E">
            <w:pPr>
              <w:ind w:left="288"/>
            </w:pPr>
            <w:r>
              <w:t>Программа широкого воздействия «Устойчивое развитие городов»</w:t>
            </w:r>
          </w:p>
          <w:p w:rsidR="00D87049" w:rsidRPr="00FB4441" w:rsidRDefault="00925FCB" w:rsidP="00814F5E">
            <w:pPr>
              <w:ind w:left="288"/>
            </w:pPr>
            <w:r>
              <w:t>Программа широкого воздействия «Устойчивое лесопользование» (бассейны рек Амазонки, Конго, устойчивые ландшафты в засушливых районах)</w:t>
            </w:r>
          </w:p>
          <w:p w:rsidR="00925FCB" w:rsidRPr="00FB4441" w:rsidRDefault="00925FCB" w:rsidP="00814F5E">
            <w:pPr>
              <w:ind w:left="288"/>
            </w:pPr>
            <w:r>
              <w:rPr>
                <w:b/>
                <w:bCs/>
              </w:rPr>
              <w:t>Другие целевые области</w:t>
            </w:r>
          </w:p>
          <w:p w:rsidR="00925FCB" w:rsidRPr="00FB4441" w:rsidRDefault="00925FCB" w:rsidP="00814F5E">
            <w:pPr>
              <w:ind w:left="288"/>
            </w:pPr>
            <w:r>
              <w:t>Международные воды/Устойчивый рыбный промысел</w:t>
            </w:r>
          </w:p>
        </w:tc>
      </w:tr>
      <w:tr w:rsidR="00925FCB" w:rsidRPr="00FB4441" w:rsidTr="00665E66">
        <w:trPr>
          <w:jc w:val="center"/>
        </w:trPr>
        <w:tc>
          <w:tcPr>
            <w:tcW w:w="4415"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925FCB" w:rsidRPr="00FB4441" w:rsidRDefault="00925FCB" w:rsidP="00AD0667">
            <w:pPr>
              <w:ind w:left="288"/>
              <w:rPr>
                <w:b/>
                <w:bCs/>
              </w:rPr>
            </w:pPr>
            <w:r>
              <w:rPr>
                <w:b/>
                <w:bCs/>
              </w:rPr>
              <w:lastRenderedPageBreak/>
              <w:t>II. Устранение прямых факторов в целях охраны мест обитания и видов</w:t>
            </w:r>
          </w:p>
          <w:p w:rsidR="00925FCB" w:rsidRPr="00FB4441" w:rsidRDefault="00925FCB" w:rsidP="00814F5E">
            <w:pPr>
              <w:ind w:left="288"/>
            </w:pPr>
            <w:proofErr w:type="spellStart"/>
            <w:r>
              <w:t>D</w:t>
            </w:r>
            <w:proofErr w:type="spellEnd"/>
            <w:r>
              <w:t>) Предотвращение распространения инвазивных чужеродных видов и контроль за ними</w:t>
            </w:r>
          </w:p>
          <w:p w:rsidR="00925FCB" w:rsidRPr="00FB4441" w:rsidRDefault="00925FCB" w:rsidP="00814F5E">
            <w:pPr>
              <w:ind w:left="288"/>
            </w:pPr>
            <w:r>
              <w:t>Е) Сокращение нагрузи на коралловые рифы и другие уязвимые прибрежные и морские экосистемы</w:t>
            </w:r>
          </w:p>
          <w:p w:rsidR="00925FCB" w:rsidRPr="00FB4441" w:rsidRDefault="00925FCB" w:rsidP="00814F5E">
            <w:pPr>
              <w:ind w:left="288"/>
            </w:pPr>
            <w:proofErr w:type="spellStart"/>
            <w:r>
              <w:t>F</w:t>
            </w:r>
            <w:proofErr w:type="spellEnd"/>
            <w:r>
              <w:t>) Повышение эффективности систем охраняемых районов</w:t>
            </w:r>
          </w:p>
          <w:p w:rsidR="00925FCB" w:rsidRPr="00FB4441" w:rsidRDefault="00925FCB" w:rsidP="00814F5E">
            <w:pPr>
              <w:ind w:left="288"/>
            </w:pPr>
            <w:proofErr w:type="spellStart"/>
            <w:r>
              <w:t>G</w:t>
            </w:r>
            <w:proofErr w:type="spellEnd"/>
            <w:r>
              <w:t xml:space="preserve">) Борьбы с незаконным и неустойчивым </w:t>
            </w:r>
            <w:r>
              <w:lastRenderedPageBreak/>
              <w:t>использованием видов с приоритетными действиями в отношении видов под угрозой исчезновения</w:t>
            </w:r>
          </w:p>
        </w:tc>
        <w:tc>
          <w:tcPr>
            <w:tcW w:w="5040" w:type="dxa"/>
            <w:tcBorders>
              <w:top w:val="single" w:sz="4" w:space="0" w:color="000000"/>
              <w:left w:val="single" w:sz="4" w:space="0" w:color="000000"/>
              <w:bottom w:val="single" w:sz="4" w:space="0" w:color="auto"/>
              <w:right w:val="single" w:sz="4" w:space="0" w:color="000000"/>
            </w:tcBorders>
            <w:shd w:val="clear" w:color="auto" w:fill="FFFFFF"/>
          </w:tcPr>
          <w:p w:rsidR="00D87049" w:rsidRPr="00FB4441" w:rsidRDefault="0014002F" w:rsidP="00814F5E">
            <w:pPr>
              <w:ind w:left="144"/>
            </w:pPr>
            <w:r>
              <w:rPr>
                <w:b/>
                <w:bCs/>
              </w:rPr>
              <w:lastRenderedPageBreak/>
              <w:t>Инвестиции и программные направления целевой области сохранения биоразнообразия</w:t>
            </w:r>
          </w:p>
          <w:p w:rsidR="00D87049" w:rsidRPr="00FB4441" w:rsidRDefault="00925FCB" w:rsidP="00814F5E">
            <w:pPr>
              <w:ind w:left="144"/>
            </w:pPr>
            <w:r>
              <w:t>Предупреждение, контроль и регулирование распространения инвазивных чужеродных видов (с особым вниманием к островам)</w:t>
            </w:r>
          </w:p>
          <w:p w:rsidR="00D87049" w:rsidRPr="00FB4441" w:rsidRDefault="00925FCB" w:rsidP="00814F5E">
            <w:pPr>
              <w:ind w:left="144"/>
            </w:pPr>
            <w:r>
              <w:t>Повышение уровня финансовой устойчивости, эффективности управления и экосистемного охвата территорий глобальных охраняемых районов</w:t>
            </w:r>
          </w:p>
          <w:p w:rsidR="00D87049" w:rsidRPr="00FB4441" w:rsidRDefault="00925FCB" w:rsidP="00814F5E">
            <w:pPr>
              <w:ind w:left="144"/>
            </w:pPr>
            <w:r>
              <w:rPr>
                <w:b/>
                <w:bCs/>
              </w:rPr>
              <w:t>Другие целевые области</w:t>
            </w:r>
          </w:p>
          <w:p w:rsidR="00AF1807" w:rsidRPr="00FB4441" w:rsidRDefault="00925FCB" w:rsidP="00510C36">
            <w:pPr>
              <w:ind w:left="144"/>
            </w:pPr>
            <w:r>
              <w:t xml:space="preserve">Международные воды/Прибрежные и морские </w:t>
            </w:r>
            <w:r>
              <w:lastRenderedPageBreak/>
              <w:t>охраняемые районы</w:t>
            </w:r>
          </w:p>
        </w:tc>
      </w:tr>
      <w:tr w:rsidR="00925FCB" w:rsidRPr="00FB4441" w:rsidTr="00665E66">
        <w:trPr>
          <w:jc w:val="center"/>
        </w:trPr>
        <w:tc>
          <w:tcPr>
            <w:tcW w:w="4415"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FCB" w:rsidRPr="00FB4441" w:rsidRDefault="00925FCB" w:rsidP="007B4AC4">
            <w:pPr>
              <w:ind w:left="288"/>
            </w:pPr>
            <w:r>
              <w:rPr>
                <w:b/>
                <w:bCs/>
              </w:rPr>
              <w:lastRenderedPageBreak/>
              <w:t>III. Дальнейшее развитие основ политики и организационных структур в области сохранения биоразнообразия</w:t>
            </w:r>
          </w:p>
          <w:p w:rsidR="007B4AC4" w:rsidRPr="00FB4441" w:rsidRDefault="00925FCB" w:rsidP="007B4AC4">
            <w:pPr>
              <w:ind w:left="288"/>
            </w:pPr>
            <w:proofErr w:type="spellStart"/>
            <w:r>
              <w:t>H</w:t>
            </w:r>
            <w:proofErr w:type="spellEnd"/>
            <w:r>
              <w:t>) Осуществление Картахенского протокола по биобезопасности</w:t>
            </w:r>
          </w:p>
          <w:p w:rsidR="00925FCB" w:rsidRPr="00FB4441" w:rsidRDefault="007B4AC4" w:rsidP="007B4AC4">
            <w:pPr>
              <w:ind w:left="288"/>
            </w:pPr>
            <w:r>
              <w:t>I) Осуществление Нагойского протокола регулирования доступа к генетическим ресурсам и совместного использования выгод</w:t>
            </w:r>
          </w:p>
          <w:p w:rsidR="00925FCB" w:rsidRPr="00FB4441" w:rsidRDefault="00925FCB" w:rsidP="007B4AC4">
            <w:pPr>
              <w:ind w:left="288"/>
            </w:pPr>
            <w:proofErr w:type="spellStart"/>
            <w:r>
              <w:t>J</w:t>
            </w:r>
            <w:proofErr w:type="spellEnd"/>
            <w:r>
              <w:t>) Совершенствование политики, планирования и обзора в области биоразнообразия</w:t>
            </w:r>
          </w:p>
        </w:tc>
        <w:tc>
          <w:tcPr>
            <w:tcW w:w="5040" w:type="dxa"/>
            <w:tcBorders>
              <w:top w:val="single" w:sz="4" w:space="0" w:color="auto"/>
              <w:left w:val="single" w:sz="4" w:space="0" w:color="000000"/>
              <w:bottom w:val="single" w:sz="4" w:space="0" w:color="000000"/>
              <w:right w:val="single" w:sz="4" w:space="0" w:color="000000"/>
            </w:tcBorders>
            <w:shd w:val="clear" w:color="auto" w:fill="auto"/>
          </w:tcPr>
          <w:p w:rsidR="00D87049" w:rsidRPr="00FB4441" w:rsidRDefault="0014002F" w:rsidP="007B4AC4">
            <w:pPr>
              <w:ind w:left="288"/>
            </w:pPr>
            <w:r>
              <w:rPr>
                <w:b/>
                <w:bCs/>
              </w:rPr>
              <w:t>Инвестиции и программные направления целевой области сохранения биоразнообразия</w:t>
            </w:r>
          </w:p>
          <w:p w:rsidR="00D87049" w:rsidRPr="00FB4441" w:rsidRDefault="00925FCB" w:rsidP="007B4AC4">
            <w:pPr>
              <w:ind w:left="288"/>
            </w:pPr>
            <w:r>
              <w:t>Осуществление Картахенского протокола по биобезопасности</w:t>
            </w:r>
          </w:p>
          <w:p w:rsidR="00D87049" w:rsidRPr="00FB4441" w:rsidRDefault="00925FCB" w:rsidP="007B4AC4">
            <w:pPr>
              <w:ind w:left="288"/>
            </w:pPr>
            <w:r>
              <w:t>Осуществление Нагойского протокола регулирования доступа к генетическим ресурсам и совместного использования выгод</w:t>
            </w:r>
          </w:p>
          <w:p w:rsidR="00925FCB" w:rsidRPr="00FB4441" w:rsidRDefault="00925FCB" w:rsidP="00AF1807">
            <w:pPr>
              <w:ind w:left="288"/>
            </w:pPr>
            <w:r>
              <w:t>Помощь в подготовке национальной отчетности и разработке НСПДСБ</w:t>
            </w:r>
          </w:p>
        </w:tc>
      </w:tr>
    </w:tbl>
    <w:p w:rsidR="00EC6F7A" w:rsidRPr="00FB4441" w:rsidRDefault="00EC6F7A" w:rsidP="003B7507">
      <w:pPr>
        <w:ind w:left="720"/>
        <w:rPr>
          <w:b/>
          <w:sz w:val="24"/>
          <w:szCs w:val="24"/>
        </w:rPr>
      </w:pPr>
    </w:p>
    <w:p w:rsidR="005E76E1" w:rsidRPr="00FB4441" w:rsidRDefault="005E76E1" w:rsidP="000C09D1">
      <w:pPr>
        <w:pStyle w:val="2"/>
        <w:rPr>
          <w:lang w:val="ru-RU"/>
        </w:rPr>
      </w:pPr>
      <w:bookmarkStart w:id="21" w:name="_Toc32494915"/>
      <w:r w:rsidRPr="00644CCA">
        <w:rPr>
          <w:bCs/>
          <w:lang w:val="ru-RU"/>
        </w:rPr>
        <w:t>Использовани</w:t>
      </w:r>
      <w:r w:rsidR="00DC15B6">
        <w:rPr>
          <w:bCs/>
          <w:lang w:val="ru-RU"/>
        </w:rPr>
        <w:t>е</w:t>
      </w:r>
      <w:r w:rsidRPr="00644CCA">
        <w:rPr>
          <w:bCs/>
          <w:lang w:val="ru-RU"/>
        </w:rPr>
        <w:t xml:space="preserve"> ресурсов в программах ГЭФ-7</w:t>
      </w:r>
      <w:bookmarkEnd w:id="21"/>
    </w:p>
    <w:p w:rsidR="0066226E" w:rsidRPr="00FB4441" w:rsidRDefault="0066226E" w:rsidP="00665E66">
      <w:pPr>
        <w:pStyle w:val="a9"/>
        <w:numPr>
          <w:ilvl w:val="0"/>
          <w:numId w:val="25"/>
        </w:numPr>
        <w:spacing w:before="240" w:after="240" w:line="240" w:lineRule="auto"/>
        <w:ind w:left="0" w:firstLine="0"/>
        <w:contextualSpacing w:val="0"/>
        <w:rPr>
          <w:sz w:val="24"/>
          <w:szCs w:val="24"/>
        </w:rPr>
      </w:pPr>
      <w:r>
        <w:rPr>
          <w:sz w:val="24"/>
          <w:szCs w:val="24"/>
        </w:rPr>
        <w:t>В период ГЭФ-7 на целевую область сохранения биоразнообразия выделено 1,292 млрд долл. США, из которых 1,031 млрд долл. предоставлен странам через Систему прозрачного распределения ресурсов (СПРР).</w:t>
      </w:r>
    </w:p>
    <w:p w:rsidR="009A61CF" w:rsidRPr="00FB4441" w:rsidRDefault="009D7DD2" w:rsidP="00665E66">
      <w:pPr>
        <w:pStyle w:val="a9"/>
        <w:numPr>
          <w:ilvl w:val="0"/>
          <w:numId w:val="25"/>
        </w:numPr>
        <w:spacing w:before="240" w:after="240" w:line="240" w:lineRule="auto"/>
        <w:ind w:left="0" w:firstLine="0"/>
        <w:contextualSpacing w:val="0"/>
        <w:rPr>
          <w:bCs/>
          <w:sz w:val="24"/>
          <w:szCs w:val="24"/>
        </w:rPr>
      </w:pPr>
      <w:r>
        <w:rPr>
          <w:sz w:val="24"/>
          <w:szCs w:val="24"/>
        </w:rPr>
        <w:t>Ниже, в таблице 2, приводятся сводные данные об использовании ресурсов целевой области сохранения биоразнообразия с момента начала периода ГЭФ-7 1 июля 2018 года по 31 декабря 2019 года.</w:t>
      </w:r>
    </w:p>
    <w:p w:rsidR="00D40556" w:rsidRPr="00FB4441" w:rsidRDefault="00B20283" w:rsidP="00665E66">
      <w:pPr>
        <w:pStyle w:val="a9"/>
        <w:numPr>
          <w:ilvl w:val="0"/>
          <w:numId w:val="25"/>
        </w:numPr>
        <w:spacing w:before="240" w:after="240" w:line="240" w:lineRule="auto"/>
        <w:ind w:left="0" w:firstLine="0"/>
        <w:contextualSpacing w:val="0"/>
        <w:rPr>
          <w:sz w:val="24"/>
          <w:szCs w:val="24"/>
        </w:rPr>
      </w:pPr>
      <w:r>
        <w:rPr>
          <w:sz w:val="24"/>
          <w:szCs w:val="24"/>
        </w:rPr>
        <w:t>По состоянию на 31 декабря 2019 года запланировано освоить 468 млн долл. США, или 45 процентов от общей суммы выделенных на биоразнообразие средств, направляемых в страны через СПРР в период ГЭФ-7.</w:t>
      </w:r>
    </w:p>
    <w:p w:rsidR="009A61CF" w:rsidRPr="00FB4441" w:rsidRDefault="00B20283" w:rsidP="00665E66">
      <w:pPr>
        <w:pStyle w:val="a9"/>
        <w:numPr>
          <w:ilvl w:val="0"/>
          <w:numId w:val="25"/>
        </w:numPr>
        <w:spacing w:before="240" w:after="240" w:line="240" w:lineRule="auto"/>
        <w:ind w:left="0" w:firstLine="0"/>
        <w:contextualSpacing w:val="0"/>
        <w:rPr>
          <w:sz w:val="24"/>
          <w:szCs w:val="24"/>
        </w:rPr>
      </w:pPr>
      <w:r>
        <w:rPr>
          <w:sz w:val="24"/>
          <w:szCs w:val="24"/>
        </w:rPr>
        <w:t>Общая сумма запланированных ГЭФ средств на целевую область сохранения биоразнообразия составила 638 млн долл. США, что составляет 49 процентов от всех средств, выделенных на целевую область в период ГЭФ-7.</w:t>
      </w:r>
    </w:p>
    <w:p w:rsidR="00BC5F20" w:rsidRPr="00FB4441" w:rsidRDefault="00BC5F20" w:rsidP="00665E66">
      <w:pPr>
        <w:pStyle w:val="a9"/>
        <w:numPr>
          <w:ilvl w:val="0"/>
          <w:numId w:val="25"/>
        </w:numPr>
        <w:spacing w:before="240" w:after="240" w:line="240" w:lineRule="auto"/>
        <w:ind w:left="0" w:firstLine="0"/>
        <w:contextualSpacing w:val="0"/>
        <w:rPr>
          <w:sz w:val="24"/>
          <w:szCs w:val="24"/>
        </w:rPr>
      </w:pPr>
      <w:r>
        <w:rPr>
          <w:sz w:val="24"/>
          <w:szCs w:val="24"/>
        </w:rPr>
        <w:t>Эти ресурсы направлены на финансирование 38 проектов в целевой области сохранения биоразнообразия и 99 проектов многоцелевой направленности.</w:t>
      </w:r>
      <w:r w:rsidR="00776E86">
        <w:rPr>
          <w:sz w:val="24"/>
          <w:szCs w:val="24"/>
        </w:rPr>
        <w:t xml:space="preserve"> </w:t>
      </w:r>
      <w:r>
        <w:rPr>
          <w:sz w:val="24"/>
          <w:szCs w:val="24"/>
        </w:rPr>
        <w:t>Из этого числа 75 проектов проводились в рамках шести программных направлений, включая программы широкого воздействия.</w:t>
      </w:r>
      <w:r w:rsidR="00776E86">
        <w:rPr>
          <w:sz w:val="24"/>
          <w:szCs w:val="24"/>
        </w:rPr>
        <w:t xml:space="preserve"> </w:t>
      </w:r>
      <w:r>
        <w:rPr>
          <w:sz w:val="24"/>
          <w:szCs w:val="24"/>
        </w:rPr>
        <w:t xml:space="preserve">За счет этих инвестиций помощь получили 83 страны. </w:t>
      </w:r>
      <w:r>
        <w:rPr>
          <w:sz w:val="24"/>
          <w:szCs w:val="24"/>
        </w:rPr>
        <w:lastRenderedPageBreak/>
        <w:t>Эти показатели включают оплату услуг учреждений и гранты на подготовку проектов (</w:t>
      </w:r>
      <w:proofErr w:type="spellStart"/>
      <w:r>
        <w:rPr>
          <w:sz w:val="24"/>
          <w:szCs w:val="24"/>
        </w:rPr>
        <w:t>ГПП</w:t>
      </w:r>
      <w:proofErr w:type="spellEnd"/>
      <w:r>
        <w:rPr>
          <w:sz w:val="24"/>
          <w:szCs w:val="24"/>
        </w:rPr>
        <w:t>).</w:t>
      </w:r>
    </w:p>
    <w:p w:rsidR="00102140" w:rsidRPr="00FB4441" w:rsidRDefault="00B20283" w:rsidP="00CB6102">
      <w:pPr>
        <w:spacing w:before="240" w:after="0" w:line="240" w:lineRule="auto"/>
        <w:jc w:val="center"/>
        <w:rPr>
          <w:b/>
          <w:sz w:val="24"/>
          <w:szCs w:val="24"/>
        </w:rPr>
      </w:pPr>
      <w:r>
        <w:rPr>
          <w:b/>
          <w:bCs/>
          <w:sz w:val="24"/>
          <w:szCs w:val="24"/>
        </w:rPr>
        <w:t>Таблица 2. Сводные данные об использовании ресурсов в программах целевой области сохранения биоразнообразия в период ГЭФ-7</w:t>
      </w:r>
    </w:p>
    <w:p w:rsidR="00B20283" w:rsidRPr="00B20283" w:rsidRDefault="00B20283" w:rsidP="00D722AE">
      <w:pPr>
        <w:spacing w:after="240" w:line="240" w:lineRule="auto"/>
        <w:jc w:val="center"/>
        <w:rPr>
          <w:b/>
          <w:sz w:val="24"/>
          <w:szCs w:val="24"/>
        </w:rPr>
      </w:pPr>
      <w:r>
        <w:rPr>
          <w:b/>
          <w:bCs/>
          <w:sz w:val="24"/>
          <w:szCs w:val="24"/>
        </w:rPr>
        <w:t>(1 июля 2018 г. - 31 декабря 2019 г.)</w:t>
      </w:r>
      <w:r w:rsidR="007D5739" w:rsidRPr="00B20283">
        <w:rPr>
          <w:b/>
          <w:sz w:val="24"/>
          <w:szCs w:val="24"/>
          <w:vertAlign w:val="superscript"/>
          <w:lang w:val="en-GB"/>
        </w:rPr>
        <w:footnoteReference w:id="6"/>
      </w:r>
    </w:p>
    <w:tbl>
      <w:tblPr>
        <w:tblW w:w="10004" w:type="dxa"/>
        <w:tblBorders>
          <w:top w:val="single" w:sz="12" w:space="0" w:color="008000"/>
          <w:bottom w:val="single" w:sz="12" w:space="0" w:color="008000"/>
        </w:tblBorders>
        <w:tblLayout w:type="fixed"/>
        <w:tblLook w:val="01E0"/>
      </w:tblPr>
      <w:tblGrid>
        <w:gridCol w:w="4519"/>
        <w:gridCol w:w="1710"/>
        <w:gridCol w:w="1800"/>
        <w:gridCol w:w="1975"/>
      </w:tblGrid>
      <w:tr w:rsidR="00B20283" w:rsidRPr="00B20283" w:rsidTr="008354E6">
        <w:trPr>
          <w:trHeight w:val="432"/>
        </w:trPr>
        <w:tc>
          <w:tcPr>
            <w:tcW w:w="4519" w:type="dxa"/>
            <w:tcBorders>
              <w:bottom w:val="single" w:sz="6" w:space="0" w:color="008000"/>
            </w:tcBorders>
            <w:shd w:val="clear" w:color="auto" w:fill="auto"/>
          </w:tcPr>
          <w:p w:rsidR="00B20283" w:rsidRPr="00B20283" w:rsidRDefault="00B20283" w:rsidP="00D722AE">
            <w:pPr>
              <w:spacing w:after="120" w:line="240" w:lineRule="auto"/>
              <w:rPr>
                <w:rFonts w:cstheme="minorHAnsi"/>
                <w:b/>
                <w:bCs/>
              </w:rPr>
            </w:pPr>
          </w:p>
          <w:p w:rsidR="00B20283" w:rsidRPr="00B20283" w:rsidRDefault="00B20283" w:rsidP="00D722AE">
            <w:pPr>
              <w:spacing w:after="120" w:line="240" w:lineRule="auto"/>
              <w:rPr>
                <w:rFonts w:cstheme="minorHAnsi"/>
                <w:b/>
              </w:rPr>
            </w:pPr>
            <w:r>
              <w:rPr>
                <w:rFonts w:cstheme="minorHAnsi"/>
                <w:b/>
                <w:bCs/>
              </w:rPr>
              <w:t>Целевая область сохранения биоразнообразия</w:t>
            </w:r>
          </w:p>
        </w:tc>
        <w:tc>
          <w:tcPr>
            <w:tcW w:w="1710" w:type="dxa"/>
            <w:tcBorders>
              <w:bottom w:val="single" w:sz="6" w:space="0" w:color="008000"/>
            </w:tcBorders>
            <w:shd w:val="clear" w:color="auto" w:fill="auto"/>
          </w:tcPr>
          <w:p w:rsidR="00B20283" w:rsidRPr="00FB4441" w:rsidRDefault="00B20283" w:rsidP="00D722AE">
            <w:pPr>
              <w:spacing w:after="120" w:line="240" w:lineRule="auto"/>
              <w:rPr>
                <w:rFonts w:cstheme="minorHAnsi"/>
                <w:b/>
              </w:rPr>
            </w:pPr>
            <w:r>
              <w:rPr>
                <w:rFonts w:cstheme="minorHAnsi"/>
                <w:b/>
                <w:bCs/>
              </w:rPr>
              <w:t>ГЭФ-7</w:t>
            </w:r>
          </w:p>
          <w:p w:rsidR="00B20283" w:rsidRPr="00FB4441" w:rsidRDefault="00B20283" w:rsidP="00D722AE">
            <w:pPr>
              <w:spacing w:after="120" w:line="240" w:lineRule="auto"/>
              <w:rPr>
                <w:rFonts w:cstheme="minorHAnsi"/>
                <w:b/>
              </w:rPr>
            </w:pPr>
            <w:r>
              <w:rPr>
                <w:rFonts w:cstheme="minorHAnsi"/>
                <w:b/>
                <w:bCs/>
              </w:rPr>
              <w:t>Целевые задачи программ</w:t>
            </w:r>
          </w:p>
          <w:p w:rsidR="00B20283" w:rsidRPr="00B20283" w:rsidRDefault="00B20283" w:rsidP="00D722AE">
            <w:pPr>
              <w:spacing w:after="120" w:line="240" w:lineRule="auto"/>
              <w:rPr>
                <w:rFonts w:cstheme="minorHAnsi"/>
                <w:b/>
              </w:rPr>
            </w:pPr>
            <w:r>
              <w:rPr>
                <w:rFonts w:cstheme="minorHAnsi"/>
                <w:b/>
                <w:bCs/>
              </w:rPr>
              <w:t>(млн долл. США)</w:t>
            </w:r>
          </w:p>
        </w:tc>
        <w:tc>
          <w:tcPr>
            <w:tcW w:w="1800" w:type="dxa"/>
            <w:tcBorders>
              <w:bottom w:val="single" w:sz="6" w:space="0" w:color="008000"/>
            </w:tcBorders>
            <w:shd w:val="clear" w:color="auto" w:fill="auto"/>
          </w:tcPr>
          <w:p w:rsidR="00B20283" w:rsidRPr="00FB4441" w:rsidRDefault="00B20283" w:rsidP="00D722AE">
            <w:pPr>
              <w:spacing w:after="120" w:line="240" w:lineRule="auto"/>
              <w:rPr>
                <w:rFonts w:cstheme="minorHAnsi"/>
                <w:b/>
              </w:rPr>
            </w:pPr>
            <w:r>
              <w:rPr>
                <w:rFonts w:cstheme="minorHAnsi"/>
                <w:b/>
                <w:bCs/>
              </w:rPr>
              <w:t>ГЭФ-7</w:t>
            </w:r>
          </w:p>
          <w:p w:rsidR="00B20283" w:rsidRPr="00FB4441" w:rsidRDefault="00B20283" w:rsidP="00D722AE">
            <w:pPr>
              <w:spacing w:after="120" w:line="240" w:lineRule="auto"/>
              <w:rPr>
                <w:rFonts w:cstheme="minorHAnsi"/>
                <w:b/>
              </w:rPr>
            </w:pPr>
            <w:r>
              <w:rPr>
                <w:rFonts w:cstheme="minorHAnsi"/>
                <w:b/>
                <w:bCs/>
              </w:rPr>
              <w:t>Программы</w:t>
            </w:r>
          </w:p>
          <w:p w:rsidR="00B20283" w:rsidRPr="00FB4441" w:rsidRDefault="00B20283" w:rsidP="00D722AE">
            <w:pPr>
              <w:spacing w:after="120" w:line="240" w:lineRule="auto"/>
              <w:rPr>
                <w:rFonts w:cstheme="minorHAnsi"/>
                <w:b/>
              </w:rPr>
            </w:pPr>
            <w:r>
              <w:rPr>
                <w:rFonts w:cstheme="minorHAnsi"/>
                <w:b/>
                <w:bCs/>
              </w:rPr>
              <w:t>(млн долл. США)</w:t>
            </w:r>
          </w:p>
        </w:tc>
        <w:tc>
          <w:tcPr>
            <w:tcW w:w="1975" w:type="dxa"/>
            <w:tcBorders>
              <w:bottom w:val="single" w:sz="6" w:space="0" w:color="008000"/>
            </w:tcBorders>
            <w:shd w:val="clear" w:color="auto" w:fill="auto"/>
          </w:tcPr>
          <w:p w:rsidR="00B20283" w:rsidRPr="00B20283" w:rsidRDefault="00B20283" w:rsidP="00D722AE">
            <w:pPr>
              <w:spacing w:after="120" w:line="240" w:lineRule="auto"/>
              <w:rPr>
                <w:rFonts w:cstheme="minorHAnsi"/>
                <w:b/>
              </w:rPr>
            </w:pPr>
            <w:r>
              <w:rPr>
                <w:rFonts w:cstheme="minorHAnsi"/>
                <w:b/>
                <w:bCs/>
              </w:rPr>
              <w:t>ГЭФ-7</w:t>
            </w:r>
          </w:p>
          <w:p w:rsidR="00B20283" w:rsidRPr="00B20283" w:rsidRDefault="00B20283" w:rsidP="00D722AE">
            <w:pPr>
              <w:spacing w:after="120" w:line="240" w:lineRule="auto"/>
              <w:rPr>
                <w:rFonts w:cstheme="minorHAnsi"/>
                <w:b/>
              </w:rPr>
            </w:pPr>
            <w:r>
              <w:rPr>
                <w:rFonts w:cstheme="minorHAnsi"/>
                <w:b/>
                <w:bCs/>
              </w:rPr>
              <w:t>Программы (%)</w:t>
            </w:r>
          </w:p>
        </w:tc>
      </w:tr>
      <w:tr w:rsidR="00B20283" w:rsidRPr="00B20283" w:rsidTr="008354E6">
        <w:trPr>
          <w:trHeight w:val="432"/>
        </w:trPr>
        <w:tc>
          <w:tcPr>
            <w:tcW w:w="4519" w:type="dxa"/>
            <w:shd w:val="clear" w:color="auto" w:fill="auto"/>
          </w:tcPr>
          <w:p w:rsidR="00B20283" w:rsidRPr="00B20283" w:rsidRDefault="00B20283" w:rsidP="00A238C7">
            <w:pPr>
              <w:spacing w:line="240" w:lineRule="auto"/>
              <w:rPr>
                <w:rFonts w:cstheme="minorHAnsi"/>
                <w:i/>
              </w:rPr>
            </w:pPr>
            <w:r>
              <w:rPr>
                <w:rFonts w:cstheme="minorHAnsi"/>
                <w:i/>
                <w:iCs/>
              </w:rPr>
              <w:t>Страновые ассигнования по СПРР</w:t>
            </w:r>
          </w:p>
        </w:tc>
        <w:tc>
          <w:tcPr>
            <w:tcW w:w="1710" w:type="dxa"/>
            <w:shd w:val="clear" w:color="auto" w:fill="auto"/>
          </w:tcPr>
          <w:p w:rsidR="00B20283" w:rsidRPr="00B20283" w:rsidRDefault="00B20283" w:rsidP="00A238C7">
            <w:pPr>
              <w:spacing w:line="240" w:lineRule="auto"/>
              <w:rPr>
                <w:rFonts w:cstheme="minorHAnsi"/>
                <w:i/>
              </w:rPr>
            </w:pPr>
            <w:r>
              <w:rPr>
                <w:rFonts w:cstheme="minorHAnsi"/>
                <w:i/>
                <w:iCs/>
              </w:rPr>
              <w:t>1031</w:t>
            </w:r>
          </w:p>
        </w:tc>
        <w:tc>
          <w:tcPr>
            <w:tcW w:w="1800" w:type="dxa"/>
            <w:shd w:val="clear" w:color="auto" w:fill="auto"/>
          </w:tcPr>
          <w:p w:rsidR="00B20283" w:rsidRPr="00FF72CD" w:rsidRDefault="00341B7F" w:rsidP="00A238C7">
            <w:pPr>
              <w:spacing w:line="240" w:lineRule="auto"/>
              <w:rPr>
                <w:rFonts w:cstheme="minorHAnsi"/>
                <w:b/>
                <w:i/>
                <w:highlight w:val="yellow"/>
              </w:rPr>
            </w:pPr>
            <w:r>
              <w:rPr>
                <w:rFonts w:cstheme="minorHAnsi"/>
                <w:b/>
                <w:bCs/>
                <w:i/>
                <w:iCs/>
              </w:rPr>
              <w:t>468</w:t>
            </w:r>
          </w:p>
        </w:tc>
        <w:tc>
          <w:tcPr>
            <w:tcW w:w="1975" w:type="dxa"/>
            <w:shd w:val="clear" w:color="auto" w:fill="auto"/>
          </w:tcPr>
          <w:p w:rsidR="00B20283" w:rsidRPr="00D16D0B" w:rsidRDefault="004036CA" w:rsidP="00A238C7">
            <w:pPr>
              <w:spacing w:line="240" w:lineRule="auto"/>
              <w:rPr>
                <w:rFonts w:cstheme="minorHAnsi"/>
                <w:b/>
                <w:i/>
              </w:rPr>
            </w:pPr>
            <w:r>
              <w:rPr>
                <w:rFonts w:cstheme="minorHAnsi"/>
                <w:b/>
                <w:bCs/>
                <w:i/>
                <w:iCs/>
              </w:rPr>
              <w:t>45</w:t>
            </w:r>
          </w:p>
        </w:tc>
      </w:tr>
      <w:tr w:rsidR="00B20283" w:rsidRPr="00B20283" w:rsidTr="008354E6">
        <w:trPr>
          <w:trHeight w:val="432"/>
        </w:trPr>
        <w:tc>
          <w:tcPr>
            <w:tcW w:w="4519" w:type="dxa"/>
            <w:shd w:val="clear" w:color="auto" w:fill="auto"/>
          </w:tcPr>
          <w:p w:rsidR="00B20283" w:rsidRPr="00B20283" w:rsidRDefault="00B20283" w:rsidP="00A238C7">
            <w:pPr>
              <w:spacing w:line="240" w:lineRule="auto"/>
              <w:rPr>
                <w:rFonts w:cstheme="minorHAnsi"/>
                <w:i/>
              </w:rPr>
            </w:pPr>
            <w:r>
              <w:rPr>
                <w:rFonts w:cstheme="minorHAnsi"/>
                <w:i/>
                <w:iCs/>
              </w:rPr>
              <w:t>Зарезервировано по СПРР</w:t>
            </w:r>
          </w:p>
        </w:tc>
        <w:tc>
          <w:tcPr>
            <w:tcW w:w="1710" w:type="dxa"/>
            <w:shd w:val="clear" w:color="auto" w:fill="auto"/>
          </w:tcPr>
          <w:p w:rsidR="00B20283" w:rsidRPr="00B20283" w:rsidRDefault="00B20283" w:rsidP="00A238C7">
            <w:pPr>
              <w:spacing w:line="240" w:lineRule="auto"/>
              <w:rPr>
                <w:rFonts w:cstheme="minorHAnsi"/>
              </w:rPr>
            </w:pPr>
          </w:p>
        </w:tc>
        <w:tc>
          <w:tcPr>
            <w:tcW w:w="1800" w:type="dxa"/>
            <w:shd w:val="clear" w:color="auto" w:fill="auto"/>
          </w:tcPr>
          <w:p w:rsidR="00B20283" w:rsidRPr="00B20283" w:rsidRDefault="00B20283" w:rsidP="00A238C7">
            <w:pPr>
              <w:spacing w:line="240" w:lineRule="auto"/>
              <w:rPr>
                <w:rFonts w:cstheme="minorHAnsi"/>
                <w:b/>
              </w:rPr>
            </w:pPr>
          </w:p>
        </w:tc>
        <w:tc>
          <w:tcPr>
            <w:tcW w:w="1975" w:type="dxa"/>
            <w:shd w:val="clear" w:color="auto" w:fill="auto"/>
          </w:tcPr>
          <w:p w:rsidR="00B20283" w:rsidRPr="00D16D0B" w:rsidRDefault="00B20283" w:rsidP="00A238C7">
            <w:pPr>
              <w:spacing w:line="240" w:lineRule="auto"/>
              <w:rPr>
                <w:rFonts w:cstheme="minorHAnsi"/>
                <w:b/>
              </w:rPr>
            </w:pPr>
          </w:p>
        </w:tc>
      </w:tr>
      <w:tr w:rsidR="00B20283" w:rsidRPr="00B20283" w:rsidTr="008354E6">
        <w:trPr>
          <w:trHeight w:val="432"/>
        </w:trPr>
        <w:tc>
          <w:tcPr>
            <w:tcW w:w="4519" w:type="dxa"/>
            <w:shd w:val="clear" w:color="auto" w:fill="auto"/>
          </w:tcPr>
          <w:p w:rsidR="00B20283" w:rsidRPr="00B20283" w:rsidRDefault="004B4877" w:rsidP="00A238C7">
            <w:pPr>
              <w:spacing w:line="240" w:lineRule="auto"/>
              <w:rPr>
                <w:rFonts w:cstheme="minorHAnsi"/>
              </w:rPr>
            </w:pPr>
            <w:r>
              <w:rPr>
                <w:rFonts w:cstheme="minorHAnsi"/>
              </w:rPr>
              <w:t>Стимулирующие мероприятия</w:t>
            </w:r>
          </w:p>
        </w:tc>
        <w:tc>
          <w:tcPr>
            <w:tcW w:w="1710" w:type="dxa"/>
            <w:shd w:val="clear" w:color="auto" w:fill="auto"/>
          </w:tcPr>
          <w:p w:rsidR="00B20283" w:rsidRPr="00B20283" w:rsidRDefault="00F636E8" w:rsidP="00A238C7">
            <w:pPr>
              <w:spacing w:line="240" w:lineRule="auto"/>
              <w:rPr>
                <w:rFonts w:cstheme="minorHAnsi"/>
              </w:rPr>
            </w:pPr>
            <w:r>
              <w:rPr>
                <w:rFonts w:cstheme="minorHAnsi"/>
              </w:rPr>
              <w:t>46</w:t>
            </w:r>
          </w:p>
        </w:tc>
        <w:tc>
          <w:tcPr>
            <w:tcW w:w="1800" w:type="dxa"/>
            <w:shd w:val="clear" w:color="auto" w:fill="auto"/>
          </w:tcPr>
          <w:p w:rsidR="00B20283" w:rsidRPr="00B20283" w:rsidRDefault="00F80F37" w:rsidP="00A238C7">
            <w:pPr>
              <w:spacing w:line="240" w:lineRule="auto"/>
              <w:rPr>
                <w:rFonts w:cstheme="minorHAnsi"/>
                <w:b/>
              </w:rPr>
            </w:pPr>
            <w:r>
              <w:rPr>
                <w:rFonts w:cstheme="minorHAnsi"/>
                <w:b/>
                <w:bCs/>
              </w:rPr>
              <w:t>0</w:t>
            </w:r>
          </w:p>
        </w:tc>
        <w:tc>
          <w:tcPr>
            <w:tcW w:w="1975" w:type="dxa"/>
            <w:shd w:val="clear" w:color="auto" w:fill="auto"/>
          </w:tcPr>
          <w:p w:rsidR="00B20283" w:rsidRPr="00D16D0B" w:rsidRDefault="00F80F37" w:rsidP="00A238C7">
            <w:pPr>
              <w:spacing w:line="240" w:lineRule="auto"/>
              <w:rPr>
                <w:rFonts w:cstheme="minorHAnsi"/>
                <w:b/>
              </w:rPr>
            </w:pPr>
            <w:r>
              <w:rPr>
                <w:rFonts w:cstheme="minorHAnsi"/>
                <w:b/>
                <w:bCs/>
              </w:rPr>
              <w:t>0</w:t>
            </w:r>
          </w:p>
        </w:tc>
      </w:tr>
      <w:tr w:rsidR="00B20283" w:rsidRPr="00B20283" w:rsidTr="008354E6">
        <w:trPr>
          <w:trHeight w:val="432"/>
        </w:trPr>
        <w:tc>
          <w:tcPr>
            <w:tcW w:w="4519" w:type="dxa"/>
            <w:shd w:val="clear" w:color="auto" w:fill="auto"/>
          </w:tcPr>
          <w:p w:rsidR="00B20283" w:rsidRPr="00FB4441" w:rsidRDefault="00B20283" w:rsidP="00A238C7">
            <w:pPr>
              <w:spacing w:line="240" w:lineRule="auto"/>
              <w:rPr>
                <w:rFonts w:cstheme="minorHAnsi"/>
              </w:rPr>
            </w:pPr>
            <w:r>
              <w:rPr>
                <w:rFonts w:cstheme="minorHAnsi"/>
              </w:rPr>
              <w:t>Глобальные и региональные проекты и программы по биоразнообразию</w:t>
            </w:r>
          </w:p>
        </w:tc>
        <w:tc>
          <w:tcPr>
            <w:tcW w:w="1710" w:type="dxa"/>
            <w:shd w:val="clear" w:color="auto" w:fill="auto"/>
          </w:tcPr>
          <w:p w:rsidR="00B20283" w:rsidRPr="00B20283" w:rsidRDefault="002C2FB9" w:rsidP="00A238C7">
            <w:pPr>
              <w:spacing w:line="240" w:lineRule="auto"/>
              <w:rPr>
                <w:rFonts w:cstheme="minorHAnsi"/>
              </w:rPr>
            </w:pPr>
            <w:r>
              <w:rPr>
                <w:rFonts w:cstheme="minorHAnsi"/>
              </w:rPr>
              <w:t>55</w:t>
            </w:r>
          </w:p>
        </w:tc>
        <w:tc>
          <w:tcPr>
            <w:tcW w:w="1800" w:type="dxa"/>
            <w:shd w:val="clear" w:color="auto" w:fill="auto"/>
          </w:tcPr>
          <w:p w:rsidR="00B20283" w:rsidRPr="00B20283" w:rsidRDefault="003938FF" w:rsidP="00A238C7">
            <w:pPr>
              <w:spacing w:line="240" w:lineRule="auto"/>
              <w:rPr>
                <w:rFonts w:cstheme="minorHAnsi"/>
                <w:b/>
              </w:rPr>
            </w:pPr>
            <w:r>
              <w:rPr>
                <w:rFonts w:cstheme="minorHAnsi"/>
                <w:b/>
                <w:bCs/>
              </w:rPr>
              <w:t>36</w:t>
            </w:r>
          </w:p>
        </w:tc>
        <w:tc>
          <w:tcPr>
            <w:tcW w:w="1975" w:type="dxa"/>
            <w:shd w:val="clear" w:color="auto" w:fill="auto"/>
          </w:tcPr>
          <w:p w:rsidR="00B20283" w:rsidRPr="00D16D0B" w:rsidRDefault="00E9132C" w:rsidP="00A238C7">
            <w:pPr>
              <w:spacing w:line="240" w:lineRule="auto"/>
              <w:rPr>
                <w:rFonts w:cstheme="minorHAnsi"/>
                <w:b/>
              </w:rPr>
            </w:pPr>
            <w:r>
              <w:rPr>
                <w:rFonts w:cstheme="minorHAnsi"/>
                <w:b/>
                <w:bCs/>
              </w:rPr>
              <w:t>65</w:t>
            </w:r>
          </w:p>
        </w:tc>
      </w:tr>
      <w:tr w:rsidR="00B20283" w:rsidRPr="00B20283" w:rsidTr="008354E6">
        <w:trPr>
          <w:trHeight w:val="432"/>
        </w:trPr>
        <w:tc>
          <w:tcPr>
            <w:tcW w:w="4519" w:type="dxa"/>
            <w:shd w:val="clear" w:color="auto" w:fill="auto"/>
          </w:tcPr>
          <w:p w:rsidR="00B20283" w:rsidRPr="00B20283" w:rsidRDefault="00B20283" w:rsidP="00A238C7">
            <w:pPr>
              <w:spacing w:line="240" w:lineRule="auto"/>
              <w:rPr>
                <w:rFonts w:cstheme="minorHAnsi"/>
              </w:rPr>
            </w:pPr>
            <w:r>
              <w:rPr>
                <w:rFonts w:cstheme="minorHAnsi"/>
              </w:rPr>
              <w:t>Комплексные программы</w:t>
            </w:r>
          </w:p>
        </w:tc>
        <w:tc>
          <w:tcPr>
            <w:tcW w:w="1710" w:type="dxa"/>
            <w:shd w:val="clear" w:color="auto" w:fill="auto"/>
          </w:tcPr>
          <w:p w:rsidR="00B20283" w:rsidRPr="00B20283" w:rsidRDefault="00A923DD" w:rsidP="00A238C7">
            <w:pPr>
              <w:spacing w:line="240" w:lineRule="auto"/>
              <w:rPr>
                <w:rFonts w:cstheme="minorHAnsi"/>
              </w:rPr>
            </w:pPr>
            <w:r>
              <w:rPr>
                <w:rFonts w:cstheme="minorHAnsi"/>
              </w:rPr>
              <w:t>160</w:t>
            </w:r>
          </w:p>
        </w:tc>
        <w:tc>
          <w:tcPr>
            <w:tcW w:w="1800" w:type="dxa"/>
            <w:shd w:val="clear" w:color="auto" w:fill="auto"/>
          </w:tcPr>
          <w:p w:rsidR="00B20283" w:rsidRPr="00B20283" w:rsidRDefault="00B20283" w:rsidP="00A238C7">
            <w:pPr>
              <w:spacing w:line="240" w:lineRule="auto"/>
              <w:rPr>
                <w:rFonts w:cstheme="minorHAnsi"/>
                <w:b/>
              </w:rPr>
            </w:pPr>
          </w:p>
        </w:tc>
        <w:tc>
          <w:tcPr>
            <w:tcW w:w="1975" w:type="dxa"/>
            <w:shd w:val="clear" w:color="auto" w:fill="auto"/>
          </w:tcPr>
          <w:p w:rsidR="00B20283" w:rsidRPr="00D16D0B" w:rsidRDefault="00B20283" w:rsidP="00A238C7">
            <w:pPr>
              <w:spacing w:line="240" w:lineRule="auto"/>
              <w:rPr>
                <w:rFonts w:cstheme="minorHAnsi"/>
                <w:b/>
              </w:rPr>
            </w:pPr>
          </w:p>
        </w:tc>
      </w:tr>
      <w:tr w:rsidR="00B20283" w:rsidRPr="00CA2C08" w:rsidTr="008354E6">
        <w:trPr>
          <w:trHeight w:val="432"/>
        </w:trPr>
        <w:tc>
          <w:tcPr>
            <w:tcW w:w="4519" w:type="dxa"/>
            <w:shd w:val="clear" w:color="auto" w:fill="auto"/>
          </w:tcPr>
          <w:p w:rsidR="006A5CB6" w:rsidRPr="00FB4441" w:rsidRDefault="00773F4F" w:rsidP="00A238C7">
            <w:pPr>
              <w:pStyle w:val="a9"/>
              <w:numPr>
                <w:ilvl w:val="0"/>
                <w:numId w:val="9"/>
              </w:numPr>
              <w:spacing w:line="240" w:lineRule="auto"/>
              <w:rPr>
                <w:rFonts w:cstheme="minorHAnsi"/>
              </w:rPr>
            </w:pPr>
            <w:r>
              <w:rPr>
                <w:rFonts w:cstheme="minorHAnsi"/>
              </w:rPr>
              <w:t>Продовольственные системы, землепользование и восстановление</w:t>
            </w:r>
          </w:p>
        </w:tc>
        <w:tc>
          <w:tcPr>
            <w:tcW w:w="1710" w:type="dxa"/>
            <w:shd w:val="clear" w:color="auto" w:fill="auto"/>
          </w:tcPr>
          <w:p w:rsidR="00B20283" w:rsidRPr="00CA2C08" w:rsidRDefault="00773F4F" w:rsidP="00A238C7">
            <w:pPr>
              <w:spacing w:line="240" w:lineRule="auto"/>
              <w:rPr>
                <w:rFonts w:cstheme="minorHAnsi"/>
              </w:rPr>
            </w:pPr>
            <w:r>
              <w:rPr>
                <w:rFonts w:cstheme="minorHAnsi"/>
              </w:rPr>
              <w:t>92</w:t>
            </w:r>
          </w:p>
        </w:tc>
        <w:tc>
          <w:tcPr>
            <w:tcW w:w="1800" w:type="dxa"/>
            <w:shd w:val="clear" w:color="auto" w:fill="auto"/>
          </w:tcPr>
          <w:p w:rsidR="00B20283" w:rsidRPr="00CA2C08" w:rsidRDefault="00085DDE" w:rsidP="00A238C7">
            <w:pPr>
              <w:spacing w:line="240" w:lineRule="auto"/>
              <w:rPr>
                <w:rFonts w:cstheme="minorHAnsi"/>
                <w:b/>
              </w:rPr>
            </w:pPr>
            <w:r>
              <w:rPr>
                <w:rFonts w:cstheme="minorHAnsi"/>
                <w:b/>
                <w:bCs/>
              </w:rPr>
              <w:t>70</w:t>
            </w:r>
          </w:p>
        </w:tc>
        <w:tc>
          <w:tcPr>
            <w:tcW w:w="1975" w:type="dxa"/>
            <w:shd w:val="clear" w:color="auto" w:fill="auto"/>
          </w:tcPr>
          <w:p w:rsidR="00AC4C9E" w:rsidRPr="00D16D0B" w:rsidRDefault="00D16D0B" w:rsidP="00A238C7">
            <w:pPr>
              <w:spacing w:line="240" w:lineRule="auto"/>
              <w:rPr>
                <w:rFonts w:cstheme="minorHAnsi"/>
                <w:b/>
              </w:rPr>
            </w:pPr>
            <w:r>
              <w:rPr>
                <w:rFonts w:cstheme="minorHAnsi"/>
                <w:b/>
                <w:bCs/>
              </w:rPr>
              <w:t>76</w:t>
            </w:r>
          </w:p>
        </w:tc>
      </w:tr>
      <w:tr w:rsidR="00B20283" w:rsidRPr="00CA2C08" w:rsidTr="00AA4E66">
        <w:trPr>
          <w:trHeight w:val="639"/>
        </w:trPr>
        <w:tc>
          <w:tcPr>
            <w:tcW w:w="4519" w:type="dxa"/>
            <w:shd w:val="clear" w:color="auto" w:fill="auto"/>
          </w:tcPr>
          <w:p w:rsidR="00AC4C9E" w:rsidRPr="00FB4441" w:rsidRDefault="00AC4C9E" w:rsidP="00A238C7">
            <w:pPr>
              <w:pStyle w:val="a9"/>
              <w:numPr>
                <w:ilvl w:val="0"/>
                <w:numId w:val="10"/>
              </w:numPr>
              <w:spacing w:line="240" w:lineRule="auto"/>
              <w:rPr>
                <w:rFonts w:cstheme="minorHAnsi"/>
              </w:rPr>
            </w:pPr>
            <w:r>
              <w:rPr>
                <w:rFonts w:cstheme="minorHAnsi"/>
              </w:rPr>
              <w:t xml:space="preserve">Основные биомы </w:t>
            </w:r>
            <w:proofErr w:type="spellStart"/>
            <w:r>
              <w:rPr>
                <w:rFonts w:cstheme="minorHAnsi"/>
              </w:rPr>
              <w:t>УЛП</w:t>
            </w:r>
            <w:proofErr w:type="spellEnd"/>
            <w:r>
              <w:rPr>
                <w:rFonts w:cstheme="minorHAnsi"/>
              </w:rPr>
              <w:t xml:space="preserve"> (Амазонка, Конго, засушливые районы)</w:t>
            </w:r>
          </w:p>
        </w:tc>
        <w:tc>
          <w:tcPr>
            <w:tcW w:w="1710" w:type="dxa"/>
            <w:shd w:val="clear" w:color="auto" w:fill="auto"/>
          </w:tcPr>
          <w:p w:rsidR="00503D75" w:rsidRPr="00CA2C08" w:rsidRDefault="00AC4C9E" w:rsidP="00A238C7">
            <w:pPr>
              <w:spacing w:line="240" w:lineRule="auto"/>
              <w:rPr>
                <w:rFonts w:cstheme="minorHAnsi"/>
              </w:rPr>
            </w:pPr>
            <w:r>
              <w:rPr>
                <w:rFonts w:cstheme="minorHAnsi"/>
              </w:rPr>
              <w:t>53</w:t>
            </w:r>
          </w:p>
        </w:tc>
        <w:tc>
          <w:tcPr>
            <w:tcW w:w="1800" w:type="dxa"/>
            <w:shd w:val="clear" w:color="auto" w:fill="auto"/>
          </w:tcPr>
          <w:p w:rsidR="002E6C14" w:rsidRPr="00CA2C08" w:rsidRDefault="002E6C14" w:rsidP="00A238C7">
            <w:pPr>
              <w:spacing w:line="240" w:lineRule="auto"/>
              <w:rPr>
                <w:rFonts w:cstheme="minorHAnsi"/>
                <w:b/>
              </w:rPr>
            </w:pPr>
            <w:r>
              <w:rPr>
                <w:rFonts w:cstheme="minorHAnsi"/>
                <w:b/>
                <w:bCs/>
              </w:rPr>
              <w:t>50</w:t>
            </w:r>
          </w:p>
        </w:tc>
        <w:tc>
          <w:tcPr>
            <w:tcW w:w="1975" w:type="dxa"/>
            <w:shd w:val="clear" w:color="auto" w:fill="auto"/>
          </w:tcPr>
          <w:p w:rsidR="002E6C14" w:rsidRPr="00D16D0B" w:rsidRDefault="002E6C14" w:rsidP="00A238C7">
            <w:pPr>
              <w:spacing w:line="240" w:lineRule="auto"/>
              <w:rPr>
                <w:rFonts w:cstheme="minorHAnsi"/>
                <w:b/>
              </w:rPr>
            </w:pPr>
            <w:r>
              <w:rPr>
                <w:rFonts w:cstheme="minorHAnsi"/>
                <w:b/>
                <w:bCs/>
              </w:rPr>
              <w:t>100</w:t>
            </w:r>
          </w:p>
        </w:tc>
      </w:tr>
      <w:tr w:rsidR="00A05F23" w:rsidRPr="00CA2C08" w:rsidTr="008354E6">
        <w:trPr>
          <w:trHeight w:val="432"/>
        </w:trPr>
        <w:tc>
          <w:tcPr>
            <w:tcW w:w="4519" w:type="dxa"/>
            <w:shd w:val="clear" w:color="auto" w:fill="auto"/>
          </w:tcPr>
          <w:p w:rsidR="00A05F23" w:rsidRPr="00A05F23" w:rsidRDefault="00A05F23" w:rsidP="00A238C7">
            <w:pPr>
              <w:pStyle w:val="a9"/>
              <w:numPr>
                <w:ilvl w:val="0"/>
                <w:numId w:val="10"/>
              </w:numPr>
              <w:spacing w:line="240" w:lineRule="auto"/>
              <w:rPr>
                <w:rFonts w:cstheme="minorHAnsi"/>
              </w:rPr>
            </w:pPr>
            <w:r>
              <w:rPr>
                <w:rFonts w:cstheme="minorHAnsi"/>
              </w:rPr>
              <w:t>Устойчивое развитие городов</w:t>
            </w:r>
          </w:p>
        </w:tc>
        <w:tc>
          <w:tcPr>
            <w:tcW w:w="1710" w:type="dxa"/>
            <w:shd w:val="clear" w:color="auto" w:fill="auto"/>
          </w:tcPr>
          <w:p w:rsidR="00A05F23" w:rsidRPr="00CA2C08" w:rsidRDefault="00A05F23" w:rsidP="00A238C7">
            <w:pPr>
              <w:spacing w:line="240" w:lineRule="auto"/>
              <w:rPr>
                <w:rFonts w:cstheme="minorHAnsi"/>
                <w:i/>
              </w:rPr>
            </w:pPr>
            <w:r>
              <w:rPr>
                <w:rFonts w:cstheme="minorHAnsi"/>
              </w:rPr>
              <w:t>15</w:t>
            </w:r>
          </w:p>
        </w:tc>
        <w:tc>
          <w:tcPr>
            <w:tcW w:w="1800" w:type="dxa"/>
            <w:shd w:val="clear" w:color="auto" w:fill="auto"/>
          </w:tcPr>
          <w:p w:rsidR="00A05F23" w:rsidRPr="00CA2C08" w:rsidRDefault="00A05F23" w:rsidP="00A238C7">
            <w:pPr>
              <w:spacing w:line="240" w:lineRule="auto"/>
              <w:rPr>
                <w:rFonts w:cstheme="minorHAnsi"/>
                <w:b/>
                <w:i/>
              </w:rPr>
            </w:pPr>
            <w:r>
              <w:rPr>
                <w:rFonts w:cstheme="minorHAnsi"/>
                <w:b/>
                <w:bCs/>
              </w:rPr>
              <w:t>15</w:t>
            </w:r>
          </w:p>
        </w:tc>
        <w:tc>
          <w:tcPr>
            <w:tcW w:w="1975" w:type="dxa"/>
            <w:shd w:val="clear" w:color="auto" w:fill="auto"/>
          </w:tcPr>
          <w:p w:rsidR="00A05F23" w:rsidRPr="00AA4E66" w:rsidRDefault="00A05F23" w:rsidP="00A238C7">
            <w:pPr>
              <w:spacing w:line="240" w:lineRule="auto"/>
              <w:rPr>
                <w:rFonts w:cstheme="minorHAnsi"/>
                <w:b/>
              </w:rPr>
            </w:pPr>
            <w:r>
              <w:rPr>
                <w:rFonts w:cstheme="minorHAnsi"/>
                <w:b/>
                <w:bCs/>
              </w:rPr>
              <w:t>100</w:t>
            </w:r>
          </w:p>
        </w:tc>
      </w:tr>
      <w:tr w:rsidR="00A05F23" w:rsidRPr="00B20283" w:rsidTr="008354E6">
        <w:trPr>
          <w:trHeight w:val="432"/>
        </w:trPr>
        <w:tc>
          <w:tcPr>
            <w:tcW w:w="4519" w:type="dxa"/>
            <w:tcBorders>
              <w:top w:val="single" w:sz="6" w:space="0" w:color="008000"/>
            </w:tcBorders>
            <w:shd w:val="clear" w:color="auto" w:fill="auto"/>
          </w:tcPr>
          <w:p w:rsidR="00A05F23" w:rsidRPr="00CA2C08" w:rsidRDefault="00A05F23" w:rsidP="00A05F23">
            <w:pPr>
              <w:rPr>
                <w:rFonts w:cstheme="minorHAnsi"/>
                <w:b/>
              </w:rPr>
            </w:pPr>
            <w:r>
              <w:rPr>
                <w:rFonts w:cstheme="minorHAnsi"/>
                <w:b/>
                <w:bCs/>
              </w:rPr>
              <w:t>Всего ресурсы</w:t>
            </w:r>
          </w:p>
        </w:tc>
        <w:tc>
          <w:tcPr>
            <w:tcW w:w="1710" w:type="dxa"/>
            <w:tcBorders>
              <w:top w:val="single" w:sz="6" w:space="0" w:color="008000"/>
            </w:tcBorders>
            <w:shd w:val="clear" w:color="auto" w:fill="auto"/>
          </w:tcPr>
          <w:p w:rsidR="00A05F23" w:rsidRPr="00CA2C08" w:rsidRDefault="00A05F23" w:rsidP="00A05F23">
            <w:pPr>
              <w:rPr>
                <w:rFonts w:cstheme="minorHAnsi"/>
                <w:b/>
              </w:rPr>
            </w:pPr>
            <w:r>
              <w:rPr>
                <w:rFonts w:cstheme="minorHAnsi"/>
                <w:b/>
                <w:bCs/>
              </w:rPr>
              <w:t>1292</w:t>
            </w:r>
          </w:p>
        </w:tc>
        <w:tc>
          <w:tcPr>
            <w:tcW w:w="1800" w:type="dxa"/>
            <w:tcBorders>
              <w:top w:val="single" w:sz="6" w:space="0" w:color="008000"/>
            </w:tcBorders>
            <w:shd w:val="clear" w:color="auto" w:fill="auto"/>
          </w:tcPr>
          <w:p w:rsidR="00A05F23" w:rsidRPr="00CA2C08" w:rsidRDefault="00A05F23" w:rsidP="00A05F23">
            <w:pPr>
              <w:rPr>
                <w:rFonts w:cstheme="minorHAnsi"/>
                <w:b/>
              </w:rPr>
            </w:pPr>
            <w:r>
              <w:rPr>
                <w:rFonts w:cstheme="minorHAnsi"/>
                <w:b/>
                <w:bCs/>
              </w:rPr>
              <w:t>638</w:t>
            </w:r>
          </w:p>
        </w:tc>
        <w:tc>
          <w:tcPr>
            <w:tcW w:w="1975" w:type="dxa"/>
            <w:tcBorders>
              <w:top w:val="single" w:sz="6" w:space="0" w:color="008000"/>
            </w:tcBorders>
            <w:shd w:val="clear" w:color="auto" w:fill="auto"/>
          </w:tcPr>
          <w:p w:rsidR="00A05F23" w:rsidRPr="00D16D0B" w:rsidRDefault="00A05F23" w:rsidP="00A05F23">
            <w:pPr>
              <w:rPr>
                <w:rFonts w:cstheme="minorHAnsi"/>
                <w:b/>
              </w:rPr>
            </w:pPr>
            <w:r>
              <w:rPr>
                <w:rFonts w:cstheme="minorHAnsi"/>
                <w:b/>
                <w:bCs/>
              </w:rPr>
              <w:t>49</w:t>
            </w:r>
          </w:p>
        </w:tc>
      </w:tr>
    </w:tbl>
    <w:p w:rsidR="00BF4A58" w:rsidRPr="00FB4441" w:rsidRDefault="00BF4A58" w:rsidP="000C09D1">
      <w:pPr>
        <w:pStyle w:val="2"/>
        <w:rPr>
          <w:lang w:val="ru-RU"/>
        </w:rPr>
      </w:pPr>
      <w:bookmarkStart w:id="22" w:name="_Toc32494916"/>
      <w:r w:rsidRPr="00644CCA">
        <w:rPr>
          <w:bCs/>
          <w:lang w:val="ru-RU"/>
        </w:rPr>
        <w:t>Вклад программ в период ГЭФ-7 в выполнение Айтинских целевых задач в области биоразнообразия</w:t>
      </w:r>
      <w:bookmarkEnd w:id="22"/>
    </w:p>
    <w:p w:rsidR="009260AD" w:rsidRPr="00FB4441" w:rsidRDefault="00D7513D" w:rsidP="00665E66">
      <w:pPr>
        <w:pStyle w:val="a9"/>
        <w:numPr>
          <w:ilvl w:val="0"/>
          <w:numId w:val="25"/>
        </w:numPr>
        <w:spacing w:before="240" w:after="240" w:line="240" w:lineRule="auto"/>
        <w:ind w:left="0" w:firstLine="0"/>
        <w:contextualSpacing w:val="0"/>
        <w:rPr>
          <w:rFonts w:ascii="Calibri" w:hAnsi="Calibri" w:cs="Times New Roman"/>
          <w:sz w:val="24"/>
          <w:szCs w:val="24"/>
        </w:rPr>
      </w:pPr>
      <w:r>
        <w:rPr>
          <w:rFonts w:ascii="Calibri" w:hAnsi="Calibri" w:cs="Times New Roman"/>
          <w:sz w:val="24"/>
          <w:szCs w:val="24"/>
        </w:rPr>
        <w:t>В таблице 3, приведенной ниже, показано, что стратегия ГЭФ-7 по сохранению биоразнообразия включает девять программных инвестиционных направлений и программ</w:t>
      </w:r>
      <w:r w:rsidR="00AC5F0A">
        <w:rPr>
          <w:rFonts w:ascii="Calibri" w:hAnsi="Calibri" w:cs="Times New Roman"/>
          <w:sz w:val="24"/>
          <w:szCs w:val="24"/>
        </w:rPr>
        <w:t>ы</w:t>
      </w:r>
      <w:r>
        <w:rPr>
          <w:rFonts w:ascii="Calibri" w:hAnsi="Calibri" w:cs="Times New Roman"/>
          <w:sz w:val="24"/>
          <w:szCs w:val="24"/>
        </w:rPr>
        <w:t>, которые вносят непосредственный вклад в выполнение Стратегического плана в области сохранения и устойчивого использования биоразнообразия на 2010-2020 годы и в достижение Айтинских целевых задач в области биоразнообразия на основе принятия широкого спектра мер, направленных на устранение наиболее значимых факторов утраты биоразнообразия во всех наземных и морских ландшафтах.</w:t>
      </w:r>
      <w:r w:rsidR="00776E86">
        <w:rPr>
          <w:rFonts w:ascii="Calibri" w:hAnsi="Calibri" w:cs="Times New Roman"/>
          <w:sz w:val="24"/>
          <w:szCs w:val="24"/>
        </w:rPr>
        <w:t xml:space="preserve"> </w:t>
      </w:r>
      <w:r>
        <w:rPr>
          <w:rFonts w:ascii="Calibri" w:hAnsi="Calibri" w:cs="Times New Roman"/>
          <w:sz w:val="24"/>
          <w:szCs w:val="24"/>
        </w:rPr>
        <w:t xml:space="preserve">В целом набор программных вариантов, включенных в стратегию, прямо соответствует </w:t>
      </w:r>
      <w:r>
        <w:rPr>
          <w:rFonts w:ascii="Calibri" w:hAnsi="Calibri" w:cs="Times New Roman"/>
          <w:sz w:val="24"/>
          <w:szCs w:val="24"/>
        </w:rPr>
        <w:lastRenderedPageBreak/>
        <w:t>программным приоритетам на четырехлетний период ГЭФ-7, а также Стратегическому плану в области сохранения и устойчивого использования биоразнообразия на 2011-2020 годы, особенно в отношении задач по учету проблематики биоразнообразия, значение которых неуклонно возрастает.</w:t>
      </w:r>
    </w:p>
    <w:p w:rsidR="0010018C" w:rsidRPr="00FB4441" w:rsidRDefault="00D7513D" w:rsidP="00665E66">
      <w:pPr>
        <w:pStyle w:val="a9"/>
        <w:numPr>
          <w:ilvl w:val="0"/>
          <w:numId w:val="25"/>
        </w:numPr>
        <w:spacing w:before="240" w:after="240" w:line="240" w:lineRule="auto"/>
        <w:ind w:left="0" w:firstLine="0"/>
        <w:contextualSpacing w:val="0"/>
        <w:rPr>
          <w:rFonts w:ascii="Calibri" w:hAnsi="Calibri" w:cs="Times New Roman"/>
          <w:sz w:val="24"/>
          <w:szCs w:val="24"/>
        </w:rPr>
      </w:pPr>
      <w:r>
        <w:rPr>
          <w:snapToGrid w:val="0"/>
          <w:sz w:val="24"/>
          <w:szCs w:val="24"/>
        </w:rPr>
        <w:t>Кроме того, варианты программирования включают инвестиции через программы широкого воздействия, способные</w:t>
      </w:r>
      <w:r>
        <w:rPr>
          <w:rFonts w:ascii="Calibri" w:hAnsi="Calibri"/>
          <w:sz w:val="24"/>
          <w:szCs w:val="24"/>
        </w:rPr>
        <w:t xml:space="preserve"> обеспечить большую отдачу на единицу инвестиций путем поиска системного решения проблем, возникающих в более чем одном секторе. Они окажут существенный и взаимодополняющий эффект на выполнение задач, поставленных в программных приоритетах на четырехлетний период в ГЭФ-7, и на достижение соответствующих ожидаемых результатов, согласованных на совещании</w:t>
      </w:r>
      <w:r w:rsidR="00767D54">
        <w:rPr>
          <w:rFonts w:ascii="Calibri" w:hAnsi="Calibri"/>
          <w:sz w:val="24"/>
          <w:szCs w:val="24"/>
        </w:rPr>
        <w:t xml:space="preserve"> </w:t>
      </w:r>
      <w:r>
        <w:rPr>
          <w:rFonts w:ascii="Calibri" w:hAnsi="Calibri"/>
          <w:sz w:val="24"/>
          <w:szCs w:val="24"/>
        </w:rPr>
        <w:t>КС-13.</w:t>
      </w:r>
    </w:p>
    <w:p w:rsidR="00273B2C" w:rsidRPr="00FB4441" w:rsidRDefault="00273B2C" w:rsidP="00CB6102">
      <w:pPr>
        <w:pStyle w:val="Para1"/>
        <w:numPr>
          <w:ilvl w:val="0"/>
          <w:numId w:val="0"/>
        </w:numPr>
        <w:spacing w:before="240" w:after="240"/>
        <w:jc w:val="center"/>
        <w:rPr>
          <w:rFonts w:ascii="Calibri" w:hAnsi="Calibri" w:cs="Times New Roman"/>
          <w:b/>
          <w:sz w:val="24"/>
          <w:szCs w:val="24"/>
          <w:lang w:val="ru-RU"/>
        </w:rPr>
      </w:pPr>
      <w:r w:rsidRPr="00644CCA">
        <w:rPr>
          <w:rFonts w:ascii="Calibri" w:hAnsi="Calibri" w:cs="Times New Roman"/>
          <w:b/>
          <w:bCs/>
          <w:sz w:val="24"/>
          <w:szCs w:val="24"/>
          <w:lang w:val="ru-RU"/>
        </w:rPr>
        <w:t>Таблица 3. Стратегические задачи сохранения биоразнообразия и программные направления</w:t>
      </w:r>
    </w:p>
    <w:tbl>
      <w:tblPr>
        <w:tblStyle w:val="aa"/>
        <w:tblW w:w="0" w:type="auto"/>
        <w:tblLook w:val="04A0"/>
      </w:tblPr>
      <w:tblGrid>
        <w:gridCol w:w="1795"/>
        <w:gridCol w:w="156"/>
        <w:gridCol w:w="7399"/>
      </w:tblGrid>
      <w:tr w:rsidR="00273B2C" w:rsidRPr="00FB4441" w:rsidTr="008354E6">
        <w:tc>
          <w:tcPr>
            <w:tcW w:w="9350" w:type="dxa"/>
            <w:gridSpan w:val="3"/>
          </w:tcPr>
          <w:p w:rsidR="00273B2C" w:rsidRPr="00FB4441" w:rsidRDefault="00273B2C" w:rsidP="00A238C7">
            <w:pPr>
              <w:spacing w:after="40"/>
              <w:jc w:val="center"/>
              <w:rPr>
                <w:b/>
              </w:rPr>
            </w:pPr>
            <w:bookmarkStart w:id="23" w:name="_Hlk26452414"/>
            <w:r>
              <w:rPr>
                <w:b/>
                <w:bCs/>
              </w:rPr>
              <w:t>Стратегические задачи сохранения биоразнообразия и программные направления</w:t>
            </w:r>
          </w:p>
        </w:tc>
      </w:tr>
      <w:tr w:rsidR="00273B2C" w:rsidRPr="00FB4441" w:rsidTr="00D52A9D">
        <w:tc>
          <w:tcPr>
            <w:tcW w:w="9350" w:type="dxa"/>
            <w:gridSpan w:val="3"/>
            <w:shd w:val="clear" w:color="auto" w:fill="auto"/>
          </w:tcPr>
          <w:p w:rsidR="00273B2C" w:rsidRPr="00FB4441" w:rsidRDefault="00273B2C" w:rsidP="00A238C7">
            <w:pPr>
              <w:spacing w:after="40"/>
              <w:rPr>
                <w:b/>
              </w:rPr>
            </w:pPr>
            <w:r>
              <w:rPr>
                <w:b/>
                <w:bCs/>
              </w:rPr>
              <w:t>Задача 1. Учет вопросов биоразнообразия в работе секторов, а также в деятельности, связанной с наземными и морскими ландшафтами</w:t>
            </w:r>
          </w:p>
        </w:tc>
      </w:tr>
      <w:tr w:rsidR="00273B2C" w:rsidRPr="00FB4441" w:rsidTr="00213CA9">
        <w:tc>
          <w:tcPr>
            <w:tcW w:w="1951" w:type="dxa"/>
            <w:gridSpan w:val="2"/>
          </w:tcPr>
          <w:p w:rsidR="00273B2C" w:rsidRPr="00273B2C" w:rsidRDefault="00273B2C" w:rsidP="00273B2C">
            <w:r>
              <w:t>1-1</w:t>
            </w:r>
          </w:p>
        </w:tc>
        <w:tc>
          <w:tcPr>
            <w:tcW w:w="7399" w:type="dxa"/>
          </w:tcPr>
          <w:p w:rsidR="00273B2C" w:rsidRPr="00FB4441" w:rsidRDefault="00273B2C" w:rsidP="00A238C7">
            <w:pPr>
              <w:spacing w:after="40"/>
            </w:pPr>
            <w:r>
              <w:t>Учет проблематики биоразнообразия в приоритетных секторах</w:t>
            </w:r>
          </w:p>
        </w:tc>
      </w:tr>
      <w:tr w:rsidR="00273B2C" w:rsidRPr="00FB4441" w:rsidTr="00213CA9">
        <w:tc>
          <w:tcPr>
            <w:tcW w:w="1951" w:type="dxa"/>
            <w:gridSpan w:val="2"/>
          </w:tcPr>
          <w:p w:rsidR="00273B2C" w:rsidRPr="00273B2C" w:rsidRDefault="00273B2C" w:rsidP="00273B2C">
            <w:proofErr w:type="spellStart"/>
            <w:r>
              <w:t>1-2a</w:t>
            </w:r>
            <w:proofErr w:type="spellEnd"/>
          </w:p>
        </w:tc>
        <w:tc>
          <w:tcPr>
            <w:tcW w:w="7399" w:type="dxa"/>
          </w:tcPr>
          <w:p w:rsidR="00273B2C" w:rsidRPr="00FB4441" w:rsidRDefault="00273B2C" w:rsidP="00A238C7">
            <w:pPr>
              <w:spacing w:after="40"/>
            </w:pPr>
            <w:r>
              <w:t>Глобальная программа по охране дикой природы - Предотвращение вымирания известных видов, находящихся под угрозой исчезновения.</w:t>
            </w:r>
          </w:p>
        </w:tc>
      </w:tr>
      <w:tr w:rsidR="00273B2C" w:rsidRPr="00FB4441" w:rsidTr="00213CA9">
        <w:tc>
          <w:tcPr>
            <w:tcW w:w="1951" w:type="dxa"/>
            <w:gridSpan w:val="2"/>
          </w:tcPr>
          <w:p w:rsidR="00273B2C" w:rsidRPr="00273B2C" w:rsidRDefault="00273B2C" w:rsidP="00273B2C">
            <w:proofErr w:type="spellStart"/>
            <w:r>
              <w:t>1-2b</w:t>
            </w:r>
            <w:proofErr w:type="spellEnd"/>
          </w:p>
        </w:tc>
        <w:tc>
          <w:tcPr>
            <w:tcW w:w="7399" w:type="dxa"/>
          </w:tcPr>
          <w:p w:rsidR="00273B2C" w:rsidRPr="00FB4441" w:rsidRDefault="00273B2C" w:rsidP="00A238C7">
            <w:pPr>
              <w:spacing w:after="40"/>
            </w:pPr>
            <w:r>
              <w:t>Глобальная программа по охране дикой природы - дикая природа для целей устойчивого развития</w:t>
            </w:r>
          </w:p>
        </w:tc>
      </w:tr>
      <w:tr w:rsidR="00273B2C" w:rsidRPr="00FB4441" w:rsidTr="00213CA9">
        <w:tc>
          <w:tcPr>
            <w:tcW w:w="1951" w:type="dxa"/>
            <w:gridSpan w:val="2"/>
          </w:tcPr>
          <w:p w:rsidR="00273B2C" w:rsidRPr="00273B2C" w:rsidRDefault="00273B2C" w:rsidP="00273B2C">
            <w:r>
              <w:t>1-3</w:t>
            </w:r>
          </w:p>
        </w:tc>
        <w:tc>
          <w:tcPr>
            <w:tcW w:w="7399" w:type="dxa"/>
          </w:tcPr>
          <w:p w:rsidR="00273B2C" w:rsidRPr="00FB4441" w:rsidRDefault="00273B2C" w:rsidP="00A238C7">
            <w:pPr>
              <w:spacing w:after="40"/>
            </w:pPr>
            <w:r>
              <w:t>Оценка и учет природного капитала</w:t>
            </w:r>
          </w:p>
        </w:tc>
      </w:tr>
      <w:tr w:rsidR="00273B2C" w:rsidRPr="00FB4441" w:rsidTr="00213CA9">
        <w:tc>
          <w:tcPr>
            <w:tcW w:w="1951" w:type="dxa"/>
            <w:gridSpan w:val="2"/>
          </w:tcPr>
          <w:p w:rsidR="00273B2C" w:rsidRPr="00273B2C" w:rsidRDefault="00273B2C" w:rsidP="00273B2C">
            <w:r>
              <w:t>1-4</w:t>
            </w:r>
          </w:p>
        </w:tc>
        <w:tc>
          <w:tcPr>
            <w:tcW w:w="7399" w:type="dxa"/>
          </w:tcPr>
          <w:p w:rsidR="00273B2C" w:rsidRPr="00FB4441" w:rsidRDefault="00273B2C" w:rsidP="00A238C7">
            <w:pPr>
              <w:spacing w:after="40"/>
            </w:pPr>
            <w:r>
              <w:t>Устойчивое использование генетических ресурсов растений и животных</w:t>
            </w:r>
          </w:p>
        </w:tc>
      </w:tr>
      <w:tr w:rsidR="00273B2C" w:rsidRPr="00273B2C" w:rsidTr="00213CA9">
        <w:tc>
          <w:tcPr>
            <w:tcW w:w="1951" w:type="dxa"/>
            <w:gridSpan w:val="2"/>
          </w:tcPr>
          <w:p w:rsidR="00273B2C" w:rsidRPr="00273B2C" w:rsidRDefault="00273B2C" w:rsidP="00273B2C">
            <w:r>
              <w:t>1-5</w:t>
            </w:r>
          </w:p>
        </w:tc>
        <w:tc>
          <w:tcPr>
            <w:tcW w:w="7399" w:type="dxa"/>
          </w:tcPr>
          <w:p w:rsidR="00273B2C" w:rsidRPr="00273B2C" w:rsidRDefault="00273B2C" w:rsidP="00A238C7">
            <w:pPr>
              <w:spacing w:after="40"/>
            </w:pPr>
            <w:r>
              <w:t>Инклюзивное сохранение</w:t>
            </w:r>
          </w:p>
        </w:tc>
      </w:tr>
      <w:tr w:rsidR="00273B2C" w:rsidRPr="00FB4441" w:rsidTr="00213CA9">
        <w:tc>
          <w:tcPr>
            <w:tcW w:w="1951" w:type="dxa"/>
            <w:gridSpan w:val="2"/>
          </w:tcPr>
          <w:p w:rsidR="00273B2C" w:rsidRPr="00273B2C" w:rsidRDefault="00273B2C" w:rsidP="00273B2C">
            <w:r>
              <w:t>Другие смежные целевые области</w:t>
            </w:r>
          </w:p>
        </w:tc>
        <w:tc>
          <w:tcPr>
            <w:tcW w:w="7399" w:type="dxa"/>
          </w:tcPr>
          <w:p w:rsidR="00273B2C" w:rsidRPr="00FB4441" w:rsidRDefault="00273B2C" w:rsidP="00A238C7">
            <w:pPr>
              <w:spacing w:after="40"/>
            </w:pPr>
            <w:r>
              <w:t>Целевая область международных вод/Устойчивый рыбный промысел</w:t>
            </w:r>
          </w:p>
        </w:tc>
      </w:tr>
      <w:tr w:rsidR="00273B2C" w:rsidRPr="00FB4441" w:rsidTr="00213CA9">
        <w:tc>
          <w:tcPr>
            <w:tcW w:w="1951" w:type="dxa"/>
            <w:gridSpan w:val="2"/>
          </w:tcPr>
          <w:p w:rsidR="00273B2C" w:rsidRPr="00273B2C" w:rsidRDefault="00273B2C" w:rsidP="00273B2C">
            <w:r>
              <w:t>Программы широкого воздействия</w:t>
            </w:r>
          </w:p>
        </w:tc>
        <w:tc>
          <w:tcPr>
            <w:tcW w:w="7399" w:type="dxa"/>
          </w:tcPr>
          <w:p w:rsidR="00273B2C" w:rsidRPr="00FB4441" w:rsidRDefault="00273B2C" w:rsidP="00A238C7">
            <w:pPr>
              <w:spacing w:after="40"/>
            </w:pPr>
            <w:r>
              <w:t>Программа широкого воздействия «Продовольственные системы, землепользование и восстановление»</w:t>
            </w:r>
          </w:p>
        </w:tc>
      </w:tr>
      <w:tr w:rsidR="00273B2C" w:rsidRPr="00FB4441" w:rsidTr="00213CA9">
        <w:tc>
          <w:tcPr>
            <w:tcW w:w="1951" w:type="dxa"/>
            <w:gridSpan w:val="2"/>
          </w:tcPr>
          <w:p w:rsidR="00273B2C" w:rsidRPr="00FB4441" w:rsidRDefault="00273B2C" w:rsidP="00273B2C"/>
        </w:tc>
        <w:tc>
          <w:tcPr>
            <w:tcW w:w="7399" w:type="dxa"/>
          </w:tcPr>
          <w:p w:rsidR="00273B2C" w:rsidRPr="00FB4441" w:rsidRDefault="00273B2C" w:rsidP="00A238C7">
            <w:pPr>
              <w:spacing w:after="40"/>
            </w:pPr>
            <w:r>
              <w:t>Программа широкого воздействия «Устойчивое развитие городов»</w:t>
            </w:r>
          </w:p>
        </w:tc>
      </w:tr>
      <w:tr w:rsidR="00273B2C" w:rsidRPr="00FB4441" w:rsidTr="00213CA9">
        <w:tc>
          <w:tcPr>
            <w:tcW w:w="1951" w:type="dxa"/>
            <w:gridSpan w:val="2"/>
          </w:tcPr>
          <w:p w:rsidR="00273B2C" w:rsidRPr="00FB4441" w:rsidRDefault="00273B2C" w:rsidP="00273B2C"/>
        </w:tc>
        <w:tc>
          <w:tcPr>
            <w:tcW w:w="7399" w:type="dxa"/>
          </w:tcPr>
          <w:p w:rsidR="00273B2C" w:rsidRPr="00FB4441" w:rsidRDefault="00273B2C" w:rsidP="00A238C7">
            <w:pPr>
              <w:spacing w:after="40"/>
            </w:pPr>
            <w:r>
              <w:t>Программа широкого воздействия «Устойчивое лесопользование»</w:t>
            </w:r>
          </w:p>
        </w:tc>
      </w:tr>
      <w:tr w:rsidR="00273B2C" w:rsidRPr="00FB4441" w:rsidTr="00D52A9D">
        <w:tc>
          <w:tcPr>
            <w:tcW w:w="9350" w:type="dxa"/>
            <w:gridSpan w:val="3"/>
            <w:shd w:val="clear" w:color="auto" w:fill="auto"/>
          </w:tcPr>
          <w:p w:rsidR="00273B2C" w:rsidRPr="00FB4441" w:rsidRDefault="00273B2C" w:rsidP="00A238C7">
            <w:pPr>
              <w:spacing w:after="40"/>
              <w:rPr>
                <w:b/>
              </w:rPr>
            </w:pPr>
            <w:r>
              <w:rPr>
                <w:b/>
                <w:bCs/>
              </w:rPr>
              <w:t>Задача 2. Устранение прямых факторов в целях охраны мест обитания и видов</w:t>
            </w:r>
          </w:p>
        </w:tc>
      </w:tr>
      <w:tr w:rsidR="00273B2C" w:rsidRPr="00FB4441" w:rsidTr="00213CA9">
        <w:tc>
          <w:tcPr>
            <w:tcW w:w="1951" w:type="dxa"/>
            <w:gridSpan w:val="2"/>
          </w:tcPr>
          <w:p w:rsidR="00273B2C" w:rsidRPr="00273B2C" w:rsidRDefault="00273B2C" w:rsidP="00273B2C">
            <w:r>
              <w:t>2-6</w:t>
            </w:r>
          </w:p>
        </w:tc>
        <w:tc>
          <w:tcPr>
            <w:tcW w:w="7399" w:type="dxa"/>
          </w:tcPr>
          <w:p w:rsidR="00273B2C" w:rsidRPr="00FB4441" w:rsidRDefault="00273B2C" w:rsidP="00A238C7">
            <w:pPr>
              <w:spacing w:after="40"/>
            </w:pPr>
            <w:r>
              <w:t>Предупреждение, контроль и регулирование распространения инвазивных чужеродных видов</w:t>
            </w:r>
          </w:p>
        </w:tc>
      </w:tr>
      <w:tr w:rsidR="00273B2C" w:rsidRPr="00FB4441" w:rsidTr="00213CA9">
        <w:tc>
          <w:tcPr>
            <w:tcW w:w="1951" w:type="dxa"/>
            <w:gridSpan w:val="2"/>
          </w:tcPr>
          <w:p w:rsidR="00273B2C" w:rsidRPr="00273B2C" w:rsidRDefault="00273B2C" w:rsidP="00273B2C">
            <w:r>
              <w:t>2-7</w:t>
            </w:r>
          </w:p>
        </w:tc>
        <w:tc>
          <w:tcPr>
            <w:tcW w:w="7399" w:type="dxa"/>
          </w:tcPr>
          <w:p w:rsidR="00273B2C" w:rsidRPr="00FB4441" w:rsidRDefault="00273B2C" w:rsidP="00A238C7">
            <w:pPr>
              <w:spacing w:after="40"/>
            </w:pPr>
            <w:r>
              <w:t>Повышение уровня финансовой устойчивости, эффективности управления и экосистемного охвата территорий глобальных охраняемых районов</w:t>
            </w:r>
          </w:p>
        </w:tc>
      </w:tr>
      <w:tr w:rsidR="00010A23" w:rsidRPr="00FB4441" w:rsidTr="00213CA9">
        <w:tc>
          <w:tcPr>
            <w:tcW w:w="1951" w:type="dxa"/>
            <w:gridSpan w:val="2"/>
          </w:tcPr>
          <w:p w:rsidR="00010A23" w:rsidRPr="00273B2C" w:rsidRDefault="00010A23" w:rsidP="00770366">
            <w:r>
              <w:t>Программы широкого воздействия</w:t>
            </w:r>
          </w:p>
        </w:tc>
        <w:tc>
          <w:tcPr>
            <w:tcW w:w="7399" w:type="dxa"/>
          </w:tcPr>
          <w:p w:rsidR="00010A23" w:rsidRPr="00FB4441" w:rsidRDefault="00010A23" w:rsidP="00A238C7">
            <w:pPr>
              <w:spacing w:after="40"/>
            </w:pPr>
            <w:r>
              <w:t>Программа широкого воздействия «Устойчивое лесопользование»</w:t>
            </w:r>
          </w:p>
        </w:tc>
      </w:tr>
      <w:tr w:rsidR="00273B2C" w:rsidRPr="00FB4441" w:rsidTr="00213CA9">
        <w:tc>
          <w:tcPr>
            <w:tcW w:w="1951" w:type="dxa"/>
            <w:gridSpan w:val="2"/>
          </w:tcPr>
          <w:p w:rsidR="00273B2C" w:rsidRPr="00273B2C" w:rsidRDefault="00273B2C" w:rsidP="00273B2C">
            <w:r>
              <w:t>Другие смежные целевые области</w:t>
            </w:r>
          </w:p>
        </w:tc>
        <w:tc>
          <w:tcPr>
            <w:tcW w:w="7399" w:type="dxa"/>
          </w:tcPr>
          <w:p w:rsidR="00273B2C" w:rsidRPr="00FB4441" w:rsidRDefault="00273B2C" w:rsidP="00A238C7">
            <w:pPr>
              <w:spacing w:after="40"/>
            </w:pPr>
            <w:r>
              <w:t>Целевая область международных вод/Прибрежные и морские охраняемые районы</w:t>
            </w:r>
          </w:p>
        </w:tc>
      </w:tr>
      <w:tr w:rsidR="00273B2C" w:rsidRPr="00FB4441" w:rsidTr="005E3305">
        <w:tc>
          <w:tcPr>
            <w:tcW w:w="9350" w:type="dxa"/>
            <w:gridSpan w:val="3"/>
            <w:shd w:val="clear" w:color="auto" w:fill="auto"/>
          </w:tcPr>
          <w:p w:rsidR="00273B2C" w:rsidRPr="00FB4441" w:rsidRDefault="00273B2C" w:rsidP="00A238C7">
            <w:pPr>
              <w:spacing w:after="40"/>
              <w:rPr>
                <w:b/>
              </w:rPr>
            </w:pPr>
            <w:r>
              <w:rPr>
                <w:b/>
                <w:bCs/>
              </w:rPr>
              <w:lastRenderedPageBreak/>
              <w:t>Задача 3. Дальнейшее развитие основ политики и организационных структур в области биоразнообразия</w:t>
            </w:r>
          </w:p>
        </w:tc>
      </w:tr>
      <w:tr w:rsidR="00273B2C" w:rsidRPr="00FB4441" w:rsidTr="00010A23">
        <w:tc>
          <w:tcPr>
            <w:tcW w:w="1795" w:type="dxa"/>
          </w:tcPr>
          <w:p w:rsidR="00273B2C" w:rsidRPr="00273B2C" w:rsidRDefault="00273B2C" w:rsidP="00273B2C">
            <w:r>
              <w:t>3-8</w:t>
            </w:r>
          </w:p>
        </w:tc>
        <w:tc>
          <w:tcPr>
            <w:tcW w:w="7555" w:type="dxa"/>
            <w:gridSpan w:val="2"/>
          </w:tcPr>
          <w:p w:rsidR="00273B2C" w:rsidRPr="00FB4441" w:rsidRDefault="00273B2C" w:rsidP="00A238C7">
            <w:pPr>
              <w:spacing w:after="40"/>
            </w:pPr>
            <w:r>
              <w:t>Осуществление Картахенского протокола по биобезопасности</w:t>
            </w:r>
          </w:p>
        </w:tc>
      </w:tr>
      <w:tr w:rsidR="00273B2C" w:rsidRPr="00FB4441" w:rsidTr="00010A23">
        <w:tc>
          <w:tcPr>
            <w:tcW w:w="1795" w:type="dxa"/>
          </w:tcPr>
          <w:p w:rsidR="00273B2C" w:rsidRPr="00273B2C" w:rsidRDefault="00273B2C" w:rsidP="00273B2C">
            <w:r>
              <w:t>3-9</w:t>
            </w:r>
          </w:p>
        </w:tc>
        <w:tc>
          <w:tcPr>
            <w:tcW w:w="7555" w:type="dxa"/>
            <w:gridSpan w:val="2"/>
          </w:tcPr>
          <w:p w:rsidR="00273B2C" w:rsidRPr="00FB4441" w:rsidRDefault="00273B2C" w:rsidP="00A238C7">
            <w:pPr>
              <w:spacing w:after="40"/>
            </w:pPr>
            <w:r>
              <w:t>Осуществление Нагойского протокола регулирования доступа к генетическим ресурсам и совместного использования выгод</w:t>
            </w:r>
          </w:p>
        </w:tc>
      </w:tr>
      <w:tr w:rsidR="00273B2C" w:rsidRPr="00FB4441" w:rsidTr="00010A23">
        <w:tc>
          <w:tcPr>
            <w:tcW w:w="1795" w:type="dxa"/>
          </w:tcPr>
          <w:p w:rsidR="00273B2C" w:rsidRPr="00273B2C" w:rsidRDefault="00273B2C" w:rsidP="00273B2C">
            <w:r>
              <w:t>Стимулирующие мероприятия</w:t>
            </w:r>
          </w:p>
        </w:tc>
        <w:tc>
          <w:tcPr>
            <w:tcW w:w="7555" w:type="dxa"/>
            <w:gridSpan w:val="2"/>
          </w:tcPr>
          <w:p w:rsidR="00273B2C" w:rsidRPr="00FB4441" w:rsidRDefault="00273B2C" w:rsidP="00A238C7">
            <w:pPr>
              <w:spacing w:after="40"/>
            </w:pPr>
            <w:r>
              <w:t>Совершенствование политики, планирования и обзора в области биоразнообразия</w:t>
            </w:r>
          </w:p>
        </w:tc>
      </w:tr>
    </w:tbl>
    <w:bookmarkEnd w:id="23"/>
    <w:p w:rsidR="00FD6C6A" w:rsidRPr="00FB4441" w:rsidRDefault="00FB355B" w:rsidP="00CA5440">
      <w:pPr>
        <w:pStyle w:val="a9"/>
        <w:numPr>
          <w:ilvl w:val="0"/>
          <w:numId w:val="25"/>
        </w:numPr>
        <w:spacing w:before="240" w:after="240" w:line="240" w:lineRule="auto"/>
        <w:ind w:left="0" w:firstLine="0"/>
        <w:contextualSpacing w:val="0"/>
        <w:rPr>
          <w:rFonts w:ascii="Calibri" w:hAnsi="Calibri" w:cs="Times New Roman"/>
          <w:sz w:val="24"/>
          <w:szCs w:val="24"/>
        </w:rPr>
      </w:pPr>
      <w:r>
        <w:rPr>
          <w:rFonts w:ascii="Calibri" w:hAnsi="Calibri" w:cs="Times New Roman"/>
          <w:sz w:val="24"/>
          <w:szCs w:val="24"/>
        </w:rPr>
        <w:t xml:space="preserve">Хотя некоторые инвестиции ГЭФ в области биоразнообразия однозначно соответствуют </w:t>
      </w:r>
      <w:proofErr w:type="spellStart"/>
      <w:r>
        <w:rPr>
          <w:rFonts w:ascii="Calibri" w:hAnsi="Calibri" w:cs="Times New Roman"/>
          <w:sz w:val="24"/>
          <w:szCs w:val="24"/>
        </w:rPr>
        <w:t>Айтинским</w:t>
      </w:r>
      <w:proofErr w:type="spellEnd"/>
      <w:r>
        <w:rPr>
          <w:rFonts w:ascii="Calibri" w:hAnsi="Calibri" w:cs="Times New Roman"/>
          <w:sz w:val="24"/>
          <w:szCs w:val="24"/>
        </w:rPr>
        <w:t xml:space="preserve"> целевым задачам, например, целевой задачей 11 по охраняемым районам, другие вносят вклад в многочисленные Айтинские задачи, что осложняет отчетность по распределению ресурсов на каждую целевую задачу в отдельности. Это особенно верно в отношении учета проблематики биоразнообразия, где анализ инвестированных ресурсов в долларовом выражении в проекты по учету вопросов биоразнообразия показал, что вследствие комплексного характера таких инвестиций и описания самих целевых задач проектная деятельность ГЭФ часто способствует выполнению более чем одной целевой задачи, принятой в Айти.</w:t>
      </w:r>
    </w:p>
    <w:p w:rsidR="00FB355B" w:rsidRPr="00FB4441" w:rsidRDefault="00FB355B" w:rsidP="00CA5440">
      <w:pPr>
        <w:pStyle w:val="a9"/>
        <w:numPr>
          <w:ilvl w:val="0"/>
          <w:numId w:val="25"/>
        </w:numPr>
        <w:spacing w:before="240" w:after="240" w:line="240" w:lineRule="auto"/>
        <w:ind w:left="0" w:firstLine="0"/>
        <w:contextualSpacing w:val="0"/>
        <w:rPr>
          <w:rFonts w:ascii="Calibri" w:hAnsi="Calibri" w:cs="Times New Roman"/>
          <w:sz w:val="24"/>
          <w:szCs w:val="24"/>
        </w:rPr>
      </w:pPr>
      <w:r>
        <w:rPr>
          <w:rFonts w:ascii="Calibri" w:hAnsi="Calibri" w:cs="Times New Roman"/>
          <w:sz w:val="24"/>
          <w:szCs w:val="24"/>
        </w:rPr>
        <w:t>Для большей наглядности отражения программных ресурсов в нижеприведенных таблицах некоторые целевые задачи объединены, а суммарный объем инвестированных ресурсов не разбивается по отдельным целевым задачам.</w:t>
      </w:r>
    </w:p>
    <w:p w:rsidR="001F3174" w:rsidRDefault="00895320" w:rsidP="00CA5440">
      <w:pPr>
        <w:pStyle w:val="a9"/>
        <w:numPr>
          <w:ilvl w:val="0"/>
          <w:numId w:val="25"/>
        </w:numPr>
        <w:spacing w:before="240" w:after="240" w:line="240" w:lineRule="auto"/>
        <w:ind w:left="0" w:firstLine="0"/>
        <w:contextualSpacing w:val="0"/>
        <w:rPr>
          <w:rFonts w:ascii="Calibri" w:hAnsi="Calibri" w:cs="Times New Roman"/>
          <w:sz w:val="24"/>
          <w:szCs w:val="24"/>
        </w:rPr>
      </w:pPr>
      <w:r>
        <w:rPr>
          <w:rFonts w:ascii="Calibri" w:hAnsi="Calibri" w:cs="Times New Roman"/>
          <w:sz w:val="24"/>
          <w:szCs w:val="24"/>
        </w:rPr>
        <w:t>Данные, приведенные в таблице 4 ниже, показывают общий совокупный и прямой вклад программ за счет всех ресурсов ГЭФ в достижение Айтинских целевых задач в области биоразнообразия по всем программным направлениям в период ГЭФ-7 (стратегия целевой области сохранения биоразнообразия, программы широкого воздействия в ГЭФ-7, целевая область международных вод, Фонд наименее развитых стран для адаптации к изменению климата, несвязанный с грантами инструмент и программа малых грантов). Общая стоимость инвестиций ГЭФ в первые 18 месяцев ГЭФ-7 составила 1,056 млрд долл. США, которые привлекли софинансирование на 8,955 млрд долл., в результате чего общая сумма инвестирования достигла 10,01 млрд долл. США.</w:t>
      </w:r>
    </w:p>
    <w:p w:rsidR="001F3174" w:rsidRDefault="001F3174">
      <w:pPr>
        <w:rPr>
          <w:rFonts w:ascii="Calibri" w:hAnsi="Calibri" w:cs="Times New Roman"/>
          <w:sz w:val="24"/>
          <w:szCs w:val="24"/>
        </w:rPr>
      </w:pPr>
      <w:r>
        <w:rPr>
          <w:rFonts w:ascii="Calibri" w:hAnsi="Calibri" w:cs="Times New Roman"/>
          <w:sz w:val="24"/>
          <w:szCs w:val="24"/>
        </w:rPr>
        <w:br w:type="page"/>
      </w:r>
    </w:p>
    <w:p w:rsidR="00102140" w:rsidRPr="00FB4441" w:rsidRDefault="00DE0D6E" w:rsidP="00102140">
      <w:pPr>
        <w:spacing w:before="240" w:after="0" w:line="240" w:lineRule="auto"/>
        <w:jc w:val="center"/>
        <w:rPr>
          <w:b/>
          <w:sz w:val="24"/>
          <w:szCs w:val="24"/>
        </w:rPr>
      </w:pPr>
      <w:r>
        <w:rPr>
          <w:b/>
          <w:bCs/>
          <w:sz w:val="24"/>
          <w:szCs w:val="24"/>
        </w:rPr>
        <w:lastRenderedPageBreak/>
        <w:t>Таблица 4.</w:t>
      </w:r>
      <w:r w:rsidR="00776E86">
        <w:rPr>
          <w:b/>
          <w:bCs/>
          <w:sz w:val="24"/>
          <w:szCs w:val="24"/>
        </w:rPr>
        <w:t xml:space="preserve"> </w:t>
      </w:r>
      <w:r>
        <w:rPr>
          <w:b/>
          <w:bCs/>
          <w:sz w:val="24"/>
          <w:szCs w:val="24"/>
        </w:rPr>
        <w:t>Совокупный прямой вклад программ за счет всех ресурсов ГЭФ в выполнение Стратегического плана в области биоразнообразия на 2011-2020 годы и Айтинских целевых задач в области биоразнообразия</w:t>
      </w:r>
    </w:p>
    <w:p w:rsidR="00DE0D6E" w:rsidRPr="00E30D88" w:rsidRDefault="00DE0D6E" w:rsidP="00D722AE">
      <w:pPr>
        <w:spacing w:after="240" w:line="240" w:lineRule="auto"/>
        <w:jc w:val="center"/>
        <w:rPr>
          <w:b/>
          <w:sz w:val="24"/>
          <w:szCs w:val="24"/>
        </w:rPr>
      </w:pPr>
      <w:r>
        <w:rPr>
          <w:b/>
          <w:bCs/>
          <w:sz w:val="24"/>
          <w:szCs w:val="24"/>
        </w:rPr>
        <w:t>(1 июля 2018 г. – 31 декабря 2019 г.)</w:t>
      </w:r>
      <w:r>
        <w:rPr>
          <w:b/>
          <w:bCs/>
          <w:sz w:val="24"/>
          <w:szCs w:val="24"/>
          <w:vertAlign w:val="superscript"/>
        </w:rPr>
        <w:footnoteReference w:id="7"/>
      </w:r>
    </w:p>
    <w:tbl>
      <w:tblPr>
        <w:tblW w:w="5000" w:type="pct"/>
        <w:tblBorders>
          <w:top w:val="single" w:sz="12" w:space="0" w:color="008000"/>
          <w:bottom w:val="single" w:sz="12" w:space="0" w:color="008000"/>
        </w:tblBorders>
        <w:tblLook w:val="04A0"/>
      </w:tblPr>
      <w:tblGrid>
        <w:gridCol w:w="1483"/>
        <w:gridCol w:w="1298"/>
        <w:gridCol w:w="1234"/>
        <w:gridCol w:w="1380"/>
        <w:gridCol w:w="1365"/>
        <w:gridCol w:w="1408"/>
        <w:gridCol w:w="1408"/>
      </w:tblGrid>
      <w:tr w:rsidR="00DE0D6E" w:rsidRPr="00FB4441" w:rsidTr="008C69DD">
        <w:trPr>
          <w:tblHeader/>
        </w:trPr>
        <w:tc>
          <w:tcPr>
            <w:tcW w:w="866" w:type="pct"/>
            <w:tcBorders>
              <w:bottom w:val="nil"/>
            </w:tcBorders>
            <w:shd w:val="clear" w:color="auto" w:fill="auto"/>
          </w:tcPr>
          <w:p w:rsidR="00DE0D6E" w:rsidRPr="006E1745" w:rsidRDefault="00DE0D6E" w:rsidP="00DE0D6E">
            <w:pPr>
              <w:rPr>
                <w:b/>
              </w:rPr>
            </w:pPr>
            <w:r>
              <w:rPr>
                <w:b/>
                <w:bCs/>
              </w:rPr>
              <w:t>Источник финансирования</w:t>
            </w:r>
          </w:p>
        </w:tc>
        <w:tc>
          <w:tcPr>
            <w:tcW w:w="673" w:type="pct"/>
            <w:tcBorders>
              <w:bottom w:val="nil"/>
            </w:tcBorders>
            <w:shd w:val="clear" w:color="auto" w:fill="auto"/>
          </w:tcPr>
          <w:p w:rsidR="00DE0D6E" w:rsidRPr="006E1745" w:rsidRDefault="00DE0D6E" w:rsidP="00DE0D6E">
            <w:pPr>
              <w:rPr>
                <w:b/>
              </w:rPr>
            </w:pPr>
            <w:r>
              <w:rPr>
                <w:b/>
                <w:bCs/>
              </w:rPr>
              <w:t>Проектное финансирование ГЭФ</w:t>
            </w:r>
            <w:r>
              <w:br/>
            </w:r>
            <w:r>
              <w:rPr>
                <w:b/>
                <w:bCs/>
              </w:rPr>
              <w:t>(млн долл. США)</w:t>
            </w:r>
          </w:p>
        </w:tc>
        <w:tc>
          <w:tcPr>
            <w:tcW w:w="682" w:type="pct"/>
            <w:tcBorders>
              <w:bottom w:val="nil"/>
            </w:tcBorders>
            <w:shd w:val="clear" w:color="auto" w:fill="auto"/>
          </w:tcPr>
          <w:p w:rsidR="00DE0D6E" w:rsidRPr="00FB4441" w:rsidRDefault="00DE0D6E" w:rsidP="00213CA9">
            <w:pPr>
              <w:rPr>
                <w:b/>
              </w:rPr>
            </w:pPr>
            <w:r>
              <w:rPr>
                <w:b/>
                <w:bCs/>
              </w:rPr>
              <w:t>% от общего проект</w:t>
            </w:r>
            <w:r w:rsidR="00213CA9" w:rsidRPr="00213CA9">
              <w:rPr>
                <w:b/>
                <w:bCs/>
              </w:rPr>
              <w:t>.</w:t>
            </w:r>
            <w:r>
              <w:rPr>
                <w:b/>
                <w:bCs/>
              </w:rPr>
              <w:t xml:space="preserve"> финансирования ГЭФ</w:t>
            </w:r>
          </w:p>
        </w:tc>
        <w:tc>
          <w:tcPr>
            <w:tcW w:w="677" w:type="pct"/>
            <w:tcBorders>
              <w:bottom w:val="nil"/>
            </w:tcBorders>
            <w:shd w:val="clear" w:color="auto" w:fill="auto"/>
          </w:tcPr>
          <w:p w:rsidR="00DE0D6E" w:rsidRPr="006E1745" w:rsidRDefault="002D582B" w:rsidP="00DE0D6E">
            <w:pPr>
              <w:rPr>
                <w:b/>
              </w:rPr>
            </w:pPr>
            <w:r>
              <w:rPr>
                <w:b/>
                <w:bCs/>
              </w:rPr>
              <w:t>Софинансирование (млн долл. США)</w:t>
            </w:r>
          </w:p>
        </w:tc>
        <w:tc>
          <w:tcPr>
            <w:tcW w:w="677" w:type="pct"/>
            <w:tcBorders>
              <w:bottom w:val="nil"/>
            </w:tcBorders>
            <w:shd w:val="clear" w:color="auto" w:fill="auto"/>
          </w:tcPr>
          <w:p w:rsidR="00DE0D6E" w:rsidRPr="006E1745" w:rsidRDefault="00DE0D6E" w:rsidP="00DE0D6E">
            <w:pPr>
              <w:rPr>
                <w:b/>
              </w:rPr>
            </w:pPr>
            <w:r>
              <w:rPr>
                <w:b/>
                <w:bCs/>
              </w:rPr>
              <w:t>% софинансирования</w:t>
            </w:r>
          </w:p>
        </w:tc>
        <w:tc>
          <w:tcPr>
            <w:tcW w:w="712" w:type="pct"/>
            <w:tcBorders>
              <w:bottom w:val="nil"/>
            </w:tcBorders>
            <w:shd w:val="clear" w:color="auto" w:fill="auto"/>
          </w:tcPr>
          <w:p w:rsidR="00DE0D6E" w:rsidRPr="006E1745" w:rsidRDefault="00DE0D6E" w:rsidP="00DE0D6E">
            <w:pPr>
              <w:rPr>
                <w:b/>
              </w:rPr>
            </w:pPr>
            <w:r>
              <w:rPr>
                <w:b/>
                <w:bCs/>
              </w:rPr>
              <w:t>Всего</w:t>
            </w:r>
            <w:r>
              <w:br/>
            </w:r>
            <w:r>
              <w:rPr>
                <w:b/>
                <w:bCs/>
              </w:rPr>
              <w:t>(Проектное финансирование ГЭФ и софинансирование)</w:t>
            </w:r>
            <w:r>
              <w:br/>
            </w:r>
            <w:r>
              <w:rPr>
                <w:b/>
                <w:bCs/>
              </w:rPr>
              <w:t>(млн долл. США)</w:t>
            </w:r>
          </w:p>
        </w:tc>
        <w:tc>
          <w:tcPr>
            <w:tcW w:w="712" w:type="pct"/>
            <w:tcBorders>
              <w:bottom w:val="nil"/>
            </w:tcBorders>
            <w:shd w:val="clear" w:color="auto" w:fill="auto"/>
          </w:tcPr>
          <w:p w:rsidR="00DE0D6E" w:rsidRPr="00FB4441" w:rsidRDefault="00DE0D6E" w:rsidP="00DE0D6E">
            <w:pPr>
              <w:rPr>
                <w:b/>
              </w:rPr>
            </w:pPr>
            <w:r>
              <w:rPr>
                <w:b/>
                <w:bCs/>
              </w:rPr>
              <w:t>% от общей суммы (Проектное финансирование ГЭФ и софинансирование)</w:t>
            </w:r>
          </w:p>
        </w:tc>
      </w:tr>
      <w:tr w:rsidR="002F3F78" w:rsidRPr="0055445F" w:rsidTr="00A27713">
        <w:tc>
          <w:tcPr>
            <w:tcW w:w="866" w:type="pct"/>
            <w:tcBorders>
              <w:top w:val="single" w:sz="4" w:space="0" w:color="538135" w:themeColor="accent6" w:themeShade="BF"/>
              <w:left w:val="nil"/>
              <w:bottom w:val="nil"/>
              <w:right w:val="nil"/>
            </w:tcBorders>
            <w:shd w:val="clear" w:color="auto" w:fill="FFFFFF" w:themeFill="background1"/>
          </w:tcPr>
          <w:p w:rsidR="002F3F78" w:rsidRPr="00FB4441" w:rsidRDefault="002F3F78" w:rsidP="002F3F78">
            <w:r>
              <w:t>Ассигнования по СПРР на целевую область сохранения биоразнообразия</w:t>
            </w:r>
            <w:r>
              <w:rPr>
                <w:rStyle w:val="a5"/>
              </w:rPr>
              <w:footnoteReference w:id="8"/>
            </w:r>
          </w:p>
        </w:tc>
        <w:tc>
          <w:tcPr>
            <w:tcW w:w="673" w:type="pct"/>
            <w:tcBorders>
              <w:top w:val="single" w:sz="4" w:space="0" w:color="538135" w:themeColor="accent6" w:themeShade="BF"/>
              <w:left w:val="nil"/>
              <w:bottom w:val="nil"/>
              <w:right w:val="nil"/>
            </w:tcBorders>
            <w:shd w:val="clear" w:color="auto" w:fill="FFFFFF" w:themeFill="background1"/>
          </w:tcPr>
          <w:p w:rsidR="002F3F78" w:rsidRPr="0055445F" w:rsidRDefault="002F3F78" w:rsidP="00E768FE">
            <w:pPr>
              <w:jc w:val="right"/>
            </w:pPr>
            <w:r>
              <w:t>201,3</w:t>
            </w:r>
          </w:p>
        </w:tc>
        <w:tc>
          <w:tcPr>
            <w:tcW w:w="682" w:type="pct"/>
            <w:tcBorders>
              <w:top w:val="single" w:sz="4" w:space="0" w:color="538135" w:themeColor="accent6" w:themeShade="BF"/>
              <w:left w:val="nil"/>
              <w:bottom w:val="nil"/>
              <w:right w:val="nil"/>
            </w:tcBorders>
            <w:shd w:val="clear" w:color="auto" w:fill="FFFFFF" w:themeFill="background1"/>
          </w:tcPr>
          <w:p w:rsidR="002F3F78" w:rsidRPr="0055445F" w:rsidRDefault="002F3F78" w:rsidP="00640CBE">
            <w:pPr>
              <w:jc w:val="right"/>
            </w:pPr>
            <w:r>
              <w:rPr>
                <w:rFonts w:ascii="Calibri" w:hAnsi="Calibri" w:cs="Calibri"/>
                <w:color w:val="000000"/>
              </w:rPr>
              <w:t>19%</w:t>
            </w:r>
          </w:p>
        </w:tc>
        <w:tc>
          <w:tcPr>
            <w:tcW w:w="677" w:type="pct"/>
            <w:tcBorders>
              <w:top w:val="single" w:sz="4" w:space="0" w:color="538135" w:themeColor="accent6" w:themeShade="BF"/>
              <w:left w:val="nil"/>
              <w:bottom w:val="nil"/>
              <w:right w:val="nil"/>
            </w:tcBorders>
            <w:shd w:val="clear" w:color="auto" w:fill="FFFFFF" w:themeFill="background1"/>
          </w:tcPr>
          <w:p w:rsidR="002F3F78" w:rsidRPr="0055445F" w:rsidRDefault="002F3F78" w:rsidP="00640CBE">
            <w:pPr>
              <w:jc w:val="right"/>
            </w:pPr>
            <w:r>
              <w:rPr>
                <w:rFonts w:ascii="Calibri" w:hAnsi="Calibri" w:cs="Calibri"/>
                <w:color w:val="000000"/>
              </w:rPr>
              <w:t>1428,6</w:t>
            </w:r>
          </w:p>
        </w:tc>
        <w:tc>
          <w:tcPr>
            <w:tcW w:w="677" w:type="pct"/>
            <w:tcBorders>
              <w:top w:val="single" w:sz="4" w:space="0" w:color="538135" w:themeColor="accent6" w:themeShade="BF"/>
              <w:left w:val="nil"/>
              <w:bottom w:val="nil"/>
              <w:right w:val="nil"/>
            </w:tcBorders>
            <w:shd w:val="clear" w:color="auto" w:fill="FFFFFF" w:themeFill="background1"/>
          </w:tcPr>
          <w:p w:rsidR="002F3F78" w:rsidRPr="0055445F" w:rsidRDefault="002F3F78" w:rsidP="00640CBE">
            <w:pPr>
              <w:jc w:val="right"/>
            </w:pPr>
            <w:r>
              <w:rPr>
                <w:rFonts w:ascii="Calibri" w:hAnsi="Calibri" w:cs="Calibri"/>
                <w:color w:val="000000"/>
              </w:rPr>
              <w:t>16%</w:t>
            </w:r>
          </w:p>
        </w:tc>
        <w:tc>
          <w:tcPr>
            <w:tcW w:w="712" w:type="pct"/>
            <w:tcBorders>
              <w:top w:val="single" w:sz="4" w:space="0" w:color="538135" w:themeColor="accent6" w:themeShade="BF"/>
              <w:left w:val="nil"/>
              <w:bottom w:val="nil"/>
              <w:right w:val="nil"/>
            </w:tcBorders>
            <w:shd w:val="clear" w:color="auto" w:fill="FFFFFF" w:themeFill="background1"/>
          </w:tcPr>
          <w:p w:rsidR="002F3F78" w:rsidRPr="0055445F" w:rsidRDefault="002F3F78" w:rsidP="00640CBE">
            <w:pPr>
              <w:jc w:val="right"/>
            </w:pPr>
            <w:r>
              <w:rPr>
                <w:rFonts w:ascii="Calibri" w:hAnsi="Calibri" w:cs="Calibri"/>
                <w:color w:val="000000"/>
              </w:rPr>
              <w:t>1629,9</w:t>
            </w:r>
          </w:p>
        </w:tc>
        <w:tc>
          <w:tcPr>
            <w:tcW w:w="712" w:type="pct"/>
            <w:tcBorders>
              <w:top w:val="single" w:sz="4" w:space="0" w:color="538135" w:themeColor="accent6" w:themeShade="BF"/>
              <w:left w:val="nil"/>
              <w:bottom w:val="nil"/>
              <w:right w:val="nil"/>
            </w:tcBorders>
            <w:shd w:val="clear" w:color="auto" w:fill="FFFFFF" w:themeFill="background1"/>
          </w:tcPr>
          <w:p w:rsidR="002F3F78" w:rsidRPr="0055445F" w:rsidRDefault="002F3F78" w:rsidP="00640CBE">
            <w:pPr>
              <w:jc w:val="right"/>
            </w:pPr>
            <w:r>
              <w:rPr>
                <w:rFonts w:ascii="Calibri" w:hAnsi="Calibri" w:cs="Calibri"/>
                <w:color w:val="000000"/>
              </w:rPr>
              <w:t>16%</w:t>
            </w:r>
          </w:p>
        </w:tc>
      </w:tr>
      <w:tr w:rsidR="002F3F78" w:rsidRPr="0055445F" w:rsidTr="00E768FE">
        <w:tc>
          <w:tcPr>
            <w:tcW w:w="866" w:type="pct"/>
            <w:tcBorders>
              <w:top w:val="nil"/>
              <w:left w:val="nil"/>
              <w:bottom w:val="nil"/>
              <w:right w:val="nil"/>
            </w:tcBorders>
            <w:shd w:val="clear" w:color="auto" w:fill="auto"/>
          </w:tcPr>
          <w:p w:rsidR="002F3F78" w:rsidRPr="00FB4441" w:rsidRDefault="002F3F78" w:rsidP="002F3F78">
            <w:r>
              <w:t>Программа широкого воздействия «Продовольственные системы, землепользование и восстановление»</w:t>
            </w:r>
          </w:p>
        </w:tc>
        <w:tc>
          <w:tcPr>
            <w:tcW w:w="673" w:type="pct"/>
            <w:tcBorders>
              <w:top w:val="nil"/>
              <w:left w:val="nil"/>
              <w:bottom w:val="nil"/>
              <w:right w:val="nil"/>
            </w:tcBorders>
            <w:shd w:val="clear" w:color="auto" w:fill="auto"/>
          </w:tcPr>
          <w:p w:rsidR="002F3F78" w:rsidRPr="00FB4441" w:rsidRDefault="002F3F78" w:rsidP="00E768FE">
            <w:pPr>
              <w:jc w:val="right"/>
            </w:pPr>
            <w:r>
              <w:t>281,2</w:t>
            </w:r>
          </w:p>
          <w:p w:rsidR="002F3F78" w:rsidRPr="00FB4441" w:rsidRDefault="002F3F78" w:rsidP="00E768FE">
            <w:pPr>
              <w:jc w:val="right"/>
            </w:pPr>
            <w:r>
              <w:t>(95,3 млн долл., выделенные по СПРР на биоразнообразие)</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27%</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2515,4</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28%</w:t>
            </w:r>
          </w:p>
        </w:tc>
        <w:tc>
          <w:tcPr>
            <w:tcW w:w="712" w:type="pct"/>
            <w:tcBorders>
              <w:top w:val="nil"/>
              <w:left w:val="nil"/>
              <w:bottom w:val="nil"/>
              <w:right w:val="nil"/>
            </w:tcBorders>
            <w:shd w:val="clear" w:color="auto" w:fill="auto"/>
          </w:tcPr>
          <w:p w:rsidR="00C82F50" w:rsidRPr="0055445F" w:rsidRDefault="00C82F50" w:rsidP="00640CBE">
            <w:pPr>
              <w:jc w:val="right"/>
              <w:rPr>
                <w:rFonts w:ascii="Calibri" w:hAnsi="Calibri" w:cs="Calibri"/>
                <w:color w:val="000000"/>
              </w:rPr>
            </w:pPr>
            <w:r>
              <w:rPr>
                <w:rFonts w:ascii="Calibri" w:hAnsi="Calibri" w:cs="Calibri"/>
                <w:color w:val="000000"/>
              </w:rPr>
              <w:t>2796,6</w:t>
            </w:r>
          </w:p>
          <w:p w:rsidR="002F3F78" w:rsidRPr="0055445F" w:rsidRDefault="002F3F78" w:rsidP="00640CBE">
            <w:pPr>
              <w:jc w:val="right"/>
            </w:pP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28%</w:t>
            </w:r>
          </w:p>
        </w:tc>
      </w:tr>
      <w:tr w:rsidR="002F3F78" w:rsidRPr="0055445F" w:rsidTr="00E768FE">
        <w:tc>
          <w:tcPr>
            <w:tcW w:w="866" w:type="pct"/>
            <w:tcBorders>
              <w:top w:val="nil"/>
              <w:left w:val="nil"/>
              <w:bottom w:val="nil"/>
              <w:right w:val="nil"/>
            </w:tcBorders>
            <w:shd w:val="clear" w:color="auto" w:fill="auto"/>
          </w:tcPr>
          <w:p w:rsidR="002F3F78" w:rsidRPr="00FB4441" w:rsidRDefault="002F3F78" w:rsidP="002F3F78">
            <w:r>
              <w:t>Программа широкого воздействия «Устойчивое лесопользование»</w:t>
            </w:r>
          </w:p>
        </w:tc>
        <w:tc>
          <w:tcPr>
            <w:tcW w:w="673" w:type="pct"/>
            <w:tcBorders>
              <w:top w:val="nil"/>
              <w:left w:val="nil"/>
              <w:bottom w:val="nil"/>
              <w:right w:val="nil"/>
            </w:tcBorders>
            <w:shd w:val="clear" w:color="auto" w:fill="auto"/>
          </w:tcPr>
          <w:p w:rsidR="002F3F78" w:rsidRPr="00FB4441" w:rsidRDefault="002F3F78" w:rsidP="00E768FE">
            <w:pPr>
              <w:jc w:val="right"/>
            </w:pPr>
            <w:r>
              <w:t>241,3</w:t>
            </w:r>
          </w:p>
          <w:p w:rsidR="002F3F78" w:rsidRPr="00FB4441" w:rsidRDefault="00D1036F" w:rsidP="00E768FE">
            <w:pPr>
              <w:jc w:val="right"/>
            </w:pPr>
            <w:r>
              <w:t>(92,0 млн долл., выделенные по СПРР на биоразноо</w:t>
            </w:r>
            <w:r>
              <w:lastRenderedPageBreak/>
              <w:t>бразие)</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lastRenderedPageBreak/>
              <w:t>23%</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1706,0</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19%</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1947,3</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19%</w:t>
            </w:r>
          </w:p>
        </w:tc>
      </w:tr>
      <w:tr w:rsidR="002F3F78" w:rsidRPr="0055445F" w:rsidTr="00E768FE">
        <w:tc>
          <w:tcPr>
            <w:tcW w:w="866" w:type="pct"/>
            <w:tcBorders>
              <w:top w:val="nil"/>
              <w:left w:val="nil"/>
              <w:bottom w:val="nil"/>
              <w:right w:val="nil"/>
            </w:tcBorders>
            <w:shd w:val="clear" w:color="auto" w:fill="auto"/>
          </w:tcPr>
          <w:p w:rsidR="002F3F78" w:rsidRPr="00FB4441" w:rsidRDefault="002F3F78" w:rsidP="002F3F78">
            <w:r>
              <w:lastRenderedPageBreak/>
              <w:t>Программа широкого воздействия «Устойчивое развитие городов»</w:t>
            </w:r>
          </w:p>
        </w:tc>
        <w:tc>
          <w:tcPr>
            <w:tcW w:w="673" w:type="pct"/>
            <w:tcBorders>
              <w:top w:val="nil"/>
              <w:left w:val="nil"/>
              <w:bottom w:val="nil"/>
              <w:right w:val="nil"/>
            </w:tcBorders>
            <w:shd w:val="clear" w:color="auto" w:fill="auto"/>
          </w:tcPr>
          <w:p w:rsidR="002F3F78" w:rsidRPr="00FB4441" w:rsidRDefault="002F3F78" w:rsidP="00E768FE">
            <w:pPr>
              <w:jc w:val="right"/>
            </w:pPr>
            <w:r>
              <w:t>146,7</w:t>
            </w:r>
          </w:p>
          <w:p w:rsidR="002F3F78" w:rsidRPr="00FB4441" w:rsidRDefault="002F3F78" w:rsidP="00E768FE">
            <w:pPr>
              <w:jc w:val="right"/>
            </w:pPr>
            <w:r>
              <w:t>(33,3 млн долл., выделенные по СПРР на биоразнообразие)</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14%</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1689,8</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19%</w:t>
            </w:r>
          </w:p>
        </w:tc>
        <w:tc>
          <w:tcPr>
            <w:tcW w:w="712" w:type="pct"/>
            <w:tcBorders>
              <w:top w:val="nil"/>
              <w:left w:val="nil"/>
              <w:bottom w:val="nil"/>
              <w:right w:val="nil"/>
            </w:tcBorders>
            <w:shd w:val="clear" w:color="auto" w:fill="auto"/>
          </w:tcPr>
          <w:p w:rsidR="002F3F78" w:rsidRPr="0055445F" w:rsidRDefault="002918CE" w:rsidP="00781F7B">
            <w:pPr>
              <w:jc w:val="right"/>
            </w:pPr>
            <w:r>
              <w:rPr>
                <w:rFonts w:ascii="Calibri" w:hAnsi="Calibri" w:cs="Calibri"/>
                <w:color w:val="000000"/>
              </w:rPr>
              <w:t>1836,5</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18%</w:t>
            </w:r>
          </w:p>
        </w:tc>
      </w:tr>
      <w:tr w:rsidR="002F3F78" w:rsidRPr="0055445F" w:rsidTr="00E768FE">
        <w:tc>
          <w:tcPr>
            <w:tcW w:w="866" w:type="pct"/>
            <w:tcBorders>
              <w:top w:val="nil"/>
              <w:left w:val="nil"/>
              <w:bottom w:val="nil"/>
              <w:right w:val="nil"/>
            </w:tcBorders>
            <w:shd w:val="clear" w:color="auto" w:fill="auto"/>
          </w:tcPr>
          <w:p w:rsidR="002F3F78" w:rsidRPr="0055445F" w:rsidRDefault="002F3F78" w:rsidP="002F3F78">
            <w:r>
              <w:t>Зарезервировано на биоразнообразие</w:t>
            </w:r>
          </w:p>
        </w:tc>
        <w:tc>
          <w:tcPr>
            <w:tcW w:w="673" w:type="pct"/>
            <w:tcBorders>
              <w:top w:val="nil"/>
              <w:left w:val="nil"/>
              <w:bottom w:val="nil"/>
              <w:right w:val="nil"/>
            </w:tcBorders>
            <w:shd w:val="clear" w:color="auto" w:fill="auto"/>
          </w:tcPr>
          <w:p w:rsidR="002F3F78" w:rsidRPr="0055445F" w:rsidRDefault="002F3F78" w:rsidP="00E768FE">
            <w:pPr>
              <w:jc w:val="right"/>
            </w:pPr>
            <w:r>
              <w:t>33,4</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3%</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90,4</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123,8</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w:t>
            </w:r>
          </w:p>
        </w:tc>
      </w:tr>
      <w:tr w:rsidR="002F3F78" w:rsidRPr="0055445F" w:rsidTr="00E768FE">
        <w:tc>
          <w:tcPr>
            <w:tcW w:w="866" w:type="pct"/>
            <w:tcBorders>
              <w:top w:val="nil"/>
              <w:left w:val="nil"/>
              <w:bottom w:val="nil"/>
              <w:right w:val="nil"/>
            </w:tcBorders>
            <w:shd w:val="clear" w:color="auto" w:fill="auto"/>
          </w:tcPr>
          <w:p w:rsidR="002F3F78" w:rsidRPr="00FB4441" w:rsidRDefault="002F3F78" w:rsidP="002F3F78">
            <w:r>
              <w:t>Фонд для наименее развитых стран</w:t>
            </w:r>
          </w:p>
        </w:tc>
        <w:tc>
          <w:tcPr>
            <w:tcW w:w="673" w:type="pct"/>
            <w:tcBorders>
              <w:top w:val="nil"/>
              <w:left w:val="nil"/>
              <w:bottom w:val="nil"/>
              <w:right w:val="nil"/>
            </w:tcBorders>
            <w:shd w:val="clear" w:color="auto" w:fill="auto"/>
          </w:tcPr>
          <w:p w:rsidR="002F3F78" w:rsidRPr="0055445F" w:rsidRDefault="002F3F78" w:rsidP="00E768FE">
            <w:pPr>
              <w:jc w:val="right"/>
            </w:pPr>
            <w:r>
              <w:t>26,3</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2%</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66,8</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w:t>
            </w:r>
          </w:p>
        </w:tc>
        <w:tc>
          <w:tcPr>
            <w:tcW w:w="712" w:type="pct"/>
            <w:tcBorders>
              <w:top w:val="nil"/>
              <w:left w:val="nil"/>
              <w:bottom w:val="nil"/>
              <w:right w:val="nil"/>
            </w:tcBorders>
            <w:shd w:val="clear" w:color="auto" w:fill="auto"/>
          </w:tcPr>
          <w:p w:rsidR="00BA1BC3" w:rsidRPr="0055445F" w:rsidRDefault="00BA1BC3" w:rsidP="00640CBE">
            <w:pPr>
              <w:jc w:val="right"/>
              <w:rPr>
                <w:rFonts w:ascii="Calibri" w:hAnsi="Calibri" w:cs="Calibri"/>
                <w:color w:val="000000"/>
              </w:rPr>
            </w:pPr>
            <w:r>
              <w:rPr>
                <w:rFonts w:ascii="Calibri" w:hAnsi="Calibri" w:cs="Calibri"/>
                <w:color w:val="000000"/>
              </w:rPr>
              <w:t>93,1</w:t>
            </w:r>
          </w:p>
          <w:p w:rsidR="002F3F78" w:rsidRPr="0055445F" w:rsidRDefault="002F3F78" w:rsidP="00640CBE">
            <w:pPr>
              <w:jc w:val="right"/>
            </w:pP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w:t>
            </w:r>
          </w:p>
        </w:tc>
      </w:tr>
      <w:tr w:rsidR="002F3F78" w:rsidRPr="0055445F" w:rsidTr="00E768FE">
        <w:trPr>
          <w:trHeight w:val="863"/>
        </w:trPr>
        <w:tc>
          <w:tcPr>
            <w:tcW w:w="866" w:type="pct"/>
            <w:tcBorders>
              <w:top w:val="nil"/>
              <w:left w:val="nil"/>
              <w:bottom w:val="nil"/>
              <w:right w:val="nil"/>
            </w:tcBorders>
            <w:shd w:val="clear" w:color="auto" w:fill="auto"/>
          </w:tcPr>
          <w:p w:rsidR="002F3F78" w:rsidRPr="0055445F" w:rsidRDefault="002F3F78" w:rsidP="002F3F78">
            <w:r>
              <w:t>Целевая область международных вод</w:t>
            </w:r>
          </w:p>
        </w:tc>
        <w:tc>
          <w:tcPr>
            <w:tcW w:w="673" w:type="pct"/>
            <w:tcBorders>
              <w:top w:val="nil"/>
              <w:left w:val="nil"/>
              <w:bottom w:val="nil"/>
              <w:right w:val="nil"/>
            </w:tcBorders>
            <w:shd w:val="clear" w:color="auto" w:fill="auto"/>
          </w:tcPr>
          <w:p w:rsidR="002F3F78" w:rsidRPr="0055445F" w:rsidRDefault="002F3F78" w:rsidP="00E768FE">
            <w:pPr>
              <w:jc w:val="right"/>
            </w:pPr>
            <w:r>
              <w:t>90,5</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9%</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664,4</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7%</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754,9</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8%</w:t>
            </w:r>
          </w:p>
        </w:tc>
      </w:tr>
      <w:tr w:rsidR="002F3F78" w:rsidRPr="0055445F" w:rsidTr="00E768FE">
        <w:tc>
          <w:tcPr>
            <w:tcW w:w="866" w:type="pct"/>
            <w:tcBorders>
              <w:top w:val="nil"/>
              <w:left w:val="nil"/>
              <w:bottom w:val="nil"/>
              <w:right w:val="nil"/>
            </w:tcBorders>
            <w:shd w:val="clear" w:color="auto" w:fill="auto"/>
          </w:tcPr>
          <w:p w:rsidR="002F3F78" w:rsidRPr="0055445F" w:rsidRDefault="002F3F78" w:rsidP="002F3F78">
            <w:r>
              <w:t>Несвязанный с грантами инструмент</w:t>
            </w:r>
          </w:p>
        </w:tc>
        <w:tc>
          <w:tcPr>
            <w:tcW w:w="673" w:type="pct"/>
            <w:tcBorders>
              <w:top w:val="nil"/>
              <w:left w:val="nil"/>
              <w:bottom w:val="nil"/>
              <w:right w:val="nil"/>
            </w:tcBorders>
            <w:shd w:val="clear" w:color="auto" w:fill="auto"/>
          </w:tcPr>
          <w:p w:rsidR="002F3F78" w:rsidRPr="0055445F" w:rsidRDefault="002F3F78" w:rsidP="00E768FE">
            <w:pPr>
              <w:jc w:val="right"/>
            </w:pPr>
            <w:r>
              <w:t>15,0</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1%</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773,3</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9%</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788,3</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8%</w:t>
            </w:r>
          </w:p>
        </w:tc>
      </w:tr>
      <w:tr w:rsidR="002F3F78" w:rsidRPr="0055445F" w:rsidTr="00E768FE">
        <w:tc>
          <w:tcPr>
            <w:tcW w:w="866" w:type="pct"/>
            <w:tcBorders>
              <w:top w:val="nil"/>
              <w:left w:val="nil"/>
              <w:bottom w:val="nil"/>
              <w:right w:val="nil"/>
            </w:tcBorders>
            <w:shd w:val="clear" w:color="auto" w:fill="auto"/>
          </w:tcPr>
          <w:p w:rsidR="002F3F78" w:rsidRPr="0055445F" w:rsidRDefault="002F3F78" w:rsidP="002F3F78">
            <w:r>
              <w:t>Программа малых грантов</w:t>
            </w:r>
          </w:p>
        </w:tc>
        <w:tc>
          <w:tcPr>
            <w:tcW w:w="673" w:type="pct"/>
            <w:tcBorders>
              <w:top w:val="nil"/>
              <w:left w:val="nil"/>
              <w:bottom w:val="nil"/>
              <w:right w:val="nil"/>
            </w:tcBorders>
            <w:shd w:val="clear" w:color="auto" w:fill="auto"/>
          </w:tcPr>
          <w:p w:rsidR="002F3F78" w:rsidRPr="0055445F" w:rsidRDefault="002F3F78" w:rsidP="00E768FE">
            <w:pPr>
              <w:jc w:val="right"/>
            </w:pPr>
            <w:r>
              <w:t>21,0</w:t>
            </w:r>
          </w:p>
        </w:tc>
        <w:tc>
          <w:tcPr>
            <w:tcW w:w="68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2%</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21,0</w:t>
            </w:r>
          </w:p>
        </w:tc>
        <w:tc>
          <w:tcPr>
            <w:tcW w:w="677"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0%</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42,0</w:t>
            </w:r>
          </w:p>
        </w:tc>
        <w:tc>
          <w:tcPr>
            <w:tcW w:w="712" w:type="pct"/>
            <w:tcBorders>
              <w:top w:val="nil"/>
              <w:left w:val="nil"/>
              <w:bottom w:val="nil"/>
              <w:right w:val="nil"/>
            </w:tcBorders>
            <w:shd w:val="clear" w:color="auto" w:fill="auto"/>
          </w:tcPr>
          <w:p w:rsidR="002F3F78" w:rsidRPr="0055445F" w:rsidRDefault="002F3F78" w:rsidP="00640CBE">
            <w:pPr>
              <w:jc w:val="right"/>
            </w:pPr>
            <w:r>
              <w:rPr>
                <w:rFonts w:ascii="Calibri" w:hAnsi="Calibri" w:cs="Calibri"/>
                <w:color w:val="000000"/>
              </w:rPr>
              <w:t>0%</w:t>
            </w:r>
          </w:p>
        </w:tc>
      </w:tr>
      <w:tr w:rsidR="002F3F78" w:rsidRPr="0055445F" w:rsidTr="00E768FE">
        <w:tc>
          <w:tcPr>
            <w:tcW w:w="866" w:type="pct"/>
            <w:tcBorders>
              <w:top w:val="single" w:sz="4" w:space="0" w:color="538135" w:themeColor="accent6" w:themeShade="BF"/>
              <w:left w:val="nil"/>
              <w:bottom w:val="nil"/>
              <w:right w:val="nil"/>
            </w:tcBorders>
            <w:shd w:val="clear" w:color="auto" w:fill="auto"/>
          </w:tcPr>
          <w:p w:rsidR="002F3F78" w:rsidRPr="0055445F" w:rsidRDefault="002F3F78" w:rsidP="002F3F78">
            <w:r>
              <w:t>Всего</w:t>
            </w:r>
          </w:p>
        </w:tc>
        <w:tc>
          <w:tcPr>
            <w:tcW w:w="673" w:type="pct"/>
            <w:tcBorders>
              <w:top w:val="single" w:sz="4" w:space="0" w:color="538135" w:themeColor="accent6" w:themeShade="BF"/>
              <w:left w:val="nil"/>
              <w:bottom w:val="nil"/>
              <w:right w:val="nil"/>
            </w:tcBorders>
            <w:shd w:val="clear" w:color="auto" w:fill="auto"/>
          </w:tcPr>
          <w:p w:rsidR="00016B44" w:rsidRPr="0055445F" w:rsidRDefault="00016B44" w:rsidP="00E768FE">
            <w:pPr>
              <w:jc w:val="right"/>
            </w:pPr>
            <w:r>
              <w:t>1056,7</w:t>
            </w:r>
          </w:p>
        </w:tc>
        <w:tc>
          <w:tcPr>
            <w:tcW w:w="682" w:type="pct"/>
            <w:tcBorders>
              <w:top w:val="single" w:sz="4" w:space="0" w:color="538135" w:themeColor="accent6" w:themeShade="BF"/>
              <w:left w:val="nil"/>
              <w:bottom w:val="nil"/>
              <w:right w:val="nil"/>
            </w:tcBorders>
            <w:shd w:val="clear" w:color="auto" w:fill="auto"/>
          </w:tcPr>
          <w:p w:rsidR="002F3F78" w:rsidRPr="0055445F" w:rsidRDefault="002F3F78" w:rsidP="00E768FE">
            <w:pPr>
              <w:jc w:val="right"/>
            </w:pPr>
          </w:p>
        </w:tc>
        <w:tc>
          <w:tcPr>
            <w:tcW w:w="677" w:type="pct"/>
            <w:tcBorders>
              <w:top w:val="single" w:sz="4" w:space="0" w:color="538135" w:themeColor="accent6" w:themeShade="BF"/>
              <w:left w:val="nil"/>
              <w:bottom w:val="nil"/>
              <w:right w:val="nil"/>
            </w:tcBorders>
            <w:shd w:val="clear" w:color="auto" w:fill="auto"/>
          </w:tcPr>
          <w:p w:rsidR="002F3F78" w:rsidRPr="0055445F" w:rsidRDefault="002F3F78" w:rsidP="00E768FE">
            <w:pPr>
              <w:jc w:val="right"/>
            </w:pPr>
            <w:r>
              <w:rPr>
                <w:rFonts w:ascii="Calibri" w:hAnsi="Calibri" w:cs="Calibri"/>
                <w:color w:val="000000"/>
              </w:rPr>
              <w:t>8955,7</w:t>
            </w:r>
          </w:p>
        </w:tc>
        <w:tc>
          <w:tcPr>
            <w:tcW w:w="677" w:type="pct"/>
            <w:tcBorders>
              <w:top w:val="single" w:sz="4" w:space="0" w:color="538135" w:themeColor="accent6" w:themeShade="BF"/>
              <w:left w:val="nil"/>
              <w:bottom w:val="nil"/>
              <w:right w:val="nil"/>
            </w:tcBorders>
            <w:shd w:val="clear" w:color="auto" w:fill="auto"/>
          </w:tcPr>
          <w:p w:rsidR="002F3F78" w:rsidRPr="0055445F" w:rsidRDefault="002F3F78" w:rsidP="00E768FE">
            <w:pPr>
              <w:jc w:val="right"/>
            </w:pPr>
          </w:p>
        </w:tc>
        <w:tc>
          <w:tcPr>
            <w:tcW w:w="712" w:type="pct"/>
            <w:tcBorders>
              <w:top w:val="single" w:sz="4" w:space="0" w:color="538135" w:themeColor="accent6" w:themeShade="BF"/>
              <w:left w:val="nil"/>
              <w:bottom w:val="nil"/>
              <w:right w:val="nil"/>
            </w:tcBorders>
            <w:shd w:val="clear" w:color="auto" w:fill="auto"/>
          </w:tcPr>
          <w:p w:rsidR="00016B44" w:rsidRPr="0055445F" w:rsidRDefault="00016B44" w:rsidP="00E768FE">
            <w:pPr>
              <w:jc w:val="right"/>
            </w:pPr>
            <w:r>
              <w:rPr>
                <w:rFonts w:ascii="Calibri" w:hAnsi="Calibri" w:cs="Calibri"/>
                <w:color w:val="000000"/>
              </w:rPr>
              <w:t>10 012,4</w:t>
            </w:r>
          </w:p>
        </w:tc>
        <w:tc>
          <w:tcPr>
            <w:tcW w:w="712" w:type="pct"/>
            <w:tcBorders>
              <w:top w:val="single" w:sz="4" w:space="0" w:color="538135" w:themeColor="accent6" w:themeShade="BF"/>
              <w:left w:val="nil"/>
              <w:bottom w:val="nil"/>
              <w:right w:val="nil"/>
            </w:tcBorders>
            <w:shd w:val="clear" w:color="auto" w:fill="auto"/>
          </w:tcPr>
          <w:p w:rsidR="002F3F78" w:rsidRPr="0055445F" w:rsidRDefault="002F3F78" w:rsidP="00E768FE">
            <w:pPr>
              <w:jc w:val="right"/>
            </w:pPr>
          </w:p>
        </w:tc>
      </w:tr>
    </w:tbl>
    <w:p w:rsidR="00FF3B4A" w:rsidRDefault="00FF3B4A" w:rsidP="00A96A54">
      <w:pPr>
        <w:rPr>
          <w:b/>
          <w:sz w:val="24"/>
          <w:szCs w:val="24"/>
          <w:u w:val="single"/>
        </w:rPr>
      </w:pPr>
      <w:r>
        <w:rPr>
          <w:b/>
          <w:bCs/>
          <w:sz w:val="24"/>
          <w:szCs w:val="24"/>
          <w:u w:val="single"/>
        </w:rPr>
        <w:br w:type="page"/>
      </w:r>
    </w:p>
    <w:p w:rsidR="00A41202" w:rsidRPr="00FB4441" w:rsidRDefault="00E33D4C" w:rsidP="00CA5440">
      <w:pPr>
        <w:pStyle w:val="a9"/>
        <w:numPr>
          <w:ilvl w:val="0"/>
          <w:numId w:val="25"/>
        </w:numPr>
        <w:spacing w:before="240" w:after="240" w:line="240" w:lineRule="auto"/>
        <w:ind w:left="0" w:firstLine="0"/>
        <w:contextualSpacing w:val="0"/>
        <w:rPr>
          <w:sz w:val="24"/>
          <w:szCs w:val="24"/>
        </w:rPr>
      </w:pPr>
      <w:r>
        <w:rPr>
          <w:sz w:val="24"/>
          <w:szCs w:val="24"/>
        </w:rPr>
        <w:lastRenderedPageBreak/>
        <w:t>В последующих разделах содержится дальнейшее описание вклада инвестиций, данные о которых приводятся в таблице 4, в достижение Айтинских целевых задач в области биоразнообразия.</w:t>
      </w:r>
    </w:p>
    <w:p w:rsidR="00506145" w:rsidRPr="00FB4441" w:rsidRDefault="00AF7227" w:rsidP="000C09D1">
      <w:pPr>
        <w:pStyle w:val="2"/>
        <w:rPr>
          <w:lang w:val="ru-RU"/>
        </w:rPr>
      </w:pPr>
      <w:bookmarkStart w:id="24" w:name="_Toc32494917"/>
      <w:r w:rsidRPr="00644CCA">
        <w:rPr>
          <w:bCs/>
          <w:lang w:val="ru-RU"/>
        </w:rPr>
        <w:t>Вклад стратегии целевой области сохранения биоразнообразия ГЭФ-7 в выполнение Айтинских целевых задач по биоразнообразию</w:t>
      </w:r>
      <w:bookmarkEnd w:id="24"/>
    </w:p>
    <w:p w:rsidR="001D626F" w:rsidRPr="00FB4441" w:rsidRDefault="003836DB" w:rsidP="00CA5440">
      <w:pPr>
        <w:pStyle w:val="a9"/>
        <w:numPr>
          <w:ilvl w:val="0"/>
          <w:numId w:val="25"/>
        </w:numPr>
        <w:spacing w:before="240" w:after="240" w:line="240" w:lineRule="auto"/>
        <w:ind w:left="0" w:firstLine="0"/>
        <w:contextualSpacing w:val="0"/>
        <w:rPr>
          <w:sz w:val="24"/>
          <w:szCs w:val="24"/>
        </w:rPr>
      </w:pPr>
      <w:r>
        <w:rPr>
          <w:sz w:val="24"/>
          <w:szCs w:val="24"/>
        </w:rPr>
        <w:t>В таблице 5 приведены данные о выделенных средствах на биоразнообразие через СПРР, направленные на финансирование проектов в целевой области сохранения биоразнообразия и многоцелевых проектов, которые не входят в программы широкого воздействия в период ГЭФ-7. Как показывают данные, в странах-получателях помощи ГЭФ сохраняется тенденция уделять первостепенное внимание учету проблематики биоразнообразия.</w:t>
      </w:r>
    </w:p>
    <w:p w:rsidR="00BB1F0D" w:rsidRPr="00E34070" w:rsidRDefault="00C80D8B" w:rsidP="00CA5440">
      <w:pPr>
        <w:pStyle w:val="a9"/>
        <w:numPr>
          <w:ilvl w:val="0"/>
          <w:numId w:val="25"/>
        </w:numPr>
        <w:spacing w:before="240" w:after="240" w:line="240" w:lineRule="auto"/>
        <w:ind w:left="0" w:firstLine="0"/>
        <w:contextualSpacing w:val="0"/>
        <w:rPr>
          <w:sz w:val="24"/>
          <w:szCs w:val="24"/>
        </w:rPr>
      </w:pPr>
      <w:r>
        <w:rPr>
          <w:sz w:val="24"/>
          <w:szCs w:val="24"/>
        </w:rPr>
        <w:t>Задача 1 стратегии – учет проблематики биоразнообразия – является приоритетной для стран, направивших 165,6 млн долл. США, или 69 процентов средств на ее выполнение.</w:t>
      </w:r>
      <w:r w:rsidR="00776E86">
        <w:rPr>
          <w:sz w:val="24"/>
          <w:szCs w:val="24"/>
        </w:rPr>
        <w:t xml:space="preserve"> </w:t>
      </w:r>
      <w:r>
        <w:rPr>
          <w:sz w:val="24"/>
          <w:szCs w:val="24"/>
        </w:rPr>
        <w:t>Задача 2 стратегии – управление охраняемыми районами и защита видов – является вторым по значимости приоритетом стран, инвестировавших на ее выполнение 65,7 млн долл. США,</w:t>
      </w:r>
      <w:r w:rsidR="00776E86">
        <w:rPr>
          <w:sz w:val="24"/>
          <w:szCs w:val="24"/>
        </w:rPr>
        <w:t xml:space="preserve"> </w:t>
      </w:r>
      <w:r>
        <w:rPr>
          <w:sz w:val="24"/>
          <w:szCs w:val="24"/>
        </w:rPr>
        <w:t>или 28 процентов средств.</w:t>
      </w:r>
      <w:r w:rsidR="00776E86">
        <w:rPr>
          <w:sz w:val="24"/>
          <w:szCs w:val="24"/>
        </w:rPr>
        <w:t xml:space="preserve"> </w:t>
      </w:r>
      <w:r>
        <w:rPr>
          <w:sz w:val="24"/>
          <w:szCs w:val="24"/>
        </w:rPr>
        <w:t>Задаче 3 стратегии, направленной на содействие осуществлению двух протоколов и выполнению отчетных обязательств по конвенции, страны придают весьма низкое значение, выделив на осуществление Нагойского протокола лишь 7,8 млн долл. США, или три процента средств.</w:t>
      </w:r>
    </w:p>
    <w:p w:rsidR="00C80D8B" w:rsidRPr="00061C6D" w:rsidRDefault="00F854AB" w:rsidP="00CA5440">
      <w:pPr>
        <w:pStyle w:val="a9"/>
        <w:numPr>
          <w:ilvl w:val="0"/>
          <w:numId w:val="25"/>
        </w:numPr>
        <w:spacing w:before="240" w:after="240" w:line="240" w:lineRule="auto"/>
        <w:ind w:left="0" w:firstLine="0"/>
        <w:contextualSpacing w:val="0"/>
        <w:rPr>
          <w:sz w:val="24"/>
          <w:szCs w:val="24"/>
        </w:rPr>
      </w:pPr>
      <w:r w:rsidRPr="00061C6D">
        <w:rPr>
          <w:sz w:val="24"/>
          <w:szCs w:val="24"/>
        </w:rPr>
        <w:t>Следует отметить, о чем будет подробнее сказано в настоящем докладе, что</w:t>
      </w:r>
      <w:r w:rsidR="00776E86">
        <w:rPr>
          <w:sz w:val="24"/>
          <w:szCs w:val="24"/>
        </w:rPr>
        <w:t xml:space="preserve"> </w:t>
      </w:r>
      <w:r w:rsidRPr="00061C6D">
        <w:rPr>
          <w:sz w:val="24"/>
          <w:szCs w:val="24"/>
        </w:rPr>
        <w:t>220,6</w:t>
      </w:r>
      <w:r w:rsidR="00AC5F0A">
        <w:rPr>
          <w:sz w:val="24"/>
          <w:szCs w:val="24"/>
        </w:rPr>
        <w:t> </w:t>
      </w:r>
      <w:r w:rsidRPr="00061C6D">
        <w:rPr>
          <w:sz w:val="24"/>
          <w:szCs w:val="24"/>
        </w:rPr>
        <w:t>млн долл. США, выделенные на биоразнообразие по СПРР, запланировано освоить в рамках программ широкого воздействия, которые в основном соответствуют задачам по учету проблематики биоразнообразия.</w:t>
      </w:r>
    </w:p>
    <w:p w:rsidR="00BC29AF" w:rsidRPr="00FB4441" w:rsidRDefault="00676B7F" w:rsidP="00D722AE">
      <w:pPr>
        <w:spacing w:before="240" w:after="240" w:line="240" w:lineRule="auto"/>
        <w:jc w:val="center"/>
        <w:rPr>
          <w:b/>
          <w:i/>
          <w:sz w:val="24"/>
          <w:szCs w:val="24"/>
        </w:rPr>
      </w:pPr>
      <w:r w:rsidRPr="00776E86">
        <w:rPr>
          <w:b/>
          <w:sz w:val="24"/>
          <w:szCs w:val="24"/>
        </w:rPr>
        <w:t>Таблица 5.</w:t>
      </w:r>
      <w:r w:rsidR="00776E86" w:rsidRPr="00776E86">
        <w:rPr>
          <w:b/>
          <w:sz w:val="24"/>
          <w:szCs w:val="24"/>
        </w:rPr>
        <w:t xml:space="preserve"> </w:t>
      </w:r>
      <w:r w:rsidRPr="00776E86">
        <w:rPr>
          <w:b/>
          <w:sz w:val="24"/>
          <w:szCs w:val="24"/>
        </w:rPr>
        <w:t xml:space="preserve">Вклад проектов в целевой области сохранения биоразнообразия и проектов многоцелевой направленности в выполнение Айтинских целевых задач по биоразнообразию </w:t>
      </w:r>
      <w:r w:rsidRPr="00776E86">
        <w:rPr>
          <w:b/>
          <w:i/>
          <w:sz w:val="24"/>
          <w:szCs w:val="24"/>
        </w:rPr>
        <w:t>(</w:t>
      </w:r>
      <w:r w:rsidRPr="00776E86">
        <w:rPr>
          <w:b/>
          <w:i/>
          <w:sz w:val="24"/>
          <w:szCs w:val="24"/>
          <w:u w:val="single"/>
        </w:rPr>
        <w:t>проекты, не входящие в программы широкого воздействия</w:t>
      </w:r>
      <w:r w:rsidRPr="00776E86">
        <w:rPr>
          <w:b/>
          <w:i/>
          <w:sz w:val="24"/>
          <w:szCs w:val="24"/>
        </w:rPr>
        <w:t>)</w:t>
      </w:r>
      <w:r w:rsidR="00061C6D" w:rsidRPr="00776E86">
        <w:rPr>
          <w:b/>
          <w:sz w:val="24"/>
          <w:szCs w:val="24"/>
        </w:rPr>
        <w:br/>
      </w:r>
      <w:r w:rsidRPr="00776E86">
        <w:rPr>
          <w:b/>
          <w:sz w:val="24"/>
          <w:szCs w:val="24"/>
        </w:rPr>
        <w:t>(1 июля 2018 г. - 31 декабря 2019 г.)</w:t>
      </w:r>
      <w:r>
        <w:rPr>
          <w:rStyle w:val="a5"/>
          <w:b/>
          <w:bCs/>
          <w:sz w:val="24"/>
          <w:szCs w:val="24"/>
        </w:rPr>
        <w:footnoteReference w:id="9"/>
      </w:r>
    </w:p>
    <w:tbl>
      <w:tblPr>
        <w:tblStyle w:val="aa"/>
        <w:tblW w:w="0" w:type="auto"/>
        <w:tblLook w:val="04A0"/>
      </w:tblPr>
      <w:tblGrid>
        <w:gridCol w:w="2956"/>
        <w:gridCol w:w="1625"/>
        <w:gridCol w:w="1858"/>
        <w:gridCol w:w="2092"/>
        <w:gridCol w:w="1045"/>
      </w:tblGrid>
      <w:tr w:rsidR="00C62CA8" w:rsidRPr="00273B2C" w:rsidTr="00E34070">
        <w:trPr>
          <w:tblHeader/>
        </w:trPr>
        <w:tc>
          <w:tcPr>
            <w:tcW w:w="3397" w:type="dxa"/>
            <w:vAlign w:val="center"/>
          </w:tcPr>
          <w:p w:rsidR="00C62CA8" w:rsidRPr="00FB4441" w:rsidRDefault="00C62CA8" w:rsidP="008354E6">
            <w:pPr>
              <w:jc w:val="center"/>
              <w:rPr>
                <w:b/>
              </w:rPr>
            </w:pPr>
            <w:r>
              <w:rPr>
                <w:b/>
                <w:bCs/>
              </w:rPr>
              <w:t>Стратегические задачи сохранения биоразнообразия и программные направления</w:t>
            </w:r>
          </w:p>
        </w:tc>
        <w:tc>
          <w:tcPr>
            <w:tcW w:w="1754" w:type="dxa"/>
            <w:vAlign w:val="center"/>
          </w:tcPr>
          <w:p w:rsidR="00C62CA8" w:rsidRPr="00350D2F" w:rsidRDefault="00C62CA8" w:rsidP="008354E6">
            <w:pPr>
              <w:jc w:val="center"/>
              <w:rPr>
                <w:b/>
              </w:rPr>
            </w:pPr>
            <w:r>
              <w:rPr>
                <w:b/>
                <w:bCs/>
              </w:rPr>
              <w:t>Айтинские целевые задачи</w:t>
            </w:r>
          </w:p>
        </w:tc>
        <w:tc>
          <w:tcPr>
            <w:tcW w:w="1534" w:type="dxa"/>
            <w:vAlign w:val="center"/>
          </w:tcPr>
          <w:p w:rsidR="00C62CA8" w:rsidRPr="00FB4441" w:rsidRDefault="00C62CA8" w:rsidP="008354E6">
            <w:pPr>
              <w:jc w:val="center"/>
              <w:rPr>
                <w:b/>
              </w:rPr>
            </w:pPr>
            <w:r>
              <w:rPr>
                <w:b/>
                <w:bCs/>
              </w:rPr>
              <w:t>Проектное финансирование ГЭФ</w:t>
            </w:r>
          </w:p>
          <w:p w:rsidR="00C62CA8" w:rsidRPr="00350D2F" w:rsidRDefault="00C62CA8" w:rsidP="008354E6">
            <w:pPr>
              <w:jc w:val="center"/>
              <w:rPr>
                <w:b/>
              </w:rPr>
            </w:pPr>
            <w:r>
              <w:rPr>
                <w:b/>
                <w:bCs/>
              </w:rPr>
              <w:t>(млн долл. США)</w:t>
            </w:r>
          </w:p>
        </w:tc>
        <w:tc>
          <w:tcPr>
            <w:tcW w:w="1506" w:type="dxa"/>
            <w:vAlign w:val="center"/>
          </w:tcPr>
          <w:p w:rsidR="00C62CA8" w:rsidRPr="00350D2F" w:rsidRDefault="002D582B" w:rsidP="008354E6">
            <w:pPr>
              <w:jc w:val="center"/>
              <w:rPr>
                <w:b/>
              </w:rPr>
            </w:pPr>
            <w:r>
              <w:rPr>
                <w:b/>
                <w:bCs/>
              </w:rPr>
              <w:t>Софинансирование</w:t>
            </w:r>
          </w:p>
          <w:p w:rsidR="00C62CA8" w:rsidRPr="00350D2F" w:rsidRDefault="00C62CA8" w:rsidP="008354E6">
            <w:pPr>
              <w:jc w:val="center"/>
              <w:rPr>
                <w:b/>
              </w:rPr>
            </w:pPr>
            <w:r>
              <w:rPr>
                <w:b/>
                <w:bCs/>
              </w:rPr>
              <w:t>(млн долл. США)</w:t>
            </w:r>
          </w:p>
        </w:tc>
        <w:tc>
          <w:tcPr>
            <w:tcW w:w="1159" w:type="dxa"/>
            <w:vAlign w:val="center"/>
          </w:tcPr>
          <w:p w:rsidR="00C62CA8" w:rsidRPr="00350D2F" w:rsidRDefault="00C62CA8" w:rsidP="008354E6">
            <w:pPr>
              <w:jc w:val="center"/>
              <w:rPr>
                <w:b/>
              </w:rPr>
            </w:pPr>
            <w:r>
              <w:rPr>
                <w:b/>
                <w:bCs/>
              </w:rPr>
              <w:t>Всего</w:t>
            </w:r>
          </w:p>
          <w:p w:rsidR="00C62CA8" w:rsidRPr="00350D2F" w:rsidRDefault="00C62CA8" w:rsidP="008354E6">
            <w:pPr>
              <w:jc w:val="center"/>
              <w:rPr>
                <w:b/>
              </w:rPr>
            </w:pPr>
            <w:r>
              <w:rPr>
                <w:b/>
                <w:bCs/>
              </w:rPr>
              <w:t>(млн долл. США)</w:t>
            </w:r>
          </w:p>
        </w:tc>
      </w:tr>
      <w:tr w:rsidR="00C62CA8" w:rsidRPr="00FB4441" w:rsidTr="00E34070">
        <w:tc>
          <w:tcPr>
            <w:tcW w:w="3397" w:type="dxa"/>
            <w:shd w:val="clear" w:color="auto" w:fill="auto"/>
            <w:vAlign w:val="center"/>
          </w:tcPr>
          <w:p w:rsidR="00C62CA8" w:rsidRPr="00FB4441" w:rsidRDefault="00C62CA8" w:rsidP="00E96F24">
            <w:pPr>
              <w:spacing w:after="40"/>
              <w:rPr>
                <w:b/>
              </w:rPr>
            </w:pPr>
            <w:r>
              <w:rPr>
                <w:b/>
                <w:bCs/>
              </w:rPr>
              <w:t>Задача 1. Учет вопросов биоразнообразия в работе секторов, а также в деятельности, связанной с наземными и морскими ландшафтами</w:t>
            </w:r>
          </w:p>
        </w:tc>
        <w:tc>
          <w:tcPr>
            <w:tcW w:w="1754" w:type="dxa"/>
            <w:shd w:val="clear" w:color="auto" w:fill="auto"/>
            <w:vAlign w:val="center"/>
          </w:tcPr>
          <w:p w:rsidR="00C62CA8" w:rsidRPr="00FB4441" w:rsidRDefault="00C62CA8" w:rsidP="00E96F24">
            <w:pPr>
              <w:spacing w:after="40"/>
              <w:rPr>
                <w:b/>
              </w:rPr>
            </w:pPr>
          </w:p>
        </w:tc>
        <w:tc>
          <w:tcPr>
            <w:tcW w:w="1534" w:type="dxa"/>
            <w:shd w:val="clear" w:color="auto" w:fill="auto"/>
            <w:vAlign w:val="center"/>
          </w:tcPr>
          <w:p w:rsidR="00C62CA8" w:rsidRPr="00FB4441" w:rsidRDefault="00C62CA8" w:rsidP="00E96F24">
            <w:pPr>
              <w:spacing w:after="40"/>
              <w:rPr>
                <w:b/>
              </w:rPr>
            </w:pPr>
          </w:p>
        </w:tc>
        <w:tc>
          <w:tcPr>
            <w:tcW w:w="1506" w:type="dxa"/>
            <w:shd w:val="clear" w:color="auto" w:fill="auto"/>
            <w:vAlign w:val="center"/>
          </w:tcPr>
          <w:p w:rsidR="00C62CA8" w:rsidRPr="00FB4441" w:rsidRDefault="00C62CA8" w:rsidP="00E96F24">
            <w:pPr>
              <w:spacing w:after="40"/>
              <w:rPr>
                <w:b/>
              </w:rPr>
            </w:pPr>
          </w:p>
        </w:tc>
        <w:tc>
          <w:tcPr>
            <w:tcW w:w="1159" w:type="dxa"/>
            <w:shd w:val="clear" w:color="auto" w:fill="auto"/>
            <w:vAlign w:val="center"/>
          </w:tcPr>
          <w:p w:rsidR="00C62CA8" w:rsidRPr="00FB4441" w:rsidRDefault="00C62CA8" w:rsidP="00E96F24">
            <w:pPr>
              <w:spacing w:after="40"/>
              <w:rPr>
                <w:b/>
              </w:rPr>
            </w:pPr>
          </w:p>
        </w:tc>
      </w:tr>
      <w:tr w:rsidR="00C62CA8" w:rsidRPr="00273B2C" w:rsidTr="00E34070">
        <w:tc>
          <w:tcPr>
            <w:tcW w:w="3397" w:type="dxa"/>
            <w:vAlign w:val="center"/>
          </w:tcPr>
          <w:p w:rsidR="00C62CA8" w:rsidRPr="00FB4441" w:rsidRDefault="00C62CA8" w:rsidP="00E96F24">
            <w:pPr>
              <w:spacing w:after="40"/>
            </w:pPr>
            <w:r>
              <w:lastRenderedPageBreak/>
              <w:t>Учет проблематики биоразнообразия в приоритетных секторах</w:t>
            </w:r>
          </w:p>
        </w:tc>
        <w:tc>
          <w:tcPr>
            <w:tcW w:w="1754" w:type="dxa"/>
            <w:vAlign w:val="center"/>
          </w:tcPr>
          <w:p w:rsidR="00C62CA8" w:rsidRPr="00273B2C" w:rsidRDefault="002476C8" w:rsidP="00E96F24">
            <w:pPr>
              <w:spacing w:after="40"/>
            </w:pPr>
            <w:r>
              <w:t>3,5,6,7,14,15</w:t>
            </w:r>
          </w:p>
        </w:tc>
        <w:tc>
          <w:tcPr>
            <w:tcW w:w="1534" w:type="dxa"/>
            <w:vAlign w:val="center"/>
          </w:tcPr>
          <w:p w:rsidR="00C62CA8" w:rsidRPr="00273B2C" w:rsidRDefault="003B52BB" w:rsidP="00E96F24">
            <w:pPr>
              <w:spacing w:after="40"/>
            </w:pPr>
            <w:r>
              <w:rPr>
                <w:rFonts w:ascii="Calibri" w:hAnsi="Calibri" w:cs="Calibri"/>
                <w:color w:val="000000"/>
              </w:rPr>
              <w:t>84,9</w:t>
            </w:r>
          </w:p>
        </w:tc>
        <w:tc>
          <w:tcPr>
            <w:tcW w:w="1506" w:type="dxa"/>
            <w:vAlign w:val="center"/>
          </w:tcPr>
          <w:p w:rsidR="00C62CA8" w:rsidRPr="00273B2C" w:rsidRDefault="003B52BB" w:rsidP="00E96F24">
            <w:pPr>
              <w:spacing w:after="40"/>
            </w:pPr>
            <w:r>
              <w:rPr>
                <w:rFonts w:ascii="Calibri" w:hAnsi="Calibri" w:cs="Calibri"/>
                <w:color w:val="000000"/>
              </w:rPr>
              <w:t>623,0</w:t>
            </w:r>
          </w:p>
        </w:tc>
        <w:tc>
          <w:tcPr>
            <w:tcW w:w="1159" w:type="dxa"/>
            <w:vAlign w:val="center"/>
          </w:tcPr>
          <w:p w:rsidR="00C62CA8" w:rsidRPr="00273B2C" w:rsidRDefault="003B52BB" w:rsidP="00E96F24">
            <w:pPr>
              <w:spacing w:after="40"/>
            </w:pPr>
            <w:r>
              <w:rPr>
                <w:rFonts w:ascii="Calibri" w:hAnsi="Calibri" w:cs="Calibri"/>
                <w:color w:val="000000"/>
              </w:rPr>
              <w:t>707,8</w:t>
            </w:r>
          </w:p>
        </w:tc>
      </w:tr>
      <w:tr w:rsidR="00C62CA8" w:rsidRPr="00273B2C" w:rsidTr="00E34070">
        <w:tc>
          <w:tcPr>
            <w:tcW w:w="3397" w:type="dxa"/>
            <w:vAlign w:val="center"/>
          </w:tcPr>
          <w:p w:rsidR="00C62CA8" w:rsidRPr="00FB4441" w:rsidRDefault="00C62CA8" w:rsidP="00E96F24">
            <w:pPr>
              <w:spacing w:after="40"/>
            </w:pPr>
            <w:proofErr w:type="spellStart"/>
            <w:r>
              <w:t>1-2a</w:t>
            </w:r>
            <w:proofErr w:type="spellEnd"/>
            <w:r>
              <w:t xml:space="preserve"> Глобальная прогр</w:t>
            </w:r>
            <w:r w:rsidR="00AC5F0A">
              <w:t>амма по охране дикой природы - п</w:t>
            </w:r>
            <w:r>
              <w:t>редотвращение вымирания известных видов, находящихся под угрозой исчезновения.</w:t>
            </w:r>
          </w:p>
        </w:tc>
        <w:tc>
          <w:tcPr>
            <w:tcW w:w="1754" w:type="dxa"/>
            <w:vAlign w:val="center"/>
          </w:tcPr>
          <w:p w:rsidR="00C62CA8" w:rsidRPr="00273B2C" w:rsidRDefault="00F72BA3" w:rsidP="00E96F24">
            <w:pPr>
              <w:spacing w:after="40"/>
            </w:pPr>
            <w:r>
              <w:t>12</w:t>
            </w:r>
          </w:p>
        </w:tc>
        <w:tc>
          <w:tcPr>
            <w:tcW w:w="1534" w:type="dxa"/>
            <w:vAlign w:val="center"/>
          </w:tcPr>
          <w:p w:rsidR="00C62CA8" w:rsidRPr="00273B2C" w:rsidRDefault="003B52BB" w:rsidP="00E96F24">
            <w:pPr>
              <w:spacing w:after="40"/>
            </w:pPr>
            <w:r>
              <w:rPr>
                <w:rFonts w:ascii="Calibri" w:hAnsi="Calibri" w:cs="Calibri"/>
                <w:color w:val="000000"/>
              </w:rPr>
              <w:t>27,5</w:t>
            </w:r>
          </w:p>
        </w:tc>
        <w:tc>
          <w:tcPr>
            <w:tcW w:w="1506" w:type="dxa"/>
            <w:vAlign w:val="center"/>
          </w:tcPr>
          <w:p w:rsidR="00C62CA8" w:rsidRPr="00273B2C" w:rsidRDefault="003B52BB" w:rsidP="00E96F24">
            <w:pPr>
              <w:spacing w:after="40"/>
            </w:pPr>
            <w:r>
              <w:rPr>
                <w:rFonts w:ascii="Calibri" w:hAnsi="Calibri" w:cs="Calibri"/>
                <w:color w:val="000000"/>
              </w:rPr>
              <w:t>156,5</w:t>
            </w:r>
          </w:p>
        </w:tc>
        <w:tc>
          <w:tcPr>
            <w:tcW w:w="1159" w:type="dxa"/>
            <w:vAlign w:val="center"/>
          </w:tcPr>
          <w:p w:rsidR="00C62CA8" w:rsidRPr="00273B2C" w:rsidRDefault="003B52BB" w:rsidP="00E96F24">
            <w:pPr>
              <w:spacing w:after="40"/>
            </w:pPr>
            <w:r>
              <w:rPr>
                <w:rFonts w:ascii="Calibri" w:hAnsi="Calibri" w:cs="Calibri"/>
                <w:color w:val="000000"/>
              </w:rPr>
              <w:t>184,1</w:t>
            </w:r>
          </w:p>
        </w:tc>
      </w:tr>
      <w:tr w:rsidR="00C62CA8" w:rsidRPr="00273B2C" w:rsidTr="00E34070">
        <w:tc>
          <w:tcPr>
            <w:tcW w:w="3397" w:type="dxa"/>
            <w:vAlign w:val="center"/>
          </w:tcPr>
          <w:p w:rsidR="00C62CA8" w:rsidRPr="00FB4441" w:rsidRDefault="00C62CA8" w:rsidP="00E96F24">
            <w:pPr>
              <w:spacing w:after="40"/>
            </w:pPr>
            <w:proofErr w:type="spellStart"/>
            <w:r>
              <w:t>1-2b</w:t>
            </w:r>
            <w:proofErr w:type="spellEnd"/>
            <w:r>
              <w:t xml:space="preserve"> Глобальная программа по охране дикой природы - дикая природа для целей устойчивого развития</w:t>
            </w:r>
          </w:p>
        </w:tc>
        <w:tc>
          <w:tcPr>
            <w:tcW w:w="1754" w:type="dxa"/>
            <w:vAlign w:val="center"/>
          </w:tcPr>
          <w:p w:rsidR="00C62CA8" w:rsidRPr="00273B2C" w:rsidRDefault="00F72BA3" w:rsidP="00E96F24">
            <w:pPr>
              <w:spacing w:after="40"/>
            </w:pPr>
            <w:r>
              <w:t>12</w:t>
            </w:r>
          </w:p>
        </w:tc>
        <w:tc>
          <w:tcPr>
            <w:tcW w:w="1534" w:type="dxa"/>
            <w:vAlign w:val="center"/>
          </w:tcPr>
          <w:p w:rsidR="00C62CA8" w:rsidRPr="00273B2C" w:rsidRDefault="0042203E" w:rsidP="00E96F24">
            <w:pPr>
              <w:spacing w:after="40"/>
            </w:pPr>
            <w:r>
              <w:rPr>
                <w:rFonts w:ascii="Calibri" w:hAnsi="Calibri" w:cs="Calibri"/>
                <w:color w:val="000000"/>
              </w:rPr>
              <w:t>27,3</w:t>
            </w:r>
          </w:p>
        </w:tc>
        <w:tc>
          <w:tcPr>
            <w:tcW w:w="1506" w:type="dxa"/>
            <w:vAlign w:val="center"/>
          </w:tcPr>
          <w:p w:rsidR="00C62CA8" w:rsidRPr="00273B2C" w:rsidRDefault="003B52BB" w:rsidP="00E96F24">
            <w:pPr>
              <w:spacing w:after="40"/>
            </w:pPr>
            <w:r>
              <w:rPr>
                <w:rFonts w:ascii="Calibri" w:hAnsi="Calibri" w:cs="Calibri"/>
                <w:color w:val="000000"/>
              </w:rPr>
              <w:t>199,9</w:t>
            </w:r>
          </w:p>
        </w:tc>
        <w:tc>
          <w:tcPr>
            <w:tcW w:w="1159" w:type="dxa"/>
            <w:vAlign w:val="center"/>
          </w:tcPr>
          <w:p w:rsidR="00C62CA8" w:rsidRPr="00273B2C" w:rsidRDefault="003B52BB" w:rsidP="00E96F24">
            <w:pPr>
              <w:spacing w:after="40"/>
            </w:pPr>
            <w:r>
              <w:rPr>
                <w:rFonts w:ascii="Calibri" w:hAnsi="Calibri" w:cs="Calibri"/>
                <w:color w:val="000000"/>
              </w:rPr>
              <w:t>227,2</w:t>
            </w:r>
          </w:p>
        </w:tc>
      </w:tr>
      <w:tr w:rsidR="00C62CA8" w:rsidRPr="00273B2C" w:rsidTr="00E34070">
        <w:tc>
          <w:tcPr>
            <w:tcW w:w="3397" w:type="dxa"/>
            <w:vAlign w:val="center"/>
          </w:tcPr>
          <w:p w:rsidR="00C62CA8" w:rsidRPr="00FB4441" w:rsidRDefault="00C62CA8" w:rsidP="00E96F24">
            <w:pPr>
              <w:spacing w:after="40"/>
            </w:pPr>
            <w:r>
              <w:t>1-3 Оценка и учет природного капитала</w:t>
            </w:r>
          </w:p>
        </w:tc>
        <w:tc>
          <w:tcPr>
            <w:tcW w:w="1754" w:type="dxa"/>
            <w:vAlign w:val="center"/>
          </w:tcPr>
          <w:p w:rsidR="00C62CA8" w:rsidRPr="00273B2C" w:rsidRDefault="00F72BA3" w:rsidP="00E96F24">
            <w:pPr>
              <w:spacing w:after="40"/>
            </w:pPr>
            <w:r>
              <w:t>2 и 20</w:t>
            </w:r>
          </w:p>
        </w:tc>
        <w:tc>
          <w:tcPr>
            <w:tcW w:w="1534" w:type="dxa"/>
            <w:vAlign w:val="center"/>
          </w:tcPr>
          <w:p w:rsidR="00C62CA8" w:rsidRPr="00273B2C" w:rsidRDefault="0042203E" w:rsidP="00E96F24">
            <w:pPr>
              <w:spacing w:after="40"/>
            </w:pPr>
            <w:r>
              <w:rPr>
                <w:rFonts w:ascii="Calibri" w:hAnsi="Calibri" w:cs="Calibri"/>
                <w:color w:val="000000"/>
              </w:rPr>
              <w:t>3,4</w:t>
            </w:r>
          </w:p>
        </w:tc>
        <w:tc>
          <w:tcPr>
            <w:tcW w:w="1506" w:type="dxa"/>
            <w:vAlign w:val="center"/>
          </w:tcPr>
          <w:p w:rsidR="00C62CA8" w:rsidRPr="00273B2C" w:rsidRDefault="003B52BB" w:rsidP="00E96F24">
            <w:pPr>
              <w:spacing w:after="40"/>
            </w:pPr>
            <w:r>
              <w:rPr>
                <w:rFonts w:ascii="Calibri" w:hAnsi="Calibri" w:cs="Calibri"/>
                <w:color w:val="000000"/>
              </w:rPr>
              <w:t>9,7</w:t>
            </w:r>
          </w:p>
        </w:tc>
        <w:tc>
          <w:tcPr>
            <w:tcW w:w="1159" w:type="dxa"/>
            <w:vAlign w:val="center"/>
          </w:tcPr>
          <w:p w:rsidR="00C62CA8" w:rsidRPr="00273B2C" w:rsidRDefault="003B52BB" w:rsidP="00E96F24">
            <w:pPr>
              <w:spacing w:after="40"/>
            </w:pPr>
            <w:r>
              <w:rPr>
                <w:rFonts w:ascii="Calibri" w:hAnsi="Calibri" w:cs="Calibri"/>
                <w:color w:val="000000"/>
              </w:rPr>
              <w:t>13,0</w:t>
            </w:r>
          </w:p>
        </w:tc>
      </w:tr>
      <w:tr w:rsidR="00C62CA8" w:rsidRPr="00273B2C" w:rsidTr="00E34070">
        <w:tc>
          <w:tcPr>
            <w:tcW w:w="3397" w:type="dxa"/>
            <w:vAlign w:val="center"/>
          </w:tcPr>
          <w:p w:rsidR="00C62CA8" w:rsidRPr="00FB4441" w:rsidRDefault="00C62CA8" w:rsidP="00E96F24">
            <w:pPr>
              <w:spacing w:after="40"/>
            </w:pPr>
            <w:r>
              <w:t>1-4 Устойчивое использование генетических ресурсов растений и животных</w:t>
            </w:r>
          </w:p>
        </w:tc>
        <w:tc>
          <w:tcPr>
            <w:tcW w:w="1754" w:type="dxa"/>
            <w:vAlign w:val="center"/>
          </w:tcPr>
          <w:p w:rsidR="00C62CA8" w:rsidRPr="00273B2C" w:rsidRDefault="002476C8" w:rsidP="00E96F24">
            <w:pPr>
              <w:spacing w:after="40"/>
            </w:pPr>
            <w:r>
              <w:t>7 и 13</w:t>
            </w:r>
          </w:p>
        </w:tc>
        <w:tc>
          <w:tcPr>
            <w:tcW w:w="1534" w:type="dxa"/>
            <w:vAlign w:val="center"/>
          </w:tcPr>
          <w:p w:rsidR="00C62CA8" w:rsidRPr="00273B2C" w:rsidRDefault="00C62CA8" w:rsidP="00E96F24">
            <w:pPr>
              <w:spacing w:after="40"/>
            </w:pPr>
          </w:p>
        </w:tc>
        <w:tc>
          <w:tcPr>
            <w:tcW w:w="1506" w:type="dxa"/>
            <w:vAlign w:val="center"/>
          </w:tcPr>
          <w:p w:rsidR="00C62CA8" w:rsidRPr="00273B2C" w:rsidRDefault="00C62CA8" w:rsidP="00E96F24">
            <w:pPr>
              <w:spacing w:after="40"/>
            </w:pPr>
          </w:p>
        </w:tc>
        <w:tc>
          <w:tcPr>
            <w:tcW w:w="1159" w:type="dxa"/>
            <w:vAlign w:val="center"/>
          </w:tcPr>
          <w:p w:rsidR="00C62CA8" w:rsidRPr="00273B2C" w:rsidRDefault="00C62CA8" w:rsidP="00E96F24">
            <w:pPr>
              <w:spacing w:after="40"/>
            </w:pPr>
          </w:p>
        </w:tc>
      </w:tr>
      <w:tr w:rsidR="00C62CA8" w:rsidRPr="00273B2C" w:rsidTr="00E34070">
        <w:tc>
          <w:tcPr>
            <w:tcW w:w="3397" w:type="dxa"/>
            <w:vAlign w:val="center"/>
          </w:tcPr>
          <w:p w:rsidR="00C62CA8" w:rsidRPr="00273B2C" w:rsidRDefault="00C62CA8" w:rsidP="00E96F24">
            <w:pPr>
              <w:spacing w:after="40"/>
            </w:pPr>
            <w:r>
              <w:t>1-5 Инклюзивное сохранение</w:t>
            </w:r>
          </w:p>
        </w:tc>
        <w:tc>
          <w:tcPr>
            <w:tcW w:w="1754" w:type="dxa"/>
            <w:vAlign w:val="center"/>
          </w:tcPr>
          <w:p w:rsidR="00C62CA8" w:rsidRPr="00273B2C" w:rsidRDefault="00A648E0" w:rsidP="00E96F24">
            <w:pPr>
              <w:spacing w:after="40"/>
            </w:pPr>
            <w:r>
              <w:t>11</w:t>
            </w:r>
          </w:p>
        </w:tc>
        <w:tc>
          <w:tcPr>
            <w:tcW w:w="1534" w:type="dxa"/>
            <w:vAlign w:val="center"/>
          </w:tcPr>
          <w:p w:rsidR="00C62CA8" w:rsidRPr="00273B2C" w:rsidRDefault="003B52BB" w:rsidP="00E96F24">
            <w:pPr>
              <w:spacing w:after="40"/>
            </w:pPr>
            <w:r>
              <w:rPr>
                <w:rFonts w:ascii="Calibri" w:hAnsi="Calibri" w:cs="Calibri"/>
                <w:color w:val="000000"/>
              </w:rPr>
              <w:t>22,5</w:t>
            </w:r>
          </w:p>
        </w:tc>
        <w:tc>
          <w:tcPr>
            <w:tcW w:w="1506" w:type="dxa"/>
            <w:vAlign w:val="center"/>
          </w:tcPr>
          <w:p w:rsidR="00C62CA8" w:rsidRPr="00273B2C" w:rsidRDefault="003B52BB" w:rsidP="00E96F24">
            <w:pPr>
              <w:spacing w:after="40"/>
            </w:pPr>
            <w:r>
              <w:rPr>
                <w:rFonts w:ascii="Calibri" w:hAnsi="Calibri" w:cs="Calibri"/>
                <w:color w:val="000000"/>
              </w:rPr>
              <w:t>68,5</w:t>
            </w:r>
          </w:p>
        </w:tc>
        <w:tc>
          <w:tcPr>
            <w:tcW w:w="1159" w:type="dxa"/>
            <w:vAlign w:val="center"/>
          </w:tcPr>
          <w:p w:rsidR="00C62CA8" w:rsidRPr="00273B2C" w:rsidRDefault="003B52BB" w:rsidP="00E96F24">
            <w:pPr>
              <w:spacing w:after="40"/>
            </w:pPr>
            <w:r>
              <w:rPr>
                <w:rFonts w:ascii="Calibri" w:hAnsi="Calibri" w:cs="Calibri"/>
                <w:color w:val="000000"/>
              </w:rPr>
              <w:t>91,0</w:t>
            </w:r>
          </w:p>
        </w:tc>
      </w:tr>
      <w:tr w:rsidR="00BF7292" w:rsidRPr="00FB4441" w:rsidTr="00E34070">
        <w:tc>
          <w:tcPr>
            <w:tcW w:w="3397" w:type="dxa"/>
            <w:shd w:val="clear" w:color="auto" w:fill="auto"/>
            <w:vAlign w:val="center"/>
          </w:tcPr>
          <w:p w:rsidR="00BF7292" w:rsidRPr="00FB4441" w:rsidRDefault="00BF7292" w:rsidP="00E96F24">
            <w:pPr>
              <w:spacing w:after="40"/>
              <w:rPr>
                <w:b/>
              </w:rPr>
            </w:pPr>
            <w:r>
              <w:rPr>
                <w:b/>
                <w:bCs/>
              </w:rPr>
              <w:t>Задача 2. Устранение прямых факторов в целях охраны мест обитания и видов</w:t>
            </w:r>
          </w:p>
        </w:tc>
        <w:tc>
          <w:tcPr>
            <w:tcW w:w="1754" w:type="dxa"/>
            <w:shd w:val="clear" w:color="auto" w:fill="auto"/>
            <w:vAlign w:val="center"/>
          </w:tcPr>
          <w:p w:rsidR="00BF7292" w:rsidRPr="00FB4441" w:rsidRDefault="00BF7292" w:rsidP="00E96F24">
            <w:pPr>
              <w:spacing w:after="40"/>
              <w:rPr>
                <w:b/>
              </w:rPr>
            </w:pPr>
          </w:p>
        </w:tc>
        <w:tc>
          <w:tcPr>
            <w:tcW w:w="1534" w:type="dxa"/>
            <w:shd w:val="clear" w:color="auto" w:fill="auto"/>
            <w:vAlign w:val="center"/>
          </w:tcPr>
          <w:p w:rsidR="00BF7292" w:rsidRPr="00FB4441" w:rsidRDefault="00BF7292" w:rsidP="00E96F24">
            <w:pPr>
              <w:spacing w:after="40"/>
              <w:rPr>
                <w:b/>
              </w:rPr>
            </w:pPr>
          </w:p>
        </w:tc>
        <w:tc>
          <w:tcPr>
            <w:tcW w:w="1506" w:type="dxa"/>
            <w:shd w:val="clear" w:color="auto" w:fill="auto"/>
            <w:vAlign w:val="center"/>
          </w:tcPr>
          <w:p w:rsidR="00BF7292" w:rsidRPr="00FB4441" w:rsidRDefault="00BF7292" w:rsidP="00E96F24">
            <w:pPr>
              <w:spacing w:after="40"/>
              <w:rPr>
                <w:b/>
              </w:rPr>
            </w:pPr>
          </w:p>
        </w:tc>
        <w:tc>
          <w:tcPr>
            <w:tcW w:w="1159" w:type="dxa"/>
            <w:shd w:val="clear" w:color="auto" w:fill="auto"/>
            <w:vAlign w:val="center"/>
          </w:tcPr>
          <w:p w:rsidR="00BF7292" w:rsidRPr="00FB4441" w:rsidRDefault="00BF7292" w:rsidP="00E96F24">
            <w:pPr>
              <w:spacing w:after="40"/>
              <w:rPr>
                <w:b/>
              </w:rPr>
            </w:pPr>
          </w:p>
        </w:tc>
      </w:tr>
      <w:tr w:rsidR="00BF7292" w:rsidRPr="00273B2C" w:rsidTr="00E34070">
        <w:tc>
          <w:tcPr>
            <w:tcW w:w="3397" w:type="dxa"/>
            <w:vAlign w:val="center"/>
          </w:tcPr>
          <w:p w:rsidR="00BF7292" w:rsidRPr="00FB4441" w:rsidRDefault="00BF7292" w:rsidP="00E96F24">
            <w:pPr>
              <w:spacing w:after="40"/>
            </w:pPr>
            <w:r>
              <w:t>2-6 Предупреждение, контроль и регулирование распростране</w:t>
            </w:r>
            <w:r w:rsidR="00AC5F0A">
              <w:t>ния инвазивных чужеродных видов</w:t>
            </w:r>
          </w:p>
        </w:tc>
        <w:tc>
          <w:tcPr>
            <w:tcW w:w="1754" w:type="dxa"/>
            <w:vAlign w:val="center"/>
          </w:tcPr>
          <w:p w:rsidR="00BF7292" w:rsidRPr="00273B2C" w:rsidRDefault="00BF7292" w:rsidP="00E96F24">
            <w:pPr>
              <w:spacing w:after="40"/>
            </w:pPr>
            <w:r>
              <w:t>9</w:t>
            </w:r>
          </w:p>
        </w:tc>
        <w:tc>
          <w:tcPr>
            <w:tcW w:w="1534" w:type="dxa"/>
            <w:vAlign w:val="center"/>
          </w:tcPr>
          <w:p w:rsidR="00BF7292" w:rsidRPr="00273B2C" w:rsidRDefault="00BF7292" w:rsidP="00E96F24">
            <w:pPr>
              <w:spacing w:after="40"/>
            </w:pPr>
          </w:p>
        </w:tc>
        <w:tc>
          <w:tcPr>
            <w:tcW w:w="1506" w:type="dxa"/>
            <w:vAlign w:val="center"/>
          </w:tcPr>
          <w:p w:rsidR="00BF7292" w:rsidRPr="00273B2C" w:rsidRDefault="00BF7292" w:rsidP="00E96F24">
            <w:pPr>
              <w:spacing w:after="40"/>
            </w:pPr>
          </w:p>
        </w:tc>
        <w:tc>
          <w:tcPr>
            <w:tcW w:w="1159" w:type="dxa"/>
            <w:vAlign w:val="center"/>
          </w:tcPr>
          <w:p w:rsidR="00BF7292" w:rsidRPr="00273B2C" w:rsidRDefault="00BF7292" w:rsidP="00E96F24">
            <w:pPr>
              <w:spacing w:after="40"/>
            </w:pPr>
          </w:p>
        </w:tc>
      </w:tr>
      <w:tr w:rsidR="00BF7292" w:rsidRPr="00273B2C" w:rsidTr="00E34070">
        <w:tc>
          <w:tcPr>
            <w:tcW w:w="3397" w:type="dxa"/>
            <w:vAlign w:val="center"/>
          </w:tcPr>
          <w:p w:rsidR="00BF7292" w:rsidRPr="00FB4441" w:rsidRDefault="00BF7292" w:rsidP="00E96F24">
            <w:pPr>
              <w:spacing w:after="40"/>
            </w:pPr>
            <w:r>
              <w:t>2-7 Повышение уровня финансовой устойчивости, эффективности управления и экосистемного охвата территорий глобальных охраняемых районов</w:t>
            </w:r>
          </w:p>
        </w:tc>
        <w:tc>
          <w:tcPr>
            <w:tcW w:w="1754" w:type="dxa"/>
            <w:vAlign w:val="center"/>
          </w:tcPr>
          <w:p w:rsidR="00BF7292" w:rsidRPr="00273B2C" w:rsidRDefault="00BF7292" w:rsidP="00E96F24">
            <w:pPr>
              <w:spacing w:after="40"/>
            </w:pPr>
            <w:r>
              <w:t>11</w:t>
            </w:r>
          </w:p>
        </w:tc>
        <w:tc>
          <w:tcPr>
            <w:tcW w:w="1534" w:type="dxa"/>
            <w:vAlign w:val="center"/>
          </w:tcPr>
          <w:p w:rsidR="00BF7292" w:rsidRPr="00273B2C" w:rsidRDefault="00BF7292" w:rsidP="00E96F24">
            <w:pPr>
              <w:spacing w:after="40"/>
            </w:pPr>
            <w:r>
              <w:rPr>
                <w:rFonts w:ascii="Calibri" w:hAnsi="Calibri" w:cs="Calibri"/>
                <w:color w:val="000000"/>
              </w:rPr>
              <w:t>65,7</w:t>
            </w:r>
          </w:p>
        </w:tc>
        <w:tc>
          <w:tcPr>
            <w:tcW w:w="1506" w:type="dxa"/>
            <w:vAlign w:val="center"/>
          </w:tcPr>
          <w:p w:rsidR="00BF7292" w:rsidRPr="00273B2C" w:rsidRDefault="00BF7292" w:rsidP="00E96F24">
            <w:pPr>
              <w:spacing w:after="40"/>
            </w:pPr>
            <w:r>
              <w:rPr>
                <w:rFonts w:ascii="Calibri" w:hAnsi="Calibri" w:cs="Calibri"/>
                <w:color w:val="000000"/>
              </w:rPr>
              <w:t>418,6</w:t>
            </w:r>
          </w:p>
        </w:tc>
        <w:tc>
          <w:tcPr>
            <w:tcW w:w="1159" w:type="dxa"/>
            <w:vAlign w:val="center"/>
          </w:tcPr>
          <w:p w:rsidR="00BF7292" w:rsidRPr="00273B2C" w:rsidRDefault="00BF7292" w:rsidP="00E96F24">
            <w:pPr>
              <w:spacing w:after="40"/>
            </w:pPr>
            <w:r>
              <w:rPr>
                <w:rFonts w:ascii="Calibri" w:hAnsi="Calibri" w:cs="Calibri"/>
                <w:color w:val="000000"/>
              </w:rPr>
              <w:t>484,3</w:t>
            </w:r>
          </w:p>
        </w:tc>
      </w:tr>
      <w:tr w:rsidR="00BF7292" w:rsidRPr="00FB4441" w:rsidTr="00E34070">
        <w:tc>
          <w:tcPr>
            <w:tcW w:w="3397" w:type="dxa"/>
            <w:shd w:val="clear" w:color="auto" w:fill="auto"/>
            <w:vAlign w:val="center"/>
          </w:tcPr>
          <w:p w:rsidR="00BF7292" w:rsidRPr="00FB4441" w:rsidRDefault="00BF7292" w:rsidP="00E96F24">
            <w:pPr>
              <w:spacing w:after="40"/>
              <w:rPr>
                <w:b/>
              </w:rPr>
            </w:pPr>
            <w:r>
              <w:rPr>
                <w:b/>
                <w:bCs/>
              </w:rPr>
              <w:t>Задача 3. Дальнейшее развитие основ политики и организационных структур в области биоразнообразия</w:t>
            </w:r>
          </w:p>
        </w:tc>
        <w:tc>
          <w:tcPr>
            <w:tcW w:w="1754" w:type="dxa"/>
            <w:shd w:val="clear" w:color="auto" w:fill="auto"/>
            <w:vAlign w:val="center"/>
          </w:tcPr>
          <w:p w:rsidR="00BF7292" w:rsidRPr="00FB4441" w:rsidRDefault="00BF7292" w:rsidP="00E96F24">
            <w:pPr>
              <w:spacing w:after="40"/>
              <w:rPr>
                <w:b/>
              </w:rPr>
            </w:pPr>
          </w:p>
        </w:tc>
        <w:tc>
          <w:tcPr>
            <w:tcW w:w="1534" w:type="dxa"/>
            <w:shd w:val="clear" w:color="auto" w:fill="auto"/>
            <w:vAlign w:val="center"/>
          </w:tcPr>
          <w:p w:rsidR="00BF7292" w:rsidRPr="00FB4441" w:rsidRDefault="00BF7292" w:rsidP="00E96F24">
            <w:pPr>
              <w:spacing w:after="40"/>
              <w:rPr>
                <w:b/>
              </w:rPr>
            </w:pPr>
          </w:p>
        </w:tc>
        <w:tc>
          <w:tcPr>
            <w:tcW w:w="1506" w:type="dxa"/>
            <w:shd w:val="clear" w:color="auto" w:fill="auto"/>
            <w:vAlign w:val="center"/>
          </w:tcPr>
          <w:p w:rsidR="00BF7292" w:rsidRPr="00FB4441" w:rsidRDefault="00BF7292" w:rsidP="00E96F24">
            <w:pPr>
              <w:spacing w:after="40"/>
              <w:rPr>
                <w:b/>
              </w:rPr>
            </w:pPr>
          </w:p>
        </w:tc>
        <w:tc>
          <w:tcPr>
            <w:tcW w:w="1159" w:type="dxa"/>
            <w:shd w:val="clear" w:color="auto" w:fill="auto"/>
            <w:vAlign w:val="center"/>
          </w:tcPr>
          <w:p w:rsidR="00BF7292" w:rsidRPr="00FB4441" w:rsidRDefault="00BF7292" w:rsidP="00E96F24">
            <w:pPr>
              <w:spacing w:after="40"/>
              <w:rPr>
                <w:b/>
              </w:rPr>
            </w:pPr>
          </w:p>
        </w:tc>
      </w:tr>
      <w:tr w:rsidR="00BF7292" w:rsidRPr="00FB4441" w:rsidTr="00E34070">
        <w:tc>
          <w:tcPr>
            <w:tcW w:w="3397" w:type="dxa"/>
            <w:vAlign w:val="center"/>
          </w:tcPr>
          <w:p w:rsidR="00BF7292" w:rsidRPr="00FB4441" w:rsidRDefault="00BF7292" w:rsidP="00E96F24">
            <w:pPr>
              <w:spacing w:after="40"/>
            </w:pPr>
            <w:r>
              <w:t xml:space="preserve">3-8 Осуществление Картахенского протокола по </w:t>
            </w:r>
            <w:r>
              <w:lastRenderedPageBreak/>
              <w:t>биобезопасности</w:t>
            </w:r>
          </w:p>
        </w:tc>
        <w:tc>
          <w:tcPr>
            <w:tcW w:w="1754" w:type="dxa"/>
            <w:vAlign w:val="center"/>
          </w:tcPr>
          <w:p w:rsidR="00BF7292" w:rsidRPr="00FB4441" w:rsidRDefault="00BF7292" w:rsidP="00E96F24">
            <w:pPr>
              <w:spacing w:after="40"/>
            </w:pPr>
            <w:r>
              <w:lastRenderedPageBreak/>
              <w:t xml:space="preserve">Не связано с Айтинской </w:t>
            </w:r>
            <w:r>
              <w:lastRenderedPageBreak/>
              <w:t>целевой задачей</w:t>
            </w:r>
          </w:p>
        </w:tc>
        <w:tc>
          <w:tcPr>
            <w:tcW w:w="1534" w:type="dxa"/>
            <w:vAlign w:val="center"/>
          </w:tcPr>
          <w:p w:rsidR="00BF7292" w:rsidRPr="00FB4441" w:rsidRDefault="00BF7292" w:rsidP="00E96F24">
            <w:pPr>
              <w:spacing w:after="40"/>
            </w:pPr>
          </w:p>
        </w:tc>
        <w:tc>
          <w:tcPr>
            <w:tcW w:w="1506" w:type="dxa"/>
            <w:vAlign w:val="center"/>
          </w:tcPr>
          <w:p w:rsidR="00BF7292" w:rsidRPr="00FB4441" w:rsidRDefault="00BF7292" w:rsidP="00E96F24">
            <w:pPr>
              <w:spacing w:after="40"/>
            </w:pPr>
          </w:p>
        </w:tc>
        <w:tc>
          <w:tcPr>
            <w:tcW w:w="1159" w:type="dxa"/>
            <w:vAlign w:val="center"/>
          </w:tcPr>
          <w:p w:rsidR="00BF7292" w:rsidRPr="00FB4441" w:rsidRDefault="00BF7292" w:rsidP="00E96F24">
            <w:pPr>
              <w:spacing w:after="40"/>
            </w:pPr>
          </w:p>
        </w:tc>
      </w:tr>
      <w:tr w:rsidR="00BF7292" w:rsidRPr="00273B2C" w:rsidTr="00E34070">
        <w:tc>
          <w:tcPr>
            <w:tcW w:w="3397" w:type="dxa"/>
            <w:vAlign w:val="center"/>
          </w:tcPr>
          <w:p w:rsidR="00BF7292" w:rsidRPr="00FB4441" w:rsidRDefault="00BF7292" w:rsidP="00E96F24">
            <w:pPr>
              <w:spacing w:after="40"/>
            </w:pPr>
            <w:r>
              <w:lastRenderedPageBreak/>
              <w:t>3-9 Осуществление Нагойского протокола регулирования доступа к генетическим ресурсам и совместного использования выгод</w:t>
            </w:r>
          </w:p>
        </w:tc>
        <w:tc>
          <w:tcPr>
            <w:tcW w:w="1754" w:type="dxa"/>
            <w:vAlign w:val="center"/>
          </w:tcPr>
          <w:p w:rsidR="00BF7292" w:rsidRPr="00273B2C" w:rsidRDefault="00BF7292" w:rsidP="00E96F24">
            <w:pPr>
              <w:spacing w:after="40"/>
            </w:pPr>
            <w:r>
              <w:t>16</w:t>
            </w:r>
          </w:p>
        </w:tc>
        <w:tc>
          <w:tcPr>
            <w:tcW w:w="1534" w:type="dxa"/>
            <w:vAlign w:val="center"/>
          </w:tcPr>
          <w:p w:rsidR="00BF7292" w:rsidRPr="00273B2C" w:rsidRDefault="00BF7292" w:rsidP="00E96F24">
            <w:pPr>
              <w:spacing w:after="40"/>
            </w:pPr>
            <w:r>
              <w:rPr>
                <w:rFonts w:ascii="Calibri" w:hAnsi="Calibri" w:cs="Calibri"/>
                <w:color w:val="000000"/>
              </w:rPr>
              <w:t>7,8</w:t>
            </w:r>
          </w:p>
        </w:tc>
        <w:tc>
          <w:tcPr>
            <w:tcW w:w="1506" w:type="dxa"/>
            <w:vAlign w:val="center"/>
          </w:tcPr>
          <w:p w:rsidR="00BF7292" w:rsidRPr="00273B2C" w:rsidRDefault="00BF7292" w:rsidP="00E96F24">
            <w:pPr>
              <w:spacing w:after="40"/>
            </w:pPr>
            <w:r>
              <w:rPr>
                <w:rFonts w:ascii="Calibri" w:hAnsi="Calibri" w:cs="Calibri"/>
                <w:color w:val="000000"/>
              </w:rPr>
              <w:t>43,3</w:t>
            </w:r>
          </w:p>
        </w:tc>
        <w:tc>
          <w:tcPr>
            <w:tcW w:w="1159" w:type="dxa"/>
            <w:vAlign w:val="center"/>
          </w:tcPr>
          <w:p w:rsidR="00BF7292" w:rsidRPr="00273B2C" w:rsidRDefault="00BF7292" w:rsidP="00E96F24">
            <w:pPr>
              <w:spacing w:after="40"/>
            </w:pPr>
            <w:r>
              <w:rPr>
                <w:rFonts w:ascii="Calibri" w:hAnsi="Calibri" w:cs="Calibri"/>
                <w:color w:val="000000"/>
              </w:rPr>
              <w:t>51,1</w:t>
            </w:r>
          </w:p>
        </w:tc>
      </w:tr>
      <w:tr w:rsidR="00BF7292" w:rsidRPr="00273B2C" w:rsidTr="00E34070">
        <w:tc>
          <w:tcPr>
            <w:tcW w:w="3397" w:type="dxa"/>
            <w:vAlign w:val="center"/>
          </w:tcPr>
          <w:p w:rsidR="00BF7292" w:rsidRPr="00FB4441" w:rsidRDefault="00BF7292" w:rsidP="00E96F24">
            <w:pPr>
              <w:spacing w:after="40"/>
            </w:pPr>
            <w:r>
              <w:t>Стимулирующие мероприятия: Совершенствование политики, планирования и обзора в области биоразнообразия</w:t>
            </w:r>
          </w:p>
        </w:tc>
        <w:tc>
          <w:tcPr>
            <w:tcW w:w="1754" w:type="dxa"/>
            <w:vAlign w:val="center"/>
          </w:tcPr>
          <w:p w:rsidR="00BF7292" w:rsidRPr="00273B2C" w:rsidRDefault="00BF7292" w:rsidP="00E96F24">
            <w:pPr>
              <w:spacing w:after="40"/>
            </w:pPr>
            <w:r>
              <w:t>17</w:t>
            </w:r>
          </w:p>
        </w:tc>
        <w:tc>
          <w:tcPr>
            <w:tcW w:w="1534" w:type="dxa"/>
            <w:vAlign w:val="center"/>
          </w:tcPr>
          <w:p w:rsidR="00BF7292" w:rsidRPr="00273B2C" w:rsidRDefault="00BF7292" w:rsidP="00E96F24">
            <w:pPr>
              <w:spacing w:after="40"/>
            </w:pPr>
          </w:p>
        </w:tc>
        <w:tc>
          <w:tcPr>
            <w:tcW w:w="1506" w:type="dxa"/>
            <w:vAlign w:val="center"/>
          </w:tcPr>
          <w:p w:rsidR="00BF7292" w:rsidRPr="00273B2C" w:rsidRDefault="00BF7292" w:rsidP="00E96F24">
            <w:pPr>
              <w:spacing w:after="40"/>
            </w:pPr>
          </w:p>
        </w:tc>
        <w:tc>
          <w:tcPr>
            <w:tcW w:w="1159" w:type="dxa"/>
            <w:vAlign w:val="center"/>
          </w:tcPr>
          <w:p w:rsidR="00BF7292" w:rsidRPr="00273B2C" w:rsidRDefault="00BF7292" w:rsidP="00E96F24">
            <w:pPr>
              <w:spacing w:after="40"/>
            </w:pPr>
          </w:p>
        </w:tc>
      </w:tr>
      <w:tr w:rsidR="002C2B38" w:rsidRPr="00273B2C" w:rsidTr="00E34070">
        <w:tc>
          <w:tcPr>
            <w:tcW w:w="3397" w:type="dxa"/>
            <w:shd w:val="clear" w:color="auto" w:fill="FFFFFF" w:themeFill="background1"/>
            <w:vAlign w:val="center"/>
          </w:tcPr>
          <w:p w:rsidR="002C2B38" w:rsidRPr="00273B2C" w:rsidRDefault="002C2B38" w:rsidP="00E96F24">
            <w:pPr>
              <w:spacing w:after="40"/>
            </w:pPr>
            <w:r>
              <w:t>Всего</w:t>
            </w:r>
          </w:p>
        </w:tc>
        <w:tc>
          <w:tcPr>
            <w:tcW w:w="1754" w:type="dxa"/>
            <w:shd w:val="clear" w:color="auto" w:fill="FFFFFF" w:themeFill="background1"/>
            <w:vAlign w:val="center"/>
          </w:tcPr>
          <w:p w:rsidR="002C2B38" w:rsidRDefault="002C2B38" w:rsidP="00E96F24">
            <w:pPr>
              <w:spacing w:after="40"/>
            </w:pPr>
          </w:p>
        </w:tc>
        <w:tc>
          <w:tcPr>
            <w:tcW w:w="1534" w:type="dxa"/>
            <w:shd w:val="clear" w:color="auto" w:fill="FFFFFF" w:themeFill="background1"/>
            <w:vAlign w:val="center"/>
          </w:tcPr>
          <w:p w:rsidR="002C2B38" w:rsidRPr="00273B2C" w:rsidRDefault="00967BDC" w:rsidP="00E96F24">
            <w:pPr>
              <w:spacing w:after="40"/>
            </w:pPr>
            <w:r>
              <w:t>239,1</w:t>
            </w:r>
          </w:p>
        </w:tc>
        <w:tc>
          <w:tcPr>
            <w:tcW w:w="1506" w:type="dxa"/>
            <w:shd w:val="clear" w:color="auto" w:fill="FFFFFF" w:themeFill="background1"/>
            <w:vAlign w:val="center"/>
          </w:tcPr>
          <w:p w:rsidR="002C2B38" w:rsidRPr="00273B2C" w:rsidRDefault="009B1E25" w:rsidP="00E96F24">
            <w:pPr>
              <w:spacing w:after="40"/>
            </w:pPr>
            <w:r>
              <w:t>1519,5</w:t>
            </w:r>
          </w:p>
        </w:tc>
        <w:tc>
          <w:tcPr>
            <w:tcW w:w="1159" w:type="dxa"/>
            <w:shd w:val="clear" w:color="auto" w:fill="FFFFFF" w:themeFill="background1"/>
            <w:vAlign w:val="center"/>
          </w:tcPr>
          <w:p w:rsidR="002C2B38" w:rsidRPr="00273B2C" w:rsidRDefault="00322637" w:rsidP="00E96F24">
            <w:pPr>
              <w:spacing w:after="40"/>
            </w:pPr>
            <w:r>
              <w:t>1758,5</w:t>
            </w:r>
          </w:p>
        </w:tc>
      </w:tr>
    </w:tbl>
    <w:p w:rsidR="00862079" w:rsidRDefault="00862079" w:rsidP="00D30DB1">
      <w:pPr>
        <w:spacing w:after="0" w:line="240" w:lineRule="auto"/>
        <w:contextualSpacing/>
        <w:rPr>
          <w:rFonts w:ascii="Calibri" w:eastAsia="MS Mincho" w:hAnsi="Calibri" w:cs="Angsana New"/>
          <w:b/>
          <w:sz w:val="24"/>
          <w:szCs w:val="24"/>
          <w:u w:val="single"/>
        </w:rPr>
      </w:pPr>
    </w:p>
    <w:p w:rsidR="00D30DB1" w:rsidRPr="003E3CE1" w:rsidRDefault="00D30DB1" w:rsidP="00105FB1">
      <w:pPr>
        <w:pStyle w:val="3"/>
      </w:pPr>
      <w:bookmarkStart w:id="25" w:name="_Toc32494918"/>
      <w:r>
        <w:rPr>
          <w:iCs/>
        </w:rPr>
        <w:t>Гранты на подготовку проектов</w:t>
      </w:r>
      <w:bookmarkEnd w:id="25"/>
    </w:p>
    <w:p w:rsidR="00D30DB1" w:rsidRPr="009D2CA0" w:rsidRDefault="00D30DB1" w:rsidP="00FF3B4A">
      <w:pPr>
        <w:pStyle w:val="a9"/>
        <w:numPr>
          <w:ilvl w:val="0"/>
          <w:numId w:val="25"/>
        </w:numPr>
        <w:spacing w:before="240" w:after="240" w:line="240" w:lineRule="auto"/>
        <w:ind w:left="0" w:firstLine="0"/>
        <w:contextualSpacing w:val="0"/>
        <w:rPr>
          <w:snapToGrid w:val="0"/>
          <w:sz w:val="24"/>
          <w:szCs w:val="24"/>
        </w:rPr>
      </w:pPr>
      <w:r w:rsidRPr="00644CCA">
        <w:rPr>
          <w:snapToGrid w:val="0"/>
          <w:sz w:val="24"/>
          <w:szCs w:val="24"/>
        </w:rPr>
        <w:t>В качестве первого шага в разработке проекта ГЭФ предоставляет финансирование в виде гранта на подготовку проекта (</w:t>
      </w:r>
      <w:proofErr w:type="spellStart"/>
      <w:r w:rsidRPr="00644CCA">
        <w:rPr>
          <w:snapToGrid w:val="0"/>
          <w:sz w:val="24"/>
          <w:szCs w:val="24"/>
        </w:rPr>
        <w:t>ГПП</w:t>
      </w:r>
      <w:proofErr w:type="spellEnd"/>
      <w:r w:rsidRPr="00644CCA">
        <w:rPr>
          <w:snapToGrid w:val="0"/>
          <w:sz w:val="24"/>
          <w:szCs w:val="24"/>
        </w:rPr>
        <w:t xml:space="preserve">), чтобы помочь странам-получателям разработать проектное предложение на основе концепции проекта (бланк идентификации проекта) для последующего утверждения Исполнительным директором. За отчетный период было утверждено 112 грантов на подготовку проектов на сумму 24,3 млн долл. </w:t>
      </w:r>
      <w:proofErr w:type="spellStart"/>
      <w:r w:rsidRPr="009D2CA0">
        <w:rPr>
          <w:snapToGrid w:val="0"/>
          <w:sz w:val="24"/>
          <w:szCs w:val="24"/>
          <w:lang w:val="en-US"/>
        </w:rPr>
        <w:t>США</w:t>
      </w:r>
      <w:proofErr w:type="spellEnd"/>
      <w:r w:rsidR="00E979DD" w:rsidRPr="00E979DD">
        <w:rPr>
          <w:snapToGrid w:val="0"/>
          <w:vertAlign w:val="superscript"/>
          <w:lang w:val="en-US"/>
        </w:rPr>
        <w:footnoteReference w:id="10"/>
      </w:r>
      <w:r w:rsidRPr="009D2CA0">
        <w:rPr>
          <w:snapToGrid w:val="0"/>
          <w:sz w:val="24"/>
          <w:szCs w:val="24"/>
          <w:lang w:val="en-US"/>
        </w:rPr>
        <w:t>.</w:t>
      </w:r>
    </w:p>
    <w:p w:rsidR="00D30DB1" w:rsidRPr="00FB4441" w:rsidRDefault="00D30DB1" w:rsidP="00105FB1">
      <w:pPr>
        <w:pStyle w:val="3"/>
        <w:rPr>
          <w:rFonts w:cs="Times New Roman"/>
        </w:rPr>
      </w:pPr>
      <w:bookmarkStart w:id="26" w:name="_Toc32494919"/>
      <w:r>
        <w:rPr>
          <w:iCs/>
        </w:rPr>
        <w:t>Поддержка осуществлению Картахенского протокола по биобезопасности к Конвенции о биологическом разнообразии</w:t>
      </w:r>
      <w:bookmarkEnd w:id="26"/>
    </w:p>
    <w:p w:rsidR="00D30DB1" w:rsidRPr="00644CCA" w:rsidRDefault="00D30DB1" w:rsidP="00FF3B4A">
      <w:pPr>
        <w:pStyle w:val="a9"/>
        <w:numPr>
          <w:ilvl w:val="0"/>
          <w:numId w:val="25"/>
        </w:numPr>
        <w:spacing w:before="240" w:after="240" w:line="240" w:lineRule="auto"/>
        <w:ind w:left="0" w:firstLine="0"/>
        <w:contextualSpacing w:val="0"/>
        <w:rPr>
          <w:snapToGrid w:val="0"/>
          <w:sz w:val="24"/>
          <w:szCs w:val="24"/>
        </w:rPr>
      </w:pPr>
      <w:r w:rsidRPr="00644CCA">
        <w:rPr>
          <w:snapToGrid w:val="0"/>
          <w:sz w:val="24"/>
          <w:szCs w:val="24"/>
        </w:rPr>
        <w:t>За отчетный период не было представлено ни одного странового проекта в поддержку реализации Картахенского протокола по биобезопасности.</w:t>
      </w:r>
    </w:p>
    <w:p w:rsidR="00D30DB1" w:rsidRPr="00FB4441" w:rsidRDefault="00D30DB1" w:rsidP="00105FB1">
      <w:pPr>
        <w:pStyle w:val="3"/>
      </w:pPr>
      <w:bookmarkStart w:id="27" w:name="_Toc32494920"/>
      <w:r>
        <w:rPr>
          <w:iCs/>
        </w:rPr>
        <w:t>Поддержка ратификации и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bookmarkEnd w:id="27"/>
    </w:p>
    <w:p w:rsidR="009E010F" w:rsidRPr="00644CCA" w:rsidRDefault="00D30DB1" w:rsidP="00FF3B4A">
      <w:pPr>
        <w:pStyle w:val="a9"/>
        <w:numPr>
          <w:ilvl w:val="0"/>
          <w:numId w:val="25"/>
        </w:numPr>
        <w:spacing w:before="240" w:after="240" w:line="240" w:lineRule="auto"/>
        <w:ind w:left="0" w:firstLine="0"/>
        <w:contextualSpacing w:val="0"/>
        <w:rPr>
          <w:rFonts w:ascii="Calibri" w:eastAsia="MS Mincho" w:hAnsi="Calibri" w:cs="Angsana New"/>
          <w:sz w:val="24"/>
          <w:szCs w:val="24"/>
        </w:rPr>
      </w:pPr>
      <w:r w:rsidRPr="00644CCA">
        <w:rPr>
          <w:rFonts w:ascii="Calibri" w:eastAsia="MS Mincho" w:hAnsi="Calibri" w:cs="Angsana New"/>
          <w:sz w:val="24"/>
          <w:szCs w:val="24"/>
        </w:rPr>
        <w:t xml:space="preserve">За отчетный период ГЭФ утвердил три страновых проекта (Мадагаскар, Панама, Судан) по укреплению необходимого потенциала в технической, правовой и </w:t>
      </w:r>
      <w:r w:rsidRPr="00644CCA">
        <w:rPr>
          <w:rFonts w:ascii="Calibri" w:eastAsia="MS Mincho" w:hAnsi="Calibri" w:cs="Angsana New"/>
          <w:sz w:val="24"/>
          <w:szCs w:val="24"/>
        </w:rPr>
        <w:lastRenderedPageBreak/>
        <w:t>институциональной областях для выполнения положений Нагойского протокола. ГЭФ инвестировал 3,9 млн долл. США и привлек 24,2 млн долл. в виде софинансирования.</w:t>
      </w:r>
    </w:p>
    <w:p w:rsidR="00402BF2" w:rsidRPr="00FB4441" w:rsidRDefault="00402BF2" w:rsidP="000C09D1">
      <w:pPr>
        <w:pStyle w:val="2"/>
        <w:rPr>
          <w:lang w:val="ru-RU"/>
        </w:rPr>
      </w:pPr>
      <w:bookmarkStart w:id="28" w:name="_Toc32494921"/>
      <w:r w:rsidRPr="00644CCA">
        <w:rPr>
          <w:bCs/>
          <w:lang w:val="ru-RU"/>
        </w:rPr>
        <w:t>Вклад программ широкого воздействия в выполнение Айтинских целевых задач в области биоразнообразия</w:t>
      </w:r>
      <w:bookmarkEnd w:id="28"/>
    </w:p>
    <w:p w:rsidR="00AB51A6" w:rsidRPr="003E3CE1" w:rsidRDefault="00AB51A6" w:rsidP="00105FB1">
      <w:pPr>
        <w:pStyle w:val="3"/>
        <w:rPr>
          <w:snapToGrid w:val="0"/>
        </w:rPr>
      </w:pPr>
      <w:bookmarkStart w:id="29" w:name="_Toc32494922"/>
      <w:r>
        <w:rPr>
          <w:iCs/>
          <w:snapToGrid w:val="0"/>
        </w:rPr>
        <w:t>Продовольственные системы, землепользование и восстановление</w:t>
      </w:r>
      <w:bookmarkEnd w:id="29"/>
    </w:p>
    <w:p w:rsidR="00AB51A6" w:rsidRPr="00FB4441" w:rsidRDefault="00AB51A6"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Программа широкого воздействия «Продовольственные системы, землепользование и восстановление» (</w:t>
      </w:r>
      <w:proofErr w:type="spellStart"/>
      <w:r>
        <w:rPr>
          <w:rFonts w:ascii="Calibri" w:eastAsia="MS Mincho" w:hAnsi="Calibri" w:cs="Times New Roman"/>
          <w:snapToGrid w:val="0"/>
          <w:sz w:val="24"/>
          <w:szCs w:val="24"/>
        </w:rPr>
        <w:t>ПРОЗВ</w:t>
      </w:r>
      <w:proofErr w:type="spellEnd"/>
      <w:r>
        <w:rPr>
          <w:rFonts w:ascii="Calibri" w:eastAsia="MS Mincho" w:hAnsi="Calibri" w:cs="Times New Roman"/>
          <w:snapToGrid w:val="0"/>
          <w:sz w:val="24"/>
          <w:szCs w:val="24"/>
        </w:rPr>
        <w:t>) направлена на устранение коренных факторов нестабильности продовольственных систем и изменения землепользования, помогая странам перейти к более целостному и общесистемному подходу.</w:t>
      </w:r>
      <w:r w:rsidR="00776E86">
        <w:rPr>
          <w:rFonts w:ascii="Calibri" w:eastAsia="MS Mincho" w:hAnsi="Calibri" w:cs="Times New Roman"/>
          <w:snapToGrid w:val="0"/>
          <w:sz w:val="24"/>
          <w:szCs w:val="24"/>
        </w:rPr>
        <w:t xml:space="preserve"> </w:t>
      </w:r>
      <w:r>
        <w:rPr>
          <w:rFonts w:ascii="Calibri" w:eastAsia="MS Mincho" w:hAnsi="Calibri" w:cs="Times New Roman"/>
          <w:snapToGrid w:val="0"/>
          <w:sz w:val="24"/>
          <w:szCs w:val="24"/>
        </w:rPr>
        <w:t>Создание скоординированной, рациональной и более экологически устойчивой системы землепользования на уровне страны или юрисдикций является важнейшим условием обеспечения эффективности производства продуктов питания и товарных производственно-сбытовых цепочек, защиты окружающей среды и повышения благополучия населения. Программа широкого воздействия направлена на выполнение трех задач: 1) развитие устойчивых продовольственных систем для удовлетворения растущего в мире спроса, 2) развитие производственно-сбытовых цепочек сельскохозяйственных товаров, не связанных с уничтожением лесов, с тем чтобы замедлить утрату тропических лесов и 3) стимулирование восстановления деградированных земель в целях устойчивого производства и сохранения экосистемных услуг.</w:t>
      </w:r>
    </w:p>
    <w:p w:rsidR="000B4E14" w:rsidRPr="00E979DD" w:rsidRDefault="00AB51A6"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1F3174">
        <w:rPr>
          <w:rFonts w:ascii="Calibri" w:hAnsi="Calibri"/>
          <w:snapToGrid w:val="0"/>
          <w:sz w:val="24"/>
          <w:szCs w:val="24"/>
        </w:rPr>
        <w:t>В нижеприведенной таблице</w:t>
      </w:r>
      <w:r>
        <w:rPr>
          <w:rFonts w:ascii="Calibri" w:hAnsi="Calibri"/>
          <w:snapToGrid w:val="0"/>
          <w:sz w:val="24"/>
          <w:szCs w:val="24"/>
        </w:rPr>
        <w:t xml:space="preserve"> 6 показан вклад ресурсов программы широкого воздействия ГЭФ </w:t>
      </w:r>
      <w:proofErr w:type="spellStart"/>
      <w:r>
        <w:rPr>
          <w:rFonts w:ascii="Calibri" w:hAnsi="Calibri"/>
          <w:snapToGrid w:val="0"/>
          <w:sz w:val="24"/>
          <w:szCs w:val="24"/>
        </w:rPr>
        <w:t>ПРОЗВ</w:t>
      </w:r>
      <w:proofErr w:type="spellEnd"/>
      <w:r>
        <w:rPr>
          <w:rFonts w:ascii="Calibri" w:hAnsi="Calibri"/>
          <w:snapToGrid w:val="0"/>
          <w:sz w:val="24"/>
          <w:szCs w:val="24"/>
        </w:rPr>
        <w:t xml:space="preserve"> в выполнение Айтинских целевых задач в области биоразнообразия, в соответствии с приоритетами стран. </w:t>
      </w:r>
      <w:bookmarkStart w:id="30" w:name="_Hlk32065142"/>
      <w:r>
        <w:rPr>
          <w:rFonts w:ascii="Calibri" w:hAnsi="Calibri"/>
          <w:snapToGrid w:val="0"/>
          <w:sz w:val="24"/>
          <w:szCs w:val="24"/>
        </w:rPr>
        <w:t xml:space="preserve">Проектное финансирование ГЭФ на программу широкого воздействия </w:t>
      </w:r>
      <w:proofErr w:type="spellStart"/>
      <w:r>
        <w:rPr>
          <w:rFonts w:ascii="Calibri" w:hAnsi="Calibri"/>
          <w:snapToGrid w:val="0"/>
          <w:sz w:val="24"/>
          <w:szCs w:val="24"/>
        </w:rPr>
        <w:t>ПРОЗВ</w:t>
      </w:r>
      <w:proofErr w:type="spellEnd"/>
      <w:r>
        <w:rPr>
          <w:rFonts w:ascii="Calibri" w:hAnsi="Calibri"/>
          <w:snapToGrid w:val="0"/>
          <w:sz w:val="24"/>
          <w:szCs w:val="24"/>
        </w:rPr>
        <w:t xml:space="preserve"> составило</w:t>
      </w:r>
      <w:r w:rsidR="00776E86">
        <w:rPr>
          <w:rFonts w:ascii="Calibri" w:hAnsi="Calibri"/>
          <w:snapToGrid w:val="0"/>
          <w:sz w:val="24"/>
          <w:szCs w:val="24"/>
        </w:rPr>
        <w:t xml:space="preserve"> </w:t>
      </w:r>
      <w:r>
        <w:rPr>
          <w:rFonts w:ascii="Calibri" w:hAnsi="Calibri"/>
          <w:snapToGrid w:val="0"/>
          <w:sz w:val="24"/>
          <w:szCs w:val="24"/>
        </w:rPr>
        <w:t>281,2 млн долл. США, из которых</w:t>
      </w:r>
      <w:r w:rsidR="00776E86">
        <w:rPr>
          <w:rFonts w:ascii="Calibri" w:hAnsi="Calibri"/>
          <w:snapToGrid w:val="0"/>
          <w:sz w:val="24"/>
          <w:szCs w:val="24"/>
        </w:rPr>
        <w:t xml:space="preserve"> </w:t>
      </w:r>
      <w:r>
        <w:rPr>
          <w:rFonts w:ascii="Calibri" w:hAnsi="Calibri"/>
          <w:snapToGrid w:val="0"/>
          <w:sz w:val="24"/>
          <w:szCs w:val="24"/>
        </w:rPr>
        <w:t>95,3 млн долл. поступило из средств, выделенных на целевую область сохранения биоразнообразия</w:t>
      </w:r>
      <w:bookmarkEnd w:id="30"/>
      <w:r>
        <w:rPr>
          <w:rFonts w:ascii="Calibri" w:hAnsi="Calibri"/>
          <w:snapToGrid w:val="0"/>
          <w:sz w:val="24"/>
          <w:szCs w:val="24"/>
        </w:rPr>
        <w:t xml:space="preserve"> по СПРР.</w:t>
      </w:r>
    </w:p>
    <w:p w:rsidR="000B4E14" w:rsidRPr="00FB4441" w:rsidRDefault="000B4E14" w:rsidP="00D722AE">
      <w:pPr>
        <w:spacing w:before="240" w:after="240" w:line="240" w:lineRule="auto"/>
        <w:jc w:val="center"/>
        <w:rPr>
          <w:rFonts w:ascii="Calibri" w:eastAsia="MS Mincho" w:hAnsi="Calibri" w:cs="Times New Roman"/>
          <w:b/>
          <w:snapToGrid w:val="0"/>
          <w:sz w:val="24"/>
          <w:szCs w:val="24"/>
        </w:rPr>
      </w:pPr>
      <w:r>
        <w:rPr>
          <w:rFonts w:ascii="Calibri" w:eastAsia="MS Mincho" w:hAnsi="Calibri" w:cs="Times New Roman"/>
          <w:b/>
          <w:bCs/>
          <w:snapToGrid w:val="0"/>
          <w:sz w:val="24"/>
          <w:szCs w:val="24"/>
        </w:rPr>
        <w:t xml:space="preserve">Таблица 6. Распределение совокупных средств ГЭФ-7 по программе широкого воздействия </w:t>
      </w:r>
      <w:proofErr w:type="spellStart"/>
      <w:r>
        <w:rPr>
          <w:rFonts w:ascii="Calibri" w:eastAsia="MS Mincho" w:hAnsi="Calibri" w:cs="Times New Roman"/>
          <w:b/>
          <w:bCs/>
          <w:snapToGrid w:val="0"/>
          <w:sz w:val="24"/>
          <w:szCs w:val="24"/>
        </w:rPr>
        <w:t>ПРОЗВ</w:t>
      </w:r>
      <w:proofErr w:type="spellEnd"/>
      <w:r>
        <w:rPr>
          <w:rFonts w:ascii="Calibri" w:eastAsia="MS Mincho" w:hAnsi="Calibri" w:cs="Times New Roman"/>
          <w:b/>
          <w:bCs/>
          <w:snapToGrid w:val="0"/>
          <w:sz w:val="24"/>
          <w:szCs w:val="24"/>
        </w:rPr>
        <w:t xml:space="preserve"> и вкладу в выполнение Айтинских целевых задач в области биоразнообразия (1 июля 2018 г. - 31 декабря 2019 г.)</w:t>
      </w:r>
      <w:r>
        <w:rPr>
          <w:rFonts w:ascii="Calibri" w:eastAsia="MS Mincho" w:hAnsi="Calibri" w:cs="Times New Roman"/>
          <w:b/>
          <w:bCs/>
          <w:snapToGrid w:val="0"/>
          <w:sz w:val="24"/>
          <w:szCs w:val="24"/>
          <w:vertAlign w:val="superscript"/>
        </w:rPr>
        <w:footnoteReference w:id="11"/>
      </w:r>
    </w:p>
    <w:tbl>
      <w:tblPr>
        <w:tblW w:w="4997" w:type="pct"/>
        <w:tblBorders>
          <w:top w:val="single" w:sz="12" w:space="0" w:color="008000"/>
          <w:bottom w:val="single" w:sz="12" w:space="0" w:color="008000"/>
        </w:tblBorders>
        <w:tblLook w:val="04A0"/>
      </w:tblPr>
      <w:tblGrid>
        <w:gridCol w:w="2252"/>
        <w:gridCol w:w="1921"/>
        <w:gridCol w:w="1858"/>
        <w:gridCol w:w="2092"/>
        <w:gridCol w:w="1447"/>
      </w:tblGrid>
      <w:tr w:rsidR="000B4E14" w:rsidRPr="00FB4441" w:rsidTr="008354E6">
        <w:trPr>
          <w:trHeight w:val="570"/>
        </w:trPr>
        <w:tc>
          <w:tcPr>
            <w:tcW w:w="1277" w:type="pct"/>
            <w:tcBorders>
              <w:bottom w:val="single" w:sz="6" w:space="0" w:color="008000"/>
            </w:tcBorders>
            <w:shd w:val="clear" w:color="auto" w:fill="auto"/>
            <w:hideMark/>
          </w:tcPr>
          <w:p w:rsidR="000B4E14" w:rsidRPr="00FB4441" w:rsidRDefault="000B4E14" w:rsidP="000B4E14">
            <w:pPr>
              <w:spacing w:before="120" w:after="120" w:line="240" w:lineRule="auto"/>
              <w:rPr>
                <w:rFonts w:ascii="Calibri" w:eastAsia="MS Mincho" w:hAnsi="Calibri" w:cs="Times New Roman"/>
                <w:b/>
                <w:bCs/>
                <w:snapToGrid w:val="0"/>
              </w:rPr>
            </w:pPr>
          </w:p>
        </w:tc>
        <w:tc>
          <w:tcPr>
            <w:tcW w:w="877" w:type="pct"/>
            <w:tcBorders>
              <w:bottom w:val="single" w:sz="6" w:space="0" w:color="008000"/>
            </w:tcBorders>
            <w:shd w:val="clear" w:color="auto" w:fill="auto"/>
            <w:hideMark/>
          </w:tcPr>
          <w:p w:rsidR="000B4E14" w:rsidRPr="00FB4441" w:rsidRDefault="000B4E14" w:rsidP="000B4E14">
            <w:pPr>
              <w:spacing w:before="120" w:after="120" w:line="240" w:lineRule="auto"/>
              <w:rPr>
                <w:rFonts w:ascii="Calibri" w:eastAsia="MS Mincho" w:hAnsi="Calibri" w:cs="Times New Roman"/>
                <w:b/>
                <w:bCs/>
                <w:snapToGrid w:val="0"/>
              </w:rPr>
            </w:pPr>
            <w:r>
              <w:rPr>
                <w:rFonts w:ascii="Calibri" w:eastAsia="MS Mincho" w:hAnsi="Calibri" w:cs="Times New Roman"/>
                <w:b/>
                <w:bCs/>
                <w:snapToGrid w:val="0"/>
              </w:rPr>
              <w:t>Айтинские целевые задачи в области биоразнообразия</w:t>
            </w:r>
          </w:p>
        </w:tc>
        <w:tc>
          <w:tcPr>
            <w:tcW w:w="1008" w:type="pct"/>
            <w:tcBorders>
              <w:bottom w:val="single" w:sz="6" w:space="0" w:color="008000"/>
            </w:tcBorders>
            <w:shd w:val="clear" w:color="auto" w:fill="auto"/>
          </w:tcPr>
          <w:p w:rsidR="000B4E14" w:rsidRPr="00A95163" w:rsidRDefault="000B4E14" w:rsidP="000B4E14">
            <w:pPr>
              <w:spacing w:before="120" w:after="120" w:line="240" w:lineRule="auto"/>
              <w:rPr>
                <w:rFonts w:ascii="Calibri" w:eastAsia="MS Mincho" w:hAnsi="Calibri" w:cs="Times New Roman"/>
                <w:b/>
                <w:bCs/>
                <w:snapToGrid w:val="0"/>
              </w:rPr>
            </w:pPr>
            <w:r>
              <w:rPr>
                <w:rFonts w:ascii="Calibri" w:eastAsia="MS Mincho" w:hAnsi="Calibri" w:cs="Times New Roman"/>
                <w:b/>
                <w:bCs/>
                <w:snapToGrid w:val="0"/>
              </w:rPr>
              <w:t>Проектное финансирование ГЭФ</w:t>
            </w:r>
            <w:r>
              <w:rPr>
                <w:rFonts w:ascii="Calibri" w:eastAsia="MS Mincho" w:hAnsi="Calibri" w:cs="Times New Roman"/>
                <w:snapToGrid w:val="0"/>
              </w:rPr>
              <w:br/>
            </w:r>
            <w:r>
              <w:rPr>
                <w:rFonts w:ascii="Calibri" w:eastAsia="MS Mincho" w:hAnsi="Calibri" w:cs="Times New Roman"/>
                <w:b/>
                <w:bCs/>
                <w:snapToGrid w:val="0"/>
              </w:rPr>
              <w:t>(млн долл. США)</w:t>
            </w:r>
          </w:p>
        </w:tc>
        <w:tc>
          <w:tcPr>
            <w:tcW w:w="919" w:type="pct"/>
            <w:tcBorders>
              <w:bottom w:val="single" w:sz="6" w:space="0" w:color="008000"/>
            </w:tcBorders>
            <w:shd w:val="clear" w:color="auto" w:fill="auto"/>
            <w:hideMark/>
          </w:tcPr>
          <w:p w:rsidR="000B4E14" w:rsidRPr="00A95163" w:rsidRDefault="002D582B" w:rsidP="000B4E14">
            <w:pPr>
              <w:spacing w:before="120" w:after="120" w:line="240" w:lineRule="auto"/>
              <w:rPr>
                <w:rFonts w:ascii="Calibri" w:eastAsia="MS Mincho" w:hAnsi="Calibri" w:cs="Times New Roman"/>
                <w:b/>
                <w:bCs/>
                <w:snapToGrid w:val="0"/>
              </w:rPr>
            </w:pPr>
            <w:r>
              <w:rPr>
                <w:rFonts w:ascii="Calibri" w:eastAsia="MS Mincho" w:hAnsi="Calibri" w:cs="Times New Roman"/>
                <w:b/>
                <w:bCs/>
                <w:snapToGrid w:val="0"/>
              </w:rPr>
              <w:t>Софинансирование</w:t>
            </w:r>
          </w:p>
          <w:p w:rsidR="000B4E14" w:rsidRPr="00A95163" w:rsidRDefault="000B4E14" w:rsidP="000B4E14">
            <w:pPr>
              <w:spacing w:before="120" w:after="120" w:line="240" w:lineRule="auto"/>
              <w:rPr>
                <w:rFonts w:ascii="Calibri" w:eastAsia="MS Mincho" w:hAnsi="Calibri" w:cs="Times New Roman"/>
                <w:b/>
                <w:bCs/>
                <w:snapToGrid w:val="0"/>
              </w:rPr>
            </w:pPr>
            <w:r>
              <w:rPr>
                <w:rFonts w:ascii="Calibri" w:eastAsia="MS Mincho" w:hAnsi="Calibri" w:cs="Times New Roman"/>
                <w:b/>
                <w:bCs/>
                <w:snapToGrid w:val="0"/>
              </w:rPr>
              <w:t>(млн долл. США)</w:t>
            </w:r>
          </w:p>
        </w:tc>
        <w:tc>
          <w:tcPr>
            <w:tcW w:w="919" w:type="pct"/>
            <w:tcBorders>
              <w:bottom w:val="single" w:sz="6" w:space="0" w:color="008000"/>
            </w:tcBorders>
            <w:shd w:val="clear" w:color="auto" w:fill="auto"/>
          </w:tcPr>
          <w:p w:rsidR="000B4E14" w:rsidRPr="00FB4441" w:rsidRDefault="000B4E14" w:rsidP="000B4E14">
            <w:pPr>
              <w:spacing w:before="120" w:after="120" w:line="240" w:lineRule="auto"/>
              <w:rPr>
                <w:rFonts w:ascii="Calibri" w:eastAsia="MS Mincho" w:hAnsi="Calibri" w:cs="Times New Roman"/>
                <w:b/>
                <w:bCs/>
                <w:snapToGrid w:val="0"/>
              </w:rPr>
            </w:pPr>
            <w:r>
              <w:rPr>
                <w:rFonts w:ascii="Calibri" w:eastAsia="MS Mincho" w:hAnsi="Calibri" w:cs="Times New Roman"/>
                <w:b/>
                <w:bCs/>
                <w:snapToGrid w:val="0"/>
              </w:rPr>
              <w:t>Всего ресурсы (млн долл. США)</w:t>
            </w:r>
          </w:p>
        </w:tc>
      </w:tr>
      <w:tr w:rsidR="000B4E14" w:rsidRPr="000B4E14" w:rsidTr="00956B1B">
        <w:trPr>
          <w:trHeight w:val="553"/>
        </w:trPr>
        <w:tc>
          <w:tcPr>
            <w:tcW w:w="1277" w:type="pct"/>
            <w:shd w:val="clear" w:color="auto" w:fill="auto"/>
          </w:tcPr>
          <w:p w:rsidR="000B4E14" w:rsidRPr="000B4E14" w:rsidRDefault="000B4E14" w:rsidP="000B4E14">
            <w:pPr>
              <w:spacing w:before="120" w:after="120" w:line="240" w:lineRule="auto"/>
              <w:rPr>
                <w:rFonts w:ascii="Calibri" w:eastAsia="MS Mincho" w:hAnsi="Calibri" w:cs="Times New Roman"/>
                <w:snapToGrid w:val="0"/>
              </w:rPr>
            </w:pPr>
            <w:bookmarkStart w:id="31" w:name="_Hlk31795662"/>
            <w:proofErr w:type="spellStart"/>
            <w:r>
              <w:rPr>
                <w:rFonts w:ascii="Calibri" w:eastAsia="MS Mincho" w:hAnsi="Calibri" w:cs="Times New Roman"/>
                <w:snapToGrid w:val="0"/>
              </w:rPr>
              <w:t>ПРОЗВ</w:t>
            </w:r>
            <w:proofErr w:type="spellEnd"/>
          </w:p>
          <w:p w:rsidR="000B4E14" w:rsidRPr="000B4E14" w:rsidRDefault="000B4E14" w:rsidP="000B4E14">
            <w:pPr>
              <w:spacing w:before="120" w:after="120" w:line="240" w:lineRule="auto"/>
              <w:rPr>
                <w:rFonts w:ascii="Calibri" w:eastAsia="MS Mincho" w:hAnsi="Calibri" w:cs="Times New Roman"/>
                <w:snapToGrid w:val="0"/>
              </w:rPr>
            </w:pPr>
          </w:p>
        </w:tc>
        <w:tc>
          <w:tcPr>
            <w:tcW w:w="877" w:type="pct"/>
            <w:shd w:val="clear" w:color="auto" w:fill="auto"/>
            <w:hideMark/>
          </w:tcPr>
          <w:p w:rsidR="000B4E14" w:rsidRPr="000B4E14" w:rsidRDefault="00557A70" w:rsidP="000B4E14">
            <w:pPr>
              <w:spacing w:before="120" w:after="120" w:line="240" w:lineRule="auto"/>
              <w:rPr>
                <w:rFonts w:ascii="Calibri" w:eastAsia="MS Mincho" w:hAnsi="Calibri" w:cs="Times New Roman"/>
                <w:snapToGrid w:val="0"/>
              </w:rPr>
            </w:pPr>
            <w:r>
              <w:rPr>
                <w:rFonts w:ascii="Calibri" w:eastAsia="MS Mincho" w:hAnsi="Calibri" w:cs="Times New Roman"/>
                <w:snapToGrid w:val="0"/>
              </w:rPr>
              <w:t>5, 7, 14, 15</w:t>
            </w:r>
          </w:p>
        </w:tc>
        <w:tc>
          <w:tcPr>
            <w:tcW w:w="1008" w:type="pct"/>
            <w:tcBorders>
              <w:top w:val="nil"/>
              <w:left w:val="nil"/>
              <w:bottom w:val="single" w:sz="12" w:space="0" w:color="008000"/>
              <w:right w:val="nil"/>
            </w:tcBorders>
          </w:tcPr>
          <w:p w:rsidR="000B4E14" w:rsidRPr="000B4E14" w:rsidRDefault="00D4208F" w:rsidP="000B4E14">
            <w:pPr>
              <w:spacing w:before="120" w:after="120" w:line="240" w:lineRule="auto"/>
              <w:rPr>
                <w:rFonts w:ascii="Calibri" w:eastAsia="MS Mincho" w:hAnsi="Calibri" w:cs="Times New Roman"/>
                <w:snapToGrid w:val="0"/>
              </w:rPr>
            </w:pPr>
            <w:r>
              <w:rPr>
                <w:rFonts w:ascii="Calibri" w:eastAsia="MS Mincho" w:hAnsi="Calibri" w:cs="Times New Roman"/>
                <w:snapToGrid w:val="0"/>
              </w:rPr>
              <w:t>281,2</w:t>
            </w:r>
          </w:p>
          <w:p w:rsidR="000B4E14" w:rsidRPr="000B4E14" w:rsidRDefault="000B4E14" w:rsidP="000B4E14">
            <w:pPr>
              <w:spacing w:before="120" w:after="120" w:line="240" w:lineRule="auto"/>
              <w:rPr>
                <w:rFonts w:ascii="Calibri" w:eastAsia="MS Mincho" w:hAnsi="Calibri" w:cs="Times New Roman"/>
                <w:snapToGrid w:val="0"/>
              </w:rPr>
            </w:pPr>
          </w:p>
        </w:tc>
        <w:tc>
          <w:tcPr>
            <w:tcW w:w="919" w:type="pct"/>
            <w:tcBorders>
              <w:top w:val="nil"/>
              <w:left w:val="nil"/>
              <w:bottom w:val="single" w:sz="12" w:space="0" w:color="008000"/>
              <w:right w:val="nil"/>
            </w:tcBorders>
          </w:tcPr>
          <w:p w:rsidR="000B4E14" w:rsidRPr="000B4E14" w:rsidRDefault="00421945" w:rsidP="000B4E14">
            <w:pPr>
              <w:spacing w:before="120" w:after="120" w:line="240" w:lineRule="auto"/>
              <w:rPr>
                <w:rFonts w:ascii="Calibri" w:eastAsia="MS Mincho" w:hAnsi="Calibri" w:cs="Times New Roman"/>
                <w:snapToGrid w:val="0"/>
              </w:rPr>
            </w:pPr>
            <w:r>
              <w:rPr>
                <w:rFonts w:ascii="Calibri" w:eastAsia="MS Mincho" w:hAnsi="Calibri" w:cs="Times New Roman"/>
                <w:snapToGrid w:val="0"/>
              </w:rPr>
              <w:t>2515,4</w:t>
            </w:r>
          </w:p>
          <w:p w:rsidR="000B4E14" w:rsidRPr="000B4E14" w:rsidRDefault="000B4E14" w:rsidP="000B4E14">
            <w:pPr>
              <w:spacing w:before="120" w:after="120" w:line="240" w:lineRule="auto"/>
              <w:rPr>
                <w:rFonts w:ascii="Calibri" w:eastAsia="MS Mincho" w:hAnsi="Calibri" w:cs="Times New Roman"/>
                <w:snapToGrid w:val="0"/>
              </w:rPr>
            </w:pPr>
          </w:p>
        </w:tc>
        <w:tc>
          <w:tcPr>
            <w:tcW w:w="919" w:type="pct"/>
            <w:tcBorders>
              <w:top w:val="nil"/>
              <w:left w:val="nil"/>
              <w:bottom w:val="single" w:sz="12" w:space="0" w:color="008000"/>
              <w:right w:val="nil"/>
            </w:tcBorders>
          </w:tcPr>
          <w:p w:rsidR="00331758" w:rsidRDefault="00331758" w:rsidP="000B4E14">
            <w:pPr>
              <w:spacing w:before="120" w:after="120" w:line="240" w:lineRule="auto"/>
              <w:rPr>
                <w:rFonts w:ascii="Calibri" w:eastAsia="MS Mincho" w:hAnsi="Calibri" w:cs="Times New Roman"/>
                <w:snapToGrid w:val="0"/>
              </w:rPr>
            </w:pPr>
            <w:r>
              <w:rPr>
                <w:rFonts w:ascii="Calibri" w:eastAsia="MS Mincho" w:hAnsi="Calibri" w:cs="Times New Roman"/>
                <w:snapToGrid w:val="0"/>
              </w:rPr>
              <w:t>2796,6</w:t>
            </w:r>
          </w:p>
          <w:p w:rsidR="000B4E14" w:rsidRPr="000B4E14" w:rsidRDefault="000B4E14" w:rsidP="000B4E14">
            <w:pPr>
              <w:spacing w:before="120" w:after="120" w:line="240" w:lineRule="auto"/>
              <w:rPr>
                <w:rFonts w:ascii="Calibri" w:eastAsia="MS Mincho" w:hAnsi="Calibri" w:cs="Times New Roman"/>
                <w:snapToGrid w:val="0"/>
              </w:rPr>
            </w:pPr>
          </w:p>
        </w:tc>
      </w:tr>
    </w:tbl>
    <w:p w:rsidR="00F55D58" w:rsidRPr="003E3CE1" w:rsidRDefault="00D30DB1" w:rsidP="00105FB1">
      <w:pPr>
        <w:pStyle w:val="3"/>
        <w:rPr>
          <w:snapToGrid w:val="0"/>
        </w:rPr>
      </w:pPr>
      <w:bookmarkStart w:id="32" w:name="_Toc32494923"/>
      <w:bookmarkEnd w:id="31"/>
      <w:r>
        <w:rPr>
          <w:iCs/>
          <w:snapToGrid w:val="0"/>
        </w:rPr>
        <w:lastRenderedPageBreak/>
        <w:t>Устойчивое лесопользование</w:t>
      </w:r>
      <w:bookmarkEnd w:id="32"/>
    </w:p>
    <w:p w:rsidR="00886BF8" w:rsidRPr="00FB4441" w:rsidRDefault="00B37D65"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Программа широкого воздействия «Устойчивое лесопользование» (</w:t>
      </w:r>
      <w:proofErr w:type="spellStart"/>
      <w:r>
        <w:rPr>
          <w:rFonts w:ascii="Calibri" w:eastAsia="MS Mincho" w:hAnsi="Calibri" w:cs="Times New Roman"/>
          <w:snapToGrid w:val="0"/>
          <w:sz w:val="24"/>
          <w:szCs w:val="24"/>
        </w:rPr>
        <w:t>УЛП</w:t>
      </w:r>
      <w:proofErr w:type="spellEnd"/>
      <w:r>
        <w:rPr>
          <w:rFonts w:ascii="Calibri" w:eastAsia="MS Mincho" w:hAnsi="Calibri" w:cs="Times New Roman"/>
          <w:snapToGrid w:val="0"/>
          <w:sz w:val="24"/>
          <w:szCs w:val="24"/>
        </w:rPr>
        <w:t>) направлена на устойчивое управление лесами и их защиту в трех основных биомах: бассейн реки Амазонки, бассейн реки Конго и леса в засушливых районах. Проектные инвестиции направлены на сохранение экологической целостности всех биомов, а также на укрепление трансграничной координации действий между регионами.</w:t>
      </w:r>
    </w:p>
    <w:p w:rsidR="00B37D65" w:rsidRPr="00FB4441" w:rsidRDefault="00B37D65"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 xml:space="preserve">Прошлые инвестиции в </w:t>
      </w:r>
      <w:proofErr w:type="spellStart"/>
      <w:r>
        <w:rPr>
          <w:rFonts w:ascii="Calibri" w:eastAsia="MS Mincho" w:hAnsi="Calibri" w:cs="Times New Roman"/>
          <w:snapToGrid w:val="0"/>
          <w:sz w:val="24"/>
          <w:szCs w:val="24"/>
        </w:rPr>
        <w:t>УЛП</w:t>
      </w:r>
      <w:proofErr w:type="spellEnd"/>
      <w:r>
        <w:rPr>
          <w:rFonts w:ascii="Calibri" w:eastAsia="MS Mincho" w:hAnsi="Calibri" w:cs="Times New Roman"/>
          <w:snapToGrid w:val="0"/>
          <w:sz w:val="24"/>
          <w:szCs w:val="24"/>
        </w:rPr>
        <w:t xml:space="preserve"> в основном были обособлены и направлены на внедрение принципов </w:t>
      </w:r>
      <w:proofErr w:type="spellStart"/>
      <w:r>
        <w:rPr>
          <w:rFonts w:ascii="Calibri" w:eastAsia="MS Mincho" w:hAnsi="Calibri" w:cs="Times New Roman"/>
          <w:snapToGrid w:val="0"/>
          <w:sz w:val="24"/>
          <w:szCs w:val="24"/>
        </w:rPr>
        <w:t>УЛП</w:t>
      </w:r>
      <w:proofErr w:type="spellEnd"/>
      <w:r>
        <w:rPr>
          <w:rFonts w:ascii="Calibri" w:eastAsia="MS Mincho" w:hAnsi="Calibri" w:cs="Times New Roman"/>
          <w:snapToGrid w:val="0"/>
          <w:sz w:val="24"/>
          <w:szCs w:val="24"/>
        </w:rPr>
        <w:t xml:space="preserve"> в проекты по управлению земельными ресурсами в масштабах лишь одного проекта. Программа широкого воздействия </w:t>
      </w:r>
      <w:proofErr w:type="spellStart"/>
      <w:r>
        <w:rPr>
          <w:rFonts w:ascii="Calibri" w:eastAsia="MS Mincho" w:hAnsi="Calibri" w:cs="Times New Roman"/>
          <w:snapToGrid w:val="0"/>
          <w:sz w:val="24"/>
          <w:szCs w:val="24"/>
        </w:rPr>
        <w:t>УЛП</w:t>
      </w:r>
      <w:proofErr w:type="spellEnd"/>
      <w:r>
        <w:rPr>
          <w:rFonts w:ascii="Calibri" w:eastAsia="MS Mincho" w:hAnsi="Calibri" w:cs="Times New Roman"/>
          <w:snapToGrid w:val="0"/>
          <w:sz w:val="24"/>
          <w:szCs w:val="24"/>
        </w:rPr>
        <w:t xml:space="preserve"> направлена на устранение факторов утраты лесов и их деградации на основе стратегии, преследующей создание более благоприятной среды для управления лесными ресурсами; развитие рациональных методов планирования в ландшафтах со смешанными видами использования; укрепление методов управления охраняемыми районами и их финансирование; уточнение прав землевладения и других смежных положений; содействие в управлении землями коммерческого и натурального сельского хозяйства с целью снижения нагрузки на прилегающие леса; и применение финансовых механизмов и стимулов для развития устойчивого лесопользования.</w:t>
      </w:r>
    </w:p>
    <w:p w:rsidR="00D30DB1" w:rsidRPr="00FB4441" w:rsidRDefault="00B13AFC"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Ниже, в таблице 7, представлен вклад программы ГЭФ широкого воздействия «Устойчивое лесопользование» в выполнение Айтинских целевых задач в области биоразнообразия, в соответствии приоритетами стран.</w:t>
      </w:r>
      <w:r w:rsidR="00776E86">
        <w:rPr>
          <w:rFonts w:ascii="Calibri" w:eastAsia="MS Mincho" w:hAnsi="Calibri" w:cs="Times New Roman"/>
          <w:snapToGrid w:val="0"/>
          <w:sz w:val="24"/>
          <w:szCs w:val="24"/>
        </w:rPr>
        <w:t xml:space="preserve"> </w:t>
      </w:r>
      <w:r>
        <w:rPr>
          <w:rFonts w:ascii="Calibri" w:eastAsia="MS Mincho" w:hAnsi="Calibri" w:cs="Times New Roman"/>
          <w:snapToGrid w:val="0"/>
          <w:sz w:val="24"/>
          <w:szCs w:val="24"/>
        </w:rPr>
        <w:t xml:space="preserve">Проектное финансирование ГЭФ на программу широкого воздействия </w:t>
      </w:r>
      <w:proofErr w:type="spellStart"/>
      <w:r>
        <w:rPr>
          <w:rFonts w:ascii="Calibri" w:eastAsia="MS Mincho" w:hAnsi="Calibri" w:cs="Times New Roman"/>
          <w:snapToGrid w:val="0"/>
          <w:sz w:val="24"/>
          <w:szCs w:val="24"/>
        </w:rPr>
        <w:t>УЛП</w:t>
      </w:r>
      <w:proofErr w:type="spellEnd"/>
      <w:r>
        <w:rPr>
          <w:rFonts w:ascii="Calibri" w:eastAsia="MS Mincho" w:hAnsi="Calibri" w:cs="Times New Roman"/>
          <w:snapToGrid w:val="0"/>
          <w:sz w:val="24"/>
          <w:szCs w:val="24"/>
        </w:rPr>
        <w:t xml:space="preserve"> составило</w:t>
      </w:r>
      <w:r w:rsidR="00776E86">
        <w:rPr>
          <w:rFonts w:ascii="Calibri" w:eastAsia="MS Mincho" w:hAnsi="Calibri" w:cs="Times New Roman"/>
          <w:snapToGrid w:val="0"/>
          <w:sz w:val="24"/>
          <w:szCs w:val="24"/>
        </w:rPr>
        <w:t xml:space="preserve"> </w:t>
      </w:r>
      <w:r>
        <w:rPr>
          <w:rFonts w:ascii="Calibri" w:eastAsia="MS Mincho" w:hAnsi="Calibri" w:cs="Times New Roman"/>
          <w:snapToGrid w:val="0"/>
          <w:sz w:val="24"/>
          <w:szCs w:val="24"/>
        </w:rPr>
        <w:t>241,3 млн долл., из которых</w:t>
      </w:r>
      <w:r w:rsidR="00776E86">
        <w:rPr>
          <w:rFonts w:ascii="Calibri" w:eastAsia="MS Mincho" w:hAnsi="Calibri" w:cs="Times New Roman"/>
          <w:snapToGrid w:val="0"/>
          <w:sz w:val="24"/>
          <w:szCs w:val="24"/>
        </w:rPr>
        <w:t xml:space="preserve"> </w:t>
      </w:r>
      <w:r>
        <w:rPr>
          <w:rFonts w:ascii="Calibri" w:eastAsia="MS Mincho" w:hAnsi="Calibri" w:cs="Times New Roman"/>
          <w:snapToGrid w:val="0"/>
          <w:sz w:val="24"/>
          <w:szCs w:val="24"/>
        </w:rPr>
        <w:t>92,0 млн долл. поступило из средств, выделенных на целевую область сохранения биоразнообразия по СПРР.</w:t>
      </w:r>
    </w:p>
    <w:p w:rsidR="00D30DB1" w:rsidRPr="00FB4441" w:rsidRDefault="00D30DB1" w:rsidP="00D722AE">
      <w:pPr>
        <w:spacing w:before="240" w:after="240" w:line="240" w:lineRule="auto"/>
        <w:jc w:val="center"/>
        <w:rPr>
          <w:rFonts w:ascii="Calibri" w:eastAsia="MS Mincho" w:hAnsi="Calibri" w:cs="Times New Roman"/>
          <w:b/>
          <w:snapToGrid w:val="0"/>
          <w:sz w:val="24"/>
          <w:szCs w:val="24"/>
        </w:rPr>
      </w:pPr>
      <w:bookmarkStart w:id="33" w:name="_Hlk508978256"/>
      <w:r>
        <w:rPr>
          <w:rFonts w:ascii="Calibri" w:eastAsia="MS Mincho" w:hAnsi="Calibri"/>
          <w:b/>
          <w:bCs/>
          <w:snapToGrid w:val="0"/>
          <w:sz w:val="24"/>
          <w:szCs w:val="24"/>
        </w:rPr>
        <w:t>Таблица 7. Распределение совокупных средств ГЭФ-7 по программам широкого воздействия «Устойчивое лесопользование»</w:t>
      </w:r>
      <w:r w:rsidR="00776E86">
        <w:rPr>
          <w:rFonts w:ascii="Calibri" w:eastAsia="MS Mincho" w:hAnsi="Calibri"/>
          <w:b/>
          <w:bCs/>
          <w:snapToGrid w:val="0"/>
          <w:sz w:val="24"/>
          <w:szCs w:val="24"/>
        </w:rPr>
        <w:t xml:space="preserve"> </w:t>
      </w:r>
      <w:r>
        <w:rPr>
          <w:rFonts w:ascii="Calibri" w:eastAsia="MS Mincho" w:hAnsi="Calibri"/>
          <w:b/>
          <w:bCs/>
          <w:snapToGrid w:val="0"/>
          <w:sz w:val="24"/>
          <w:szCs w:val="24"/>
        </w:rPr>
        <w:t>и вкладу в Айтинские целевые задачи в области биоразнообразия в отчетный период (1 июля 2018 г. - 31 декабря 2019 г.)</w:t>
      </w:r>
      <w:r>
        <w:rPr>
          <w:rFonts w:ascii="Calibri" w:eastAsia="MS Mincho" w:hAnsi="Calibri"/>
          <w:snapToGrid w:val="0"/>
          <w:sz w:val="24"/>
          <w:szCs w:val="24"/>
          <w:vertAlign w:val="superscript"/>
        </w:rPr>
        <w:footnoteReference w:id="12"/>
      </w:r>
    </w:p>
    <w:tbl>
      <w:tblPr>
        <w:tblW w:w="4997" w:type="pct"/>
        <w:tblBorders>
          <w:top w:val="single" w:sz="12" w:space="0" w:color="008000"/>
          <w:bottom w:val="single" w:sz="12" w:space="0" w:color="008000"/>
        </w:tblBorders>
        <w:tblLook w:val="04A0"/>
      </w:tblPr>
      <w:tblGrid>
        <w:gridCol w:w="2552"/>
        <w:gridCol w:w="1921"/>
        <w:gridCol w:w="1858"/>
        <w:gridCol w:w="2092"/>
        <w:gridCol w:w="1147"/>
      </w:tblGrid>
      <w:tr w:rsidR="00D30DB1" w:rsidRPr="00FB4441" w:rsidTr="008354E6">
        <w:trPr>
          <w:trHeight w:val="570"/>
        </w:trPr>
        <w:tc>
          <w:tcPr>
            <w:tcW w:w="1653" w:type="pct"/>
            <w:tcBorders>
              <w:bottom w:val="single" w:sz="6" w:space="0" w:color="008000"/>
            </w:tcBorders>
            <w:shd w:val="clear" w:color="auto" w:fill="auto"/>
            <w:hideMark/>
          </w:tcPr>
          <w:p w:rsidR="00D30DB1" w:rsidRPr="00045526"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Программы широкого воздействия </w:t>
            </w:r>
            <w:proofErr w:type="spellStart"/>
            <w:r>
              <w:rPr>
                <w:rFonts w:ascii="Calibri" w:eastAsia="Times New Roman" w:hAnsi="Calibri" w:cs="Times New Roman"/>
                <w:b/>
                <w:bCs/>
                <w:color w:val="000000"/>
              </w:rPr>
              <w:t>УЛП</w:t>
            </w:r>
            <w:proofErr w:type="spellEnd"/>
          </w:p>
        </w:tc>
        <w:tc>
          <w:tcPr>
            <w:tcW w:w="893" w:type="pct"/>
            <w:tcBorders>
              <w:bottom w:val="single" w:sz="6" w:space="0" w:color="008000"/>
            </w:tcBorders>
            <w:shd w:val="clear" w:color="auto" w:fill="auto"/>
            <w:hideMark/>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Айтинские целевые задачи в области биоразнообразия</w:t>
            </w:r>
          </w:p>
        </w:tc>
        <w:tc>
          <w:tcPr>
            <w:tcW w:w="846" w:type="pct"/>
            <w:tcBorders>
              <w:bottom w:val="single" w:sz="6" w:space="0" w:color="008000"/>
            </w:tcBorders>
            <w:shd w:val="clear" w:color="auto" w:fill="auto"/>
          </w:tcPr>
          <w:p w:rsidR="00D30DB1" w:rsidRPr="00045526"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Проектное финансирование ГЭФ</w:t>
            </w:r>
            <w:r>
              <w:rPr>
                <w:rFonts w:ascii="Calibri" w:eastAsia="Times New Roman" w:hAnsi="Calibri" w:cs="Times New Roman"/>
                <w:color w:val="000000"/>
              </w:rPr>
              <w:br/>
            </w:r>
            <w:r>
              <w:rPr>
                <w:rFonts w:ascii="Calibri" w:eastAsia="Times New Roman" w:hAnsi="Calibri" w:cs="Times New Roman"/>
                <w:b/>
                <w:bCs/>
                <w:color w:val="000000"/>
              </w:rPr>
              <w:t>(млн долл. США)</w:t>
            </w:r>
          </w:p>
        </w:tc>
        <w:tc>
          <w:tcPr>
            <w:tcW w:w="689" w:type="pct"/>
            <w:tcBorders>
              <w:bottom w:val="single" w:sz="6" w:space="0" w:color="008000"/>
            </w:tcBorders>
            <w:shd w:val="clear" w:color="auto" w:fill="auto"/>
            <w:hideMark/>
          </w:tcPr>
          <w:p w:rsidR="00D30DB1" w:rsidRPr="00045526" w:rsidRDefault="002D582B"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Софинансирование</w:t>
            </w:r>
          </w:p>
          <w:p w:rsidR="00D30DB1" w:rsidRPr="00045526"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(млн долл. США)</w:t>
            </w:r>
          </w:p>
        </w:tc>
        <w:tc>
          <w:tcPr>
            <w:tcW w:w="919" w:type="pct"/>
            <w:tcBorders>
              <w:bottom w:val="single" w:sz="6" w:space="0" w:color="008000"/>
            </w:tcBorders>
            <w:shd w:val="clear" w:color="auto" w:fill="auto"/>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Всего ресурсы</w:t>
            </w:r>
          </w:p>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(млн долл. США)</w:t>
            </w:r>
          </w:p>
        </w:tc>
      </w:tr>
      <w:tr w:rsidR="00D30DB1" w:rsidRPr="00D30DB1" w:rsidTr="008354E6">
        <w:trPr>
          <w:trHeight w:val="600"/>
        </w:trPr>
        <w:tc>
          <w:tcPr>
            <w:tcW w:w="1653" w:type="pct"/>
            <w:shd w:val="clear" w:color="auto" w:fill="auto"/>
          </w:tcPr>
          <w:p w:rsidR="00D30DB1" w:rsidRPr="00FB4441" w:rsidRDefault="00D30DB1" w:rsidP="002855CD">
            <w:pPr>
              <w:spacing w:after="0" w:line="240" w:lineRule="auto"/>
              <w:rPr>
                <w:rFonts w:ascii="Calibri" w:eastAsia="Times New Roman" w:hAnsi="Calibri" w:cs="Times New Roman"/>
                <w:color w:val="000000"/>
              </w:rPr>
            </w:pPr>
          </w:p>
          <w:p w:rsidR="002855CD" w:rsidRPr="00FB4441" w:rsidRDefault="002855CD" w:rsidP="002855CD">
            <w:pPr>
              <w:spacing w:after="0" w:line="240" w:lineRule="auto"/>
              <w:rPr>
                <w:rFonts w:ascii="Calibri" w:eastAsia="Times New Roman" w:hAnsi="Calibri" w:cs="Times New Roman"/>
                <w:color w:val="000000"/>
              </w:rPr>
            </w:pPr>
            <w:r>
              <w:rPr>
                <w:rFonts w:ascii="Calibri" w:eastAsia="Times New Roman" w:hAnsi="Calibri" w:cs="Times New Roman"/>
                <w:color w:val="000000"/>
              </w:rPr>
              <w:t>Программа по устойчивым ландшафтам в бассейне реки Амазонки</w:t>
            </w:r>
          </w:p>
        </w:tc>
        <w:tc>
          <w:tcPr>
            <w:tcW w:w="893" w:type="pct"/>
            <w:shd w:val="clear" w:color="auto" w:fill="auto"/>
            <w:hideMark/>
          </w:tcPr>
          <w:p w:rsidR="00D30DB1" w:rsidRPr="00FB4441" w:rsidRDefault="00D30DB1" w:rsidP="00AA3F32">
            <w:pPr>
              <w:spacing w:after="0" w:line="240" w:lineRule="auto"/>
              <w:rPr>
                <w:rFonts w:ascii="Calibri" w:eastAsia="Times New Roman" w:hAnsi="Calibri" w:cs="Times New Roman"/>
                <w:color w:val="000000"/>
              </w:rPr>
            </w:pPr>
          </w:p>
          <w:p w:rsidR="00D30DB1" w:rsidRPr="00045526" w:rsidRDefault="002855CD" w:rsidP="00D30DB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7, 11, 14, 15 и 19</w:t>
            </w:r>
          </w:p>
        </w:tc>
        <w:tc>
          <w:tcPr>
            <w:tcW w:w="846" w:type="pct"/>
            <w:shd w:val="clear" w:color="auto" w:fill="auto"/>
          </w:tcPr>
          <w:p w:rsidR="00D30DB1" w:rsidRPr="00045526" w:rsidRDefault="00D30DB1" w:rsidP="00D30DB1">
            <w:pPr>
              <w:spacing w:after="0" w:line="240" w:lineRule="auto"/>
              <w:rPr>
                <w:rFonts w:ascii="Calibri" w:eastAsia="MS Mincho" w:hAnsi="Calibri" w:cs="Calibri"/>
                <w:color w:val="000000"/>
              </w:rPr>
            </w:pPr>
          </w:p>
          <w:p w:rsidR="00D30DB1" w:rsidRPr="00045526" w:rsidRDefault="001C2D09" w:rsidP="00D30DB1">
            <w:pPr>
              <w:spacing w:after="0" w:line="240" w:lineRule="auto"/>
              <w:rPr>
                <w:rFonts w:ascii="Calibri" w:eastAsia="MS Mincho" w:hAnsi="Calibri" w:cs="Calibri"/>
                <w:color w:val="000000"/>
              </w:rPr>
            </w:pPr>
            <w:r>
              <w:rPr>
                <w:rFonts w:ascii="Calibri" w:eastAsia="MS Mincho" w:hAnsi="Calibri" w:cs="Calibri"/>
                <w:color w:val="000000"/>
              </w:rPr>
              <w:t>88,3</w:t>
            </w:r>
          </w:p>
        </w:tc>
        <w:tc>
          <w:tcPr>
            <w:tcW w:w="689" w:type="pct"/>
            <w:shd w:val="clear" w:color="auto" w:fill="auto"/>
          </w:tcPr>
          <w:p w:rsidR="00D30DB1" w:rsidRPr="00045526" w:rsidRDefault="00D30DB1" w:rsidP="00D30DB1">
            <w:pPr>
              <w:spacing w:after="0" w:line="240" w:lineRule="auto"/>
              <w:rPr>
                <w:rFonts w:ascii="Calibri" w:eastAsia="MS Mincho" w:hAnsi="Calibri" w:cs="Calibri"/>
                <w:color w:val="000000"/>
              </w:rPr>
            </w:pPr>
          </w:p>
          <w:p w:rsidR="00D30DB1" w:rsidRDefault="00DE0ABC" w:rsidP="00D30DB1">
            <w:pPr>
              <w:spacing w:after="0" w:line="240" w:lineRule="auto"/>
              <w:rPr>
                <w:rFonts w:ascii="Calibri" w:eastAsia="MS Mincho" w:hAnsi="Calibri" w:cs="Calibri"/>
                <w:color w:val="000000"/>
              </w:rPr>
            </w:pPr>
            <w:r>
              <w:rPr>
                <w:rFonts w:ascii="Calibri" w:eastAsia="MS Mincho" w:hAnsi="Calibri" w:cs="Calibri"/>
                <w:color w:val="000000"/>
              </w:rPr>
              <w:t>509,5</w:t>
            </w:r>
          </w:p>
          <w:p w:rsidR="001C2D09" w:rsidRPr="00045526" w:rsidRDefault="001C2D09" w:rsidP="00D30DB1">
            <w:pPr>
              <w:spacing w:after="0" w:line="240" w:lineRule="auto"/>
              <w:rPr>
                <w:rFonts w:ascii="Calibri" w:eastAsia="MS Mincho" w:hAnsi="Calibri" w:cs="Calibri"/>
                <w:color w:val="000000"/>
              </w:rPr>
            </w:pPr>
          </w:p>
        </w:tc>
        <w:tc>
          <w:tcPr>
            <w:tcW w:w="919" w:type="pct"/>
            <w:shd w:val="clear" w:color="auto" w:fill="auto"/>
          </w:tcPr>
          <w:p w:rsidR="00D30DB1" w:rsidRPr="00045526" w:rsidRDefault="00D30DB1" w:rsidP="002855CD">
            <w:pPr>
              <w:spacing w:after="0" w:line="240" w:lineRule="auto"/>
              <w:rPr>
                <w:rFonts w:ascii="Calibri" w:eastAsia="MS Mincho" w:hAnsi="Calibri" w:cs="Angsana New"/>
                <w:color w:val="000000"/>
              </w:rPr>
            </w:pPr>
          </w:p>
          <w:p w:rsidR="00D30DB1" w:rsidRPr="00045526" w:rsidRDefault="006274BC" w:rsidP="00D30DB1">
            <w:pPr>
              <w:spacing w:after="0" w:line="240" w:lineRule="auto"/>
              <w:jc w:val="center"/>
              <w:rPr>
                <w:rFonts w:ascii="Calibri" w:eastAsia="MS Mincho" w:hAnsi="Calibri" w:cs="Angsana New"/>
                <w:color w:val="000000"/>
              </w:rPr>
            </w:pPr>
            <w:r>
              <w:rPr>
                <w:rFonts w:ascii="Calibri" w:eastAsia="MS Mincho" w:hAnsi="Calibri" w:cs="Angsana New"/>
                <w:color w:val="000000"/>
              </w:rPr>
              <w:t>597,8</w:t>
            </w:r>
          </w:p>
          <w:p w:rsidR="00D30DB1" w:rsidRPr="00045526" w:rsidRDefault="00D30DB1" w:rsidP="00D30DB1">
            <w:pPr>
              <w:spacing w:after="0" w:line="240" w:lineRule="auto"/>
              <w:jc w:val="center"/>
              <w:rPr>
                <w:rFonts w:ascii="Calibri" w:eastAsia="MS Mincho" w:hAnsi="Calibri" w:cs="Angsana New"/>
                <w:color w:val="000000"/>
              </w:rPr>
            </w:pPr>
          </w:p>
        </w:tc>
      </w:tr>
      <w:tr w:rsidR="00D30DB1" w:rsidRPr="00D30DB1" w:rsidTr="008354E6">
        <w:trPr>
          <w:trHeight w:val="600"/>
        </w:trPr>
        <w:tc>
          <w:tcPr>
            <w:tcW w:w="1653" w:type="pct"/>
            <w:shd w:val="clear" w:color="auto" w:fill="auto"/>
          </w:tcPr>
          <w:p w:rsidR="002855CD" w:rsidRPr="00FB4441" w:rsidRDefault="002855CD" w:rsidP="00D30DB1">
            <w:pPr>
              <w:spacing w:after="0" w:line="240" w:lineRule="auto"/>
              <w:rPr>
                <w:rFonts w:ascii="Calibri" w:eastAsia="Times New Roman" w:hAnsi="Calibri" w:cs="Times New Roman"/>
                <w:color w:val="000000"/>
              </w:rPr>
            </w:pPr>
          </w:p>
          <w:p w:rsidR="002855CD" w:rsidRPr="00FB4441" w:rsidRDefault="002855CD" w:rsidP="00D30DB1">
            <w:pPr>
              <w:spacing w:after="0" w:line="240" w:lineRule="auto"/>
              <w:rPr>
                <w:rFonts w:ascii="Calibri" w:eastAsia="Times New Roman" w:hAnsi="Calibri" w:cs="Times New Roman"/>
                <w:color w:val="000000"/>
              </w:rPr>
            </w:pPr>
          </w:p>
          <w:p w:rsidR="00D30DB1" w:rsidRPr="00FB4441" w:rsidRDefault="002855CD"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Программа по устойчивым ландшафтам в Конго</w:t>
            </w:r>
          </w:p>
          <w:p w:rsidR="00D30DB1" w:rsidRPr="00FB4441" w:rsidRDefault="00D30DB1" w:rsidP="00D30DB1">
            <w:pPr>
              <w:spacing w:after="0" w:line="240" w:lineRule="auto"/>
              <w:rPr>
                <w:rFonts w:ascii="Calibri" w:eastAsia="Times New Roman" w:hAnsi="Calibri" w:cs="Times New Roman"/>
                <w:color w:val="000000"/>
              </w:rPr>
            </w:pPr>
          </w:p>
        </w:tc>
        <w:tc>
          <w:tcPr>
            <w:tcW w:w="893" w:type="pct"/>
            <w:shd w:val="clear" w:color="auto" w:fill="auto"/>
            <w:hideMark/>
          </w:tcPr>
          <w:p w:rsidR="00D30DB1" w:rsidRPr="00FB4441" w:rsidRDefault="00D30DB1" w:rsidP="00D30DB1">
            <w:pPr>
              <w:spacing w:after="0" w:line="240" w:lineRule="auto"/>
              <w:jc w:val="both"/>
              <w:rPr>
                <w:rFonts w:ascii="Calibri" w:eastAsia="Times New Roman" w:hAnsi="Calibri" w:cs="Times New Roman"/>
                <w:color w:val="000000"/>
              </w:rPr>
            </w:pPr>
          </w:p>
          <w:p w:rsidR="00D30DB1" w:rsidRPr="00FB4441" w:rsidRDefault="00D30DB1" w:rsidP="00D30DB1">
            <w:pPr>
              <w:spacing w:after="0" w:line="240" w:lineRule="auto"/>
              <w:jc w:val="both"/>
              <w:rPr>
                <w:rFonts w:ascii="Calibri" w:eastAsia="Times New Roman" w:hAnsi="Calibri" w:cs="Times New Roman"/>
                <w:color w:val="000000"/>
              </w:rPr>
            </w:pPr>
          </w:p>
          <w:p w:rsidR="002855CD" w:rsidRPr="00045526" w:rsidRDefault="002855CD" w:rsidP="00AA3F32">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7, 11, 14, 15 и 19</w:t>
            </w:r>
          </w:p>
        </w:tc>
        <w:tc>
          <w:tcPr>
            <w:tcW w:w="846" w:type="pct"/>
            <w:shd w:val="clear" w:color="auto" w:fill="auto"/>
          </w:tcPr>
          <w:p w:rsidR="00D30DB1" w:rsidRPr="00045526" w:rsidRDefault="00D30DB1" w:rsidP="00D30DB1">
            <w:pPr>
              <w:spacing w:after="0" w:line="240" w:lineRule="auto"/>
              <w:rPr>
                <w:rFonts w:ascii="Calibri" w:eastAsia="MS Mincho" w:hAnsi="Calibri" w:cs="Calibri"/>
                <w:color w:val="000000"/>
              </w:rPr>
            </w:pPr>
          </w:p>
          <w:p w:rsidR="00D30DB1" w:rsidRDefault="00D30DB1" w:rsidP="00D30DB1">
            <w:pPr>
              <w:spacing w:after="0" w:line="240" w:lineRule="auto"/>
              <w:rPr>
                <w:rFonts w:ascii="Calibri" w:eastAsia="MS Mincho" w:hAnsi="Calibri" w:cs="Calibri"/>
                <w:color w:val="000000"/>
              </w:rPr>
            </w:pPr>
          </w:p>
          <w:p w:rsidR="00690EA0" w:rsidRPr="00045526" w:rsidRDefault="005B77E4" w:rsidP="00D30DB1">
            <w:pPr>
              <w:spacing w:after="0" w:line="240" w:lineRule="auto"/>
              <w:rPr>
                <w:rFonts w:ascii="Calibri" w:eastAsia="MS Mincho" w:hAnsi="Calibri" w:cs="Calibri"/>
                <w:color w:val="000000"/>
              </w:rPr>
            </w:pPr>
            <w:r>
              <w:rPr>
                <w:rFonts w:ascii="Calibri" w:eastAsia="MS Mincho" w:hAnsi="Calibri" w:cs="Calibri"/>
                <w:color w:val="000000"/>
              </w:rPr>
              <w:lastRenderedPageBreak/>
              <w:t>57,2</w:t>
            </w:r>
          </w:p>
        </w:tc>
        <w:tc>
          <w:tcPr>
            <w:tcW w:w="689" w:type="pct"/>
            <w:shd w:val="clear" w:color="auto" w:fill="auto"/>
          </w:tcPr>
          <w:p w:rsidR="00D30DB1" w:rsidRPr="00045526" w:rsidRDefault="00D30DB1" w:rsidP="00D30DB1">
            <w:pPr>
              <w:spacing w:after="0" w:line="240" w:lineRule="auto"/>
              <w:rPr>
                <w:rFonts w:ascii="Calibri" w:eastAsia="MS Mincho" w:hAnsi="Calibri" w:cs="Calibri"/>
                <w:color w:val="000000"/>
              </w:rPr>
            </w:pPr>
          </w:p>
          <w:p w:rsidR="00D30DB1" w:rsidRDefault="00D30DB1" w:rsidP="00D30DB1">
            <w:pPr>
              <w:spacing w:after="0" w:line="240" w:lineRule="auto"/>
              <w:rPr>
                <w:rFonts w:ascii="Calibri" w:eastAsia="MS Mincho" w:hAnsi="Calibri" w:cs="Calibri"/>
                <w:color w:val="000000"/>
              </w:rPr>
            </w:pPr>
          </w:p>
          <w:p w:rsidR="005B77E4" w:rsidRPr="00045526" w:rsidRDefault="005B77E4" w:rsidP="00D30DB1">
            <w:pPr>
              <w:spacing w:after="0" w:line="240" w:lineRule="auto"/>
              <w:rPr>
                <w:rFonts w:ascii="Calibri" w:eastAsia="MS Mincho" w:hAnsi="Calibri" w:cs="Calibri"/>
                <w:color w:val="000000"/>
              </w:rPr>
            </w:pPr>
            <w:r>
              <w:rPr>
                <w:rFonts w:ascii="Calibri" w:eastAsia="MS Mincho" w:hAnsi="Calibri" w:cs="Calibri"/>
                <w:color w:val="000000"/>
              </w:rPr>
              <w:lastRenderedPageBreak/>
              <w:t>387,4</w:t>
            </w:r>
          </w:p>
        </w:tc>
        <w:tc>
          <w:tcPr>
            <w:tcW w:w="919" w:type="pct"/>
            <w:shd w:val="clear" w:color="auto" w:fill="auto"/>
          </w:tcPr>
          <w:p w:rsidR="00D30DB1" w:rsidRPr="00045526" w:rsidRDefault="00D30DB1" w:rsidP="00D30DB1">
            <w:pPr>
              <w:spacing w:after="0" w:line="240" w:lineRule="auto"/>
              <w:jc w:val="center"/>
              <w:rPr>
                <w:rFonts w:ascii="Calibri" w:eastAsia="MS Mincho" w:hAnsi="Calibri" w:cs="Angsana New"/>
                <w:color w:val="000000"/>
              </w:rPr>
            </w:pPr>
          </w:p>
          <w:p w:rsidR="00D30DB1" w:rsidRPr="00045526" w:rsidRDefault="00D30DB1" w:rsidP="00D30DB1">
            <w:pPr>
              <w:spacing w:after="0" w:line="240" w:lineRule="auto"/>
              <w:jc w:val="center"/>
              <w:rPr>
                <w:rFonts w:ascii="Calibri" w:eastAsia="MS Mincho" w:hAnsi="Calibri" w:cs="Angsana New"/>
                <w:color w:val="000000"/>
              </w:rPr>
            </w:pPr>
          </w:p>
          <w:p w:rsidR="00D30DB1" w:rsidRPr="00045526" w:rsidRDefault="00B9076F" w:rsidP="00D30DB1">
            <w:pPr>
              <w:spacing w:after="0" w:line="240" w:lineRule="auto"/>
              <w:jc w:val="center"/>
              <w:rPr>
                <w:rFonts w:ascii="Calibri" w:eastAsia="MS Mincho" w:hAnsi="Calibri" w:cs="Angsana New"/>
                <w:color w:val="000000"/>
              </w:rPr>
            </w:pPr>
            <w:r>
              <w:rPr>
                <w:rFonts w:ascii="Calibri" w:eastAsia="MS Mincho" w:hAnsi="Calibri" w:cs="Angsana New"/>
                <w:color w:val="000000"/>
              </w:rPr>
              <w:lastRenderedPageBreak/>
              <w:t>444,6</w:t>
            </w:r>
          </w:p>
          <w:p w:rsidR="00D30DB1" w:rsidRPr="00045526" w:rsidRDefault="00D30DB1" w:rsidP="00D30DB1">
            <w:pPr>
              <w:spacing w:after="0" w:line="240" w:lineRule="auto"/>
              <w:jc w:val="center"/>
              <w:rPr>
                <w:rFonts w:ascii="Calibri" w:eastAsia="MS Mincho" w:hAnsi="Calibri" w:cs="Angsana New"/>
                <w:color w:val="000000"/>
              </w:rPr>
            </w:pPr>
          </w:p>
        </w:tc>
      </w:tr>
      <w:tr w:rsidR="00D30DB1" w:rsidRPr="00D30DB1" w:rsidTr="008354E6">
        <w:trPr>
          <w:trHeight w:val="600"/>
        </w:trPr>
        <w:tc>
          <w:tcPr>
            <w:tcW w:w="1653" w:type="pct"/>
            <w:shd w:val="clear" w:color="auto" w:fill="auto"/>
          </w:tcPr>
          <w:p w:rsidR="00D30DB1" w:rsidRPr="00FB4441" w:rsidRDefault="002855CD"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Программа по устойчивым ландшафтам в засушливых районах</w:t>
            </w:r>
          </w:p>
        </w:tc>
        <w:tc>
          <w:tcPr>
            <w:tcW w:w="893" w:type="pct"/>
            <w:shd w:val="clear" w:color="auto" w:fill="auto"/>
            <w:hideMark/>
          </w:tcPr>
          <w:p w:rsidR="00D30DB1" w:rsidRPr="00045526" w:rsidRDefault="002855CD" w:rsidP="00AA3F32">
            <w:pPr>
              <w:spacing w:after="0" w:line="240" w:lineRule="auto"/>
              <w:rPr>
                <w:rFonts w:ascii="Calibri" w:eastAsia="Times New Roman" w:hAnsi="Calibri" w:cs="Times New Roman"/>
                <w:color w:val="000000"/>
              </w:rPr>
            </w:pPr>
            <w:r>
              <w:rPr>
                <w:rFonts w:ascii="Calibri" w:eastAsia="Times New Roman" w:hAnsi="Calibri" w:cs="Times New Roman"/>
                <w:color w:val="000000"/>
              </w:rPr>
              <w:t>7, 11, 14, 15 и 19</w:t>
            </w:r>
          </w:p>
          <w:p w:rsidR="00D30DB1" w:rsidRPr="00045526" w:rsidRDefault="00D30DB1" w:rsidP="00D30DB1">
            <w:pPr>
              <w:spacing w:after="0" w:line="240" w:lineRule="auto"/>
              <w:jc w:val="both"/>
              <w:rPr>
                <w:rFonts w:ascii="Calibri" w:eastAsia="Times New Roman" w:hAnsi="Calibri" w:cs="Times New Roman"/>
                <w:color w:val="000000"/>
              </w:rPr>
            </w:pPr>
          </w:p>
        </w:tc>
        <w:tc>
          <w:tcPr>
            <w:tcW w:w="846" w:type="pct"/>
            <w:shd w:val="clear" w:color="auto" w:fill="auto"/>
          </w:tcPr>
          <w:p w:rsidR="00D30DB1" w:rsidRPr="00045526" w:rsidRDefault="00BE6B75" w:rsidP="00D30DB1">
            <w:pPr>
              <w:spacing w:after="0" w:line="240" w:lineRule="auto"/>
              <w:rPr>
                <w:rFonts w:ascii="Calibri" w:eastAsia="MS Mincho" w:hAnsi="Calibri" w:cs="Calibri"/>
                <w:color w:val="000000"/>
              </w:rPr>
            </w:pPr>
            <w:r>
              <w:rPr>
                <w:rFonts w:ascii="Calibri" w:eastAsia="MS Mincho" w:hAnsi="Calibri" w:cs="Calibri"/>
                <w:color w:val="000000"/>
              </w:rPr>
              <w:t>95,8</w:t>
            </w:r>
          </w:p>
          <w:p w:rsidR="00D30DB1" w:rsidRPr="00045526" w:rsidRDefault="00D30DB1" w:rsidP="00D30DB1">
            <w:pPr>
              <w:spacing w:after="0" w:line="240" w:lineRule="auto"/>
              <w:rPr>
                <w:rFonts w:ascii="Calibri" w:eastAsia="MS Mincho" w:hAnsi="Calibri" w:cs="Calibri"/>
                <w:color w:val="000000"/>
              </w:rPr>
            </w:pPr>
          </w:p>
        </w:tc>
        <w:tc>
          <w:tcPr>
            <w:tcW w:w="689" w:type="pct"/>
            <w:shd w:val="clear" w:color="auto" w:fill="auto"/>
          </w:tcPr>
          <w:p w:rsidR="00D30DB1" w:rsidRPr="00045526" w:rsidRDefault="00BE6B75" w:rsidP="00D30DB1">
            <w:pPr>
              <w:spacing w:after="0" w:line="240" w:lineRule="auto"/>
              <w:rPr>
                <w:rFonts w:ascii="Calibri" w:eastAsia="MS Mincho" w:hAnsi="Calibri" w:cs="Calibri"/>
                <w:color w:val="000000"/>
              </w:rPr>
            </w:pPr>
            <w:r>
              <w:rPr>
                <w:rFonts w:ascii="Calibri" w:eastAsia="MS Mincho" w:hAnsi="Calibri" w:cs="Calibri"/>
                <w:color w:val="000000"/>
              </w:rPr>
              <w:t>809,1</w:t>
            </w:r>
          </w:p>
          <w:p w:rsidR="00D30DB1" w:rsidRPr="00045526" w:rsidRDefault="00D30DB1" w:rsidP="00D30DB1">
            <w:pPr>
              <w:spacing w:after="0" w:line="240" w:lineRule="auto"/>
              <w:rPr>
                <w:rFonts w:ascii="Calibri" w:eastAsia="MS Mincho" w:hAnsi="Calibri" w:cs="Calibri"/>
                <w:color w:val="000000"/>
              </w:rPr>
            </w:pPr>
          </w:p>
        </w:tc>
        <w:tc>
          <w:tcPr>
            <w:tcW w:w="919" w:type="pct"/>
            <w:shd w:val="clear" w:color="auto" w:fill="auto"/>
          </w:tcPr>
          <w:p w:rsidR="00D30DB1" w:rsidRPr="00045526" w:rsidRDefault="00BE6B75" w:rsidP="00D30DB1">
            <w:pPr>
              <w:spacing w:after="0" w:line="240" w:lineRule="auto"/>
              <w:jc w:val="center"/>
              <w:rPr>
                <w:rFonts w:ascii="Calibri" w:eastAsia="MS Mincho" w:hAnsi="Calibri" w:cs="Angsana New"/>
                <w:color w:val="000000"/>
              </w:rPr>
            </w:pPr>
            <w:r>
              <w:rPr>
                <w:rFonts w:ascii="Calibri" w:eastAsia="MS Mincho" w:hAnsi="Calibri" w:cs="Angsana New"/>
                <w:color w:val="000000"/>
              </w:rPr>
              <w:t>904,9</w:t>
            </w:r>
          </w:p>
          <w:p w:rsidR="00D30DB1" w:rsidRPr="00045526" w:rsidRDefault="00D30DB1" w:rsidP="00D30DB1">
            <w:pPr>
              <w:spacing w:after="0" w:line="240" w:lineRule="auto"/>
              <w:jc w:val="center"/>
              <w:rPr>
                <w:rFonts w:ascii="Calibri" w:eastAsia="MS Mincho" w:hAnsi="Calibri" w:cs="Angsana New"/>
                <w:color w:val="000000"/>
              </w:rPr>
            </w:pPr>
          </w:p>
          <w:p w:rsidR="00D30DB1" w:rsidRPr="00045526" w:rsidRDefault="00D30DB1" w:rsidP="00D30DB1">
            <w:pPr>
              <w:spacing w:after="0" w:line="240" w:lineRule="auto"/>
              <w:jc w:val="center"/>
              <w:rPr>
                <w:rFonts w:ascii="Calibri" w:eastAsia="MS Mincho" w:hAnsi="Calibri" w:cs="Angsana New"/>
                <w:color w:val="000000"/>
              </w:rPr>
            </w:pPr>
          </w:p>
          <w:p w:rsidR="00D30DB1" w:rsidRPr="00045526" w:rsidRDefault="00D30DB1" w:rsidP="00D30DB1">
            <w:pPr>
              <w:spacing w:after="0" w:line="240" w:lineRule="auto"/>
              <w:jc w:val="center"/>
              <w:rPr>
                <w:rFonts w:ascii="Calibri" w:eastAsia="MS Mincho" w:hAnsi="Calibri" w:cs="Angsana New"/>
                <w:color w:val="000000"/>
              </w:rPr>
            </w:pPr>
          </w:p>
        </w:tc>
      </w:tr>
      <w:tr w:rsidR="00D30DB1" w:rsidRPr="00D30DB1" w:rsidTr="008354E6">
        <w:trPr>
          <w:trHeight w:val="292"/>
        </w:trPr>
        <w:tc>
          <w:tcPr>
            <w:tcW w:w="1653" w:type="pct"/>
            <w:shd w:val="clear" w:color="auto" w:fill="auto"/>
          </w:tcPr>
          <w:p w:rsidR="00D30DB1" w:rsidRPr="00045526" w:rsidRDefault="00D30DB1" w:rsidP="00D30DB1">
            <w:pPr>
              <w:spacing w:after="0" w:line="240" w:lineRule="auto"/>
              <w:rPr>
                <w:rFonts w:ascii="Calibri" w:eastAsia="Times New Roman" w:hAnsi="Calibri" w:cs="Times New Roman"/>
                <w:b/>
                <w:color w:val="000000"/>
              </w:rPr>
            </w:pPr>
          </w:p>
          <w:p w:rsidR="00D30DB1" w:rsidRPr="00045526" w:rsidRDefault="00D30DB1" w:rsidP="00D30DB1">
            <w:pPr>
              <w:spacing w:after="0" w:line="240" w:lineRule="auto"/>
              <w:rPr>
                <w:rFonts w:ascii="Calibri" w:eastAsia="Times New Roman" w:hAnsi="Calibri" w:cs="Times New Roman"/>
                <w:b/>
                <w:color w:val="000000"/>
              </w:rPr>
            </w:pPr>
            <w:r>
              <w:rPr>
                <w:rFonts w:ascii="Calibri" w:eastAsia="Times New Roman" w:hAnsi="Calibri" w:cs="Times New Roman"/>
                <w:b/>
                <w:bCs/>
                <w:color w:val="000000"/>
              </w:rPr>
              <w:t>Всего</w:t>
            </w:r>
          </w:p>
        </w:tc>
        <w:tc>
          <w:tcPr>
            <w:tcW w:w="893" w:type="pct"/>
            <w:shd w:val="clear" w:color="auto" w:fill="auto"/>
          </w:tcPr>
          <w:p w:rsidR="00D30DB1" w:rsidRPr="00045526" w:rsidRDefault="00D30DB1" w:rsidP="00D30DB1">
            <w:pPr>
              <w:spacing w:after="0" w:line="240" w:lineRule="auto"/>
              <w:rPr>
                <w:rFonts w:ascii="Calibri" w:eastAsia="Times New Roman" w:hAnsi="Calibri" w:cs="Times New Roman"/>
                <w:b/>
                <w:color w:val="000000"/>
              </w:rPr>
            </w:pPr>
          </w:p>
        </w:tc>
        <w:tc>
          <w:tcPr>
            <w:tcW w:w="846" w:type="pct"/>
            <w:shd w:val="clear" w:color="auto" w:fill="auto"/>
          </w:tcPr>
          <w:p w:rsidR="00D30DB1" w:rsidRDefault="00D30DB1" w:rsidP="00D30DB1">
            <w:pPr>
              <w:spacing w:after="0" w:line="240" w:lineRule="auto"/>
              <w:rPr>
                <w:rFonts w:ascii="Calibri" w:eastAsia="MS Mincho" w:hAnsi="Calibri" w:cs="Calibri"/>
                <w:b/>
                <w:bCs/>
                <w:color w:val="000000"/>
              </w:rPr>
            </w:pPr>
          </w:p>
          <w:p w:rsidR="00BE6B75" w:rsidRPr="00045526" w:rsidRDefault="001915B0" w:rsidP="00D30DB1">
            <w:pPr>
              <w:spacing w:after="0" w:line="240" w:lineRule="auto"/>
              <w:rPr>
                <w:rFonts w:ascii="Calibri" w:eastAsia="MS Mincho" w:hAnsi="Calibri" w:cs="Calibri"/>
                <w:b/>
                <w:bCs/>
                <w:color w:val="000000"/>
              </w:rPr>
            </w:pPr>
            <w:r>
              <w:rPr>
                <w:rFonts w:ascii="Calibri" w:eastAsia="MS Mincho" w:hAnsi="Calibri" w:cs="Calibri"/>
                <w:b/>
                <w:bCs/>
                <w:color w:val="000000"/>
              </w:rPr>
              <w:t>241,3</w:t>
            </w:r>
          </w:p>
        </w:tc>
        <w:tc>
          <w:tcPr>
            <w:tcW w:w="689" w:type="pct"/>
            <w:shd w:val="clear" w:color="auto" w:fill="auto"/>
          </w:tcPr>
          <w:p w:rsidR="00D30DB1" w:rsidRDefault="00D30DB1" w:rsidP="00D30DB1">
            <w:pPr>
              <w:spacing w:after="0" w:line="240" w:lineRule="auto"/>
              <w:rPr>
                <w:rFonts w:ascii="Calibri" w:eastAsia="MS Mincho" w:hAnsi="Calibri" w:cs="Calibri"/>
                <w:b/>
                <w:bCs/>
                <w:color w:val="000000"/>
              </w:rPr>
            </w:pPr>
          </w:p>
          <w:p w:rsidR="001915B0" w:rsidRPr="00045526" w:rsidRDefault="00014557" w:rsidP="00D30DB1">
            <w:pPr>
              <w:spacing w:after="0" w:line="240" w:lineRule="auto"/>
              <w:rPr>
                <w:rFonts w:ascii="Calibri" w:eastAsia="MS Mincho" w:hAnsi="Calibri" w:cs="Calibri"/>
                <w:b/>
                <w:bCs/>
                <w:color w:val="000000"/>
              </w:rPr>
            </w:pPr>
            <w:r>
              <w:rPr>
                <w:rFonts w:ascii="Calibri" w:eastAsia="MS Mincho" w:hAnsi="Calibri" w:cs="Calibri"/>
                <w:b/>
                <w:bCs/>
                <w:color w:val="000000"/>
              </w:rPr>
              <w:t>1706</w:t>
            </w:r>
          </w:p>
        </w:tc>
        <w:tc>
          <w:tcPr>
            <w:tcW w:w="919" w:type="pct"/>
            <w:shd w:val="clear" w:color="auto" w:fill="auto"/>
          </w:tcPr>
          <w:p w:rsidR="00D30DB1" w:rsidRDefault="00D30DB1" w:rsidP="00D30DB1">
            <w:pPr>
              <w:spacing w:after="0" w:line="240" w:lineRule="auto"/>
              <w:jc w:val="center"/>
              <w:rPr>
                <w:rFonts w:ascii="Calibri" w:eastAsia="MS Mincho" w:hAnsi="Calibri" w:cs="Angsana New"/>
                <w:b/>
                <w:color w:val="000000"/>
              </w:rPr>
            </w:pPr>
          </w:p>
          <w:p w:rsidR="00014557" w:rsidRPr="00045526" w:rsidRDefault="009342E3" w:rsidP="00D30DB1">
            <w:pPr>
              <w:spacing w:after="0" w:line="240" w:lineRule="auto"/>
              <w:jc w:val="center"/>
              <w:rPr>
                <w:rFonts w:ascii="Calibri" w:eastAsia="MS Mincho" w:hAnsi="Calibri" w:cs="Angsana New"/>
                <w:b/>
                <w:color w:val="000000"/>
              </w:rPr>
            </w:pPr>
            <w:r>
              <w:rPr>
                <w:rFonts w:ascii="Calibri" w:eastAsia="MS Mincho" w:hAnsi="Calibri" w:cs="Angsana New"/>
                <w:b/>
                <w:bCs/>
                <w:color w:val="000000"/>
              </w:rPr>
              <w:t>1947,3</w:t>
            </w:r>
          </w:p>
        </w:tc>
      </w:tr>
      <w:bookmarkEnd w:id="33"/>
    </w:tbl>
    <w:p w:rsidR="00B44248" w:rsidRDefault="00B44248" w:rsidP="00D30DB1">
      <w:pPr>
        <w:spacing w:before="120" w:after="120" w:line="240" w:lineRule="auto"/>
        <w:rPr>
          <w:rFonts w:ascii="Calibri" w:eastAsia="MS Mincho" w:hAnsi="Calibri" w:cs="Times New Roman"/>
          <w:b/>
          <w:snapToGrid w:val="0"/>
          <w:sz w:val="24"/>
          <w:szCs w:val="24"/>
          <w:u w:val="single"/>
        </w:rPr>
      </w:pPr>
    </w:p>
    <w:p w:rsidR="00D30DB1" w:rsidRPr="003E3CE1" w:rsidRDefault="00F128C1" w:rsidP="00105FB1">
      <w:pPr>
        <w:pStyle w:val="3"/>
        <w:rPr>
          <w:snapToGrid w:val="0"/>
        </w:rPr>
      </w:pPr>
      <w:bookmarkStart w:id="34" w:name="_Toc32494924"/>
      <w:r>
        <w:rPr>
          <w:iCs/>
          <w:snapToGrid w:val="0"/>
        </w:rPr>
        <w:t>Устойчивое развитие городов</w:t>
      </w:r>
      <w:bookmarkEnd w:id="34"/>
    </w:p>
    <w:p w:rsidR="002F1986" w:rsidRPr="00FB4441" w:rsidRDefault="00E20255"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Программа широкого воздействия «Устойчивое развитие городов» опирается на опыт реализации в период ГЭФ-6 комплексного экспериментального подхода к устойчивому управлению городами. Основной упор программы остался прежним, а именно – содействовать становлению устойчивого и комплексного городского планирования путем развития политических и финансовых условий, чтобы активнее применять инновационные подходы в совершенствовании городской инфраструктуры, а также перестроить работу городов на всех уровнях в интересах всех заинтересованных сторон. Программа широкого воздействия</w:t>
      </w:r>
      <w:bookmarkStart w:id="35" w:name="_Hlk507406357"/>
      <w:r>
        <w:rPr>
          <w:rFonts w:ascii="Calibri" w:eastAsia="MS Mincho" w:hAnsi="Calibri" w:cs="Times New Roman"/>
          <w:snapToGrid w:val="0"/>
          <w:sz w:val="24"/>
          <w:szCs w:val="24"/>
        </w:rPr>
        <w:t xml:space="preserve"> способствует развитию устойчивого городского планирования за счет применения комплексных пространственных решений в области энергетики, строительства зданий, транспорта, городских продовольственных систем, обращения с муниципальными твердыми отходами и сточными водами и использования зеленых пространств и инфраструктуры.</w:t>
      </w:r>
      <w:bookmarkEnd w:id="35"/>
    </w:p>
    <w:p w:rsidR="00E31E70" w:rsidRPr="00FB4441" w:rsidRDefault="00E20255"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 xml:space="preserve">Результаты программы будут достигнуты за счет двух взаимосвязанных компонентов: а) продвижение инновационных </w:t>
      </w:r>
      <w:proofErr w:type="spellStart"/>
      <w:r>
        <w:rPr>
          <w:rFonts w:ascii="Calibri" w:eastAsia="MS Mincho" w:hAnsi="Calibri" w:cs="Times New Roman"/>
          <w:snapToGrid w:val="0"/>
          <w:sz w:val="24"/>
          <w:szCs w:val="24"/>
        </w:rPr>
        <w:t>бизнес-моделей</w:t>
      </w:r>
      <w:proofErr w:type="spellEnd"/>
      <w:r>
        <w:rPr>
          <w:rFonts w:ascii="Calibri" w:eastAsia="MS Mincho" w:hAnsi="Calibri" w:cs="Times New Roman"/>
          <w:snapToGrid w:val="0"/>
          <w:sz w:val="24"/>
          <w:szCs w:val="24"/>
        </w:rPr>
        <w:t xml:space="preserve"> для принятия комплексных решений и инвестиций на уровне города и </w:t>
      </w:r>
      <w:proofErr w:type="spellStart"/>
      <w:r>
        <w:rPr>
          <w:rFonts w:ascii="Calibri" w:eastAsia="MS Mincho" w:hAnsi="Calibri" w:cs="Times New Roman"/>
          <w:snapToGrid w:val="0"/>
          <w:sz w:val="24"/>
          <w:szCs w:val="24"/>
        </w:rPr>
        <w:t>b</w:t>
      </w:r>
      <w:proofErr w:type="spellEnd"/>
      <w:r>
        <w:rPr>
          <w:rFonts w:ascii="Calibri" w:eastAsia="MS Mincho" w:hAnsi="Calibri" w:cs="Times New Roman"/>
          <w:snapToGrid w:val="0"/>
          <w:sz w:val="24"/>
          <w:szCs w:val="24"/>
        </w:rPr>
        <w:t>) укрепление процесса обмена знаниями по устойчивому планированию городов и инвестированию. Программа принесет многочисленные экологические выгоды в глобальном масштабе за счет декарбонизации, сокращения деградации земель и ликвидации опасных химических веществ.</w:t>
      </w:r>
      <w:r w:rsidR="00776E86">
        <w:rPr>
          <w:rFonts w:ascii="Calibri" w:eastAsia="MS Mincho" w:hAnsi="Calibri" w:cs="Times New Roman"/>
          <w:snapToGrid w:val="0"/>
          <w:sz w:val="24"/>
          <w:szCs w:val="24"/>
        </w:rPr>
        <w:t xml:space="preserve"> </w:t>
      </w:r>
      <w:r>
        <w:rPr>
          <w:rFonts w:ascii="Calibri" w:eastAsia="MS Mincho" w:hAnsi="Calibri" w:cs="Times New Roman"/>
          <w:snapToGrid w:val="0"/>
          <w:sz w:val="24"/>
          <w:szCs w:val="24"/>
        </w:rPr>
        <w:t>Что касается КБР, то направленность программы на научно обоснованное пространственное планирование принесет наиболее значимые выгоды в сохранении биоразнообразия.</w:t>
      </w:r>
    </w:p>
    <w:p w:rsidR="00E31E70" w:rsidRPr="00644CCA" w:rsidRDefault="00BF0E96"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776E86">
        <w:rPr>
          <w:rFonts w:ascii="Calibri" w:eastAsia="MS Mincho" w:hAnsi="Calibri" w:cs="Times New Roman"/>
          <w:snapToGrid w:val="0"/>
          <w:sz w:val="24"/>
          <w:szCs w:val="24"/>
        </w:rPr>
        <w:t>Ниже, в таблице 8, представлен вклад программы ГЭФ широкого воздействия «Устойчивое развитие городов» в выполнение Айтинских целевых задач в области биоразнообразия, в соответствии с приоритетами стран.</w:t>
      </w:r>
      <w:r w:rsidR="00776E86" w:rsidRPr="00776E86">
        <w:rPr>
          <w:rFonts w:ascii="Calibri" w:eastAsia="MS Mincho" w:hAnsi="Calibri" w:cs="Times New Roman"/>
          <w:snapToGrid w:val="0"/>
          <w:sz w:val="24"/>
          <w:szCs w:val="24"/>
        </w:rPr>
        <w:t xml:space="preserve"> </w:t>
      </w:r>
      <w:r w:rsidRPr="00776E86">
        <w:rPr>
          <w:rFonts w:ascii="Calibri" w:eastAsia="MS Mincho" w:hAnsi="Calibri" w:cs="Times New Roman"/>
          <w:snapToGrid w:val="0"/>
          <w:sz w:val="24"/>
          <w:szCs w:val="24"/>
        </w:rPr>
        <w:t>Проектное финансирование ГЭФ на программу широкого воздействия «Устойчивое развитие городов» составило</w:t>
      </w:r>
      <w:r w:rsidR="00776E86">
        <w:rPr>
          <w:rFonts w:ascii="Calibri" w:eastAsia="MS Mincho" w:hAnsi="Calibri" w:cs="Times New Roman"/>
          <w:snapToGrid w:val="0"/>
          <w:sz w:val="24"/>
          <w:szCs w:val="24"/>
        </w:rPr>
        <w:t xml:space="preserve"> </w:t>
      </w:r>
      <w:r w:rsidRPr="00776E86">
        <w:rPr>
          <w:rFonts w:ascii="Calibri" w:eastAsia="MS Mincho" w:hAnsi="Calibri" w:cs="Times New Roman"/>
          <w:snapToGrid w:val="0"/>
          <w:sz w:val="24"/>
          <w:szCs w:val="24"/>
        </w:rPr>
        <w:t xml:space="preserve">146,7 млн долл. </w:t>
      </w:r>
      <w:r w:rsidRPr="00644CCA">
        <w:rPr>
          <w:rFonts w:ascii="Calibri" w:eastAsia="MS Mincho" w:hAnsi="Calibri" w:cs="Times New Roman"/>
          <w:snapToGrid w:val="0"/>
          <w:sz w:val="24"/>
          <w:szCs w:val="24"/>
        </w:rPr>
        <w:t>США, из которых 33,3 млн долл. поступило из средств, выделенных на целевую область сохранения биоразнообразия по СПРР.</w:t>
      </w:r>
    </w:p>
    <w:p w:rsidR="00D30DB1" w:rsidRPr="00644CCA" w:rsidRDefault="00D30DB1" w:rsidP="00D722AE">
      <w:pPr>
        <w:spacing w:before="240" w:after="240" w:line="240" w:lineRule="auto"/>
        <w:jc w:val="center"/>
        <w:rPr>
          <w:rFonts w:ascii="Calibri" w:eastAsia="MS Mincho" w:hAnsi="Calibri" w:cs="Times New Roman"/>
          <w:b/>
          <w:snapToGrid w:val="0"/>
          <w:sz w:val="24"/>
          <w:szCs w:val="24"/>
        </w:rPr>
      </w:pPr>
      <w:r w:rsidRPr="00644CCA">
        <w:rPr>
          <w:rFonts w:ascii="Calibri" w:eastAsia="MS Mincho" w:hAnsi="Calibri" w:cs="Times New Roman"/>
          <w:b/>
          <w:snapToGrid w:val="0"/>
          <w:sz w:val="24"/>
          <w:szCs w:val="24"/>
        </w:rPr>
        <w:lastRenderedPageBreak/>
        <w:t>Таблица 8. Распределение совокупных средств ГЭФ-7 по программе широкого воздействия «Устойчивое развитие городов» и вкладу в выполнение Айтинских целевых задач в области биоразнообразия (1 июля 2018 г. - 31 декабря 2019 г.)</w:t>
      </w:r>
      <w:r w:rsidRPr="00956B1B">
        <w:rPr>
          <w:rFonts w:ascii="Calibri" w:eastAsia="MS Mincho" w:hAnsi="Calibri" w:cs="Times New Roman"/>
          <w:snapToGrid w:val="0"/>
          <w:sz w:val="24"/>
          <w:szCs w:val="24"/>
          <w:vertAlign w:val="superscript"/>
          <w:lang w:val="en-GB"/>
        </w:rPr>
        <w:footnoteReference w:id="13"/>
      </w:r>
    </w:p>
    <w:tbl>
      <w:tblPr>
        <w:tblW w:w="4997" w:type="pct"/>
        <w:tblBorders>
          <w:top w:val="single" w:sz="12" w:space="0" w:color="008000"/>
          <w:bottom w:val="single" w:sz="12" w:space="0" w:color="008000"/>
        </w:tblBorders>
        <w:tblLook w:val="04A0"/>
      </w:tblPr>
      <w:tblGrid>
        <w:gridCol w:w="2252"/>
        <w:gridCol w:w="1921"/>
        <w:gridCol w:w="1858"/>
        <w:gridCol w:w="2092"/>
        <w:gridCol w:w="1447"/>
      </w:tblGrid>
      <w:tr w:rsidR="00D30DB1" w:rsidRPr="00FB4441" w:rsidTr="008354E6">
        <w:trPr>
          <w:trHeight w:val="570"/>
        </w:trPr>
        <w:tc>
          <w:tcPr>
            <w:tcW w:w="1277" w:type="pct"/>
            <w:tcBorders>
              <w:bottom w:val="single" w:sz="6" w:space="0" w:color="008000"/>
            </w:tcBorders>
            <w:shd w:val="clear" w:color="auto" w:fill="auto"/>
            <w:hideMark/>
          </w:tcPr>
          <w:p w:rsidR="00D30DB1" w:rsidRPr="00FB4441" w:rsidRDefault="00D30DB1" w:rsidP="00D30DB1">
            <w:pPr>
              <w:spacing w:after="0" w:line="240" w:lineRule="auto"/>
              <w:rPr>
                <w:rFonts w:ascii="Calibri" w:eastAsia="Times New Roman" w:hAnsi="Calibri" w:cs="Times New Roman"/>
                <w:b/>
                <w:bCs/>
                <w:color w:val="000000"/>
              </w:rPr>
            </w:pPr>
          </w:p>
        </w:tc>
        <w:tc>
          <w:tcPr>
            <w:tcW w:w="877" w:type="pct"/>
            <w:tcBorders>
              <w:bottom w:val="single" w:sz="6" w:space="0" w:color="008000"/>
            </w:tcBorders>
            <w:shd w:val="clear" w:color="auto" w:fill="auto"/>
            <w:hideMark/>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Айтинские целевые задачи в области биоразнообразия</w:t>
            </w:r>
          </w:p>
        </w:tc>
        <w:tc>
          <w:tcPr>
            <w:tcW w:w="1008" w:type="pct"/>
            <w:tcBorders>
              <w:bottom w:val="single" w:sz="6" w:space="0" w:color="008000"/>
            </w:tcBorders>
            <w:shd w:val="clear" w:color="auto" w:fill="auto"/>
          </w:tcPr>
          <w:p w:rsidR="00D30DB1" w:rsidRPr="00D30DB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Проектное финансирование ГЭФ</w:t>
            </w:r>
            <w:r>
              <w:rPr>
                <w:rFonts w:ascii="Calibri" w:eastAsia="Times New Roman" w:hAnsi="Calibri" w:cs="Times New Roman"/>
                <w:color w:val="000000"/>
              </w:rPr>
              <w:br/>
            </w:r>
            <w:r>
              <w:rPr>
                <w:rFonts w:ascii="Calibri" w:eastAsia="Times New Roman" w:hAnsi="Calibri" w:cs="Times New Roman"/>
                <w:b/>
                <w:bCs/>
                <w:color w:val="000000"/>
              </w:rPr>
              <w:t>(млн долл. США)</w:t>
            </w:r>
          </w:p>
        </w:tc>
        <w:tc>
          <w:tcPr>
            <w:tcW w:w="919" w:type="pct"/>
            <w:tcBorders>
              <w:bottom w:val="single" w:sz="6" w:space="0" w:color="008000"/>
            </w:tcBorders>
            <w:shd w:val="clear" w:color="auto" w:fill="auto"/>
            <w:hideMark/>
          </w:tcPr>
          <w:p w:rsidR="00D30DB1" w:rsidRPr="00D30DB1" w:rsidRDefault="002D582B"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Софинансирование</w:t>
            </w:r>
          </w:p>
          <w:p w:rsidR="00D30DB1" w:rsidRPr="00D30DB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(млн долл. США)</w:t>
            </w:r>
          </w:p>
        </w:tc>
        <w:tc>
          <w:tcPr>
            <w:tcW w:w="919" w:type="pct"/>
            <w:tcBorders>
              <w:bottom w:val="single" w:sz="6" w:space="0" w:color="008000"/>
            </w:tcBorders>
            <w:shd w:val="clear" w:color="auto" w:fill="auto"/>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Всего ресурсы (млн долл. США)</w:t>
            </w:r>
          </w:p>
        </w:tc>
      </w:tr>
      <w:tr w:rsidR="00D30DB1" w:rsidRPr="00D30DB1" w:rsidTr="007E409E">
        <w:trPr>
          <w:trHeight w:val="786"/>
        </w:trPr>
        <w:tc>
          <w:tcPr>
            <w:tcW w:w="1277" w:type="pct"/>
            <w:shd w:val="clear" w:color="auto" w:fill="auto"/>
          </w:tcPr>
          <w:p w:rsidR="00D30DB1" w:rsidRPr="00FB4441" w:rsidRDefault="00FB00DA" w:rsidP="00D30DB1">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Программа широкого воздействия «Устойчивое развитие городов»</w:t>
            </w:r>
          </w:p>
          <w:p w:rsidR="00D30DB1" w:rsidRPr="00FB4441" w:rsidRDefault="00D30DB1" w:rsidP="00D30DB1">
            <w:pPr>
              <w:spacing w:after="0" w:line="240" w:lineRule="auto"/>
              <w:rPr>
                <w:rFonts w:ascii="Calibri" w:eastAsia="Times New Roman" w:hAnsi="Calibri" w:cs="Times New Roman"/>
                <w:color w:val="000000"/>
              </w:rPr>
            </w:pPr>
          </w:p>
        </w:tc>
        <w:tc>
          <w:tcPr>
            <w:tcW w:w="877" w:type="pct"/>
            <w:shd w:val="clear" w:color="auto" w:fill="auto"/>
            <w:hideMark/>
          </w:tcPr>
          <w:p w:rsidR="00D30DB1" w:rsidRPr="00FB4441" w:rsidRDefault="00D30DB1" w:rsidP="00D30DB1">
            <w:pPr>
              <w:spacing w:after="0" w:line="240" w:lineRule="auto"/>
              <w:rPr>
                <w:rFonts w:ascii="Calibri" w:eastAsia="Times New Roman" w:hAnsi="Calibri" w:cs="Times New Roman"/>
                <w:color w:val="000000"/>
              </w:rPr>
            </w:pPr>
          </w:p>
          <w:p w:rsidR="00D30DB1" w:rsidRPr="00D30DB1" w:rsidRDefault="002E7804"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2, 14, 15</w:t>
            </w:r>
          </w:p>
        </w:tc>
        <w:tc>
          <w:tcPr>
            <w:tcW w:w="1008" w:type="pct"/>
            <w:tcBorders>
              <w:top w:val="nil"/>
              <w:left w:val="nil"/>
              <w:bottom w:val="single" w:sz="12" w:space="0" w:color="008000"/>
              <w:right w:val="nil"/>
            </w:tcBorders>
          </w:tcPr>
          <w:p w:rsidR="00D30DB1" w:rsidRPr="00D30DB1" w:rsidRDefault="00D30DB1" w:rsidP="00D30DB1">
            <w:pPr>
              <w:spacing w:after="0" w:line="240" w:lineRule="auto"/>
              <w:jc w:val="center"/>
              <w:rPr>
                <w:rFonts w:ascii="Calibri" w:eastAsia="MS Mincho" w:hAnsi="Calibri" w:cs="Calibri"/>
                <w:color w:val="000000"/>
              </w:rPr>
            </w:pPr>
          </w:p>
          <w:p w:rsidR="00D30DB1" w:rsidRPr="00D30DB1" w:rsidRDefault="00246E65" w:rsidP="0057704D">
            <w:pPr>
              <w:spacing w:after="0" w:line="240" w:lineRule="auto"/>
              <w:rPr>
                <w:rFonts w:ascii="Calibri" w:eastAsia="MS Mincho" w:hAnsi="Calibri" w:cs="Calibri"/>
                <w:color w:val="000000"/>
              </w:rPr>
            </w:pPr>
            <w:r>
              <w:rPr>
                <w:rFonts w:ascii="Calibri" w:eastAsia="MS Mincho" w:hAnsi="Calibri" w:cs="Calibri"/>
                <w:color w:val="000000"/>
              </w:rPr>
              <w:t>146,7</w:t>
            </w:r>
          </w:p>
        </w:tc>
        <w:tc>
          <w:tcPr>
            <w:tcW w:w="919" w:type="pct"/>
            <w:tcBorders>
              <w:top w:val="nil"/>
              <w:left w:val="nil"/>
              <w:bottom w:val="single" w:sz="12" w:space="0" w:color="008000"/>
              <w:right w:val="nil"/>
            </w:tcBorders>
          </w:tcPr>
          <w:p w:rsidR="00D30DB1" w:rsidRPr="00D30DB1" w:rsidRDefault="00D30DB1" w:rsidP="00D30DB1">
            <w:pPr>
              <w:spacing w:after="0" w:line="240" w:lineRule="auto"/>
              <w:jc w:val="center"/>
              <w:rPr>
                <w:rFonts w:ascii="Calibri" w:eastAsia="MS Mincho" w:hAnsi="Calibri" w:cs="Calibri"/>
                <w:color w:val="000000"/>
              </w:rPr>
            </w:pPr>
          </w:p>
          <w:p w:rsidR="00D30DB1" w:rsidRDefault="00246E65" w:rsidP="0057704D">
            <w:pPr>
              <w:spacing w:after="0" w:line="240" w:lineRule="auto"/>
              <w:rPr>
                <w:rFonts w:ascii="Calibri" w:eastAsia="MS Mincho" w:hAnsi="Calibri" w:cs="Calibri"/>
                <w:color w:val="000000"/>
              </w:rPr>
            </w:pPr>
            <w:r>
              <w:rPr>
                <w:rFonts w:ascii="Calibri" w:eastAsia="MS Mincho" w:hAnsi="Calibri" w:cs="Calibri"/>
                <w:color w:val="000000"/>
              </w:rPr>
              <w:t>1689,8</w:t>
            </w:r>
          </w:p>
          <w:p w:rsidR="00246E65" w:rsidRPr="00D30DB1" w:rsidRDefault="00246E65" w:rsidP="00D30DB1">
            <w:pPr>
              <w:spacing w:after="0" w:line="240" w:lineRule="auto"/>
              <w:jc w:val="center"/>
              <w:rPr>
                <w:rFonts w:ascii="Calibri" w:eastAsia="MS Mincho" w:hAnsi="Calibri" w:cs="Calibri"/>
                <w:color w:val="000000"/>
              </w:rPr>
            </w:pPr>
          </w:p>
        </w:tc>
        <w:tc>
          <w:tcPr>
            <w:tcW w:w="919" w:type="pct"/>
            <w:tcBorders>
              <w:top w:val="nil"/>
              <w:left w:val="nil"/>
              <w:bottom w:val="single" w:sz="12" w:space="0" w:color="008000"/>
              <w:right w:val="nil"/>
            </w:tcBorders>
          </w:tcPr>
          <w:p w:rsidR="00D30DB1" w:rsidRDefault="00D30DB1" w:rsidP="00FB00DA">
            <w:pPr>
              <w:spacing w:after="0" w:line="240" w:lineRule="auto"/>
              <w:rPr>
                <w:rFonts w:ascii="Calibri" w:eastAsia="MS Mincho" w:hAnsi="Calibri" w:cs="Calibri"/>
                <w:color w:val="000000"/>
              </w:rPr>
            </w:pPr>
          </w:p>
          <w:p w:rsidR="00246E65" w:rsidRPr="00D30DB1" w:rsidRDefault="00FD132F" w:rsidP="00FB00DA">
            <w:pPr>
              <w:spacing w:after="0" w:line="240" w:lineRule="auto"/>
              <w:rPr>
                <w:rFonts w:ascii="Calibri" w:eastAsia="MS Mincho" w:hAnsi="Calibri" w:cs="Calibri"/>
                <w:color w:val="000000"/>
              </w:rPr>
            </w:pPr>
            <w:r>
              <w:rPr>
                <w:rFonts w:ascii="Calibri" w:eastAsia="MS Mincho" w:hAnsi="Calibri" w:cs="Calibri"/>
                <w:color w:val="000000"/>
              </w:rPr>
              <w:t>1836,5</w:t>
            </w:r>
          </w:p>
        </w:tc>
      </w:tr>
    </w:tbl>
    <w:p w:rsidR="00046027" w:rsidRDefault="00046027" w:rsidP="000C09D1">
      <w:pPr>
        <w:pStyle w:val="2"/>
      </w:pPr>
    </w:p>
    <w:p w:rsidR="00B728E0" w:rsidRPr="00FB4441" w:rsidRDefault="00B728E0" w:rsidP="000C09D1">
      <w:pPr>
        <w:pStyle w:val="2"/>
        <w:rPr>
          <w:lang w:val="ru-RU"/>
        </w:rPr>
      </w:pPr>
      <w:bookmarkStart w:id="36" w:name="_Toc32494925"/>
      <w:r w:rsidRPr="00644CCA">
        <w:rPr>
          <w:bCs/>
          <w:lang w:val="ru-RU"/>
        </w:rPr>
        <w:t>Иные виды вкладов ГЭФ в выполнение Айтинских целевых задач в области биоразнообразия</w:t>
      </w:r>
      <w:bookmarkEnd w:id="36"/>
    </w:p>
    <w:p w:rsidR="00D30DB1" w:rsidRPr="009B5EC4" w:rsidRDefault="00D30DB1" w:rsidP="00105FB1">
      <w:pPr>
        <w:pStyle w:val="3"/>
        <w:rPr>
          <w:snapToGrid w:val="0"/>
        </w:rPr>
      </w:pPr>
      <w:bookmarkStart w:id="37" w:name="_Toc32494926"/>
      <w:r>
        <w:rPr>
          <w:iCs/>
          <w:snapToGrid w:val="0"/>
        </w:rPr>
        <w:t>Адаптация к изменению климата</w:t>
      </w:r>
      <w:bookmarkEnd w:id="37"/>
    </w:p>
    <w:p w:rsidR="00FE1367" w:rsidRDefault="00D30DB1"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Под управлением ГЭФ находятся два отдельных целевых фонда, приоритетным направлением которых является адаптация к изменению климата, в частности это – Специальный фонд для борьбы с изменением климата (</w:t>
      </w:r>
      <w:proofErr w:type="spellStart"/>
      <w:r>
        <w:rPr>
          <w:rFonts w:ascii="Calibri" w:eastAsia="MS Mincho" w:hAnsi="Calibri" w:cs="Times New Roman"/>
          <w:snapToGrid w:val="0"/>
          <w:sz w:val="24"/>
          <w:szCs w:val="24"/>
        </w:rPr>
        <w:t>СФБИК</w:t>
      </w:r>
      <w:proofErr w:type="spellEnd"/>
      <w:r>
        <w:rPr>
          <w:rFonts w:ascii="Calibri" w:eastAsia="MS Mincho" w:hAnsi="Calibri" w:cs="Times New Roman"/>
          <w:snapToGrid w:val="0"/>
          <w:sz w:val="24"/>
          <w:szCs w:val="24"/>
        </w:rPr>
        <w:t>) и Фонд для наименее развитых стран (</w:t>
      </w:r>
      <w:proofErr w:type="spellStart"/>
      <w:r>
        <w:rPr>
          <w:rFonts w:ascii="Calibri" w:eastAsia="MS Mincho" w:hAnsi="Calibri" w:cs="Times New Roman"/>
          <w:snapToGrid w:val="0"/>
          <w:sz w:val="24"/>
          <w:szCs w:val="24"/>
        </w:rPr>
        <w:t>ФНРС</w:t>
      </w:r>
      <w:proofErr w:type="spellEnd"/>
      <w:r>
        <w:rPr>
          <w:rFonts w:ascii="Calibri" w:eastAsia="MS Mincho" w:hAnsi="Calibri" w:cs="Times New Roman"/>
          <w:snapToGrid w:val="0"/>
          <w:sz w:val="24"/>
          <w:szCs w:val="24"/>
        </w:rPr>
        <w:t>). Эти фонды были созданы для удовлетворения особых потребностей развивающихся стран в рамках Рамочной конвенции Организации Объединенных Наций об изменении климата (</w:t>
      </w:r>
      <w:proofErr w:type="spellStart"/>
      <w:r>
        <w:rPr>
          <w:rFonts w:ascii="Calibri" w:eastAsia="MS Mincho" w:hAnsi="Calibri" w:cs="Times New Roman"/>
          <w:snapToGrid w:val="0"/>
          <w:sz w:val="24"/>
          <w:szCs w:val="24"/>
        </w:rPr>
        <w:t>РКИК</w:t>
      </w:r>
      <w:proofErr w:type="spellEnd"/>
      <w:r>
        <w:rPr>
          <w:rFonts w:ascii="Calibri" w:eastAsia="MS Mincho" w:hAnsi="Calibri" w:cs="Times New Roman"/>
          <w:snapToGrid w:val="0"/>
          <w:sz w:val="24"/>
          <w:szCs w:val="24"/>
        </w:rPr>
        <w:t xml:space="preserve"> ООН). Некоторые из утвержденных в отчетный период проектов способствуют осуществлению Стратегического плана в области сохранения и устойчивого использования биоразнообразия и выполнению Айтинских целевых задач в области биоразнообразия.</w:t>
      </w:r>
    </w:p>
    <w:p w:rsidR="00FE32F2" w:rsidRDefault="00D30DB1"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 xml:space="preserve">Ниже, в таблице 9, представлен вклад ресурсов </w:t>
      </w:r>
      <w:proofErr w:type="spellStart"/>
      <w:r>
        <w:rPr>
          <w:rFonts w:ascii="Calibri" w:eastAsia="MS Mincho" w:hAnsi="Calibri" w:cs="Times New Roman"/>
          <w:snapToGrid w:val="0"/>
          <w:sz w:val="24"/>
          <w:szCs w:val="24"/>
        </w:rPr>
        <w:t>ФНРС</w:t>
      </w:r>
      <w:proofErr w:type="spellEnd"/>
      <w:r>
        <w:rPr>
          <w:rFonts w:ascii="Calibri" w:eastAsia="MS Mincho" w:hAnsi="Calibri" w:cs="Times New Roman"/>
          <w:snapToGrid w:val="0"/>
          <w:sz w:val="24"/>
          <w:szCs w:val="24"/>
        </w:rPr>
        <w:t xml:space="preserve"> в выполнение</w:t>
      </w:r>
      <w:r w:rsidR="00140920">
        <w:rPr>
          <w:rFonts w:ascii="Calibri" w:eastAsia="MS Mincho" w:hAnsi="Calibri" w:cs="Times New Roman"/>
          <w:snapToGrid w:val="0"/>
          <w:sz w:val="24"/>
          <w:szCs w:val="24"/>
        </w:rPr>
        <w:t xml:space="preserve"> Айтинских целевых задач 7 и 14</w:t>
      </w:r>
      <w:r>
        <w:rPr>
          <w:rFonts w:ascii="Calibri" w:eastAsia="MS Mincho" w:hAnsi="Calibri" w:cs="Times New Roman"/>
          <w:snapToGrid w:val="0"/>
          <w:sz w:val="24"/>
          <w:szCs w:val="24"/>
        </w:rPr>
        <w:t xml:space="preserve"> соответственно, в соответствии с приоритетами стран.</w:t>
      </w:r>
    </w:p>
    <w:p w:rsidR="00956B1B" w:rsidRDefault="00956B1B" w:rsidP="00956B1B">
      <w:pPr>
        <w:spacing w:before="240" w:after="240" w:line="240" w:lineRule="auto"/>
        <w:rPr>
          <w:rFonts w:ascii="Calibri" w:eastAsia="MS Mincho" w:hAnsi="Calibri" w:cs="Times New Roman"/>
          <w:snapToGrid w:val="0"/>
          <w:sz w:val="24"/>
          <w:szCs w:val="24"/>
        </w:rPr>
      </w:pPr>
    </w:p>
    <w:p w:rsidR="00956B1B" w:rsidRDefault="00956B1B" w:rsidP="00956B1B">
      <w:pPr>
        <w:spacing w:before="240" w:after="240" w:line="240" w:lineRule="auto"/>
        <w:rPr>
          <w:rFonts w:ascii="Calibri" w:eastAsia="MS Mincho" w:hAnsi="Calibri" w:cs="Times New Roman"/>
          <w:snapToGrid w:val="0"/>
          <w:sz w:val="24"/>
          <w:szCs w:val="24"/>
        </w:rPr>
      </w:pPr>
    </w:p>
    <w:p w:rsidR="00140920" w:rsidRDefault="00140920" w:rsidP="00956B1B">
      <w:pPr>
        <w:spacing w:before="240" w:after="240" w:line="240" w:lineRule="auto"/>
        <w:rPr>
          <w:rFonts w:ascii="Calibri" w:eastAsia="MS Mincho" w:hAnsi="Calibri" w:cs="Times New Roman"/>
          <w:snapToGrid w:val="0"/>
          <w:sz w:val="24"/>
          <w:szCs w:val="24"/>
        </w:rPr>
      </w:pPr>
    </w:p>
    <w:p w:rsidR="00140920" w:rsidRPr="00956B1B" w:rsidRDefault="00140920" w:rsidP="00956B1B">
      <w:pPr>
        <w:spacing w:before="240" w:after="240" w:line="240" w:lineRule="auto"/>
        <w:rPr>
          <w:rFonts w:ascii="Calibri" w:eastAsia="MS Mincho" w:hAnsi="Calibri" w:cs="Times New Roman"/>
          <w:snapToGrid w:val="0"/>
          <w:sz w:val="24"/>
          <w:szCs w:val="24"/>
        </w:rPr>
      </w:pPr>
    </w:p>
    <w:p w:rsidR="00D30DB1" w:rsidRPr="00FB4441" w:rsidRDefault="00D30DB1" w:rsidP="00D722AE">
      <w:pPr>
        <w:spacing w:before="240" w:after="240" w:line="240" w:lineRule="auto"/>
        <w:jc w:val="center"/>
        <w:rPr>
          <w:rFonts w:ascii="Calibri" w:eastAsia="MS Mincho" w:hAnsi="Calibri" w:cs="Times New Roman"/>
          <w:b/>
          <w:snapToGrid w:val="0"/>
          <w:sz w:val="24"/>
          <w:szCs w:val="24"/>
        </w:rPr>
      </w:pPr>
      <w:r w:rsidRPr="00644CCA">
        <w:rPr>
          <w:rFonts w:ascii="Calibri" w:eastAsia="MS Mincho" w:hAnsi="Calibri" w:cs="Times New Roman"/>
          <w:b/>
          <w:snapToGrid w:val="0"/>
          <w:sz w:val="24"/>
          <w:szCs w:val="24"/>
        </w:rPr>
        <w:lastRenderedPageBreak/>
        <w:t xml:space="preserve">Таблица 9. Распределение совокупных средств ГЭФ в рамках </w:t>
      </w:r>
      <w:proofErr w:type="spellStart"/>
      <w:r w:rsidRPr="00644CCA">
        <w:rPr>
          <w:rFonts w:ascii="Calibri" w:eastAsia="MS Mincho" w:hAnsi="Calibri" w:cs="Times New Roman"/>
          <w:b/>
          <w:snapToGrid w:val="0"/>
          <w:sz w:val="24"/>
          <w:szCs w:val="24"/>
        </w:rPr>
        <w:t>ФНРС</w:t>
      </w:r>
      <w:proofErr w:type="spellEnd"/>
      <w:r w:rsidRPr="00644CCA">
        <w:rPr>
          <w:rFonts w:ascii="Calibri" w:eastAsia="MS Mincho" w:hAnsi="Calibri" w:cs="Times New Roman"/>
          <w:b/>
          <w:snapToGrid w:val="0"/>
          <w:sz w:val="24"/>
          <w:szCs w:val="24"/>
        </w:rPr>
        <w:t xml:space="preserve"> в период ГЭФ-7 и по вкладу в выполнение Айтинских целевых задач в области биоразнообразия (1 июля 2018 г. - 31 декабря 2019 г.)</w:t>
      </w:r>
      <w:r>
        <w:rPr>
          <w:rFonts w:ascii="Calibri" w:eastAsia="MS Mincho" w:hAnsi="Calibri" w:cs="Times New Roman"/>
          <w:b/>
          <w:bCs/>
          <w:snapToGrid w:val="0"/>
          <w:sz w:val="18"/>
          <w:szCs w:val="24"/>
          <w:vertAlign w:val="superscript"/>
        </w:rPr>
        <w:footnoteReference w:id="14"/>
      </w:r>
    </w:p>
    <w:tbl>
      <w:tblPr>
        <w:tblW w:w="4941" w:type="pct"/>
        <w:tblBorders>
          <w:top w:val="single" w:sz="12" w:space="0" w:color="008000"/>
          <w:bottom w:val="single" w:sz="12" w:space="0" w:color="008000"/>
        </w:tblBorders>
        <w:tblLook w:val="04A0"/>
      </w:tblPr>
      <w:tblGrid>
        <w:gridCol w:w="2365"/>
        <w:gridCol w:w="2366"/>
        <w:gridCol w:w="2366"/>
        <w:gridCol w:w="2366"/>
      </w:tblGrid>
      <w:tr w:rsidR="00D30DB1" w:rsidRPr="00FB4441" w:rsidTr="008354E6">
        <w:trPr>
          <w:trHeight w:val="871"/>
        </w:trPr>
        <w:tc>
          <w:tcPr>
            <w:tcW w:w="1250" w:type="pct"/>
            <w:shd w:val="clear" w:color="auto" w:fill="auto"/>
            <w:hideMark/>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Айтинские целевые задачи в области биоразнообразия</w:t>
            </w:r>
          </w:p>
        </w:tc>
        <w:tc>
          <w:tcPr>
            <w:tcW w:w="1250" w:type="pct"/>
            <w:shd w:val="clear" w:color="auto" w:fill="auto"/>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Финансирование проектов </w:t>
            </w:r>
            <w:proofErr w:type="spellStart"/>
            <w:r>
              <w:rPr>
                <w:rFonts w:ascii="Calibri" w:eastAsia="Times New Roman" w:hAnsi="Calibri" w:cs="Times New Roman"/>
                <w:b/>
                <w:bCs/>
                <w:color w:val="000000"/>
              </w:rPr>
              <w:t>ФНРС</w:t>
            </w:r>
            <w:proofErr w:type="spellEnd"/>
            <w:r>
              <w:rPr>
                <w:rFonts w:ascii="Calibri" w:eastAsia="Times New Roman" w:hAnsi="Calibri" w:cs="Times New Roman"/>
                <w:b/>
                <w:bCs/>
                <w:color w:val="000000"/>
              </w:rPr>
              <w:t xml:space="preserve"> </w:t>
            </w:r>
            <w:r w:rsidR="00673BA4">
              <w:rPr>
                <w:rFonts w:ascii="Calibri" w:eastAsia="Times New Roman" w:hAnsi="Calibri" w:cs="Times New Roman"/>
                <w:b/>
                <w:bCs/>
                <w:color w:val="000000"/>
                <w:lang w:val="en-US"/>
              </w:rPr>
              <w:br/>
            </w:r>
            <w:r>
              <w:rPr>
                <w:rFonts w:ascii="Calibri" w:eastAsia="Times New Roman" w:hAnsi="Calibri" w:cs="Times New Roman"/>
                <w:b/>
                <w:bCs/>
                <w:color w:val="000000"/>
              </w:rPr>
              <w:t>(в млн долл.)</w:t>
            </w:r>
          </w:p>
        </w:tc>
        <w:tc>
          <w:tcPr>
            <w:tcW w:w="1250" w:type="pct"/>
            <w:shd w:val="clear" w:color="auto" w:fill="auto"/>
            <w:hideMark/>
          </w:tcPr>
          <w:p w:rsidR="00D30DB1" w:rsidRPr="00D30DB1" w:rsidRDefault="002D582B"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Софинансирование</w:t>
            </w:r>
          </w:p>
          <w:p w:rsidR="00D30DB1" w:rsidRPr="00D30DB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(млн долл. США)</w:t>
            </w:r>
          </w:p>
        </w:tc>
        <w:tc>
          <w:tcPr>
            <w:tcW w:w="1250" w:type="pct"/>
            <w:shd w:val="clear" w:color="auto" w:fill="auto"/>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Всего ресурсы</w:t>
            </w:r>
          </w:p>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(млн долл. США)</w:t>
            </w:r>
          </w:p>
        </w:tc>
      </w:tr>
      <w:tr w:rsidR="00D30DB1" w:rsidRPr="00D30DB1" w:rsidTr="008354E6">
        <w:trPr>
          <w:trHeight w:val="871"/>
        </w:trPr>
        <w:tc>
          <w:tcPr>
            <w:tcW w:w="1250" w:type="pct"/>
            <w:shd w:val="clear" w:color="auto" w:fill="auto"/>
          </w:tcPr>
          <w:p w:rsidR="00D30DB1" w:rsidRPr="00FB4441" w:rsidRDefault="00D30DB1" w:rsidP="00D30DB1">
            <w:pPr>
              <w:spacing w:after="0" w:line="240" w:lineRule="auto"/>
              <w:rPr>
                <w:rFonts w:ascii="Calibri" w:eastAsia="Times New Roman" w:hAnsi="Calibri" w:cs="Times New Roman"/>
                <w:color w:val="000000"/>
              </w:rPr>
            </w:pPr>
          </w:p>
          <w:p w:rsidR="00D30DB1" w:rsidRPr="00D30DB1" w:rsidRDefault="00D30DB1"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Целевая задача 7</w:t>
            </w:r>
          </w:p>
        </w:tc>
        <w:tc>
          <w:tcPr>
            <w:tcW w:w="1250" w:type="pct"/>
            <w:shd w:val="clear" w:color="auto" w:fill="auto"/>
          </w:tcPr>
          <w:p w:rsidR="00BC1CCC" w:rsidRDefault="00BC1CCC" w:rsidP="00D30DB1">
            <w:pPr>
              <w:spacing w:after="0" w:line="240" w:lineRule="auto"/>
              <w:rPr>
                <w:rFonts w:ascii="Calibri" w:eastAsia="MS Mincho" w:hAnsi="Calibri" w:cs="Times New Roman"/>
                <w:color w:val="000000"/>
              </w:rPr>
            </w:pPr>
          </w:p>
          <w:p w:rsidR="00D30DB1" w:rsidRPr="00D30DB1" w:rsidRDefault="001E4F99" w:rsidP="00D30DB1">
            <w:pPr>
              <w:spacing w:after="0" w:line="240" w:lineRule="auto"/>
              <w:rPr>
                <w:rFonts w:ascii="Calibri" w:eastAsia="MS Mincho" w:hAnsi="Calibri" w:cs="Times New Roman"/>
                <w:color w:val="000000"/>
              </w:rPr>
            </w:pPr>
            <w:r>
              <w:rPr>
                <w:rFonts w:ascii="Calibri" w:eastAsia="MS Mincho" w:hAnsi="Calibri" w:cs="Times New Roman"/>
                <w:color w:val="000000"/>
              </w:rPr>
              <w:t>16,3</w:t>
            </w:r>
          </w:p>
        </w:tc>
        <w:tc>
          <w:tcPr>
            <w:tcW w:w="1250" w:type="pct"/>
            <w:shd w:val="clear" w:color="auto" w:fill="auto"/>
          </w:tcPr>
          <w:p w:rsidR="00BC1CCC" w:rsidRDefault="00BC1CCC" w:rsidP="00D30DB1">
            <w:pPr>
              <w:spacing w:after="0" w:line="240" w:lineRule="auto"/>
              <w:rPr>
                <w:rFonts w:ascii="Calibri" w:eastAsia="MS Mincho" w:hAnsi="Calibri" w:cs="Angsana New"/>
                <w:color w:val="000000"/>
              </w:rPr>
            </w:pPr>
          </w:p>
          <w:p w:rsidR="00D30DB1" w:rsidRPr="00D30DB1" w:rsidRDefault="00BC1CCC" w:rsidP="00D30DB1">
            <w:pPr>
              <w:spacing w:after="0" w:line="240" w:lineRule="auto"/>
              <w:rPr>
                <w:rFonts w:ascii="Calibri" w:eastAsia="MS Mincho" w:hAnsi="Calibri" w:cs="Angsana New"/>
                <w:color w:val="000000"/>
              </w:rPr>
            </w:pPr>
            <w:r>
              <w:rPr>
                <w:rFonts w:ascii="Calibri" w:eastAsia="MS Mincho" w:hAnsi="Calibri" w:cs="Angsana New"/>
                <w:color w:val="000000"/>
              </w:rPr>
              <w:t>58,3</w:t>
            </w:r>
          </w:p>
        </w:tc>
        <w:tc>
          <w:tcPr>
            <w:tcW w:w="1250" w:type="pct"/>
            <w:shd w:val="clear" w:color="auto" w:fill="auto"/>
          </w:tcPr>
          <w:p w:rsidR="00D30DB1" w:rsidRDefault="00D30DB1" w:rsidP="00D30DB1">
            <w:pPr>
              <w:spacing w:after="0" w:line="240" w:lineRule="auto"/>
              <w:rPr>
                <w:rFonts w:ascii="Calibri" w:eastAsia="Times New Roman" w:hAnsi="Calibri" w:cs="Times New Roman"/>
                <w:color w:val="000000"/>
              </w:rPr>
            </w:pPr>
          </w:p>
          <w:p w:rsidR="00BC1CCC" w:rsidRPr="00D30DB1" w:rsidRDefault="00BC1CCC"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74,6</w:t>
            </w:r>
          </w:p>
        </w:tc>
      </w:tr>
      <w:tr w:rsidR="00D30DB1" w:rsidRPr="00D30DB1" w:rsidTr="008354E6">
        <w:trPr>
          <w:trHeight w:val="871"/>
        </w:trPr>
        <w:tc>
          <w:tcPr>
            <w:tcW w:w="1250" w:type="pct"/>
            <w:shd w:val="clear" w:color="auto" w:fill="auto"/>
          </w:tcPr>
          <w:p w:rsidR="00D30DB1" w:rsidRPr="00D30DB1" w:rsidRDefault="00D30DB1" w:rsidP="00D30DB1">
            <w:pPr>
              <w:spacing w:after="0" w:line="240" w:lineRule="auto"/>
              <w:rPr>
                <w:rFonts w:ascii="Calibri" w:eastAsia="Times New Roman" w:hAnsi="Calibri" w:cs="Times New Roman"/>
                <w:color w:val="000000"/>
              </w:rPr>
            </w:pPr>
          </w:p>
          <w:p w:rsidR="00D30DB1" w:rsidRPr="00D30DB1" w:rsidRDefault="00D30DB1"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Целевая задача 14</w:t>
            </w:r>
          </w:p>
        </w:tc>
        <w:tc>
          <w:tcPr>
            <w:tcW w:w="1250" w:type="pct"/>
            <w:shd w:val="clear" w:color="auto" w:fill="auto"/>
          </w:tcPr>
          <w:p w:rsidR="00D30DB1" w:rsidRDefault="00D30DB1" w:rsidP="00D30DB1">
            <w:pPr>
              <w:spacing w:after="0" w:line="240" w:lineRule="auto"/>
              <w:rPr>
                <w:rFonts w:ascii="Calibri" w:eastAsia="MS Mincho" w:hAnsi="Calibri" w:cs="Times New Roman"/>
                <w:color w:val="000000"/>
              </w:rPr>
            </w:pPr>
          </w:p>
          <w:p w:rsidR="00662561" w:rsidRPr="00D30DB1" w:rsidRDefault="00662561" w:rsidP="00D30DB1">
            <w:pPr>
              <w:spacing w:after="0" w:line="240" w:lineRule="auto"/>
              <w:rPr>
                <w:rFonts w:ascii="Calibri" w:eastAsia="MS Mincho" w:hAnsi="Calibri" w:cs="Times New Roman"/>
                <w:color w:val="000000"/>
              </w:rPr>
            </w:pPr>
            <w:r>
              <w:rPr>
                <w:rFonts w:ascii="Calibri" w:eastAsia="MS Mincho" w:hAnsi="Calibri" w:cs="Times New Roman"/>
                <w:color w:val="000000"/>
              </w:rPr>
              <w:t>10,0</w:t>
            </w:r>
          </w:p>
        </w:tc>
        <w:tc>
          <w:tcPr>
            <w:tcW w:w="1250" w:type="pct"/>
            <w:shd w:val="clear" w:color="auto" w:fill="auto"/>
          </w:tcPr>
          <w:p w:rsidR="00D30DB1" w:rsidRDefault="00D30DB1" w:rsidP="00D30DB1">
            <w:pPr>
              <w:spacing w:after="0" w:line="240" w:lineRule="auto"/>
              <w:rPr>
                <w:rFonts w:ascii="Calibri" w:eastAsia="MS Mincho" w:hAnsi="Calibri" w:cs="Angsana New"/>
                <w:color w:val="000000"/>
              </w:rPr>
            </w:pPr>
          </w:p>
          <w:p w:rsidR="00662561" w:rsidRPr="00D30DB1" w:rsidRDefault="00662561" w:rsidP="00D30DB1">
            <w:pPr>
              <w:spacing w:after="0" w:line="240" w:lineRule="auto"/>
              <w:rPr>
                <w:rFonts w:ascii="Calibri" w:eastAsia="MS Mincho" w:hAnsi="Calibri" w:cs="Angsana New"/>
                <w:color w:val="000000"/>
              </w:rPr>
            </w:pPr>
            <w:r>
              <w:rPr>
                <w:rFonts w:ascii="Calibri" w:eastAsia="MS Mincho" w:hAnsi="Calibri" w:cs="Angsana New"/>
                <w:color w:val="000000"/>
              </w:rPr>
              <w:t>10,5</w:t>
            </w:r>
          </w:p>
        </w:tc>
        <w:tc>
          <w:tcPr>
            <w:tcW w:w="1250" w:type="pct"/>
            <w:shd w:val="clear" w:color="auto" w:fill="auto"/>
          </w:tcPr>
          <w:p w:rsidR="00D30DB1" w:rsidRDefault="00D30DB1" w:rsidP="00D30DB1">
            <w:pPr>
              <w:spacing w:after="0" w:line="240" w:lineRule="auto"/>
              <w:rPr>
                <w:rFonts w:ascii="Calibri" w:eastAsia="Times New Roman" w:hAnsi="Calibri" w:cs="Times New Roman"/>
                <w:color w:val="000000"/>
              </w:rPr>
            </w:pPr>
          </w:p>
          <w:p w:rsidR="00662561" w:rsidRPr="00D30DB1" w:rsidRDefault="00662561"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20,5</w:t>
            </w:r>
          </w:p>
        </w:tc>
      </w:tr>
      <w:tr w:rsidR="00D30DB1" w:rsidRPr="00D30DB1" w:rsidTr="007E409E">
        <w:trPr>
          <w:trHeight w:val="468"/>
        </w:trPr>
        <w:tc>
          <w:tcPr>
            <w:tcW w:w="1250" w:type="pct"/>
            <w:shd w:val="clear" w:color="auto" w:fill="auto"/>
          </w:tcPr>
          <w:p w:rsidR="00D30DB1" w:rsidRPr="00D30DB1" w:rsidRDefault="00D30DB1" w:rsidP="00D30DB1">
            <w:pPr>
              <w:spacing w:after="0" w:line="240" w:lineRule="auto"/>
              <w:rPr>
                <w:rFonts w:ascii="Calibri" w:eastAsia="Times New Roman" w:hAnsi="Calibri" w:cs="Times New Roman"/>
                <w:b/>
                <w:color w:val="000000"/>
              </w:rPr>
            </w:pPr>
            <w:r>
              <w:rPr>
                <w:rFonts w:ascii="Calibri" w:eastAsia="Times New Roman" w:hAnsi="Calibri" w:cs="Times New Roman"/>
                <w:b/>
                <w:bCs/>
                <w:color w:val="000000"/>
              </w:rPr>
              <w:t>Всего</w:t>
            </w:r>
          </w:p>
        </w:tc>
        <w:tc>
          <w:tcPr>
            <w:tcW w:w="1250" w:type="pct"/>
            <w:shd w:val="clear" w:color="auto" w:fill="auto"/>
          </w:tcPr>
          <w:p w:rsidR="00D30DB1" w:rsidRPr="00D30DB1" w:rsidRDefault="0075581E" w:rsidP="00D30DB1">
            <w:pPr>
              <w:spacing w:after="0" w:line="240" w:lineRule="auto"/>
              <w:rPr>
                <w:rFonts w:ascii="Calibri" w:eastAsia="MS Mincho" w:hAnsi="Calibri" w:cs="Times New Roman"/>
                <w:b/>
                <w:color w:val="000000"/>
              </w:rPr>
            </w:pPr>
            <w:r>
              <w:rPr>
                <w:rFonts w:ascii="Calibri" w:eastAsia="MS Mincho" w:hAnsi="Calibri" w:cs="Times New Roman"/>
                <w:b/>
                <w:bCs/>
                <w:color w:val="000000"/>
              </w:rPr>
              <w:t>26,3</w:t>
            </w:r>
          </w:p>
        </w:tc>
        <w:tc>
          <w:tcPr>
            <w:tcW w:w="1250" w:type="pct"/>
            <w:shd w:val="clear" w:color="auto" w:fill="auto"/>
          </w:tcPr>
          <w:p w:rsidR="00D30DB1" w:rsidRPr="00D30DB1" w:rsidRDefault="0075581E" w:rsidP="00D30DB1">
            <w:pPr>
              <w:spacing w:after="0" w:line="240" w:lineRule="auto"/>
              <w:rPr>
                <w:rFonts w:ascii="Calibri" w:eastAsia="MS Mincho" w:hAnsi="Calibri" w:cs="Angsana New"/>
                <w:b/>
                <w:color w:val="000000"/>
              </w:rPr>
            </w:pPr>
            <w:r>
              <w:rPr>
                <w:rFonts w:ascii="Calibri" w:eastAsia="MS Mincho" w:hAnsi="Calibri" w:cs="Angsana New"/>
                <w:b/>
                <w:bCs/>
                <w:color w:val="000000"/>
              </w:rPr>
              <w:t>68,8</w:t>
            </w:r>
          </w:p>
        </w:tc>
        <w:tc>
          <w:tcPr>
            <w:tcW w:w="1250" w:type="pct"/>
            <w:shd w:val="clear" w:color="auto" w:fill="auto"/>
          </w:tcPr>
          <w:p w:rsidR="00D30DB1" w:rsidRPr="00D30DB1" w:rsidRDefault="00D602BE" w:rsidP="00D30DB1">
            <w:pPr>
              <w:spacing w:after="0" w:line="240" w:lineRule="auto"/>
              <w:rPr>
                <w:rFonts w:ascii="Calibri" w:eastAsia="Times New Roman" w:hAnsi="Calibri" w:cs="Times New Roman"/>
                <w:b/>
                <w:color w:val="000000"/>
              </w:rPr>
            </w:pPr>
            <w:r>
              <w:rPr>
                <w:rFonts w:ascii="Calibri" w:eastAsia="Times New Roman" w:hAnsi="Calibri" w:cs="Times New Roman"/>
                <w:b/>
                <w:bCs/>
                <w:color w:val="000000"/>
              </w:rPr>
              <w:t>93,01</w:t>
            </w:r>
          </w:p>
        </w:tc>
      </w:tr>
    </w:tbl>
    <w:p w:rsidR="0040084C" w:rsidRDefault="0040084C" w:rsidP="00D30DB1">
      <w:pPr>
        <w:spacing w:before="120" w:after="120" w:line="240" w:lineRule="auto"/>
        <w:rPr>
          <w:rFonts w:ascii="Calibri" w:eastAsia="MS Mincho" w:hAnsi="Calibri" w:cs="Times New Roman"/>
          <w:b/>
          <w:snapToGrid w:val="0"/>
          <w:sz w:val="24"/>
          <w:szCs w:val="24"/>
          <w:u w:val="single"/>
        </w:rPr>
      </w:pPr>
    </w:p>
    <w:p w:rsidR="00D30DB1" w:rsidRPr="009B5EC4" w:rsidRDefault="00D30DB1" w:rsidP="00105FB1">
      <w:pPr>
        <w:pStyle w:val="3"/>
        <w:rPr>
          <w:snapToGrid w:val="0"/>
        </w:rPr>
      </w:pPr>
      <w:bookmarkStart w:id="38" w:name="_Toc32494927"/>
      <w:r>
        <w:rPr>
          <w:iCs/>
          <w:snapToGrid w:val="0"/>
        </w:rPr>
        <w:t>Целевая область международных вод</w:t>
      </w:r>
      <w:bookmarkEnd w:id="38"/>
    </w:p>
    <w:p w:rsidR="00FE1367" w:rsidRPr="00644CCA" w:rsidRDefault="00D30DB1" w:rsidP="00FF3B4A">
      <w:pPr>
        <w:pStyle w:val="a9"/>
        <w:numPr>
          <w:ilvl w:val="0"/>
          <w:numId w:val="25"/>
        </w:numPr>
        <w:spacing w:before="240" w:after="240" w:line="240" w:lineRule="auto"/>
        <w:ind w:left="0" w:firstLine="0"/>
        <w:contextualSpacing w:val="0"/>
        <w:rPr>
          <w:snapToGrid w:val="0"/>
          <w:sz w:val="24"/>
          <w:szCs w:val="24"/>
        </w:rPr>
      </w:pPr>
      <w:r w:rsidRPr="00776E86">
        <w:rPr>
          <w:snapToGrid w:val="0"/>
          <w:sz w:val="24"/>
          <w:szCs w:val="24"/>
        </w:rPr>
        <w:t>Целевая область международных вод (МВ) помогает странам совместно управлять своими трансграничными бассейнами поверхностных вод, бассейнами грунтовых вод и прибрежными и морскими системами в целях совместного использования выгод от их применения.</w:t>
      </w:r>
      <w:r w:rsidR="00776E86" w:rsidRPr="00776E86">
        <w:rPr>
          <w:snapToGrid w:val="0"/>
          <w:sz w:val="24"/>
          <w:szCs w:val="24"/>
        </w:rPr>
        <w:t xml:space="preserve"> </w:t>
      </w:r>
      <w:r w:rsidRPr="00776E86">
        <w:rPr>
          <w:snapToGrid w:val="0"/>
          <w:sz w:val="24"/>
          <w:szCs w:val="24"/>
        </w:rPr>
        <w:t xml:space="preserve">Сложные трансграничные водные экосистемы затрагивают интересы и сферы деятельности множества секторов, оставаясь при этом свободными от политических границ. </w:t>
      </w:r>
      <w:r w:rsidRPr="00644CCA">
        <w:rPr>
          <w:snapToGrid w:val="0"/>
          <w:sz w:val="24"/>
          <w:szCs w:val="24"/>
        </w:rPr>
        <w:t>В этой связи для постановки действенных политических целей, наряду с принятием инвестиционных решений, требуется работа на всех уровнях, с целым рядом сторон, в государственном и частом секторе и во всем водосборном бассейне, от источника до моря и за их пределами. Это основополагающие принципы инвестирования ГЭФ-7 в международные воды. Инвестиции ГЭФ-7 в МВ направлены на решение трех основных задач: 1) расширение возможностей национальной «голубой экономики» с целью снижения угроз для морских и прибрежных вод; 2) совершенствование методов управления в районах за пределами действия национальной юрисдикции и 3) повышение водной безопасности в пресноводных экосистемах.</w:t>
      </w:r>
    </w:p>
    <w:p w:rsidR="00046027" w:rsidRPr="00FB4441" w:rsidRDefault="005B38F1"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673BA4">
        <w:rPr>
          <w:snapToGrid w:val="0"/>
          <w:sz w:val="24"/>
          <w:szCs w:val="24"/>
        </w:rPr>
        <w:t>Ниже, в таблице 10, отражен вклад ресурсов МВ в выполнение Айтинских целевых задач в области биоразнообразия, в соответствии с приоритетами стран.</w:t>
      </w:r>
      <w:r>
        <w:rPr>
          <w:rFonts w:ascii="Calibri" w:eastAsia="MS Mincho" w:hAnsi="Calibri" w:cs="Times New Roman"/>
          <w:snapToGrid w:val="0"/>
          <w:sz w:val="24"/>
          <w:szCs w:val="24"/>
        </w:rPr>
        <w:br w:type="page"/>
      </w:r>
    </w:p>
    <w:p w:rsidR="00D30DB1" w:rsidRPr="007057A1" w:rsidRDefault="00D30DB1" w:rsidP="00D722AE">
      <w:pPr>
        <w:spacing w:before="240" w:after="240" w:line="240" w:lineRule="auto"/>
        <w:jc w:val="center"/>
        <w:rPr>
          <w:rFonts w:ascii="Calibri" w:eastAsia="MS Mincho" w:hAnsi="Calibri" w:cs="Times New Roman"/>
          <w:b/>
          <w:snapToGrid w:val="0"/>
          <w:sz w:val="24"/>
          <w:szCs w:val="24"/>
        </w:rPr>
      </w:pPr>
      <w:r w:rsidRPr="00644CCA">
        <w:rPr>
          <w:rFonts w:ascii="Calibri" w:eastAsia="MS Mincho" w:hAnsi="Calibri" w:cs="Times New Roman"/>
          <w:b/>
          <w:snapToGrid w:val="0"/>
          <w:sz w:val="24"/>
          <w:szCs w:val="24"/>
        </w:rPr>
        <w:lastRenderedPageBreak/>
        <w:t xml:space="preserve">Таблица 10. </w:t>
      </w:r>
      <w:r w:rsidRPr="007057A1">
        <w:rPr>
          <w:rFonts w:ascii="Calibri" w:eastAsia="MS Mincho" w:hAnsi="Calibri" w:cs="Times New Roman"/>
          <w:b/>
          <w:snapToGrid w:val="0"/>
          <w:sz w:val="24"/>
          <w:szCs w:val="24"/>
        </w:rPr>
        <w:t>Распределение совокупных средств ГЭФ с разбивкой по целям и программам целевой области международных вод в период ГЭФ-6 и вкладу в выполнение Айтинских целевых задач в области биоразнообразия (1 июля 2018 г. -31 декабря 2019 г.)</w:t>
      </w:r>
      <w:r w:rsidR="007057A1" w:rsidRPr="007057A1">
        <w:rPr>
          <w:rFonts w:ascii="Calibri" w:eastAsia="MS Mincho" w:hAnsi="Calibri" w:cs="Times New Roman"/>
          <w:b/>
          <w:snapToGrid w:val="0"/>
          <w:sz w:val="18"/>
          <w:szCs w:val="24"/>
          <w:vertAlign w:val="superscript"/>
        </w:rPr>
        <w:t xml:space="preserve"> </w:t>
      </w:r>
      <w:r w:rsidR="007057A1" w:rsidRPr="00D30DB1">
        <w:rPr>
          <w:rFonts w:ascii="Calibri" w:eastAsia="MS Mincho" w:hAnsi="Calibri" w:cs="Times New Roman"/>
          <w:b/>
          <w:snapToGrid w:val="0"/>
          <w:sz w:val="18"/>
          <w:szCs w:val="24"/>
          <w:vertAlign w:val="superscript"/>
          <w:lang w:val="en-GB"/>
        </w:rPr>
        <w:footnoteReference w:id="15"/>
      </w:r>
    </w:p>
    <w:tbl>
      <w:tblPr>
        <w:tblW w:w="4997" w:type="pct"/>
        <w:tblBorders>
          <w:top w:val="single" w:sz="12" w:space="0" w:color="008000"/>
          <w:bottom w:val="single" w:sz="12" w:space="0" w:color="008000"/>
        </w:tblBorders>
        <w:tblLook w:val="04A0"/>
      </w:tblPr>
      <w:tblGrid>
        <w:gridCol w:w="2252"/>
        <w:gridCol w:w="1921"/>
        <w:gridCol w:w="1737"/>
        <w:gridCol w:w="2092"/>
        <w:gridCol w:w="1568"/>
      </w:tblGrid>
      <w:tr w:rsidR="00D30DB1" w:rsidRPr="00FB4441" w:rsidTr="00630594">
        <w:trPr>
          <w:trHeight w:val="570"/>
        </w:trPr>
        <w:tc>
          <w:tcPr>
            <w:tcW w:w="1277" w:type="pct"/>
            <w:tcBorders>
              <w:top w:val="single" w:sz="12" w:space="0" w:color="008000"/>
              <w:bottom w:val="single" w:sz="6" w:space="0" w:color="008000"/>
            </w:tcBorders>
            <w:shd w:val="clear" w:color="auto" w:fill="auto"/>
            <w:hideMark/>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Задача и программа по международным водам</w:t>
            </w:r>
          </w:p>
        </w:tc>
        <w:tc>
          <w:tcPr>
            <w:tcW w:w="877" w:type="pct"/>
            <w:tcBorders>
              <w:top w:val="single" w:sz="12" w:space="0" w:color="008000"/>
              <w:bottom w:val="single" w:sz="6" w:space="0" w:color="008000"/>
            </w:tcBorders>
            <w:shd w:val="clear" w:color="auto" w:fill="auto"/>
            <w:hideMark/>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Айтинские целевые задачи в области биоразнообразия</w:t>
            </w:r>
          </w:p>
        </w:tc>
        <w:tc>
          <w:tcPr>
            <w:tcW w:w="1008" w:type="pct"/>
            <w:tcBorders>
              <w:top w:val="single" w:sz="12" w:space="0" w:color="008000"/>
              <w:bottom w:val="single" w:sz="6" w:space="0" w:color="008000"/>
            </w:tcBorders>
            <w:shd w:val="clear" w:color="auto" w:fill="auto"/>
          </w:tcPr>
          <w:p w:rsidR="00D30DB1" w:rsidRPr="00D30DB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Грант ГЭФ на проект (млн долл. США)</w:t>
            </w:r>
          </w:p>
        </w:tc>
        <w:tc>
          <w:tcPr>
            <w:tcW w:w="919" w:type="pct"/>
            <w:tcBorders>
              <w:top w:val="single" w:sz="12" w:space="0" w:color="008000"/>
              <w:bottom w:val="single" w:sz="6" w:space="0" w:color="008000"/>
            </w:tcBorders>
            <w:shd w:val="clear" w:color="auto" w:fill="auto"/>
            <w:hideMark/>
          </w:tcPr>
          <w:p w:rsidR="00D30DB1" w:rsidRPr="00D30DB1" w:rsidRDefault="002D582B"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Софинансирование</w:t>
            </w:r>
          </w:p>
          <w:p w:rsidR="00D30DB1" w:rsidRPr="00D30DB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(млн долл. США)</w:t>
            </w:r>
          </w:p>
        </w:tc>
        <w:tc>
          <w:tcPr>
            <w:tcW w:w="919" w:type="pct"/>
            <w:tcBorders>
              <w:top w:val="single" w:sz="12" w:space="0" w:color="008000"/>
              <w:bottom w:val="single" w:sz="6" w:space="0" w:color="008000"/>
            </w:tcBorders>
            <w:shd w:val="clear" w:color="auto" w:fill="auto"/>
          </w:tcPr>
          <w:p w:rsidR="00D30DB1" w:rsidRPr="00FB4441" w:rsidRDefault="00D30DB1" w:rsidP="00D30D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Всего ресурсы (млн долл. США)</w:t>
            </w:r>
          </w:p>
        </w:tc>
      </w:tr>
      <w:tr w:rsidR="00D30DB1" w:rsidRPr="00D30DB1" w:rsidTr="000775B6">
        <w:trPr>
          <w:trHeight w:val="900"/>
        </w:trPr>
        <w:tc>
          <w:tcPr>
            <w:tcW w:w="1277" w:type="pct"/>
            <w:shd w:val="clear" w:color="auto" w:fill="auto"/>
          </w:tcPr>
          <w:p w:rsidR="00D30DB1" w:rsidRPr="00FB4441" w:rsidRDefault="00D30DB1" w:rsidP="00D30DB1">
            <w:pPr>
              <w:spacing w:after="0" w:line="240" w:lineRule="auto"/>
              <w:rPr>
                <w:rFonts w:ascii="Calibri" w:eastAsia="Times New Roman" w:hAnsi="Calibri" w:cs="Times New Roman"/>
                <w:color w:val="000000"/>
              </w:rPr>
            </w:pPr>
          </w:p>
          <w:p w:rsidR="009F3CAF" w:rsidRDefault="009F3CAF" w:rsidP="009F3CAF">
            <w:pPr>
              <w:spacing w:after="0" w:line="240" w:lineRule="auto"/>
              <w:rPr>
                <w:rFonts w:ascii="Calibri" w:eastAsia="Times New Roman" w:hAnsi="Calibri" w:cs="Times New Roman"/>
                <w:color w:val="000000"/>
              </w:rPr>
            </w:pPr>
            <w:r>
              <w:rPr>
                <w:rFonts w:ascii="Calibri" w:eastAsia="Times New Roman" w:hAnsi="Calibri" w:cs="Times New Roman"/>
                <w:color w:val="000000"/>
              </w:rPr>
              <w:t>Задача 1:</w:t>
            </w:r>
          </w:p>
          <w:p w:rsidR="00D30DB1" w:rsidRPr="009F3CAF" w:rsidRDefault="009F3CAF" w:rsidP="009F3CAF">
            <w:pPr>
              <w:spacing w:after="0" w:line="240" w:lineRule="auto"/>
              <w:rPr>
                <w:rFonts w:ascii="Calibri" w:eastAsia="Times New Roman" w:hAnsi="Calibri" w:cs="Times New Roman"/>
                <w:color w:val="000000"/>
              </w:rPr>
            </w:pPr>
            <w:r>
              <w:rPr>
                <w:rFonts w:ascii="Calibri" w:eastAsia="Times New Roman" w:hAnsi="Calibri" w:cs="Times New Roman"/>
                <w:color w:val="000000"/>
              </w:rPr>
              <w:t>«Голубая экономика»</w:t>
            </w:r>
          </w:p>
          <w:p w:rsidR="009F3CAF" w:rsidRPr="009F3CAF" w:rsidRDefault="009F3CAF" w:rsidP="009F3CAF">
            <w:pPr>
              <w:spacing w:after="0" w:line="240" w:lineRule="auto"/>
              <w:rPr>
                <w:rFonts w:ascii="Calibri" w:eastAsia="Times New Roman" w:hAnsi="Calibri" w:cs="Times New Roman"/>
                <w:color w:val="000000"/>
              </w:rPr>
            </w:pPr>
          </w:p>
          <w:p w:rsidR="00D30DB1" w:rsidRPr="00D30DB1" w:rsidRDefault="00D30DB1" w:rsidP="00D30DB1">
            <w:pPr>
              <w:spacing w:after="0" w:line="240" w:lineRule="auto"/>
              <w:rPr>
                <w:rFonts w:ascii="Calibri" w:eastAsia="Times New Roman" w:hAnsi="Calibri" w:cs="Times New Roman"/>
                <w:color w:val="000000"/>
              </w:rPr>
            </w:pPr>
          </w:p>
        </w:tc>
        <w:tc>
          <w:tcPr>
            <w:tcW w:w="877" w:type="pct"/>
            <w:shd w:val="clear" w:color="auto" w:fill="auto"/>
          </w:tcPr>
          <w:p w:rsidR="00D30DB1" w:rsidRDefault="00D30DB1" w:rsidP="00D30DB1">
            <w:pPr>
              <w:spacing w:after="0" w:line="240" w:lineRule="auto"/>
              <w:rPr>
                <w:rFonts w:ascii="Calibri" w:eastAsia="Times New Roman" w:hAnsi="Calibri" w:cs="Times New Roman"/>
                <w:color w:val="000000"/>
              </w:rPr>
            </w:pPr>
          </w:p>
          <w:p w:rsidR="00741950" w:rsidRPr="00D30DB1" w:rsidRDefault="000B65EF"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6, 8, 11</w:t>
            </w:r>
          </w:p>
        </w:tc>
        <w:tc>
          <w:tcPr>
            <w:tcW w:w="1008" w:type="pct"/>
            <w:shd w:val="clear" w:color="auto" w:fill="auto"/>
          </w:tcPr>
          <w:p w:rsidR="00D30DB1" w:rsidRDefault="00D30DB1" w:rsidP="00D30DB1">
            <w:pPr>
              <w:spacing w:after="0" w:line="240" w:lineRule="auto"/>
              <w:rPr>
                <w:rFonts w:ascii="Calibri" w:eastAsia="Times New Roman" w:hAnsi="Calibri" w:cs="Times New Roman"/>
                <w:color w:val="000000"/>
              </w:rPr>
            </w:pPr>
          </w:p>
          <w:p w:rsidR="00316561" w:rsidRPr="00D30DB1" w:rsidRDefault="00316561"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52,1 </w:t>
            </w:r>
            <w:r>
              <w:rPr>
                <w:rFonts w:ascii="Calibri" w:eastAsia="Times New Roman" w:hAnsi="Calibri" w:cs="Times New Roman"/>
                <w:color w:val="000000"/>
              </w:rPr>
              <w:tab/>
            </w:r>
          </w:p>
        </w:tc>
        <w:tc>
          <w:tcPr>
            <w:tcW w:w="919" w:type="pct"/>
            <w:shd w:val="clear" w:color="auto" w:fill="auto"/>
          </w:tcPr>
          <w:p w:rsidR="00D30DB1" w:rsidRDefault="00D30DB1" w:rsidP="00D30DB1">
            <w:pPr>
              <w:spacing w:after="0" w:line="240" w:lineRule="auto"/>
              <w:rPr>
                <w:rFonts w:ascii="Calibri" w:eastAsia="Times New Roman" w:hAnsi="Calibri" w:cs="Times New Roman"/>
                <w:color w:val="000000"/>
              </w:rPr>
            </w:pPr>
          </w:p>
          <w:p w:rsidR="00316561" w:rsidRPr="00D30DB1" w:rsidRDefault="00316561"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273,4</w:t>
            </w:r>
          </w:p>
        </w:tc>
        <w:tc>
          <w:tcPr>
            <w:tcW w:w="919" w:type="pct"/>
            <w:shd w:val="clear" w:color="auto" w:fill="auto"/>
          </w:tcPr>
          <w:p w:rsidR="00A7086B" w:rsidRDefault="00A7086B" w:rsidP="00AE7FAF">
            <w:pPr>
              <w:spacing w:after="0" w:line="240" w:lineRule="auto"/>
              <w:rPr>
                <w:rFonts w:ascii="Calibri" w:eastAsia="Times New Roman" w:hAnsi="Calibri" w:cs="Times New Roman"/>
                <w:color w:val="000000"/>
              </w:rPr>
            </w:pPr>
          </w:p>
          <w:p w:rsidR="00AE7FAF" w:rsidRPr="00AE7FAF" w:rsidRDefault="00AE7FAF" w:rsidP="00AE7FAF">
            <w:pPr>
              <w:spacing w:after="0" w:line="240" w:lineRule="auto"/>
              <w:rPr>
                <w:rFonts w:ascii="Calibri" w:eastAsia="Times New Roman" w:hAnsi="Calibri" w:cs="Times New Roman"/>
                <w:color w:val="000000"/>
              </w:rPr>
            </w:pPr>
            <w:r>
              <w:rPr>
                <w:rFonts w:ascii="Calibri" w:eastAsia="Times New Roman" w:hAnsi="Calibri" w:cs="Times New Roman"/>
                <w:color w:val="000000"/>
              </w:rPr>
              <w:t>325,5</w:t>
            </w:r>
          </w:p>
          <w:p w:rsidR="00AE7FAF" w:rsidRPr="00D30DB1" w:rsidRDefault="00AE7FAF" w:rsidP="00D30DB1">
            <w:pPr>
              <w:spacing w:after="0" w:line="240" w:lineRule="auto"/>
              <w:rPr>
                <w:rFonts w:ascii="Calibri" w:eastAsia="Times New Roman" w:hAnsi="Calibri" w:cs="Times New Roman"/>
                <w:color w:val="000000"/>
              </w:rPr>
            </w:pPr>
          </w:p>
        </w:tc>
      </w:tr>
      <w:tr w:rsidR="009F3CAF" w:rsidRPr="00D30DB1" w:rsidTr="000775B6">
        <w:trPr>
          <w:trHeight w:val="900"/>
        </w:trPr>
        <w:tc>
          <w:tcPr>
            <w:tcW w:w="1277" w:type="pct"/>
            <w:shd w:val="clear" w:color="auto" w:fill="auto"/>
          </w:tcPr>
          <w:p w:rsidR="009F3CAF" w:rsidRPr="00FB4441" w:rsidRDefault="009F3CAF"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Задача 2:</w:t>
            </w:r>
          </w:p>
          <w:p w:rsidR="00741950" w:rsidRPr="00FB4441" w:rsidRDefault="00741950"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Районы за пределами </w:t>
            </w:r>
            <w:proofErr w:type="spellStart"/>
            <w:r>
              <w:rPr>
                <w:rFonts w:ascii="Calibri" w:eastAsia="Times New Roman" w:hAnsi="Calibri" w:cs="Times New Roman"/>
                <w:color w:val="000000"/>
              </w:rPr>
              <w:t>нац</w:t>
            </w:r>
            <w:proofErr w:type="spellEnd"/>
            <w:r>
              <w:rPr>
                <w:rFonts w:ascii="Calibri" w:eastAsia="Times New Roman" w:hAnsi="Calibri" w:cs="Times New Roman"/>
                <w:color w:val="000000"/>
              </w:rPr>
              <w:t>. юрисдикции</w:t>
            </w:r>
          </w:p>
          <w:p w:rsidR="00741950" w:rsidRPr="00FB4441" w:rsidRDefault="00741950" w:rsidP="00D30DB1">
            <w:pPr>
              <w:spacing w:after="0" w:line="240" w:lineRule="auto"/>
              <w:rPr>
                <w:rFonts w:ascii="Calibri" w:eastAsia="Times New Roman" w:hAnsi="Calibri" w:cs="Times New Roman"/>
                <w:color w:val="000000"/>
              </w:rPr>
            </w:pPr>
          </w:p>
          <w:p w:rsidR="00741950" w:rsidRDefault="00741950"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Задача 3:</w:t>
            </w:r>
          </w:p>
          <w:p w:rsidR="000B65EF" w:rsidRDefault="00741950"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Пресные воды</w:t>
            </w:r>
          </w:p>
          <w:p w:rsidR="00741950" w:rsidRPr="00D30DB1" w:rsidRDefault="00403FCE"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Экосистемы</w:t>
            </w:r>
          </w:p>
        </w:tc>
        <w:tc>
          <w:tcPr>
            <w:tcW w:w="877" w:type="pct"/>
            <w:shd w:val="clear" w:color="auto" w:fill="auto"/>
          </w:tcPr>
          <w:p w:rsidR="009F3CAF" w:rsidRDefault="000B65EF"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6 и 11</w:t>
            </w:r>
          </w:p>
          <w:p w:rsidR="000B65EF" w:rsidRDefault="000B65EF" w:rsidP="00D30DB1">
            <w:pPr>
              <w:spacing w:after="0" w:line="240" w:lineRule="auto"/>
              <w:rPr>
                <w:rFonts w:ascii="Calibri" w:eastAsia="Times New Roman" w:hAnsi="Calibri" w:cs="Times New Roman"/>
                <w:color w:val="000000"/>
              </w:rPr>
            </w:pPr>
          </w:p>
          <w:p w:rsidR="000B65EF" w:rsidRDefault="000B65EF" w:rsidP="00D30DB1">
            <w:pPr>
              <w:spacing w:after="0" w:line="240" w:lineRule="auto"/>
              <w:rPr>
                <w:rFonts w:ascii="Calibri" w:eastAsia="Times New Roman" w:hAnsi="Calibri" w:cs="Times New Roman"/>
                <w:color w:val="000000"/>
              </w:rPr>
            </w:pPr>
          </w:p>
          <w:p w:rsidR="000B65EF" w:rsidRPr="00D30DB1" w:rsidRDefault="00DD499D"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6,11, 14</w:t>
            </w:r>
          </w:p>
        </w:tc>
        <w:tc>
          <w:tcPr>
            <w:tcW w:w="1008" w:type="pct"/>
            <w:shd w:val="clear" w:color="auto" w:fill="auto"/>
          </w:tcPr>
          <w:p w:rsidR="009F3CAF" w:rsidRDefault="00316561"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p>
          <w:p w:rsidR="00B40D9E" w:rsidRDefault="00B40D9E" w:rsidP="00D30DB1">
            <w:pPr>
              <w:spacing w:after="0" w:line="240" w:lineRule="auto"/>
              <w:rPr>
                <w:rFonts w:ascii="Calibri" w:eastAsia="Times New Roman" w:hAnsi="Calibri" w:cs="Times New Roman"/>
                <w:color w:val="000000"/>
              </w:rPr>
            </w:pPr>
          </w:p>
          <w:p w:rsidR="00B40D9E" w:rsidRDefault="00B40D9E" w:rsidP="00D30DB1">
            <w:pPr>
              <w:spacing w:after="0" w:line="240" w:lineRule="auto"/>
              <w:rPr>
                <w:rFonts w:ascii="Calibri" w:eastAsia="Times New Roman" w:hAnsi="Calibri" w:cs="Times New Roman"/>
                <w:color w:val="000000"/>
              </w:rPr>
            </w:pPr>
          </w:p>
          <w:p w:rsidR="00B40D9E" w:rsidRPr="00D30DB1" w:rsidRDefault="00B40D9E"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38,4</w:t>
            </w:r>
          </w:p>
        </w:tc>
        <w:tc>
          <w:tcPr>
            <w:tcW w:w="919" w:type="pct"/>
            <w:shd w:val="clear" w:color="auto" w:fill="auto"/>
          </w:tcPr>
          <w:p w:rsidR="00100A84" w:rsidRDefault="00316561"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p>
          <w:p w:rsidR="008B477F" w:rsidRDefault="008B477F" w:rsidP="00D30DB1">
            <w:pPr>
              <w:spacing w:after="0" w:line="240" w:lineRule="auto"/>
              <w:rPr>
                <w:rFonts w:ascii="Calibri" w:eastAsia="Times New Roman" w:hAnsi="Calibri" w:cs="Times New Roman"/>
                <w:color w:val="000000"/>
              </w:rPr>
            </w:pPr>
          </w:p>
          <w:p w:rsidR="008B477F" w:rsidRDefault="008B477F" w:rsidP="00D30DB1">
            <w:pPr>
              <w:spacing w:after="0" w:line="240" w:lineRule="auto"/>
              <w:rPr>
                <w:rFonts w:ascii="Calibri" w:eastAsia="Times New Roman" w:hAnsi="Calibri" w:cs="Times New Roman"/>
                <w:color w:val="000000"/>
              </w:rPr>
            </w:pPr>
          </w:p>
          <w:p w:rsidR="008B477F" w:rsidRPr="00D30DB1" w:rsidRDefault="008B477F"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391,0</w:t>
            </w:r>
          </w:p>
        </w:tc>
        <w:tc>
          <w:tcPr>
            <w:tcW w:w="919" w:type="pct"/>
            <w:shd w:val="clear" w:color="auto" w:fill="auto"/>
          </w:tcPr>
          <w:p w:rsidR="009F3CAF" w:rsidRDefault="00AE7FAF"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p>
          <w:p w:rsidR="008B477F" w:rsidRDefault="008B477F" w:rsidP="00D30DB1">
            <w:pPr>
              <w:spacing w:after="0" w:line="240" w:lineRule="auto"/>
              <w:rPr>
                <w:rFonts w:ascii="Calibri" w:eastAsia="Times New Roman" w:hAnsi="Calibri" w:cs="Times New Roman"/>
                <w:color w:val="000000"/>
              </w:rPr>
            </w:pPr>
          </w:p>
          <w:p w:rsidR="008B477F" w:rsidRDefault="008B477F" w:rsidP="00D30DB1">
            <w:pPr>
              <w:spacing w:after="0" w:line="240" w:lineRule="auto"/>
              <w:rPr>
                <w:rFonts w:ascii="Calibri" w:eastAsia="Times New Roman" w:hAnsi="Calibri" w:cs="Times New Roman"/>
                <w:color w:val="000000"/>
              </w:rPr>
            </w:pPr>
          </w:p>
          <w:p w:rsidR="008B477F" w:rsidRPr="00D30DB1" w:rsidRDefault="008B477F" w:rsidP="00D30DB1">
            <w:pPr>
              <w:spacing w:after="0" w:line="240" w:lineRule="auto"/>
              <w:rPr>
                <w:rFonts w:ascii="Calibri" w:eastAsia="Times New Roman" w:hAnsi="Calibri" w:cs="Times New Roman"/>
                <w:color w:val="000000"/>
              </w:rPr>
            </w:pPr>
            <w:r>
              <w:rPr>
                <w:rFonts w:ascii="Calibri" w:eastAsia="Times New Roman" w:hAnsi="Calibri" w:cs="Times New Roman"/>
                <w:color w:val="000000"/>
              </w:rPr>
              <w:t>429,4</w:t>
            </w:r>
          </w:p>
        </w:tc>
      </w:tr>
      <w:tr w:rsidR="008A74E2" w:rsidRPr="00D30DB1" w:rsidTr="00630594">
        <w:trPr>
          <w:trHeight w:val="702"/>
        </w:trPr>
        <w:tc>
          <w:tcPr>
            <w:tcW w:w="1277" w:type="pct"/>
            <w:tcBorders>
              <w:bottom w:val="single" w:sz="4" w:space="0" w:color="auto"/>
            </w:tcBorders>
            <w:shd w:val="clear" w:color="auto" w:fill="auto"/>
          </w:tcPr>
          <w:p w:rsidR="008A74E2" w:rsidRDefault="008A74E2" w:rsidP="00BA3FA3">
            <w:pPr>
              <w:spacing w:after="0" w:line="240" w:lineRule="auto"/>
              <w:rPr>
                <w:rFonts w:ascii="Calibri" w:eastAsia="Times New Roman" w:hAnsi="Calibri" w:cs="Times New Roman"/>
                <w:color w:val="000000"/>
              </w:rPr>
            </w:pPr>
          </w:p>
          <w:p w:rsidR="008A74E2" w:rsidRPr="00045526" w:rsidRDefault="008A74E2" w:rsidP="00BA3FA3">
            <w:pPr>
              <w:spacing w:after="0" w:line="240" w:lineRule="auto"/>
              <w:rPr>
                <w:rFonts w:ascii="Calibri" w:eastAsia="Times New Roman" w:hAnsi="Calibri" w:cs="Times New Roman"/>
                <w:b/>
                <w:color w:val="000000"/>
              </w:rPr>
            </w:pPr>
            <w:r>
              <w:rPr>
                <w:rFonts w:ascii="Calibri" w:eastAsia="Times New Roman" w:hAnsi="Calibri" w:cs="Times New Roman"/>
                <w:b/>
                <w:bCs/>
                <w:color w:val="000000"/>
              </w:rPr>
              <w:t>Всего</w:t>
            </w:r>
          </w:p>
        </w:tc>
        <w:tc>
          <w:tcPr>
            <w:tcW w:w="877" w:type="pct"/>
            <w:tcBorders>
              <w:bottom w:val="single" w:sz="4" w:space="0" w:color="auto"/>
            </w:tcBorders>
            <w:shd w:val="clear" w:color="auto" w:fill="auto"/>
          </w:tcPr>
          <w:p w:rsidR="008A74E2" w:rsidRPr="00D30DB1" w:rsidRDefault="008A74E2" w:rsidP="00BA3FA3">
            <w:pPr>
              <w:spacing w:after="0" w:line="240" w:lineRule="auto"/>
              <w:rPr>
                <w:rFonts w:ascii="Calibri" w:eastAsia="Times New Roman" w:hAnsi="Calibri" w:cs="Times New Roman"/>
                <w:color w:val="000000"/>
              </w:rPr>
            </w:pPr>
          </w:p>
        </w:tc>
        <w:tc>
          <w:tcPr>
            <w:tcW w:w="1008" w:type="pct"/>
            <w:tcBorders>
              <w:top w:val="nil"/>
              <w:left w:val="nil"/>
              <w:bottom w:val="single" w:sz="4" w:space="0" w:color="auto"/>
              <w:right w:val="nil"/>
            </w:tcBorders>
            <w:shd w:val="clear" w:color="auto" w:fill="auto"/>
          </w:tcPr>
          <w:p w:rsidR="00630594" w:rsidRDefault="00630594" w:rsidP="00BA3FA3">
            <w:pPr>
              <w:spacing w:after="0" w:line="240" w:lineRule="auto"/>
              <w:rPr>
                <w:rFonts w:ascii="Calibri" w:hAnsi="Calibri" w:cs="Calibri"/>
                <w:color w:val="000000"/>
              </w:rPr>
            </w:pPr>
          </w:p>
          <w:p w:rsidR="008A74E2" w:rsidRPr="00D30DB1" w:rsidRDefault="008A74E2" w:rsidP="00BA3FA3">
            <w:pPr>
              <w:spacing w:after="0" w:line="240" w:lineRule="auto"/>
              <w:rPr>
                <w:rFonts w:ascii="Calibri" w:eastAsia="Times New Roman" w:hAnsi="Calibri" w:cs="Times New Roman"/>
                <w:color w:val="000000"/>
              </w:rPr>
            </w:pPr>
            <w:r>
              <w:rPr>
                <w:rFonts w:ascii="Calibri" w:hAnsi="Calibri" w:cs="Calibri"/>
                <w:color w:val="000000"/>
              </w:rPr>
              <w:t>90,5</w:t>
            </w:r>
          </w:p>
        </w:tc>
        <w:tc>
          <w:tcPr>
            <w:tcW w:w="919" w:type="pct"/>
            <w:tcBorders>
              <w:top w:val="nil"/>
              <w:left w:val="nil"/>
              <w:bottom w:val="single" w:sz="4" w:space="0" w:color="auto"/>
              <w:right w:val="nil"/>
            </w:tcBorders>
            <w:shd w:val="clear" w:color="auto" w:fill="auto"/>
          </w:tcPr>
          <w:p w:rsidR="00630594" w:rsidRDefault="00630594" w:rsidP="00BA3FA3">
            <w:pPr>
              <w:spacing w:after="0" w:line="240" w:lineRule="auto"/>
              <w:rPr>
                <w:rFonts w:ascii="Calibri" w:hAnsi="Calibri" w:cs="Calibri"/>
                <w:color w:val="000000"/>
              </w:rPr>
            </w:pPr>
          </w:p>
          <w:p w:rsidR="008A74E2" w:rsidRPr="00D30DB1" w:rsidRDefault="008A74E2" w:rsidP="00BA3FA3">
            <w:pPr>
              <w:spacing w:after="0" w:line="240" w:lineRule="auto"/>
              <w:rPr>
                <w:rFonts w:ascii="Calibri" w:eastAsia="Times New Roman" w:hAnsi="Calibri" w:cs="Times New Roman"/>
                <w:color w:val="000000"/>
              </w:rPr>
            </w:pPr>
            <w:r>
              <w:rPr>
                <w:rFonts w:ascii="Calibri" w:hAnsi="Calibri" w:cs="Calibri"/>
                <w:color w:val="000000"/>
              </w:rPr>
              <w:t>664,4</w:t>
            </w:r>
          </w:p>
        </w:tc>
        <w:tc>
          <w:tcPr>
            <w:tcW w:w="919" w:type="pct"/>
            <w:tcBorders>
              <w:bottom w:val="single" w:sz="4" w:space="0" w:color="auto"/>
            </w:tcBorders>
            <w:shd w:val="clear" w:color="auto" w:fill="auto"/>
          </w:tcPr>
          <w:p w:rsidR="00630594" w:rsidRDefault="00630594" w:rsidP="00BA3FA3">
            <w:pPr>
              <w:spacing w:after="0" w:line="240" w:lineRule="auto"/>
              <w:rPr>
                <w:rFonts w:ascii="Calibri" w:eastAsia="Times New Roman" w:hAnsi="Calibri" w:cs="Times New Roman"/>
                <w:color w:val="000000"/>
              </w:rPr>
            </w:pPr>
          </w:p>
          <w:p w:rsidR="003A7D61" w:rsidRDefault="005029F8" w:rsidP="00BA3FA3">
            <w:pPr>
              <w:spacing w:after="0" w:line="240" w:lineRule="auto"/>
              <w:rPr>
                <w:rFonts w:ascii="Calibri" w:eastAsia="Times New Roman" w:hAnsi="Calibri" w:cs="Times New Roman"/>
                <w:color w:val="000000"/>
              </w:rPr>
            </w:pPr>
            <w:r>
              <w:rPr>
                <w:rFonts w:ascii="Calibri" w:eastAsia="Times New Roman" w:hAnsi="Calibri" w:cs="Times New Roman"/>
                <w:color w:val="000000"/>
              </w:rPr>
              <w:t>754,9</w:t>
            </w:r>
          </w:p>
          <w:p w:rsidR="002B1FF4" w:rsidRPr="00D30DB1" w:rsidRDefault="002B1FF4" w:rsidP="00BA3FA3">
            <w:pPr>
              <w:spacing w:after="0" w:line="240" w:lineRule="auto"/>
              <w:rPr>
                <w:rFonts w:ascii="Calibri" w:eastAsia="Times New Roman" w:hAnsi="Calibri" w:cs="Times New Roman"/>
                <w:color w:val="000000"/>
              </w:rPr>
            </w:pPr>
          </w:p>
        </w:tc>
      </w:tr>
    </w:tbl>
    <w:p w:rsidR="00046027" w:rsidRDefault="00046027" w:rsidP="00AA13C2">
      <w:pPr>
        <w:rPr>
          <w:snapToGrid w:val="0"/>
        </w:rPr>
      </w:pPr>
    </w:p>
    <w:p w:rsidR="00D30DB1" w:rsidRPr="009B5EC4" w:rsidRDefault="00D30DB1" w:rsidP="00105FB1">
      <w:pPr>
        <w:pStyle w:val="3"/>
        <w:rPr>
          <w:snapToGrid w:val="0"/>
        </w:rPr>
      </w:pPr>
      <w:bookmarkStart w:id="39" w:name="_Toc32494928"/>
      <w:r>
        <w:rPr>
          <w:iCs/>
          <w:snapToGrid w:val="0"/>
        </w:rPr>
        <w:t>Несвязанный с грантами инструмент</w:t>
      </w:r>
      <w:bookmarkEnd w:id="39"/>
    </w:p>
    <w:p w:rsidR="00926978" w:rsidRPr="00FB4441" w:rsidRDefault="00C93E18"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t>Внимание партнеров ГЭФ все больше привлекает применение несвязанных с грантами инструментов (</w:t>
      </w:r>
      <w:proofErr w:type="spellStart"/>
      <w:r>
        <w:rPr>
          <w:rFonts w:ascii="Calibri" w:eastAsia="MS Mincho" w:hAnsi="Calibri" w:cs="Times New Roman"/>
          <w:snapToGrid w:val="0"/>
          <w:sz w:val="24"/>
          <w:szCs w:val="24"/>
        </w:rPr>
        <w:t>НГИ</w:t>
      </w:r>
      <w:proofErr w:type="spellEnd"/>
      <w:r>
        <w:rPr>
          <w:rFonts w:ascii="Calibri" w:eastAsia="MS Mincho" w:hAnsi="Calibri" w:cs="Times New Roman"/>
          <w:snapToGrid w:val="0"/>
          <w:sz w:val="24"/>
          <w:szCs w:val="24"/>
        </w:rPr>
        <w:t>) в смешанном финансировании в качестве механизма, повышающего уровень участия частного сектора.</w:t>
      </w:r>
      <w:r w:rsidR="00776E86">
        <w:rPr>
          <w:rFonts w:ascii="Calibri" w:eastAsia="MS Mincho" w:hAnsi="Calibri" w:cs="Times New Roman"/>
          <w:snapToGrid w:val="0"/>
          <w:sz w:val="24"/>
          <w:szCs w:val="24"/>
        </w:rPr>
        <w:t xml:space="preserve"> </w:t>
      </w:r>
      <w:r>
        <w:rPr>
          <w:rFonts w:ascii="Calibri" w:eastAsia="MS Mincho" w:hAnsi="Calibri" w:cs="Times New Roman"/>
          <w:snapToGrid w:val="0"/>
          <w:sz w:val="24"/>
          <w:szCs w:val="24"/>
        </w:rPr>
        <w:t>Смешанное финансирование предусматривает ограниченное использование государственных ресурсов, с тем чтобы раскрыть многочисленные возможности финансирования частного сектора и вследствие этого привлекло значительный интерес в последние годы, включая возможность использование частного сектора для международной помощи в целях развития и дополнительные усилия, которые предпринимают многие двухсторонние и многосторонние фонды, чтобы активизировать частные инвестиции. Опыт использования</w:t>
      </w:r>
      <w:r w:rsidR="00776E86">
        <w:rPr>
          <w:rFonts w:ascii="Calibri" w:eastAsia="MS Mincho" w:hAnsi="Calibri" w:cs="Times New Roman"/>
          <w:snapToGrid w:val="0"/>
          <w:sz w:val="24"/>
          <w:szCs w:val="24"/>
        </w:rPr>
        <w:t xml:space="preserve"> </w:t>
      </w:r>
      <w:r>
        <w:rPr>
          <w:rFonts w:ascii="Calibri" w:eastAsia="MS Mincho" w:hAnsi="Calibri" w:cs="Times New Roman"/>
          <w:snapToGrid w:val="0"/>
          <w:sz w:val="24"/>
          <w:szCs w:val="24"/>
        </w:rPr>
        <w:t>несвязанных с грантами инструментов в ГЭФ показывает, что смешанное финансирование может стать действенным инструментом.</w:t>
      </w:r>
    </w:p>
    <w:p w:rsidR="00C93E18" w:rsidRPr="00FB4441" w:rsidRDefault="00C93E18"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Pr>
          <w:rFonts w:ascii="Calibri" w:eastAsia="MS Mincho" w:hAnsi="Calibri" w:cs="Times New Roman"/>
          <w:snapToGrid w:val="0"/>
          <w:sz w:val="24"/>
          <w:szCs w:val="24"/>
        </w:rPr>
        <w:lastRenderedPageBreak/>
        <w:t>В период ГЭФ-7 ГЭФ активнее использует несвязанные с грантами инструменты в смешанном финансирования, с тем чтобы обеспечить глобальные экологические выгоды и активизировать инвестиции с рынков капитала на глобальном и национальном уровнях в соответствии с задачами целевых областей.</w:t>
      </w:r>
    </w:p>
    <w:p w:rsidR="00046027" w:rsidRPr="00FB4441" w:rsidRDefault="00A327A8" w:rsidP="00FF3B4A">
      <w:pPr>
        <w:pStyle w:val="a9"/>
        <w:numPr>
          <w:ilvl w:val="0"/>
          <w:numId w:val="25"/>
        </w:numPr>
        <w:spacing w:before="240" w:after="240" w:line="240" w:lineRule="auto"/>
        <w:ind w:left="0" w:firstLine="0"/>
        <w:contextualSpacing w:val="0"/>
        <w:rPr>
          <w:rFonts w:ascii="Calibri" w:eastAsia="MS Mincho" w:hAnsi="Calibri" w:cs="Times New Roman"/>
          <w:snapToGrid w:val="0"/>
          <w:sz w:val="24"/>
          <w:szCs w:val="24"/>
        </w:rPr>
      </w:pPr>
      <w:r w:rsidRPr="00673BA4">
        <w:rPr>
          <w:snapToGrid w:val="0"/>
          <w:sz w:val="24"/>
          <w:szCs w:val="24"/>
        </w:rPr>
        <w:t>Как видно из приведенной ниже таблицы 11, в отчетный период был утвержден один проект с несвязанным с грантами инструментом, который вносит непосредственный вклад в выполнение Айтинских целевых задач 2 и 5.</w:t>
      </w:r>
      <w:r w:rsidR="00140920">
        <w:rPr>
          <w:snapToGrid w:val="0"/>
          <w:sz w:val="24"/>
          <w:szCs w:val="24"/>
        </w:rPr>
        <w:t xml:space="preserve"> </w:t>
      </w:r>
    </w:p>
    <w:p w:rsidR="00D30DB1" w:rsidRPr="00FB4441" w:rsidRDefault="00D30DB1" w:rsidP="00CB6102">
      <w:pPr>
        <w:spacing w:before="240" w:after="240" w:line="240" w:lineRule="auto"/>
        <w:jc w:val="center"/>
        <w:rPr>
          <w:rFonts w:ascii="Calibri" w:eastAsia="MS Mincho" w:hAnsi="Calibri" w:cs="Calibri"/>
          <w:b/>
          <w:snapToGrid w:val="0"/>
          <w:sz w:val="24"/>
          <w:szCs w:val="24"/>
        </w:rPr>
      </w:pPr>
      <w:r>
        <w:rPr>
          <w:rFonts w:ascii="Calibri" w:eastAsia="MS Mincho" w:hAnsi="Calibri" w:cs="Calibri"/>
          <w:b/>
          <w:bCs/>
          <w:snapToGrid w:val="0"/>
          <w:sz w:val="24"/>
          <w:szCs w:val="24"/>
        </w:rPr>
        <w:t xml:space="preserve">Таблица 11. Распределение совокупных средств ГЭФ по </w:t>
      </w:r>
      <w:proofErr w:type="spellStart"/>
      <w:r>
        <w:rPr>
          <w:rFonts w:ascii="Calibri" w:eastAsia="MS Mincho" w:hAnsi="Calibri" w:cs="Calibri"/>
          <w:b/>
          <w:bCs/>
          <w:snapToGrid w:val="0"/>
          <w:sz w:val="24"/>
          <w:szCs w:val="24"/>
        </w:rPr>
        <w:t>НГИ</w:t>
      </w:r>
      <w:proofErr w:type="spellEnd"/>
      <w:r>
        <w:rPr>
          <w:rFonts w:ascii="Calibri" w:eastAsia="MS Mincho" w:hAnsi="Calibri" w:cs="Calibri"/>
          <w:b/>
          <w:bCs/>
          <w:snapToGrid w:val="0"/>
          <w:sz w:val="24"/>
          <w:szCs w:val="24"/>
        </w:rPr>
        <w:t xml:space="preserve"> и вкладу в выполнение Айтинских целевых задач по биоразнообразия (1 июля 2018 г. - 31 декабря 2019 г.)</w:t>
      </w:r>
      <w:r>
        <w:rPr>
          <w:rFonts w:ascii="Calibri" w:eastAsia="MS Mincho" w:hAnsi="Calibri" w:cs="Calibri"/>
          <w:b/>
          <w:bCs/>
          <w:snapToGrid w:val="0"/>
          <w:sz w:val="24"/>
          <w:szCs w:val="24"/>
          <w:vertAlign w:val="superscript"/>
        </w:rPr>
        <w:footnoteReference w:id="16"/>
      </w:r>
    </w:p>
    <w:tbl>
      <w:tblPr>
        <w:tblW w:w="4663" w:type="pct"/>
        <w:tblBorders>
          <w:top w:val="single" w:sz="12" w:space="0" w:color="008000"/>
          <w:bottom w:val="single" w:sz="12" w:space="0" w:color="008000"/>
        </w:tblBorders>
        <w:tblLook w:val="04A0"/>
      </w:tblPr>
      <w:tblGrid>
        <w:gridCol w:w="2438"/>
        <w:gridCol w:w="1921"/>
        <w:gridCol w:w="1317"/>
        <w:gridCol w:w="2092"/>
        <w:gridCol w:w="1163"/>
      </w:tblGrid>
      <w:tr w:rsidR="00D30DB1" w:rsidRPr="00FB4441" w:rsidTr="00926978">
        <w:trPr>
          <w:trHeight w:val="570"/>
        </w:trPr>
        <w:tc>
          <w:tcPr>
            <w:tcW w:w="1547" w:type="pct"/>
            <w:shd w:val="clear" w:color="auto" w:fill="auto"/>
            <w:hideMark/>
          </w:tcPr>
          <w:p w:rsidR="00D30DB1" w:rsidRPr="00FE1367" w:rsidRDefault="00D30DB1"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Проекты </w:t>
            </w:r>
            <w:proofErr w:type="spellStart"/>
            <w:r>
              <w:rPr>
                <w:rFonts w:ascii="Calibri" w:eastAsia="Times New Roman" w:hAnsi="Calibri" w:cs="Calibri"/>
                <w:b/>
                <w:bCs/>
                <w:color w:val="000000"/>
              </w:rPr>
              <w:t>НГИ</w:t>
            </w:r>
            <w:proofErr w:type="spellEnd"/>
          </w:p>
        </w:tc>
        <w:tc>
          <w:tcPr>
            <w:tcW w:w="773" w:type="pct"/>
            <w:shd w:val="clear" w:color="auto" w:fill="auto"/>
            <w:hideMark/>
          </w:tcPr>
          <w:p w:rsidR="00D30DB1" w:rsidRPr="00FB4441" w:rsidRDefault="00D30DB1"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Айтинские целевые задачи в области биоразнообразия</w:t>
            </w:r>
          </w:p>
        </w:tc>
        <w:tc>
          <w:tcPr>
            <w:tcW w:w="825" w:type="pct"/>
            <w:shd w:val="clear" w:color="auto" w:fill="auto"/>
          </w:tcPr>
          <w:p w:rsidR="00D30DB1" w:rsidRPr="00FB4441" w:rsidRDefault="00D30DB1"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Проектная поддержка ГЭФ</w:t>
            </w:r>
          </w:p>
          <w:p w:rsidR="00D30DB1" w:rsidRPr="00FE1367" w:rsidRDefault="00D30DB1"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(млн долл. США)</w:t>
            </w:r>
          </w:p>
        </w:tc>
        <w:tc>
          <w:tcPr>
            <w:tcW w:w="929" w:type="pct"/>
            <w:shd w:val="clear" w:color="auto" w:fill="auto"/>
            <w:hideMark/>
          </w:tcPr>
          <w:p w:rsidR="00D30DB1" w:rsidRPr="00FE1367" w:rsidRDefault="002D582B"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Софинансирование</w:t>
            </w:r>
          </w:p>
          <w:p w:rsidR="00D30DB1" w:rsidRPr="00FE1367" w:rsidRDefault="00D30DB1"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(млн долл. США)</w:t>
            </w:r>
          </w:p>
        </w:tc>
        <w:tc>
          <w:tcPr>
            <w:tcW w:w="926" w:type="pct"/>
            <w:shd w:val="clear" w:color="auto" w:fill="auto"/>
          </w:tcPr>
          <w:p w:rsidR="00D30DB1" w:rsidRPr="00FB4441" w:rsidRDefault="00D30DB1"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Всего ресурсы</w:t>
            </w:r>
          </w:p>
          <w:p w:rsidR="00D30DB1" w:rsidRPr="00FB4441" w:rsidRDefault="00D30DB1" w:rsidP="00D30DB1">
            <w:pPr>
              <w:spacing w:after="0" w:line="240" w:lineRule="auto"/>
              <w:rPr>
                <w:rFonts w:ascii="Calibri" w:eastAsia="Times New Roman" w:hAnsi="Calibri" w:cs="Calibri"/>
                <w:b/>
                <w:bCs/>
                <w:color w:val="000000"/>
              </w:rPr>
            </w:pPr>
            <w:r>
              <w:rPr>
                <w:rFonts w:ascii="Calibri" w:eastAsia="Times New Roman" w:hAnsi="Calibri" w:cs="Calibri"/>
                <w:b/>
                <w:bCs/>
                <w:color w:val="000000"/>
              </w:rPr>
              <w:t>(млн долл. США)</w:t>
            </w:r>
          </w:p>
        </w:tc>
      </w:tr>
      <w:tr w:rsidR="00D30DB1" w:rsidRPr="00D30DB1" w:rsidTr="00926978">
        <w:trPr>
          <w:trHeight w:val="900"/>
        </w:trPr>
        <w:tc>
          <w:tcPr>
            <w:tcW w:w="1547" w:type="pct"/>
            <w:shd w:val="clear" w:color="auto" w:fill="auto"/>
          </w:tcPr>
          <w:p w:rsidR="00D30DB1" w:rsidRPr="00FB4441" w:rsidRDefault="00857A08" w:rsidP="00D30DB1">
            <w:pPr>
              <w:spacing w:after="0" w:line="240" w:lineRule="auto"/>
              <w:rPr>
                <w:rFonts w:ascii="Calibri" w:eastAsia="Times New Roman" w:hAnsi="Calibri" w:cs="Calibri"/>
                <w:color w:val="000000"/>
              </w:rPr>
            </w:pPr>
            <w:r>
              <w:rPr>
                <w:rFonts w:ascii="Calibri" w:eastAsia="Times New Roman" w:hAnsi="Calibri" w:cs="Calibri"/>
                <w:color w:val="000000"/>
              </w:rPr>
              <w:t>Фонд продовольственной безопасности: Фонд, финансирующий производственно-сбытовые цепочки на уровне развивающихся рынков</w:t>
            </w:r>
          </w:p>
        </w:tc>
        <w:tc>
          <w:tcPr>
            <w:tcW w:w="773" w:type="pct"/>
            <w:shd w:val="clear" w:color="auto" w:fill="auto"/>
          </w:tcPr>
          <w:p w:rsidR="00D30DB1" w:rsidRPr="00FB4441" w:rsidRDefault="00D30DB1" w:rsidP="00D30DB1">
            <w:pPr>
              <w:spacing w:after="0" w:line="240" w:lineRule="auto"/>
              <w:rPr>
                <w:rFonts w:ascii="Calibri" w:eastAsia="Times New Roman" w:hAnsi="Calibri" w:cs="Calibri"/>
                <w:color w:val="000000"/>
              </w:rPr>
            </w:pPr>
          </w:p>
          <w:p w:rsidR="00857A08" w:rsidRPr="00FE1367" w:rsidRDefault="00485EDA" w:rsidP="00D30DB1">
            <w:pPr>
              <w:spacing w:after="0" w:line="240" w:lineRule="auto"/>
              <w:rPr>
                <w:rFonts w:ascii="Calibri" w:eastAsia="Times New Roman" w:hAnsi="Calibri" w:cs="Calibri"/>
                <w:color w:val="000000"/>
              </w:rPr>
            </w:pPr>
            <w:r>
              <w:rPr>
                <w:rFonts w:ascii="Calibri" w:eastAsia="Times New Roman" w:hAnsi="Calibri" w:cs="Calibri"/>
                <w:color w:val="000000"/>
              </w:rPr>
              <w:t>2,5</w:t>
            </w:r>
          </w:p>
        </w:tc>
        <w:tc>
          <w:tcPr>
            <w:tcW w:w="825" w:type="pct"/>
            <w:shd w:val="clear" w:color="auto" w:fill="auto"/>
          </w:tcPr>
          <w:p w:rsidR="00D30DB1" w:rsidRDefault="00D30DB1" w:rsidP="00D30DB1">
            <w:pPr>
              <w:spacing w:after="0" w:line="240" w:lineRule="auto"/>
              <w:rPr>
                <w:rFonts w:ascii="Calibri" w:eastAsia="MS Mincho" w:hAnsi="Calibri" w:cs="Calibri"/>
              </w:rPr>
            </w:pPr>
          </w:p>
          <w:p w:rsidR="00485EDA" w:rsidRPr="00FE1367" w:rsidRDefault="00663160" w:rsidP="00D30DB1">
            <w:pPr>
              <w:spacing w:after="0" w:line="240" w:lineRule="auto"/>
              <w:rPr>
                <w:rFonts w:ascii="Calibri" w:eastAsia="MS Mincho" w:hAnsi="Calibri" w:cs="Calibri"/>
              </w:rPr>
            </w:pPr>
            <w:r>
              <w:rPr>
                <w:rFonts w:ascii="Calibri" w:eastAsia="MS Mincho" w:hAnsi="Calibri" w:cs="Calibri"/>
              </w:rPr>
              <w:t>15,0</w:t>
            </w:r>
          </w:p>
        </w:tc>
        <w:tc>
          <w:tcPr>
            <w:tcW w:w="929" w:type="pct"/>
            <w:shd w:val="clear" w:color="auto" w:fill="auto"/>
          </w:tcPr>
          <w:p w:rsidR="00D30DB1" w:rsidRDefault="00D30DB1" w:rsidP="00D30DB1">
            <w:pPr>
              <w:spacing w:after="0" w:line="240" w:lineRule="auto"/>
              <w:rPr>
                <w:rFonts w:ascii="Calibri" w:eastAsia="MS Mincho" w:hAnsi="Calibri" w:cs="Calibri"/>
              </w:rPr>
            </w:pPr>
          </w:p>
          <w:p w:rsidR="00663160" w:rsidRPr="00FE1367" w:rsidRDefault="00663160" w:rsidP="00D30DB1">
            <w:pPr>
              <w:spacing w:after="0" w:line="240" w:lineRule="auto"/>
              <w:rPr>
                <w:rFonts w:ascii="Calibri" w:eastAsia="MS Mincho" w:hAnsi="Calibri" w:cs="Calibri"/>
              </w:rPr>
            </w:pPr>
            <w:r>
              <w:rPr>
                <w:rFonts w:ascii="Calibri" w:eastAsia="MS Mincho" w:hAnsi="Calibri" w:cs="Calibri"/>
              </w:rPr>
              <w:t>773,3</w:t>
            </w:r>
          </w:p>
        </w:tc>
        <w:tc>
          <w:tcPr>
            <w:tcW w:w="926" w:type="pct"/>
            <w:shd w:val="clear" w:color="auto" w:fill="auto"/>
          </w:tcPr>
          <w:p w:rsidR="00D30DB1" w:rsidRDefault="00D30DB1" w:rsidP="00D30DB1">
            <w:pPr>
              <w:spacing w:after="0" w:line="240" w:lineRule="auto"/>
              <w:rPr>
                <w:rFonts w:ascii="Calibri" w:eastAsia="MS Mincho" w:hAnsi="Calibri" w:cs="Calibri"/>
              </w:rPr>
            </w:pPr>
          </w:p>
          <w:p w:rsidR="00663160" w:rsidRPr="00FE1367" w:rsidRDefault="00663160" w:rsidP="00D30DB1">
            <w:pPr>
              <w:spacing w:after="0" w:line="240" w:lineRule="auto"/>
              <w:rPr>
                <w:rFonts w:ascii="Calibri" w:eastAsia="MS Mincho" w:hAnsi="Calibri" w:cs="Calibri"/>
              </w:rPr>
            </w:pPr>
            <w:r>
              <w:rPr>
                <w:rFonts w:ascii="Calibri" w:eastAsia="MS Mincho" w:hAnsi="Calibri" w:cs="Calibri"/>
              </w:rPr>
              <w:t>788,3</w:t>
            </w:r>
          </w:p>
        </w:tc>
      </w:tr>
      <w:tr w:rsidR="00D30DB1" w:rsidRPr="00D30DB1" w:rsidTr="00926978">
        <w:trPr>
          <w:trHeight w:val="900"/>
        </w:trPr>
        <w:tc>
          <w:tcPr>
            <w:tcW w:w="1547" w:type="pct"/>
            <w:shd w:val="clear" w:color="auto" w:fill="auto"/>
          </w:tcPr>
          <w:p w:rsidR="00D30DB1" w:rsidRPr="00FE1367" w:rsidRDefault="00D30DB1" w:rsidP="00D30DB1">
            <w:pPr>
              <w:spacing w:after="0" w:line="240" w:lineRule="auto"/>
              <w:rPr>
                <w:rFonts w:ascii="Calibri" w:eastAsia="Times New Roman" w:hAnsi="Calibri" w:cs="Calibri"/>
                <w:color w:val="000000"/>
              </w:rPr>
            </w:pPr>
          </w:p>
          <w:p w:rsidR="00D30DB1" w:rsidRPr="00FE1367" w:rsidRDefault="00D30DB1" w:rsidP="00D30DB1">
            <w:pPr>
              <w:spacing w:after="0" w:line="240" w:lineRule="auto"/>
              <w:rPr>
                <w:rFonts w:ascii="Calibri" w:eastAsia="Times New Roman" w:hAnsi="Calibri" w:cs="Calibri"/>
                <w:b/>
                <w:color w:val="000000"/>
              </w:rPr>
            </w:pPr>
            <w:r>
              <w:rPr>
                <w:rFonts w:ascii="Calibri" w:eastAsia="Times New Roman" w:hAnsi="Calibri" w:cs="Calibri"/>
                <w:b/>
                <w:bCs/>
                <w:color w:val="000000"/>
              </w:rPr>
              <w:t>Всего</w:t>
            </w:r>
          </w:p>
          <w:p w:rsidR="00D30DB1" w:rsidRPr="00FE1367" w:rsidRDefault="00D30DB1" w:rsidP="00D30DB1">
            <w:pPr>
              <w:spacing w:after="0" w:line="240" w:lineRule="auto"/>
              <w:rPr>
                <w:rFonts w:ascii="Calibri" w:eastAsia="Times New Roman" w:hAnsi="Calibri" w:cs="Calibri"/>
                <w:color w:val="000000"/>
              </w:rPr>
            </w:pPr>
          </w:p>
        </w:tc>
        <w:tc>
          <w:tcPr>
            <w:tcW w:w="773" w:type="pct"/>
            <w:shd w:val="clear" w:color="auto" w:fill="auto"/>
          </w:tcPr>
          <w:p w:rsidR="00D30DB1" w:rsidRDefault="00D30DB1" w:rsidP="00D30DB1">
            <w:pPr>
              <w:spacing w:after="0" w:line="240" w:lineRule="auto"/>
              <w:rPr>
                <w:rFonts w:ascii="Calibri" w:eastAsia="Times New Roman" w:hAnsi="Calibri" w:cs="Calibri"/>
                <w:color w:val="000000"/>
              </w:rPr>
            </w:pPr>
          </w:p>
          <w:p w:rsidR="006E6D87" w:rsidRPr="00FE1367" w:rsidRDefault="006E6D87" w:rsidP="00D30DB1">
            <w:pPr>
              <w:spacing w:after="0" w:line="240" w:lineRule="auto"/>
              <w:rPr>
                <w:rFonts w:ascii="Calibri" w:eastAsia="Times New Roman" w:hAnsi="Calibri" w:cs="Calibri"/>
                <w:color w:val="000000"/>
              </w:rPr>
            </w:pPr>
          </w:p>
        </w:tc>
        <w:tc>
          <w:tcPr>
            <w:tcW w:w="825" w:type="pct"/>
            <w:shd w:val="clear" w:color="auto" w:fill="auto"/>
          </w:tcPr>
          <w:p w:rsidR="00553A18" w:rsidRDefault="00553A18" w:rsidP="00D30DB1">
            <w:pPr>
              <w:spacing w:after="0" w:line="240" w:lineRule="auto"/>
              <w:rPr>
                <w:rFonts w:ascii="Calibri" w:eastAsia="Times New Roman" w:hAnsi="Calibri" w:cs="Calibri"/>
                <w:color w:val="000000"/>
              </w:rPr>
            </w:pPr>
          </w:p>
          <w:p w:rsidR="00D30DB1" w:rsidRPr="00FE1367" w:rsidRDefault="00553A18" w:rsidP="00D30DB1">
            <w:pPr>
              <w:spacing w:after="0" w:line="240" w:lineRule="auto"/>
              <w:rPr>
                <w:rFonts w:ascii="Calibri" w:eastAsia="Times New Roman" w:hAnsi="Calibri" w:cs="Calibri"/>
                <w:color w:val="000000"/>
              </w:rPr>
            </w:pPr>
            <w:r>
              <w:rPr>
                <w:rFonts w:ascii="Calibri" w:eastAsia="Times New Roman" w:hAnsi="Calibri" w:cs="Calibri"/>
                <w:color w:val="000000"/>
              </w:rPr>
              <w:t>15,0</w:t>
            </w:r>
          </w:p>
        </w:tc>
        <w:tc>
          <w:tcPr>
            <w:tcW w:w="929" w:type="pct"/>
            <w:shd w:val="clear" w:color="auto" w:fill="auto"/>
          </w:tcPr>
          <w:p w:rsidR="00D30DB1" w:rsidRDefault="00D30DB1" w:rsidP="00D30DB1">
            <w:pPr>
              <w:spacing w:after="0" w:line="240" w:lineRule="auto"/>
              <w:rPr>
                <w:rFonts w:ascii="Calibri" w:eastAsia="Times New Roman" w:hAnsi="Calibri" w:cs="Calibri"/>
                <w:color w:val="000000"/>
              </w:rPr>
            </w:pPr>
          </w:p>
          <w:p w:rsidR="00553A18" w:rsidRPr="00FE1367" w:rsidRDefault="00553A18" w:rsidP="00D30DB1">
            <w:pPr>
              <w:spacing w:after="0" w:line="240" w:lineRule="auto"/>
              <w:rPr>
                <w:rFonts w:ascii="Calibri" w:eastAsia="Times New Roman" w:hAnsi="Calibri" w:cs="Calibri"/>
                <w:color w:val="000000"/>
              </w:rPr>
            </w:pPr>
            <w:r>
              <w:rPr>
                <w:rFonts w:ascii="Calibri" w:eastAsia="Times New Roman" w:hAnsi="Calibri" w:cs="Calibri"/>
                <w:color w:val="000000"/>
              </w:rPr>
              <w:t>773,3</w:t>
            </w:r>
          </w:p>
        </w:tc>
        <w:tc>
          <w:tcPr>
            <w:tcW w:w="926" w:type="pct"/>
            <w:shd w:val="clear" w:color="auto" w:fill="auto"/>
          </w:tcPr>
          <w:p w:rsidR="00D30DB1" w:rsidRDefault="00D30DB1" w:rsidP="00D30DB1">
            <w:pPr>
              <w:spacing w:after="0" w:line="240" w:lineRule="auto"/>
              <w:rPr>
                <w:rFonts w:ascii="Calibri" w:eastAsia="Times New Roman" w:hAnsi="Calibri" w:cs="Calibri"/>
                <w:color w:val="000000"/>
              </w:rPr>
            </w:pPr>
          </w:p>
          <w:p w:rsidR="00553A18" w:rsidRPr="00FE1367" w:rsidRDefault="00C56687" w:rsidP="00D30DB1">
            <w:pPr>
              <w:spacing w:after="0" w:line="240" w:lineRule="auto"/>
              <w:rPr>
                <w:rFonts w:ascii="Calibri" w:eastAsia="Times New Roman" w:hAnsi="Calibri" w:cs="Calibri"/>
                <w:color w:val="000000"/>
              </w:rPr>
            </w:pPr>
            <w:r>
              <w:rPr>
                <w:rFonts w:ascii="Calibri" w:eastAsia="Times New Roman" w:hAnsi="Calibri" w:cs="Calibri"/>
                <w:color w:val="000000"/>
              </w:rPr>
              <w:t>788,3</w:t>
            </w:r>
          </w:p>
        </w:tc>
      </w:tr>
    </w:tbl>
    <w:p w:rsidR="00B312AC" w:rsidRDefault="00B312AC" w:rsidP="00B312AC">
      <w:pPr>
        <w:spacing w:after="0"/>
        <w:rPr>
          <w:snapToGrid w:val="0"/>
        </w:rPr>
      </w:pPr>
    </w:p>
    <w:p w:rsidR="00D30DB1" w:rsidRPr="009B5EC4" w:rsidRDefault="00D30DB1" w:rsidP="00B312AC">
      <w:pPr>
        <w:pStyle w:val="3"/>
        <w:rPr>
          <w:snapToGrid w:val="0"/>
        </w:rPr>
      </w:pPr>
      <w:bookmarkStart w:id="40" w:name="_Toc32494929"/>
      <w:r>
        <w:rPr>
          <w:iCs/>
          <w:snapToGrid w:val="0"/>
        </w:rPr>
        <w:t>Программа малых грантов</w:t>
      </w:r>
      <w:bookmarkEnd w:id="40"/>
    </w:p>
    <w:p w:rsidR="00DC1E0E" w:rsidRPr="00FB4441" w:rsidRDefault="00DC1E0E" w:rsidP="00FF3B4A">
      <w:pPr>
        <w:pStyle w:val="a9"/>
        <w:numPr>
          <w:ilvl w:val="0"/>
          <w:numId w:val="25"/>
        </w:numPr>
        <w:spacing w:before="240" w:after="240" w:line="240" w:lineRule="auto"/>
        <w:ind w:left="0" w:firstLine="0"/>
        <w:contextualSpacing w:val="0"/>
        <w:rPr>
          <w:rFonts w:ascii="Calibri" w:eastAsia="MS Mincho" w:hAnsi="Calibri" w:cs="Calibri"/>
          <w:snapToGrid w:val="0"/>
          <w:sz w:val="24"/>
          <w:szCs w:val="24"/>
        </w:rPr>
      </w:pPr>
      <w:r>
        <w:rPr>
          <w:rFonts w:ascii="Calibri" w:eastAsia="MS Mincho" w:hAnsi="Calibri" w:cs="Calibri"/>
          <w:sz w:val="24"/>
          <w:szCs w:val="24"/>
        </w:rPr>
        <w:t>В отчетный период</w:t>
      </w:r>
      <w:r w:rsidR="00673BA4" w:rsidRPr="00673BA4">
        <w:rPr>
          <w:rFonts w:ascii="Calibri" w:eastAsia="MS Mincho" w:hAnsi="Calibri" w:cs="Calibri"/>
          <w:sz w:val="24"/>
          <w:szCs w:val="24"/>
        </w:rPr>
        <w:t xml:space="preserve"> </w:t>
      </w:r>
      <w:r>
        <w:rPr>
          <w:rFonts w:ascii="Calibri" w:eastAsia="MS Mincho" w:hAnsi="Calibri" w:cs="Calibri"/>
          <w:snapToGrid w:val="0"/>
          <w:sz w:val="24"/>
          <w:szCs w:val="24"/>
        </w:rPr>
        <w:t>ГЭФ одобрил первый этап программы малых грантов (</w:t>
      </w:r>
      <w:proofErr w:type="spellStart"/>
      <w:r>
        <w:rPr>
          <w:rFonts w:ascii="Calibri" w:eastAsia="MS Mincho" w:hAnsi="Calibri" w:cs="Calibri"/>
          <w:snapToGrid w:val="0"/>
          <w:sz w:val="24"/>
          <w:szCs w:val="24"/>
        </w:rPr>
        <w:t>ПМГ</w:t>
      </w:r>
      <w:proofErr w:type="spellEnd"/>
      <w:r>
        <w:rPr>
          <w:rFonts w:ascii="Calibri" w:eastAsia="MS Mincho" w:hAnsi="Calibri" w:cs="Calibri"/>
          <w:snapToGrid w:val="0"/>
          <w:sz w:val="24"/>
          <w:szCs w:val="24"/>
        </w:rPr>
        <w:t>) в ГЭФ-7 на общую сумму</w:t>
      </w:r>
      <w:r w:rsidR="00776E86">
        <w:rPr>
          <w:rFonts w:ascii="Calibri" w:eastAsia="MS Mincho" w:hAnsi="Calibri" w:cs="Calibri"/>
          <w:snapToGrid w:val="0"/>
          <w:sz w:val="24"/>
          <w:szCs w:val="24"/>
        </w:rPr>
        <w:t xml:space="preserve"> </w:t>
      </w:r>
      <w:r>
        <w:rPr>
          <w:rFonts w:ascii="Calibri" w:eastAsia="MS Mincho" w:hAnsi="Calibri" w:cs="Calibri"/>
          <w:snapToGrid w:val="0"/>
          <w:sz w:val="24"/>
          <w:szCs w:val="24"/>
        </w:rPr>
        <w:t>64 млн долл. США. В эту сумму входит компонент по биоразнообразию в размере</w:t>
      </w:r>
      <w:r w:rsidR="00776E86">
        <w:rPr>
          <w:rFonts w:ascii="Calibri" w:eastAsia="MS Mincho" w:hAnsi="Calibri" w:cs="Calibri"/>
          <w:snapToGrid w:val="0"/>
          <w:sz w:val="24"/>
          <w:szCs w:val="24"/>
        </w:rPr>
        <w:t xml:space="preserve"> </w:t>
      </w:r>
      <w:r>
        <w:rPr>
          <w:rFonts w:ascii="Calibri" w:eastAsia="MS Mincho" w:hAnsi="Calibri" w:cs="Calibri"/>
          <w:snapToGrid w:val="0"/>
          <w:sz w:val="24"/>
          <w:szCs w:val="24"/>
        </w:rPr>
        <w:t xml:space="preserve">21 млн долл. из ресурсов ГЭФ, которые привлекли такую же сумму в виде софинансирования. Кроме того, ГЭФ одобрил семь обновленных концепций страновых программ в виде </w:t>
      </w:r>
      <w:proofErr w:type="spellStart"/>
      <w:r>
        <w:rPr>
          <w:rFonts w:ascii="Calibri" w:eastAsia="MS Mincho" w:hAnsi="Calibri" w:cs="Calibri"/>
          <w:snapToGrid w:val="0"/>
          <w:sz w:val="24"/>
          <w:szCs w:val="24"/>
        </w:rPr>
        <w:t>ПМГ</w:t>
      </w:r>
      <w:proofErr w:type="spellEnd"/>
      <w:r>
        <w:rPr>
          <w:rFonts w:ascii="Calibri" w:eastAsia="MS Mincho" w:hAnsi="Calibri" w:cs="Calibri"/>
          <w:snapToGrid w:val="0"/>
          <w:sz w:val="24"/>
          <w:szCs w:val="24"/>
        </w:rPr>
        <w:t xml:space="preserve"> (Бразилия, Коста-Рика, Египет, Индия, Кения, Малайзия и Филиппины) и один среднемасштабный проект (Эквадор) на средства СПРР с компонентами по биоразнообразию и с общим финансированием на сумму около</w:t>
      </w:r>
      <w:r w:rsidR="00776E86">
        <w:rPr>
          <w:rFonts w:ascii="Calibri" w:eastAsia="MS Mincho" w:hAnsi="Calibri" w:cs="Calibri"/>
          <w:snapToGrid w:val="0"/>
          <w:sz w:val="24"/>
          <w:szCs w:val="24"/>
        </w:rPr>
        <w:t xml:space="preserve"> </w:t>
      </w:r>
      <w:r>
        <w:rPr>
          <w:rFonts w:ascii="Calibri" w:eastAsia="MS Mincho" w:hAnsi="Calibri" w:cs="Calibri"/>
          <w:snapToGrid w:val="0"/>
          <w:sz w:val="24"/>
          <w:szCs w:val="24"/>
        </w:rPr>
        <w:t>18,8 млн долл. США из средств ГЭФ и ожидаемым софинансированием компонентов по биоразнообразию в размере</w:t>
      </w:r>
      <w:r w:rsidR="00776E86">
        <w:rPr>
          <w:rFonts w:ascii="Calibri" w:eastAsia="MS Mincho" w:hAnsi="Calibri" w:cs="Calibri"/>
          <w:snapToGrid w:val="0"/>
          <w:sz w:val="24"/>
          <w:szCs w:val="24"/>
        </w:rPr>
        <w:t xml:space="preserve"> </w:t>
      </w:r>
      <w:r>
        <w:rPr>
          <w:rFonts w:ascii="Calibri" w:eastAsia="MS Mincho" w:hAnsi="Calibri" w:cs="Calibri"/>
          <w:snapToGrid w:val="0"/>
          <w:sz w:val="24"/>
          <w:szCs w:val="24"/>
        </w:rPr>
        <w:t>29,3 млн долл.</w:t>
      </w:r>
      <w:r w:rsidR="00140920">
        <w:rPr>
          <w:rFonts w:ascii="Calibri" w:eastAsia="MS Mincho" w:hAnsi="Calibri" w:cs="Calibri"/>
          <w:snapToGrid w:val="0"/>
          <w:sz w:val="24"/>
          <w:szCs w:val="24"/>
        </w:rPr>
        <w:t xml:space="preserve"> США.</w:t>
      </w:r>
    </w:p>
    <w:p w:rsidR="00DC1E0E" w:rsidRPr="00FB4441" w:rsidRDefault="00DC1E0E" w:rsidP="00FF3B4A">
      <w:pPr>
        <w:pStyle w:val="a9"/>
        <w:numPr>
          <w:ilvl w:val="0"/>
          <w:numId w:val="25"/>
        </w:numPr>
        <w:spacing w:before="240" w:after="240" w:line="240" w:lineRule="auto"/>
        <w:ind w:left="0" w:firstLine="0"/>
        <w:contextualSpacing w:val="0"/>
        <w:rPr>
          <w:rFonts w:ascii="Calibri" w:eastAsia="MS Mincho" w:hAnsi="Calibri" w:cs="Calibri"/>
          <w:snapToGrid w:val="0"/>
          <w:sz w:val="24"/>
          <w:szCs w:val="24"/>
        </w:rPr>
      </w:pPr>
      <w:r>
        <w:rPr>
          <w:rFonts w:ascii="Calibri" w:eastAsia="MS Mincho" w:hAnsi="Calibri" w:cs="Calibri"/>
          <w:snapToGrid w:val="0"/>
          <w:sz w:val="24"/>
          <w:szCs w:val="24"/>
        </w:rPr>
        <w:lastRenderedPageBreak/>
        <w:t xml:space="preserve">Согласно годовому отчету о мониторинге </w:t>
      </w:r>
      <w:proofErr w:type="spellStart"/>
      <w:r>
        <w:rPr>
          <w:rFonts w:ascii="Calibri" w:eastAsia="MS Mincho" w:hAnsi="Calibri" w:cs="Calibri"/>
          <w:snapToGrid w:val="0"/>
          <w:sz w:val="24"/>
          <w:szCs w:val="24"/>
        </w:rPr>
        <w:t>ПМГ</w:t>
      </w:r>
      <w:proofErr w:type="spellEnd"/>
      <w:r>
        <w:rPr>
          <w:rFonts w:ascii="Calibri" w:eastAsia="MS Mincho" w:hAnsi="Calibri" w:cs="Calibri"/>
          <w:snapToGrid w:val="0"/>
          <w:sz w:val="24"/>
          <w:szCs w:val="24"/>
        </w:rPr>
        <w:t xml:space="preserve"> за 2018 финансовый год, охватывающий период с июля 2018 года по июнь 2019 года, активный портфель </w:t>
      </w:r>
      <w:proofErr w:type="spellStart"/>
      <w:r>
        <w:rPr>
          <w:rFonts w:ascii="Calibri" w:eastAsia="MS Mincho" w:hAnsi="Calibri" w:cs="Calibri"/>
          <w:snapToGrid w:val="0"/>
          <w:sz w:val="24"/>
          <w:szCs w:val="24"/>
        </w:rPr>
        <w:t>грантовых</w:t>
      </w:r>
      <w:proofErr w:type="spellEnd"/>
      <w:r>
        <w:rPr>
          <w:rFonts w:ascii="Calibri" w:eastAsia="MS Mincho" w:hAnsi="Calibri" w:cs="Calibri"/>
          <w:snapToGrid w:val="0"/>
          <w:sz w:val="24"/>
          <w:szCs w:val="24"/>
        </w:rPr>
        <w:t xml:space="preserve"> проектов, финансируемый за счет средств ГЭФ, состоял из 3182 проектов на сумму 108,5 млн долл. США с привлеченным софинансированием в размере 99,5 млн долл.</w:t>
      </w:r>
      <w:r w:rsidR="00776E86">
        <w:rPr>
          <w:rFonts w:ascii="Calibri" w:eastAsia="MS Mincho" w:hAnsi="Calibri" w:cs="Calibri"/>
          <w:snapToGrid w:val="0"/>
          <w:sz w:val="24"/>
          <w:szCs w:val="24"/>
        </w:rPr>
        <w:t xml:space="preserve"> </w:t>
      </w:r>
      <w:r>
        <w:rPr>
          <w:rFonts w:ascii="Calibri" w:eastAsia="MS Mincho" w:hAnsi="Calibri" w:cs="Calibri"/>
          <w:snapToGrid w:val="0"/>
          <w:sz w:val="24"/>
          <w:szCs w:val="24"/>
        </w:rPr>
        <w:t xml:space="preserve">В структуре проектов </w:t>
      </w:r>
      <w:proofErr w:type="spellStart"/>
      <w:r>
        <w:rPr>
          <w:rFonts w:ascii="Calibri" w:eastAsia="MS Mincho" w:hAnsi="Calibri" w:cs="Calibri"/>
          <w:snapToGrid w:val="0"/>
          <w:sz w:val="24"/>
          <w:szCs w:val="24"/>
        </w:rPr>
        <w:t>ПМГ</w:t>
      </w:r>
      <w:proofErr w:type="spellEnd"/>
      <w:r>
        <w:rPr>
          <w:rFonts w:ascii="Calibri" w:eastAsia="MS Mincho" w:hAnsi="Calibri" w:cs="Calibri"/>
          <w:snapToGrid w:val="0"/>
          <w:sz w:val="24"/>
          <w:szCs w:val="24"/>
        </w:rPr>
        <w:t xml:space="preserve"> на стадии реализации по-прежнему преобладают проекты по биоразнообразию как ведущей целевой области, на которую приходится наибольшая доля в проектном портфеле - 40 процентов.</w:t>
      </w:r>
    </w:p>
    <w:p w:rsidR="00DC1E0E" w:rsidRPr="00644CCA" w:rsidRDefault="00DC1E0E" w:rsidP="00FF3B4A">
      <w:pPr>
        <w:pStyle w:val="a9"/>
        <w:numPr>
          <w:ilvl w:val="0"/>
          <w:numId w:val="25"/>
        </w:numPr>
        <w:spacing w:before="240" w:after="240" w:line="240" w:lineRule="auto"/>
        <w:ind w:left="0" w:firstLine="0"/>
        <w:contextualSpacing w:val="0"/>
        <w:rPr>
          <w:snapToGrid w:val="0"/>
          <w:sz w:val="24"/>
          <w:szCs w:val="24"/>
        </w:rPr>
      </w:pPr>
      <w:r w:rsidRPr="00644CCA">
        <w:rPr>
          <w:snapToGrid w:val="0"/>
          <w:sz w:val="24"/>
          <w:szCs w:val="24"/>
        </w:rPr>
        <w:t xml:space="preserve">В 2018 финансовом году было завершено 408 проектов по биоразнообразию в рамках </w:t>
      </w:r>
      <w:proofErr w:type="spellStart"/>
      <w:r w:rsidRPr="00644CCA">
        <w:rPr>
          <w:snapToGrid w:val="0"/>
          <w:sz w:val="24"/>
          <w:szCs w:val="24"/>
        </w:rPr>
        <w:t>ПМГ</w:t>
      </w:r>
      <w:proofErr w:type="spellEnd"/>
      <w:r w:rsidRPr="00644CCA">
        <w:rPr>
          <w:snapToGrid w:val="0"/>
          <w:sz w:val="24"/>
          <w:szCs w:val="24"/>
        </w:rPr>
        <w:t xml:space="preserve">, которые помогли сохранить или улучшить статус сохранности не менее чем 859 видов и привели к положительному эффекту в 172 охраняемых районах и в 244 районах, охраняемых коренными народами и общинами, общая площадь которых составила 5,8 млн гектар. Кроме того, общинная практика сохранения и устойчивого использования биоразнообразия была улучшена в 162 целевых наземных/морских ландшафтах. Что касается устойчивого использования биоразнообразия, то проекты </w:t>
      </w:r>
      <w:proofErr w:type="spellStart"/>
      <w:r w:rsidRPr="00644CCA">
        <w:rPr>
          <w:snapToGrid w:val="0"/>
          <w:sz w:val="24"/>
          <w:szCs w:val="24"/>
        </w:rPr>
        <w:t>ПМГ</w:t>
      </w:r>
      <w:proofErr w:type="spellEnd"/>
      <w:r w:rsidRPr="00644CCA">
        <w:rPr>
          <w:snapToGrid w:val="0"/>
          <w:sz w:val="24"/>
          <w:szCs w:val="24"/>
        </w:rPr>
        <w:t xml:space="preserve"> помогли в производстве 471 вида продукции, полученных на основе биоразнообразия.</w:t>
      </w:r>
    </w:p>
    <w:p w:rsidR="00DC1E0E" w:rsidRPr="00FB4441" w:rsidRDefault="00DC1E0E" w:rsidP="00FF3B4A">
      <w:pPr>
        <w:pStyle w:val="a9"/>
        <w:numPr>
          <w:ilvl w:val="0"/>
          <w:numId w:val="25"/>
        </w:numPr>
        <w:spacing w:before="240" w:after="240" w:line="240" w:lineRule="auto"/>
        <w:ind w:left="0" w:firstLine="0"/>
        <w:contextualSpacing w:val="0"/>
        <w:rPr>
          <w:rFonts w:ascii="Calibri" w:eastAsia="MS Mincho" w:hAnsi="Calibri" w:cs="Calibri"/>
          <w:snapToGrid w:val="0"/>
          <w:sz w:val="24"/>
          <w:szCs w:val="24"/>
        </w:rPr>
      </w:pPr>
      <w:r>
        <w:rPr>
          <w:snapToGrid w:val="0"/>
          <w:sz w:val="24"/>
          <w:szCs w:val="24"/>
        </w:rPr>
        <w:t xml:space="preserve">Основным направлением помощи проектов по биоразнообразию </w:t>
      </w:r>
      <w:proofErr w:type="spellStart"/>
      <w:r>
        <w:rPr>
          <w:snapToGrid w:val="0"/>
          <w:sz w:val="24"/>
          <w:szCs w:val="24"/>
        </w:rPr>
        <w:t>ПМГ</w:t>
      </w:r>
      <w:proofErr w:type="spellEnd"/>
      <w:r>
        <w:rPr>
          <w:snapToGrid w:val="0"/>
          <w:sz w:val="24"/>
          <w:szCs w:val="24"/>
        </w:rPr>
        <w:t xml:space="preserve"> было повышение эффективности управления в охраняемых районах и более широкое внедрение методов сохранения биоразнообразия и устойчивого использования в производственные наземные и морские ландшафты, а также в работу секторов. В ходе ГЭФ-7 будут продолжены усилия по дальнейшему продвижению комплексного и </w:t>
      </w:r>
      <w:r w:rsidRPr="00644CCA">
        <w:rPr>
          <w:snapToGrid w:val="0"/>
          <w:sz w:val="24"/>
          <w:szCs w:val="24"/>
        </w:rPr>
        <w:t>многоцелевого</w:t>
      </w:r>
      <w:r>
        <w:rPr>
          <w:snapToGrid w:val="0"/>
          <w:sz w:val="24"/>
          <w:szCs w:val="24"/>
        </w:rPr>
        <w:t xml:space="preserve"> подхода в рамках </w:t>
      </w:r>
      <w:proofErr w:type="spellStart"/>
      <w:r>
        <w:rPr>
          <w:snapToGrid w:val="0"/>
          <w:sz w:val="24"/>
          <w:szCs w:val="24"/>
        </w:rPr>
        <w:t>ПМГ</w:t>
      </w:r>
      <w:proofErr w:type="spellEnd"/>
      <w:r>
        <w:rPr>
          <w:snapToGrid w:val="0"/>
          <w:sz w:val="24"/>
          <w:szCs w:val="24"/>
        </w:rPr>
        <w:t xml:space="preserve"> при проведении общинных проектов. Стратегические инициативы </w:t>
      </w:r>
      <w:proofErr w:type="spellStart"/>
      <w:r>
        <w:rPr>
          <w:snapToGrid w:val="0"/>
          <w:sz w:val="24"/>
          <w:szCs w:val="24"/>
        </w:rPr>
        <w:t>ПМГ</w:t>
      </w:r>
      <w:proofErr w:type="spellEnd"/>
      <w:r>
        <w:rPr>
          <w:snapToGrid w:val="0"/>
          <w:sz w:val="24"/>
          <w:szCs w:val="24"/>
        </w:rPr>
        <w:t xml:space="preserve"> в период ГЭФ-7, направленные на получение выгод в целевой области сохранения биоразнообразия, предусматривают: общинную практику сохранения экосистем и видов, находящихся под угрозой исчезновения; устойчивые методы управления в сельском и рыбном хозяйствах; создание коалиции по обращению химических веществ и отходов на уровне от местного до глобального; и поиск решений для устойчивого развития городов. Стратегические инициативы </w:t>
      </w:r>
      <w:proofErr w:type="spellStart"/>
      <w:r>
        <w:rPr>
          <w:snapToGrid w:val="0"/>
          <w:sz w:val="24"/>
          <w:szCs w:val="24"/>
        </w:rPr>
        <w:t>ПМГ</w:t>
      </w:r>
      <w:proofErr w:type="spellEnd"/>
      <w:r>
        <w:rPr>
          <w:snapToGrid w:val="0"/>
          <w:sz w:val="24"/>
          <w:szCs w:val="24"/>
        </w:rPr>
        <w:t xml:space="preserve">, а также каждая отдельная стратегия страновых программ в рамках </w:t>
      </w:r>
      <w:proofErr w:type="spellStart"/>
      <w:r>
        <w:rPr>
          <w:snapToGrid w:val="0"/>
          <w:sz w:val="24"/>
          <w:szCs w:val="24"/>
        </w:rPr>
        <w:t>ПМГ</w:t>
      </w:r>
      <w:proofErr w:type="spellEnd"/>
      <w:r>
        <w:rPr>
          <w:snapToGrid w:val="0"/>
          <w:sz w:val="24"/>
          <w:szCs w:val="24"/>
        </w:rPr>
        <w:t xml:space="preserve"> согласованы с общими программными направлениями ГЭФ-7, включая отчетность в соответствии с матрицей результатов ГЭФ и индикаторами, относящимся к биоразнообразию.</w:t>
      </w:r>
    </w:p>
    <w:p w:rsidR="00DC1E0E" w:rsidRPr="00FB4441" w:rsidRDefault="00DC1E0E" w:rsidP="00FF3B4A">
      <w:pPr>
        <w:pStyle w:val="a9"/>
        <w:numPr>
          <w:ilvl w:val="0"/>
          <w:numId w:val="25"/>
        </w:numPr>
        <w:spacing w:before="240" w:after="240" w:line="240" w:lineRule="auto"/>
        <w:ind w:left="0" w:firstLine="0"/>
        <w:contextualSpacing w:val="0"/>
        <w:rPr>
          <w:rFonts w:ascii="Calibri" w:eastAsia="MS Mincho" w:hAnsi="Calibri" w:cs="Calibri"/>
          <w:snapToGrid w:val="0"/>
          <w:sz w:val="24"/>
          <w:szCs w:val="24"/>
        </w:rPr>
      </w:pPr>
      <w:r>
        <w:rPr>
          <w:rFonts w:ascii="Calibri" w:eastAsia="MS Mincho" w:hAnsi="Calibri" w:cs="Calibri"/>
          <w:snapToGrid w:val="0"/>
          <w:sz w:val="24"/>
          <w:szCs w:val="24"/>
        </w:rPr>
        <w:t xml:space="preserve">Что касается реализации Стратегического плана по сохранению биоразнообразия и Айтинских целевых задач в области биоразнообразия, то в рамках </w:t>
      </w:r>
      <w:proofErr w:type="spellStart"/>
      <w:r>
        <w:rPr>
          <w:rFonts w:ascii="Calibri" w:eastAsia="MS Mincho" w:hAnsi="Calibri" w:cs="Calibri"/>
          <w:snapToGrid w:val="0"/>
          <w:sz w:val="24"/>
          <w:szCs w:val="24"/>
        </w:rPr>
        <w:t>ПМГ</w:t>
      </w:r>
      <w:proofErr w:type="spellEnd"/>
      <w:r>
        <w:rPr>
          <w:rFonts w:ascii="Calibri" w:eastAsia="MS Mincho" w:hAnsi="Calibri" w:cs="Calibri"/>
          <w:snapToGrid w:val="0"/>
          <w:sz w:val="24"/>
          <w:szCs w:val="24"/>
        </w:rPr>
        <w:t xml:space="preserve"> продолжается сотрудничество с целым рядом доноров, в том числе с правительствами Германии (районы, охраняемые коренными народами и общинами), Австралии (устойчивость экосистем) и Японии (социально-экологическая устойчивость продуктивных ландшафтов)</w:t>
      </w:r>
      <w:r w:rsidR="00140920">
        <w:rPr>
          <w:rFonts w:ascii="Calibri" w:eastAsia="MS Mincho" w:hAnsi="Calibri" w:cs="Calibri"/>
          <w:snapToGrid w:val="0"/>
          <w:sz w:val="24"/>
          <w:szCs w:val="24"/>
        </w:rPr>
        <w:t>, а также</w:t>
      </w:r>
      <w:r>
        <w:rPr>
          <w:rFonts w:ascii="Calibri" w:eastAsia="MS Mincho" w:hAnsi="Calibri" w:cs="Calibri"/>
          <w:snapToGrid w:val="0"/>
          <w:sz w:val="24"/>
          <w:szCs w:val="24"/>
        </w:rPr>
        <w:t xml:space="preserve"> привлечение средства в фонд ГЭФ в виде софинансирования в следующих ключевых областях:</w:t>
      </w:r>
    </w:p>
    <w:p w:rsidR="001A70EC" w:rsidRDefault="00DC1E0E" w:rsidP="00023073">
      <w:pPr>
        <w:pStyle w:val="a9"/>
        <w:numPr>
          <w:ilvl w:val="0"/>
          <w:numId w:val="22"/>
        </w:numPr>
        <w:spacing w:before="120" w:after="120" w:line="240" w:lineRule="auto"/>
        <w:ind w:left="1080"/>
        <w:contextualSpacing w:val="0"/>
        <w:rPr>
          <w:rFonts w:ascii="Calibri" w:eastAsia="MS Mincho" w:hAnsi="Calibri" w:cs="Calibri"/>
          <w:snapToGrid w:val="0"/>
          <w:sz w:val="24"/>
          <w:szCs w:val="24"/>
        </w:rPr>
      </w:pPr>
      <w:r>
        <w:rPr>
          <w:rFonts w:ascii="Calibri" w:eastAsia="MS Mincho" w:hAnsi="Calibri" w:cs="Calibri"/>
          <w:snapToGrid w:val="0"/>
          <w:sz w:val="24"/>
          <w:szCs w:val="24"/>
        </w:rPr>
        <w:t xml:space="preserve">признание традиционных знаний, нововведений и практики коренных народов и местных общин в соответствии с подходом Рабочей группы КБР по осуществлению статьи 8 </w:t>
      </w:r>
      <w:proofErr w:type="spellStart"/>
      <w:r>
        <w:rPr>
          <w:rFonts w:ascii="Calibri" w:eastAsia="MS Mincho" w:hAnsi="Calibri" w:cs="Calibri"/>
          <w:snapToGrid w:val="0"/>
          <w:sz w:val="24"/>
          <w:szCs w:val="24"/>
        </w:rPr>
        <w:t>j</w:t>
      </w:r>
      <w:proofErr w:type="spellEnd"/>
      <w:r>
        <w:rPr>
          <w:rFonts w:ascii="Calibri" w:eastAsia="MS Mincho" w:hAnsi="Calibri" w:cs="Calibri"/>
          <w:snapToGrid w:val="0"/>
          <w:sz w:val="24"/>
          <w:szCs w:val="24"/>
        </w:rPr>
        <w:t>) (традиционные знания) и 10 </w:t>
      </w:r>
      <w:proofErr w:type="spellStart"/>
      <w:r>
        <w:rPr>
          <w:rFonts w:ascii="Calibri" w:eastAsia="MS Mincho" w:hAnsi="Calibri" w:cs="Calibri"/>
          <w:snapToGrid w:val="0"/>
          <w:sz w:val="24"/>
          <w:szCs w:val="24"/>
        </w:rPr>
        <w:t>c</w:t>
      </w:r>
      <w:proofErr w:type="spellEnd"/>
      <w:r>
        <w:rPr>
          <w:rFonts w:ascii="Calibri" w:eastAsia="MS Mincho" w:hAnsi="Calibri" w:cs="Calibri"/>
          <w:snapToGrid w:val="0"/>
          <w:sz w:val="24"/>
          <w:szCs w:val="24"/>
        </w:rPr>
        <w:t xml:space="preserve">) (использование на </w:t>
      </w:r>
      <w:r>
        <w:rPr>
          <w:rFonts w:ascii="Calibri" w:eastAsia="MS Mincho" w:hAnsi="Calibri" w:cs="Calibri"/>
          <w:snapToGrid w:val="0"/>
          <w:sz w:val="24"/>
          <w:szCs w:val="24"/>
        </w:rPr>
        <w:lastRenderedPageBreak/>
        <w:t>основе обычая), в том числе через партнерские связи с Сетью по биоразнообразию для женщин коренных народов, в частности с такими организациями, как Сеть женщин коренных народов по биоразнообразию Латинской Америки и Пакт коренных народов Азии;</w:t>
      </w:r>
    </w:p>
    <w:p w:rsidR="000B0554" w:rsidRPr="00FB4441" w:rsidRDefault="00DC1E0E" w:rsidP="00023073">
      <w:pPr>
        <w:pStyle w:val="a9"/>
        <w:numPr>
          <w:ilvl w:val="0"/>
          <w:numId w:val="22"/>
        </w:numPr>
        <w:spacing w:before="120" w:after="120" w:line="240" w:lineRule="auto"/>
        <w:ind w:left="1080"/>
        <w:contextualSpacing w:val="0"/>
        <w:rPr>
          <w:rFonts w:ascii="Calibri" w:eastAsia="MS Mincho" w:hAnsi="Calibri" w:cs="Calibri"/>
          <w:snapToGrid w:val="0"/>
          <w:sz w:val="24"/>
          <w:szCs w:val="24"/>
        </w:rPr>
      </w:pPr>
      <w:r>
        <w:rPr>
          <w:rFonts w:ascii="Calibri" w:eastAsia="MS Mincho" w:hAnsi="Calibri" w:cs="Calibri"/>
          <w:snapToGrid w:val="0"/>
          <w:sz w:val="24"/>
          <w:szCs w:val="24"/>
        </w:rPr>
        <w:t>вклад традиционных знаний, нововведений и практики коренных народов и местных общин в опыление и модели «совместного использования земель» для обеспечения экосистемной связности и сохранения коридоров в соответствии с рекомендациями, данными в докладе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(МПБЭУ) в апреле 2019 года;</w:t>
      </w:r>
    </w:p>
    <w:p w:rsidR="000B0554" w:rsidRPr="00FB4441" w:rsidRDefault="00DC1E0E" w:rsidP="00023073">
      <w:pPr>
        <w:pStyle w:val="a9"/>
        <w:numPr>
          <w:ilvl w:val="0"/>
          <w:numId w:val="22"/>
        </w:numPr>
        <w:spacing w:before="120" w:after="120" w:line="240" w:lineRule="auto"/>
        <w:ind w:left="1080"/>
        <w:contextualSpacing w:val="0"/>
        <w:rPr>
          <w:rFonts w:ascii="Calibri" w:eastAsia="MS Mincho" w:hAnsi="Calibri" w:cs="Calibri"/>
          <w:snapToGrid w:val="0"/>
          <w:sz w:val="24"/>
          <w:szCs w:val="24"/>
        </w:rPr>
      </w:pPr>
      <w:r>
        <w:rPr>
          <w:rFonts w:ascii="Calibri" w:eastAsia="MS Mincho" w:hAnsi="Calibri" w:cs="Calibri"/>
          <w:snapToGrid w:val="0"/>
          <w:sz w:val="24"/>
          <w:szCs w:val="24"/>
        </w:rPr>
        <w:t xml:space="preserve">совместное общее руководство охраняемыми районами с государственным управлением (МСОП, тип А и </w:t>
      </w:r>
      <w:proofErr w:type="spellStart"/>
      <w:r>
        <w:rPr>
          <w:rFonts w:ascii="Calibri" w:eastAsia="MS Mincho" w:hAnsi="Calibri" w:cs="Calibri"/>
          <w:snapToGrid w:val="0"/>
          <w:sz w:val="24"/>
          <w:szCs w:val="24"/>
        </w:rPr>
        <w:t>B</w:t>
      </w:r>
      <w:proofErr w:type="spellEnd"/>
      <w:r>
        <w:rPr>
          <w:rFonts w:ascii="Calibri" w:eastAsia="MS Mincho" w:hAnsi="Calibri" w:cs="Calibri"/>
          <w:snapToGrid w:val="0"/>
          <w:sz w:val="24"/>
          <w:szCs w:val="24"/>
        </w:rPr>
        <w:t>), охраняемы</w:t>
      </w:r>
      <w:r w:rsidR="004817A2">
        <w:rPr>
          <w:rFonts w:ascii="Calibri" w:eastAsia="MS Mincho" w:hAnsi="Calibri" w:cs="Calibri"/>
          <w:snapToGrid w:val="0"/>
          <w:sz w:val="24"/>
          <w:szCs w:val="24"/>
        </w:rPr>
        <w:t>ми</w:t>
      </w:r>
      <w:r>
        <w:rPr>
          <w:rFonts w:ascii="Calibri" w:eastAsia="MS Mincho" w:hAnsi="Calibri" w:cs="Calibri"/>
          <w:snapToGrid w:val="0"/>
          <w:sz w:val="24"/>
          <w:szCs w:val="24"/>
        </w:rPr>
        <w:t xml:space="preserve"> /или сохраняем</w:t>
      </w:r>
      <w:r w:rsidR="004817A2">
        <w:rPr>
          <w:rFonts w:ascii="Calibri" w:eastAsia="MS Mincho" w:hAnsi="Calibri" w:cs="Calibri"/>
          <w:snapToGrid w:val="0"/>
          <w:sz w:val="24"/>
          <w:szCs w:val="24"/>
        </w:rPr>
        <w:t xml:space="preserve">ыми </w:t>
      </w:r>
      <w:r>
        <w:rPr>
          <w:rFonts w:ascii="Calibri" w:eastAsia="MS Mincho" w:hAnsi="Calibri" w:cs="Calibri"/>
          <w:snapToGrid w:val="0"/>
          <w:sz w:val="24"/>
          <w:szCs w:val="24"/>
        </w:rPr>
        <w:t>район</w:t>
      </w:r>
      <w:r w:rsidR="004817A2">
        <w:rPr>
          <w:rFonts w:ascii="Calibri" w:eastAsia="MS Mincho" w:hAnsi="Calibri" w:cs="Calibri"/>
          <w:snapToGrid w:val="0"/>
          <w:sz w:val="24"/>
          <w:szCs w:val="24"/>
        </w:rPr>
        <w:t>ами</w:t>
      </w:r>
      <w:r>
        <w:rPr>
          <w:rFonts w:ascii="Calibri" w:eastAsia="MS Mincho" w:hAnsi="Calibri" w:cs="Calibri"/>
          <w:snapToGrid w:val="0"/>
          <w:sz w:val="24"/>
          <w:szCs w:val="24"/>
        </w:rPr>
        <w:t xml:space="preserve"> под частным управлением (МСОП, тип С), в</w:t>
      </w:r>
      <w:r w:rsidR="004817A2">
        <w:rPr>
          <w:rFonts w:ascii="Calibri" w:eastAsia="MS Mincho" w:hAnsi="Calibri" w:cs="Calibri"/>
          <w:snapToGrid w:val="0"/>
          <w:sz w:val="24"/>
          <w:szCs w:val="24"/>
        </w:rPr>
        <w:t xml:space="preserve"> том числе для</w:t>
      </w:r>
      <w:r>
        <w:rPr>
          <w:rFonts w:ascii="Calibri" w:eastAsia="MS Mincho" w:hAnsi="Calibri" w:cs="Calibri"/>
          <w:snapToGrid w:val="0"/>
          <w:sz w:val="24"/>
          <w:szCs w:val="24"/>
        </w:rPr>
        <w:t xml:space="preserve"> создани</w:t>
      </w:r>
      <w:r w:rsidR="004817A2">
        <w:rPr>
          <w:rFonts w:ascii="Calibri" w:eastAsia="MS Mincho" w:hAnsi="Calibri" w:cs="Calibri"/>
          <w:snapToGrid w:val="0"/>
          <w:sz w:val="24"/>
          <w:szCs w:val="24"/>
        </w:rPr>
        <w:t>я</w:t>
      </w:r>
      <w:r>
        <w:rPr>
          <w:rFonts w:ascii="Calibri" w:eastAsia="MS Mincho" w:hAnsi="Calibri" w:cs="Calibri"/>
          <w:snapToGrid w:val="0"/>
          <w:sz w:val="24"/>
          <w:szCs w:val="24"/>
        </w:rPr>
        <w:t xml:space="preserve"> на ландшафтном уровне адресных блоков из малых грантов для объектов всемирного наследия ЮНЕСКО, биос</w:t>
      </w:r>
      <w:r w:rsidR="00204B1F">
        <w:rPr>
          <w:rFonts w:ascii="Calibri" w:eastAsia="MS Mincho" w:hAnsi="Calibri" w:cs="Calibri"/>
          <w:snapToGrid w:val="0"/>
          <w:sz w:val="24"/>
          <w:szCs w:val="24"/>
        </w:rPr>
        <w:t xml:space="preserve">ферных заповедников, </w:t>
      </w:r>
      <w:proofErr w:type="spellStart"/>
      <w:r w:rsidR="00204B1F">
        <w:rPr>
          <w:rFonts w:ascii="Calibri" w:eastAsia="MS Mincho" w:hAnsi="Calibri" w:cs="Calibri"/>
          <w:snapToGrid w:val="0"/>
          <w:sz w:val="24"/>
          <w:szCs w:val="24"/>
        </w:rPr>
        <w:t>р</w:t>
      </w:r>
      <w:r>
        <w:rPr>
          <w:rFonts w:ascii="Calibri" w:eastAsia="MS Mincho" w:hAnsi="Calibri" w:cs="Calibri"/>
          <w:snapToGrid w:val="0"/>
          <w:sz w:val="24"/>
          <w:szCs w:val="24"/>
        </w:rPr>
        <w:t>амсарских</w:t>
      </w:r>
      <w:proofErr w:type="spellEnd"/>
      <w:r>
        <w:rPr>
          <w:rFonts w:ascii="Calibri" w:eastAsia="MS Mincho" w:hAnsi="Calibri" w:cs="Calibri"/>
          <w:snapToGrid w:val="0"/>
          <w:sz w:val="24"/>
          <w:szCs w:val="24"/>
        </w:rPr>
        <w:t xml:space="preserve"> угодий, </w:t>
      </w:r>
      <w:proofErr w:type="spellStart"/>
      <w:r>
        <w:rPr>
          <w:rFonts w:ascii="Calibri" w:eastAsia="MS Mincho" w:hAnsi="Calibri" w:cs="Calibri"/>
          <w:snapToGrid w:val="0"/>
          <w:sz w:val="24"/>
          <w:szCs w:val="24"/>
        </w:rPr>
        <w:t>геопарков</w:t>
      </w:r>
      <w:proofErr w:type="spellEnd"/>
      <w:r>
        <w:rPr>
          <w:rFonts w:ascii="Calibri" w:eastAsia="MS Mincho" w:hAnsi="Calibri" w:cs="Calibri"/>
          <w:snapToGrid w:val="0"/>
          <w:sz w:val="24"/>
          <w:szCs w:val="24"/>
        </w:rPr>
        <w:t xml:space="preserve"> и морских охраняемых районов, включая морские районы под местным управлением;</w:t>
      </w:r>
    </w:p>
    <w:p w:rsidR="00896124" w:rsidRPr="00D55F5C" w:rsidRDefault="00DC1E0E" w:rsidP="00023073">
      <w:pPr>
        <w:pStyle w:val="a9"/>
        <w:numPr>
          <w:ilvl w:val="0"/>
          <w:numId w:val="22"/>
        </w:numPr>
        <w:spacing w:before="120" w:after="120" w:line="240" w:lineRule="auto"/>
        <w:ind w:left="1080"/>
        <w:contextualSpacing w:val="0"/>
        <w:rPr>
          <w:rFonts w:ascii="Calibri" w:eastAsia="MS Mincho" w:hAnsi="Calibri" w:cs="Calibri"/>
          <w:snapToGrid w:val="0"/>
          <w:sz w:val="24"/>
          <w:szCs w:val="24"/>
        </w:rPr>
      </w:pPr>
      <w:r>
        <w:rPr>
          <w:rFonts w:ascii="Calibri" w:eastAsia="MS Mincho" w:hAnsi="Calibri" w:cs="Calibri"/>
          <w:snapToGrid w:val="0"/>
          <w:sz w:val="24"/>
          <w:szCs w:val="24"/>
        </w:rPr>
        <w:t>роль территорий и районов, охраняемых коренными народами и общинами, в выполнении Айтинской целевой задачи 11, в том числе на основе сотрудничества с Целевой группой Всемирной комиссии МСОП по охраняемым территориям по вопросам, связанным с</w:t>
      </w:r>
      <w:r w:rsidR="00776E86">
        <w:rPr>
          <w:rFonts w:ascii="Calibri" w:eastAsia="MS Mincho" w:hAnsi="Calibri" w:cs="Calibri"/>
          <w:snapToGrid w:val="0"/>
          <w:sz w:val="24"/>
          <w:szCs w:val="24"/>
        </w:rPr>
        <w:t xml:space="preserve"> </w:t>
      </w:r>
      <w:r>
        <w:rPr>
          <w:rFonts w:ascii="Calibri" w:eastAsia="MS Mincho" w:hAnsi="Calibri" w:cs="Calibri"/>
          <w:snapToGrid w:val="0"/>
          <w:sz w:val="24"/>
          <w:szCs w:val="24"/>
        </w:rPr>
        <w:t>«другими эффективными природоохранными мерами на порайонной основе», которые в решении CBD/COP/</w:t>
      </w:r>
      <w:proofErr w:type="spellStart"/>
      <w:r>
        <w:rPr>
          <w:rFonts w:ascii="Calibri" w:eastAsia="MS Mincho" w:hAnsi="Calibri" w:cs="Calibri"/>
          <w:snapToGrid w:val="0"/>
          <w:sz w:val="24"/>
          <w:szCs w:val="24"/>
        </w:rPr>
        <w:t>DEC</w:t>
      </w:r>
      <w:proofErr w:type="spellEnd"/>
      <w:r>
        <w:rPr>
          <w:rFonts w:ascii="Calibri" w:eastAsia="MS Mincho" w:hAnsi="Calibri" w:cs="Calibri"/>
          <w:snapToGrid w:val="0"/>
          <w:sz w:val="24"/>
          <w:szCs w:val="24"/>
        </w:rPr>
        <w:t>/14/8 14-ая Конференция Сторон КБР, проходившая в Шарм-эш-Шейхе, Египет, признала в качестве вклада в новую стратегию КБР и программу «Новый курс в отношениях с природой» на период после 2020 года.</w:t>
      </w:r>
    </w:p>
    <w:p w:rsidR="00D55F5C" w:rsidRPr="00FB4441" w:rsidRDefault="00D55F5C" w:rsidP="00D55F5C">
      <w:pPr>
        <w:pStyle w:val="a9"/>
        <w:spacing w:before="120" w:after="120" w:line="240" w:lineRule="auto"/>
        <w:ind w:left="1080"/>
        <w:contextualSpacing w:val="0"/>
        <w:rPr>
          <w:rFonts w:ascii="Calibri" w:eastAsia="MS Mincho" w:hAnsi="Calibri" w:cs="Calibri"/>
          <w:snapToGrid w:val="0"/>
          <w:sz w:val="24"/>
          <w:szCs w:val="24"/>
        </w:rPr>
      </w:pPr>
    </w:p>
    <w:p w:rsidR="0010120A" w:rsidRPr="00644CCA" w:rsidRDefault="0010120A" w:rsidP="008F5A5A">
      <w:pPr>
        <w:pStyle w:val="1"/>
        <w:numPr>
          <w:ilvl w:val="0"/>
          <w:numId w:val="27"/>
        </w:numPr>
        <w:rPr>
          <w:bCs w:val="0"/>
        </w:rPr>
      </w:pPr>
      <w:bookmarkStart w:id="41" w:name="_Toc32494930"/>
      <w:r w:rsidRPr="00644CCA">
        <w:rPr>
          <w:bCs w:val="0"/>
        </w:rPr>
        <w:t>Действия ГЭФ в ответ на руководящие указания КС-14 КБР</w:t>
      </w:r>
      <w:bookmarkEnd w:id="41"/>
    </w:p>
    <w:p w:rsidR="0010120A" w:rsidRPr="00D55F5C" w:rsidRDefault="00AA7D0C" w:rsidP="00FF3B4A">
      <w:pPr>
        <w:pStyle w:val="a9"/>
        <w:numPr>
          <w:ilvl w:val="0"/>
          <w:numId w:val="25"/>
        </w:numPr>
        <w:spacing w:before="240" w:after="240" w:line="240" w:lineRule="auto"/>
        <w:ind w:left="0" w:firstLine="0"/>
        <w:contextualSpacing w:val="0"/>
        <w:rPr>
          <w:snapToGrid w:val="0"/>
          <w:sz w:val="24"/>
          <w:szCs w:val="24"/>
        </w:rPr>
      </w:pPr>
      <w:r w:rsidRPr="004817A2">
        <w:rPr>
          <w:snapToGrid w:val="0"/>
          <w:sz w:val="24"/>
          <w:szCs w:val="24"/>
        </w:rPr>
        <w:t>В ходе совещания КС-14 Стороны дали ГЭФ руководящие указания по целому ряду</w:t>
      </w:r>
      <w:r w:rsidRPr="00D55F5C">
        <w:rPr>
          <w:snapToGrid w:val="0"/>
          <w:sz w:val="24"/>
          <w:szCs w:val="24"/>
        </w:rPr>
        <w:t xml:space="preserve"> тем</w:t>
      </w:r>
      <w:r w:rsidR="00D55F5C" w:rsidRPr="00D55F5C">
        <w:rPr>
          <w:snapToGrid w:val="0"/>
          <w:sz w:val="24"/>
          <w:szCs w:val="24"/>
          <w:vertAlign w:val="superscript"/>
          <w:lang w:val="en-US"/>
        </w:rPr>
        <w:footnoteReference w:id="17"/>
      </w:r>
      <w:r w:rsidRPr="00D55F5C">
        <w:rPr>
          <w:snapToGrid w:val="0"/>
          <w:sz w:val="24"/>
          <w:szCs w:val="24"/>
        </w:rPr>
        <w:t>.</w:t>
      </w:r>
      <w:r w:rsidR="00D55F5C" w:rsidRPr="00D55F5C">
        <w:rPr>
          <w:snapToGrid w:val="0"/>
          <w:sz w:val="24"/>
          <w:szCs w:val="24"/>
        </w:rPr>
        <w:t xml:space="preserve"> </w:t>
      </w:r>
      <w:r w:rsidRPr="00D55F5C">
        <w:rPr>
          <w:snapToGrid w:val="0"/>
          <w:sz w:val="24"/>
          <w:szCs w:val="24"/>
        </w:rPr>
        <w:t>В должном порядке были учтены конкретные указания по оперативной деятельности ГЭФ и определенным тематическим направлениям в области биоразнообразия, и в нижеприведенной таблице 12 представлен текущий отчет об ответных мерах ГЭФ.</w:t>
      </w:r>
    </w:p>
    <w:p w:rsidR="00CB2F0E" w:rsidRPr="00FB4441" w:rsidRDefault="00CB2F0E" w:rsidP="00CB6102">
      <w:pPr>
        <w:spacing w:before="240" w:after="240" w:line="240" w:lineRule="auto"/>
        <w:jc w:val="center"/>
        <w:rPr>
          <w:rFonts w:cstheme="minorHAnsi"/>
          <w:sz w:val="24"/>
          <w:szCs w:val="24"/>
        </w:rPr>
      </w:pPr>
      <w:r>
        <w:rPr>
          <w:rFonts w:cstheme="minorHAnsi"/>
          <w:b/>
          <w:bCs/>
          <w:sz w:val="24"/>
          <w:szCs w:val="24"/>
        </w:rPr>
        <w:t>Таблица 12.</w:t>
      </w:r>
      <w:r>
        <w:rPr>
          <w:rFonts w:cstheme="minorHAnsi"/>
          <w:i/>
          <w:iCs/>
          <w:sz w:val="24"/>
          <w:szCs w:val="24"/>
        </w:rPr>
        <w:t xml:space="preserve"> </w:t>
      </w:r>
      <w:r>
        <w:rPr>
          <w:rFonts w:cstheme="minorHAnsi"/>
          <w:b/>
          <w:bCs/>
          <w:sz w:val="24"/>
          <w:szCs w:val="24"/>
        </w:rPr>
        <w:t>Решение, принятое КС-14 КБР (решение 14/23), и ответные действия ГЭФ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5"/>
        <w:gridCol w:w="4675"/>
      </w:tblGrid>
      <w:tr w:rsidR="00CB2F0E" w:rsidRPr="00CB2F0E" w:rsidTr="008354E6">
        <w:trPr>
          <w:tblHeader/>
        </w:trPr>
        <w:tc>
          <w:tcPr>
            <w:tcW w:w="4675" w:type="dxa"/>
            <w:shd w:val="clear" w:color="auto" w:fill="F2F2F2" w:themeFill="background1" w:themeFillShade="F2"/>
          </w:tcPr>
          <w:p w:rsidR="00CB2F0E" w:rsidRPr="00CB2F0E" w:rsidRDefault="00CB2F0E" w:rsidP="00CB2F0E">
            <w:pPr>
              <w:rPr>
                <w:b/>
                <w:iCs/>
              </w:rPr>
            </w:pPr>
            <w:r>
              <w:rPr>
                <w:b/>
                <w:bCs/>
              </w:rPr>
              <w:t>Решение КС-14 КБР</w:t>
            </w:r>
          </w:p>
        </w:tc>
        <w:tc>
          <w:tcPr>
            <w:tcW w:w="4675" w:type="dxa"/>
            <w:shd w:val="clear" w:color="auto" w:fill="F2F2F2" w:themeFill="background1" w:themeFillShade="F2"/>
          </w:tcPr>
          <w:p w:rsidR="00CB2F0E" w:rsidRPr="00CB2F0E" w:rsidRDefault="00CB2F0E" w:rsidP="00CB2F0E">
            <w:pPr>
              <w:rPr>
                <w:b/>
                <w:iCs/>
              </w:rPr>
            </w:pPr>
            <w:r>
              <w:rPr>
                <w:b/>
                <w:bCs/>
              </w:rPr>
              <w:t>Ответные действия ГЭФ</w:t>
            </w:r>
          </w:p>
        </w:tc>
      </w:tr>
      <w:tr w:rsidR="00CB2F0E" w:rsidRPr="00CB2F0E" w:rsidTr="008354E6">
        <w:tc>
          <w:tcPr>
            <w:tcW w:w="4675" w:type="dxa"/>
            <w:shd w:val="clear" w:color="auto" w:fill="auto"/>
          </w:tcPr>
          <w:p w:rsidR="00CB2F0E" w:rsidRPr="00FB4441" w:rsidRDefault="00CB2F0E" w:rsidP="00CB2F0E">
            <w:pPr>
              <w:rPr>
                <w:b/>
              </w:rPr>
            </w:pPr>
            <w:r>
              <w:rPr>
                <w:i/>
                <w:iCs/>
              </w:rPr>
              <w:t>Приветствует</w:t>
            </w:r>
            <w:r>
              <w:t xml:space="preserve"> успешное завершение </w:t>
            </w:r>
            <w:r>
              <w:lastRenderedPageBreak/>
              <w:t xml:space="preserve">седьмого периода пополнения Целевого фонда Глобального экологического фонда и </w:t>
            </w:r>
            <w:r>
              <w:rPr>
                <w:i/>
                <w:iCs/>
              </w:rPr>
              <w:t>выражает свою признательность</w:t>
            </w:r>
            <w:r>
              <w:t xml:space="preserve"> Сторонам и правительствам за продолжающуюся финансовую поддержку, направленную на выполнение задач в соответствии со Стратегическим планом в области сохранения и устойчивого использования биоразнообразия на 2011-2020 годы в оставшиеся годы, а также за поддержку осуществлению глобальной рамочной программы в области биоразнообразия на период после 2020 года в течение первых двух лет ее действия;</w:t>
            </w:r>
          </w:p>
        </w:tc>
        <w:tc>
          <w:tcPr>
            <w:tcW w:w="4675" w:type="dxa"/>
            <w:shd w:val="clear" w:color="auto" w:fill="auto"/>
          </w:tcPr>
          <w:p w:rsidR="00CB2F0E" w:rsidRPr="00CB2F0E" w:rsidRDefault="00CB2F0E" w:rsidP="00CB2F0E">
            <w:pPr>
              <w:rPr>
                <w:iCs/>
              </w:rPr>
            </w:pPr>
            <w:r>
              <w:lastRenderedPageBreak/>
              <w:t>Ответные меры не требуются.</w:t>
            </w:r>
          </w:p>
        </w:tc>
      </w:tr>
      <w:tr w:rsidR="00CB2F0E" w:rsidRPr="00CB2F0E" w:rsidTr="008354E6">
        <w:tc>
          <w:tcPr>
            <w:tcW w:w="4675" w:type="dxa"/>
            <w:shd w:val="clear" w:color="auto" w:fill="auto"/>
          </w:tcPr>
          <w:p w:rsidR="00CB2F0E" w:rsidRPr="00FB4441" w:rsidRDefault="00673BA4" w:rsidP="00D55F5C">
            <w:pPr>
              <w:rPr>
                <w:iCs/>
              </w:rPr>
            </w:pPr>
            <w:r>
              <w:rPr>
                <w:i/>
                <w:iCs/>
              </w:rPr>
              <w:lastRenderedPageBreak/>
              <w:t>п</w:t>
            </w:r>
            <w:r w:rsidR="00CB2F0E">
              <w:rPr>
                <w:i/>
                <w:iCs/>
              </w:rPr>
              <w:t>ринимает к сведению</w:t>
            </w:r>
            <w:r w:rsidR="00CB2F0E">
              <w:t>, что направления программных приоритетов в области биоразнообразия на седьмой период пополнения Целевого фонда отражают руководящие указания, принятые Конференцией Сторон на ее 13-м совещании, которые включают сводные руководящие указания механизму финансирования и структуру определения программных приоритетов на четырехлетний период (2018-2022 годы), а также дальнейшие руководящие указания</w:t>
            </w:r>
            <w:r w:rsidR="00D55F5C">
              <w:rPr>
                <w:vertAlign w:val="superscript"/>
              </w:rPr>
              <w:footnoteReference w:id="18"/>
            </w:r>
            <w:r w:rsidR="00CB2F0E">
              <w:t>;</w:t>
            </w:r>
          </w:p>
        </w:tc>
        <w:tc>
          <w:tcPr>
            <w:tcW w:w="4675" w:type="dxa"/>
            <w:shd w:val="clear" w:color="auto" w:fill="auto"/>
          </w:tcPr>
          <w:p w:rsidR="00CB2F0E" w:rsidRPr="00CB2F0E" w:rsidRDefault="00CB2F0E" w:rsidP="00CB2F0E">
            <w:pPr>
              <w:rPr>
                <w:iCs/>
              </w:rPr>
            </w:pPr>
            <w:r>
              <w:t>Ответные меры не требуются.</w:t>
            </w:r>
          </w:p>
        </w:tc>
      </w:tr>
      <w:tr w:rsidR="00CB2F0E" w:rsidRPr="00FB4441" w:rsidTr="008354E6">
        <w:tc>
          <w:tcPr>
            <w:tcW w:w="4675" w:type="dxa"/>
            <w:shd w:val="clear" w:color="auto" w:fill="auto"/>
          </w:tcPr>
          <w:p w:rsidR="00CB2F0E" w:rsidRPr="00FB4441" w:rsidRDefault="00673BA4" w:rsidP="00673BA4">
            <w:r>
              <w:rPr>
                <w:i/>
                <w:iCs/>
              </w:rPr>
              <w:t>п</w:t>
            </w:r>
            <w:r w:rsidR="00CB2F0E">
              <w:rPr>
                <w:i/>
                <w:iCs/>
              </w:rPr>
              <w:t xml:space="preserve">риветствует </w:t>
            </w:r>
            <w:r w:rsidR="00CB2F0E">
              <w:t xml:space="preserve">в частности процесс Глобального экологического фонда по пересмотру и обновлению его экологических и социальных гарантий защищенности и соответствующих систем его учреждений, отмечая, что результаты такого процесса будут также применимы ко всем финансируемым Фондом проектам, и </w:t>
            </w:r>
            <w:r w:rsidR="00CB2F0E">
              <w:rPr>
                <w:i/>
                <w:iCs/>
              </w:rPr>
              <w:t>предлагает</w:t>
            </w:r>
            <w:r w:rsidR="00CB2F0E">
              <w:t xml:space="preserve"> Фонду проинформировать Конференцию Сторон о том, каким образом он учитывает добровольные руководящие указания Конвенции по гарантиям защищенности в </w:t>
            </w:r>
            <w:r w:rsidR="00CB2F0E">
              <w:lastRenderedPageBreak/>
              <w:t>механизмах финансирования биоразнообразия в своих важных процессах;</w:t>
            </w:r>
          </w:p>
        </w:tc>
        <w:tc>
          <w:tcPr>
            <w:tcW w:w="4675" w:type="dxa"/>
            <w:shd w:val="clear" w:color="auto" w:fill="auto"/>
          </w:tcPr>
          <w:p w:rsidR="00CB2F0E" w:rsidRPr="00FB4441" w:rsidRDefault="009D765B" w:rsidP="00EA375B">
            <w:pPr>
              <w:rPr>
                <w:iCs/>
              </w:rPr>
            </w:pPr>
            <w:r>
              <w:lastRenderedPageBreak/>
              <w:t>Совет ГЭФ одобрил обновленную политику об экологических и социальных гарантиях в декабре 2018 года</w:t>
            </w:r>
            <w:r w:rsidR="00EA375B">
              <w:rPr>
                <w:rStyle w:val="a5"/>
              </w:rPr>
              <w:footnoteReference w:id="19"/>
            </w:r>
            <w:r>
              <w:t>.</w:t>
            </w:r>
            <w:r w:rsidR="00EA375B">
              <w:t xml:space="preserve"> </w:t>
            </w:r>
            <w:r>
              <w:t>Обновленная политика по своей сути соответствует Добровольным указаниям. В настоящее время секретариат организует процесс обзора выполнения агентством минимальных норм, приведенных в обновленной политике.</w:t>
            </w:r>
          </w:p>
        </w:tc>
      </w:tr>
      <w:tr w:rsidR="00CB2F0E" w:rsidRPr="00FB4441" w:rsidTr="008354E6">
        <w:tc>
          <w:tcPr>
            <w:tcW w:w="4675" w:type="dxa"/>
            <w:shd w:val="clear" w:color="auto" w:fill="auto"/>
          </w:tcPr>
          <w:p w:rsidR="00CB2F0E" w:rsidRPr="00FB4441" w:rsidRDefault="00CB2F0E" w:rsidP="00CB2F0E">
            <w:pPr>
              <w:rPr>
                <w:i/>
                <w:iCs/>
              </w:rPr>
            </w:pPr>
            <w:r>
              <w:rPr>
                <w:i/>
                <w:iCs/>
              </w:rPr>
              <w:lastRenderedPageBreak/>
              <w:t xml:space="preserve">принимает к сведению </w:t>
            </w:r>
            <w:r>
              <w:t>результаты текущего обзора и обновления политики Глобального экологического фонда в области гарантий и правил взаимодействия с коренными народами на основе критериев передовой практики;</w:t>
            </w:r>
          </w:p>
        </w:tc>
        <w:tc>
          <w:tcPr>
            <w:tcW w:w="4675" w:type="dxa"/>
            <w:shd w:val="clear" w:color="auto" w:fill="auto"/>
          </w:tcPr>
          <w:p w:rsidR="00CB2F0E" w:rsidRPr="00FB4441" w:rsidRDefault="00CB2F0E" w:rsidP="00EA375B">
            <w:pPr>
              <w:rPr>
                <w:iCs/>
              </w:rPr>
            </w:pPr>
            <w:r>
              <w:t>Совет ГЭФ одобрил обновленную политику об экологических и социальных гарантиях в декабре 2018 года</w:t>
            </w:r>
            <w:r w:rsidR="00EA375B">
              <w:rPr>
                <w:rStyle w:val="a5"/>
              </w:rPr>
              <w:footnoteReference w:id="20"/>
            </w:r>
            <w:r>
              <w:t>. Обновленная политика соответствует наилучшей международной практике, в том числе в отношении взаимодействия с коренными народами и применения добровольного, предварительного и обоснованного согласия.</w:t>
            </w:r>
          </w:p>
        </w:tc>
      </w:tr>
      <w:tr w:rsidR="00CB2F0E" w:rsidRPr="00FB4441" w:rsidTr="008354E6">
        <w:tc>
          <w:tcPr>
            <w:tcW w:w="4675" w:type="dxa"/>
            <w:shd w:val="clear" w:color="auto" w:fill="auto"/>
          </w:tcPr>
          <w:p w:rsidR="00CB2F0E" w:rsidRPr="00FB4441" w:rsidRDefault="00673BA4" w:rsidP="00CB2F0E">
            <w:r>
              <w:rPr>
                <w:i/>
                <w:iCs/>
              </w:rPr>
              <w:t>п</w:t>
            </w:r>
            <w:r w:rsidR="00CB2F0E">
              <w:rPr>
                <w:i/>
                <w:iCs/>
              </w:rPr>
              <w:t xml:space="preserve">редлагает </w:t>
            </w:r>
            <w:r w:rsidR="00CB2F0E">
              <w:t>Глобальному экологическому фонду продолжать оказывать эффективную поддержку национальной деятельности по вопросам осуществления в соответствии со Стратегическим планом в области сохранения и устойчивого использования биоразнообразия на 2011-2020 года, чтобы позволить Сторонам ускорить прогресс в выполнении целевых задач по сохранению и устойчивому использованию биоразнообразия, принятых в Айти, к 2020 году;</w:t>
            </w:r>
          </w:p>
        </w:tc>
        <w:tc>
          <w:tcPr>
            <w:tcW w:w="4675" w:type="dxa"/>
            <w:shd w:val="clear" w:color="auto" w:fill="auto"/>
          </w:tcPr>
          <w:p w:rsidR="00CB2F0E" w:rsidRPr="00FB4441" w:rsidRDefault="00CB2F0E" w:rsidP="00F75A59">
            <w:r>
              <w:t>ГЭФ продолжает оказывать проектам поддержку, осуществляемым по инициативе стран, в период ГЭФ-7 для выполнения ими Стратегического плана в области сохранения и устойчивого использования биоразнообразия на 2011-2020 годы в соответствии с программными направлениями в период ГЭФ-7 и стратегией сохранения биоразнообразия ГЭФ-7. За отчетный период ГЭФ утвердил три страновых проекта (Мадагаскар, Панама, Судан) по укреплению необходимого потенциала в технической, правовой и институциональной областях для выполнения положений Нагойского протокола. ГЭФ инвестировал 3,9 млн долл. США и привлек 24,2 млн долл. в виде софинансирования.</w:t>
            </w:r>
          </w:p>
        </w:tc>
      </w:tr>
      <w:tr w:rsidR="00CB2F0E" w:rsidRPr="00FB4441" w:rsidTr="008354E6">
        <w:tc>
          <w:tcPr>
            <w:tcW w:w="4675" w:type="dxa"/>
            <w:shd w:val="clear" w:color="auto" w:fill="auto"/>
          </w:tcPr>
          <w:p w:rsidR="00CB2F0E" w:rsidRPr="00FB4441" w:rsidRDefault="00B87465" w:rsidP="00CB2F0E">
            <w:pPr>
              <w:rPr>
                <w:iCs/>
              </w:rPr>
            </w:pPr>
            <w:r>
              <w:rPr>
                <w:i/>
                <w:iCs/>
              </w:rPr>
              <w:t>п</w:t>
            </w:r>
            <w:r w:rsidR="00CB2F0E">
              <w:rPr>
                <w:i/>
                <w:iCs/>
              </w:rPr>
              <w:t xml:space="preserve">редлагает </w:t>
            </w:r>
            <w:r w:rsidR="00CB2F0E">
              <w:t>Глобальному экологическому фонду в соответствии со сводными руководящими указаниями, представленными в решении XIII/21, продолжать оказывать поддержку всем Сторонам, имеющим право на получение помощи, в области создания потенциала:</w:t>
            </w:r>
            <w:r w:rsidR="00CB2F0E">
              <w:br/>
            </w:r>
          </w:p>
          <w:p w:rsidR="00CB2F0E" w:rsidRPr="00FB4441" w:rsidRDefault="0085142B" w:rsidP="00CB2F0E">
            <w:pPr>
              <w:numPr>
                <w:ilvl w:val="0"/>
                <w:numId w:val="2"/>
              </w:numPr>
            </w:pPr>
            <w:r>
              <w:t>п</w:t>
            </w:r>
            <w:r w:rsidR="00CB2F0E">
              <w:t xml:space="preserve">о вопросам, определяемым Сторонами, для содействия дальнейшему осуществлению Картахенского протокола по биобезопасности и Нагойского </w:t>
            </w:r>
            <w:r w:rsidR="00CB2F0E">
              <w:lastRenderedPageBreak/>
              <w:t>протокола регулирования доступа к генетическим ресурсам и совместного использования выгод, включая проекты регионального сотрудничества, с целью содействия обмену опытом и извлеченными уроками и обеспечения связанного с этим синергетического эффекта;</w:t>
            </w:r>
          </w:p>
          <w:p w:rsidR="00CB2F0E" w:rsidRPr="00FB4441" w:rsidRDefault="00CB2F0E" w:rsidP="00CB2F0E">
            <w:pPr>
              <w:numPr>
                <w:ilvl w:val="0"/>
                <w:numId w:val="2"/>
              </w:numPr>
            </w:pPr>
            <w:r>
              <w:t>при использовании механизма посредничества для регулирования доступа к генетическим ресурсам и совместного использования выгод на основе опыта и уроков, извлеченных в ходе выполнения проекта по непрерывному совершенствованию процесса формирования потенциала для эффективного участия в работе механизма посредничества по биобезопасности, и использовании ресурсов, выделяемых для основной сферы деятельности в области биоразнообразия;</w:t>
            </w:r>
          </w:p>
        </w:tc>
        <w:tc>
          <w:tcPr>
            <w:tcW w:w="4675" w:type="dxa"/>
            <w:shd w:val="clear" w:color="auto" w:fill="auto"/>
          </w:tcPr>
          <w:p w:rsidR="00CB2F0E" w:rsidRPr="00FB4441" w:rsidRDefault="00CB2F0E" w:rsidP="00CB2F0E">
            <w:r>
              <w:lastRenderedPageBreak/>
              <w:t>ГЭФ продолжает поддерживать проекты, которые страны проводят по своей инициативе с целью наращивания потенциала в период ГЭФ-7 для выполнения положений Нагойского и Картахенского протоколов в соответствии со стратегией сохранения биоразнообразия в ГЭФ-7, в том числе в отношении механизма посредничества для регулирования ДГРСИВ, учитывая текущее использование портала, размещенного на сайте секретариата КБР.</w:t>
            </w:r>
          </w:p>
          <w:p w:rsidR="00CB2F0E" w:rsidRPr="00FB4441" w:rsidRDefault="00CB2F0E" w:rsidP="00CB2F0E">
            <w:pPr>
              <w:rPr>
                <w:iCs/>
              </w:rPr>
            </w:pPr>
          </w:p>
        </w:tc>
      </w:tr>
      <w:tr w:rsidR="00CB2F0E" w:rsidRPr="00CB2F0E" w:rsidTr="008354E6">
        <w:tc>
          <w:tcPr>
            <w:tcW w:w="4675" w:type="dxa"/>
            <w:shd w:val="clear" w:color="auto" w:fill="auto"/>
          </w:tcPr>
          <w:p w:rsidR="00CB2F0E" w:rsidRPr="00FB4441" w:rsidRDefault="00B87465" w:rsidP="00CB2F0E">
            <w:r>
              <w:rPr>
                <w:i/>
                <w:iCs/>
              </w:rPr>
              <w:lastRenderedPageBreak/>
              <w:t>п</w:t>
            </w:r>
            <w:r w:rsidR="00CB2F0E">
              <w:rPr>
                <w:i/>
                <w:iCs/>
              </w:rPr>
              <w:t>редлагает</w:t>
            </w:r>
            <w:r w:rsidR="00CB2F0E">
              <w:t xml:space="preserve"> Глобальному экологическому фонду продолжать предоставлять финансирование для осуществления Картахенского протокола Сторонам, имеющим право на помощь, в частности:</w:t>
            </w:r>
          </w:p>
          <w:p w:rsidR="00CB2F0E" w:rsidRPr="00FB4441" w:rsidRDefault="00CB2F0E" w:rsidP="00CB2F0E">
            <w:pPr>
              <w:numPr>
                <w:ilvl w:val="0"/>
                <w:numId w:val="3"/>
              </w:numPr>
            </w:pPr>
            <w:r>
              <w:t>для содействия полномерному внедрению мер по осуществлению Протокола имеющим право на помощь Сторонам, которые этого еще не сделали;</w:t>
            </w:r>
          </w:p>
          <w:p w:rsidR="00CB2F0E" w:rsidRPr="00FB4441" w:rsidRDefault="00CB2F0E" w:rsidP="00CB2F0E">
            <w:pPr>
              <w:numPr>
                <w:ilvl w:val="0"/>
                <w:numId w:val="3"/>
              </w:numPr>
            </w:pPr>
            <w:r>
              <w:t>для содействия Сторонам, имеющим право на помощь, в выполнении их обязательств по представлению доклада в рамках Протокола, включая подготовку и представление их четвертых национальных докладов в рамках Протокола;</w:t>
            </w:r>
          </w:p>
          <w:p w:rsidR="00CB2F0E" w:rsidRPr="00FB4441" w:rsidRDefault="00CB2F0E" w:rsidP="00CB2F0E">
            <w:pPr>
              <w:numPr>
                <w:ilvl w:val="0"/>
                <w:numId w:val="3"/>
              </w:numPr>
            </w:pPr>
            <w:r>
              <w:t xml:space="preserve">для содействия Сторонам в осуществлении планов действий по обеспечению соблюдения, связанных с соблюдением </w:t>
            </w:r>
            <w:r>
              <w:lastRenderedPageBreak/>
              <w:t>положений Протокола;</w:t>
            </w:r>
          </w:p>
        </w:tc>
        <w:tc>
          <w:tcPr>
            <w:tcW w:w="4675" w:type="dxa"/>
            <w:shd w:val="clear" w:color="auto" w:fill="auto"/>
          </w:tcPr>
          <w:p w:rsidR="00CB2F0E" w:rsidRPr="00282210" w:rsidRDefault="00CB2F0E" w:rsidP="00CB2F0E">
            <w:r>
              <w:lastRenderedPageBreak/>
              <w:t>ГЭФ продолжит поддерживать проекты, которые страны проводят по своей инициативе в период ГЭФ-7 для выполнения положений Картахенского протокола в соответствии с положениями стратегии сохранения биоразнообразия в период ГЭФ-7, в том числе в четвертых национальных докладах.</w:t>
            </w:r>
            <w:r w:rsidR="00776E86">
              <w:t xml:space="preserve"> </w:t>
            </w:r>
            <w:r>
              <w:t>В отчетный период предложения не поступали.</w:t>
            </w:r>
          </w:p>
        </w:tc>
      </w:tr>
      <w:tr w:rsidR="00CB2F0E" w:rsidRPr="00CB2F0E" w:rsidTr="008354E6">
        <w:tc>
          <w:tcPr>
            <w:tcW w:w="4675" w:type="dxa"/>
            <w:shd w:val="clear" w:color="auto" w:fill="auto"/>
          </w:tcPr>
          <w:p w:rsidR="00CB2F0E" w:rsidRPr="00FB4441" w:rsidRDefault="00B87465" w:rsidP="00CB2F0E">
            <w:r>
              <w:rPr>
                <w:i/>
                <w:iCs/>
              </w:rPr>
              <w:lastRenderedPageBreak/>
              <w:t>п</w:t>
            </w:r>
            <w:r w:rsidR="00CB2F0E">
              <w:rPr>
                <w:i/>
                <w:iCs/>
              </w:rPr>
              <w:t>редлагает</w:t>
            </w:r>
            <w:r w:rsidR="00CB2F0E">
              <w:t xml:space="preserve"> Глобальному экологическому фонду и другим соответствующим финансирующим учреждениям предоставлять средства на региональные проекты, чтобы содействовать осуществлению Картахенского протокола, в том числе на проекты, направленные на наращивание научного потенциала, которые могли бы поддерживать мероприятия стран в направлении обнаружения и идентификации живых измененных организмов, и, в частности, которые могли бы содействовать обмену опытом и извлеченными уроками по линии Север-Юг и Юг-Юг;</w:t>
            </w:r>
          </w:p>
        </w:tc>
        <w:tc>
          <w:tcPr>
            <w:tcW w:w="4675" w:type="dxa"/>
            <w:shd w:val="clear" w:color="auto" w:fill="auto"/>
          </w:tcPr>
          <w:p w:rsidR="00CB2F0E" w:rsidRPr="00282210" w:rsidRDefault="00CB2F0E" w:rsidP="00CB2F0E">
            <w:r>
              <w:t>ГЭФ продолжит поддерживать проекты, которые страны проводят по своей инициативе в период ГЭФ-7 для выполнения положений Картахенского протокола в соответствии со стратегией сохранения биоразнообразия в период ГЭФ-7.</w:t>
            </w:r>
            <w:r w:rsidR="00776E86">
              <w:t xml:space="preserve"> </w:t>
            </w:r>
            <w:r>
              <w:t>В отчетный период предложения не поступали.</w:t>
            </w:r>
          </w:p>
        </w:tc>
      </w:tr>
      <w:tr w:rsidR="00CB2F0E" w:rsidRPr="00CB2F0E" w:rsidTr="008354E6">
        <w:tc>
          <w:tcPr>
            <w:tcW w:w="4675" w:type="dxa"/>
            <w:shd w:val="clear" w:color="auto" w:fill="auto"/>
          </w:tcPr>
          <w:p w:rsidR="00CB2F0E" w:rsidRPr="00FB4441" w:rsidRDefault="00B87465" w:rsidP="00CB2F0E">
            <w:pPr>
              <w:rPr>
                <w:b/>
              </w:rPr>
            </w:pPr>
            <w:r>
              <w:rPr>
                <w:i/>
                <w:iCs/>
              </w:rPr>
              <w:t>в</w:t>
            </w:r>
            <w:r w:rsidR="00CB2F0E">
              <w:rPr>
                <w:i/>
                <w:iCs/>
              </w:rPr>
              <w:t xml:space="preserve">ыражает свою признательность </w:t>
            </w:r>
            <w:r w:rsidR="00CB2F0E">
              <w:t>Глобальному экологическому фонду за финансовую поддержку, оказанную ряду Сторон, имеющих право на получение помощи, в целях содействия подготовке их промежуточных национальных докладов о выполнении обязательств по Нагойскому протоколу, и отмечает важное значение своевременного предоставления финансовых ресурсов, с тем чтобы способствовать подготовке и представлению национальных докладов в установленные сроки;</w:t>
            </w:r>
          </w:p>
        </w:tc>
        <w:tc>
          <w:tcPr>
            <w:tcW w:w="4675" w:type="dxa"/>
            <w:shd w:val="clear" w:color="auto" w:fill="auto"/>
          </w:tcPr>
          <w:p w:rsidR="00CB2F0E" w:rsidRPr="00597952" w:rsidRDefault="00CB2F0E" w:rsidP="00CB2F0E">
            <w:pPr>
              <w:rPr>
                <w:iCs/>
              </w:rPr>
            </w:pPr>
            <w:r>
              <w:t>Ответные меры не требуются.</w:t>
            </w:r>
          </w:p>
        </w:tc>
      </w:tr>
      <w:tr w:rsidR="00CB2F0E" w:rsidRPr="00FB4441" w:rsidTr="008354E6">
        <w:tc>
          <w:tcPr>
            <w:tcW w:w="4675" w:type="dxa"/>
            <w:shd w:val="clear" w:color="auto" w:fill="auto"/>
          </w:tcPr>
          <w:p w:rsidR="00CB2F0E" w:rsidRPr="00FB4441" w:rsidRDefault="00B87465" w:rsidP="00CB2F0E">
            <w:r>
              <w:rPr>
                <w:i/>
                <w:iCs/>
              </w:rPr>
              <w:t>п</w:t>
            </w:r>
            <w:r w:rsidR="00CB2F0E">
              <w:rPr>
                <w:i/>
                <w:iCs/>
              </w:rPr>
              <w:t xml:space="preserve">редлагает </w:t>
            </w:r>
            <w:r w:rsidR="00CB2F0E">
              <w:t>Глобальному экологическому фонду продолжать оказание поддержки Сторонам, имеющим право на получение помощи, в осуществлении Нагойского протокола, включая принятие законодательных, административных и политических мер, направленных на регулирование доступа к генетическим ресурсам и совместное использование выгод, и выделять финансирование на эти цели;</w:t>
            </w:r>
          </w:p>
        </w:tc>
        <w:tc>
          <w:tcPr>
            <w:tcW w:w="4675" w:type="dxa"/>
            <w:shd w:val="clear" w:color="auto" w:fill="auto"/>
          </w:tcPr>
          <w:p w:rsidR="00CB2F0E" w:rsidRPr="00FB4441" w:rsidRDefault="00CB2F0E" w:rsidP="00CB2F0E">
            <w:r>
              <w:t>ГЭФ продолжает поддерживать проекты, которые страны проводят по своей инициативе в период ГЭФ-7 для выполнения положений Нагойского протокола в соответствии со стратегией сохранения биоразнообразия в период ГЭФ-7.</w:t>
            </w:r>
            <w:r w:rsidR="00776E86">
              <w:t xml:space="preserve"> </w:t>
            </w:r>
            <w:r>
              <w:t xml:space="preserve">За отчетный период ГЭФ утвердил три страновых проекта (Мадагаскар, Панама, Судан) по укреплению необходимого потенциала в технической, правовой и институциональной областях для выполнения положений Нагойского протокола. ГЭФ инвестировал 3,9 млн долл. США и привлек 24,2 млн долл. в виде </w:t>
            </w:r>
            <w:r>
              <w:lastRenderedPageBreak/>
              <w:t>софинансирования.</w:t>
            </w:r>
          </w:p>
        </w:tc>
      </w:tr>
      <w:tr w:rsidR="00CB2F0E" w:rsidRPr="00FB4441" w:rsidTr="008354E6">
        <w:tc>
          <w:tcPr>
            <w:tcW w:w="4675" w:type="dxa"/>
            <w:shd w:val="clear" w:color="auto" w:fill="auto"/>
          </w:tcPr>
          <w:p w:rsidR="00CB2F0E" w:rsidRPr="00FB4441" w:rsidRDefault="00B87465" w:rsidP="00CB2F0E">
            <w:r>
              <w:rPr>
                <w:i/>
                <w:iCs/>
              </w:rPr>
              <w:lastRenderedPageBreak/>
              <w:t>с</w:t>
            </w:r>
            <w:r w:rsidR="00CB2F0E">
              <w:rPr>
                <w:i/>
                <w:iCs/>
              </w:rPr>
              <w:t>читает</w:t>
            </w:r>
            <w:r w:rsidR="00CB2F0E">
              <w:t xml:space="preserve"> шестое исследование общих показателей эффективности ГЭФ, проведенное Управлением независимой оценки ГЭФ и завершенное в декабре 2017 года, а также соответствующие материалы, полученные от Сторон, хорошей основой для пятого обзора эффективности механизма финансирования, и </w:t>
            </w:r>
            <w:r w:rsidR="00CB2F0E">
              <w:rPr>
                <w:i/>
                <w:iCs/>
              </w:rPr>
              <w:t>предлагает</w:t>
            </w:r>
            <w:r w:rsidR="00CB2F0E">
              <w:t xml:space="preserve"> Совету Глобального экологического фонда принять следующие меры в целях дальнейшего повышения эффективности механизма финансирования:</w:t>
            </w:r>
          </w:p>
          <w:p w:rsidR="00CB2F0E" w:rsidRPr="00FB4441" w:rsidRDefault="00CB2F0E" w:rsidP="00CB2F0E">
            <w:pPr>
              <w:numPr>
                <w:ilvl w:val="0"/>
                <w:numId w:val="4"/>
              </w:numPr>
            </w:pPr>
            <w:r>
              <w:t>дальнейшее совершенствование разработки, управления и эффективности комплексных экспериментальных подходов периода шестого пополнения, программ широкого воздействия периода седьмого пополнения, других программных подходов и проектов в многоцелевых областях в работе по устранению факторов деградации окружающей среды;</w:t>
            </w:r>
          </w:p>
          <w:p w:rsidR="00CB2F0E" w:rsidRPr="00FB4441" w:rsidRDefault="00CB2F0E" w:rsidP="00CB2F0E">
            <w:pPr>
              <w:numPr>
                <w:ilvl w:val="0"/>
                <w:numId w:val="4"/>
              </w:numPr>
            </w:pPr>
            <w:r>
              <w:t>повышение информированности о существующих при Уполномоченном по урегулированию конфликтов процедурах рассмотрения жалоб, связанных с функционированием механизма финансирования;</w:t>
            </w:r>
          </w:p>
          <w:p w:rsidR="00CB2F0E" w:rsidRPr="0085142B" w:rsidRDefault="00CB2F0E" w:rsidP="0085142B">
            <w:pPr>
              <w:numPr>
                <w:ilvl w:val="0"/>
                <w:numId w:val="4"/>
              </w:numPr>
            </w:pPr>
            <w:r w:rsidRPr="0085142B">
              <w:t>дальнейшее повышение устойчивости финансируемых проектов и программ, включая устойчивое финансирование охраняемых районов;</w:t>
            </w:r>
          </w:p>
          <w:p w:rsidR="00CB2F0E" w:rsidRPr="0085142B" w:rsidRDefault="00CB2F0E" w:rsidP="0085142B">
            <w:pPr>
              <w:numPr>
                <w:ilvl w:val="0"/>
                <w:numId w:val="4"/>
              </w:numPr>
            </w:pPr>
            <w:r>
              <w:t>дальнейшее повышение эффективности и совершенствование подотчетности в рамках сети партнеров Глобального экологического фонда;</w:t>
            </w:r>
          </w:p>
          <w:p w:rsidR="00CB2F0E" w:rsidRPr="0085142B" w:rsidRDefault="00CB2F0E" w:rsidP="0085142B">
            <w:pPr>
              <w:numPr>
                <w:ilvl w:val="0"/>
                <w:numId w:val="4"/>
              </w:numPr>
            </w:pPr>
            <w:r>
              <w:t>отражение следующей информации в своем докладе для Конференции Сторон на ее 15-м совещании:</w:t>
            </w:r>
          </w:p>
          <w:p w:rsidR="00CB2F0E" w:rsidRPr="00FB4441" w:rsidRDefault="00CB2F0E" w:rsidP="00CB2F0E">
            <w:pPr>
              <w:numPr>
                <w:ilvl w:val="0"/>
                <w:numId w:val="1"/>
              </w:numPr>
            </w:pPr>
            <w:r>
              <w:lastRenderedPageBreak/>
              <w:t>прогресс в осуществлении новой политики в области совместного финансирования;</w:t>
            </w:r>
          </w:p>
          <w:p w:rsidR="00CB2F0E" w:rsidRPr="00FB4441" w:rsidRDefault="00CB2F0E" w:rsidP="00CB2F0E">
            <w:pPr>
              <w:numPr>
                <w:ilvl w:val="0"/>
                <w:numId w:val="1"/>
              </w:numPr>
            </w:pPr>
            <w:r>
              <w:t>результаты работы сети учреждений Глобального экологического фонда;</w:t>
            </w:r>
          </w:p>
        </w:tc>
        <w:tc>
          <w:tcPr>
            <w:tcW w:w="4675" w:type="dxa"/>
            <w:shd w:val="clear" w:color="auto" w:fill="auto"/>
          </w:tcPr>
          <w:p w:rsidR="00CB2F0E" w:rsidRPr="00FB4441" w:rsidRDefault="00CB2F0E" w:rsidP="00CB2F0E">
            <w:r>
              <w:lastRenderedPageBreak/>
              <w:t>В рамках текущей работы по реализации экспериментальных проектов комплексного подходов ГЭФ-6 и при формировании, разработке и реализации проектов комплексного подхода в период ГЭФ-7, а также иных программных подходов, ГЭФ неизменно следует курсу на повышение качества всех аспектов разработки, управления и практической деятельности.</w:t>
            </w:r>
          </w:p>
          <w:p w:rsidR="00CB2F0E" w:rsidRPr="00FB4441" w:rsidRDefault="00CB2F0E" w:rsidP="00CB2F0E"/>
          <w:p w:rsidR="00CB2F0E" w:rsidRPr="00FB4441" w:rsidRDefault="00CB2F0E" w:rsidP="00CB2F0E">
            <w:r>
              <w:t>ГЭФ продолжает информировать страны, имеющие право на получение помощи ГЭФ, о процессах и процедурах, входящих в сферу компетенции Уполномоченного по урегулированию конфликтов.</w:t>
            </w:r>
          </w:p>
          <w:p w:rsidR="00CB2F0E" w:rsidRPr="00FB4441" w:rsidRDefault="00CB2F0E" w:rsidP="00CB2F0E"/>
          <w:p w:rsidR="00CB2F0E" w:rsidRPr="00FB4441" w:rsidRDefault="00CB2F0E" w:rsidP="00CB2F0E">
            <w:r>
              <w:t>ГЭФ по</w:t>
            </w:r>
            <w:r w:rsidR="00F75A59">
              <w:t>-</w:t>
            </w:r>
            <w:r>
              <w:t>прежнему полон решимости обеспечивать устойчивость всех его проектов и программ, в частности обеспечивать устойчивое финансирование систем охраняемых районов по линии ГЭФ, которое остается приоритетной областью инвестиций в стратегии сохранения биоразнообразия в период ГЭФ-7.</w:t>
            </w:r>
          </w:p>
          <w:p w:rsidR="00CB2F0E" w:rsidRPr="00FB4441" w:rsidRDefault="00CB2F0E" w:rsidP="00CB2F0E"/>
          <w:p w:rsidR="00CB2F0E" w:rsidRPr="00FB4441" w:rsidRDefault="00CB2F0E" w:rsidP="00CB2F0E">
            <w:r>
              <w:t>ГЭФ продолжает повышать эффективность и совершенствовать подотчетность в работе с партнерствами ГЭФ, используя действующие механизмы отчетности и управления.</w:t>
            </w:r>
          </w:p>
          <w:p w:rsidR="00CB2F0E" w:rsidRPr="00FB4441" w:rsidRDefault="00CB2F0E" w:rsidP="00CB2F0E"/>
          <w:p w:rsidR="00CB2F0E" w:rsidRPr="00FB4441" w:rsidRDefault="007D18C3" w:rsidP="00CB2F0E">
            <w:r>
              <w:t xml:space="preserve">В разделе III настоящего доклада содержится краткое описание а) результатов новой политики в области софинансирования и </w:t>
            </w:r>
            <w:proofErr w:type="spellStart"/>
            <w:r>
              <w:t>b</w:t>
            </w:r>
            <w:proofErr w:type="spellEnd"/>
            <w:r>
              <w:t>) результатов деятельности сети учреждений ГЭФ.</w:t>
            </w:r>
          </w:p>
        </w:tc>
      </w:tr>
      <w:tr w:rsidR="00CB2F0E" w:rsidRPr="00FB4441" w:rsidTr="008354E6">
        <w:tc>
          <w:tcPr>
            <w:tcW w:w="4675" w:type="dxa"/>
            <w:shd w:val="clear" w:color="auto" w:fill="auto"/>
          </w:tcPr>
          <w:p w:rsidR="00CB2F0E" w:rsidRPr="00FB4441" w:rsidRDefault="00CB2F0E" w:rsidP="00CB2F0E">
            <w:r>
              <w:rPr>
                <w:i/>
                <w:iCs/>
              </w:rPr>
              <w:lastRenderedPageBreak/>
              <w:t xml:space="preserve">призывает </w:t>
            </w:r>
            <w:r>
              <w:t>Исполнительного секретаря работать в тесном взаимодействии с Глобальным экологическим фондом в контексте перехода к выполнению глобальной рамочной программы в области биоразнообразия на период после 2020 года;</w:t>
            </w:r>
          </w:p>
        </w:tc>
        <w:tc>
          <w:tcPr>
            <w:tcW w:w="4675" w:type="dxa"/>
            <w:shd w:val="clear" w:color="auto" w:fill="auto"/>
          </w:tcPr>
          <w:p w:rsidR="00CB2F0E" w:rsidRPr="00FB4441" w:rsidRDefault="00CB2F0E" w:rsidP="00CB2F0E">
            <w:pPr>
              <w:rPr>
                <w:iCs/>
              </w:rPr>
            </w:pPr>
            <w:r>
              <w:t>После КС-14 ГЭФ активно взаимодействует с КБР по вопросам, связанным с переходом к глобальной рамочной программе в области биоразнообразия на период после 2020 года, и намерен продолжать это сотрудничество.</w:t>
            </w:r>
            <w:r w:rsidR="00776E86">
              <w:t xml:space="preserve"> </w:t>
            </w:r>
            <w:r>
              <w:t>Сотрудники секретариата ГЭФ участвовали в региональной консультации по глобальной рамочной программе в области биоразнообразия на период после 2020 года для стран Азиатско-Тихоокеанского региона, Латинской Америки и Карибского бассейна и рассказали об опыте работы ГЭФ, способствующей осуществлению КБР. Кроме того, сотрудники секретариата ГЭФ были участниками первого и второго совещаний Рабочей группы открытого состава (</w:t>
            </w:r>
            <w:proofErr w:type="spellStart"/>
            <w:r>
              <w:t>РГОС</w:t>
            </w:r>
            <w:proofErr w:type="spellEnd"/>
            <w:r>
              <w:t>) по разработке глобальной рамочной программы в области биоразнообразия на период после 2020 года. Действующий Исполнительный секретарь участвовала в 57-м совещании Совета в декабре 2019 года и выступила перед Советом с обзором проведенных обсуждений по рамочной программе на период после 2020 года.</w:t>
            </w:r>
            <w:r w:rsidR="00776E86">
              <w:t xml:space="preserve"> </w:t>
            </w:r>
            <w:r>
              <w:t xml:space="preserve">Один из сопредседателей </w:t>
            </w:r>
            <w:proofErr w:type="spellStart"/>
            <w:r>
              <w:t>РГОС</w:t>
            </w:r>
            <w:proofErr w:type="spellEnd"/>
            <w:r>
              <w:t xml:space="preserve"> также выступил на 57-м совещании Совета с сообщением о достигнутых </w:t>
            </w:r>
            <w:proofErr w:type="spellStart"/>
            <w:r>
              <w:t>РГОС</w:t>
            </w:r>
            <w:proofErr w:type="spellEnd"/>
            <w:r>
              <w:t xml:space="preserve"> результатах в разработке первоначального проекта глобальной рамочной программы в области биоразнообразия. В рамках этого процесса между секретариатом ГЭФ и секретариатом КБР и Исполнительным секретарем на постоянной основе ведется обмен информацией и совместная работа.</w:t>
            </w:r>
          </w:p>
        </w:tc>
      </w:tr>
    </w:tbl>
    <w:p w:rsidR="00896124" w:rsidRPr="00FB4441" w:rsidRDefault="00896124" w:rsidP="00FD5D1A">
      <w:bookmarkStart w:id="42" w:name="_Hlk26275865"/>
      <w:bookmarkEnd w:id="1"/>
      <w:bookmarkEnd w:id="2"/>
    </w:p>
    <w:p w:rsidR="00F0526E" w:rsidRPr="00DF481F" w:rsidRDefault="00737DE6" w:rsidP="008F5A5A">
      <w:pPr>
        <w:pStyle w:val="1"/>
        <w:numPr>
          <w:ilvl w:val="0"/>
          <w:numId w:val="27"/>
        </w:numPr>
        <w:rPr>
          <w:bCs w:val="0"/>
        </w:rPr>
      </w:pPr>
      <w:bookmarkStart w:id="43" w:name="_Toc32494931"/>
      <w:r w:rsidRPr="00DF481F">
        <w:rPr>
          <w:bCs w:val="0"/>
        </w:rPr>
        <w:lastRenderedPageBreak/>
        <w:t>Реализация портфеля проектов</w:t>
      </w:r>
      <w:bookmarkEnd w:id="42"/>
      <w:bookmarkEnd w:id="43"/>
    </w:p>
    <w:p w:rsidR="004F0D75" w:rsidRPr="00FB4441" w:rsidRDefault="004F0D75" w:rsidP="000C09D1">
      <w:pPr>
        <w:pStyle w:val="2"/>
        <w:rPr>
          <w:lang w:val="ru-RU"/>
        </w:rPr>
      </w:pPr>
      <w:bookmarkStart w:id="44" w:name="_Toc32494932"/>
      <w:r w:rsidRPr="00644CCA">
        <w:rPr>
          <w:bCs/>
          <w:lang w:val="ru-RU"/>
        </w:rPr>
        <w:t>Выполнение задач проектов в области развития и прогресс в реализации проектов</w:t>
      </w:r>
      <w:bookmarkEnd w:id="44"/>
    </w:p>
    <w:p w:rsidR="0049708B" w:rsidRPr="00FB4441" w:rsidRDefault="006257F6"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 xml:space="preserve">Ежегодно в отчете о выполнении проекта агентства самостоятельно оценивают параметры </w:t>
      </w:r>
      <w:r>
        <w:rPr>
          <w:rFonts w:eastAsia="Times New Roman" w:cstheme="minorHAnsi"/>
          <w:i/>
          <w:iCs/>
          <w:noProof/>
          <w:color w:val="000000"/>
          <w:sz w:val="24"/>
          <w:szCs w:val="24"/>
        </w:rPr>
        <w:t>выполнения задач проектов в области развития и достигнутых результатов</w:t>
      </w:r>
      <w:r>
        <w:rPr>
          <w:rFonts w:eastAsia="Times New Roman" w:cstheme="minorHAnsi"/>
          <w:noProof/>
          <w:color w:val="000000"/>
          <w:sz w:val="24"/>
          <w:szCs w:val="24"/>
        </w:rPr>
        <w:t xml:space="preserve"> в соответствии с политикой ГЭФ в области мониторинга и оценки, принятой в 2010 году, и недавно принятой политикой мониторинга ГЭФ</w:t>
      </w:r>
      <w:r>
        <w:rPr>
          <w:rFonts w:eastAsia="Times New Roman" w:cstheme="minorHAnsi"/>
          <w:noProof/>
          <w:color w:val="000000"/>
          <w:sz w:val="24"/>
          <w:szCs w:val="24"/>
          <w:vertAlign w:val="superscript"/>
        </w:rPr>
        <w:footnoteReference w:id="21"/>
      </w:r>
      <w:r>
        <w:rPr>
          <w:rFonts w:eastAsia="Times New Roman" w:cstheme="minorHAnsi"/>
          <w:noProof/>
          <w:color w:val="000000"/>
          <w:sz w:val="24"/>
          <w:szCs w:val="24"/>
        </w:rPr>
        <w:t>.</w:t>
      </w:r>
      <w:r w:rsidR="00776E86">
        <w:rPr>
          <w:rFonts w:eastAsia="Times New Roman" w:cstheme="minorHAnsi"/>
          <w:noProof/>
          <w:color w:val="000000"/>
          <w:sz w:val="24"/>
          <w:szCs w:val="24"/>
        </w:rPr>
        <w:t xml:space="preserve"> </w:t>
      </w:r>
      <w:r>
        <w:rPr>
          <w:rFonts w:eastAsia="Times New Roman" w:cstheme="minorHAnsi"/>
          <w:noProof/>
          <w:color w:val="000000"/>
          <w:sz w:val="24"/>
          <w:szCs w:val="24"/>
        </w:rPr>
        <w:t>При оценке проектов агентства придерживаются политики ГЭФ, но также используют свои собственные стандарты и положения.</w:t>
      </w:r>
    </w:p>
    <w:p w:rsidR="00AA7AA8" w:rsidRPr="00FB4441" w:rsidRDefault="00745611" w:rsidP="00AA7AA8">
      <w:pPr>
        <w:spacing w:before="240" w:after="240" w:line="252" w:lineRule="auto"/>
        <w:rPr>
          <w:rFonts w:eastAsia="Times New Roman" w:cstheme="minorHAnsi"/>
          <w:i/>
          <w:noProof/>
          <w:color w:val="000000"/>
          <w:sz w:val="24"/>
          <w:szCs w:val="24"/>
        </w:rPr>
      </w:pPr>
      <w:r>
        <w:rPr>
          <w:rFonts w:eastAsia="Times New Roman" w:cstheme="minorHAnsi"/>
          <w:i/>
          <w:iCs/>
          <w:color w:val="000000"/>
          <w:sz w:val="24"/>
          <w:szCs w:val="24"/>
        </w:rPr>
        <w:t xml:space="preserve">Данные, приведенные во всех таблицах и рисунках ниже, получены на основе активного портфеля проектов ГЭФ в 2019 финансовом году, который включает 923 проекта за период с </w:t>
      </w:r>
      <w:proofErr w:type="spellStart"/>
      <w:r>
        <w:rPr>
          <w:rFonts w:eastAsia="Times New Roman" w:cstheme="minorHAnsi"/>
          <w:i/>
          <w:iCs/>
          <w:color w:val="000000"/>
          <w:sz w:val="24"/>
          <w:szCs w:val="24"/>
        </w:rPr>
        <w:t>ГЭФ-3</w:t>
      </w:r>
      <w:proofErr w:type="spellEnd"/>
      <w:r>
        <w:rPr>
          <w:rFonts w:eastAsia="Times New Roman" w:cstheme="minorHAnsi"/>
          <w:i/>
          <w:iCs/>
          <w:color w:val="000000"/>
          <w:sz w:val="24"/>
          <w:szCs w:val="24"/>
        </w:rPr>
        <w:t xml:space="preserve"> по ГЭФ-6, если не указано иное.</w:t>
      </w:r>
      <w:r w:rsidR="00776E86">
        <w:rPr>
          <w:rFonts w:eastAsia="Times New Roman" w:cstheme="minorHAnsi"/>
          <w:i/>
          <w:iCs/>
          <w:color w:val="000000"/>
          <w:sz w:val="24"/>
          <w:szCs w:val="24"/>
        </w:rPr>
        <w:t xml:space="preserve"> </w:t>
      </w:r>
      <w:r>
        <w:rPr>
          <w:rFonts w:eastAsia="Times New Roman" w:cstheme="minorHAnsi"/>
          <w:i/>
          <w:iCs/>
          <w:color w:val="000000"/>
          <w:sz w:val="24"/>
          <w:szCs w:val="24"/>
        </w:rPr>
        <w:t>Активный портфель проектов включает проекты, которые в настоящее время находятся на стадии реализации.</w:t>
      </w:r>
    </w:p>
    <w:p w:rsidR="006A21EC" w:rsidRPr="00FB4441" w:rsidRDefault="0050139A"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 xml:space="preserve">Результаты деятельности ГЭФ по </w:t>
      </w:r>
      <w:r>
        <w:rPr>
          <w:rFonts w:eastAsia="Times New Roman" w:cstheme="minorHAnsi"/>
          <w:i/>
          <w:iCs/>
          <w:noProof/>
          <w:color w:val="000000"/>
          <w:sz w:val="24"/>
          <w:szCs w:val="24"/>
        </w:rPr>
        <w:t>всем целевым областям</w:t>
      </w:r>
      <w:r>
        <w:rPr>
          <w:rFonts w:eastAsia="Times New Roman" w:cstheme="minorHAnsi"/>
          <w:noProof/>
          <w:color w:val="000000"/>
          <w:sz w:val="24"/>
          <w:szCs w:val="24"/>
        </w:rPr>
        <w:t xml:space="preserve"> показаны на рис. 1 ниже.</w:t>
      </w:r>
    </w:p>
    <w:p w:rsidR="006257F6" w:rsidRPr="00FB4441" w:rsidRDefault="006257F6" w:rsidP="004700CD">
      <w:pPr>
        <w:spacing w:before="240" w:after="240" w:line="240" w:lineRule="auto"/>
        <w:jc w:val="center"/>
        <w:rPr>
          <w:rFonts w:eastAsiaTheme="minorEastAsia"/>
          <w:b/>
          <w:sz w:val="24"/>
          <w:szCs w:val="24"/>
        </w:rPr>
      </w:pPr>
      <w:bookmarkStart w:id="46" w:name="_Toc25257623"/>
      <w:r>
        <w:rPr>
          <w:rFonts w:eastAsiaTheme="minorEastAsia"/>
          <w:b/>
          <w:bCs/>
          <w:sz w:val="24"/>
          <w:szCs w:val="24"/>
        </w:rPr>
        <w:t>Рис. 1</w:t>
      </w:r>
      <w:r w:rsidR="00BC1D98">
        <w:rPr>
          <w:rFonts w:eastAsiaTheme="minorEastAsia"/>
          <w:b/>
          <w:bCs/>
          <w:sz w:val="24"/>
          <w:szCs w:val="24"/>
        </w:rPr>
        <w:t>.</w:t>
      </w:r>
      <w:r>
        <w:rPr>
          <w:rFonts w:eastAsiaTheme="minorEastAsia"/>
          <w:b/>
          <w:bCs/>
          <w:sz w:val="24"/>
          <w:szCs w:val="24"/>
        </w:rPr>
        <w:t xml:space="preserve"> Оценка выполнения задач в области развития и прогресса в реализации проектов</w:t>
      </w:r>
      <w:bookmarkEnd w:id="46"/>
      <w:r w:rsidR="00776E86">
        <w:rPr>
          <w:rFonts w:eastAsiaTheme="minorEastAsia"/>
          <w:b/>
          <w:bCs/>
          <w:sz w:val="24"/>
          <w:szCs w:val="24"/>
        </w:rPr>
        <w:t xml:space="preserve"> </w:t>
      </w:r>
      <w:r>
        <w:rPr>
          <w:rFonts w:eastAsiaTheme="minorEastAsia"/>
          <w:b/>
          <w:bCs/>
          <w:sz w:val="24"/>
          <w:szCs w:val="24"/>
        </w:rPr>
        <w:t>в активном портфеле проектов ГЭФ по всем целевым областям (2019 финансовый год)</w:t>
      </w:r>
    </w:p>
    <w:p w:rsidR="00620580" w:rsidRPr="00BC1D98" w:rsidRDefault="00620580" w:rsidP="00B312AC">
      <w:pPr>
        <w:spacing w:after="0" w:line="240" w:lineRule="auto"/>
        <w:jc w:val="center"/>
        <w:rPr>
          <w:rFonts w:eastAsiaTheme="minorEastAsia"/>
          <w:b/>
          <w:sz w:val="24"/>
          <w:szCs w:val="24"/>
          <w:lang w:val="en-US"/>
        </w:rPr>
      </w:pPr>
      <w:r>
        <w:rPr>
          <w:noProof/>
          <w:lang w:eastAsia="ru-RU"/>
        </w:rPr>
        <w:drawing>
          <wp:inline distT="0" distB="0" distL="0" distR="0">
            <wp:extent cx="4914900" cy="2628900"/>
            <wp:effectExtent l="0" t="0" r="0" b="0"/>
            <wp:docPr id="1"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w="http://schemas.openxmlformats.org/wordprocessingml/2006/main" xmlns:w10="urn:schemas-microsoft-com:office:word" xmlns:v="urn:schemas-microsoft-com:vml" xmlns:o="urn:schemas-microsoft-com:office:office" id="{473D80E4-EBD2-4870-92A0-16FDC010C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31BF" w:rsidRDefault="002A31BF" w:rsidP="004E7711">
      <w:pPr>
        <w:spacing w:after="0" w:line="240" w:lineRule="auto"/>
        <w:rPr>
          <w:rFonts w:eastAsiaTheme="minorEastAsia"/>
          <w:b/>
          <w:sz w:val="24"/>
          <w:szCs w:val="24"/>
        </w:rPr>
      </w:pPr>
    </w:p>
    <w:p w:rsidR="002A31BF" w:rsidRDefault="002A31BF" w:rsidP="00B312AC">
      <w:pPr>
        <w:spacing w:after="0" w:line="240" w:lineRule="auto"/>
        <w:jc w:val="center"/>
        <w:rPr>
          <w:rFonts w:eastAsiaTheme="minorEastAsia"/>
          <w:b/>
          <w:sz w:val="24"/>
          <w:szCs w:val="24"/>
        </w:rPr>
      </w:pPr>
      <w:r>
        <w:rPr>
          <w:noProof/>
          <w:lang w:eastAsia="ru-RU"/>
        </w:rPr>
        <w:lastRenderedPageBreak/>
        <w:drawing>
          <wp:inline distT="0" distB="0" distL="0" distR="0">
            <wp:extent cx="5562599" cy="3057525"/>
            <wp:effectExtent l="0" t="0" r="635" b="0"/>
            <wp:docPr id="5" name="Chart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w="http://schemas.openxmlformats.org/wordprocessingml/2006/main" xmlns:w10="urn:schemas-microsoft-com:office:word" xmlns:v="urn:schemas-microsoft-com:vml" xmlns:o="urn:schemas-microsoft-com:office:office" id="{4421E14E-B7B7-47E4-94F6-260FB2774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3E78" w:rsidRPr="00B11155" w:rsidRDefault="000C3E78" w:rsidP="006257F6">
      <w:pPr>
        <w:spacing w:after="0" w:line="240" w:lineRule="auto"/>
        <w:jc w:val="center"/>
        <w:rPr>
          <w:rFonts w:eastAsiaTheme="minorEastAsia" w:cstheme="minorHAnsi"/>
          <w:b/>
          <w:bCs/>
          <w:i/>
          <w:sz w:val="24"/>
          <w:szCs w:val="24"/>
        </w:rPr>
      </w:pPr>
    </w:p>
    <w:p w:rsidR="00F75A59" w:rsidRDefault="0050139A" w:rsidP="00FF3B4A">
      <w:pPr>
        <w:pStyle w:val="a9"/>
        <w:numPr>
          <w:ilvl w:val="0"/>
          <w:numId w:val="25"/>
        </w:numPr>
        <w:spacing w:before="240" w:after="240" w:line="240" w:lineRule="auto"/>
        <w:ind w:left="0" w:firstLine="0"/>
        <w:contextualSpacing w:val="0"/>
        <w:rPr>
          <w:rFonts w:cstheme="minorHAnsi"/>
          <w:sz w:val="24"/>
          <w:szCs w:val="24"/>
        </w:rPr>
      </w:pPr>
      <w:r>
        <w:rPr>
          <w:rFonts w:cstheme="minorHAnsi"/>
          <w:sz w:val="24"/>
          <w:szCs w:val="24"/>
        </w:rPr>
        <w:t>На рис. 2 показана доля проектов целевых областей, получивших удовлетворительную оценку за исполнение. Восемьдесят четыре процента проектов из группы проектов по биоразнообразию, реализуемых в настоящий отчетный период, получили умеренно удовлетворительную оценку или выше за прогресс в осуществлении проекта и его целей в области развития. Кроме того, 84 процента проектов многоцелевой направленности, часто включающих средства на биоразнообразие, получили умеренно удовлетворительную оценку или выше за достигнутых прогресс в осуществлении и 90 процентов проектов получили умеренно удовлетворительную оценку за достижение целей проектов в области развития.</w:t>
      </w:r>
    </w:p>
    <w:p w:rsidR="00F75A59" w:rsidRDefault="00F75A59">
      <w:pPr>
        <w:rPr>
          <w:rFonts w:cstheme="minorHAnsi"/>
          <w:sz w:val="24"/>
          <w:szCs w:val="24"/>
        </w:rPr>
      </w:pPr>
      <w:r>
        <w:rPr>
          <w:rFonts w:cstheme="minorHAnsi"/>
          <w:sz w:val="24"/>
          <w:szCs w:val="24"/>
        </w:rPr>
        <w:br w:type="page"/>
      </w:r>
    </w:p>
    <w:p w:rsidR="00B312AC" w:rsidRPr="00FB4441" w:rsidRDefault="006257F6" w:rsidP="00195EFE">
      <w:pPr>
        <w:spacing w:before="240" w:after="0" w:line="240" w:lineRule="auto"/>
        <w:jc w:val="center"/>
        <w:rPr>
          <w:rFonts w:eastAsiaTheme="minorEastAsia" w:cstheme="minorHAnsi"/>
          <w:b/>
          <w:bCs/>
          <w:sz w:val="24"/>
          <w:szCs w:val="24"/>
        </w:rPr>
      </w:pPr>
      <w:bookmarkStart w:id="47" w:name="_Toc25257626"/>
      <w:r>
        <w:rPr>
          <w:rFonts w:eastAsiaTheme="minorEastAsia" w:cstheme="minorHAnsi"/>
          <w:b/>
          <w:bCs/>
          <w:sz w:val="24"/>
          <w:szCs w:val="24"/>
        </w:rPr>
        <w:lastRenderedPageBreak/>
        <w:t>Рис. 2</w:t>
      </w:r>
      <w:r w:rsidR="00BC1D98">
        <w:rPr>
          <w:rFonts w:eastAsiaTheme="minorEastAsia" w:cstheme="minorHAnsi"/>
          <w:b/>
          <w:bCs/>
          <w:sz w:val="24"/>
          <w:szCs w:val="24"/>
        </w:rPr>
        <w:t>.</w:t>
      </w:r>
      <w:r>
        <w:rPr>
          <w:rFonts w:eastAsiaTheme="minorEastAsia" w:cstheme="minorHAnsi"/>
          <w:b/>
          <w:bCs/>
          <w:sz w:val="24"/>
          <w:szCs w:val="24"/>
        </w:rPr>
        <w:t xml:space="preserve"> Доля проектов на стадии реализации, оцененных удовлетворительно, по целевым областям</w:t>
      </w:r>
      <w:bookmarkEnd w:id="47"/>
    </w:p>
    <w:p w:rsidR="006257F6" w:rsidRPr="00B11155" w:rsidRDefault="00D72E47" w:rsidP="00195EFE">
      <w:pPr>
        <w:spacing w:after="240" w:line="240" w:lineRule="auto"/>
        <w:jc w:val="center"/>
        <w:rPr>
          <w:rFonts w:eastAsiaTheme="minorEastAsia" w:cstheme="minorHAnsi"/>
          <w:b/>
          <w:bCs/>
          <w:sz w:val="24"/>
          <w:szCs w:val="24"/>
        </w:rPr>
      </w:pPr>
      <w:r>
        <w:rPr>
          <w:rFonts w:eastAsiaTheme="minorEastAsia" w:cstheme="minorHAnsi"/>
          <w:b/>
          <w:bCs/>
          <w:sz w:val="24"/>
          <w:szCs w:val="24"/>
        </w:rPr>
        <w:t>(2019 финансовый год)</w:t>
      </w:r>
    </w:p>
    <w:p w:rsidR="00095C73" w:rsidRPr="00274354" w:rsidRDefault="00466079" w:rsidP="00274354">
      <w:pPr>
        <w:jc w:val="center"/>
        <w:rPr>
          <w:rFonts w:cstheme="minorHAnsi"/>
        </w:rPr>
      </w:pPr>
      <w:bookmarkStart w:id="48" w:name="_Toc23525337"/>
      <w:bookmarkStart w:id="49" w:name="_Toc24011742"/>
      <w:bookmarkStart w:id="50" w:name="_Toc25257585"/>
      <w:bookmarkStart w:id="51" w:name="_Toc18940489"/>
      <w:r>
        <w:rPr>
          <w:noProof/>
          <w:lang w:eastAsia="ru-RU"/>
        </w:rPr>
        <w:drawing>
          <wp:inline distT="0" distB="0" distL="0" distR="0">
            <wp:extent cx="5943600" cy="3656965"/>
            <wp:effectExtent l="0" t="0" r="0" b="0"/>
            <wp:docPr id="7" name="Chart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w="http://schemas.openxmlformats.org/wordprocessingml/2006/main" xmlns:w10="urn:schemas-microsoft-com:office:word" xmlns:v="urn:schemas-microsoft-com:vml" xmlns:o="urn:schemas-microsoft-com:office:office" id="{321EA1FA-DB06-47BD-B070-22A5A88EF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8671A" w:rsidRPr="00FB4441" w:rsidRDefault="000D6425" w:rsidP="00FF3B4A">
      <w:pPr>
        <w:pStyle w:val="a9"/>
        <w:numPr>
          <w:ilvl w:val="0"/>
          <w:numId w:val="25"/>
        </w:numPr>
        <w:spacing w:before="240" w:after="240" w:line="240" w:lineRule="auto"/>
        <w:ind w:left="0" w:firstLine="0"/>
        <w:contextualSpacing w:val="0"/>
        <w:rPr>
          <w:rFonts w:eastAsiaTheme="majorEastAsia" w:cstheme="minorHAnsi"/>
          <w:sz w:val="24"/>
          <w:szCs w:val="24"/>
        </w:rPr>
      </w:pPr>
      <w:r>
        <w:rPr>
          <w:rFonts w:eastAsiaTheme="majorEastAsia" w:cstheme="minorHAnsi"/>
          <w:sz w:val="24"/>
          <w:szCs w:val="24"/>
        </w:rPr>
        <w:t>На рис. 3 ниже показаны данные о результатах выполнения проектов в целевой области сохранения биоразнообразия, а также многоцелевых проектов, использующих средства на биоразнообразие. Восемьдесят два процента проектов из этой группы получили умеренно удовлетворительную оценку или выше.</w:t>
      </w:r>
    </w:p>
    <w:p w:rsidR="0091752D" w:rsidRPr="00FB4441" w:rsidRDefault="0091752D" w:rsidP="0091752D">
      <w:pPr>
        <w:spacing w:before="240" w:after="240" w:line="240" w:lineRule="auto"/>
        <w:jc w:val="center"/>
        <w:rPr>
          <w:b/>
          <w:sz w:val="24"/>
        </w:rPr>
      </w:pPr>
      <w:r>
        <w:rPr>
          <w:b/>
          <w:bCs/>
          <w:sz w:val="24"/>
        </w:rPr>
        <w:br w:type="page"/>
      </w:r>
    </w:p>
    <w:p w:rsidR="00895174" w:rsidRPr="00FB4441" w:rsidRDefault="00FE1D06" w:rsidP="00195EFE">
      <w:pPr>
        <w:spacing w:before="240" w:after="240" w:line="240" w:lineRule="auto"/>
        <w:jc w:val="center"/>
        <w:rPr>
          <w:b/>
          <w:sz w:val="24"/>
        </w:rPr>
      </w:pPr>
      <w:r>
        <w:rPr>
          <w:b/>
          <w:bCs/>
          <w:sz w:val="24"/>
        </w:rPr>
        <w:lastRenderedPageBreak/>
        <w:t>Рис 3. Оценка проектов по биоразнообразию и многоцелевых проектов, использующих средства на биоразнообразие (2019 финансовый год)</w:t>
      </w:r>
    </w:p>
    <w:p w:rsidR="00903F9F" w:rsidRPr="0091752D" w:rsidRDefault="00895174" w:rsidP="00B312AC">
      <w:pPr>
        <w:jc w:val="center"/>
      </w:pPr>
      <w:r>
        <w:rPr>
          <w:noProof/>
          <w:lang w:eastAsia="ru-RU"/>
        </w:rPr>
        <w:drawing>
          <wp:inline distT="0" distB="0" distL="0" distR="0">
            <wp:extent cx="5105400" cy="3095625"/>
            <wp:effectExtent l="0" t="0" r="0" b="0"/>
            <wp:docPr id="3" name="Chart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w="http://schemas.openxmlformats.org/wordprocessingml/2006/main" xmlns:w10="urn:schemas-microsoft-com:office:word" xmlns:v="urn:schemas-microsoft-com:vml" xmlns:o="urn:schemas-microsoft-com:office:office" id="{EB922163-15B6-4429-A512-6067526CC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1029" w:rsidRPr="0091752D" w:rsidRDefault="004A1029" w:rsidP="00B312AC">
      <w:pPr>
        <w:jc w:val="center"/>
      </w:pPr>
      <w:r>
        <w:rPr>
          <w:noProof/>
          <w:lang w:eastAsia="ru-RU"/>
        </w:rPr>
        <w:drawing>
          <wp:inline distT="0" distB="0" distL="0" distR="0">
            <wp:extent cx="5133975" cy="3214688"/>
            <wp:effectExtent l="0" t="0" r="0" b="5080"/>
            <wp:docPr id="4" name="Chart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w="http://schemas.openxmlformats.org/wordprocessingml/2006/main" xmlns:w10="urn:schemas-microsoft-com:office:word" xmlns:v="urn:schemas-microsoft-com:vml" xmlns:o="urn:schemas-microsoft-com:office:office" id="{7ABCF79D-3421-4D28-91FB-2164F0264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475B" w:rsidRPr="0091752D" w:rsidRDefault="0081475B" w:rsidP="0091752D">
      <w:r>
        <w:br w:type="page"/>
      </w:r>
    </w:p>
    <w:p w:rsidR="006257F6" w:rsidRPr="007617FC" w:rsidRDefault="006257F6" w:rsidP="000C09D1">
      <w:pPr>
        <w:pStyle w:val="2"/>
      </w:pPr>
      <w:bookmarkStart w:id="52" w:name="_Toc32494933"/>
      <w:proofErr w:type="spellStart"/>
      <w:r>
        <w:rPr>
          <w:bCs/>
        </w:rPr>
        <w:lastRenderedPageBreak/>
        <w:t>Рост</w:t>
      </w:r>
      <w:proofErr w:type="spellEnd"/>
      <w:r>
        <w:rPr>
          <w:bCs/>
        </w:rPr>
        <w:t xml:space="preserve"> софинансирования </w:t>
      </w:r>
      <w:bookmarkEnd w:id="48"/>
      <w:r>
        <w:rPr>
          <w:bCs/>
        </w:rPr>
        <w:t xml:space="preserve">в </w:t>
      </w:r>
      <w:proofErr w:type="spellStart"/>
      <w:r>
        <w:rPr>
          <w:bCs/>
        </w:rPr>
        <w:t>портфеле</w:t>
      </w:r>
      <w:proofErr w:type="spellEnd"/>
      <w:r>
        <w:rPr>
          <w:bCs/>
        </w:rPr>
        <w:t xml:space="preserve"> </w:t>
      </w:r>
      <w:proofErr w:type="spellStart"/>
      <w:r>
        <w:rPr>
          <w:bCs/>
        </w:rPr>
        <w:t>проектов</w:t>
      </w:r>
      <w:bookmarkEnd w:id="49"/>
      <w:bookmarkEnd w:id="50"/>
      <w:bookmarkEnd w:id="51"/>
      <w:bookmarkEnd w:id="52"/>
      <w:proofErr w:type="spellEnd"/>
    </w:p>
    <w:p w:rsidR="006257F6" w:rsidRPr="00FB4441" w:rsidRDefault="006257F6"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Объем средств, выделенный в период шестого пополнения, позволил ГЭФ достичь наивысшего соотношения в софинансировании на уровне 9,3 долл. США софинансирования на каждый</w:t>
      </w:r>
      <w:r w:rsidR="00776E86">
        <w:rPr>
          <w:rFonts w:eastAsia="Times New Roman" w:cstheme="minorHAnsi"/>
          <w:noProof/>
          <w:color w:val="000000"/>
          <w:sz w:val="24"/>
          <w:szCs w:val="24"/>
        </w:rPr>
        <w:t xml:space="preserve"> </w:t>
      </w:r>
      <w:r>
        <w:rPr>
          <w:rFonts w:eastAsia="Times New Roman" w:cstheme="minorHAnsi"/>
          <w:noProof/>
          <w:color w:val="000000"/>
          <w:sz w:val="24"/>
          <w:szCs w:val="24"/>
        </w:rPr>
        <w:t>доллар, выделенный на проекты в период ГЭФ-6, которые были утверждены к 31 декабря 2019 г. Соотношение рассчитывается путем деления общей суммы софинансирования на грант ГЭФ по каждому среднемасштабному и полномасштабному проекту в определенный период пополнения ГЭФ и выражается в виде коэффициента.</w:t>
      </w:r>
    </w:p>
    <w:p w:rsidR="006257F6" w:rsidRPr="00FB4441" w:rsidRDefault="006257F6" w:rsidP="00195EFE">
      <w:pPr>
        <w:spacing w:before="240" w:after="240" w:line="240" w:lineRule="auto"/>
        <w:jc w:val="center"/>
        <w:rPr>
          <w:rFonts w:eastAsiaTheme="minorEastAsia" w:cstheme="minorHAnsi"/>
          <w:b/>
          <w:bCs/>
          <w:sz w:val="24"/>
          <w:szCs w:val="24"/>
        </w:rPr>
      </w:pPr>
      <w:bookmarkStart w:id="53" w:name="_Toc25257627"/>
      <w:r>
        <w:rPr>
          <w:rFonts w:eastAsiaTheme="minorEastAsia" w:cstheme="minorHAnsi"/>
          <w:b/>
          <w:bCs/>
          <w:sz w:val="24"/>
          <w:szCs w:val="24"/>
        </w:rPr>
        <w:t>Рис 4. Динамика софинансирования по периодам пополнения средств ГЭФ</w:t>
      </w:r>
      <w:bookmarkEnd w:id="53"/>
      <w:r>
        <w:rPr>
          <w:rStyle w:val="a5"/>
          <w:rFonts w:eastAsiaTheme="minorEastAsia" w:cstheme="minorHAnsi"/>
          <w:b/>
          <w:bCs/>
          <w:sz w:val="24"/>
          <w:szCs w:val="24"/>
        </w:rPr>
        <w:footnoteReference w:id="22"/>
      </w:r>
    </w:p>
    <w:p w:rsidR="006257F6" w:rsidRPr="006257F6" w:rsidRDefault="006257F6" w:rsidP="006257F6">
      <w:pPr>
        <w:jc w:val="center"/>
        <w:rPr>
          <w:rFonts w:cstheme="minorHAnsi"/>
        </w:rPr>
      </w:pPr>
      <w:r>
        <w:rPr>
          <w:rFonts w:cstheme="minorHAnsi"/>
          <w:noProof/>
          <w:lang w:eastAsia="ru-RU"/>
        </w:rPr>
        <w:drawing>
          <wp:inline distT="0" distB="0" distL="0" distR="0">
            <wp:extent cx="2139951" cy="1809756"/>
            <wp:effectExtent l="0" t="0" r="0" b="0"/>
            <wp:docPr id="27" name="Chart 2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w="http://schemas.openxmlformats.org/wordprocessingml/2006/main" xmlns:w10="urn:schemas-microsoft-com:office:word" xmlns:v="urn:schemas-microsoft-com:vml" xmlns:o="urn:schemas-microsoft-com:office:office" id="{7B1DC022-F629-4A9E-B722-CEEB7151E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70EA" w:rsidRPr="00FB4441" w:rsidRDefault="006257F6"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Софинансирование способствует повышению эффективности, воздействия и устойчивости проектов и программ ГЭФ, в частности позволяя ГЭФ достичь более долговременных и масштабных глобальных экологических выгод, а также укреплять партнерские связи.</w:t>
      </w:r>
    </w:p>
    <w:p w:rsidR="00310029" w:rsidRDefault="005770EA"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Как показано на рис. 5 ниже, отдельные целевые области привлекают софинансирования больше, чем другие.</w:t>
      </w:r>
      <w:r w:rsidR="00776E86">
        <w:rPr>
          <w:rFonts w:eastAsia="Times New Roman" w:cstheme="minorHAnsi"/>
          <w:noProof/>
          <w:color w:val="000000"/>
          <w:sz w:val="24"/>
          <w:szCs w:val="24"/>
        </w:rPr>
        <w:t xml:space="preserve"> </w:t>
      </w:r>
      <w:r>
        <w:rPr>
          <w:rFonts w:eastAsia="Times New Roman" w:cstheme="minorHAnsi"/>
          <w:noProof/>
          <w:color w:val="000000"/>
          <w:sz w:val="24"/>
          <w:szCs w:val="24"/>
        </w:rPr>
        <w:t>К ним относятся области изменения климата и международных вод, соотношение софинансирования в которых составляет $1 к $12,8 и $1 к $11,6 соответственно.</w:t>
      </w:r>
      <w:bookmarkStart w:id="54" w:name="_Toc25257629"/>
    </w:p>
    <w:p w:rsidR="00310029" w:rsidRDefault="00310029">
      <w:pPr>
        <w:rPr>
          <w:rFonts w:eastAsia="Times New Roman" w:cstheme="minorHAnsi"/>
          <w:noProof/>
          <w:color w:val="000000"/>
          <w:sz w:val="24"/>
          <w:szCs w:val="24"/>
        </w:rPr>
      </w:pPr>
      <w:r>
        <w:rPr>
          <w:rFonts w:eastAsia="Times New Roman" w:cstheme="minorHAnsi"/>
          <w:noProof/>
          <w:color w:val="000000"/>
          <w:sz w:val="24"/>
          <w:szCs w:val="24"/>
        </w:rPr>
        <w:br w:type="page"/>
      </w:r>
    </w:p>
    <w:p w:rsidR="006257F6" w:rsidRPr="00FB4441" w:rsidRDefault="006257F6" w:rsidP="00195EFE">
      <w:pPr>
        <w:spacing w:before="240" w:after="240" w:line="240" w:lineRule="auto"/>
        <w:jc w:val="center"/>
        <w:rPr>
          <w:rFonts w:eastAsiaTheme="minorEastAsia"/>
          <w:b/>
          <w:i/>
          <w:sz w:val="24"/>
          <w:szCs w:val="24"/>
        </w:rPr>
      </w:pPr>
      <w:r>
        <w:rPr>
          <w:rFonts w:eastAsiaTheme="minorEastAsia"/>
          <w:b/>
          <w:bCs/>
          <w:sz w:val="24"/>
          <w:szCs w:val="24"/>
        </w:rPr>
        <w:lastRenderedPageBreak/>
        <w:t>Рис. 5. Соотношение софинансирования по целевым областям</w:t>
      </w:r>
      <w:bookmarkEnd w:id="54"/>
      <w:r>
        <w:rPr>
          <w:rFonts w:eastAsiaTheme="minorEastAsia"/>
          <w:b/>
          <w:bCs/>
          <w:sz w:val="24"/>
          <w:szCs w:val="24"/>
        </w:rPr>
        <w:t xml:space="preserve"> в активном портфеле проектов (2019 финансовый год)</w:t>
      </w:r>
    </w:p>
    <w:p w:rsidR="006257F6" w:rsidRPr="006257F6" w:rsidRDefault="006257F6" w:rsidP="006257F6">
      <w:pPr>
        <w:jc w:val="center"/>
        <w:rPr>
          <w:rFonts w:cstheme="minorHAnsi"/>
        </w:rPr>
      </w:pPr>
      <w:r>
        <w:rPr>
          <w:rFonts w:cstheme="minorHAnsi"/>
          <w:noProof/>
          <w:lang w:eastAsia="ru-RU"/>
        </w:rPr>
        <w:drawing>
          <wp:inline distT="0" distB="0" distL="0" distR="0">
            <wp:extent cx="4114800" cy="1714500"/>
            <wp:effectExtent l="0" t="0" r="0" b="0"/>
            <wp:docPr id="11" name="Chart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w="http://schemas.openxmlformats.org/wordprocessingml/2006/main" xmlns:w10="urn:schemas-microsoft-com:office:word" xmlns:v="urn:schemas-microsoft-com:vml" xmlns:o="urn:schemas-microsoft-com:office:office" id="{86C3CEF0-37CD-4947-B54E-C4E17A9E2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133E" w:rsidRPr="00FB4441" w:rsidRDefault="006257F6"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Софинансирование производных проектов, включенных в текущий портфель, выше, чем отдельных полномасштабных проектов. Для проектов в рамках программ соотношение достигает 1:10,1, а для отдельных полномасштабных проектов 1:7,8.</w:t>
      </w:r>
    </w:p>
    <w:p w:rsidR="009F1049" w:rsidRPr="00FB4441" w:rsidRDefault="006257F6"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noProof/>
          <w:color w:val="000000"/>
          <w:sz w:val="24"/>
          <w:szCs w:val="24"/>
        </w:rPr>
        <w:t xml:space="preserve">Коэффициент софинансирования для всех проектов ГЭФ, утвержденных в 2019 финансовом году, составляет 1:6.7. Этот уровень софинансирования близок целевому, установленному для </w:t>
      </w:r>
      <w:r>
        <w:rPr>
          <w:rFonts w:eastAsia="Times New Roman" w:cstheme="minorHAnsi"/>
          <w:i/>
          <w:iCs/>
          <w:noProof/>
          <w:color w:val="000000"/>
          <w:sz w:val="24"/>
          <w:szCs w:val="24"/>
        </w:rPr>
        <w:t>всего портфеля проектов ГЭФ</w:t>
      </w:r>
      <w:r>
        <w:rPr>
          <w:rFonts w:eastAsia="Times New Roman" w:cstheme="minorHAnsi"/>
          <w:noProof/>
          <w:color w:val="000000"/>
          <w:sz w:val="24"/>
          <w:szCs w:val="24"/>
        </w:rPr>
        <w:t xml:space="preserve"> на период ГЭФ-7, который составляет 1:7. В общей сумме софинансирования, составившей 2,2 млрд долл. США, на долю субъектов частного сектора приходится 380 млн долл. Коэффициент софинансирования по всем проектам по биоразнообразию ГЭФ, утвержденных в 2019 финансовом году, составил 1: 5.2, что немного выше, чем для активного портфеля проектов.</w:t>
      </w:r>
    </w:p>
    <w:p w:rsidR="004829ED" w:rsidRPr="007E19D4" w:rsidRDefault="004829ED" w:rsidP="008F5A5A">
      <w:pPr>
        <w:pStyle w:val="1"/>
        <w:numPr>
          <w:ilvl w:val="0"/>
          <w:numId w:val="27"/>
        </w:numPr>
        <w:rPr>
          <w:bCs w:val="0"/>
        </w:rPr>
      </w:pPr>
      <w:bookmarkStart w:id="55" w:name="_Toc32494934"/>
      <w:r w:rsidRPr="007E19D4">
        <w:rPr>
          <w:bCs w:val="0"/>
        </w:rPr>
        <w:t>Доклад о положении дел в достижени</w:t>
      </w:r>
      <w:r w:rsidR="00E571C7">
        <w:rPr>
          <w:bCs w:val="0"/>
        </w:rPr>
        <w:t>и</w:t>
      </w:r>
      <w:r w:rsidRPr="007E19D4">
        <w:rPr>
          <w:bCs w:val="0"/>
        </w:rPr>
        <w:t xml:space="preserve"> корпоративных результатов и целевых задач ГЭФ-7</w:t>
      </w:r>
      <w:bookmarkEnd w:id="55"/>
    </w:p>
    <w:p w:rsidR="0071458C" w:rsidRPr="00FB4441" w:rsidRDefault="0052576A" w:rsidP="00A02BDB">
      <w:pPr>
        <w:pStyle w:val="a9"/>
        <w:numPr>
          <w:ilvl w:val="0"/>
          <w:numId w:val="25"/>
        </w:numPr>
        <w:spacing w:before="240" w:after="240" w:line="240" w:lineRule="auto"/>
        <w:ind w:left="0" w:firstLine="0"/>
        <w:contextualSpacing w:val="0"/>
        <w:rPr>
          <w:rFonts w:eastAsia="Times New Roman" w:cstheme="minorHAnsi"/>
          <w:color w:val="000000"/>
          <w:sz w:val="24"/>
          <w:szCs w:val="24"/>
        </w:rPr>
      </w:pPr>
      <w:r>
        <w:rPr>
          <w:color w:val="000000"/>
          <w:sz w:val="24"/>
          <w:szCs w:val="24"/>
        </w:rPr>
        <w:t>В рамках соглашения о пополнении ГЭФ-7 был согласован ряд корпоративных целевых задач</w:t>
      </w:r>
      <w:r w:rsidR="00D47B05" w:rsidRPr="00D47B05">
        <w:rPr>
          <w:snapToGrid w:val="0"/>
          <w:vertAlign w:val="superscript"/>
        </w:rPr>
        <w:footnoteReference w:id="23"/>
      </w:r>
      <w:r>
        <w:rPr>
          <w:color w:val="000000"/>
          <w:sz w:val="24"/>
          <w:szCs w:val="24"/>
        </w:rPr>
        <w:t xml:space="preserve">. В период ГЭФ-7 была введена обновленная матрица результатов с одиннадцатью основными индикаторами, которые охватывают все пять целевых областей. Все индикаторы значимы для Айтинских целевых задач в области биоразнообразия, учитывая их масштаб и полноту охвата. Все основные индикаторы, а также связанные с ними </w:t>
      </w:r>
      <w:proofErr w:type="spellStart"/>
      <w:r>
        <w:rPr>
          <w:color w:val="000000"/>
          <w:sz w:val="24"/>
          <w:szCs w:val="24"/>
        </w:rPr>
        <w:t>субиндикаторы</w:t>
      </w:r>
      <w:proofErr w:type="spellEnd"/>
      <w:r>
        <w:rPr>
          <w:color w:val="000000"/>
          <w:sz w:val="24"/>
          <w:szCs w:val="24"/>
        </w:rPr>
        <w:t xml:space="preserve"> и методологии, должны существенно повысить возможности ГЭФ отражать, отслеживать, анализировать и докладывать о достигнутых результатах.</w:t>
      </w:r>
      <w:r w:rsidR="00776E86">
        <w:rPr>
          <w:color w:val="000000"/>
          <w:sz w:val="24"/>
          <w:szCs w:val="24"/>
        </w:rPr>
        <w:t xml:space="preserve"> </w:t>
      </w:r>
      <w:r>
        <w:rPr>
          <w:color w:val="000000"/>
          <w:sz w:val="24"/>
          <w:szCs w:val="24"/>
        </w:rPr>
        <w:t>При этом замена инструментов отслеживания и матрицы результатов по каждой целевой области на основные индикаторы позволит существенно упростить структуру результатов ГЭФ и значительно снизить нагрузку по мониторингу и отчетности на уровне проектов и программ.</w:t>
      </w:r>
    </w:p>
    <w:p w:rsidR="004723D9" w:rsidRPr="00C220A9" w:rsidRDefault="00B11155" w:rsidP="00FF3B4A">
      <w:pPr>
        <w:pStyle w:val="a9"/>
        <w:numPr>
          <w:ilvl w:val="0"/>
          <w:numId w:val="25"/>
        </w:numPr>
        <w:spacing w:before="240" w:after="240" w:line="240" w:lineRule="auto"/>
        <w:ind w:left="0" w:firstLine="0"/>
        <w:contextualSpacing w:val="0"/>
        <w:rPr>
          <w:rFonts w:eastAsia="Times New Roman" w:cstheme="minorHAnsi"/>
          <w:noProof/>
          <w:color w:val="000000"/>
          <w:sz w:val="24"/>
          <w:szCs w:val="24"/>
        </w:rPr>
      </w:pPr>
      <w:r>
        <w:rPr>
          <w:rFonts w:eastAsia="Times New Roman" w:cstheme="minorHAnsi"/>
          <w:color w:val="000000"/>
          <w:sz w:val="24"/>
          <w:szCs w:val="24"/>
        </w:rPr>
        <w:t xml:space="preserve">На рис. 6 ниже показаны совокупные целевые показатели, представленные в утвержденных Советом ГЭФ концепциях (бланк идентификации проекта) за период с 1 </w:t>
      </w:r>
      <w:r>
        <w:rPr>
          <w:rFonts w:eastAsia="Times New Roman" w:cstheme="minorHAnsi"/>
          <w:color w:val="000000"/>
          <w:sz w:val="24"/>
          <w:szCs w:val="24"/>
        </w:rPr>
        <w:lastRenderedPageBreak/>
        <w:t>июля 2018 года по 31 декабря 2019 года, которые имеют значение для КБР и Стратегического плана в области сохранения и устойчивого использования биоразнообразия на 2010-2020 годы. Совокупные целевые показатели отражают основные ожидаемые результаты проектов.</w:t>
      </w:r>
    </w:p>
    <w:p w:rsidR="003F1966" w:rsidRPr="007617FC" w:rsidRDefault="007617FC" w:rsidP="00195EFE">
      <w:pPr>
        <w:spacing w:before="240" w:after="240" w:line="240" w:lineRule="auto"/>
        <w:jc w:val="center"/>
        <w:rPr>
          <w:rFonts w:eastAsia="Times New Roman" w:cstheme="minorHAnsi"/>
          <w:b/>
          <w:noProof/>
          <w:color w:val="000000"/>
          <w:sz w:val="24"/>
          <w:szCs w:val="24"/>
        </w:rPr>
      </w:pPr>
      <w:r>
        <w:rPr>
          <w:rFonts w:eastAsia="Times New Roman" w:cstheme="minorHAnsi"/>
          <w:b/>
          <w:bCs/>
          <w:noProof/>
          <w:color w:val="000000"/>
          <w:sz w:val="24"/>
          <w:szCs w:val="24"/>
        </w:rPr>
        <w:t>Рис. 6</w:t>
      </w:r>
    </w:p>
    <w:p w:rsidR="003F1966" w:rsidRPr="003F1966" w:rsidRDefault="00076D61" w:rsidP="003F1966">
      <w:pPr>
        <w:spacing w:before="240" w:after="240" w:line="252" w:lineRule="auto"/>
        <w:rPr>
          <w:rFonts w:eastAsia="Times New Roman" w:cstheme="minorHAnsi"/>
          <w:noProof/>
          <w:color w:val="000000"/>
          <w:sz w:val="24"/>
          <w:szCs w:val="24"/>
        </w:rPr>
      </w:pPr>
      <w:r>
        <w:rPr>
          <w:noProof/>
          <w:lang w:eastAsia="ru-RU"/>
        </w:rPr>
        <w:drawing>
          <wp:inline distT="0" distB="0" distL="0" distR="0">
            <wp:extent cx="5943600" cy="5557522"/>
            <wp:effectExtent l="0" t="0" r="0" b="5080"/>
            <wp:docPr id="7900649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tretch>
                      <a:fillRect/>
                    </a:stretch>
                  </pic:blipFill>
                  <pic:spPr>
                    <a:xfrm>
                      <a:off x="0" y="0"/>
                      <a:ext cx="5943600" cy="5557522"/>
                    </a:xfrm>
                    <a:prstGeom prst="rect">
                      <a:avLst/>
                    </a:prstGeom>
                  </pic:spPr>
                </pic:pic>
              </a:graphicData>
            </a:graphic>
          </wp:inline>
        </w:drawing>
      </w:r>
    </w:p>
    <w:p w:rsidR="008A6D52" w:rsidRPr="00FB4441" w:rsidRDefault="006A4323" w:rsidP="00FF3B4A">
      <w:pPr>
        <w:pStyle w:val="a9"/>
        <w:numPr>
          <w:ilvl w:val="0"/>
          <w:numId w:val="25"/>
        </w:numPr>
        <w:spacing w:before="240" w:after="240" w:line="240" w:lineRule="auto"/>
        <w:ind w:left="0" w:firstLine="0"/>
        <w:contextualSpacing w:val="0"/>
        <w:rPr>
          <w:sz w:val="24"/>
          <w:szCs w:val="24"/>
        </w:rPr>
      </w:pPr>
      <w:r>
        <w:rPr>
          <w:sz w:val="24"/>
          <w:szCs w:val="24"/>
        </w:rPr>
        <w:t>Согласно Программным направлениям в период ГЭФ-7 и матрице результатов, программы широкого воздействия направлены на достижение результатов по индикатору</w:t>
      </w:r>
      <w:r w:rsidR="00D47B05">
        <w:rPr>
          <w:sz w:val="24"/>
          <w:szCs w:val="24"/>
        </w:rPr>
        <w:t> </w:t>
      </w:r>
      <w:r>
        <w:rPr>
          <w:sz w:val="24"/>
          <w:szCs w:val="24"/>
        </w:rPr>
        <w:t>1 (наземные охраняемые районы), индикатору 3 (площадь восстановленных земель) и 6 (сокращение выбросов парниковых газов).</w:t>
      </w:r>
    </w:p>
    <w:p w:rsidR="004C3F85" w:rsidRPr="00FB4441" w:rsidRDefault="006A4323" w:rsidP="00FF3B4A">
      <w:pPr>
        <w:pStyle w:val="a9"/>
        <w:numPr>
          <w:ilvl w:val="0"/>
          <w:numId w:val="25"/>
        </w:numPr>
        <w:spacing w:before="240" w:after="240" w:line="240" w:lineRule="auto"/>
        <w:ind w:left="0" w:firstLine="0"/>
        <w:contextualSpacing w:val="0"/>
        <w:rPr>
          <w:sz w:val="24"/>
          <w:szCs w:val="24"/>
        </w:rPr>
      </w:pPr>
      <w:r>
        <w:rPr>
          <w:snapToGrid w:val="0"/>
          <w:sz w:val="24"/>
          <w:szCs w:val="24"/>
        </w:rPr>
        <w:t xml:space="preserve">На данный момент вклад всех программ широкого воздействия в выполнение показателей этих четырех основных индикаторов колеблется в пределах от 21% до почти </w:t>
      </w:r>
      <w:r>
        <w:rPr>
          <w:snapToGrid w:val="0"/>
          <w:sz w:val="24"/>
          <w:szCs w:val="24"/>
        </w:rPr>
        <w:lastRenderedPageBreak/>
        <w:t>70% от всех показателей ГЭФ-7 (рис. 7), при этом общая сумма средств по СПРР, которую запланировано освоить в программах широкого воздействия, составляет 23% от целевых ассигнований по СПРР в ГЭФ-7.</w:t>
      </w:r>
    </w:p>
    <w:p w:rsidR="00A92A17" w:rsidRPr="00FB4441" w:rsidRDefault="00414D11" w:rsidP="00195EFE">
      <w:pPr>
        <w:spacing w:before="240" w:after="240" w:line="240" w:lineRule="auto"/>
        <w:jc w:val="center"/>
        <w:rPr>
          <w:b/>
          <w:sz w:val="24"/>
          <w:szCs w:val="24"/>
        </w:rPr>
      </w:pPr>
      <w:r>
        <w:rPr>
          <w:b/>
          <w:bCs/>
          <w:sz w:val="24"/>
          <w:szCs w:val="24"/>
        </w:rPr>
        <w:t>Рис 7. Достигнутые на данный момент в период ГЭФ-7 результаты и вклад программ широкого воздействия в выполнение показателей по каждому основному индикатору, включая Программу работы (декабрь 2019 г.)</w:t>
      </w:r>
    </w:p>
    <w:p w:rsidR="007617FC" w:rsidRPr="009E5BBD" w:rsidRDefault="00A92A17" w:rsidP="00CB2F0E">
      <w:r>
        <w:rPr>
          <w:noProof/>
          <w:lang w:eastAsia="ru-RU"/>
        </w:rPr>
        <w:drawing>
          <wp:inline distT="0" distB="0" distL="0" distR="0">
            <wp:extent cx="5650032" cy="3214468"/>
            <wp:effectExtent l="0" t="0" r="8255" b="5080"/>
            <wp:docPr id="13987605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tretch>
                      <a:fillRect/>
                    </a:stretch>
                  </pic:blipFill>
                  <pic:spPr>
                    <a:xfrm>
                      <a:off x="0" y="0"/>
                      <a:ext cx="5650032" cy="3214468"/>
                    </a:xfrm>
                    <a:prstGeom prst="rect">
                      <a:avLst/>
                    </a:prstGeom>
                  </pic:spPr>
                </pic:pic>
              </a:graphicData>
            </a:graphic>
          </wp:inline>
        </w:drawing>
      </w:r>
    </w:p>
    <w:p w:rsidR="000F1D0C" w:rsidRPr="00FB4441" w:rsidRDefault="000F1D0C" w:rsidP="00797044">
      <w:pPr>
        <w:spacing w:after="0" w:line="240" w:lineRule="auto"/>
        <w:rPr>
          <w:b/>
          <w:sz w:val="20"/>
          <w:szCs w:val="20"/>
          <w:u w:val="single"/>
        </w:rPr>
      </w:pPr>
      <w:r>
        <w:rPr>
          <w:b/>
          <w:bCs/>
          <w:sz w:val="20"/>
          <w:szCs w:val="20"/>
          <w:u w:val="single"/>
        </w:rPr>
        <w:t>Ключ к рис. 7:</w:t>
      </w:r>
    </w:p>
    <w:p w:rsidR="000F1D0C" w:rsidRPr="00FB4441" w:rsidRDefault="000F1D0C" w:rsidP="00797044">
      <w:pPr>
        <w:spacing w:after="0" w:line="240" w:lineRule="auto"/>
        <w:rPr>
          <w:sz w:val="20"/>
          <w:szCs w:val="20"/>
        </w:rPr>
      </w:pPr>
      <w:r>
        <w:rPr>
          <w:sz w:val="20"/>
          <w:szCs w:val="20"/>
        </w:rPr>
        <w:t>Основной индикатор 1: Создание наземных охраняемых районов или улучшение методов их управления в целях сохранения и устойчивого использования</w:t>
      </w:r>
    </w:p>
    <w:p w:rsidR="00797044" w:rsidRPr="00FB4441" w:rsidRDefault="00797044" w:rsidP="00797044">
      <w:pPr>
        <w:spacing w:after="0" w:line="240" w:lineRule="auto"/>
        <w:rPr>
          <w:sz w:val="20"/>
          <w:szCs w:val="20"/>
        </w:rPr>
      </w:pPr>
      <w:r>
        <w:rPr>
          <w:sz w:val="20"/>
          <w:szCs w:val="20"/>
        </w:rPr>
        <w:t>Основной индикатор 2: Создание морских охраняемых районов или улучшение методов их управления в целях сохранения и устойчивого использования</w:t>
      </w:r>
    </w:p>
    <w:p w:rsidR="00797044" w:rsidRPr="00FB4441" w:rsidRDefault="00797044" w:rsidP="00797044">
      <w:pPr>
        <w:spacing w:after="0" w:line="240" w:lineRule="auto"/>
        <w:rPr>
          <w:sz w:val="20"/>
          <w:szCs w:val="20"/>
        </w:rPr>
      </w:pPr>
      <w:r>
        <w:rPr>
          <w:sz w:val="20"/>
          <w:szCs w:val="20"/>
        </w:rPr>
        <w:t>Основной индикатор 3: Площадь восстановленных земель (га)</w:t>
      </w:r>
    </w:p>
    <w:p w:rsidR="00797044" w:rsidRPr="00FB4441" w:rsidRDefault="00797044" w:rsidP="00797044">
      <w:pPr>
        <w:spacing w:after="0" w:line="240" w:lineRule="auto"/>
        <w:rPr>
          <w:sz w:val="20"/>
          <w:szCs w:val="20"/>
        </w:rPr>
      </w:pPr>
      <w:r>
        <w:rPr>
          <w:sz w:val="20"/>
          <w:szCs w:val="20"/>
        </w:rPr>
        <w:t>Основной индикатор 4: Улучшенная практика эксплуатации ландшафтов (гектары; исключая охраняемые районы)</w:t>
      </w:r>
    </w:p>
    <w:p w:rsidR="00797044" w:rsidRPr="00FB4441" w:rsidRDefault="00797044" w:rsidP="00797044">
      <w:pPr>
        <w:spacing w:after="0" w:line="240" w:lineRule="auto"/>
        <w:rPr>
          <w:sz w:val="20"/>
          <w:szCs w:val="20"/>
        </w:rPr>
      </w:pPr>
      <w:r>
        <w:rPr>
          <w:sz w:val="20"/>
          <w:szCs w:val="20"/>
        </w:rPr>
        <w:t>Основной индикатор 5: Улучшенная практика эксплуатации морской среды обитания в интересах сохранения биоразнообразия (гектары; исключая охраняемые районы)</w:t>
      </w:r>
    </w:p>
    <w:p w:rsidR="00797044" w:rsidRPr="00FB4441" w:rsidRDefault="00797044" w:rsidP="00797044">
      <w:pPr>
        <w:spacing w:after="0" w:line="240" w:lineRule="auto"/>
        <w:rPr>
          <w:sz w:val="20"/>
          <w:szCs w:val="20"/>
        </w:rPr>
      </w:pPr>
      <w:r>
        <w:rPr>
          <w:sz w:val="20"/>
          <w:szCs w:val="20"/>
        </w:rPr>
        <w:t>Основной индикатор 6: Снижение объема выбросов парниковых газов (метрические тонны эквивалента двуокиси углерода)</w:t>
      </w:r>
    </w:p>
    <w:p w:rsidR="00797044" w:rsidRPr="00FB4441" w:rsidRDefault="00797044" w:rsidP="00797044">
      <w:pPr>
        <w:spacing w:after="0" w:line="240" w:lineRule="auto"/>
        <w:rPr>
          <w:sz w:val="20"/>
          <w:szCs w:val="20"/>
        </w:rPr>
      </w:pPr>
      <w:r>
        <w:rPr>
          <w:sz w:val="20"/>
          <w:szCs w:val="20"/>
        </w:rPr>
        <w:t>Основной индикатор 7: Внедрение новой или улучшенной практики совместного управления в определенном количестве общих водных экосистем (пресноводных или морских)</w:t>
      </w:r>
    </w:p>
    <w:p w:rsidR="00797044" w:rsidRPr="00FB4441" w:rsidRDefault="00797044" w:rsidP="00797044">
      <w:pPr>
        <w:spacing w:after="0" w:line="240" w:lineRule="auto"/>
        <w:rPr>
          <w:sz w:val="20"/>
          <w:szCs w:val="20"/>
        </w:rPr>
      </w:pPr>
      <w:r>
        <w:rPr>
          <w:sz w:val="20"/>
          <w:szCs w:val="20"/>
        </w:rPr>
        <w:t>Основной индикатор 8: Повышение уровня устойчивости рыбного промысла в глобальных зонах рыболовства с чрезмерной эксплуатацией ресурсов (метрические тонны)</w:t>
      </w:r>
    </w:p>
    <w:p w:rsidR="00797044" w:rsidRPr="00FB4441" w:rsidRDefault="00797044" w:rsidP="00797044">
      <w:pPr>
        <w:spacing w:after="0" w:line="240" w:lineRule="auto"/>
        <w:rPr>
          <w:sz w:val="20"/>
          <w:szCs w:val="20"/>
        </w:rPr>
      </w:pPr>
      <w:r>
        <w:rPr>
          <w:sz w:val="20"/>
          <w:szCs w:val="20"/>
        </w:rPr>
        <w:t>Основной индикатор 9: Сокращение, удаление/уничтожение, поэтапный вывод, ликвидация и предотвращение использования химических веществ глобального значения и их отходов в окружающей среде и в производственных процессах, материалах и продукции (сокращенный объем токсичных химических веществ в метрических тонах)</w:t>
      </w:r>
    </w:p>
    <w:p w:rsidR="00797044" w:rsidRPr="00FB4441" w:rsidRDefault="00797044" w:rsidP="00797044">
      <w:pPr>
        <w:spacing w:after="0" w:line="240" w:lineRule="auto"/>
        <w:rPr>
          <w:sz w:val="20"/>
          <w:szCs w:val="20"/>
        </w:rPr>
      </w:pPr>
      <w:r>
        <w:rPr>
          <w:sz w:val="20"/>
          <w:szCs w:val="20"/>
        </w:rPr>
        <w:t xml:space="preserve">Основной индикатор 10: Сокращение, предупреждение выбросов </w:t>
      </w:r>
      <w:proofErr w:type="spellStart"/>
      <w:r>
        <w:rPr>
          <w:sz w:val="20"/>
          <w:szCs w:val="20"/>
        </w:rPr>
        <w:t>СОЗ</w:t>
      </w:r>
      <w:proofErr w:type="spellEnd"/>
      <w:r>
        <w:rPr>
          <w:sz w:val="20"/>
          <w:szCs w:val="20"/>
        </w:rPr>
        <w:t xml:space="preserve"> в атмосферу из стационарных и передвижных источников (грамм токсический эквивалент, г </w:t>
      </w:r>
      <w:proofErr w:type="spellStart"/>
      <w:r>
        <w:rPr>
          <w:sz w:val="20"/>
          <w:szCs w:val="20"/>
        </w:rPr>
        <w:t>ТЭ</w:t>
      </w:r>
      <w:proofErr w:type="spellEnd"/>
      <w:r>
        <w:rPr>
          <w:sz w:val="20"/>
          <w:szCs w:val="20"/>
        </w:rPr>
        <w:t>)</w:t>
      </w:r>
    </w:p>
    <w:p w:rsidR="00DF0187" w:rsidRPr="007E19D4" w:rsidRDefault="00DF0187" w:rsidP="0073135B">
      <w:pPr>
        <w:pStyle w:val="1"/>
        <w:numPr>
          <w:ilvl w:val="0"/>
          <w:numId w:val="27"/>
        </w:numPr>
        <w:rPr>
          <w:bCs w:val="0"/>
        </w:rPr>
      </w:pPr>
      <w:bookmarkStart w:id="56" w:name="_Toc32494935"/>
      <w:r w:rsidRPr="007E19D4">
        <w:rPr>
          <w:bCs w:val="0"/>
        </w:rPr>
        <w:lastRenderedPageBreak/>
        <w:t>Результаты Управления независимой оценки ГЭФ</w:t>
      </w:r>
      <w:bookmarkEnd w:id="56"/>
    </w:p>
    <w:p w:rsidR="00BB7B5B" w:rsidRPr="00DF0187" w:rsidRDefault="00DF0187" w:rsidP="001B2F27">
      <w:pPr>
        <w:pStyle w:val="a9"/>
        <w:numPr>
          <w:ilvl w:val="0"/>
          <w:numId w:val="25"/>
        </w:numPr>
        <w:spacing w:before="240" w:after="240" w:line="240" w:lineRule="auto"/>
        <w:ind w:left="0" w:firstLine="0"/>
        <w:contextualSpacing w:val="0"/>
        <w:rPr>
          <w:rFonts w:ascii="Calibri" w:eastAsia="Times New Roman" w:hAnsi="Calibri" w:cs="Calibri"/>
          <w:sz w:val="24"/>
          <w:szCs w:val="24"/>
        </w:rPr>
      </w:pPr>
      <w:bookmarkStart w:id="57" w:name="_Hlk32089239"/>
      <w:r>
        <w:rPr>
          <w:rFonts w:ascii="Calibri" w:hAnsi="Calibri"/>
          <w:sz w:val="24"/>
          <w:szCs w:val="24"/>
        </w:rPr>
        <w:t>В отчетный период Управление независимой оценки ГЭФ (</w:t>
      </w:r>
      <w:proofErr w:type="spellStart"/>
      <w:r>
        <w:rPr>
          <w:rFonts w:ascii="Calibri" w:hAnsi="Calibri"/>
          <w:sz w:val="24"/>
          <w:szCs w:val="24"/>
        </w:rPr>
        <w:t>УНО</w:t>
      </w:r>
      <w:proofErr w:type="spellEnd"/>
      <w:r>
        <w:rPr>
          <w:rFonts w:ascii="Calibri" w:hAnsi="Calibri"/>
          <w:sz w:val="24"/>
          <w:szCs w:val="24"/>
        </w:rPr>
        <w:t>) провело четыре оценки и обзора, актуальных для целевой области сохранения биоразнообразия. Основные положения этих оценок кратко излагаются ниже.</w:t>
      </w:r>
    </w:p>
    <w:p w:rsidR="00DF0187" w:rsidRPr="00FB4441" w:rsidRDefault="00DF0187" w:rsidP="00105FB1">
      <w:pPr>
        <w:pStyle w:val="3"/>
      </w:pPr>
      <w:bookmarkStart w:id="58" w:name="_Toc32494936"/>
      <w:bookmarkEnd w:id="57"/>
      <w:r>
        <w:rPr>
          <w:iCs/>
        </w:rPr>
        <w:t>Оценка деятельности ГЭФ в поддержку учета</w:t>
      </w:r>
      <w:r w:rsidR="00D47B05">
        <w:rPr>
          <w:iCs/>
        </w:rPr>
        <w:t xml:space="preserve"> проблематики</w:t>
      </w:r>
      <w:r w:rsidR="00E571C7">
        <w:rPr>
          <w:iCs/>
        </w:rPr>
        <w:br/>
      </w:r>
      <w:r w:rsidR="00D47B05">
        <w:rPr>
          <w:iCs/>
        </w:rPr>
        <w:t>биоразнообразия</w:t>
      </w:r>
      <w:r w:rsidR="00E571C7">
        <w:rPr>
          <w:iCs/>
        </w:rPr>
        <w:t>,</w:t>
      </w:r>
      <w:r w:rsidR="00776E86">
        <w:rPr>
          <w:iCs/>
        </w:rPr>
        <w:t xml:space="preserve"> </w:t>
      </w:r>
      <w:r>
        <w:rPr>
          <w:iCs/>
        </w:rPr>
        <w:t>2018</w:t>
      </w:r>
      <w:r w:rsidR="00776E86">
        <w:rPr>
          <w:iCs/>
        </w:rPr>
        <w:t xml:space="preserve"> </w:t>
      </w:r>
      <w:r>
        <w:rPr>
          <w:iCs/>
        </w:rPr>
        <w:t>г</w:t>
      </w:r>
      <w:bookmarkEnd w:id="58"/>
      <w:r w:rsidR="00204B1F">
        <w:rPr>
          <w:iCs/>
        </w:rPr>
        <w:t>.</w:t>
      </w:r>
      <w:r w:rsidR="00D47B05" w:rsidRPr="00DF0187">
        <w:rPr>
          <w:vertAlign w:val="superscript"/>
        </w:rPr>
        <w:footnoteReference w:id="24"/>
      </w:r>
    </w:p>
    <w:p w:rsidR="00DF0187" w:rsidRPr="00B87465" w:rsidRDefault="00DF0187" w:rsidP="00FF3B4A">
      <w:pPr>
        <w:pStyle w:val="a9"/>
        <w:numPr>
          <w:ilvl w:val="0"/>
          <w:numId w:val="25"/>
        </w:numPr>
        <w:spacing w:before="240" w:after="240" w:line="240" w:lineRule="auto"/>
        <w:ind w:left="0" w:firstLine="0"/>
        <w:contextualSpacing w:val="0"/>
        <w:rPr>
          <w:sz w:val="24"/>
          <w:szCs w:val="24"/>
        </w:rPr>
      </w:pPr>
      <w:r w:rsidRPr="00B87465">
        <w:rPr>
          <w:sz w:val="24"/>
          <w:szCs w:val="24"/>
        </w:rPr>
        <w:t xml:space="preserve">Оценка проводилась с целью определения общих результатов и эффективности проектов ГЭФ, направленных на учет проблематики биоразнообразия, на основе 471 проекта и трех страновых тематических исследований, проведенных в Колумбии, Индии и Южной Африке и отражающих опыт работы в период с </w:t>
      </w:r>
      <w:proofErr w:type="spellStart"/>
      <w:r w:rsidRPr="00B87465">
        <w:rPr>
          <w:sz w:val="24"/>
          <w:szCs w:val="24"/>
        </w:rPr>
        <w:t>ГЭФ-3</w:t>
      </w:r>
      <w:proofErr w:type="spellEnd"/>
      <w:r w:rsidRPr="00B87465">
        <w:rPr>
          <w:sz w:val="24"/>
          <w:szCs w:val="24"/>
        </w:rPr>
        <w:t xml:space="preserve"> по ГЭФ-6.</w:t>
      </w:r>
    </w:p>
    <w:p w:rsidR="00DF0187" w:rsidRPr="00B87465" w:rsidRDefault="00DF0187" w:rsidP="00FF3B4A">
      <w:pPr>
        <w:pStyle w:val="a9"/>
        <w:numPr>
          <w:ilvl w:val="0"/>
          <w:numId w:val="25"/>
        </w:numPr>
        <w:spacing w:before="240" w:after="240" w:line="240" w:lineRule="auto"/>
        <w:ind w:left="0" w:firstLine="0"/>
        <w:contextualSpacing w:val="0"/>
        <w:rPr>
          <w:sz w:val="24"/>
          <w:szCs w:val="24"/>
        </w:rPr>
      </w:pPr>
      <w:r w:rsidRPr="00B87465">
        <w:rPr>
          <w:sz w:val="24"/>
          <w:szCs w:val="24"/>
        </w:rPr>
        <w:t>Во время проведения оценки портфель проектов по учету проблематики биоразнообразия включал 471 проект на общую сумму 2,34 млн долл. США в виде грантов и 12,73 млн долл. в виде софинансирования. В оценочном докладе отмечен значительный рост портфеля проектов по учету проблематики биоразнообразия в период ГЭФ-6 по сравнению с предыдущими периодами пополнения, на которые сейчас приходится 51 процент проектов и 55 процентов финансирования.</w:t>
      </w:r>
      <w:r w:rsidR="00776E86" w:rsidRPr="00B87465">
        <w:rPr>
          <w:sz w:val="24"/>
          <w:szCs w:val="24"/>
        </w:rPr>
        <w:t xml:space="preserve"> </w:t>
      </w:r>
      <w:r w:rsidRPr="00B87465">
        <w:rPr>
          <w:sz w:val="24"/>
          <w:szCs w:val="24"/>
        </w:rPr>
        <w:t>Также было отмечено, что на проекты по учету проблематики биоразнообразия приходится наибольшая доля проектного портфеля, которая превосходит долю проектов по охраняемым районами и системам охраняемых районов в период ГЭФ-6.</w:t>
      </w:r>
    </w:p>
    <w:p w:rsidR="00DF0187" w:rsidRPr="00FB4441" w:rsidRDefault="00DF0187" w:rsidP="00707CDE">
      <w:pPr>
        <w:pStyle w:val="a9"/>
        <w:numPr>
          <w:ilvl w:val="0"/>
          <w:numId w:val="25"/>
        </w:numPr>
        <w:spacing w:before="240" w:after="240" w:line="240" w:lineRule="auto"/>
        <w:ind w:left="0" w:firstLine="0"/>
        <w:contextualSpacing w:val="0"/>
        <w:rPr>
          <w:rFonts w:ascii="Calibri" w:eastAsia="Times New Roman" w:hAnsi="Calibri" w:cs="Calibri"/>
          <w:sz w:val="24"/>
          <w:szCs w:val="24"/>
        </w:rPr>
      </w:pPr>
      <w:r>
        <w:rPr>
          <w:rFonts w:ascii="Calibri" w:eastAsia="Times New Roman" w:hAnsi="Calibri" w:cs="Calibri"/>
          <w:sz w:val="24"/>
          <w:szCs w:val="24"/>
        </w:rPr>
        <w:t xml:space="preserve">Результаты оценки показали, что региональное распределение средств на учет проблематики биоразнообразия в целом отражает структуру распределения глобально </w:t>
      </w:r>
      <w:r w:rsidRPr="00B87465">
        <w:rPr>
          <w:sz w:val="24"/>
          <w:szCs w:val="24"/>
        </w:rPr>
        <w:t>значимого биоразнообразия на протяжении ряда периодов пополнения.</w:t>
      </w:r>
      <w:r w:rsidR="00776E86" w:rsidRPr="00B87465">
        <w:rPr>
          <w:sz w:val="24"/>
          <w:szCs w:val="24"/>
        </w:rPr>
        <w:t xml:space="preserve"> </w:t>
      </w:r>
      <w:r w:rsidRPr="00B87465">
        <w:rPr>
          <w:sz w:val="24"/>
          <w:szCs w:val="24"/>
        </w:rPr>
        <w:t>Как и следовало</w:t>
      </w:r>
      <w:r>
        <w:rPr>
          <w:rFonts w:ascii="Calibri" w:eastAsia="Times New Roman" w:hAnsi="Calibri" w:cs="Calibri"/>
          <w:sz w:val="24"/>
          <w:szCs w:val="24"/>
        </w:rPr>
        <w:t xml:space="preserve"> ожидать, основная помощь ГЭФ в области учета проблематики биоразнообразия направлялась в страны Азии и Тихоокеанского региона, Латинской Америки и Карибского региона, за которыми следовали страны Африки. В докладе отмечено, что почти три четверти мероприятий по всестороннему учету биоразнообразия направлены на внедрение благоприятных для биоразнообразия методов в производственную практику, а более половины проектов с целями по распространению задач сохранения биоразнообразия проводятся в лесном и сельскохозяйственном секторах.</w:t>
      </w:r>
    </w:p>
    <w:p w:rsidR="00DF0187" w:rsidRPr="00DF0187" w:rsidRDefault="00DF0187" w:rsidP="00FF3B4A">
      <w:pPr>
        <w:pStyle w:val="a9"/>
        <w:numPr>
          <w:ilvl w:val="0"/>
          <w:numId w:val="25"/>
        </w:numPr>
        <w:spacing w:before="240" w:after="240" w:line="240" w:lineRule="auto"/>
        <w:ind w:left="0" w:firstLine="0"/>
        <w:contextualSpacing w:val="0"/>
        <w:rPr>
          <w:rFonts w:ascii="Calibri" w:eastAsia="Times New Roman" w:hAnsi="Calibri" w:cs="Calibri"/>
          <w:sz w:val="24"/>
          <w:szCs w:val="24"/>
        </w:rPr>
      </w:pPr>
      <w:r w:rsidRPr="003E5ACB">
        <w:rPr>
          <w:rFonts w:ascii="Calibri" w:hAnsi="Calibri"/>
          <w:sz w:val="24"/>
          <w:szCs w:val="24"/>
        </w:rPr>
        <w:t>Проекты</w:t>
      </w:r>
      <w:r>
        <w:t xml:space="preserve"> </w:t>
      </w:r>
      <w:r>
        <w:rPr>
          <w:snapToGrid w:val="0"/>
          <w:sz w:val="24"/>
          <w:szCs w:val="24"/>
        </w:rPr>
        <w:t>ГЭФ</w:t>
      </w:r>
      <w:r w:rsidR="000D2B4D">
        <w:rPr>
          <w:snapToGrid w:val="0"/>
          <w:sz w:val="24"/>
          <w:szCs w:val="24"/>
        </w:rPr>
        <w:t xml:space="preserve"> </w:t>
      </w:r>
      <w:r>
        <w:rPr>
          <w:rFonts w:ascii="Calibri" w:hAnsi="Calibri"/>
          <w:sz w:val="24"/>
          <w:szCs w:val="24"/>
        </w:rPr>
        <w:t xml:space="preserve">по всестороннему учету биоразнообразия разрабатываются в такой форме, чтобы устранять признанные угрозы биоразнообразию с целью снижения их воздействия на биоразнообразие глобального значения. Достижение этой цели в проектах осуществляется на основе различных подходов, предусматривающих расширение практики ландшафтного управления, агролесоводства и устойчивых </w:t>
      </w:r>
      <w:r>
        <w:rPr>
          <w:rFonts w:ascii="Calibri" w:hAnsi="Calibri"/>
          <w:sz w:val="24"/>
          <w:szCs w:val="24"/>
        </w:rPr>
        <w:lastRenderedPageBreak/>
        <w:t>производственных систем, а также биологической связности путем объединения уязвимых лесов с охраняемыми районами. Стратегии осуществления носят интегрированный и многоярусных характер.</w:t>
      </w:r>
    </w:p>
    <w:p w:rsidR="00DF0187" w:rsidRPr="007E19D4"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sidRPr="007E19D4">
        <w:rPr>
          <w:rFonts w:ascii="Calibri" w:eastAsia="Times New Roman" w:hAnsi="Calibri" w:cs="Calibri"/>
          <w:sz w:val="24"/>
          <w:szCs w:val="24"/>
        </w:rPr>
        <w:t>В оценочном исследовании отмечено, что проектный опыт работы подтверждает правильность модели теории преобразований ГЭФ по всестороннему учету вопросов биоразнообразия, что эта модель находит отражение в тенденциях развития программ на протяжении ряда циклов и что она предусматривает динамичный и нелинейный характер процесса распространения идей сохранения биоразнообразия. В результатах оценки, однако, отмечается необходимость более системного применения теории преобразований в процессе осуществления проектов.</w:t>
      </w:r>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Pr>
          <w:rFonts w:ascii="Calibri" w:eastAsia="Times New Roman" w:hAnsi="Calibri" w:cs="Calibri"/>
          <w:sz w:val="24"/>
          <w:szCs w:val="24"/>
        </w:rPr>
        <w:t>В докладе об оценке сообщается, что портфель проектов ГЭФ по всемерному учету вопросов биоразнообразия имеет важнейшее значение и играет существенную роль в выполнении обязательств глобальных положений Конвенции о биологическом разнообразии и ее стран-членов. ГЭФ играет важную роль, содействуя реформированию национальной политики и созданию принципов планирования, направленных на внедрение идей сохранения биоразнообразие в работу секторов и территорий.</w:t>
      </w:r>
      <w:r w:rsidR="00776E86">
        <w:rPr>
          <w:rFonts w:ascii="Calibri" w:eastAsia="Times New Roman" w:hAnsi="Calibri" w:cs="Calibri"/>
          <w:sz w:val="24"/>
          <w:szCs w:val="24"/>
        </w:rPr>
        <w:t xml:space="preserve"> </w:t>
      </w:r>
      <w:r>
        <w:rPr>
          <w:rFonts w:ascii="Calibri" w:eastAsia="Times New Roman" w:hAnsi="Calibri" w:cs="Calibri"/>
          <w:sz w:val="24"/>
          <w:szCs w:val="24"/>
        </w:rPr>
        <w:t>Что касается результатов работы, то благодаря успехам проектов ГЭФ вопросы сохранения биоразнообразия были подняты до уровня</w:t>
      </w:r>
      <w:r>
        <w:rPr>
          <w:rFonts w:ascii="Calibri" w:eastAsia="Times New Roman" w:hAnsi="Calibri" w:cs="Calibri"/>
          <w:sz w:val="24"/>
          <w:szCs w:val="24"/>
          <w:vertAlign w:val="superscript"/>
        </w:rPr>
        <w:footnoteReference w:id="25"/>
      </w:r>
      <w:r>
        <w:rPr>
          <w:rFonts w:ascii="Calibri" w:eastAsia="Times New Roman" w:hAnsi="Calibri" w:cs="Calibri"/>
          <w:sz w:val="24"/>
          <w:szCs w:val="24"/>
        </w:rPr>
        <w:t xml:space="preserve"> целевых секторов, учреждений, разработки политики и территорий с глобально значимым биоразнообразием. В докладе также говорится о небольшой группе проектов и национальных партнеров, которые добились успехов в активизации процесса</w:t>
      </w:r>
      <w:r>
        <w:rPr>
          <w:rFonts w:ascii="Calibri" w:eastAsia="Times New Roman" w:hAnsi="Calibri" w:cs="Calibri"/>
          <w:sz w:val="24"/>
          <w:szCs w:val="24"/>
          <w:vertAlign w:val="superscript"/>
        </w:rPr>
        <w:footnoteReference w:id="26"/>
      </w:r>
      <w:r>
        <w:rPr>
          <w:rFonts w:ascii="Calibri" w:eastAsia="Times New Roman" w:hAnsi="Calibri" w:cs="Calibri"/>
          <w:sz w:val="24"/>
          <w:szCs w:val="24"/>
        </w:rPr>
        <w:t xml:space="preserve"> по широкому внедрению вопросов сохранения биоразнообразия в практику работы секторов, учреждений и территорий.</w:t>
      </w:r>
      <w:r w:rsidR="00776E86">
        <w:rPr>
          <w:rFonts w:ascii="Calibri" w:eastAsia="Times New Roman" w:hAnsi="Calibri" w:cs="Calibri"/>
          <w:sz w:val="24"/>
          <w:szCs w:val="24"/>
        </w:rPr>
        <w:t xml:space="preserve"> </w:t>
      </w:r>
      <w:r>
        <w:rPr>
          <w:rFonts w:ascii="Calibri" w:eastAsia="Times New Roman" w:hAnsi="Calibri" w:cs="Calibri"/>
          <w:sz w:val="24"/>
          <w:szCs w:val="24"/>
        </w:rPr>
        <w:t>Внедрение идей сохранения биоразнообразия набирает силу и размах, и влияние этого процесса начинает ощущаться на системных уровнях.</w:t>
      </w:r>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Pr>
          <w:rFonts w:ascii="Calibri" w:eastAsia="Times New Roman" w:hAnsi="Calibri" w:cs="Calibri"/>
          <w:sz w:val="24"/>
          <w:szCs w:val="24"/>
        </w:rPr>
        <w:t>Позитивные факторы, способствующие всестороннему учету биоразнообразия, предполагают наличие таких предпосылок, как хорошо разработанная нормативно-правовая база для сохранения биоразнообразие, признанные и эффективные научно-исследовательские институты и благоприятная политическая среда.</w:t>
      </w:r>
      <w:r w:rsidR="00776E86">
        <w:rPr>
          <w:rFonts w:ascii="Calibri" w:eastAsia="Times New Roman" w:hAnsi="Calibri" w:cs="Calibri"/>
          <w:sz w:val="24"/>
          <w:szCs w:val="24"/>
        </w:rPr>
        <w:t xml:space="preserve"> </w:t>
      </w:r>
      <w:r>
        <w:rPr>
          <w:rFonts w:ascii="Calibri" w:eastAsia="Times New Roman" w:hAnsi="Calibri" w:cs="Calibri"/>
          <w:sz w:val="24"/>
          <w:szCs w:val="24"/>
        </w:rPr>
        <w:t>Успех деятельности по всестороннему учету биоразнообразия определяется взаимодействием факторов, которые непосредственно связаны с реализацией проекта – результативностью, своевременным достижением результатов, мониторингом и адаптивным управлением, а также с внешними факторами, за пределами текущего проекта – национальными возможностями и готовностью учреждений, циклами управления и политической и нормативной средой.</w:t>
      </w:r>
    </w:p>
    <w:p w:rsidR="00DF0187" w:rsidRPr="0073135B" w:rsidRDefault="00DF0187" w:rsidP="00FA726F">
      <w:pPr>
        <w:pStyle w:val="a9"/>
        <w:numPr>
          <w:ilvl w:val="0"/>
          <w:numId w:val="25"/>
        </w:numPr>
        <w:spacing w:before="240" w:after="240" w:line="240" w:lineRule="auto"/>
        <w:ind w:left="0" w:firstLine="0"/>
        <w:contextualSpacing w:val="0"/>
        <w:rPr>
          <w:snapToGrid w:val="0"/>
          <w:sz w:val="24"/>
          <w:szCs w:val="24"/>
        </w:rPr>
      </w:pPr>
      <w:r w:rsidRPr="0073135B">
        <w:rPr>
          <w:snapToGrid w:val="0"/>
          <w:sz w:val="24"/>
          <w:szCs w:val="24"/>
        </w:rPr>
        <w:lastRenderedPageBreak/>
        <w:t>Проекты ГЭФ по всестороннему учету биоразнообразия способствовали созданию дополнительных выгод в сфере природоохранного законодательства, регулирования, управления и социально-экономического развития, что выходит за рамки выгод, получаемых от дополнительных затрат. К этим дополнительным выгодам относятся подходы, основанные на многосторонних партнерских отношениях, связывающих общественные организации с региональными научно-исследовательскими институтами, правозащитными платформами и национальными природоохранными органами. В оценочном докладе, однако, также отмечены трудности, связанные с выявлением дополнительных выгод, таких как изменения в социально-экономической и природоохранной сфере, происходящие под влиянием деятельности ГЭФ.</w:t>
      </w:r>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Pr>
          <w:rFonts w:ascii="Calibri" w:eastAsia="Times New Roman" w:hAnsi="Calibri" w:cs="Calibri"/>
          <w:sz w:val="24"/>
          <w:szCs w:val="24"/>
        </w:rPr>
        <w:t xml:space="preserve">В оценочном исследовании отмечена необходимость уделять больше внимание количественным показателям, особенно при определении конечных результатов и воздействий. В результатах оценки отмечено, что основные индикаторы и </w:t>
      </w:r>
      <w:proofErr w:type="spellStart"/>
      <w:r>
        <w:rPr>
          <w:rFonts w:ascii="Calibri" w:eastAsia="Times New Roman" w:hAnsi="Calibri" w:cs="Calibri"/>
          <w:sz w:val="24"/>
          <w:szCs w:val="24"/>
        </w:rPr>
        <w:t>субиндикаторы</w:t>
      </w:r>
      <w:proofErr w:type="spellEnd"/>
      <w:r>
        <w:rPr>
          <w:rFonts w:ascii="Calibri" w:eastAsia="Times New Roman" w:hAnsi="Calibri" w:cs="Calibri"/>
          <w:sz w:val="24"/>
          <w:szCs w:val="24"/>
        </w:rPr>
        <w:t xml:space="preserve"> ГЭФ-7 – это шаг в верном направлении, но они недостаточны для отражения социально-экономических выгод, финансовых потоков и реформ в области политики и регулирования, происходящих под влиянием деятельности ГЭФ.</w:t>
      </w:r>
    </w:p>
    <w:p w:rsidR="006135B8"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sidRPr="000D2B4D">
        <w:rPr>
          <w:rFonts w:ascii="Calibri" w:eastAsia="Times New Roman" w:hAnsi="Calibri" w:cs="Calibri"/>
          <w:sz w:val="24"/>
          <w:szCs w:val="24"/>
        </w:rPr>
        <w:t>В докладе об оценке приводятся три основные рекомендации: 1) разрабатывать мероприятия по учету вопросов биоразнообразия на более длительную перспективу с объемом ресурсов, достаточным для обеспечения их устойчивости, 2) совершенствовать и укреплять разработку и практическое применение процессов мониторинга и оценки для отражения результатов в сфере охраны природы, социально-экономического развития, финансов, политики и регулирования с целью оценки результатов работы, выгод и компромиссных решений, а также в целях адаптивного управления; 3) продолжать использовать организационные возможности ГЭФ для совершенствования разработки и проведения политики и укрепления сотрудничества между министерствами и секторами для всестороннего учета проблематики биоразнообразия.</w:t>
      </w:r>
    </w:p>
    <w:p w:rsidR="00310029" w:rsidRPr="000D2B4D" w:rsidRDefault="00310029" w:rsidP="00310029">
      <w:pPr>
        <w:pStyle w:val="a9"/>
        <w:spacing w:before="240" w:after="240" w:line="240" w:lineRule="auto"/>
        <w:ind w:left="0"/>
        <w:contextualSpacing w:val="0"/>
        <w:rPr>
          <w:rFonts w:ascii="Calibri" w:eastAsia="Times New Roman" w:hAnsi="Calibri" w:cs="Calibri"/>
          <w:sz w:val="24"/>
          <w:szCs w:val="24"/>
        </w:rPr>
      </w:pPr>
    </w:p>
    <w:p w:rsidR="00DF0187" w:rsidRPr="00FB4441" w:rsidRDefault="00DF0187" w:rsidP="00DF0187">
      <w:pPr>
        <w:shd w:val="clear" w:color="auto" w:fill="FFFFFF"/>
        <w:spacing w:before="120" w:after="0" w:line="240" w:lineRule="auto"/>
        <w:rPr>
          <w:rFonts w:ascii="Calibri" w:eastAsia="Times New Roman" w:hAnsi="Calibri" w:cs="Calibri"/>
          <w:b/>
          <w:color w:val="222222"/>
          <w:sz w:val="24"/>
          <w:szCs w:val="24"/>
        </w:rPr>
      </w:pPr>
      <w:r>
        <w:rPr>
          <w:rFonts w:ascii="Calibri" w:eastAsia="Times New Roman" w:hAnsi="Calibri" w:cs="Calibri"/>
          <w:b/>
          <w:bCs/>
          <w:color w:val="222222"/>
          <w:sz w:val="24"/>
          <w:szCs w:val="24"/>
        </w:rPr>
        <w:t>Аналитический обзор экспериментальных программ комплексного подхода, июль 2018</w:t>
      </w:r>
      <w:r w:rsidR="00310029">
        <w:rPr>
          <w:rFonts w:ascii="Calibri" w:eastAsia="Times New Roman" w:hAnsi="Calibri" w:cs="Calibri"/>
          <w:b/>
          <w:bCs/>
          <w:color w:val="222222"/>
          <w:sz w:val="24"/>
          <w:szCs w:val="24"/>
        </w:rPr>
        <w:t> </w:t>
      </w:r>
      <w:r>
        <w:rPr>
          <w:rFonts w:ascii="Calibri" w:eastAsia="Times New Roman" w:hAnsi="Calibri" w:cs="Calibri"/>
          <w:b/>
          <w:bCs/>
          <w:color w:val="222222"/>
          <w:sz w:val="24"/>
          <w:szCs w:val="24"/>
        </w:rPr>
        <w:t>г.</w:t>
      </w:r>
      <w:r>
        <w:rPr>
          <w:rFonts w:ascii="Calibri" w:eastAsia="Times New Roman" w:hAnsi="Calibri" w:cs="Calibri"/>
          <w:b/>
          <w:bCs/>
          <w:color w:val="222222"/>
          <w:sz w:val="24"/>
          <w:szCs w:val="24"/>
          <w:vertAlign w:val="superscript"/>
        </w:rPr>
        <w:footnoteReference w:id="27"/>
      </w:r>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color w:val="222222"/>
          <w:sz w:val="24"/>
          <w:szCs w:val="24"/>
        </w:rPr>
      </w:pPr>
      <w:r>
        <w:rPr>
          <w:rFonts w:ascii="Calibri" w:eastAsia="Times New Roman" w:hAnsi="Calibri" w:cs="Calibri"/>
          <w:color w:val="222222"/>
          <w:sz w:val="24"/>
          <w:szCs w:val="24"/>
        </w:rPr>
        <w:t>Аналитический обзор трех экспериментальных программ комплексного подхода (</w:t>
      </w:r>
      <w:proofErr w:type="spellStart"/>
      <w:r>
        <w:rPr>
          <w:rFonts w:ascii="Calibri" w:eastAsia="Times New Roman" w:hAnsi="Calibri" w:cs="Calibri"/>
          <w:color w:val="222222"/>
          <w:sz w:val="24"/>
          <w:szCs w:val="24"/>
        </w:rPr>
        <w:t>ЭПК</w:t>
      </w:r>
      <w:proofErr w:type="spellEnd"/>
      <w:r>
        <w:rPr>
          <w:rFonts w:ascii="Calibri" w:eastAsia="Times New Roman" w:hAnsi="Calibri" w:cs="Calibri"/>
          <w:color w:val="222222"/>
          <w:sz w:val="24"/>
          <w:szCs w:val="24"/>
        </w:rPr>
        <w:t>), начатых в период ГЭФ-6 (Развитие устойчивых городов; Укрепление стабильности и жизнеспособности для обеспечения продовольственной безопасности в странах Африки к югу от Сахары – комплексный подход; и Исключение обезлесения из цепочки поставок товаров), содержит описание извлеченных уроков, основных примеров передовой практики и областей, требующих улучшения, для учета этих выводов в разработке будущих программ ГЭФ.</w:t>
      </w:r>
    </w:p>
    <w:p w:rsidR="00DF0187" w:rsidRPr="000D2B4D" w:rsidRDefault="00DF0187" w:rsidP="00FA726F">
      <w:pPr>
        <w:pStyle w:val="a9"/>
        <w:numPr>
          <w:ilvl w:val="0"/>
          <w:numId w:val="25"/>
        </w:numPr>
        <w:spacing w:before="240" w:after="240" w:line="240" w:lineRule="auto"/>
        <w:ind w:left="0" w:firstLine="0"/>
        <w:contextualSpacing w:val="0"/>
        <w:rPr>
          <w:rFonts w:ascii="Calibri" w:eastAsia="Times New Roman" w:hAnsi="Calibri" w:cs="Calibri"/>
          <w:color w:val="222222"/>
          <w:sz w:val="24"/>
          <w:szCs w:val="24"/>
        </w:rPr>
      </w:pPr>
      <w:r w:rsidRPr="000D2B4D">
        <w:rPr>
          <w:rFonts w:ascii="Calibri" w:eastAsia="Times New Roman" w:hAnsi="Calibri" w:cs="Calibri"/>
          <w:color w:val="222222"/>
          <w:sz w:val="24"/>
          <w:szCs w:val="24"/>
        </w:rPr>
        <w:lastRenderedPageBreak/>
        <w:t>В обзоре приводятся положительные примеры согласованности программ с приоритетами страны за счет благоприятных условий доступа, но также отмечается опасность смещения акцента с некоторых целевых областей под влиянием стратегической направления. По результатам обзора, производные проекты программы по цепочкам поставок товаров соответствуют конкретным государственным приоритетам, а программа по продовольственной безопасности является примером взаимодействия областей сохранения биоразнообразия, изменения климата и деградации земель, при этом на начальном этапе деградация земель привлекла наибольший объем финансирования. В докладе указано, что целевые области сохранения биоразнообразия и изменения климата скорее всего были включены лишь на последней стадии разработки проекта. Согласно результатам обзора, движущие факторы программы развития городов увязывают местные приоритеты в устойчивом развитии городов со смягчением изменения климата, сохранением биоразнообразия и сокращением химических веществ. Было отмечено, что первоначально программа развития городов стремилась к достижению наибольшего взаимодействия действий, но это не получило развития на последующих этапах разработки. Согласно результатам обзора,</w:t>
      </w:r>
      <w:r w:rsidR="00776E86">
        <w:rPr>
          <w:rFonts w:ascii="Calibri" w:eastAsia="Times New Roman" w:hAnsi="Calibri" w:cs="Calibri"/>
          <w:color w:val="222222"/>
          <w:sz w:val="24"/>
          <w:szCs w:val="24"/>
        </w:rPr>
        <w:t xml:space="preserve"> </w:t>
      </w:r>
      <w:r w:rsidRPr="000D2B4D">
        <w:rPr>
          <w:rFonts w:ascii="Calibri" w:eastAsia="Times New Roman" w:hAnsi="Calibri" w:cs="Calibri"/>
          <w:color w:val="222222"/>
          <w:sz w:val="24"/>
          <w:szCs w:val="24"/>
        </w:rPr>
        <w:t>исключение обезлесения из цепочки поставок товаров происходит за счет мероприятий, проводимых в целевой области сохранения биоразнообразия и изменения климата,</w:t>
      </w:r>
      <w:r w:rsidR="00776E86">
        <w:rPr>
          <w:rFonts w:ascii="Calibri" w:eastAsia="Times New Roman" w:hAnsi="Calibri" w:cs="Calibri"/>
          <w:color w:val="222222"/>
          <w:sz w:val="24"/>
          <w:szCs w:val="24"/>
        </w:rPr>
        <w:t xml:space="preserve"> </w:t>
      </w:r>
      <w:r w:rsidRPr="000D2B4D">
        <w:rPr>
          <w:rFonts w:ascii="Calibri" w:eastAsia="Times New Roman" w:hAnsi="Calibri" w:cs="Calibri"/>
          <w:color w:val="222222"/>
          <w:sz w:val="24"/>
          <w:szCs w:val="24"/>
        </w:rPr>
        <w:t>а также в результате мероприятий по устойчивому лесопользованию.</w:t>
      </w:r>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color w:val="222222"/>
          <w:sz w:val="24"/>
          <w:szCs w:val="24"/>
        </w:rPr>
      </w:pPr>
      <w:r>
        <w:rPr>
          <w:rFonts w:ascii="Calibri" w:eastAsia="Times New Roman" w:hAnsi="Calibri" w:cs="Calibri"/>
          <w:color w:val="222222"/>
          <w:sz w:val="24"/>
          <w:szCs w:val="24"/>
        </w:rPr>
        <w:t xml:space="preserve">В обзоре подчеркивается, что комплексные программы по устранению основных факторов деградации окружающей среды на основе </w:t>
      </w:r>
      <w:proofErr w:type="spellStart"/>
      <w:r>
        <w:rPr>
          <w:rFonts w:ascii="Calibri" w:eastAsia="Times New Roman" w:hAnsi="Calibri" w:cs="Calibri"/>
          <w:color w:val="222222"/>
          <w:sz w:val="24"/>
          <w:szCs w:val="24"/>
        </w:rPr>
        <w:t>ЭПК</w:t>
      </w:r>
      <w:proofErr w:type="spellEnd"/>
      <w:r>
        <w:rPr>
          <w:rFonts w:ascii="Calibri" w:eastAsia="Times New Roman" w:hAnsi="Calibri" w:cs="Calibri"/>
          <w:color w:val="222222"/>
          <w:sz w:val="24"/>
          <w:szCs w:val="24"/>
        </w:rPr>
        <w:t xml:space="preserve"> позволяют выполнять задачи многочисленных конвенций и в то же самое время решать</w:t>
      </w:r>
      <w:r w:rsidR="00776E86">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приоритетные национальные задачи по охране окружающей среды. В докладе говорится, что все производные проекты экспериментальных программ комплексного подхода направлены на решение задач многосторонних природоохранных соглашений и выполнение решений конвенций, указанных в программных направлениях ГЭФ-6. Эти инициативы в основном направлены на решение вопросов, связанных с биоразнообразием, деградацией земель, устойчивым лесопользованием и адаптацией к изменению климата. В обзоре отмечено, что хотя </w:t>
      </w:r>
      <w:proofErr w:type="spellStart"/>
      <w:r>
        <w:rPr>
          <w:rFonts w:ascii="Calibri" w:eastAsia="Times New Roman" w:hAnsi="Calibri" w:cs="Calibri"/>
          <w:color w:val="222222"/>
          <w:sz w:val="24"/>
          <w:szCs w:val="24"/>
        </w:rPr>
        <w:t>ЭПК</w:t>
      </w:r>
      <w:proofErr w:type="spellEnd"/>
      <w:r>
        <w:rPr>
          <w:rFonts w:ascii="Calibri" w:eastAsia="Times New Roman" w:hAnsi="Calibri" w:cs="Calibri"/>
          <w:color w:val="222222"/>
          <w:sz w:val="24"/>
          <w:szCs w:val="24"/>
        </w:rPr>
        <w:t xml:space="preserve"> могут решать задачи ряда целевых областей, каждая конвенция имеет свои собственные требования и обязательства, поэтому принимаются компромиссные решения и ограничения по некоторым целям и возможности для более полной интеграции целевых областей оказываются упущенными. Кроме того, согласно результатам обзора степень согласованности программы с национальными природоохранными приоритетами помогает повысить ответственность за результаты программы на </w:t>
      </w:r>
      <w:proofErr w:type="spellStart"/>
      <w:r>
        <w:rPr>
          <w:rFonts w:ascii="Calibri" w:eastAsia="Times New Roman" w:hAnsi="Calibri" w:cs="Calibri"/>
          <w:color w:val="222222"/>
          <w:sz w:val="24"/>
          <w:szCs w:val="24"/>
        </w:rPr>
        <w:t>страновом</w:t>
      </w:r>
      <w:proofErr w:type="spellEnd"/>
      <w:r>
        <w:rPr>
          <w:rFonts w:ascii="Calibri" w:eastAsia="Times New Roman" w:hAnsi="Calibri" w:cs="Calibri"/>
          <w:color w:val="222222"/>
          <w:sz w:val="24"/>
          <w:szCs w:val="24"/>
        </w:rPr>
        <w:t xml:space="preserve"> уровне за счет обеспечения необходимых условий для участия. В докладе отмечено, что ГЭФ обеспечивает соответствие </w:t>
      </w:r>
      <w:proofErr w:type="spellStart"/>
      <w:r>
        <w:rPr>
          <w:rFonts w:ascii="Calibri" w:eastAsia="Times New Roman" w:hAnsi="Calibri" w:cs="Calibri"/>
          <w:color w:val="222222"/>
          <w:sz w:val="24"/>
          <w:szCs w:val="24"/>
        </w:rPr>
        <w:t>ЭПК</w:t>
      </w:r>
      <w:proofErr w:type="spellEnd"/>
      <w:r>
        <w:rPr>
          <w:rFonts w:ascii="Calibri" w:eastAsia="Times New Roman" w:hAnsi="Calibri" w:cs="Calibri"/>
          <w:color w:val="222222"/>
          <w:sz w:val="24"/>
          <w:szCs w:val="24"/>
        </w:rPr>
        <w:t xml:space="preserve"> интересам стран-участниц и в то же время учитывает потребности конвенций.</w:t>
      </w:r>
    </w:p>
    <w:p w:rsidR="00DF0187" w:rsidRPr="00FB4441" w:rsidRDefault="00DF0187" w:rsidP="000C09D1">
      <w:pPr>
        <w:pStyle w:val="2"/>
        <w:rPr>
          <w:lang w:val="ru-RU"/>
        </w:rPr>
      </w:pPr>
      <w:bookmarkStart w:id="59" w:name="_Toc32494937"/>
      <w:r w:rsidRPr="00644CCA">
        <w:rPr>
          <w:bCs/>
          <w:lang w:val="ru-RU"/>
        </w:rPr>
        <w:lastRenderedPageBreak/>
        <w:t>Оценка деятельности ГЭФ в поддержку фундаментальных преобразований</w:t>
      </w:r>
      <w:r>
        <w:rPr>
          <w:bCs/>
          <w:vertAlign w:val="superscript"/>
        </w:rPr>
        <w:footnoteReference w:id="28"/>
      </w:r>
      <w:bookmarkEnd w:id="59"/>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Pr>
          <w:rFonts w:ascii="Calibri" w:eastAsia="Times New Roman" w:hAnsi="Calibri" w:cs="Calibri"/>
          <w:sz w:val="24"/>
          <w:szCs w:val="24"/>
        </w:rPr>
        <w:t>Поддержка фундаментальных преобразований – один из стратегических приоритетов ГЭФ, в том числе в целевой области ГЭФ по сохранению биоразнообразия. В оценке рассмотрен опыт работы ГЭФ по продвижению фундаментальных преобразований и выявлены факторы, способствующие этому. Цель заключалась в том, чтобы распространить результаты для их изучения и помочь ГЭФ и организациям-партнерам заблаговременно оценить концепции проектов и программ, чтобы определить</w:t>
      </w:r>
      <w:r w:rsidR="002A6898">
        <w:rPr>
          <w:rFonts w:ascii="Calibri" w:eastAsia="Times New Roman" w:hAnsi="Calibri" w:cs="Calibri"/>
          <w:sz w:val="24"/>
          <w:szCs w:val="24"/>
        </w:rPr>
        <w:t xml:space="preserve"> их потенциал для </w:t>
      </w:r>
      <w:r>
        <w:rPr>
          <w:rFonts w:ascii="Calibri" w:eastAsia="Times New Roman" w:hAnsi="Calibri" w:cs="Calibri"/>
          <w:sz w:val="24"/>
          <w:szCs w:val="24"/>
        </w:rPr>
        <w:t>фундаментальны</w:t>
      </w:r>
      <w:r w:rsidR="002A6898">
        <w:rPr>
          <w:rFonts w:ascii="Calibri" w:eastAsia="Times New Roman" w:hAnsi="Calibri" w:cs="Calibri"/>
          <w:sz w:val="24"/>
          <w:szCs w:val="24"/>
        </w:rPr>
        <w:t>х</w:t>
      </w:r>
      <w:r>
        <w:rPr>
          <w:rFonts w:ascii="Calibri" w:eastAsia="Times New Roman" w:hAnsi="Calibri" w:cs="Calibri"/>
          <w:sz w:val="24"/>
          <w:szCs w:val="24"/>
        </w:rPr>
        <w:t xml:space="preserve"> преобразовани</w:t>
      </w:r>
      <w:r w:rsidR="002A6898">
        <w:rPr>
          <w:rFonts w:ascii="Calibri" w:eastAsia="Times New Roman" w:hAnsi="Calibri" w:cs="Calibri"/>
          <w:sz w:val="24"/>
          <w:szCs w:val="24"/>
        </w:rPr>
        <w:t>й</w:t>
      </w:r>
      <w:r>
        <w:rPr>
          <w:rFonts w:ascii="Calibri" w:eastAsia="Times New Roman" w:hAnsi="Calibri" w:cs="Calibri"/>
          <w:sz w:val="24"/>
          <w:szCs w:val="24"/>
        </w:rPr>
        <w:t>, и способы улучш</w:t>
      </w:r>
      <w:r w:rsidR="002A6898">
        <w:rPr>
          <w:rFonts w:ascii="Calibri" w:eastAsia="Times New Roman" w:hAnsi="Calibri" w:cs="Calibri"/>
          <w:sz w:val="24"/>
          <w:szCs w:val="24"/>
        </w:rPr>
        <w:t xml:space="preserve">ения </w:t>
      </w:r>
      <w:r>
        <w:rPr>
          <w:rFonts w:ascii="Calibri" w:eastAsia="Times New Roman" w:hAnsi="Calibri" w:cs="Calibri"/>
          <w:sz w:val="24"/>
          <w:szCs w:val="24"/>
        </w:rPr>
        <w:t>разработк</w:t>
      </w:r>
      <w:r w:rsidR="002A6898">
        <w:rPr>
          <w:rFonts w:ascii="Calibri" w:eastAsia="Times New Roman" w:hAnsi="Calibri" w:cs="Calibri"/>
          <w:sz w:val="24"/>
          <w:szCs w:val="24"/>
        </w:rPr>
        <w:t>и</w:t>
      </w:r>
      <w:r>
        <w:rPr>
          <w:rFonts w:ascii="Calibri" w:eastAsia="Times New Roman" w:hAnsi="Calibri" w:cs="Calibri"/>
          <w:sz w:val="24"/>
          <w:szCs w:val="24"/>
        </w:rPr>
        <w:t>.</w:t>
      </w:r>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sidRPr="00ED0F7F">
        <w:rPr>
          <w:rFonts w:ascii="Calibri" w:eastAsia="Times New Roman" w:hAnsi="Calibri" w:cs="Calibri"/>
          <w:sz w:val="24"/>
          <w:szCs w:val="24"/>
        </w:rPr>
        <w:t>Оценка проводилась на основе целенаправленной выборки завершенных проектов, которые были отобраны в соответствии с критериям</w:t>
      </w:r>
      <w:r w:rsidRPr="00ED0F7F">
        <w:rPr>
          <w:rFonts w:ascii="Calibri" w:eastAsia="Times New Roman" w:hAnsi="Calibri" w:cs="Calibri"/>
          <w:sz w:val="24"/>
          <w:szCs w:val="24"/>
          <w:vertAlign w:val="superscript"/>
        </w:rPr>
        <w:footnoteReference w:id="29"/>
      </w:r>
      <w:r w:rsidRPr="00ED0F7F">
        <w:rPr>
          <w:rFonts w:ascii="Calibri" w:eastAsia="Times New Roman" w:hAnsi="Calibri" w:cs="Calibri"/>
          <w:sz w:val="24"/>
          <w:szCs w:val="24"/>
        </w:rPr>
        <w:t>фундаментальных изменений и проверены в ходе независимых оценок на уровне проектов.</w:t>
      </w:r>
      <w:r w:rsidR="00776E86" w:rsidRPr="00ED0F7F">
        <w:rPr>
          <w:rFonts w:ascii="Calibri" w:eastAsia="Times New Roman" w:hAnsi="Calibri" w:cs="Calibri"/>
          <w:sz w:val="24"/>
          <w:szCs w:val="24"/>
        </w:rPr>
        <w:t xml:space="preserve"> </w:t>
      </w:r>
      <w:r w:rsidRPr="00ED0F7F">
        <w:rPr>
          <w:rFonts w:ascii="Calibri" w:eastAsia="Times New Roman" w:hAnsi="Calibri" w:cs="Calibri"/>
          <w:sz w:val="24"/>
          <w:szCs w:val="24"/>
        </w:rPr>
        <w:t>Первоначально была отобрана группа из 156 проектов, предложенных агентствами ГЭФ, из которых выбрали восемь показательных проектов, учитывая их представительность по направлению, региональному распределению и агентству.</w:t>
      </w:r>
      <w:r w:rsidR="00776E86" w:rsidRPr="00ED0F7F">
        <w:rPr>
          <w:rFonts w:ascii="Calibri" w:eastAsia="Times New Roman" w:hAnsi="Calibri" w:cs="Calibri"/>
          <w:sz w:val="24"/>
          <w:szCs w:val="24"/>
        </w:rPr>
        <w:t xml:space="preserve"> </w:t>
      </w:r>
      <w:r w:rsidRPr="00ED0F7F">
        <w:rPr>
          <w:rFonts w:ascii="Calibri" w:eastAsia="Times New Roman" w:hAnsi="Calibri" w:cs="Calibri"/>
          <w:sz w:val="24"/>
          <w:szCs w:val="24"/>
        </w:rPr>
        <w:t xml:space="preserve">В окончательную подборку вошли четыре проекта с финансированием из целевой области сохранения биоразнообразия: Проект по охране водно-болотных угодий </w:t>
      </w:r>
      <w:proofErr w:type="spellStart"/>
      <w:r w:rsidRPr="00ED0F7F">
        <w:rPr>
          <w:rFonts w:ascii="Calibri" w:eastAsia="Times New Roman" w:hAnsi="Calibri" w:cs="Calibri"/>
          <w:sz w:val="24"/>
          <w:szCs w:val="24"/>
        </w:rPr>
        <w:t>Саньцзянской</w:t>
      </w:r>
      <w:proofErr w:type="spellEnd"/>
      <w:r w:rsidRPr="00ED0F7F">
        <w:rPr>
          <w:rFonts w:ascii="Calibri" w:eastAsia="Times New Roman" w:hAnsi="Calibri" w:cs="Calibri"/>
          <w:sz w:val="24"/>
          <w:szCs w:val="24"/>
        </w:rPr>
        <w:t xml:space="preserve"> равнины (Китай), Укрепление системы охраняемых районов в Намибии, Региональная программа по охраняемым районам в </w:t>
      </w:r>
      <w:proofErr w:type="spellStart"/>
      <w:r w:rsidRPr="00ED0F7F">
        <w:rPr>
          <w:rFonts w:ascii="Calibri" w:eastAsia="Times New Roman" w:hAnsi="Calibri" w:cs="Calibri"/>
          <w:sz w:val="24"/>
          <w:szCs w:val="24"/>
        </w:rPr>
        <w:t>Амазонии</w:t>
      </w:r>
      <w:proofErr w:type="spellEnd"/>
      <w:r w:rsidRPr="00ED0F7F">
        <w:rPr>
          <w:rFonts w:ascii="Calibri" w:eastAsia="Times New Roman" w:hAnsi="Calibri" w:cs="Calibri"/>
          <w:sz w:val="24"/>
          <w:szCs w:val="24"/>
        </w:rPr>
        <w:t>, этап I (</w:t>
      </w:r>
      <w:proofErr w:type="spellStart"/>
      <w:r w:rsidRPr="00ED0F7F">
        <w:rPr>
          <w:rFonts w:ascii="Calibri" w:eastAsia="Times New Roman" w:hAnsi="Calibri" w:cs="Calibri"/>
          <w:sz w:val="24"/>
          <w:szCs w:val="24"/>
        </w:rPr>
        <w:t>ARPA-I</w:t>
      </w:r>
      <w:proofErr w:type="spellEnd"/>
      <w:r w:rsidRPr="00ED0F7F">
        <w:rPr>
          <w:rFonts w:ascii="Calibri" w:eastAsia="Times New Roman" w:hAnsi="Calibri" w:cs="Calibri"/>
          <w:sz w:val="24"/>
          <w:szCs w:val="24"/>
        </w:rPr>
        <w:t>) (Бразилия) и Развитие системы оплаты за экологические услуги и смежных схем устойчивого финансирования в Дунайском бассейне (Болгария, Румыния).</w:t>
      </w:r>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Pr>
          <w:rFonts w:ascii="Calibri" w:eastAsia="Times New Roman" w:hAnsi="Calibri" w:cs="Calibri"/>
          <w:sz w:val="24"/>
          <w:szCs w:val="24"/>
        </w:rPr>
        <w:t>В ходе оценки были определены несколько факторов, способствующих фундаментальным изменениям, которые значимы для мероприятий по сохранению биоразнообразия. Во-первых, мероприятия фундаментального характера ставили масштабные задачи, направленные на фундаментальные перемены, устраняя нарушения рыночного равновесия или системные ограничения, которые являлись коренной причиной экологической проблемы глобального значения. Во-вторых, уровень развития политической среды существенно влиял на глубину и масштаб реформ, предусмотренных в мероприятиях преобразующего характера. В-третьих, мероприятия преобразующего характера создают механизм обеспечения финансовой устойчивости, становясь частью системы государственного бюджета или используя влияние рынка и экономические интересы ведущих субъектов. В-четвертых, еще одним общим свойством мероприятий преобразующего характера является присущее им высокое качество разработки проекта, надзор со стороны агентства ГЭФ и эффективность в реализации проекта и исполнении. В числе других существенных признаков, определяющих качество, следует назвать общую диагностическую оценку для выявления ограничений, требу</w:t>
      </w:r>
      <w:r w:rsidR="0000701F">
        <w:rPr>
          <w:rFonts w:ascii="Calibri" w:eastAsia="Times New Roman" w:hAnsi="Calibri" w:cs="Calibri"/>
          <w:sz w:val="24"/>
          <w:szCs w:val="24"/>
        </w:rPr>
        <w:t xml:space="preserve">ющих </w:t>
      </w:r>
      <w:r>
        <w:rPr>
          <w:rFonts w:ascii="Calibri" w:eastAsia="Times New Roman" w:hAnsi="Calibri" w:cs="Calibri"/>
          <w:sz w:val="24"/>
          <w:szCs w:val="24"/>
        </w:rPr>
        <w:t>устран</w:t>
      </w:r>
      <w:r w:rsidR="0000701F">
        <w:rPr>
          <w:rFonts w:ascii="Calibri" w:eastAsia="Times New Roman" w:hAnsi="Calibri" w:cs="Calibri"/>
          <w:sz w:val="24"/>
          <w:szCs w:val="24"/>
        </w:rPr>
        <w:t>ения</w:t>
      </w:r>
      <w:r>
        <w:rPr>
          <w:rFonts w:ascii="Calibri" w:eastAsia="Times New Roman" w:hAnsi="Calibri" w:cs="Calibri"/>
          <w:sz w:val="24"/>
          <w:szCs w:val="24"/>
        </w:rPr>
        <w:t xml:space="preserve">; </w:t>
      </w:r>
      <w:r>
        <w:rPr>
          <w:rFonts w:ascii="Calibri" w:eastAsia="Times New Roman" w:hAnsi="Calibri" w:cs="Calibri"/>
          <w:sz w:val="24"/>
          <w:szCs w:val="24"/>
        </w:rPr>
        <w:lastRenderedPageBreak/>
        <w:t>согласованность в разработке проекта, чтобы направить усилия на все выявленные ограничения; привлечение на ранней стадии компетентных учреждений-исполнителей, ответственных за выполнение задач и готовых осваивать новую информацию и по мере необходимости корректировать и изменять структуру проекта, его масштаб и методы управления для достижения успеха. И наконец, к преобразованиям могут привести проекты самых разных масштабов.</w:t>
      </w:r>
    </w:p>
    <w:p w:rsidR="00DF0187" w:rsidRPr="00FB4441" w:rsidRDefault="00DF0187" w:rsidP="000C09D1">
      <w:pPr>
        <w:pStyle w:val="2"/>
        <w:rPr>
          <w:lang w:val="ru-RU"/>
        </w:rPr>
      </w:pPr>
      <w:bookmarkStart w:id="60" w:name="_Hlk32092104"/>
      <w:bookmarkStart w:id="61" w:name="_Toc32494938"/>
      <w:r w:rsidRPr="00644CCA">
        <w:rPr>
          <w:bCs/>
          <w:lang w:val="ru-RU"/>
        </w:rPr>
        <w:t xml:space="preserve">Оценка деятельности ГЭФ по расширению масштабов воздействия, </w:t>
      </w:r>
      <w:bookmarkEnd w:id="60"/>
      <w:r w:rsidRPr="00644CCA">
        <w:rPr>
          <w:bCs/>
          <w:lang w:val="ru-RU"/>
        </w:rPr>
        <w:t>2019 год</w:t>
      </w:r>
      <w:r>
        <w:rPr>
          <w:bCs/>
          <w:vertAlign w:val="superscript"/>
        </w:rPr>
        <w:footnoteReference w:id="30"/>
      </w:r>
      <w:bookmarkEnd w:id="61"/>
    </w:p>
    <w:p w:rsidR="00DF0187" w:rsidRPr="00FB4441" w:rsidRDefault="00DF0187" w:rsidP="00FA726F">
      <w:pPr>
        <w:pStyle w:val="a9"/>
        <w:numPr>
          <w:ilvl w:val="0"/>
          <w:numId w:val="25"/>
        </w:numPr>
        <w:spacing w:before="240" w:after="240" w:line="240" w:lineRule="auto"/>
        <w:ind w:left="0" w:firstLine="0"/>
        <w:contextualSpacing w:val="0"/>
        <w:rPr>
          <w:rFonts w:ascii="Calibri" w:eastAsia="Times New Roman" w:hAnsi="Calibri" w:cs="Calibri"/>
          <w:sz w:val="24"/>
          <w:szCs w:val="24"/>
        </w:rPr>
      </w:pPr>
      <w:r>
        <w:rPr>
          <w:rFonts w:ascii="Calibri" w:eastAsia="Times New Roman" w:hAnsi="Calibri" w:cs="Calibri"/>
          <w:sz w:val="24"/>
          <w:szCs w:val="24"/>
        </w:rPr>
        <w:t>Цель оценочного исследования состояла в том, чтобы расширить понимание процессов масштабирования проектов и условий, обеспечивающих их успех, а также извлечь из этого полезный опыт.</w:t>
      </w:r>
      <w:r w:rsidR="00776E86">
        <w:rPr>
          <w:rFonts w:ascii="Calibri" w:eastAsia="Times New Roman" w:hAnsi="Calibri" w:cs="Calibri"/>
          <w:sz w:val="24"/>
          <w:szCs w:val="24"/>
        </w:rPr>
        <w:t xml:space="preserve"> </w:t>
      </w:r>
      <w:r>
        <w:rPr>
          <w:rFonts w:ascii="Calibri" w:eastAsia="Times New Roman" w:hAnsi="Calibri" w:cs="Calibri"/>
          <w:sz w:val="24"/>
          <w:szCs w:val="24"/>
        </w:rPr>
        <w:t>В оценке использовался прошлый опыт ГЭФ по масштабированию проектов. В целом было оценено 20 проектов, по которым имелись положительные количественные данные по масштабированию результатов и возможно было определить факторы влияния. Также было оценено 40 дополнительных проектов с количественными и качественными показателями разной степени.</w:t>
      </w:r>
      <w:r w:rsidR="00776E86">
        <w:rPr>
          <w:rFonts w:ascii="Calibri" w:eastAsia="Times New Roman" w:hAnsi="Calibri" w:cs="Calibri"/>
          <w:sz w:val="24"/>
          <w:szCs w:val="24"/>
        </w:rPr>
        <w:t xml:space="preserve"> </w:t>
      </w:r>
      <w:r>
        <w:rPr>
          <w:rFonts w:ascii="Calibri" w:eastAsia="Times New Roman" w:hAnsi="Calibri" w:cs="Calibri"/>
          <w:sz w:val="24"/>
          <w:szCs w:val="24"/>
        </w:rPr>
        <w:t>Были организованы поездки с посещением мест проектов, проведенных при содействии ГЭФ, в трех следующих странах: Коста-Рика, Македония и Маврикий.</w:t>
      </w:r>
    </w:p>
    <w:p w:rsidR="00DF0187" w:rsidRPr="00FB4441" w:rsidRDefault="00DF0187" w:rsidP="00105FB1">
      <w:pPr>
        <w:numPr>
          <w:ilvl w:val="0"/>
          <w:numId w:val="17"/>
        </w:numPr>
        <w:tabs>
          <w:tab w:val="left" w:pos="1350"/>
        </w:tabs>
        <w:spacing w:before="120" w:after="120" w:line="240" w:lineRule="auto"/>
        <w:ind w:left="1080"/>
        <w:rPr>
          <w:rFonts w:ascii="Calibri" w:eastAsia="Times New Roman" w:hAnsi="Calibri" w:cs="Calibri"/>
          <w:sz w:val="24"/>
          <w:szCs w:val="24"/>
        </w:rPr>
      </w:pPr>
      <w:r>
        <w:rPr>
          <w:rFonts w:ascii="Calibri" w:eastAsia="Times New Roman" w:hAnsi="Calibri" w:cs="Calibri"/>
          <w:sz w:val="24"/>
          <w:szCs w:val="24"/>
        </w:rPr>
        <w:t>Согласно результатам доклада, в целевой области сохранения биоразнообразия вероятность получения стандартных результатов на этапе масштабирования была в 74,5 раза выше, чем на экспериментальном этапе в одном и том же случае.</w:t>
      </w:r>
      <w:r w:rsidR="00776E86">
        <w:rPr>
          <w:rFonts w:ascii="Calibri" w:eastAsia="Times New Roman" w:hAnsi="Calibri" w:cs="Calibri"/>
          <w:sz w:val="24"/>
          <w:szCs w:val="24"/>
        </w:rPr>
        <w:t xml:space="preserve"> </w:t>
      </w:r>
      <w:r>
        <w:rPr>
          <w:rFonts w:ascii="Calibri" w:eastAsia="Times New Roman" w:hAnsi="Calibri" w:cs="Calibri"/>
          <w:sz w:val="24"/>
          <w:szCs w:val="24"/>
        </w:rPr>
        <w:t>В отчете отмечено, что во всех проектах по биоразнообразию ставилась задача повысить уровень сохранения биоразнообразия на основе мероприятий разного типа.</w:t>
      </w:r>
      <w:bookmarkStart w:id="62" w:name="_3znysh7" w:colFirst="0" w:colLast="0"/>
      <w:bookmarkStart w:id="63" w:name="_1fob9te" w:colFirst="0" w:colLast="0"/>
      <w:bookmarkEnd w:id="62"/>
      <w:bookmarkEnd w:id="63"/>
    </w:p>
    <w:p w:rsidR="00DF0187" w:rsidRPr="00FB4441" w:rsidRDefault="00DF0187" w:rsidP="00105FB1">
      <w:pPr>
        <w:numPr>
          <w:ilvl w:val="0"/>
          <w:numId w:val="17"/>
        </w:numPr>
        <w:tabs>
          <w:tab w:val="left" w:pos="1350"/>
        </w:tabs>
        <w:spacing w:before="120" w:after="120" w:line="240" w:lineRule="auto"/>
        <w:ind w:left="1080"/>
        <w:rPr>
          <w:rFonts w:ascii="Calibri" w:eastAsia="Times New Roman" w:hAnsi="Calibri" w:cs="Calibri"/>
          <w:sz w:val="24"/>
          <w:szCs w:val="24"/>
        </w:rPr>
      </w:pPr>
      <w:r>
        <w:rPr>
          <w:rFonts w:ascii="Calibri" w:eastAsia="Times New Roman" w:hAnsi="Calibri" w:cs="Calibri"/>
          <w:sz w:val="24"/>
          <w:szCs w:val="24"/>
        </w:rPr>
        <w:t>Согласно результатам оценки, средний период предоставления помощи ГЭФ составил 10 лет, при этом минимальный срок распространения результатов составил 3,5 года, а максимальный достигал в некоторых случаях 18 лет. В оценке также рассматривались случаи, в которых помощь ГЭФ оказывалась на протяжении 25 лет или более, когда устанавливались более высокие показатели по распространению результатов и географическому региону. В выводах оценки подчеркивается, что для успешного распространения результатов требуется от 10 до 15 лет целенаправленных усилий, что также подтверждается более широким опытом, описанном в специальной литературе и собеседованиях с субъектами деятельности.</w:t>
      </w:r>
      <w:bookmarkStart w:id="64" w:name="_30j0zll" w:colFirst="0" w:colLast="0"/>
      <w:bookmarkEnd w:id="64"/>
    </w:p>
    <w:p w:rsidR="00192AA9" w:rsidRPr="00FB4441" w:rsidRDefault="00192AA9" w:rsidP="00192AA9"/>
    <w:p w:rsidR="00192AA9" w:rsidRDefault="000F4FCC" w:rsidP="00DD6411">
      <w:pPr>
        <w:jc w:val="center"/>
        <w:rPr>
          <w:b/>
        </w:rPr>
      </w:pPr>
      <w:r>
        <w:rPr>
          <w:b/>
          <w:bCs/>
        </w:rPr>
        <w:t>__________</w:t>
      </w:r>
    </w:p>
    <w:sectPr w:rsidR="00192AA9" w:rsidSect="007207AF">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E6" w:rsidRDefault="00FB53E6" w:rsidP="00CB2F0E">
      <w:pPr>
        <w:spacing w:after="0" w:line="240" w:lineRule="auto"/>
      </w:pPr>
      <w:r>
        <w:separator/>
      </w:r>
    </w:p>
  </w:endnote>
  <w:endnote w:type="continuationSeparator" w:id="0">
    <w:p w:rsidR="00FB53E6" w:rsidRDefault="00FB53E6" w:rsidP="00CB2F0E">
      <w:pPr>
        <w:spacing w:after="0" w:line="240" w:lineRule="auto"/>
      </w:pPr>
      <w:r>
        <w:continuationSeparator/>
      </w:r>
    </w:p>
  </w:endnote>
  <w:endnote w:type="continuationNotice" w:id="1">
    <w:p w:rsidR="00FB53E6" w:rsidRDefault="00FB53E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18572"/>
      <w:docPartObj>
        <w:docPartGallery w:val="Page Numbers (Bottom of Page)"/>
        <w:docPartUnique/>
      </w:docPartObj>
    </w:sdtPr>
    <w:sdtEndPr>
      <w:rPr>
        <w:noProof/>
      </w:rPr>
    </w:sdtEndPr>
    <w:sdtContent>
      <w:p w:rsidR="00644CCA" w:rsidRPr="00345956" w:rsidRDefault="00150674" w:rsidP="00483FC9">
        <w:pPr>
          <w:pStyle w:val="ad"/>
          <w:jc w:val="center"/>
        </w:pPr>
        <w:fldSimple w:instr=" PAGE   \* MERGEFORMAT ">
          <w:r w:rsidR="00BE2F6D">
            <w:rPr>
              <w:noProof/>
            </w:rPr>
            <w:t>8</w:t>
          </w:r>
        </w:fldSimple>
      </w:p>
    </w:sdtContent>
  </w:sdt>
  <w:p w:rsidR="00644CCA" w:rsidRDefault="00644CC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CA" w:rsidRPr="009230D9" w:rsidRDefault="00644CCA">
    <w:pPr>
      <w:pStyle w:val="ad"/>
      <w:jc w:val="center"/>
      <w:rPr>
        <w:sz w:val="20"/>
        <w:szCs w:val="20"/>
      </w:rPr>
    </w:pPr>
  </w:p>
  <w:p w:rsidR="00644CCA" w:rsidRDefault="00644CC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7514"/>
      <w:docPartObj>
        <w:docPartGallery w:val="Page Numbers (Bottom of Page)"/>
        <w:docPartUnique/>
      </w:docPartObj>
    </w:sdtPr>
    <w:sdtEndPr>
      <w:rPr>
        <w:noProof/>
      </w:rPr>
    </w:sdtEndPr>
    <w:sdtContent>
      <w:p w:rsidR="00644CCA" w:rsidRPr="00345956" w:rsidRDefault="00150674">
        <w:pPr>
          <w:pStyle w:val="ad"/>
          <w:jc w:val="center"/>
        </w:pPr>
        <w:r>
          <w:fldChar w:fldCharType="begin"/>
        </w:r>
        <w:r w:rsidR="00644CCA">
          <w:instrText xml:space="preserve"> PAGE   \* MERGEFORMAT </w:instrText>
        </w:r>
        <w:r>
          <w:fldChar w:fldCharType="separate"/>
        </w:r>
        <w:r w:rsidR="00BE2F6D">
          <w:rPr>
            <w:noProof/>
          </w:rPr>
          <w:t>5</w:t>
        </w:r>
        <w:r>
          <w:rPr>
            <w:noProof/>
          </w:rPr>
          <w:fldChar w:fldCharType="end"/>
        </w:r>
      </w:p>
    </w:sdtContent>
  </w:sdt>
  <w:p w:rsidR="00644CCA" w:rsidRPr="00345956" w:rsidRDefault="00644CCA">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326062"/>
      <w:docPartObj>
        <w:docPartGallery w:val="Page Numbers (Bottom of Page)"/>
        <w:docPartUnique/>
      </w:docPartObj>
    </w:sdtPr>
    <w:sdtEndPr>
      <w:rPr>
        <w:noProof/>
        <w:szCs w:val="20"/>
      </w:rPr>
    </w:sdtEndPr>
    <w:sdtContent>
      <w:p w:rsidR="00644CCA" w:rsidRPr="00345956" w:rsidRDefault="00150674">
        <w:pPr>
          <w:pStyle w:val="ad"/>
          <w:jc w:val="center"/>
          <w:rPr>
            <w:szCs w:val="20"/>
          </w:rPr>
        </w:pPr>
        <w:r>
          <w:rPr>
            <w:szCs w:val="20"/>
          </w:rPr>
          <w:fldChar w:fldCharType="begin"/>
        </w:r>
        <w:r w:rsidR="00644CCA">
          <w:rPr>
            <w:szCs w:val="20"/>
          </w:rPr>
          <w:instrText xml:space="preserve"> PAGE   \* MERGEFORMAT </w:instrText>
        </w:r>
        <w:r>
          <w:rPr>
            <w:szCs w:val="20"/>
          </w:rPr>
          <w:fldChar w:fldCharType="separate"/>
        </w:r>
        <w:r w:rsidR="00BE2F6D">
          <w:rPr>
            <w:noProof/>
            <w:szCs w:val="20"/>
          </w:rPr>
          <w:t>7</w:t>
        </w:r>
        <w:r>
          <w:rPr>
            <w:noProof/>
            <w:szCs w:val="20"/>
          </w:rPr>
          <w:fldChar w:fldCharType="end"/>
        </w:r>
      </w:p>
    </w:sdtContent>
  </w:sdt>
  <w:p w:rsidR="00644CCA" w:rsidRDefault="00644CC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E6" w:rsidRDefault="00FB53E6" w:rsidP="00CB2F0E">
      <w:pPr>
        <w:spacing w:after="0" w:line="240" w:lineRule="auto"/>
      </w:pPr>
      <w:r>
        <w:separator/>
      </w:r>
    </w:p>
  </w:footnote>
  <w:footnote w:type="continuationSeparator" w:id="0">
    <w:p w:rsidR="00FB53E6" w:rsidRDefault="00FB53E6" w:rsidP="00CB2F0E">
      <w:pPr>
        <w:spacing w:after="0" w:line="240" w:lineRule="auto"/>
      </w:pPr>
      <w:r>
        <w:continuationSeparator/>
      </w:r>
    </w:p>
  </w:footnote>
  <w:footnote w:type="continuationNotice" w:id="1">
    <w:p w:rsidR="00FB53E6" w:rsidRDefault="00FB53E6">
      <w:pPr>
        <w:spacing w:after="0" w:line="240" w:lineRule="auto"/>
      </w:pPr>
    </w:p>
  </w:footnote>
  <w:footnote w:id="2">
    <w:p w:rsidR="00644CCA" w:rsidRPr="00FB4441" w:rsidRDefault="00644CCA">
      <w:pPr>
        <w:pStyle w:val="a3"/>
        <w:rPr>
          <w:kern w:val="18"/>
          <w:lang w:val="ru-RU"/>
        </w:rPr>
      </w:pPr>
      <w:r w:rsidRPr="00644CCA">
        <w:rPr>
          <w:rStyle w:val="a5"/>
          <w:lang w:val="ru-RU"/>
        </w:rPr>
        <w:t>*</w:t>
      </w:r>
      <w:r w:rsidRPr="00644CCA">
        <w:rPr>
          <w:lang w:val="ru-RU"/>
        </w:rPr>
        <w:t xml:space="preserve"> </w:t>
      </w:r>
      <w:proofErr w:type="gramStart"/>
      <w:r>
        <w:t>CBD</w:t>
      </w:r>
      <w:r w:rsidRPr="00644CCA">
        <w:rPr>
          <w:lang w:val="ru-RU"/>
        </w:rPr>
        <w:t>/</w:t>
      </w:r>
      <w:proofErr w:type="spellStart"/>
      <w:r>
        <w:t>SBI</w:t>
      </w:r>
      <w:proofErr w:type="spellEnd"/>
      <w:r w:rsidRPr="00644CCA">
        <w:rPr>
          <w:lang w:val="ru-RU"/>
        </w:rPr>
        <w:t>/3/1.</w:t>
      </w:r>
      <w:proofErr w:type="gramEnd"/>
    </w:p>
  </w:footnote>
  <w:footnote w:id="3">
    <w:p w:rsidR="00644CCA" w:rsidRPr="00D1209D" w:rsidRDefault="00644CCA" w:rsidP="003819C0">
      <w:pPr>
        <w:pStyle w:val="a3"/>
        <w:rPr>
          <w:lang w:val="ru-RU"/>
        </w:rPr>
      </w:pPr>
      <w:r>
        <w:rPr>
          <w:rStyle w:val="a5"/>
        </w:rPr>
        <w:footnoteRef/>
      </w:r>
      <w:r w:rsidRPr="00D1209D">
        <w:rPr>
          <w:lang w:val="ru-RU"/>
        </w:rPr>
        <w:t xml:space="preserve"> </w:t>
      </w:r>
      <w:r w:rsidRPr="00644CCA">
        <w:rPr>
          <w:lang w:val="ru-RU"/>
        </w:rPr>
        <w:t>См</w:t>
      </w:r>
      <w:r w:rsidRPr="00D1209D">
        <w:rPr>
          <w:lang w:val="ru-RU"/>
        </w:rPr>
        <w:t xml:space="preserve">. </w:t>
      </w:r>
      <w:r w:rsidRPr="00644CCA">
        <w:rPr>
          <w:lang w:val="ru-RU"/>
        </w:rPr>
        <w:t>решение</w:t>
      </w:r>
      <w:r w:rsidRPr="00D1209D">
        <w:rPr>
          <w:lang w:val="ru-RU"/>
        </w:rPr>
        <w:t xml:space="preserve"> </w:t>
      </w:r>
      <w:r w:rsidRPr="003819C0">
        <w:rPr>
          <w:lang w:val="en-US"/>
        </w:rPr>
        <w:t>XIV</w:t>
      </w:r>
      <w:r w:rsidRPr="00D1209D">
        <w:rPr>
          <w:lang w:val="ru-RU"/>
        </w:rPr>
        <w:t>/23.</w:t>
      </w:r>
    </w:p>
  </w:footnote>
  <w:footnote w:id="4">
    <w:p w:rsidR="00644CCA" w:rsidRDefault="00644CCA" w:rsidP="00ED2E30">
      <w:pPr>
        <w:pStyle w:val="a3"/>
      </w:pPr>
      <w:r>
        <w:rPr>
          <w:rStyle w:val="a5"/>
        </w:rPr>
        <w:footnoteRef/>
      </w:r>
      <w:r w:rsidRPr="00FB4441">
        <w:rPr>
          <w:lang w:val="en-US"/>
        </w:rPr>
        <w:t xml:space="preserve"> </w:t>
      </w:r>
      <w:proofErr w:type="spellStart"/>
      <w:r w:rsidRPr="00FB4441">
        <w:rPr>
          <w:lang w:val="en-US"/>
        </w:rPr>
        <w:t>GEF</w:t>
      </w:r>
      <w:proofErr w:type="spellEnd"/>
      <w:r w:rsidRPr="00FB4441">
        <w:rPr>
          <w:lang w:val="en-US"/>
        </w:rPr>
        <w:t xml:space="preserve">, 2018, </w:t>
      </w:r>
      <w:r w:rsidRPr="00ED2E30">
        <w:rPr>
          <w:lang w:val="en-US"/>
        </w:rPr>
        <w:t xml:space="preserve">Updated Results Architecture for </w:t>
      </w:r>
      <w:proofErr w:type="spellStart"/>
      <w:r w:rsidRPr="00ED2E30">
        <w:rPr>
          <w:lang w:val="en-US"/>
        </w:rPr>
        <w:t>GEF</w:t>
      </w:r>
      <w:proofErr w:type="spellEnd"/>
      <w:r w:rsidRPr="00ED2E30">
        <w:rPr>
          <w:lang w:val="en-US"/>
        </w:rPr>
        <w:t>-7</w:t>
      </w:r>
      <w:r w:rsidRPr="00FB4441">
        <w:rPr>
          <w:lang w:val="en-US"/>
        </w:rPr>
        <w:t xml:space="preserve">, </w:t>
      </w:r>
      <w:proofErr w:type="spellStart"/>
      <w:r w:rsidRPr="00FB4441">
        <w:rPr>
          <w:lang w:val="en-US"/>
        </w:rPr>
        <w:t>GEF</w:t>
      </w:r>
      <w:proofErr w:type="spellEnd"/>
      <w:r w:rsidRPr="00FB4441">
        <w:rPr>
          <w:lang w:val="en-US"/>
        </w:rPr>
        <w:t>/</w:t>
      </w:r>
      <w:proofErr w:type="spellStart"/>
      <w:r w:rsidRPr="00FB4441">
        <w:rPr>
          <w:lang w:val="en-US"/>
        </w:rPr>
        <w:t>C.54</w:t>
      </w:r>
      <w:proofErr w:type="spellEnd"/>
      <w:r w:rsidRPr="00FB4441">
        <w:rPr>
          <w:lang w:val="en-US"/>
        </w:rPr>
        <w:t>/11/</w:t>
      </w:r>
      <w:proofErr w:type="spellStart"/>
      <w:r w:rsidRPr="00FB4441">
        <w:rPr>
          <w:lang w:val="en-US"/>
        </w:rPr>
        <w:t>Rev.02</w:t>
      </w:r>
      <w:proofErr w:type="spellEnd"/>
      <w:r w:rsidRPr="00FB4441">
        <w:rPr>
          <w:lang w:val="en-US"/>
        </w:rPr>
        <w:t>.</w:t>
      </w:r>
    </w:p>
  </w:footnote>
  <w:footnote w:id="5">
    <w:p w:rsidR="00644CCA" w:rsidRDefault="00644CCA" w:rsidP="00ED2E30">
      <w:pPr>
        <w:pStyle w:val="a3"/>
      </w:pPr>
      <w:r>
        <w:rPr>
          <w:rStyle w:val="a5"/>
        </w:rPr>
        <w:footnoteRef/>
      </w:r>
      <w:r>
        <w:t xml:space="preserve"> </w:t>
      </w:r>
      <w:proofErr w:type="spellStart"/>
      <w:proofErr w:type="gramStart"/>
      <w:r>
        <w:t>GEF</w:t>
      </w:r>
      <w:proofErr w:type="spellEnd"/>
      <w:r>
        <w:t xml:space="preserve">, 2019, </w:t>
      </w:r>
      <w:r w:rsidRPr="00ED2E30">
        <w:t xml:space="preserve">Work Program for </w:t>
      </w:r>
      <w:proofErr w:type="spellStart"/>
      <w:r w:rsidRPr="00ED2E30">
        <w:t>GEF</w:t>
      </w:r>
      <w:proofErr w:type="spellEnd"/>
      <w:r w:rsidRPr="00ED2E30">
        <w:t xml:space="preserve"> Trust Fund</w:t>
      </w:r>
      <w:r>
        <w:t xml:space="preserve">, </w:t>
      </w:r>
      <w:proofErr w:type="spellStart"/>
      <w:r w:rsidRPr="00E4505D">
        <w:t>GEF</w:t>
      </w:r>
      <w:proofErr w:type="spellEnd"/>
      <w:r w:rsidRPr="00E4505D">
        <w:t>/</w:t>
      </w:r>
      <w:proofErr w:type="spellStart"/>
      <w:r w:rsidRPr="00E4505D">
        <w:t>C.57</w:t>
      </w:r>
      <w:proofErr w:type="spellEnd"/>
      <w:r w:rsidRPr="00E4505D">
        <w:t>/07</w:t>
      </w:r>
      <w:r>
        <w:t>.</w:t>
      </w:r>
      <w:proofErr w:type="gramEnd"/>
    </w:p>
  </w:footnote>
  <w:footnote w:id="6">
    <w:p w:rsidR="00644CCA" w:rsidRPr="00644CCA" w:rsidRDefault="00644CCA" w:rsidP="007D5739">
      <w:pPr>
        <w:pStyle w:val="a3"/>
        <w:rPr>
          <w:lang w:val="ru-RU"/>
        </w:rPr>
      </w:pPr>
      <w:r w:rsidRPr="00E64E3B">
        <w:rPr>
          <w:rStyle w:val="a5"/>
        </w:rPr>
        <w:footnoteRef/>
      </w:r>
      <w:r w:rsidRPr="007D5739">
        <w:rPr>
          <w:lang w:val="ru-RU"/>
        </w:rPr>
        <w:t xml:space="preserve"> Данные показатели включают оплату услуг учреждений или </w:t>
      </w:r>
      <w:proofErr w:type="spellStart"/>
      <w:r w:rsidRPr="007D5739">
        <w:rPr>
          <w:lang w:val="ru-RU"/>
        </w:rPr>
        <w:t>ГПП</w:t>
      </w:r>
      <w:proofErr w:type="spellEnd"/>
      <w:r w:rsidRPr="007D5739">
        <w:rPr>
          <w:lang w:val="ru-RU"/>
        </w:rPr>
        <w:t>.</w:t>
      </w:r>
    </w:p>
  </w:footnote>
  <w:footnote w:id="7">
    <w:p w:rsidR="00644CCA" w:rsidRPr="00FB4441" w:rsidRDefault="00644CCA">
      <w:pPr>
        <w:pStyle w:val="a3"/>
        <w:rPr>
          <w:lang w:val="ru-RU"/>
        </w:rPr>
      </w:pPr>
      <w:r>
        <w:rPr>
          <w:rStyle w:val="a5"/>
        </w:rPr>
        <w:footnoteRef/>
      </w:r>
      <w:r w:rsidRPr="00644CCA">
        <w:rPr>
          <w:vertAlign w:val="superscript"/>
          <w:lang w:val="ru-RU"/>
        </w:rPr>
        <w:t xml:space="preserve"> </w:t>
      </w:r>
      <w:r w:rsidRPr="00644CCA">
        <w:rPr>
          <w:lang w:val="ru-RU"/>
        </w:rPr>
        <w:t xml:space="preserve">Данные показатели не включают оплату услуг учреждений или </w:t>
      </w:r>
      <w:proofErr w:type="spellStart"/>
      <w:r w:rsidRPr="00644CCA">
        <w:rPr>
          <w:lang w:val="ru-RU"/>
        </w:rPr>
        <w:t>ГПП</w:t>
      </w:r>
      <w:proofErr w:type="spellEnd"/>
      <w:r w:rsidRPr="00644CCA">
        <w:rPr>
          <w:lang w:val="ru-RU"/>
        </w:rPr>
        <w:t>.</w:t>
      </w:r>
    </w:p>
    <w:p w:rsidR="00644CCA" w:rsidRPr="00FB4441" w:rsidRDefault="00644CCA">
      <w:pPr>
        <w:pStyle w:val="a3"/>
        <w:rPr>
          <w:lang w:val="ru-RU"/>
        </w:rPr>
      </w:pPr>
    </w:p>
  </w:footnote>
  <w:footnote w:id="8">
    <w:p w:rsidR="00644CCA" w:rsidRPr="00FB4441" w:rsidRDefault="00644CCA">
      <w:pPr>
        <w:pStyle w:val="a3"/>
        <w:rPr>
          <w:lang w:val="ru-RU"/>
        </w:rPr>
      </w:pPr>
      <w:r>
        <w:rPr>
          <w:rStyle w:val="a5"/>
        </w:rPr>
        <w:footnoteRef/>
      </w:r>
      <w:r w:rsidR="00A1190F" w:rsidRPr="00673BA4">
        <w:rPr>
          <w:lang w:val="ru-RU"/>
        </w:rPr>
        <w:t xml:space="preserve"> </w:t>
      </w:r>
      <w:r w:rsidRPr="00644CCA">
        <w:rPr>
          <w:lang w:val="ru-RU"/>
        </w:rPr>
        <w:t>Приведенные в этой строке ассигнования по СПРР относятся к проектам в целевой области сохранения биоразнообразия и многоцелевым проектам, в которых используют средства на биоразнообразие, но которые не входят в программы широкого воздействия.</w:t>
      </w:r>
    </w:p>
  </w:footnote>
  <w:footnote w:id="9">
    <w:p w:rsidR="00644CCA" w:rsidRPr="00FB4441" w:rsidRDefault="00644CCA">
      <w:pPr>
        <w:pStyle w:val="a3"/>
        <w:rPr>
          <w:lang w:val="ru-RU"/>
        </w:rPr>
      </w:pPr>
      <w:r>
        <w:rPr>
          <w:rStyle w:val="a5"/>
        </w:rPr>
        <w:footnoteRef/>
      </w:r>
      <w:r w:rsidRPr="00644CCA">
        <w:rPr>
          <w:vertAlign w:val="superscript"/>
          <w:lang w:val="ru-RU"/>
        </w:rPr>
        <w:t xml:space="preserve"> </w:t>
      </w:r>
      <w:r w:rsidRPr="00644CCA">
        <w:rPr>
          <w:lang w:val="ru-RU"/>
        </w:rPr>
        <w:t xml:space="preserve">Данные показатели не включают оплату услуг учреждений или </w:t>
      </w:r>
      <w:proofErr w:type="spellStart"/>
      <w:r w:rsidRPr="00644CCA">
        <w:rPr>
          <w:lang w:val="ru-RU"/>
        </w:rPr>
        <w:t>ГПП</w:t>
      </w:r>
      <w:proofErr w:type="spellEnd"/>
      <w:r w:rsidRPr="00644CCA">
        <w:rPr>
          <w:lang w:val="ru-RU"/>
        </w:rPr>
        <w:t>.</w:t>
      </w:r>
    </w:p>
  </w:footnote>
  <w:footnote w:id="10">
    <w:p w:rsidR="00E979DD" w:rsidRPr="00FB4441" w:rsidRDefault="00E979DD" w:rsidP="00E979DD">
      <w:pPr>
        <w:pStyle w:val="a3"/>
        <w:rPr>
          <w:lang w:val="ru-RU"/>
        </w:rPr>
      </w:pPr>
      <w:r>
        <w:rPr>
          <w:rStyle w:val="a5"/>
        </w:rPr>
        <w:footnoteRef/>
      </w:r>
      <w:r w:rsidRPr="00644CCA">
        <w:rPr>
          <w:lang w:val="ru-RU"/>
        </w:rPr>
        <w:t xml:space="preserve"> Эти показатели отражают всю сумму </w:t>
      </w:r>
      <w:proofErr w:type="spellStart"/>
      <w:r w:rsidRPr="00644CCA">
        <w:rPr>
          <w:lang w:val="ru-RU"/>
        </w:rPr>
        <w:t>ГПП</w:t>
      </w:r>
      <w:proofErr w:type="spellEnd"/>
      <w:r w:rsidRPr="00644CCA">
        <w:rPr>
          <w:lang w:val="ru-RU"/>
        </w:rPr>
        <w:t xml:space="preserve"> по программным подходам, в которые включены средства на биоразнообразие.</w:t>
      </w:r>
    </w:p>
  </w:footnote>
  <w:footnote w:id="11">
    <w:p w:rsidR="00644CCA" w:rsidRPr="00FB4441" w:rsidRDefault="00644CCA">
      <w:pPr>
        <w:pStyle w:val="a3"/>
        <w:rPr>
          <w:lang w:val="ru-RU"/>
        </w:rPr>
      </w:pPr>
      <w:r>
        <w:rPr>
          <w:rStyle w:val="a5"/>
        </w:rPr>
        <w:footnoteRef/>
      </w:r>
      <w:r w:rsidRPr="00644CCA">
        <w:rPr>
          <w:vertAlign w:val="superscript"/>
          <w:lang w:val="ru-RU"/>
        </w:rPr>
        <w:t xml:space="preserve"> </w:t>
      </w:r>
      <w:r w:rsidRPr="00644CCA">
        <w:rPr>
          <w:lang w:val="ru-RU"/>
        </w:rPr>
        <w:t xml:space="preserve">Данные показатели не включают оплату услуг учреждений или </w:t>
      </w:r>
      <w:proofErr w:type="spellStart"/>
      <w:r w:rsidRPr="00644CCA">
        <w:rPr>
          <w:lang w:val="ru-RU"/>
        </w:rPr>
        <w:t>ГПП</w:t>
      </w:r>
      <w:proofErr w:type="spellEnd"/>
      <w:r w:rsidRPr="00644CCA">
        <w:rPr>
          <w:lang w:val="ru-RU"/>
        </w:rPr>
        <w:t>.</w:t>
      </w:r>
    </w:p>
  </w:footnote>
  <w:footnote w:id="12">
    <w:p w:rsidR="00644CCA" w:rsidRPr="00FB4441" w:rsidRDefault="00644CCA">
      <w:pPr>
        <w:pStyle w:val="a3"/>
        <w:rPr>
          <w:lang w:val="ru-RU"/>
        </w:rPr>
      </w:pPr>
      <w:r>
        <w:rPr>
          <w:rStyle w:val="a5"/>
        </w:rPr>
        <w:footnoteRef/>
      </w:r>
      <w:r w:rsidRPr="00644CCA">
        <w:rPr>
          <w:vertAlign w:val="superscript"/>
          <w:lang w:val="ru-RU"/>
        </w:rPr>
        <w:t xml:space="preserve"> </w:t>
      </w:r>
      <w:r w:rsidRPr="00644CCA">
        <w:rPr>
          <w:lang w:val="ru-RU"/>
        </w:rPr>
        <w:t xml:space="preserve">Данные показатели не включают оплату услуг учреждений или </w:t>
      </w:r>
      <w:proofErr w:type="spellStart"/>
      <w:r w:rsidRPr="00644CCA">
        <w:rPr>
          <w:lang w:val="ru-RU"/>
        </w:rPr>
        <w:t>ГПП</w:t>
      </w:r>
      <w:proofErr w:type="spellEnd"/>
      <w:r w:rsidRPr="00644CCA">
        <w:rPr>
          <w:lang w:val="ru-RU"/>
        </w:rPr>
        <w:t>.</w:t>
      </w:r>
    </w:p>
  </w:footnote>
  <w:footnote w:id="13">
    <w:p w:rsidR="00644CCA" w:rsidRPr="00FB4441" w:rsidRDefault="00644CCA">
      <w:pPr>
        <w:pStyle w:val="a3"/>
        <w:rPr>
          <w:lang w:val="ru-RU"/>
        </w:rPr>
      </w:pPr>
      <w:r>
        <w:rPr>
          <w:rStyle w:val="a5"/>
        </w:rPr>
        <w:footnoteRef/>
      </w:r>
      <w:r w:rsidRPr="00644CCA">
        <w:rPr>
          <w:lang w:val="ru-RU"/>
        </w:rPr>
        <w:t>Данные показатели не включают оплату услуг учреждений или гранты на подготовку проектов, поскольку эти суммы нельзя связать с конкретными целевыми задачами, принятыми в Айти.</w:t>
      </w:r>
    </w:p>
  </w:footnote>
  <w:footnote w:id="14">
    <w:p w:rsidR="00644CCA" w:rsidRPr="00FB4441" w:rsidRDefault="00644CCA">
      <w:pPr>
        <w:pStyle w:val="a3"/>
        <w:rPr>
          <w:lang w:val="ru-RU"/>
        </w:rPr>
      </w:pPr>
      <w:r>
        <w:rPr>
          <w:rStyle w:val="a5"/>
        </w:rPr>
        <w:footnoteRef/>
      </w:r>
      <w:r w:rsidRPr="00644CCA">
        <w:rPr>
          <w:vertAlign w:val="superscript"/>
          <w:lang w:val="ru-RU"/>
        </w:rPr>
        <w:t xml:space="preserve"> </w:t>
      </w:r>
      <w:r w:rsidRPr="00644CCA">
        <w:rPr>
          <w:lang w:val="ru-RU"/>
        </w:rPr>
        <w:t xml:space="preserve">Данные показатели не включают оплату услуг учреждений или </w:t>
      </w:r>
      <w:proofErr w:type="spellStart"/>
      <w:r w:rsidRPr="00644CCA">
        <w:rPr>
          <w:lang w:val="ru-RU"/>
        </w:rPr>
        <w:t>ГПП</w:t>
      </w:r>
      <w:proofErr w:type="spellEnd"/>
      <w:r w:rsidRPr="00644CCA">
        <w:rPr>
          <w:lang w:val="ru-RU"/>
        </w:rPr>
        <w:t>.</w:t>
      </w:r>
    </w:p>
  </w:footnote>
  <w:footnote w:id="15">
    <w:p w:rsidR="00644CCA" w:rsidRPr="007057A1" w:rsidRDefault="00644CCA" w:rsidP="007057A1">
      <w:pPr>
        <w:pStyle w:val="a3"/>
        <w:rPr>
          <w:lang w:val="ru-RU"/>
        </w:rPr>
      </w:pPr>
      <w:r w:rsidRPr="009C6183">
        <w:rPr>
          <w:rStyle w:val="a5"/>
        </w:rPr>
        <w:footnoteRef/>
      </w:r>
      <w:r w:rsidRPr="007057A1">
        <w:rPr>
          <w:vertAlign w:val="superscript"/>
          <w:lang w:val="ru-RU"/>
        </w:rPr>
        <w:t xml:space="preserve"> </w:t>
      </w:r>
      <w:r w:rsidRPr="00644CCA">
        <w:rPr>
          <w:lang w:val="ru-RU"/>
        </w:rPr>
        <w:t xml:space="preserve">Данные показатели не включают оплату услуг учреждений или </w:t>
      </w:r>
      <w:proofErr w:type="spellStart"/>
      <w:r w:rsidRPr="00644CCA">
        <w:rPr>
          <w:lang w:val="ru-RU"/>
        </w:rPr>
        <w:t>ГПП</w:t>
      </w:r>
      <w:proofErr w:type="spellEnd"/>
      <w:r w:rsidRPr="00644CCA">
        <w:rPr>
          <w:lang w:val="ru-RU"/>
        </w:rPr>
        <w:t>.</w:t>
      </w:r>
    </w:p>
  </w:footnote>
  <w:footnote w:id="16">
    <w:p w:rsidR="00644CCA" w:rsidRPr="00FB4441" w:rsidRDefault="00644CCA">
      <w:pPr>
        <w:pStyle w:val="a3"/>
        <w:rPr>
          <w:lang w:val="ru-RU"/>
        </w:rPr>
      </w:pPr>
      <w:r>
        <w:rPr>
          <w:sz w:val="24"/>
          <w:szCs w:val="24"/>
          <w:vertAlign w:val="superscript"/>
        </w:rPr>
        <w:footnoteRef/>
      </w:r>
      <w:r w:rsidR="00673BA4" w:rsidRPr="00673BA4">
        <w:rPr>
          <w:lang w:val="ru-RU"/>
        </w:rPr>
        <w:t xml:space="preserve"> </w:t>
      </w:r>
      <w:r w:rsidRPr="00644CCA">
        <w:rPr>
          <w:lang w:val="ru-RU"/>
        </w:rPr>
        <w:t>Данные показатели не включают оплату услуг учреждений или гранты на подготовку проектов, поскольку эти суммы нельзя связать с конкретными целевыми задачами, принятыми в Айти.</w:t>
      </w:r>
    </w:p>
  </w:footnote>
  <w:footnote w:id="17">
    <w:p w:rsidR="00644CCA" w:rsidRPr="00FB4441" w:rsidRDefault="00644CCA" w:rsidP="00D55F5C">
      <w:pPr>
        <w:pStyle w:val="a3"/>
        <w:rPr>
          <w:lang w:val="ru-RU"/>
        </w:rPr>
      </w:pPr>
      <w:r>
        <w:rPr>
          <w:rStyle w:val="a5"/>
        </w:rPr>
        <w:footnoteRef/>
      </w:r>
      <w:r w:rsidRPr="00644CCA">
        <w:rPr>
          <w:lang w:val="ru-RU"/>
        </w:rPr>
        <w:t xml:space="preserve"> См. решение </w:t>
      </w:r>
      <w:r>
        <w:t>XIV</w:t>
      </w:r>
      <w:r w:rsidRPr="00644CCA">
        <w:rPr>
          <w:lang w:val="ru-RU"/>
        </w:rPr>
        <w:t>/23.</w:t>
      </w:r>
    </w:p>
  </w:footnote>
  <w:footnote w:id="18">
    <w:p w:rsidR="00644CCA" w:rsidRPr="00644CCA" w:rsidRDefault="00644CCA" w:rsidP="00D55F5C">
      <w:pPr>
        <w:pStyle w:val="a3"/>
        <w:rPr>
          <w:lang w:val="ru-RU"/>
        </w:rPr>
      </w:pPr>
      <w:r>
        <w:rPr>
          <w:rStyle w:val="a5"/>
          <w:kern w:val="18"/>
        </w:rPr>
        <w:footnoteRef/>
      </w:r>
      <w:r w:rsidRPr="00644CCA">
        <w:rPr>
          <w:lang w:val="ru-RU"/>
        </w:rPr>
        <w:t xml:space="preserve"> См. решение </w:t>
      </w:r>
      <w:r w:rsidRPr="00D55F5C">
        <w:rPr>
          <w:lang w:val="en-US"/>
        </w:rPr>
        <w:t>XIII</w:t>
      </w:r>
      <w:r w:rsidRPr="00644CCA">
        <w:rPr>
          <w:lang w:val="ru-RU"/>
        </w:rPr>
        <w:t>/21.</w:t>
      </w:r>
    </w:p>
  </w:footnote>
  <w:footnote w:id="19">
    <w:p w:rsidR="00EA375B" w:rsidRDefault="00EA375B" w:rsidP="00EA375B">
      <w:pPr>
        <w:pStyle w:val="a3"/>
      </w:pPr>
      <w:r>
        <w:rPr>
          <w:rStyle w:val="a5"/>
        </w:rPr>
        <w:footnoteRef/>
      </w:r>
      <w:r w:rsidRPr="00FB4441">
        <w:rPr>
          <w:lang w:val="en-US"/>
        </w:rPr>
        <w:t xml:space="preserve"> </w:t>
      </w:r>
      <w:proofErr w:type="spellStart"/>
      <w:r w:rsidRPr="00FB4441">
        <w:rPr>
          <w:lang w:val="en-US"/>
        </w:rPr>
        <w:t>GEF</w:t>
      </w:r>
      <w:proofErr w:type="spellEnd"/>
      <w:r w:rsidRPr="00FB4441">
        <w:rPr>
          <w:lang w:val="en-US"/>
        </w:rPr>
        <w:t xml:space="preserve">, 2018, </w:t>
      </w:r>
      <w:r w:rsidRPr="0085142B">
        <w:rPr>
          <w:lang w:val="en-US"/>
        </w:rPr>
        <w:t>Updated Policy on Environmental and Social Safeguards</w:t>
      </w:r>
      <w:r w:rsidRPr="00FB4441">
        <w:rPr>
          <w:lang w:val="en-US"/>
        </w:rPr>
        <w:t xml:space="preserve">, Council document </w:t>
      </w:r>
      <w:proofErr w:type="spellStart"/>
      <w:r w:rsidRPr="00FB4441">
        <w:rPr>
          <w:lang w:val="en-US"/>
        </w:rPr>
        <w:t>GEF</w:t>
      </w:r>
      <w:proofErr w:type="spellEnd"/>
      <w:r w:rsidRPr="00FB4441">
        <w:rPr>
          <w:lang w:val="en-US"/>
        </w:rPr>
        <w:t>/</w:t>
      </w:r>
      <w:proofErr w:type="spellStart"/>
      <w:r w:rsidRPr="00FB4441">
        <w:rPr>
          <w:lang w:val="en-US"/>
        </w:rPr>
        <w:t>C.55</w:t>
      </w:r>
      <w:proofErr w:type="spellEnd"/>
      <w:r w:rsidRPr="00FB4441">
        <w:rPr>
          <w:lang w:val="en-US"/>
        </w:rPr>
        <w:t>/07/</w:t>
      </w:r>
      <w:proofErr w:type="spellStart"/>
      <w:r w:rsidRPr="00FB4441">
        <w:rPr>
          <w:lang w:val="en-US"/>
        </w:rPr>
        <w:t>Rev.01</w:t>
      </w:r>
      <w:proofErr w:type="spellEnd"/>
      <w:r w:rsidRPr="00FB4441">
        <w:rPr>
          <w:lang w:val="en-US"/>
        </w:rPr>
        <w:t>.</w:t>
      </w:r>
    </w:p>
  </w:footnote>
  <w:footnote w:id="20">
    <w:p w:rsidR="00EA375B" w:rsidRDefault="00EA375B" w:rsidP="00EA375B">
      <w:pPr>
        <w:pStyle w:val="a3"/>
      </w:pPr>
      <w:r>
        <w:rPr>
          <w:rStyle w:val="a5"/>
        </w:rPr>
        <w:footnoteRef/>
      </w:r>
      <w:r>
        <w:rPr>
          <w:lang w:val="en-US"/>
        </w:rPr>
        <w:t xml:space="preserve"> </w:t>
      </w:r>
      <w:proofErr w:type="spellStart"/>
      <w:proofErr w:type="gramStart"/>
      <w:r>
        <w:t>Там</w:t>
      </w:r>
      <w:proofErr w:type="spellEnd"/>
      <w:r w:rsidRPr="00FB4441">
        <w:rPr>
          <w:lang w:val="en-US"/>
        </w:rPr>
        <w:t xml:space="preserve"> </w:t>
      </w:r>
      <w:proofErr w:type="spellStart"/>
      <w:r>
        <w:t>же</w:t>
      </w:r>
      <w:proofErr w:type="spellEnd"/>
      <w:r w:rsidRPr="00FB4441">
        <w:rPr>
          <w:lang w:val="en-US"/>
        </w:rPr>
        <w:t>.</w:t>
      </w:r>
      <w:proofErr w:type="gramEnd"/>
    </w:p>
  </w:footnote>
  <w:footnote w:id="21">
    <w:p w:rsidR="00644CCA" w:rsidRDefault="00644CCA">
      <w:pPr>
        <w:pStyle w:val="a3"/>
      </w:pPr>
      <w:r>
        <w:rPr>
          <w:rStyle w:val="a5"/>
        </w:rPr>
        <w:footnoteRef/>
      </w:r>
      <w:r w:rsidRPr="00FB4441">
        <w:rPr>
          <w:lang w:val="en-US"/>
        </w:rPr>
        <w:t xml:space="preserve"> </w:t>
      </w:r>
      <w:bookmarkStart w:id="45" w:name="_Hlk32079827"/>
      <w:proofErr w:type="spellStart"/>
      <w:r w:rsidRPr="00FB4441">
        <w:rPr>
          <w:lang w:val="en-US"/>
        </w:rPr>
        <w:t>GEF</w:t>
      </w:r>
      <w:proofErr w:type="spellEnd"/>
      <w:r w:rsidRPr="00FB4441">
        <w:rPr>
          <w:lang w:val="en-US"/>
        </w:rPr>
        <w:t xml:space="preserve">, 2019, </w:t>
      </w:r>
      <w:proofErr w:type="spellStart"/>
      <w:r w:rsidRPr="00BC1D98">
        <w:rPr>
          <w:lang w:val="en-US"/>
        </w:rPr>
        <w:t>GEF</w:t>
      </w:r>
      <w:proofErr w:type="spellEnd"/>
      <w:r w:rsidRPr="00BC1D98">
        <w:rPr>
          <w:lang w:val="en-US"/>
        </w:rPr>
        <w:t xml:space="preserve"> Policy on Monitoring</w:t>
      </w:r>
      <w:r w:rsidRPr="00FB4441">
        <w:rPr>
          <w:lang w:val="en-US"/>
        </w:rPr>
        <w:t xml:space="preserve">, Council document </w:t>
      </w:r>
      <w:proofErr w:type="spellStart"/>
      <w:r w:rsidRPr="00FB4441">
        <w:rPr>
          <w:lang w:val="en-US"/>
        </w:rPr>
        <w:t>GEF</w:t>
      </w:r>
      <w:proofErr w:type="spellEnd"/>
      <w:r w:rsidRPr="00FB4441">
        <w:rPr>
          <w:lang w:val="en-US"/>
        </w:rPr>
        <w:t>/</w:t>
      </w:r>
      <w:proofErr w:type="spellStart"/>
      <w:r w:rsidRPr="00FB4441">
        <w:rPr>
          <w:lang w:val="en-US"/>
        </w:rPr>
        <w:t>C.56</w:t>
      </w:r>
      <w:proofErr w:type="spellEnd"/>
      <w:r w:rsidRPr="00FB4441">
        <w:rPr>
          <w:lang w:val="en-US"/>
        </w:rPr>
        <w:t>/03/</w:t>
      </w:r>
      <w:proofErr w:type="spellStart"/>
      <w:r w:rsidRPr="00FB4441">
        <w:rPr>
          <w:lang w:val="en-US"/>
        </w:rPr>
        <w:t>Rev.01</w:t>
      </w:r>
      <w:proofErr w:type="spellEnd"/>
      <w:r w:rsidRPr="00FB4441">
        <w:rPr>
          <w:lang w:val="en-US"/>
        </w:rPr>
        <w:t>.</w:t>
      </w:r>
      <w:bookmarkEnd w:id="45"/>
    </w:p>
  </w:footnote>
  <w:footnote w:id="22">
    <w:p w:rsidR="00644CCA" w:rsidRDefault="00644CCA">
      <w:pPr>
        <w:pStyle w:val="a3"/>
      </w:pPr>
      <w:r>
        <w:rPr>
          <w:rStyle w:val="a5"/>
        </w:rPr>
        <w:footnoteRef/>
      </w:r>
      <w:r w:rsidRPr="00FB4441">
        <w:rPr>
          <w:lang w:val="en-US"/>
        </w:rPr>
        <w:t xml:space="preserve"> </w:t>
      </w:r>
      <w:proofErr w:type="spellStart"/>
      <w:proofErr w:type="gramStart"/>
      <w:r w:rsidRPr="00FB4441">
        <w:rPr>
          <w:lang w:val="en-US"/>
        </w:rPr>
        <w:t>GEF</w:t>
      </w:r>
      <w:proofErr w:type="spellEnd"/>
      <w:r w:rsidRPr="00FB4441">
        <w:rPr>
          <w:lang w:val="en-US"/>
        </w:rPr>
        <w:t>, 2019,</w:t>
      </w:r>
      <w:r w:rsidRPr="00FB4441">
        <w:rPr>
          <w:sz w:val="22"/>
          <w:szCs w:val="22"/>
          <w:lang w:val="en-US"/>
        </w:rPr>
        <w:t xml:space="preserve"> </w:t>
      </w:r>
      <w:r w:rsidRPr="007E19D4">
        <w:t xml:space="preserve">The </w:t>
      </w:r>
      <w:proofErr w:type="spellStart"/>
      <w:r w:rsidRPr="007E19D4">
        <w:t>GEF</w:t>
      </w:r>
      <w:proofErr w:type="spellEnd"/>
      <w:r w:rsidRPr="007E19D4">
        <w:t xml:space="preserve"> Monitoring Report</w:t>
      </w:r>
      <w:r w:rsidRPr="00FB4441">
        <w:rPr>
          <w:lang w:val="en-US"/>
        </w:rPr>
        <w:t xml:space="preserve">, Council document, </w:t>
      </w:r>
      <w:proofErr w:type="spellStart"/>
      <w:r w:rsidRPr="00FB4441">
        <w:rPr>
          <w:lang w:val="en-US"/>
        </w:rPr>
        <w:t>GEF</w:t>
      </w:r>
      <w:proofErr w:type="spellEnd"/>
      <w:r w:rsidRPr="00FB4441">
        <w:rPr>
          <w:lang w:val="en-US"/>
        </w:rPr>
        <w:t>/</w:t>
      </w:r>
      <w:proofErr w:type="spellStart"/>
      <w:r w:rsidRPr="00FB4441">
        <w:rPr>
          <w:lang w:val="en-US"/>
        </w:rPr>
        <w:t>C.57</w:t>
      </w:r>
      <w:proofErr w:type="spellEnd"/>
      <w:r w:rsidRPr="00FB4441">
        <w:rPr>
          <w:lang w:val="en-US"/>
        </w:rPr>
        <w:t>/03.</w:t>
      </w:r>
      <w:proofErr w:type="gramEnd"/>
    </w:p>
  </w:footnote>
  <w:footnote w:id="23">
    <w:p w:rsidR="00644CCA" w:rsidRDefault="00644CCA" w:rsidP="00D47B05">
      <w:pPr>
        <w:pStyle w:val="a3"/>
      </w:pPr>
      <w:r>
        <w:rPr>
          <w:rStyle w:val="a5"/>
        </w:rPr>
        <w:footnoteRef/>
      </w:r>
      <w:r w:rsidRPr="00FB4441">
        <w:rPr>
          <w:lang w:val="en-US"/>
        </w:rPr>
        <w:t xml:space="preserve"> </w:t>
      </w:r>
      <w:proofErr w:type="spellStart"/>
      <w:r w:rsidRPr="00FB4441">
        <w:rPr>
          <w:lang w:val="en-US"/>
        </w:rPr>
        <w:t>GEF</w:t>
      </w:r>
      <w:proofErr w:type="spellEnd"/>
      <w:r w:rsidRPr="00FB4441">
        <w:rPr>
          <w:lang w:val="en-US"/>
        </w:rPr>
        <w:t xml:space="preserve">, 2018, </w:t>
      </w:r>
      <w:r w:rsidRPr="00D47B05">
        <w:rPr>
          <w:lang w:val="en-US"/>
        </w:rPr>
        <w:t xml:space="preserve">Updated Results Architecture for </w:t>
      </w:r>
      <w:proofErr w:type="spellStart"/>
      <w:r w:rsidRPr="00D47B05">
        <w:rPr>
          <w:lang w:val="en-US"/>
        </w:rPr>
        <w:t>GEF</w:t>
      </w:r>
      <w:proofErr w:type="spellEnd"/>
      <w:r w:rsidRPr="00D47B05">
        <w:rPr>
          <w:lang w:val="en-US"/>
        </w:rPr>
        <w:t>-7</w:t>
      </w:r>
      <w:r w:rsidRPr="00FB4441">
        <w:rPr>
          <w:lang w:val="en-US"/>
        </w:rPr>
        <w:t xml:space="preserve">, Council document </w:t>
      </w:r>
      <w:proofErr w:type="spellStart"/>
      <w:r w:rsidRPr="00FB4441">
        <w:rPr>
          <w:lang w:val="en-US"/>
        </w:rPr>
        <w:t>GEF</w:t>
      </w:r>
      <w:proofErr w:type="spellEnd"/>
      <w:r w:rsidRPr="00FB4441">
        <w:rPr>
          <w:lang w:val="en-US"/>
        </w:rPr>
        <w:t>/</w:t>
      </w:r>
      <w:proofErr w:type="spellStart"/>
      <w:r w:rsidRPr="00FB4441">
        <w:rPr>
          <w:lang w:val="en-US"/>
        </w:rPr>
        <w:t>C.54</w:t>
      </w:r>
      <w:proofErr w:type="spellEnd"/>
      <w:r w:rsidRPr="00FB4441">
        <w:rPr>
          <w:lang w:val="en-US"/>
        </w:rPr>
        <w:t>/11/</w:t>
      </w:r>
      <w:proofErr w:type="spellStart"/>
      <w:r w:rsidRPr="00FB4441">
        <w:rPr>
          <w:lang w:val="en-US"/>
        </w:rPr>
        <w:t>Rev.02</w:t>
      </w:r>
      <w:proofErr w:type="spellEnd"/>
      <w:r w:rsidRPr="00FB4441">
        <w:rPr>
          <w:lang w:val="en-US"/>
        </w:rPr>
        <w:t>.</w:t>
      </w:r>
    </w:p>
  </w:footnote>
  <w:footnote w:id="24">
    <w:p w:rsidR="00644CCA" w:rsidRPr="0073135B" w:rsidRDefault="00644CCA" w:rsidP="00D47B05">
      <w:pPr>
        <w:spacing w:line="240" w:lineRule="auto"/>
        <w:rPr>
          <w:rFonts w:cstheme="minorHAnsi"/>
          <w:sz w:val="18"/>
          <w:szCs w:val="18"/>
          <w:lang w:val="en-US"/>
        </w:rPr>
      </w:pPr>
      <w:r w:rsidRPr="0011432F">
        <w:rPr>
          <w:rFonts w:cstheme="minorHAnsi"/>
          <w:sz w:val="18"/>
          <w:szCs w:val="18"/>
          <w:vertAlign w:val="superscript"/>
        </w:rPr>
        <w:footnoteRef/>
      </w:r>
      <w:r w:rsidRPr="0073135B">
        <w:rPr>
          <w:rFonts w:cstheme="minorHAnsi"/>
          <w:sz w:val="18"/>
          <w:szCs w:val="18"/>
          <w:lang w:val="en-US"/>
        </w:rPr>
        <w:t xml:space="preserve"> </w:t>
      </w:r>
      <w:proofErr w:type="spellStart"/>
      <w:r w:rsidRPr="0073135B">
        <w:rPr>
          <w:rFonts w:cstheme="minorHAnsi"/>
          <w:sz w:val="18"/>
          <w:szCs w:val="18"/>
          <w:lang w:val="en-US"/>
        </w:rPr>
        <w:t>GEF</w:t>
      </w:r>
      <w:proofErr w:type="spellEnd"/>
      <w:r w:rsidRPr="0073135B">
        <w:rPr>
          <w:rFonts w:cstheme="minorHAnsi"/>
          <w:sz w:val="18"/>
          <w:szCs w:val="18"/>
          <w:lang w:val="en-US"/>
        </w:rPr>
        <w:t xml:space="preserve">, 2018, </w:t>
      </w:r>
      <w:proofErr w:type="spellStart"/>
      <w:r w:rsidRPr="0073135B">
        <w:rPr>
          <w:rFonts w:cstheme="minorHAnsi"/>
          <w:sz w:val="18"/>
          <w:szCs w:val="18"/>
          <w:lang w:val="en-US"/>
        </w:rPr>
        <w:t>GEF’s</w:t>
      </w:r>
      <w:proofErr w:type="spellEnd"/>
      <w:r w:rsidRPr="0073135B">
        <w:rPr>
          <w:rFonts w:cstheme="minorHAnsi"/>
          <w:sz w:val="18"/>
          <w:szCs w:val="18"/>
          <w:lang w:val="en-US"/>
        </w:rPr>
        <w:t xml:space="preserve"> Support to Biodiversity Mainstreaming, https://www.gefieo.org/evaluations/evaluation-gefs-support-mainstreaming-biodiversity-2018</w:t>
      </w:r>
    </w:p>
    <w:p w:rsidR="00644CCA" w:rsidRPr="0073135B" w:rsidRDefault="00644CCA" w:rsidP="00D47B05">
      <w:pPr>
        <w:spacing w:line="240" w:lineRule="auto"/>
        <w:rPr>
          <w:rFonts w:ascii="Times New Roman" w:hAnsi="Times New Roman" w:cs="Times New Roman"/>
          <w:sz w:val="18"/>
          <w:szCs w:val="18"/>
          <w:lang w:val="en-US"/>
        </w:rPr>
      </w:pPr>
    </w:p>
  </w:footnote>
  <w:footnote w:id="25">
    <w:p w:rsidR="00644CCA" w:rsidRPr="00FB4441" w:rsidRDefault="00644CCA" w:rsidP="00DF0187">
      <w:pPr>
        <w:spacing w:line="240" w:lineRule="auto"/>
        <w:rPr>
          <w:rFonts w:cstheme="minorHAnsi"/>
          <w:sz w:val="18"/>
          <w:szCs w:val="18"/>
        </w:rPr>
      </w:pPr>
      <w:r>
        <w:rPr>
          <w:rFonts w:cstheme="minorHAnsi"/>
          <w:sz w:val="18"/>
          <w:szCs w:val="18"/>
          <w:vertAlign w:val="superscript"/>
        </w:rPr>
        <w:footnoteRef/>
      </w:r>
      <w:r>
        <w:rPr>
          <w:rFonts w:cstheme="minorHAnsi"/>
          <w:sz w:val="18"/>
          <w:szCs w:val="18"/>
        </w:rPr>
        <w:t xml:space="preserve"> Уровень, на котором повышается эффективность работы природоохранного сектора с секторами экономики, и все большее число секторов, учреждений и субъектов осознают необходимость сохранения биоразнообразия. Подробнее см. </w:t>
      </w:r>
      <w:proofErr w:type="spellStart"/>
      <w:r>
        <w:rPr>
          <w:rFonts w:cstheme="minorHAnsi"/>
          <w:sz w:val="18"/>
          <w:szCs w:val="18"/>
        </w:rPr>
        <w:t>GEF</w:t>
      </w:r>
      <w:proofErr w:type="spellEnd"/>
      <w:r>
        <w:rPr>
          <w:rFonts w:cstheme="minorHAnsi"/>
          <w:sz w:val="18"/>
          <w:szCs w:val="18"/>
        </w:rPr>
        <w:t xml:space="preserve"> </w:t>
      </w:r>
      <w:proofErr w:type="spellStart"/>
      <w:r>
        <w:rPr>
          <w:rFonts w:cstheme="minorHAnsi"/>
          <w:sz w:val="18"/>
          <w:szCs w:val="18"/>
        </w:rPr>
        <w:t>IEO</w:t>
      </w:r>
      <w:proofErr w:type="spellEnd"/>
      <w:r>
        <w:rPr>
          <w:rFonts w:cstheme="minorHAnsi"/>
          <w:sz w:val="18"/>
          <w:szCs w:val="18"/>
        </w:rPr>
        <w:t xml:space="preserve"> </w:t>
      </w:r>
      <w:proofErr w:type="spellStart"/>
      <w:r w:rsidRPr="00ED0F7F">
        <w:rPr>
          <w:rFonts w:cstheme="minorHAnsi"/>
          <w:sz w:val="18"/>
          <w:szCs w:val="18"/>
        </w:rPr>
        <w:t>Evaluation</w:t>
      </w:r>
      <w:proofErr w:type="spellEnd"/>
      <w:r w:rsidRPr="00ED0F7F">
        <w:rPr>
          <w:rFonts w:cstheme="minorHAnsi"/>
          <w:sz w:val="18"/>
          <w:szCs w:val="18"/>
        </w:rPr>
        <w:t xml:space="preserve"> </w:t>
      </w:r>
      <w:proofErr w:type="spellStart"/>
      <w:r w:rsidRPr="00ED0F7F">
        <w:rPr>
          <w:rFonts w:cstheme="minorHAnsi"/>
          <w:sz w:val="18"/>
          <w:szCs w:val="18"/>
        </w:rPr>
        <w:t>Report</w:t>
      </w:r>
      <w:proofErr w:type="spellEnd"/>
      <w:r w:rsidRPr="00ED0F7F">
        <w:rPr>
          <w:rFonts w:cstheme="minorHAnsi"/>
          <w:sz w:val="18"/>
          <w:szCs w:val="18"/>
        </w:rPr>
        <w:t xml:space="preserve"> </w:t>
      </w:r>
      <w:proofErr w:type="spellStart"/>
      <w:r w:rsidRPr="00ED0F7F">
        <w:rPr>
          <w:rFonts w:cstheme="minorHAnsi"/>
          <w:sz w:val="18"/>
          <w:szCs w:val="18"/>
        </w:rPr>
        <w:t>No</w:t>
      </w:r>
      <w:proofErr w:type="spellEnd"/>
      <w:r w:rsidRPr="00ED0F7F">
        <w:rPr>
          <w:rFonts w:cstheme="minorHAnsi"/>
          <w:sz w:val="18"/>
          <w:szCs w:val="18"/>
        </w:rPr>
        <w:t>. 134</w:t>
      </w:r>
    </w:p>
  </w:footnote>
  <w:footnote w:id="26">
    <w:p w:rsidR="00644CCA" w:rsidRPr="00FB4441" w:rsidRDefault="00644CCA" w:rsidP="00DF0187">
      <w:pPr>
        <w:spacing w:line="240" w:lineRule="auto"/>
        <w:rPr>
          <w:sz w:val="16"/>
          <w:szCs w:val="16"/>
        </w:rPr>
      </w:pPr>
      <w:r>
        <w:rPr>
          <w:rFonts w:cstheme="minorHAnsi"/>
          <w:sz w:val="18"/>
          <w:szCs w:val="18"/>
          <w:vertAlign w:val="superscript"/>
        </w:rPr>
        <w:footnoteRef/>
      </w:r>
      <w:r>
        <w:rPr>
          <w:rFonts w:cstheme="minorHAnsi"/>
          <w:sz w:val="18"/>
          <w:szCs w:val="18"/>
        </w:rPr>
        <w:t xml:space="preserve"> Преобразование, в ходе которого охрана природы выходит за пределы охраняемых районов и распространяется на ландшафты большей площади, отражая изменения в восприятии потребности в сохранении биоразнообразия в обществе; см. подробнее </w:t>
      </w:r>
      <w:proofErr w:type="spellStart"/>
      <w:r>
        <w:rPr>
          <w:rFonts w:cstheme="minorHAnsi"/>
          <w:sz w:val="18"/>
          <w:szCs w:val="18"/>
        </w:rPr>
        <w:t>GEF</w:t>
      </w:r>
      <w:proofErr w:type="spellEnd"/>
      <w:r>
        <w:rPr>
          <w:rFonts w:cstheme="minorHAnsi"/>
          <w:sz w:val="18"/>
          <w:szCs w:val="18"/>
        </w:rPr>
        <w:t xml:space="preserve"> </w:t>
      </w:r>
      <w:proofErr w:type="spellStart"/>
      <w:r>
        <w:rPr>
          <w:rFonts w:cstheme="minorHAnsi"/>
          <w:sz w:val="18"/>
          <w:szCs w:val="18"/>
        </w:rPr>
        <w:t>IEO</w:t>
      </w:r>
      <w:proofErr w:type="spellEnd"/>
      <w:r>
        <w:rPr>
          <w:rFonts w:cstheme="minorHAnsi"/>
          <w:sz w:val="18"/>
          <w:szCs w:val="18"/>
        </w:rPr>
        <w:t xml:space="preserve"> </w:t>
      </w:r>
      <w:proofErr w:type="spellStart"/>
      <w:r w:rsidRPr="00ED0F7F">
        <w:rPr>
          <w:rFonts w:cstheme="minorHAnsi"/>
          <w:sz w:val="18"/>
          <w:szCs w:val="18"/>
        </w:rPr>
        <w:t>Evaluation</w:t>
      </w:r>
      <w:proofErr w:type="spellEnd"/>
      <w:r w:rsidRPr="00ED0F7F">
        <w:rPr>
          <w:rFonts w:cstheme="minorHAnsi"/>
          <w:sz w:val="18"/>
          <w:szCs w:val="18"/>
        </w:rPr>
        <w:t xml:space="preserve"> </w:t>
      </w:r>
      <w:proofErr w:type="spellStart"/>
      <w:r w:rsidRPr="00ED0F7F">
        <w:rPr>
          <w:rFonts w:cstheme="minorHAnsi"/>
          <w:sz w:val="18"/>
          <w:szCs w:val="18"/>
        </w:rPr>
        <w:t>Report</w:t>
      </w:r>
      <w:proofErr w:type="spellEnd"/>
      <w:r w:rsidRPr="00ED0F7F">
        <w:rPr>
          <w:rFonts w:cstheme="minorHAnsi"/>
          <w:sz w:val="18"/>
          <w:szCs w:val="18"/>
        </w:rPr>
        <w:t xml:space="preserve"> </w:t>
      </w:r>
      <w:proofErr w:type="spellStart"/>
      <w:r w:rsidRPr="00ED0F7F">
        <w:rPr>
          <w:rFonts w:cstheme="minorHAnsi"/>
          <w:sz w:val="18"/>
          <w:szCs w:val="18"/>
        </w:rPr>
        <w:t>No</w:t>
      </w:r>
      <w:proofErr w:type="spellEnd"/>
      <w:r w:rsidRPr="00ED0F7F">
        <w:rPr>
          <w:rFonts w:cstheme="minorHAnsi"/>
          <w:sz w:val="18"/>
          <w:szCs w:val="18"/>
        </w:rPr>
        <w:t>. 134</w:t>
      </w:r>
    </w:p>
  </w:footnote>
  <w:footnote w:id="27">
    <w:p w:rsidR="00644CCA" w:rsidRPr="00776E86" w:rsidRDefault="00644CCA" w:rsidP="00DF0187">
      <w:pPr>
        <w:spacing w:line="240" w:lineRule="auto"/>
        <w:rPr>
          <w:rFonts w:cstheme="minorHAnsi"/>
          <w:sz w:val="18"/>
          <w:szCs w:val="18"/>
          <w:lang w:val="en-US"/>
        </w:rPr>
      </w:pPr>
      <w:r>
        <w:rPr>
          <w:rFonts w:cstheme="minorHAnsi"/>
          <w:sz w:val="18"/>
          <w:szCs w:val="18"/>
          <w:vertAlign w:val="superscript"/>
        </w:rPr>
        <w:footnoteRef/>
      </w:r>
      <w:r w:rsidRPr="00776E86">
        <w:rPr>
          <w:rFonts w:cstheme="minorHAnsi"/>
          <w:sz w:val="18"/>
          <w:szCs w:val="18"/>
          <w:lang w:val="en-US"/>
        </w:rPr>
        <w:t xml:space="preserve"> </w:t>
      </w:r>
      <w:proofErr w:type="spellStart"/>
      <w:r w:rsidRPr="00776E86">
        <w:rPr>
          <w:rFonts w:cstheme="minorHAnsi"/>
          <w:sz w:val="18"/>
          <w:szCs w:val="18"/>
          <w:lang w:val="en-US"/>
        </w:rPr>
        <w:t>GEF</w:t>
      </w:r>
      <w:proofErr w:type="spellEnd"/>
      <w:r w:rsidRPr="00776E86">
        <w:rPr>
          <w:rFonts w:cstheme="minorHAnsi"/>
          <w:sz w:val="18"/>
          <w:szCs w:val="18"/>
          <w:lang w:val="en-US"/>
        </w:rPr>
        <w:t xml:space="preserve">, 2017, Formative Review of the </w:t>
      </w:r>
      <w:proofErr w:type="spellStart"/>
      <w:r w:rsidRPr="00776E86">
        <w:rPr>
          <w:rFonts w:cstheme="minorHAnsi"/>
          <w:sz w:val="18"/>
          <w:szCs w:val="18"/>
          <w:lang w:val="en-US"/>
        </w:rPr>
        <w:t>GEF</w:t>
      </w:r>
      <w:proofErr w:type="spellEnd"/>
      <w:r w:rsidRPr="00776E86">
        <w:rPr>
          <w:rFonts w:cstheme="minorHAnsi"/>
          <w:sz w:val="18"/>
          <w:szCs w:val="18"/>
          <w:lang w:val="en-US"/>
        </w:rPr>
        <w:t xml:space="preserve"> Integrated Approach Pilot Programs, http://www.gefieo.org/sites/default/files/ieo/evaluations/files/iaps-2017_0.pdf</w:t>
      </w:r>
    </w:p>
  </w:footnote>
  <w:footnote w:id="28">
    <w:p w:rsidR="00644CCA" w:rsidRPr="00644CCA" w:rsidRDefault="00644CCA" w:rsidP="00DF0187">
      <w:pPr>
        <w:spacing w:line="240" w:lineRule="auto"/>
        <w:rPr>
          <w:rFonts w:eastAsia="Times New Roman" w:cstheme="minorHAnsi"/>
          <w:sz w:val="18"/>
          <w:szCs w:val="18"/>
          <w:lang w:val="en-US"/>
        </w:rPr>
      </w:pPr>
      <w:r>
        <w:rPr>
          <w:rFonts w:cstheme="minorHAnsi"/>
          <w:sz w:val="18"/>
          <w:szCs w:val="18"/>
          <w:vertAlign w:val="superscript"/>
        </w:rPr>
        <w:footnoteRef/>
      </w:r>
      <w:r w:rsidRPr="00644CCA">
        <w:rPr>
          <w:rFonts w:cstheme="minorHAnsi"/>
          <w:sz w:val="18"/>
          <w:szCs w:val="18"/>
          <w:lang w:val="en-US"/>
        </w:rPr>
        <w:t xml:space="preserve"> </w:t>
      </w:r>
      <w:proofErr w:type="spellStart"/>
      <w:r w:rsidRPr="00644CCA">
        <w:rPr>
          <w:rFonts w:cstheme="minorHAnsi"/>
          <w:sz w:val="18"/>
          <w:szCs w:val="18"/>
          <w:lang w:val="en-US"/>
        </w:rPr>
        <w:t>GEF</w:t>
      </w:r>
      <w:proofErr w:type="spellEnd"/>
      <w:r w:rsidRPr="00644CCA">
        <w:rPr>
          <w:rFonts w:cstheme="minorHAnsi"/>
          <w:sz w:val="18"/>
          <w:szCs w:val="18"/>
          <w:lang w:val="en-US"/>
        </w:rPr>
        <w:t xml:space="preserve">, 2017, Evaluation of </w:t>
      </w:r>
      <w:proofErr w:type="spellStart"/>
      <w:r w:rsidRPr="00644CCA">
        <w:rPr>
          <w:rFonts w:cstheme="minorHAnsi"/>
          <w:sz w:val="18"/>
          <w:szCs w:val="18"/>
          <w:lang w:val="en-US"/>
        </w:rPr>
        <w:t>GEF</w:t>
      </w:r>
      <w:proofErr w:type="spellEnd"/>
      <w:r w:rsidRPr="00644CCA">
        <w:rPr>
          <w:rFonts w:cstheme="minorHAnsi"/>
          <w:sz w:val="18"/>
          <w:szCs w:val="18"/>
          <w:lang w:val="en-US"/>
        </w:rPr>
        <w:t xml:space="preserve"> Support for Transformational Change, </w:t>
      </w:r>
      <w:r w:rsidRPr="00644CCA">
        <w:rPr>
          <w:rFonts w:eastAsia="Times New Roman" w:cstheme="minorHAnsi"/>
          <w:sz w:val="18"/>
          <w:szCs w:val="18"/>
          <w:lang w:val="en-US"/>
        </w:rPr>
        <w:t>http://www.gefieo.org/sites/default/files/ieo/evaluations/files/transformational-change-2017.pdf</w:t>
      </w:r>
    </w:p>
  </w:footnote>
  <w:footnote w:id="29">
    <w:p w:rsidR="00644CCA" w:rsidRPr="00FB4441" w:rsidRDefault="00644CCA" w:rsidP="00DF0187">
      <w:pPr>
        <w:spacing w:line="240" w:lineRule="auto"/>
        <w:rPr>
          <w:rFonts w:ascii="Times New Roman" w:eastAsia="Times New Roman" w:hAnsi="Times New Roman" w:cs="Times New Roman"/>
          <w:sz w:val="18"/>
          <w:szCs w:val="18"/>
        </w:rPr>
      </w:pPr>
      <w:r>
        <w:rPr>
          <w:rFonts w:cstheme="minorHAnsi"/>
          <w:sz w:val="18"/>
          <w:szCs w:val="18"/>
          <w:vertAlign w:val="superscript"/>
        </w:rPr>
        <w:footnoteRef/>
      </w:r>
      <w:r>
        <w:rPr>
          <w:rFonts w:cstheme="minorHAnsi"/>
          <w:sz w:val="18"/>
          <w:szCs w:val="18"/>
        </w:rPr>
        <w:t xml:space="preserve"> В процессе оценки использовались четыре критерия, чтобы разграничить мероприятиями с фундаментальными преобразованиями от мероприятий, которые «просто» оказались особо успешными, сложными или крупными по размеру: </w:t>
      </w:r>
      <w:proofErr w:type="spellStart"/>
      <w:r>
        <w:rPr>
          <w:rFonts w:cstheme="minorHAnsi"/>
          <w:sz w:val="18"/>
          <w:szCs w:val="18"/>
        </w:rPr>
        <w:t>i</w:t>
      </w:r>
      <w:proofErr w:type="spellEnd"/>
      <w:r>
        <w:rPr>
          <w:rFonts w:cstheme="minorHAnsi"/>
          <w:sz w:val="18"/>
          <w:szCs w:val="18"/>
        </w:rPr>
        <w:t xml:space="preserve">) соответствие требованию; </w:t>
      </w:r>
      <w:proofErr w:type="spellStart"/>
      <w:r>
        <w:rPr>
          <w:rFonts w:cstheme="minorHAnsi"/>
          <w:sz w:val="18"/>
          <w:szCs w:val="18"/>
        </w:rPr>
        <w:t>ii</w:t>
      </w:r>
      <w:proofErr w:type="spellEnd"/>
      <w:r>
        <w:rPr>
          <w:rFonts w:cstheme="minorHAnsi"/>
          <w:sz w:val="18"/>
          <w:szCs w:val="18"/>
        </w:rPr>
        <w:t xml:space="preserve">) глубина изменений; </w:t>
      </w:r>
      <w:proofErr w:type="spellStart"/>
      <w:r>
        <w:rPr>
          <w:rFonts w:cstheme="minorHAnsi"/>
          <w:sz w:val="18"/>
          <w:szCs w:val="18"/>
        </w:rPr>
        <w:t>iii</w:t>
      </w:r>
      <w:proofErr w:type="spellEnd"/>
      <w:r>
        <w:rPr>
          <w:rFonts w:cstheme="minorHAnsi"/>
          <w:sz w:val="18"/>
          <w:szCs w:val="18"/>
        </w:rPr>
        <w:t xml:space="preserve">) масштаб изменений; и </w:t>
      </w:r>
      <w:proofErr w:type="spellStart"/>
      <w:r>
        <w:rPr>
          <w:rFonts w:cstheme="minorHAnsi"/>
          <w:sz w:val="18"/>
          <w:szCs w:val="18"/>
        </w:rPr>
        <w:t>iv</w:t>
      </w:r>
      <w:proofErr w:type="spellEnd"/>
      <w:r>
        <w:rPr>
          <w:rFonts w:cstheme="minorHAnsi"/>
          <w:sz w:val="18"/>
          <w:szCs w:val="18"/>
        </w:rPr>
        <w:t>) устойчивость.</w:t>
      </w:r>
    </w:p>
  </w:footnote>
  <w:footnote w:id="30">
    <w:p w:rsidR="00644CCA" w:rsidRPr="00644CCA" w:rsidRDefault="00644CCA" w:rsidP="00DF0187">
      <w:pPr>
        <w:spacing w:line="240" w:lineRule="auto"/>
        <w:rPr>
          <w:rFonts w:cstheme="minorHAnsi"/>
          <w:sz w:val="18"/>
          <w:szCs w:val="18"/>
          <w:lang w:val="en-US"/>
        </w:rPr>
      </w:pPr>
      <w:r>
        <w:rPr>
          <w:rFonts w:cstheme="minorHAnsi"/>
          <w:sz w:val="18"/>
          <w:szCs w:val="18"/>
          <w:vertAlign w:val="superscript"/>
        </w:rPr>
        <w:footnoteRef/>
      </w:r>
      <w:r w:rsidRPr="00644CCA">
        <w:rPr>
          <w:rFonts w:cstheme="minorHAnsi"/>
          <w:sz w:val="18"/>
          <w:szCs w:val="18"/>
          <w:lang w:val="en-US"/>
        </w:rPr>
        <w:t xml:space="preserve"> </w:t>
      </w:r>
      <w:proofErr w:type="spellStart"/>
      <w:r w:rsidRPr="00644CCA">
        <w:rPr>
          <w:rFonts w:cstheme="minorHAnsi"/>
          <w:sz w:val="18"/>
          <w:szCs w:val="18"/>
          <w:lang w:val="en-US"/>
        </w:rPr>
        <w:t>GEF</w:t>
      </w:r>
      <w:proofErr w:type="spellEnd"/>
      <w:r w:rsidRPr="00644CCA">
        <w:rPr>
          <w:rFonts w:cstheme="minorHAnsi"/>
          <w:sz w:val="18"/>
          <w:szCs w:val="18"/>
          <w:lang w:val="en-US"/>
        </w:rPr>
        <w:t xml:space="preserve">, 2019, Evaluation of </w:t>
      </w:r>
      <w:proofErr w:type="spellStart"/>
      <w:r w:rsidRPr="00644CCA">
        <w:rPr>
          <w:rFonts w:cstheme="minorHAnsi"/>
          <w:sz w:val="18"/>
          <w:szCs w:val="18"/>
          <w:lang w:val="en-US"/>
        </w:rPr>
        <w:t>GEF</w:t>
      </w:r>
      <w:proofErr w:type="spellEnd"/>
      <w:r w:rsidRPr="00644CCA">
        <w:rPr>
          <w:rFonts w:cstheme="minorHAnsi"/>
          <w:sz w:val="18"/>
          <w:szCs w:val="18"/>
          <w:lang w:val="en-US"/>
        </w:rPr>
        <w:t xml:space="preserve"> Support to Scaling up Impact, https://www.gefieo.org/evaluations/evaluation-gef-support-scaling-impact-2019</w:t>
      </w:r>
    </w:p>
    <w:p w:rsidR="00644CCA" w:rsidRPr="00644CCA" w:rsidRDefault="00644CCA" w:rsidP="00DF0187">
      <w:pPr>
        <w:spacing w:line="240" w:lineRule="auto"/>
        <w:rPr>
          <w:rFonts w:cstheme="minorHAnsi"/>
          <w:sz w:val="20"/>
          <w:szCs w:val="2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nsid w:val="0E5C101D"/>
    <w:multiLevelType w:val="hybridMultilevel"/>
    <w:tmpl w:val="2B7E0C3C"/>
    <w:lvl w:ilvl="0" w:tplc="9ECA5ADC">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06A19"/>
    <w:multiLevelType w:val="hybridMultilevel"/>
    <w:tmpl w:val="E89C5332"/>
    <w:lvl w:ilvl="0" w:tplc="2280F67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90184"/>
    <w:multiLevelType w:val="hybridMultilevel"/>
    <w:tmpl w:val="A728455E"/>
    <w:lvl w:ilvl="0" w:tplc="041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111159"/>
    <w:multiLevelType w:val="hybridMultilevel"/>
    <w:tmpl w:val="BCD02E52"/>
    <w:lvl w:ilvl="0" w:tplc="041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0442B4"/>
    <w:multiLevelType w:val="multilevel"/>
    <w:tmpl w:val="5928D0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2">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4">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9">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562CC"/>
    <w:multiLevelType w:val="hybridMultilevel"/>
    <w:tmpl w:val="AD10BBEE"/>
    <w:lvl w:ilvl="0" w:tplc="109A6504">
      <w:start w:val="1"/>
      <w:numFmt w:val="decimal"/>
      <w:lvlText w:val="%1."/>
      <w:lvlJc w:val="left"/>
      <w:pPr>
        <w:ind w:left="1080" w:hanging="360"/>
      </w:pPr>
      <w:rPr>
        <w:rFonts w:hint="default"/>
        <w:b w:val="0"/>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7">
    <w:nsid w:val="718F3CC4"/>
    <w:multiLevelType w:val="hybridMultilevel"/>
    <w:tmpl w:val="B3D0EB2E"/>
    <w:lvl w:ilvl="0" w:tplc="5FD84FE2">
      <w:start w:val="7"/>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C0A8E"/>
    <w:multiLevelType w:val="hybridMultilevel"/>
    <w:tmpl w:val="F304A894"/>
    <w:lvl w:ilvl="0" w:tplc="041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0"/>
  </w:num>
  <w:num w:numId="3">
    <w:abstractNumId w:val="6"/>
  </w:num>
  <w:num w:numId="4">
    <w:abstractNumId w:val="7"/>
  </w:num>
  <w:num w:numId="5">
    <w:abstractNumId w:val="16"/>
  </w:num>
  <w:num w:numId="6">
    <w:abstractNumId w:val="22"/>
  </w:num>
  <w:num w:numId="7">
    <w:abstractNumId w:val="29"/>
  </w:num>
  <w:num w:numId="8">
    <w:abstractNumId w:val="12"/>
  </w:num>
  <w:num w:numId="9">
    <w:abstractNumId w:val="2"/>
  </w:num>
  <w:num w:numId="10">
    <w:abstractNumId w:val="15"/>
  </w:num>
  <w:num w:numId="11">
    <w:abstractNumId w:val="8"/>
  </w:num>
  <w:num w:numId="12">
    <w:abstractNumId w:val="9"/>
  </w:num>
  <w:num w:numId="13">
    <w:abstractNumId w:val="10"/>
  </w:num>
  <w:num w:numId="14">
    <w:abstractNumId w:val="0"/>
  </w:num>
  <w:num w:numId="15">
    <w:abstractNumId w:val="26"/>
  </w:num>
  <w:num w:numId="16">
    <w:abstractNumId w:val="11"/>
  </w:num>
  <w:num w:numId="17">
    <w:abstractNumId w:val="23"/>
  </w:num>
  <w:num w:numId="18">
    <w:abstractNumId w:val="14"/>
  </w:num>
  <w:num w:numId="19">
    <w:abstractNumId w:val="28"/>
  </w:num>
  <w:num w:numId="20">
    <w:abstractNumId w:val="17"/>
  </w:num>
  <w:num w:numId="21">
    <w:abstractNumId w:val="20"/>
  </w:num>
  <w:num w:numId="22">
    <w:abstractNumId w:val="24"/>
  </w:num>
  <w:num w:numId="23">
    <w:abstractNumId w:val="19"/>
  </w:num>
  <w:num w:numId="24">
    <w:abstractNumId w:val="4"/>
  </w:num>
  <w:num w:numId="25">
    <w:abstractNumId w:val="5"/>
  </w:num>
  <w:num w:numId="26">
    <w:abstractNumId w:val="3"/>
  </w:num>
  <w:num w:numId="27">
    <w:abstractNumId w:val="4"/>
    <w:lvlOverride w:ilvl="0">
      <w:startOverride w:val="1"/>
    </w:lvlOverride>
  </w:num>
  <w:num w:numId="28">
    <w:abstractNumId w:val="13"/>
  </w:num>
  <w:num w:numId="29">
    <w:abstractNumId w:val="18"/>
  </w:num>
  <w:num w:numId="30">
    <w:abstractNumId w:val="21"/>
  </w:num>
  <w:num w:numId="31">
    <w:abstractNumId w:val="4"/>
    <w:lvlOverride w:ilvl="0">
      <w:startOverride w:val="1"/>
    </w:lvlOverride>
  </w:num>
  <w:num w:numId="32">
    <w:abstractNumId w:val="4"/>
    <w:lvlOverride w:ilvl="0">
      <w:startOverride w:val="1"/>
    </w:lvlOverride>
  </w:num>
  <w:num w:numId="33">
    <w:abstractNumId w:val="27"/>
  </w:num>
  <w:num w:numId="34">
    <w:abstractNumId w:val="4"/>
    <w:lvlOverride w:ilvl="0">
      <w:startOverride w:val="1"/>
    </w:lvlOverride>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CB2F0E"/>
    <w:rsid w:val="00000EC4"/>
    <w:rsid w:val="00001439"/>
    <w:rsid w:val="00001658"/>
    <w:rsid w:val="00001B38"/>
    <w:rsid w:val="0000301F"/>
    <w:rsid w:val="00006E00"/>
    <w:rsid w:val="0000701F"/>
    <w:rsid w:val="00007B82"/>
    <w:rsid w:val="00007D36"/>
    <w:rsid w:val="00010A23"/>
    <w:rsid w:val="00011998"/>
    <w:rsid w:val="00014557"/>
    <w:rsid w:val="000156E8"/>
    <w:rsid w:val="000165CC"/>
    <w:rsid w:val="0001680B"/>
    <w:rsid w:val="0001683E"/>
    <w:rsid w:val="00016B44"/>
    <w:rsid w:val="000202C7"/>
    <w:rsid w:val="00020E95"/>
    <w:rsid w:val="00022461"/>
    <w:rsid w:val="000228F0"/>
    <w:rsid w:val="00022A15"/>
    <w:rsid w:val="00023073"/>
    <w:rsid w:val="00023CA5"/>
    <w:rsid w:val="00024A06"/>
    <w:rsid w:val="000272DB"/>
    <w:rsid w:val="00030C9E"/>
    <w:rsid w:val="00032D3D"/>
    <w:rsid w:val="000343DF"/>
    <w:rsid w:val="00035DB4"/>
    <w:rsid w:val="00043257"/>
    <w:rsid w:val="00043D73"/>
    <w:rsid w:val="00045526"/>
    <w:rsid w:val="0004564B"/>
    <w:rsid w:val="00046027"/>
    <w:rsid w:val="00051781"/>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C6D"/>
    <w:rsid w:val="00061F7D"/>
    <w:rsid w:val="000631ED"/>
    <w:rsid w:val="00064391"/>
    <w:rsid w:val="00064894"/>
    <w:rsid w:val="000667F9"/>
    <w:rsid w:val="00066FFE"/>
    <w:rsid w:val="00067520"/>
    <w:rsid w:val="000675B4"/>
    <w:rsid w:val="000717E0"/>
    <w:rsid w:val="00072157"/>
    <w:rsid w:val="00072457"/>
    <w:rsid w:val="000726EC"/>
    <w:rsid w:val="00072CCB"/>
    <w:rsid w:val="00074EE9"/>
    <w:rsid w:val="0007603C"/>
    <w:rsid w:val="00076BA8"/>
    <w:rsid w:val="00076D61"/>
    <w:rsid w:val="0007757A"/>
    <w:rsid w:val="000775B6"/>
    <w:rsid w:val="000779F5"/>
    <w:rsid w:val="000807F9"/>
    <w:rsid w:val="000817DB"/>
    <w:rsid w:val="00082420"/>
    <w:rsid w:val="00084746"/>
    <w:rsid w:val="00085DDE"/>
    <w:rsid w:val="000908B4"/>
    <w:rsid w:val="00091CF2"/>
    <w:rsid w:val="00091E48"/>
    <w:rsid w:val="00092644"/>
    <w:rsid w:val="000939E9"/>
    <w:rsid w:val="000945ED"/>
    <w:rsid w:val="000956F1"/>
    <w:rsid w:val="00095C6D"/>
    <w:rsid w:val="00095C73"/>
    <w:rsid w:val="00095D2E"/>
    <w:rsid w:val="00097AFE"/>
    <w:rsid w:val="00097D19"/>
    <w:rsid w:val="000A0213"/>
    <w:rsid w:val="000A0697"/>
    <w:rsid w:val="000A3206"/>
    <w:rsid w:val="000A3363"/>
    <w:rsid w:val="000A46B7"/>
    <w:rsid w:val="000A4CC8"/>
    <w:rsid w:val="000A4FFA"/>
    <w:rsid w:val="000A6F0C"/>
    <w:rsid w:val="000B0554"/>
    <w:rsid w:val="000B0D7C"/>
    <w:rsid w:val="000B0F0C"/>
    <w:rsid w:val="000B1AB8"/>
    <w:rsid w:val="000B4E14"/>
    <w:rsid w:val="000B621D"/>
    <w:rsid w:val="000B6572"/>
    <w:rsid w:val="000B65EF"/>
    <w:rsid w:val="000B6775"/>
    <w:rsid w:val="000B6F1F"/>
    <w:rsid w:val="000C0136"/>
    <w:rsid w:val="000C09D1"/>
    <w:rsid w:val="000C13E7"/>
    <w:rsid w:val="000C234A"/>
    <w:rsid w:val="000C25B7"/>
    <w:rsid w:val="000C27DC"/>
    <w:rsid w:val="000C2800"/>
    <w:rsid w:val="000C2D71"/>
    <w:rsid w:val="000C39B5"/>
    <w:rsid w:val="000C3E78"/>
    <w:rsid w:val="000C3EA7"/>
    <w:rsid w:val="000C3ECF"/>
    <w:rsid w:val="000C50C3"/>
    <w:rsid w:val="000C745F"/>
    <w:rsid w:val="000D0D8F"/>
    <w:rsid w:val="000D21F4"/>
    <w:rsid w:val="000D2822"/>
    <w:rsid w:val="000D2B4D"/>
    <w:rsid w:val="000D321C"/>
    <w:rsid w:val="000D3AC1"/>
    <w:rsid w:val="000D48FE"/>
    <w:rsid w:val="000D5052"/>
    <w:rsid w:val="000D6145"/>
    <w:rsid w:val="000D6425"/>
    <w:rsid w:val="000D765D"/>
    <w:rsid w:val="000E10E9"/>
    <w:rsid w:val="000E220D"/>
    <w:rsid w:val="000E2F5B"/>
    <w:rsid w:val="000E4167"/>
    <w:rsid w:val="000E536D"/>
    <w:rsid w:val="000E571D"/>
    <w:rsid w:val="000E60E1"/>
    <w:rsid w:val="000E6BFC"/>
    <w:rsid w:val="000E75A8"/>
    <w:rsid w:val="000E7932"/>
    <w:rsid w:val="000F104D"/>
    <w:rsid w:val="000F1D0C"/>
    <w:rsid w:val="000F35D1"/>
    <w:rsid w:val="000F4FCC"/>
    <w:rsid w:val="000F5056"/>
    <w:rsid w:val="000F5164"/>
    <w:rsid w:val="000F5257"/>
    <w:rsid w:val="000F6487"/>
    <w:rsid w:val="0010018C"/>
    <w:rsid w:val="00100A84"/>
    <w:rsid w:val="0010120A"/>
    <w:rsid w:val="00101AA1"/>
    <w:rsid w:val="00101C80"/>
    <w:rsid w:val="00101FFE"/>
    <w:rsid w:val="001020F1"/>
    <w:rsid w:val="00102140"/>
    <w:rsid w:val="001021D9"/>
    <w:rsid w:val="00102CA7"/>
    <w:rsid w:val="00102E35"/>
    <w:rsid w:val="00105BE1"/>
    <w:rsid w:val="00105FB1"/>
    <w:rsid w:val="00107422"/>
    <w:rsid w:val="00110B03"/>
    <w:rsid w:val="00112FA5"/>
    <w:rsid w:val="0011432F"/>
    <w:rsid w:val="0011476A"/>
    <w:rsid w:val="00115725"/>
    <w:rsid w:val="00115726"/>
    <w:rsid w:val="00115926"/>
    <w:rsid w:val="0011746B"/>
    <w:rsid w:val="00117B63"/>
    <w:rsid w:val="00121F26"/>
    <w:rsid w:val="001220CA"/>
    <w:rsid w:val="0012357D"/>
    <w:rsid w:val="00123C7B"/>
    <w:rsid w:val="001248A8"/>
    <w:rsid w:val="00124DCF"/>
    <w:rsid w:val="00124F7B"/>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0920"/>
    <w:rsid w:val="00141323"/>
    <w:rsid w:val="00141A73"/>
    <w:rsid w:val="00142462"/>
    <w:rsid w:val="001432DB"/>
    <w:rsid w:val="001440C5"/>
    <w:rsid w:val="001461C8"/>
    <w:rsid w:val="001468DB"/>
    <w:rsid w:val="001468F0"/>
    <w:rsid w:val="00150674"/>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338E"/>
    <w:rsid w:val="0016400B"/>
    <w:rsid w:val="001648B8"/>
    <w:rsid w:val="00164AC5"/>
    <w:rsid w:val="00164D0C"/>
    <w:rsid w:val="00164D58"/>
    <w:rsid w:val="00165950"/>
    <w:rsid w:val="001660BD"/>
    <w:rsid w:val="00167453"/>
    <w:rsid w:val="00173A75"/>
    <w:rsid w:val="00173AD1"/>
    <w:rsid w:val="00174E59"/>
    <w:rsid w:val="00176DBE"/>
    <w:rsid w:val="00180EC8"/>
    <w:rsid w:val="0018133E"/>
    <w:rsid w:val="001823DE"/>
    <w:rsid w:val="001834C1"/>
    <w:rsid w:val="00183C48"/>
    <w:rsid w:val="0018432F"/>
    <w:rsid w:val="001847AE"/>
    <w:rsid w:val="001867BB"/>
    <w:rsid w:val="00186ACC"/>
    <w:rsid w:val="001915B0"/>
    <w:rsid w:val="00192235"/>
    <w:rsid w:val="00192AA9"/>
    <w:rsid w:val="00194416"/>
    <w:rsid w:val="00195EFE"/>
    <w:rsid w:val="001A0DB1"/>
    <w:rsid w:val="001A3273"/>
    <w:rsid w:val="001A3687"/>
    <w:rsid w:val="001A46B3"/>
    <w:rsid w:val="001A4890"/>
    <w:rsid w:val="001A555B"/>
    <w:rsid w:val="001A70EC"/>
    <w:rsid w:val="001A7C45"/>
    <w:rsid w:val="001B126B"/>
    <w:rsid w:val="001B2758"/>
    <w:rsid w:val="001B2F27"/>
    <w:rsid w:val="001B5939"/>
    <w:rsid w:val="001B6417"/>
    <w:rsid w:val="001B6418"/>
    <w:rsid w:val="001B67B7"/>
    <w:rsid w:val="001B73E1"/>
    <w:rsid w:val="001B75F0"/>
    <w:rsid w:val="001B7DB3"/>
    <w:rsid w:val="001C2106"/>
    <w:rsid w:val="001C2310"/>
    <w:rsid w:val="001C2AC3"/>
    <w:rsid w:val="001C2D09"/>
    <w:rsid w:val="001C383A"/>
    <w:rsid w:val="001C46BD"/>
    <w:rsid w:val="001C5F5E"/>
    <w:rsid w:val="001D0D41"/>
    <w:rsid w:val="001D0D92"/>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53B"/>
    <w:rsid w:val="001E6011"/>
    <w:rsid w:val="001F0262"/>
    <w:rsid w:val="001F3174"/>
    <w:rsid w:val="001F5F17"/>
    <w:rsid w:val="001F7C7F"/>
    <w:rsid w:val="002014D1"/>
    <w:rsid w:val="0020459A"/>
    <w:rsid w:val="00204B1F"/>
    <w:rsid w:val="00204BD6"/>
    <w:rsid w:val="00204FF2"/>
    <w:rsid w:val="00205803"/>
    <w:rsid w:val="00206482"/>
    <w:rsid w:val="00206B86"/>
    <w:rsid w:val="00207786"/>
    <w:rsid w:val="00210DA3"/>
    <w:rsid w:val="00211E4B"/>
    <w:rsid w:val="0021333A"/>
    <w:rsid w:val="0021352B"/>
    <w:rsid w:val="00213CA9"/>
    <w:rsid w:val="00214307"/>
    <w:rsid w:val="00221235"/>
    <w:rsid w:val="00222F83"/>
    <w:rsid w:val="002232E3"/>
    <w:rsid w:val="00225025"/>
    <w:rsid w:val="0022661B"/>
    <w:rsid w:val="0022699F"/>
    <w:rsid w:val="00232754"/>
    <w:rsid w:val="00232822"/>
    <w:rsid w:val="00234361"/>
    <w:rsid w:val="00235133"/>
    <w:rsid w:val="00240283"/>
    <w:rsid w:val="0024103E"/>
    <w:rsid w:val="00241B9A"/>
    <w:rsid w:val="00242903"/>
    <w:rsid w:val="00243131"/>
    <w:rsid w:val="0024555C"/>
    <w:rsid w:val="00246A9F"/>
    <w:rsid w:val="00246E65"/>
    <w:rsid w:val="002476C8"/>
    <w:rsid w:val="00247801"/>
    <w:rsid w:val="00250ABB"/>
    <w:rsid w:val="002513A0"/>
    <w:rsid w:val="002519EA"/>
    <w:rsid w:val="00251D31"/>
    <w:rsid w:val="0025216A"/>
    <w:rsid w:val="00252873"/>
    <w:rsid w:val="002537ED"/>
    <w:rsid w:val="00253DAE"/>
    <w:rsid w:val="002547BB"/>
    <w:rsid w:val="00254D8F"/>
    <w:rsid w:val="002569BB"/>
    <w:rsid w:val="00256E20"/>
    <w:rsid w:val="0025795D"/>
    <w:rsid w:val="002607D6"/>
    <w:rsid w:val="00260D95"/>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231C"/>
    <w:rsid w:val="00284346"/>
    <w:rsid w:val="00285082"/>
    <w:rsid w:val="002855CD"/>
    <w:rsid w:val="002857F7"/>
    <w:rsid w:val="00285BC8"/>
    <w:rsid w:val="00286B9C"/>
    <w:rsid w:val="00286D98"/>
    <w:rsid w:val="00287596"/>
    <w:rsid w:val="002918CE"/>
    <w:rsid w:val="00292825"/>
    <w:rsid w:val="0029320E"/>
    <w:rsid w:val="00294272"/>
    <w:rsid w:val="002967A2"/>
    <w:rsid w:val="002A0695"/>
    <w:rsid w:val="002A094F"/>
    <w:rsid w:val="002A202B"/>
    <w:rsid w:val="002A263B"/>
    <w:rsid w:val="002A31BF"/>
    <w:rsid w:val="002A3270"/>
    <w:rsid w:val="002A35E4"/>
    <w:rsid w:val="002A4F79"/>
    <w:rsid w:val="002A5D23"/>
    <w:rsid w:val="002A5FA4"/>
    <w:rsid w:val="002A6865"/>
    <w:rsid w:val="002A6898"/>
    <w:rsid w:val="002A6C7A"/>
    <w:rsid w:val="002B1FF4"/>
    <w:rsid w:val="002B2B66"/>
    <w:rsid w:val="002B2CC4"/>
    <w:rsid w:val="002B42DF"/>
    <w:rsid w:val="002B52FF"/>
    <w:rsid w:val="002B649F"/>
    <w:rsid w:val="002B7184"/>
    <w:rsid w:val="002B73E1"/>
    <w:rsid w:val="002B791B"/>
    <w:rsid w:val="002B7AF9"/>
    <w:rsid w:val="002C0617"/>
    <w:rsid w:val="002C0C1F"/>
    <w:rsid w:val="002C13CA"/>
    <w:rsid w:val="002C2B38"/>
    <w:rsid w:val="002C2FB9"/>
    <w:rsid w:val="002C4B46"/>
    <w:rsid w:val="002C52D6"/>
    <w:rsid w:val="002C6D8B"/>
    <w:rsid w:val="002C7B63"/>
    <w:rsid w:val="002D1C0A"/>
    <w:rsid w:val="002D54AD"/>
    <w:rsid w:val="002D582B"/>
    <w:rsid w:val="002D71D1"/>
    <w:rsid w:val="002E246D"/>
    <w:rsid w:val="002E252C"/>
    <w:rsid w:val="002E2631"/>
    <w:rsid w:val="002E3146"/>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619C"/>
    <w:rsid w:val="00310029"/>
    <w:rsid w:val="0031021A"/>
    <w:rsid w:val="00310B83"/>
    <w:rsid w:val="00310C96"/>
    <w:rsid w:val="003112BD"/>
    <w:rsid w:val="0031199F"/>
    <w:rsid w:val="0031233B"/>
    <w:rsid w:val="00313CAB"/>
    <w:rsid w:val="00316561"/>
    <w:rsid w:val="003169FD"/>
    <w:rsid w:val="00317885"/>
    <w:rsid w:val="0032046E"/>
    <w:rsid w:val="00322637"/>
    <w:rsid w:val="0032509C"/>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B7F"/>
    <w:rsid w:val="00341DE7"/>
    <w:rsid w:val="00341FFC"/>
    <w:rsid w:val="00343591"/>
    <w:rsid w:val="0034385C"/>
    <w:rsid w:val="00345933"/>
    <w:rsid w:val="00345956"/>
    <w:rsid w:val="00345DC8"/>
    <w:rsid w:val="00346A8B"/>
    <w:rsid w:val="00346C1A"/>
    <w:rsid w:val="00346C74"/>
    <w:rsid w:val="00347FC4"/>
    <w:rsid w:val="00350D2F"/>
    <w:rsid w:val="00351BBC"/>
    <w:rsid w:val="0035255F"/>
    <w:rsid w:val="003529E7"/>
    <w:rsid w:val="00352D86"/>
    <w:rsid w:val="00354CC6"/>
    <w:rsid w:val="00355A82"/>
    <w:rsid w:val="00355FE3"/>
    <w:rsid w:val="003560C8"/>
    <w:rsid w:val="0035720F"/>
    <w:rsid w:val="003576FC"/>
    <w:rsid w:val="0035792B"/>
    <w:rsid w:val="0036045C"/>
    <w:rsid w:val="00360BBF"/>
    <w:rsid w:val="00362FE8"/>
    <w:rsid w:val="003641E4"/>
    <w:rsid w:val="003642E7"/>
    <w:rsid w:val="00364A84"/>
    <w:rsid w:val="00366FFE"/>
    <w:rsid w:val="003671F7"/>
    <w:rsid w:val="00367D00"/>
    <w:rsid w:val="0037042C"/>
    <w:rsid w:val="00371144"/>
    <w:rsid w:val="003711A7"/>
    <w:rsid w:val="003713B2"/>
    <w:rsid w:val="003730F8"/>
    <w:rsid w:val="00373E26"/>
    <w:rsid w:val="0037476E"/>
    <w:rsid w:val="00374C8D"/>
    <w:rsid w:val="00374D04"/>
    <w:rsid w:val="00375CDF"/>
    <w:rsid w:val="003765FD"/>
    <w:rsid w:val="0037713F"/>
    <w:rsid w:val="003771AB"/>
    <w:rsid w:val="00380427"/>
    <w:rsid w:val="003806CD"/>
    <w:rsid w:val="003819C0"/>
    <w:rsid w:val="0038293A"/>
    <w:rsid w:val="0038348D"/>
    <w:rsid w:val="003836DB"/>
    <w:rsid w:val="003838AF"/>
    <w:rsid w:val="003839E5"/>
    <w:rsid w:val="00383E0D"/>
    <w:rsid w:val="00383E10"/>
    <w:rsid w:val="003853FE"/>
    <w:rsid w:val="00385B5F"/>
    <w:rsid w:val="0038624B"/>
    <w:rsid w:val="00387CED"/>
    <w:rsid w:val="00390433"/>
    <w:rsid w:val="0039082E"/>
    <w:rsid w:val="00391285"/>
    <w:rsid w:val="00391D07"/>
    <w:rsid w:val="00393009"/>
    <w:rsid w:val="003938FF"/>
    <w:rsid w:val="00393922"/>
    <w:rsid w:val="00394E61"/>
    <w:rsid w:val="00395AFF"/>
    <w:rsid w:val="0039765D"/>
    <w:rsid w:val="003A141A"/>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730"/>
    <w:rsid w:val="003C10AA"/>
    <w:rsid w:val="003C1A90"/>
    <w:rsid w:val="003C2CA8"/>
    <w:rsid w:val="003C301D"/>
    <w:rsid w:val="003C348B"/>
    <w:rsid w:val="003C3659"/>
    <w:rsid w:val="003C487E"/>
    <w:rsid w:val="003C7593"/>
    <w:rsid w:val="003C7FC4"/>
    <w:rsid w:val="003D0DAE"/>
    <w:rsid w:val="003D2C75"/>
    <w:rsid w:val="003D500D"/>
    <w:rsid w:val="003D5590"/>
    <w:rsid w:val="003D575B"/>
    <w:rsid w:val="003D5C46"/>
    <w:rsid w:val="003D600B"/>
    <w:rsid w:val="003D66FF"/>
    <w:rsid w:val="003D7007"/>
    <w:rsid w:val="003D75F3"/>
    <w:rsid w:val="003E074D"/>
    <w:rsid w:val="003E3785"/>
    <w:rsid w:val="003E3CE1"/>
    <w:rsid w:val="003E5ACB"/>
    <w:rsid w:val="003E5FA1"/>
    <w:rsid w:val="003E7086"/>
    <w:rsid w:val="003E74E3"/>
    <w:rsid w:val="003F0379"/>
    <w:rsid w:val="003F03C3"/>
    <w:rsid w:val="003F1966"/>
    <w:rsid w:val="003F265C"/>
    <w:rsid w:val="003F67A7"/>
    <w:rsid w:val="003F7CFC"/>
    <w:rsid w:val="003F7E4E"/>
    <w:rsid w:val="003F7EA1"/>
    <w:rsid w:val="0040084C"/>
    <w:rsid w:val="00401B0E"/>
    <w:rsid w:val="00402BF2"/>
    <w:rsid w:val="004036CA"/>
    <w:rsid w:val="00403FCE"/>
    <w:rsid w:val="00404535"/>
    <w:rsid w:val="00405B88"/>
    <w:rsid w:val="00405BD8"/>
    <w:rsid w:val="004070D0"/>
    <w:rsid w:val="0041162A"/>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C1D"/>
    <w:rsid w:val="00432770"/>
    <w:rsid w:val="00432D2B"/>
    <w:rsid w:val="00432F8B"/>
    <w:rsid w:val="00433465"/>
    <w:rsid w:val="004339C0"/>
    <w:rsid w:val="0043622C"/>
    <w:rsid w:val="00441238"/>
    <w:rsid w:val="0044157B"/>
    <w:rsid w:val="0044301C"/>
    <w:rsid w:val="0044356A"/>
    <w:rsid w:val="004451ED"/>
    <w:rsid w:val="0044535C"/>
    <w:rsid w:val="00446719"/>
    <w:rsid w:val="004506A1"/>
    <w:rsid w:val="004529D0"/>
    <w:rsid w:val="00454147"/>
    <w:rsid w:val="0045589B"/>
    <w:rsid w:val="00457140"/>
    <w:rsid w:val="00460F53"/>
    <w:rsid w:val="00461CBF"/>
    <w:rsid w:val="00462577"/>
    <w:rsid w:val="00463BBF"/>
    <w:rsid w:val="00463CFB"/>
    <w:rsid w:val="00465390"/>
    <w:rsid w:val="00466079"/>
    <w:rsid w:val="004671F6"/>
    <w:rsid w:val="004700CD"/>
    <w:rsid w:val="004723D9"/>
    <w:rsid w:val="004728D3"/>
    <w:rsid w:val="004753A2"/>
    <w:rsid w:val="004753FC"/>
    <w:rsid w:val="00477CA3"/>
    <w:rsid w:val="0048109E"/>
    <w:rsid w:val="004817A2"/>
    <w:rsid w:val="0048185E"/>
    <w:rsid w:val="004829ED"/>
    <w:rsid w:val="00483C88"/>
    <w:rsid w:val="00483FC9"/>
    <w:rsid w:val="00484A90"/>
    <w:rsid w:val="00485A71"/>
    <w:rsid w:val="00485EDA"/>
    <w:rsid w:val="00485FEC"/>
    <w:rsid w:val="00486A9D"/>
    <w:rsid w:val="0048752E"/>
    <w:rsid w:val="0048768C"/>
    <w:rsid w:val="00487903"/>
    <w:rsid w:val="00490508"/>
    <w:rsid w:val="00491136"/>
    <w:rsid w:val="0049392B"/>
    <w:rsid w:val="00495845"/>
    <w:rsid w:val="00495FB3"/>
    <w:rsid w:val="0049674C"/>
    <w:rsid w:val="0049708B"/>
    <w:rsid w:val="004A00D9"/>
    <w:rsid w:val="004A1029"/>
    <w:rsid w:val="004A1F2C"/>
    <w:rsid w:val="004A25F8"/>
    <w:rsid w:val="004A3820"/>
    <w:rsid w:val="004A4927"/>
    <w:rsid w:val="004A4CBA"/>
    <w:rsid w:val="004A5945"/>
    <w:rsid w:val="004A641A"/>
    <w:rsid w:val="004A6659"/>
    <w:rsid w:val="004A76B5"/>
    <w:rsid w:val="004A7FF7"/>
    <w:rsid w:val="004B1CDE"/>
    <w:rsid w:val="004B35BF"/>
    <w:rsid w:val="004B3B28"/>
    <w:rsid w:val="004B4432"/>
    <w:rsid w:val="004B4877"/>
    <w:rsid w:val="004B539A"/>
    <w:rsid w:val="004B647D"/>
    <w:rsid w:val="004B7D03"/>
    <w:rsid w:val="004C0A06"/>
    <w:rsid w:val="004C2BC9"/>
    <w:rsid w:val="004C3CD0"/>
    <w:rsid w:val="004C3F85"/>
    <w:rsid w:val="004C4465"/>
    <w:rsid w:val="004C48A0"/>
    <w:rsid w:val="004C52EE"/>
    <w:rsid w:val="004D2D09"/>
    <w:rsid w:val="004D31BD"/>
    <w:rsid w:val="004D3353"/>
    <w:rsid w:val="004D3CD6"/>
    <w:rsid w:val="004D6B9C"/>
    <w:rsid w:val="004D7136"/>
    <w:rsid w:val="004E0170"/>
    <w:rsid w:val="004E0D79"/>
    <w:rsid w:val="004E0E0B"/>
    <w:rsid w:val="004E20BB"/>
    <w:rsid w:val="004E31B7"/>
    <w:rsid w:val="004E4F77"/>
    <w:rsid w:val="004E50F3"/>
    <w:rsid w:val="004E62F4"/>
    <w:rsid w:val="004E6EB2"/>
    <w:rsid w:val="004E7711"/>
    <w:rsid w:val="004F0153"/>
    <w:rsid w:val="004F0D75"/>
    <w:rsid w:val="004F15A6"/>
    <w:rsid w:val="004F1B93"/>
    <w:rsid w:val="004F32B2"/>
    <w:rsid w:val="004F3CBD"/>
    <w:rsid w:val="004F4332"/>
    <w:rsid w:val="004F59BE"/>
    <w:rsid w:val="004F7B42"/>
    <w:rsid w:val="0050139A"/>
    <w:rsid w:val="005017F1"/>
    <w:rsid w:val="005029F8"/>
    <w:rsid w:val="00502BF4"/>
    <w:rsid w:val="00503A48"/>
    <w:rsid w:val="00503D75"/>
    <w:rsid w:val="005045C8"/>
    <w:rsid w:val="005048A3"/>
    <w:rsid w:val="00506145"/>
    <w:rsid w:val="005108B9"/>
    <w:rsid w:val="00510C1F"/>
    <w:rsid w:val="00510C36"/>
    <w:rsid w:val="005123F9"/>
    <w:rsid w:val="00512FD5"/>
    <w:rsid w:val="00513C2B"/>
    <w:rsid w:val="00516445"/>
    <w:rsid w:val="005174D3"/>
    <w:rsid w:val="00517A7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8E2"/>
    <w:rsid w:val="005379A6"/>
    <w:rsid w:val="00540C5C"/>
    <w:rsid w:val="00542212"/>
    <w:rsid w:val="00543A11"/>
    <w:rsid w:val="00543A1F"/>
    <w:rsid w:val="00543EEF"/>
    <w:rsid w:val="00545ADD"/>
    <w:rsid w:val="00546B04"/>
    <w:rsid w:val="00546B0D"/>
    <w:rsid w:val="00550B85"/>
    <w:rsid w:val="005513DA"/>
    <w:rsid w:val="0055283A"/>
    <w:rsid w:val="00552ACC"/>
    <w:rsid w:val="00553A18"/>
    <w:rsid w:val="0055445F"/>
    <w:rsid w:val="005550BC"/>
    <w:rsid w:val="00557A70"/>
    <w:rsid w:val="00557CD1"/>
    <w:rsid w:val="00566650"/>
    <w:rsid w:val="00566A7F"/>
    <w:rsid w:val="005705F8"/>
    <w:rsid w:val="005706E3"/>
    <w:rsid w:val="00570F9E"/>
    <w:rsid w:val="00571541"/>
    <w:rsid w:val="00571B94"/>
    <w:rsid w:val="00572241"/>
    <w:rsid w:val="00572B1E"/>
    <w:rsid w:val="00573327"/>
    <w:rsid w:val="005737AF"/>
    <w:rsid w:val="00573F3B"/>
    <w:rsid w:val="00574DDC"/>
    <w:rsid w:val="0057704D"/>
    <w:rsid w:val="005770EA"/>
    <w:rsid w:val="005772B6"/>
    <w:rsid w:val="00580FB6"/>
    <w:rsid w:val="00584AD7"/>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6661"/>
    <w:rsid w:val="005A6EDE"/>
    <w:rsid w:val="005B147E"/>
    <w:rsid w:val="005B15F8"/>
    <w:rsid w:val="005B169B"/>
    <w:rsid w:val="005B2765"/>
    <w:rsid w:val="005B332A"/>
    <w:rsid w:val="005B38F1"/>
    <w:rsid w:val="005B55F2"/>
    <w:rsid w:val="005B5911"/>
    <w:rsid w:val="005B5B6E"/>
    <w:rsid w:val="005B5CA4"/>
    <w:rsid w:val="005B6355"/>
    <w:rsid w:val="005B6977"/>
    <w:rsid w:val="005B7741"/>
    <w:rsid w:val="005B77E4"/>
    <w:rsid w:val="005B7CFC"/>
    <w:rsid w:val="005C1E25"/>
    <w:rsid w:val="005C5FB1"/>
    <w:rsid w:val="005C65F1"/>
    <w:rsid w:val="005C781C"/>
    <w:rsid w:val="005D438C"/>
    <w:rsid w:val="005D51F0"/>
    <w:rsid w:val="005D5F66"/>
    <w:rsid w:val="005D6736"/>
    <w:rsid w:val="005D7196"/>
    <w:rsid w:val="005D7A2D"/>
    <w:rsid w:val="005E01FD"/>
    <w:rsid w:val="005E3305"/>
    <w:rsid w:val="005E5339"/>
    <w:rsid w:val="005E56F3"/>
    <w:rsid w:val="005E6F5E"/>
    <w:rsid w:val="005E76E1"/>
    <w:rsid w:val="005E7775"/>
    <w:rsid w:val="005E7D47"/>
    <w:rsid w:val="005F13D1"/>
    <w:rsid w:val="005F4A52"/>
    <w:rsid w:val="005F4FC0"/>
    <w:rsid w:val="005F518E"/>
    <w:rsid w:val="005F62DB"/>
    <w:rsid w:val="00600873"/>
    <w:rsid w:val="006027FA"/>
    <w:rsid w:val="00604B02"/>
    <w:rsid w:val="006052D4"/>
    <w:rsid w:val="00606123"/>
    <w:rsid w:val="006102C7"/>
    <w:rsid w:val="006123AA"/>
    <w:rsid w:val="00612A7D"/>
    <w:rsid w:val="0061357E"/>
    <w:rsid w:val="006135B8"/>
    <w:rsid w:val="00613D10"/>
    <w:rsid w:val="006145F4"/>
    <w:rsid w:val="00614E95"/>
    <w:rsid w:val="00617822"/>
    <w:rsid w:val="00620580"/>
    <w:rsid w:val="00620CEE"/>
    <w:rsid w:val="00621DBE"/>
    <w:rsid w:val="00621E32"/>
    <w:rsid w:val="00622252"/>
    <w:rsid w:val="006222C9"/>
    <w:rsid w:val="00623B38"/>
    <w:rsid w:val="006247E9"/>
    <w:rsid w:val="00624C99"/>
    <w:rsid w:val="006257F6"/>
    <w:rsid w:val="006274BC"/>
    <w:rsid w:val="00630594"/>
    <w:rsid w:val="00631F5C"/>
    <w:rsid w:val="00633565"/>
    <w:rsid w:val="0063392C"/>
    <w:rsid w:val="0063398B"/>
    <w:rsid w:val="00635242"/>
    <w:rsid w:val="00635992"/>
    <w:rsid w:val="00636076"/>
    <w:rsid w:val="00640330"/>
    <w:rsid w:val="006403B6"/>
    <w:rsid w:val="00640729"/>
    <w:rsid w:val="00640CBE"/>
    <w:rsid w:val="00643516"/>
    <w:rsid w:val="00644B93"/>
    <w:rsid w:val="00644CCA"/>
    <w:rsid w:val="00647A11"/>
    <w:rsid w:val="00650963"/>
    <w:rsid w:val="00650B35"/>
    <w:rsid w:val="00651C70"/>
    <w:rsid w:val="00652801"/>
    <w:rsid w:val="006530C2"/>
    <w:rsid w:val="006546D5"/>
    <w:rsid w:val="0065498C"/>
    <w:rsid w:val="00655498"/>
    <w:rsid w:val="00656456"/>
    <w:rsid w:val="006610C8"/>
    <w:rsid w:val="0066226E"/>
    <w:rsid w:val="00662561"/>
    <w:rsid w:val="00663160"/>
    <w:rsid w:val="0066342E"/>
    <w:rsid w:val="00665E66"/>
    <w:rsid w:val="006707E2"/>
    <w:rsid w:val="006719AD"/>
    <w:rsid w:val="00673BA4"/>
    <w:rsid w:val="00674225"/>
    <w:rsid w:val="006749E6"/>
    <w:rsid w:val="00674D70"/>
    <w:rsid w:val="006769A0"/>
    <w:rsid w:val="00676B7F"/>
    <w:rsid w:val="00676C26"/>
    <w:rsid w:val="00677BD5"/>
    <w:rsid w:val="00680359"/>
    <w:rsid w:val="00681ACB"/>
    <w:rsid w:val="00682069"/>
    <w:rsid w:val="0068298D"/>
    <w:rsid w:val="00683C13"/>
    <w:rsid w:val="00684191"/>
    <w:rsid w:val="00685A2C"/>
    <w:rsid w:val="00685A2F"/>
    <w:rsid w:val="0068689D"/>
    <w:rsid w:val="0068710E"/>
    <w:rsid w:val="00687FB3"/>
    <w:rsid w:val="00690EA0"/>
    <w:rsid w:val="0069128A"/>
    <w:rsid w:val="00692790"/>
    <w:rsid w:val="0069394F"/>
    <w:rsid w:val="00693DB0"/>
    <w:rsid w:val="00694FF9"/>
    <w:rsid w:val="00695662"/>
    <w:rsid w:val="006966FA"/>
    <w:rsid w:val="00696C54"/>
    <w:rsid w:val="00697DFA"/>
    <w:rsid w:val="006A0983"/>
    <w:rsid w:val="006A0E06"/>
    <w:rsid w:val="006A21EC"/>
    <w:rsid w:val="006A3E29"/>
    <w:rsid w:val="006A4323"/>
    <w:rsid w:val="006A576B"/>
    <w:rsid w:val="006A58EE"/>
    <w:rsid w:val="006A59A2"/>
    <w:rsid w:val="006A5CB6"/>
    <w:rsid w:val="006A62B8"/>
    <w:rsid w:val="006A74CC"/>
    <w:rsid w:val="006B1014"/>
    <w:rsid w:val="006B110A"/>
    <w:rsid w:val="006B152F"/>
    <w:rsid w:val="006B1923"/>
    <w:rsid w:val="006B1C4B"/>
    <w:rsid w:val="006B2593"/>
    <w:rsid w:val="006B73CA"/>
    <w:rsid w:val="006C0191"/>
    <w:rsid w:val="006C1717"/>
    <w:rsid w:val="006C32F8"/>
    <w:rsid w:val="006C3394"/>
    <w:rsid w:val="006C3804"/>
    <w:rsid w:val="006C3C40"/>
    <w:rsid w:val="006C6EC1"/>
    <w:rsid w:val="006C7488"/>
    <w:rsid w:val="006C7C1D"/>
    <w:rsid w:val="006D0403"/>
    <w:rsid w:val="006D2E13"/>
    <w:rsid w:val="006D3FE4"/>
    <w:rsid w:val="006D593B"/>
    <w:rsid w:val="006D5BDB"/>
    <w:rsid w:val="006D6CBF"/>
    <w:rsid w:val="006E0573"/>
    <w:rsid w:val="006E1745"/>
    <w:rsid w:val="006E19E1"/>
    <w:rsid w:val="006E27C4"/>
    <w:rsid w:val="006E36FE"/>
    <w:rsid w:val="006E386D"/>
    <w:rsid w:val="006E6D87"/>
    <w:rsid w:val="006F0B1C"/>
    <w:rsid w:val="006F0D89"/>
    <w:rsid w:val="006F1722"/>
    <w:rsid w:val="006F2C32"/>
    <w:rsid w:val="006F2EB5"/>
    <w:rsid w:val="006F3F16"/>
    <w:rsid w:val="006F483D"/>
    <w:rsid w:val="006F6973"/>
    <w:rsid w:val="0070007F"/>
    <w:rsid w:val="00700468"/>
    <w:rsid w:val="007004DB"/>
    <w:rsid w:val="00701215"/>
    <w:rsid w:val="00701EA4"/>
    <w:rsid w:val="007057A1"/>
    <w:rsid w:val="007062AE"/>
    <w:rsid w:val="00707CDE"/>
    <w:rsid w:val="00711B71"/>
    <w:rsid w:val="007132FB"/>
    <w:rsid w:val="00713EBF"/>
    <w:rsid w:val="0071458C"/>
    <w:rsid w:val="00715AA3"/>
    <w:rsid w:val="00715C73"/>
    <w:rsid w:val="007160B7"/>
    <w:rsid w:val="00716775"/>
    <w:rsid w:val="007207AF"/>
    <w:rsid w:val="00722625"/>
    <w:rsid w:val="00725450"/>
    <w:rsid w:val="0073135B"/>
    <w:rsid w:val="00731B11"/>
    <w:rsid w:val="007322CA"/>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FA5"/>
    <w:rsid w:val="0075162E"/>
    <w:rsid w:val="00755274"/>
    <w:rsid w:val="0075581E"/>
    <w:rsid w:val="00756593"/>
    <w:rsid w:val="0075748F"/>
    <w:rsid w:val="007617FC"/>
    <w:rsid w:val="00761B24"/>
    <w:rsid w:val="007624F5"/>
    <w:rsid w:val="007625E7"/>
    <w:rsid w:val="00763443"/>
    <w:rsid w:val="00765AF9"/>
    <w:rsid w:val="00766F5D"/>
    <w:rsid w:val="00767404"/>
    <w:rsid w:val="00767D54"/>
    <w:rsid w:val="00770278"/>
    <w:rsid w:val="00770366"/>
    <w:rsid w:val="00770C99"/>
    <w:rsid w:val="00773816"/>
    <w:rsid w:val="00773F4F"/>
    <w:rsid w:val="0077545E"/>
    <w:rsid w:val="00776AF5"/>
    <w:rsid w:val="00776E86"/>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EDE"/>
    <w:rsid w:val="00790A47"/>
    <w:rsid w:val="0079112F"/>
    <w:rsid w:val="0079128F"/>
    <w:rsid w:val="007913F6"/>
    <w:rsid w:val="00791652"/>
    <w:rsid w:val="00793489"/>
    <w:rsid w:val="007940DF"/>
    <w:rsid w:val="00794670"/>
    <w:rsid w:val="00796959"/>
    <w:rsid w:val="00797044"/>
    <w:rsid w:val="00797B2C"/>
    <w:rsid w:val="007A1CFB"/>
    <w:rsid w:val="007A1EBB"/>
    <w:rsid w:val="007A2607"/>
    <w:rsid w:val="007A2E3C"/>
    <w:rsid w:val="007A3DA4"/>
    <w:rsid w:val="007A490D"/>
    <w:rsid w:val="007A4C6F"/>
    <w:rsid w:val="007A6202"/>
    <w:rsid w:val="007A75E5"/>
    <w:rsid w:val="007A75E6"/>
    <w:rsid w:val="007B1341"/>
    <w:rsid w:val="007B23C0"/>
    <w:rsid w:val="007B4AC4"/>
    <w:rsid w:val="007B66D8"/>
    <w:rsid w:val="007C1F9A"/>
    <w:rsid w:val="007C363B"/>
    <w:rsid w:val="007C4075"/>
    <w:rsid w:val="007C58B8"/>
    <w:rsid w:val="007D04AA"/>
    <w:rsid w:val="007D18C3"/>
    <w:rsid w:val="007D33ED"/>
    <w:rsid w:val="007D3937"/>
    <w:rsid w:val="007D463F"/>
    <w:rsid w:val="007D4DC0"/>
    <w:rsid w:val="007D5739"/>
    <w:rsid w:val="007D5DCD"/>
    <w:rsid w:val="007D6E47"/>
    <w:rsid w:val="007D6EA2"/>
    <w:rsid w:val="007E056F"/>
    <w:rsid w:val="007E083D"/>
    <w:rsid w:val="007E0C91"/>
    <w:rsid w:val="007E19D4"/>
    <w:rsid w:val="007E1B2A"/>
    <w:rsid w:val="007E1E7E"/>
    <w:rsid w:val="007E409E"/>
    <w:rsid w:val="007E45F7"/>
    <w:rsid w:val="007E4C9C"/>
    <w:rsid w:val="007E4D5D"/>
    <w:rsid w:val="007E5E63"/>
    <w:rsid w:val="007F0BA5"/>
    <w:rsid w:val="007F1051"/>
    <w:rsid w:val="007F13D1"/>
    <w:rsid w:val="007F1D06"/>
    <w:rsid w:val="007F2C15"/>
    <w:rsid w:val="007F3EA8"/>
    <w:rsid w:val="007F5960"/>
    <w:rsid w:val="007F64C2"/>
    <w:rsid w:val="007F6562"/>
    <w:rsid w:val="007F7B45"/>
    <w:rsid w:val="0080016B"/>
    <w:rsid w:val="00800759"/>
    <w:rsid w:val="00800DBB"/>
    <w:rsid w:val="0080179D"/>
    <w:rsid w:val="00801B49"/>
    <w:rsid w:val="00802595"/>
    <w:rsid w:val="00804FBA"/>
    <w:rsid w:val="008050F8"/>
    <w:rsid w:val="00806B8A"/>
    <w:rsid w:val="0081243A"/>
    <w:rsid w:val="00813501"/>
    <w:rsid w:val="0081475B"/>
    <w:rsid w:val="00814F5E"/>
    <w:rsid w:val="008167F1"/>
    <w:rsid w:val="00816D28"/>
    <w:rsid w:val="008220A1"/>
    <w:rsid w:val="00822775"/>
    <w:rsid w:val="00822B60"/>
    <w:rsid w:val="00824DC3"/>
    <w:rsid w:val="00826534"/>
    <w:rsid w:val="008273F6"/>
    <w:rsid w:val="00830438"/>
    <w:rsid w:val="008308EF"/>
    <w:rsid w:val="00832502"/>
    <w:rsid w:val="00833FEA"/>
    <w:rsid w:val="00834D6A"/>
    <w:rsid w:val="00834F1A"/>
    <w:rsid w:val="0083533E"/>
    <w:rsid w:val="008354E6"/>
    <w:rsid w:val="00837D88"/>
    <w:rsid w:val="00840D1F"/>
    <w:rsid w:val="008420A7"/>
    <w:rsid w:val="00842DC2"/>
    <w:rsid w:val="0084309D"/>
    <w:rsid w:val="008449BC"/>
    <w:rsid w:val="00844B48"/>
    <w:rsid w:val="00846988"/>
    <w:rsid w:val="00846B2A"/>
    <w:rsid w:val="0085071D"/>
    <w:rsid w:val="0085142B"/>
    <w:rsid w:val="008524DB"/>
    <w:rsid w:val="00852B95"/>
    <w:rsid w:val="00852C83"/>
    <w:rsid w:val="00853CE5"/>
    <w:rsid w:val="0085539B"/>
    <w:rsid w:val="00857A08"/>
    <w:rsid w:val="00862079"/>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77F83"/>
    <w:rsid w:val="00880206"/>
    <w:rsid w:val="008815E0"/>
    <w:rsid w:val="0088278F"/>
    <w:rsid w:val="0088430B"/>
    <w:rsid w:val="00884849"/>
    <w:rsid w:val="00886BF8"/>
    <w:rsid w:val="00891D4F"/>
    <w:rsid w:val="00891EAC"/>
    <w:rsid w:val="00892496"/>
    <w:rsid w:val="008926B8"/>
    <w:rsid w:val="00892C5D"/>
    <w:rsid w:val="00892E2D"/>
    <w:rsid w:val="008938E3"/>
    <w:rsid w:val="00893EC7"/>
    <w:rsid w:val="0089419A"/>
    <w:rsid w:val="00895174"/>
    <w:rsid w:val="00895320"/>
    <w:rsid w:val="00896124"/>
    <w:rsid w:val="008966D1"/>
    <w:rsid w:val="0089677D"/>
    <w:rsid w:val="00896971"/>
    <w:rsid w:val="0089753D"/>
    <w:rsid w:val="00897782"/>
    <w:rsid w:val="0089790E"/>
    <w:rsid w:val="008A29AD"/>
    <w:rsid w:val="008A2A5E"/>
    <w:rsid w:val="008A33CD"/>
    <w:rsid w:val="008A4742"/>
    <w:rsid w:val="008A5C3C"/>
    <w:rsid w:val="008A6D52"/>
    <w:rsid w:val="008A74E2"/>
    <w:rsid w:val="008A78FA"/>
    <w:rsid w:val="008B1514"/>
    <w:rsid w:val="008B1940"/>
    <w:rsid w:val="008B1C8F"/>
    <w:rsid w:val="008B309D"/>
    <w:rsid w:val="008B4678"/>
    <w:rsid w:val="008B477F"/>
    <w:rsid w:val="008B4E84"/>
    <w:rsid w:val="008B6DC8"/>
    <w:rsid w:val="008C1A70"/>
    <w:rsid w:val="008C3964"/>
    <w:rsid w:val="008C44EF"/>
    <w:rsid w:val="008C4D62"/>
    <w:rsid w:val="008C5C9B"/>
    <w:rsid w:val="008C69DD"/>
    <w:rsid w:val="008D065A"/>
    <w:rsid w:val="008D0858"/>
    <w:rsid w:val="008D1A97"/>
    <w:rsid w:val="008D2B3C"/>
    <w:rsid w:val="008D5A85"/>
    <w:rsid w:val="008D66B7"/>
    <w:rsid w:val="008D6A6F"/>
    <w:rsid w:val="008E0361"/>
    <w:rsid w:val="008E2513"/>
    <w:rsid w:val="008E2936"/>
    <w:rsid w:val="008E3913"/>
    <w:rsid w:val="008E575D"/>
    <w:rsid w:val="008E7A46"/>
    <w:rsid w:val="008F0D4C"/>
    <w:rsid w:val="008F2827"/>
    <w:rsid w:val="008F34B9"/>
    <w:rsid w:val="008F3B56"/>
    <w:rsid w:val="008F3EA9"/>
    <w:rsid w:val="008F5A5A"/>
    <w:rsid w:val="009006A5"/>
    <w:rsid w:val="0090192B"/>
    <w:rsid w:val="00901B58"/>
    <w:rsid w:val="009034F1"/>
    <w:rsid w:val="0090391A"/>
    <w:rsid w:val="00903F9F"/>
    <w:rsid w:val="00904637"/>
    <w:rsid w:val="00904D39"/>
    <w:rsid w:val="00911A34"/>
    <w:rsid w:val="00911EB5"/>
    <w:rsid w:val="00912C3A"/>
    <w:rsid w:val="009133C4"/>
    <w:rsid w:val="00913FC5"/>
    <w:rsid w:val="00914784"/>
    <w:rsid w:val="00915CE3"/>
    <w:rsid w:val="0091752D"/>
    <w:rsid w:val="009205B6"/>
    <w:rsid w:val="00923029"/>
    <w:rsid w:val="009230D9"/>
    <w:rsid w:val="009254EC"/>
    <w:rsid w:val="009255E7"/>
    <w:rsid w:val="00925734"/>
    <w:rsid w:val="00925ECD"/>
    <w:rsid w:val="00925FCB"/>
    <w:rsid w:val="009260AD"/>
    <w:rsid w:val="0092611E"/>
    <w:rsid w:val="00926978"/>
    <w:rsid w:val="0092709C"/>
    <w:rsid w:val="00927AC3"/>
    <w:rsid w:val="009336E2"/>
    <w:rsid w:val="009342E3"/>
    <w:rsid w:val="0093495A"/>
    <w:rsid w:val="0094069E"/>
    <w:rsid w:val="00941ABE"/>
    <w:rsid w:val="00942E7A"/>
    <w:rsid w:val="00943CE9"/>
    <w:rsid w:val="009444F8"/>
    <w:rsid w:val="00947F57"/>
    <w:rsid w:val="009502AC"/>
    <w:rsid w:val="00950398"/>
    <w:rsid w:val="00954182"/>
    <w:rsid w:val="00954603"/>
    <w:rsid w:val="009546CE"/>
    <w:rsid w:val="00956266"/>
    <w:rsid w:val="00956B1B"/>
    <w:rsid w:val="0096056B"/>
    <w:rsid w:val="00960F49"/>
    <w:rsid w:val="009618D8"/>
    <w:rsid w:val="00961A2B"/>
    <w:rsid w:val="00962169"/>
    <w:rsid w:val="009629C0"/>
    <w:rsid w:val="0096351B"/>
    <w:rsid w:val="00965294"/>
    <w:rsid w:val="00967A50"/>
    <w:rsid w:val="00967BDC"/>
    <w:rsid w:val="00970CE4"/>
    <w:rsid w:val="00974F1B"/>
    <w:rsid w:val="00974FAC"/>
    <w:rsid w:val="00975DBA"/>
    <w:rsid w:val="00976B54"/>
    <w:rsid w:val="009770ED"/>
    <w:rsid w:val="00977580"/>
    <w:rsid w:val="00977BCC"/>
    <w:rsid w:val="00980E21"/>
    <w:rsid w:val="009813C2"/>
    <w:rsid w:val="00982EF5"/>
    <w:rsid w:val="00983521"/>
    <w:rsid w:val="00987559"/>
    <w:rsid w:val="0098771B"/>
    <w:rsid w:val="00993367"/>
    <w:rsid w:val="00993505"/>
    <w:rsid w:val="009946CB"/>
    <w:rsid w:val="00995738"/>
    <w:rsid w:val="00996062"/>
    <w:rsid w:val="009A11D3"/>
    <w:rsid w:val="009A2730"/>
    <w:rsid w:val="009A39B9"/>
    <w:rsid w:val="009A3D10"/>
    <w:rsid w:val="009A3D1F"/>
    <w:rsid w:val="009A61CF"/>
    <w:rsid w:val="009A6B3D"/>
    <w:rsid w:val="009B1E25"/>
    <w:rsid w:val="009B37CF"/>
    <w:rsid w:val="009B5EC4"/>
    <w:rsid w:val="009B7241"/>
    <w:rsid w:val="009B7ABE"/>
    <w:rsid w:val="009C158A"/>
    <w:rsid w:val="009C16A2"/>
    <w:rsid w:val="009C16E7"/>
    <w:rsid w:val="009C1C92"/>
    <w:rsid w:val="009C36A4"/>
    <w:rsid w:val="009C3FB5"/>
    <w:rsid w:val="009C4413"/>
    <w:rsid w:val="009C48F1"/>
    <w:rsid w:val="009C6030"/>
    <w:rsid w:val="009C781B"/>
    <w:rsid w:val="009D1020"/>
    <w:rsid w:val="009D112B"/>
    <w:rsid w:val="009D2CA0"/>
    <w:rsid w:val="009D3230"/>
    <w:rsid w:val="009D527C"/>
    <w:rsid w:val="009D5578"/>
    <w:rsid w:val="009D6EDB"/>
    <w:rsid w:val="009D765B"/>
    <w:rsid w:val="009D7DD2"/>
    <w:rsid w:val="009E010F"/>
    <w:rsid w:val="009E0185"/>
    <w:rsid w:val="009E28E8"/>
    <w:rsid w:val="009E2A0B"/>
    <w:rsid w:val="009E3CAB"/>
    <w:rsid w:val="009E5BBD"/>
    <w:rsid w:val="009E5D70"/>
    <w:rsid w:val="009E693D"/>
    <w:rsid w:val="009E7013"/>
    <w:rsid w:val="009E79EF"/>
    <w:rsid w:val="009F0A7F"/>
    <w:rsid w:val="009F0F1E"/>
    <w:rsid w:val="009F1049"/>
    <w:rsid w:val="009F1058"/>
    <w:rsid w:val="009F1892"/>
    <w:rsid w:val="009F23A8"/>
    <w:rsid w:val="009F2933"/>
    <w:rsid w:val="009F3CAF"/>
    <w:rsid w:val="009F4AC6"/>
    <w:rsid w:val="009F5425"/>
    <w:rsid w:val="009F6931"/>
    <w:rsid w:val="00A02BDB"/>
    <w:rsid w:val="00A0377B"/>
    <w:rsid w:val="00A04E60"/>
    <w:rsid w:val="00A05084"/>
    <w:rsid w:val="00A05F23"/>
    <w:rsid w:val="00A10DBF"/>
    <w:rsid w:val="00A116F8"/>
    <w:rsid w:val="00A1190F"/>
    <w:rsid w:val="00A11CCD"/>
    <w:rsid w:val="00A14B5E"/>
    <w:rsid w:val="00A15D50"/>
    <w:rsid w:val="00A15E90"/>
    <w:rsid w:val="00A16EB6"/>
    <w:rsid w:val="00A16F93"/>
    <w:rsid w:val="00A17C4B"/>
    <w:rsid w:val="00A21855"/>
    <w:rsid w:val="00A22283"/>
    <w:rsid w:val="00A22526"/>
    <w:rsid w:val="00A238C7"/>
    <w:rsid w:val="00A24364"/>
    <w:rsid w:val="00A27713"/>
    <w:rsid w:val="00A277D5"/>
    <w:rsid w:val="00A31466"/>
    <w:rsid w:val="00A3277C"/>
    <w:rsid w:val="00A327A8"/>
    <w:rsid w:val="00A3282C"/>
    <w:rsid w:val="00A330C1"/>
    <w:rsid w:val="00A331F3"/>
    <w:rsid w:val="00A3421C"/>
    <w:rsid w:val="00A342C0"/>
    <w:rsid w:val="00A35506"/>
    <w:rsid w:val="00A375A9"/>
    <w:rsid w:val="00A4025C"/>
    <w:rsid w:val="00A4025E"/>
    <w:rsid w:val="00A405D0"/>
    <w:rsid w:val="00A40E4E"/>
    <w:rsid w:val="00A41202"/>
    <w:rsid w:val="00A41B94"/>
    <w:rsid w:val="00A421ED"/>
    <w:rsid w:val="00A456AB"/>
    <w:rsid w:val="00A46D72"/>
    <w:rsid w:val="00A47911"/>
    <w:rsid w:val="00A50E55"/>
    <w:rsid w:val="00A51B99"/>
    <w:rsid w:val="00A575A5"/>
    <w:rsid w:val="00A60937"/>
    <w:rsid w:val="00A648E0"/>
    <w:rsid w:val="00A6493D"/>
    <w:rsid w:val="00A65169"/>
    <w:rsid w:val="00A66358"/>
    <w:rsid w:val="00A66478"/>
    <w:rsid w:val="00A7086B"/>
    <w:rsid w:val="00A70ECC"/>
    <w:rsid w:val="00A70F8D"/>
    <w:rsid w:val="00A71C5B"/>
    <w:rsid w:val="00A73BAB"/>
    <w:rsid w:val="00A75EC0"/>
    <w:rsid w:val="00A761CF"/>
    <w:rsid w:val="00A76387"/>
    <w:rsid w:val="00A7789C"/>
    <w:rsid w:val="00A80152"/>
    <w:rsid w:val="00A80C70"/>
    <w:rsid w:val="00A81C41"/>
    <w:rsid w:val="00A82751"/>
    <w:rsid w:val="00A82F65"/>
    <w:rsid w:val="00A83FA0"/>
    <w:rsid w:val="00A86A0C"/>
    <w:rsid w:val="00A87887"/>
    <w:rsid w:val="00A90A32"/>
    <w:rsid w:val="00A9200E"/>
    <w:rsid w:val="00A923DD"/>
    <w:rsid w:val="00A92A17"/>
    <w:rsid w:val="00A92EC5"/>
    <w:rsid w:val="00A943CA"/>
    <w:rsid w:val="00A94A58"/>
    <w:rsid w:val="00A95163"/>
    <w:rsid w:val="00A96984"/>
    <w:rsid w:val="00A96A54"/>
    <w:rsid w:val="00AA13C2"/>
    <w:rsid w:val="00AA1D04"/>
    <w:rsid w:val="00AA3DEC"/>
    <w:rsid w:val="00AA3F32"/>
    <w:rsid w:val="00AA4E02"/>
    <w:rsid w:val="00AA4E66"/>
    <w:rsid w:val="00AA7AA8"/>
    <w:rsid w:val="00AA7D0C"/>
    <w:rsid w:val="00AB0DCE"/>
    <w:rsid w:val="00AB15BD"/>
    <w:rsid w:val="00AB40AF"/>
    <w:rsid w:val="00AB51A6"/>
    <w:rsid w:val="00AB5233"/>
    <w:rsid w:val="00AB561B"/>
    <w:rsid w:val="00AB58F4"/>
    <w:rsid w:val="00AB5D13"/>
    <w:rsid w:val="00AB668E"/>
    <w:rsid w:val="00AB66D1"/>
    <w:rsid w:val="00AB7291"/>
    <w:rsid w:val="00AB74A7"/>
    <w:rsid w:val="00AC1963"/>
    <w:rsid w:val="00AC196B"/>
    <w:rsid w:val="00AC4C9E"/>
    <w:rsid w:val="00AC5C4D"/>
    <w:rsid w:val="00AC5F0A"/>
    <w:rsid w:val="00AC6CB7"/>
    <w:rsid w:val="00AC704C"/>
    <w:rsid w:val="00AD0292"/>
    <w:rsid w:val="00AD0667"/>
    <w:rsid w:val="00AD09D3"/>
    <w:rsid w:val="00AD0C50"/>
    <w:rsid w:val="00AD1269"/>
    <w:rsid w:val="00AD2A01"/>
    <w:rsid w:val="00AD3101"/>
    <w:rsid w:val="00AD4C87"/>
    <w:rsid w:val="00AD7540"/>
    <w:rsid w:val="00AE26CF"/>
    <w:rsid w:val="00AE3D31"/>
    <w:rsid w:val="00AE3F1D"/>
    <w:rsid w:val="00AE403F"/>
    <w:rsid w:val="00AE4491"/>
    <w:rsid w:val="00AE7452"/>
    <w:rsid w:val="00AE7FAF"/>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1037E"/>
    <w:rsid w:val="00B11155"/>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392F"/>
    <w:rsid w:val="00B24F57"/>
    <w:rsid w:val="00B2559A"/>
    <w:rsid w:val="00B25FC7"/>
    <w:rsid w:val="00B3006A"/>
    <w:rsid w:val="00B3114E"/>
    <w:rsid w:val="00B312AC"/>
    <w:rsid w:val="00B31639"/>
    <w:rsid w:val="00B31799"/>
    <w:rsid w:val="00B3335F"/>
    <w:rsid w:val="00B34DC4"/>
    <w:rsid w:val="00B35A14"/>
    <w:rsid w:val="00B35A6D"/>
    <w:rsid w:val="00B367B7"/>
    <w:rsid w:val="00B37D35"/>
    <w:rsid w:val="00B37D65"/>
    <w:rsid w:val="00B4065B"/>
    <w:rsid w:val="00B40D9E"/>
    <w:rsid w:val="00B411C2"/>
    <w:rsid w:val="00B41C06"/>
    <w:rsid w:val="00B42CF1"/>
    <w:rsid w:val="00B42E55"/>
    <w:rsid w:val="00B430FE"/>
    <w:rsid w:val="00B43620"/>
    <w:rsid w:val="00B44248"/>
    <w:rsid w:val="00B4635F"/>
    <w:rsid w:val="00B50031"/>
    <w:rsid w:val="00B5122A"/>
    <w:rsid w:val="00B51F95"/>
    <w:rsid w:val="00B5496A"/>
    <w:rsid w:val="00B54D7D"/>
    <w:rsid w:val="00B57779"/>
    <w:rsid w:val="00B60224"/>
    <w:rsid w:val="00B62A70"/>
    <w:rsid w:val="00B62A9F"/>
    <w:rsid w:val="00B643C0"/>
    <w:rsid w:val="00B65F88"/>
    <w:rsid w:val="00B66C6A"/>
    <w:rsid w:val="00B672DD"/>
    <w:rsid w:val="00B70FA5"/>
    <w:rsid w:val="00B728E0"/>
    <w:rsid w:val="00B73242"/>
    <w:rsid w:val="00B740FB"/>
    <w:rsid w:val="00B7561B"/>
    <w:rsid w:val="00B756C0"/>
    <w:rsid w:val="00B76B9F"/>
    <w:rsid w:val="00B80985"/>
    <w:rsid w:val="00B8137E"/>
    <w:rsid w:val="00B83AEA"/>
    <w:rsid w:val="00B83CC0"/>
    <w:rsid w:val="00B858FB"/>
    <w:rsid w:val="00B85AD4"/>
    <w:rsid w:val="00B8671A"/>
    <w:rsid w:val="00B87465"/>
    <w:rsid w:val="00B87918"/>
    <w:rsid w:val="00B9021E"/>
    <w:rsid w:val="00B9076F"/>
    <w:rsid w:val="00B9081F"/>
    <w:rsid w:val="00B90F26"/>
    <w:rsid w:val="00B91012"/>
    <w:rsid w:val="00B926E0"/>
    <w:rsid w:val="00B92783"/>
    <w:rsid w:val="00B954D6"/>
    <w:rsid w:val="00B95879"/>
    <w:rsid w:val="00B95B4E"/>
    <w:rsid w:val="00BA1285"/>
    <w:rsid w:val="00BA1BC3"/>
    <w:rsid w:val="00BA1BE4"/>
    <w:rsid w:val="00BA2CBD"/>
    <w:rsid w:val="00BA3FA3"/>
    <w:rsid w:val="00BA408E"/>
    <w:rsid w:val="00BA5D30"/>
    <w:rsid w:val="00BA67BC"/>
    <w:rsid w:val="00BA6E26"/>
    <w:rsid w:val="00BB080A"/>
    <w:rsid w:val="00BB09F1"/>
    <w:rsid w:val="00BB1F0D"/>
    <w:rsid w:val="00BB2B3F"/>
    <w:rsid w:val="00BB3478"/>
    <w:rsid w:val="00BB6062"/>
    <w:rsid w:val="00BB6D22"/>
    <w:rsid w:val="00BB7B5B"/>
    <w:rsid w:val="00BB7E8A"/>
    <w:rsid w:val="00BB7FD7"/>
    <w:rsid w:val="00BC0417"/>
    <w:rsid w:val="00BC0ACB"/>
    <w:rsid w:val="00BC0CCE"/>
    <w:rsid w:val="00BC11B3"/>
    <w:rsid w:val="00BC1CCC"/>
    <w:rsid w:val="00BC1D98"/>
    <w:rsid w:val="00BC29AF"/>
    <w:rsid w:val="00BC3648"/>
    <w:rsid w:val="00BC5C01"/>
    <w:rsid w:val="00BC5DA9"/>
    <w:rsid w:val="00BC5F20"/>
    <w:rsid w:val="00BC6C8A"/>
    <w:rsid w:val="00BD0592"/>
    <w:rsid w:val="00BD29EC"/>
    <w:rsid w:val="00BD587C"/>
    <w:rsid w:val="00BD7E98"/>
    <w:rsid w:val="00BE18CC"/>
    <w:rsid w:val="00BE2F6D"/>
    <w:rsid w:val="00BE4550"/>
    <w:rsid w:val="00BE5AF1"/>
    <w:rsid w:val="00BE5FAE"/>
    <w:rsid w:val="00BE6B75"/>
    <w:rsid w:val="00BF00A6"/>
    <w:rsid w:val="00BF0E96"/>
    <w:rsid w:val="00BF1B1B"/>
    <w:rsid w:val="00BF21AA"/>
    <w:rsid w:val="00BF3760"/>
    <w:rsid w:val="00BF405F"/>
    <w:rsid w:val="00BF44FE"/>
    <w:rsid w:val="00BF4A58"/>
    <w:rsid w:val="00BF7292"/>
    <w:rsid w:val="00C01876"/>
    <w:rsid w:val="00C027FD"/>
    <w:rsid w:val="00C02C3B"/>
    <w:rsid w:val="00C030C2"/>
    <w:rsid w:val="00C0368F"/>
    <w:rsid w:val="00C03B4D"/>
    <w:rsid w:val="00C045D3"/>
    <w:rsid w:val="00C0594B"/>
    <w:rsid w:val="00C06BC9"/>
    <w:rsid w:val="00C06DB2"/>
    <w:rsid w:val="00C109F2"/>
    <w:rsid w:val="00C10B42"/>
    <w:rsid w:val="00C114B1"/>
    <w:rsid w:val="00C11AB6"/>
    <w:rsid w:val="00C13596"/>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491E"/>
    <w:rsid w:val="00C422B6"/>
    <w:rsid w:val="00C42C29"/>
    <w:rsid w:val="00C42C6F"/>
    <w:rsid w:val="00C42FAF"/>
    <w:rsid w:val="00C43B58"/>
    <w:rsid w:val="00C444CE"/>
    <w:rsid w:val="00C44C0F"/>
    <w:rsid w:val="00C46416"/>
    <w:rsid w:val="00C46C29"/>
    <w:rsid w:val="00C523F9"/>
    <w:rsid w:val="00C525B8"/>
    <w:rsid w:val="00C528B9"/>
    <w:rsid w:val="00C56687"/>
    <w:rsid w:val="00C56AC4"/>
    <w:rsid w:val="00C6091C"/>
    <w:rsid w:val="00C62CA8"/>
    <w:rsid w:val="00C6404C"/>
    <w:rsid w:val="00C654D4"/>
    <w:rsid w:val="00C66168"/>
    <w:rsid w:val="00C70AC0"/>
    <w:rsid w:val="00C71F49"/>
    <w:rsid w:val="00C734B3"/>
    <w:rsid w:val="00C737AB"/>
    <w:rsid w:val="00C73D1A"/>
    <w:rsid w:val="00C743DC"/>
    <w:rsid w:val="00C74E58"/>
    <w:rsid w:val="00C74E7B"/>
    <w:rsid w:val="00C75474"/>
    <w:rsid w:val="00C7559B"/>
    <w:rsid w:val="00C760E9"/>
    <w:rsid w:val="00C76F1C"/>
    <w:rsid w:val="00C77001"/>
    <w:rsid w:val="00C77163"/>
    <w:rsid w:val="00C8016A"/>
    <w:rsid w:val="00C80D8B"/>
    <w:rsid w:val="00C82CCC"/>
    <w:rsid w:val="00C82F50"/>
    <w:rsid w:val="00C83AA3"/>
    <w:rsid w:val="00C84771"/>
    <w:rsid w:val="00C84CE8"/>
    <w:rsid w:val="00C851FE"/>
    <w:rsid w:val="00C9363D"/>
    <w:rsid w:val="00C93668"/>
    <w:rsid w:val="00C93E18"/>
    <w:rsid w:val="00C9432C"/>
    <w:rsid w:val="00C95FAE"/>
    <w:rsid w:val="00CA2C08"/>
    <w:rsid w:val="00CA31A3"/>
    <w:rsid w:val="00CA435A"/>
    <w:rsid w:val="00CA4B5B"/>
    <w:rsid w:val="00CA4C4A"/>
    <w:rsid w:val="00CA5038"/>
    <w:rsid w:val="00CA5440"/>
    <w:rsid w:val="00CA5C54"/>
    <w:rsid w:val="00CA7643"/>
    <w:rsid w:val="00CA7C45"/>
    <w:rsid w:val="00CB03E8"/>
    <w:rsid w:val="00CB0FF2"/>
    <w:rsid w:val="00CB21B6"/>
    <w:rsid w:val="00CB2DC2"/>
    <w:rsid w:val="00CB2F0E"/>
    <w:rsid w:val="00CB4987"/>
    <w:rsid w:val="00CB5921"/>
    <w:rsid w:val="00CB6102"/>
    <w:rsid w:val="00CB620B"/>
    <w:rsid w:val="00CC12E9"/>
    <w:rsid w:val="00CC1D5D"/>
    <w:rsid w:val="00CC2970"/>
    <w:rsid w:val="00CC2D0D"/>
    <w:rsid w:val="00CC3C59"/>
    <w:rsid w:val="00CC7658"/>
    <w:rsid w:val="00CD11F5"/>
    <w:rsid w:val="00CD2F99"/>
    <w:rsid w:val="00CD3B29"/>
    <w:rsid w:val="00CD5B8C"/>
    <w:rsid w:val="00CD5BFD"/>
    <w:rsid w:val="00CD5FE7"/>
    <w:rsid w:val="00CE08BD"/>
    <w:rsid w:val="00CE27D3"/>
    <w:rsid w:val="00CE4EA8"/>
    <w:rsid w:val="00CE4F8B"/>
    <w:rsid w:val="00CE5240"/>
    <w:rsid w:val="00CE70E7"/>
    <w:rsid w:val="00CF02A1"/>
    <w:rsid w:val="00CF06E9"/>
    <w:rsid w:val="00CF0C10"/>
    <w:rsid w:val="00CF288C"/>
    <w:rsid w:val="00CF6C9F"/>
    <w:rsid w:val="00CF7229"/>
    <w:rsid w:val="00CF7465"/>
    <w:rsid w:val="00CF79CA"/>
    <w:rsid w:val="00D01754"/>
    <w:rsid w:val="00D0413B"/>
    <w:rsid w:val="00D0474E"/>
    <w:rsid w:val="00D04BE3"/>
    <w:rsid w:val="00D06A86"/>
    <w:rsid w:val="00D073ED"/>
    <w:rsid w:val="00D076AF"/>
    <w:rsid w:val="00D101D9"/>
    <w:rsid w:val="00D1036F"/>
    <w:rsid w:val="00D1118A"/>
    <w:rsid w:val="00D11281"/>
    <w:rsid w:val="00D11919"/>
    <w:rsid w:val="00D1209D"/>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2C1"/>
    <w:rsid w:val="00D40556"/>
    <w:rsid w:val="00D410AA"/>
    <w:rsid w:val="00D41150"/>
    <w:rsid w:val="00D41673"/>
    <w:rsid w:val="00D4208F"/>
    <w:rsid w:val="00D42E12"/>
    <w:rsid w:val="00D43F49"/>
    <w:rsid w:val="00D44828"/>
    <w:rsid w:val="00D46058"/>
    <w:rsid w:val="00D472DD"/>
    <w:rsid w:val="00D475E7"/>
    <w:rsid w:val="00D47B05"/>
    <w:rsid w:val="00D47B2B"/>
    <w:rsid w:val="00D51333"/>
    <w:rsid w:val="00D52A9D"/>
    <w:rsid w:val="00D55121"/>
    <w:rsid w:val="00D55F5C"/>
    <w:rsid w:val="00D56C20"/>
    <w:rsid w:val="00D57332"/>
    <w:rsid w:val="00D57450"/>
    <w:rsid w:val="00D602BE"/>
    <w:rsid w:val="00D61012"/>
    <w:rsid w:val="00D62189"/>
    <w:rsid w:val="00D6243A"/>
    <w:rsid w:val="00D641A4"/>
    <w:rsid w:val="00D66A1B"/>
    <w:rsid w:val="00D7091D"/>
    <w:rsid w:val="00D70A08"/>
    <w:rsid w:val="00D70B1E"/>
    <w:rsid w:val="00D715F4"/>
    <w:rsid w:val="00D71A1A"/>
    <w:rsid w:val="00D71CF8"/>
    <w:rsid w:val="00D71DD0"/>
    <w:rsid w:val="00D722AE"/>
    <w:rsid w:val="00D7232F"/>
    <w:rsid w:val="00D72710"/>
    <w:rsid w:val="00D72E47"/>
    <w:rsid w:val="00D74C07"/>
    <w:rsid w:val="00D7513D"/>
    <w:rsid w:val="00D75294"/>
    <w:rsid w:val="00D761C1"/>
    <w:rsid w:val="00D77265"/>
    <w:rsid w:val="00D805BA"/>
    <w:rsid w:val="00D824F5"/>
    <w:rsid w:val="00D855C2"/>
    <w:rsid w:val="00D85A31"/>
    <w:rsid w:val="00D85A9C"/>
    <w:rsid w:val="00D86AF8"/>
    <w:rsid w:val="00D87049"/>
    <w:rsid w:val="00D87159"/>
    <w:rsid w:val="00D879EE"/>
    <w:rsid w:val="00D900E7"/>
    <w:rsid w:val="00D9324B"/>
    <w:rsid w:val="00D968C5"/>
    <w:rsid w:val="00D97629"/>
    <w:rsid w:val="00D97819"/>
    <w:rsid w:val="00DA0CDC"/>
    <w:rsid w:val="00DA1004"/>
    <w:rsid w:val="00DA1A14"/>
    <w:rsid w:val="00DA227C"/>
    <w:rsid w:val="00DA29B1"/>
    <w:rsid w:val="00DA38AD"/>
    <w:rsid w:val="00DA517E"/>
    <w:rsid w:val="00DA5902"/>
    <w:rsid w:val="00DA5D28"/>
    <w:rsid w:val="00DB1CA3"/>
    <w:rsid w:val="00DB4E40"/>
    <w:rsid w:val="00DB5809"/>
    <w:rsid w:val="00DB5C87"/>
    <w:rsid w:val="00DC01C1"/>
    <w:rsid w:val="00DC0220"/>
    <w:rsid w:val="00DC0E09"/>
    <w:rsid w:val="00DC15B6"/>
    <w:rsid w:val="00DC15BD"/>
    <w:rsid w:val="00DC1E0E"/>
    <w:rsid w:val="00DC28F0"/>
    <w:rsid w:val="00DC608C"/>
    <w:rsid w:val="00DD2642"/>
    <w:rsid w:val="00DD2EDE"/>
    <w:rsid w:val="00DD499D"/>
    <w:rsid w:val="00DD4C37"/>
    <w:rsid w:val="00DD5378"/>
    <w:rsid w:val="00DD540D"/>
    <w:rsid w:val="00DD572A"/>
    <w:rsid w:val="00DD5DED"/>
    <w:rsid w:val="00DD6411"/>
    <w:rsid w:val="00DD6EB6"/>
    <w:rsid w:val="00DD7D82"/>
    <w:rsid w:val="00DD7E10"/>
    <w:rsid w:val="00DE06AC"/>
    <w:rsid w:val="00DE0ABC"/>
    <w:rsid w:val="00DE0D6E"/>
    <w:rsid w:val="00DE0FF8"/>
    <w:rsid w:val="00DE16C6"/>
    <w:rsid w:val="00DE16FC"/>
    <w:rsid w:val="00DE2F40"/>
    <w:rsid w:val="00DE363E"/>
    <w:rsid w:val="00DE3717"/>
    <w:rsid w:val="00DE69A4"/>
    <w:rsid w:val="00DE7343"/>
    <w:rsid w:val="00DE775D"/>
    <w:rsid w:val="00DF0065"/>
    <w:rsid w:val="00DF0187"/>
    <w:rsid w:val="00DF0624"/>
    <w:rsid w:val="00DF2196"/>
    <w:rsid w:val="00DF26C0"/>
    <w:rsid w:val="00DF3705"/>
    <w:rsid w:val="00DF3DAD"/>
    <w:rsid w:val="00DF481F"/>
    <w:rsid w:val="00DF4B21"/>
    <w:rsid w:val="00DF54D7"/>
    <w:rsid w:val="00DF7622"/>
    <w:rsid w:val="00DF78A9"/>
    <w:rsid w:val="00E02360"/>
    <w:rsid w:val="00E0301F"/>
    <w:rsid w:val="00E03213"/>
    <w:rsid w:val="00E03825"/>
    <w:rsid w:val="00E04506"/>
    <w:rsid w:val="00E13928"/>
    <w:rsid w:val="00E1485F"/>
    <w:rsid w:val="00E14F18"/>
    <w:rsid w:val="00E15366"/>
    <w:rsid w:val="00E1563C"/>
    <w:rsid w:val="00E1615F"/>
    <w:rsid w:val="00E1734C"/>
    <w:rsid w:val="00E20255"/>
    <w:rsid w:val="00E20EC7"/>
    <w:rsid w:val="00E24791"/>
    <w:rsid w:val="00E2480F"/>
    <w:rsid w:val="00E2525C"/>
    <w:rsid w:val="00E30D88"/>
    <w:rsid w:val="00E31E70"/>
    <w:rsid w:val="00E33D4C"/>
    <w:rsid w:val="00E34070"/>
    <w:rsid w:val="00E344CD"/>
    <w:rsid w:val="00E41854"/>
    <w:rsid w:val="00E426FB"/>
    <w:rsid w:val="00E42E83"/>
    <w:rsid w:val="00E4505D"/>
    <w:rsid w:val="00E45276"/>
    <w:rsid w:val="00E46165"/>
    <w:rsid w:val="00E479BF"/>
    <w:rsid w:val="00E47A09"/>
    <w:rsid w:val="00E47B35"/>
    <w:rsid w:val="00E5056F"/>
    <w:rsid w:val="00E50757"/>
    <w:rsid w:val="00E516F8"/>
    <w:rsid w:val="00E5374F"/>
    <w:rsid w:val="00E5465E"/>
    <w:rsid w:val="00E5501D"/>
    <w:rsid w:val="00E55AA9"/>
    <w:rsid w:val="00E55C53"/>
    <w:rsid w:val="00E56EB8"/>
    <w:rsid w:val="00E571C7"/>
    <w:rsid w:val="00E575FF"/>
    <w:rsid w:val="00E60A11"/>
    <w:rsid w:val="00E62C15"/>
    <w:rsid w:val="00E62DA3"/>
    <w:rsid w:val="00E631CF"/>
    <w:rsid w:val="00E65630"/>
    <w:rsid w:val="00E65856"/>
    <w:rsid w:val="00E668CB"/>
    <w:rsid w:val="00E70901"/>
    <w:rsid w:val="00E7198A"/>
    <w:rsid w:val="00E72A6F"/>
    <w:rsid w:val="00E72FAF"/>
    <w:rsid w:val="00E7383B"/>
    <w:rsid w:val="00E7526D"/>
    <w:rsid w:val="00E75AD0"/>
    <w:rsid w:val="00E75EAE"/>
    <w:rsid w:val="00E768FE"/>
    <w:rsid w:val="00E77567"/>
    <w:rsid w:val="00E813CA"/>
    <w:rsid w:val="00E81548"/>
    <w:rsid w:val="00E81B7B"/>
    <w:rsid w:val="00E81E17"/>
    <w:rsid w:val="00E81FFB"/>
    <w:rsid w:val="00E826D5"/>
    <w:rsid w:val="00E83EC3"/>
    <w:rsid w:val="00E90057"/>
    <w:rsid w:val="00E9132C"/>
    <w:rsid w:val="00E91883"/>
    <w:rsid w:val="00E91D3B"/>
    <w:rsid w:val="00E92D83"/>
    <w:rsid w:val="00E92E1C"/>
    <w:rsid w:val="00E933F8"/>
    <w:rsid w:val="00E94E25"/>
    <w:rsid w:val="00E9663D"/>
    <w:rsid w:val="00E969C1"/>
    <w:rsid w:val="00E96F24"/>
    <w:rsid w:val="00E979DD"/>
    <w:rsid w:val="00E97E81"/>
    <w:rsid w:val="00EA1BC8"/>
    <w:rsid w:val="00EA2D3A"/>
    <w:rsid w:val="00EA30FA"/>
    <w:rsid w:val="00EA375B"/>
    <w:rsid w:val="00EA3BE7"/>
    <w:rsid w:val="00EA51FE"/>
    <w:rsid w:val="00EA6FB7"/>
    <w:rsid w:val="00EA718F"/>
    <w:rsid w:val="00EA751A"/>
    <w:rsid w:val="00EB003B"/>
    <w:rsid w:val="00EB0AD0"/>
    <w:rsid w:val="00EB245B"/>
    <w:rsid w:val="00EB296B"/>
    <w:rsid w:val="00EB2F82"/>
    <w:rsid w:val="00EB34F2"/>
    <w:rsid w:val="00EB4191"/>
    <w:rsid w:val="00EB46E3"/>
    <w:rsid w:val="00EB55A3"/>
    <w:rsid w:val="00EB5AF7"/>
    <w:rsid w:val="00EB6899"/>
    <w:rsid w:val="00EB7064"/>
    <w:rsid w:val="00EB72D8"/>
    <w:rsid w:val="00EC0F34"/>
    <w:rsid w:val="00EC2361"/>
    <w:rsid w:val="00EC4C64"/>
    <w:rsid w:val="00EC5E2B"/>
    <w:rsid w:val="00EC6F7A"/>
    <w:rsid w:val="00EC7F53"/>
    <w:rsid w:val="00ED0F7F"/>
    <w:rsid w:val="00ED1FEB"/>
    <w:rsid w:val="00ED2168"/>
    <w:rsid w:val="00ED2E30"/>
    <w:rsid w:val="00ED3D88"/>
    <w:rsid w:val="00ED65A7"/>
    <w:rsid w:val="00ED73CC"/>
    <w:rsid w:val="00EE01A9"/>
    <w:rsid w:val="00EE0624"/>
    <w:rsid w:val="00EE55F6"/>
    <w:rsid w:val="00EE5918"/>
    <w:rsid w:val="00EE6E9F"/>
    <w:rsid w:val="00EE79F2"/>
    <w:rsid w:val="00EE7DFD"/>
    <w:rsid w:val="00EF2456"/>
    <w:rsid w:val="00EF4057"/>
    <w:rsid w:val="00EF43F7"/>
    <w:rsid w:val="00EF4794"/>
    <w:rsid w:val="00EF5D28"/>
    <w:rsid w:val="00EF72EB"/>
    <w:rsid w:val="00F018EA"/>
    <w:rsid w:val="00F01E32"/>
    <w:rsid w:val="00F01E37"/>
    <w:rsid w:val="00F0282A"/>
    <w:rsid w:val="00F0526E"/>
    <w:rsid w:val="00F06F9E"/>
    <w:rsid w:val="00F07AD5"/>
    <w:rsid w:val="00F1107B"/>
    <w:rsid w:val="00F121E4"/>
    <w:rsid w:val="00F12611"/>
    <w:rsid w:val="00F1282E"/>
    <w:rsid w:val="00F128C1"/>
    <w:rsid w:val="00F140E1"/>
    <w:rsid w:val="00F17971"/>
    <w:rsid w:val="00F17B6D"/>
    <w:rsid w:val="00F17F95"/>
    <w:rsid w:val="00F2020B"/>
    <w:rsid w:val="00F22303"/>
    <w:rsid w:val="00F24A85"/>
    <w:rsid w:val="00F25D31"/>
    <w:rsid w:val="00F30D7B"/>
    <w:rsid w:val="00F31AC1"/>
    <w:rsid w:val="00F354D2"/>
    <w:rsid w:val="00F3561F"/>
    <w:rsid w:val="00F35ED0"/>
    <w:rsid w:val="00F35F84"/>
    <w:rsid w:val="00F368E8"/>
    <w:rsid w:val="00F36BB9"/>
    <w:rsid w:val="00F36F34"/>
    <w:rsid w:val="00F40689"/>
    <w:rsid w:val="00F40A1E"/>
    <w:rsid w:val="00F40ED8"/>
    <w:rsid w:val="00F41879"/>
    <w:rsid w:val="00F41BDE"/>
    <w:rsid w:val="00F43F70"/>
    <w:rsid w:val="00F44776"/>
    <w:rsid w:val="00F45590"/>
    <w:rsid w:val="00F45C10"/>
    <w:rsid w:val="00F46C5C"/>
    <w:rsid w:val="00F46C82"/>
    <w:rsid w:val="00F47E97"/>
    <w:rsid w:val="00F47ECA"/>
    <w:rsid w:val="00F528E7"/>
    <w:rsid w:val="00F529AE"/>
    <w:rsid w:val="00F5494F"/>
    <w:rsid w:val="00F55A27"/>
    <w:rsid w:val="00F55D58"/>
    <w:rsid w:val="00F60D2A"/>
    <w:rsid w:val="00F636E8"/>
    <w:rsid w:val="00F63899"/>
    <w:rsid w:val="00F65E0A"/>
    <w:rsid w:val="00F65ED5"/>
    <w:rsid w:val="00F66009"/>
    <w:rsid w:val="00F6679E"/>
    <w:rsid w:val="00F7014F"/>
    <w:rsid w:val="00F70AB7"/>
    <w:rsid w:val="00F72BA3"/>
    <w:rsid w:val="00F73AA3"/>
    <w:rsid w:val="00F74FCE"/>
    <w:rsid w:val="00F7523E"/>
    <w:rsid w:val="00F75A59"/>
    <w:rsid w:val="00F806BA"/>
    <w:rsid w:val="00F80AF0"/>
    <w:rsid w:val="00F80C57"/>
    <w:rsid w:val="00F80F37"/>
    <w:rsid w:val="00F828A9"/>
    <w:rsid w:val="00F83221"/>
    <w:rsid w:val="00F838C0"/>
    <w:rsid w:val="00F8437D"/>
    <w:rsid w:val="00F854AB"/>
    <w:rsid w:val="00F86C71"/>
    <w:rsid w:val="00F86D91"/>
    <w:rsid w:val="00F87B44"/>
    <w:rsid w:val="00F87E83"/>
    <w:rsid w:val="00F91910"/>
    <w:rsid w:val="00F91E65"/>
    <w:rsid w:val="00F92130"/>
    <w:rsid w:val="00F922B8"/>
    <w:rsid w:val="00F93D49"/>
    <w:rsid w:val="00F94666"/>
    <w:rsid w:val="00F953EC"/>
    <w:rsid w:val="00FA06DE"/>
    <w:rsid w:val="00FA11A4"/>
    <w:rsid w:val="00FA31F3"/>
    <w:rsid w:val="00FA49A1"/>
    <w:rsid w:val="00FA6E81"/>
    <w:rsid w:val="00FA726F"/>
    <w:rsid w:val="00FA7599"/>
    <w:rsid w:val="00FA7A94"/>
    <w:rsid w:val="00FB00DA"/>
    <w:rsid w:val="00FB0598"/>
    <w:rsid w:val="00FB1282"/>
    <w:rsid w:val="00FB2B68"/>
    <w:rsid w:val="00FB34A9"/>
    <w:rsid w:val="00FB355B"/>
    <w:rsid w:val="00FB3F35"/>
    <w:rsid w:val="00FB4441"/>
    <w:rsid w:val="00FB53E6"/>
    <w:rsid w:val="00FB569B"/>
    <w:rsid w:val="00FB6712"/>
    <w:rsid w:val="00FC01F4"/>
    <w:rsid w:val="00FC2954"/>
    <w:rsid w:val="00FC2FAB"/>
    <w:rsid w:val="00FC3464"/>
    <w:rsid w:val="00FC373D"/>
    <w:rsid w:val="00FC3740"/>
    <w:rsid w:val="00FC4131"/>
    <w:rsid w:val="00FC58A8"/>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36"/>
    <w:rPr>
      <w:lang w:val="ru-RU"/>
    </w:rPr>
  </w:style>
  <w:style w:type="paragraph" w:styleId="1">
    <w:name w:val="heading 1"/>
    <w:basedOn w:val="a"/>
    <w:next w:val="a"/>
    <w:link w:val="10"/>
    <w:autoRedefine/>
    <w:qFormat/>
    <w:rsid w:val="0092611E"/>
    <w:pPr>
      <w:keepNext/>
      <w:keepLines/>
      <w:spacing w:after="0" w:line="240" w:lineRule="auto"/>
      <w:ind w:left="360"/>
      <w:jc w:val="center"/>
      <w:outlineLvl w:val="0"/>
    </w:pPr>
    <w:rPr>
      <w:rFonts w:ascii="Times New Roman" w:eastAsiaTheme="majorEastAsia" w:hAnsi="Times New Roman" w:cs="Times New Roman"/>
      <w:b/>
      <w:bCs/>
      <w:smallCaps/>
      <w:snapToGrid w:val="0"/>
    </w:rPr>
  </w:style>
  <w:style w:type="paragraph" w:styleId="2">
    <w:name w:val="heading 2"/>
    <w:basedOn w:val="a"/>
    <w:next w:val="a"/>
    <w:link w:val="20"/>
    <w:autoRedefine/>
    <w:unhideWhenUsed/>
    <w:qFormat/>
    <w:rsid w:val="000C09D1"/>
    <w:pPr>
      <w:keepNext/>
      <w:keepLines/>
      <w:spacing w:before="120" w:after="120" w:line="240" w:lineRule="auto"/>
      <w:jc w:val="center"/>
      <w:outlineLvl w:val="1"/>
    </w:pPr>
    <w:rPr>
      <w:rFonts w:ascii="Times New Roman" w:eastAsiaTheme="majorEastAsia" w:hAnsi="Times New Roman" w:cs="Times New Roman"/>
      <w:b/>
      <w:snapToGrid w:val="0"/>
      <w:lang w:val="en-GB"/>
    </w:rPr>
  </w:style>
  <w:style w:type="paragraph" w:styleId="3">
    <w:name w:val="heading 3"/>
    <w:basedOn w:val="a"/>
    <w:next w:val="a"/>
    <w:link w:val="30"/>
    <w:autoRedefine/>
    <w:uiPriority w:val="9"/>
    <w:unhideWhenUsed/>
    <w:qFormat/>
    <w:rsid w:val="00105FB1"/>
    <w:pPr>
      <w:keepNext/>
      <w:keepLines/>
      <w:spacing w:before="240" w:after="240" w:line="240" w:lineRule="auto"/>
      <w:outlineLvl w:val="2"/>
    </w:pPr>
    <w:rPr>
      <w:rFonts w:eastAsiaTheme="majorEastAsia" w:cstheme="majorBidi"/>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Geneva 9,Font: Geneva 9,Boston 10,f,Testo nota a piè di pagina Carattere Carattere,Testo nota a piè di pagina Carattere,Testo nota a piè di pagina Carattere1 Carattere,Testo nota a piè di pagina Carattere Carattere Carattere Carattere"/>
    <w:basedOn w:val="a"/>
    <w:link w:val="a4"/>
    <w:autoRedefine/>
    <w:uiPriority w:val="99"/>
    <w:unhideWhenUsed/>
    <w:qFormat/>
    <w:rsid w:val="00513C2B"/>
    <w:pPr>
      <w:suppressLineNumbers/>
      <w:suppressAutoHyphens/>
      <w:spacing w:after="0" w:line="240" w:lineRule="auto"/>
    </w:pPr>
    <w:rPr>
      <w:rFonts w:ascii="Times New Roman" w:eastAsiaTheme="minorEastAsia" w:hAnsi="Times New Roman" w:cs="Times New Roman"/>
      <w:sz w:val="18"/>
      <w:szCs w:val="18"/>
      <w:lang w:val="en-GB"/>
    </w:rPr>
  </w:style>
  <w:style w:type="character" w:customStyle="1" w:styleId="a4">
    <w:name w:val="Текст сноски Знак"/>
    <w:aliases w:val="fn Знак,Geneva 9 Знак,Font: Geneva 9 Знак,Boston 10 Знак,f Знак,Testo nota a piè di pagina Carattere Carattere Знак,Testo nota a piè di pagina Carattere Знак,Testo nota a piè di pagina Carattere1 Carattere Знак"/>
    <w:basedOn w:val="a0"/>
    <w:link w:val="a3"/>
    <w:uiPriority w:val="99"/>
    <w:rsid w:val="00513C2B"/>
    <w:rPr>
      <w:rFonts w:ascii="Times New Roman" w:eastAsiaTheme="minorEastAsia" w:hAnsi="Times New Roman" w:cs="Times New Roman"/>
      <w:sz w:val="18"/>
      <w:szCs w:val="18"/>
      <w:lang w:val="en-GB"/>
    </w:rPr>
  </w:style>
  <w:style w:type="character" w:styleId="a5">
    <w:name w:val="footnote reference"/>
    <w:aliases w:val="16 Point,Superscript 6 Point,Superscript 6 Point + 11 pt,ftref,Appel note de bas de page,number,Footnote Reference Superscript,-E Fußnotenzeichen,(Diplomarbeit FZ),(Diplomarbeit FZ)1,(Diplomarbeit FZ)2,(Diplomarbeit FZ)3,16 Poin"/>
    <w:basedOn w:val="a0"/>
    <w:link w:val="CharChar1CharCharCharChar1CharCharCharCharCharCharCharChar"/>
    <w:uiPriority w:val="99"/>
    <w:unhideWhenUsed/>
    <w:qFormat/>
    <w:rsid w:val="00CB2F0E"/>
    <w:rPr>
      <w:vertAlign w:val="superscript"/>
    </w:rPr>
  </w:style>
  <w:style w:type="character" w:styleId="a6">
    <w:name w:val="Hyperlink"/>
    <w:basedOn w:val="a0"/>
    <w:uiPriority w:val="99"/>
    <w:unhideWhenUsed/>
    <w:rsid w:val="006257F6"/>
    <w:rPr>
      <w:color w:val="0563C1" w:themeColor="hyperlink"/>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5"/>
    <w:uiPriority w:val="99"/>
    <w:rsid w:val="006257F6"/>
    <w:pPr>
      <w:spacing w:line="240" w:lineRule="exact"/>
      <w:jc w:val="both"/>
    </w:pPr>
    <w:rPr>
      <w:vertAlign w:val="superscript"/>
    </w:rPr>
  </w:style>
  <w:style w:type="paragraph" w:styleId="a7">
    <w:name w:val="Balloon Text"/>
    <w:basedOn w:val="a"/>
    <w:link w:val="a8"/>
    <w:uiPriority w:val="99"/>
    <w:semiHidden/>
    <w:unhideWhenUsed/>
    <w:rsid w:val="006257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57F6"/>
    <w:rPr>
      <w:rFonts w:ascii="Segoe UI" w:hAnsi="Segoe UI" w:cs="Segoe UI"/>
      <w:sz w:val="18"/>
      <w:szCs w:val="18"/>
    </w:rPr>
  </w:style>
  <w:style w:type="paragraph" w:styleId="a9">
    <w:name w:val="List Paragraph"/>
    <w:basedOn w:val="a"/>
    <w:uiPriority w:val="34"/>
    <w:qFormat/>
    <w:rsid w:val="00BC29AF"/>
    <w:pPr>
      <w:ind w:left="720"/>
      <w:contextualSpacing/>
    </w:pPr>
  </w:style>
  <w:style w:type="paragraph" w:customStyle="1" w:styleId="Para1">
    <w:name w:val="Para1"/>
    <w:basedOn w:val="a"/>
    <w:rsid w:val="00FB355B"/>
    <w:pPr>
      <w:numPr>
        <w:numId w:val="11"/>
      </w:numPr>
      <w:spacing w:after="120" w:line="240" w:lineRule="auto"/>
    </w:pPr>
    <w:rPr>
      <w:rFonts w:ascii="Times New Roman" w:eastAsia="MS Mincho" w:hAnsi="Times New Roman" w:cs="Angsana New"/>
      <w:snapToGrid w:val="0"/>
      <w:szCs w:val="18"/>
      <w:lang w:val="en-GB"/>
    </w:rPr>
  </w:style>
  <w:style w:type="paragraph" w:customStyle="1" w:styleId="Para3">
    <w:name w:val="Para3"/>
    <w:basedOn w:val="a"/>
    <w:rsid w:val="00FB355B"/>
    <w:pPr>
      <w:numPr>
        <w:ilvl w:val="2"/>
        <w:numId w:val="11"/>
      </w:numPr>
      <w:tabs>
        <w:tab w:val="left" w:pos="1980"/>
      </w:tabs>
      <w:spacing w:before="80" w:after="80" w:line="240" w:lineRule="auto"/>
    </w:pPr>
    <w:rPr>
      <w:rFonts w:ascii="Times New Roman" w:eastAsia="MS Mincho" w:hAnsi="Times New Roman" w:cs="Angsana New"/>
      <w:szCs w:val="20"/>
      <w:lang w:val="en-GB"/>
    </w:rPr>
  </w:style>
  <w:style w:type="table" w:styleId="aa">
    <w:name w:val="Table Grid"/>
    <w:basedOn w:val="a1"/>
    <w:uiPriority w:val="59"/>
    <w:rsid w:val="0027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230D9"/>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9230D9"/>
  </w:style>
  <w:style w:type="paragraph" w:styleId="ad">
    <w:name w:val="footer"/>
    <w:basedOn w:val="a"/>
    <w:link w:val="ae"/>
    <w:uiPriority w:val="99"/>
    <w:unhideWhenUsed/>
    <w:rsid w:val="009230D9"/>
    <w:pPr>
      <w:tabs>
        <w:tab w:val="center" w:pos="4680"/>
        <w:tab w:val="right" w:pos="9360"/>
      </w:tabs>
      <w:spacing w:after="0" w:line="240" w:lineRule="auto"/>
    </w:pPr>
  </w:style>
  <w:style w:type="character" w:customStyle="1" w:styleId="ae">
    <w:name w:val="Нижний колонтитул Знак"/>
    <w:basedOn w:val="a0"/>
    <w:link w:val="ad"/>
    <w:uiPriority w:val="99"/>
    <w:rsid w:val="009230D9"/>
  </w:style>
  <w:style w:type="character" w:styleId="af">
    <w:name w:val="annotation reference"/>
    <w:basedOn w:val="a0"/>
    <w:uiPriority w:val="99"/>
    <w:semiHidden/>
    <w:unhideWhenUsed/>
    <w:rsid w:val="000A6F0C"/>
    <w:rPr>
      <w:sz w:val="16"/>
      <w:szCs w:val="16"/>
    </w:rPr>
  </w:style>
  <w:style w:type="paragraph" w:styleId="af0">
    <w:name w:val="annotation text"/>
    <w:basedOn w:val="a"/>
    <w:link w:val="af1"/>
    <w:uiPriority w:val="99"/>
    <w:semiHidden/>
    <w:unhideWhenUsed/>
    <w:rsid w:val="000A6F0C"/>
    <w:pPr>
      <w:spacing w:line="240" w:lineRule="auto"/>
    </w:pPr>
    <w:rPr>
      <w:sz w:val="20"/>
      <w:szCs w:val="20"/>
    </w:rPr>
  </w:style>
  <w:style w:type="character" w:customStyle="1" w:styleId="af1">
    <w:name w:val="Текст примечания Знак"/>
    <w:basedOn w:val="a0"/>
    <w:link w:val="af0"/>
    <w:uiPriority w:val="99"/>
    <w:semiHidden/>
    <w:rsid w:val="000A6F0C"/>
    <w:rPr>
      <w:sz w:val="20"/>
      <w:szCs w:val="20"/>
    </w:rPr>
  </w:style>
  <w:style w:type="paragraph" w:styleId="af2">
    <w:name w:val="annotation subject"/>
    <w:basedOn w:val="af0"/>
    <w:next w:val="af0"/>
    <w:link w:val="af3"/>
    <w:uiPriority w:val="99"/>
    <w:semiHidden/>
    <w:unhideWhenUsed/>
    <w:rsid w:val="000A6F0C"/>
    <w:rPr>
      <w:b/>
      <w:bCs/>
    </w:rPr>
  </w:style>
  <w:style w:type="character" w:customStyle="1" w:styleId="af3">
    <w:name w:val="Тема примечания Знак"/>
    <w:basedOn w:val="af1"/>
    <w:link w:val="af2"/>
    <w:uiPriority w:val="99"/>
    <w:semiHidden/>
    <w:rsid w:val="000A6F0C"/>
    <w:rPr>
      <w:b/>
      <w:bCs/>
      <w:sz w:val="20"/>
      <w:szCs w:val="20"/>
    </w:rPr>
  </w:style>
  <w:style w:type="character" w:customStyle="1" w:styleId="UnresolvedMention">
    <w:name w:val="Unresolved Mention"/>
    <w:basedOn w:val="a0"/>
    <w:uiPriority w:val="99"/>
    <w:semiHidden/>
    <w:unhideWhenUsed/>
    <w:rsid w:val="00970CE4"/>
    <w:rPr>
      <w:color w:val="605E5C"/>
      <w:shd w:val="clear" w:color="auto" w:fill="E1DFDD"/>
    </w:rPr>
  </w:style>
  <w:style w:type="table" w:customStyle="1" w:styleId="PlainTable4">
    <w:name w:val="Plain Table 4"/>
    <w:basedOn w:val="a1"/>
    <w:uiPriority w:val="44"/>
    <w:rsid w:val="000631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4">
    <w:name w:val="FollowedHyperlink"/>
    <w:basedOn w:val="a0"/>
    <w:uiPriority w:val="99"/>
    <w:semiHidden/>
    <w:unhideWhenUsed/>
    <w:rsid w:val="002C6D8B"/>
    <w:rPr>
      <w:color w:val="800080"/>
      <w:u w:val="single"/>
    </w:rPr>
  </w:style>
  <w:style w:type="paragraph" w:customStyle="1" w:styleId="msonormal0">
    <w:name w:val="msonormal"/>
    <w:basedOn w:val="a"/>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2C6D8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a"/>
    <w:rsid w:val="002C6D8B"/>
    <w:pPr>
      <w:spacing w:before="100" w:beforeAutospacing="1" w:after="100" w:afterAutospacing="1" w:line="240" w:lineRule="auto"/>
    </w:pPr>
    <w:rPr>
      <w:rFonts w:ascii="Tahoma" w:eastAsia="Times New Roman" w:hAnsi="Tahoma" w:cs="Tahoma"/>
      <w:color w:val="000000"/>
      <w:sz w:val="18"/>
      <w:szCs w:val="18"/>
    </w:rPr>
  </w:style>
  <w:style w:type="paragraph" w:customStyle="1" w:styleId="xl65">
    <w:name w:val="xl65"/>
    <w:basedOn w:val="a"/>
    <w:rsid w:val="002C6D8B"/>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
    <w:rsid w:val="002C6D8B"/>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C6D8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1">
    <w:name w:val="xl71"/>
    <w:basedOn w:val="a"/>
    <w:rsid w:val="002C6D8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2C6D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2C6D8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75">
    <w:name w:val="xl75"/>
    <w:basedOn w:val="a"/>
    <w:rsid w:val="002C6D8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2611E"/>
    <w:rPr>
      <w:rFonts w:ascii="Times New Roman" w:eastAsiaTheme="majorEastAsia" w:hAnsi="Times New Roman" w:cs="Times New Roman"/>
      <w:b/>
      <w:bCs/>
      <w:smallCaps/>
      <w:snapToGrid w:val="0"/>
    </w:rPr>
  </w:style>
  <w:style w:type="character" w:customStyle="1" w:styleId="20">
    <w:name w:val="Заголовок 2 Знак"/>
    <w:basedOn w:val="a0"/>
    <w:link w:val="2"/>
    <w:rsid w:val="000C09D1"/>
    <w:rPr>
      <w:rFonts w:ascii="Times New Roman" w:eastAsiaTheme="majorEastAsia" w:hAnsi="Times New Roman" w:cs="Times New Roman"/>
      <w:b/>
      <w:snapToGrid w:val="0"/>
      <w:lang w:val="en-GB"/>
    </w:rPr>
  </w:style>
  <w:style w:type="character" w:customStyle="1" w:styleId="30">
    <w:name w:val="Заголовок 3 Знак"/>
    <w:basedOn w:val="a0"/>
    <w:link w:val="3"/>
    <w:uiPriority w:val="9"/>
    <w:rsid w:val="00105FB1"/>
    <w:rPr>
      <w:rFonts w:eastAsiaTheme="majorEastAsia" w:cstheme="majorBidi"/>
      <w:i/>
      <w:sz w:val="24"/>
      <w:szCs w:val="24"/>
    </w:rPr>
  </w:style>
  <w:style w:type="paragraph" w:styleId="21">
    <w:name w:val="toc 2"/>
    <w:basedOn w:val="a"/>
    <w:next w:val="a"/>
    <w:autoRedefine/>
    <w:uiPriority w:val="39"/>
    <w:unhideWhenUsed/>
    <w:rsid w:val="00287596"/>
    <w:pPr>
      <w:tabs>
        <w:tab w:val="right" w:leader="dot" w:pos="9360"/>
      </w:tabs>
      <w:spacing w:after="100"/>
      <w:ind w:left="720"/>
    </w:pPr>
  </w:style>
  <w:style w:type="paragraph" w:styleId="11">
    <w:name w:val="toc 1"/>
    <w:basedOn w:val="a"/>
    <w:next w:val="a"/>
    <w:autoRedefine/>
    <w:uiPriority w:val="39"/>
    <w:unhideWhenUsed/>
    <w:rsid w:val="0025216A"/>
    <w:pPr>
      <w:tabs>
        <w:tab w:val="left" w:pos="440"/>
        <w:tab w:val="right" w:leader="dot" w:pos="9350"/>
      </w:tabs>
      <w:spacing w:after="100"/>
      <w:ind w:left="709" w:hanging="709"/>
      <w:jc w:val="both"/>
    </w:pPr>
  </w:style>
  <w:style w:type="paragraph" w:styleId="31">
    <w:name w:val="toc 3"/>
    <w:basedOn w:val="a"/>
    <w:next w:val="a"/>
    <w:autoRedefine/>
    <w:uiPriority w:val="39"/>
    <w:unhideWhenUsed/>
    <w:rsid w:val="00512FD5"/>
    <w:pPr>
      <w:tabs>
        <w:tab w:val="right" w:leader="dot" w:pos="9350"/>
      </w:tabs>
      <w:spacing w:after="100"/>
      <w:ind w:left="709"/>
    </w:pPr>
  </w:style>
  <w:style w:type="paragraph" w:customStyle="1" w:styleId="HEADINGNOTFORTOC">
    <w:name w:val="HEADING (NOT FOR TOC)"/>
    <w:basedOn w:val="1"/>
    <w:next w:val="2"/>
    <w:rsid w:val="00AF2846"/>
    <w:pPr>
      <w:keepLines w:val="0"/>
      <w:tabs>
        <w:tab w:val="left" w:pos="720"/>
      </w:tabs>
      <w:spacing w:before="240" w:after="120"/>
    </w:pPr>
    <w:rPr>
      <w:rFonts w:eastAsia="Times New Roman"/>
      <w:caps/>
      <w:smallCaps w:val="0"/>
      <w:szCs w:val="24"/>
      <w:lang w:val="en-CA"/>
    </w:rPr>
  </w:style>
  <w:style w:type="paragraph" w:customStyle="1" w:styleId="meetingname">
    <w:name w:val="meeting name"/>
    <w:basedOn w:val="a"/>
    <w:qFormat/>
    <w:rsid w:val="00AF2846"/>
    <w:pPr>
      <w:spacing w:after="0" w:line="240" w:lineRule="auto"/>
      <w:ind w:left="170" w:right="3119" w:hanging="170"/>
    </w:pPr>
    <w:rPr>
      <w:rFonts w:ascii="Times New Roman" w:eastAsia="Malgun Gothic" w:hAnsi="Times New Roman" w:cs="Times New Roman"/>
      <w:caps/>
      <w:snapToGrid w:val="0"/>
      <w:sz w:val="24"/>
      <w:szCs w:val="24"/>
      <w:lang w:val="en-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uiPriority w:val="99"/>
    <w:rsid w:val="00AF2846"/>
    <w:pPr>
      <w:spacing w:line="240" w:lineRule="exact"/>
      <w:jc w:val="both"/>
    </w:pPr>
    <w:rPr>
      <w:rFonts w:ascii="Times New Roman" w:eastAsia="MS Mincho" w:hAnsi="Times New Roman" w:cs="Times New Roman"/>
      <w:sz w:val="18"/>
      <w:szCs w:val="20"/>
      <w:u w:val="single"/>
    </w:rPr>
  </w:style>
  <w:style w:type="character" w:styleId="af5">
    <w:name w:val="Placeholder Text"/>
    <w:basedOn w:val="a0"/>
    <w:uiPriority w:val="99"/>
    <w:semiHidden/>
    <w:rsid w:val="00AF2846"/>
    <w:rPr>
      <w:color w:val="808080"/>
    </w:rPr>
  </w:style>
  <w:style w:type="paragraph" w:styleId="af6">
    <w:name w:val="Body Text"/>
    <w:basedOn w:val="a"/>
    <w:link w:val="af7"/>
    <w:uiPriority w:val="99"/>
    <w:unhideWhenUsed/>
    <w:rsid w:val="003819C0"/>
    <w:pPr>
      <w:jc w:val="center"/>
    </w:pPr>
    <w:rPr>
      <w:b/>
      <w:bCs/>
      <w:smallCaps/>
      <w:sz w:val="32"/>
      <w:szCs w:val="32"/>
    </w:rPr>
  </w:style>
  <w:style w:type="character" w:customStyle="1" w:styleId="af7">
    <w:name w:val="Основной текст Знак"/>
    <w:basedOn w:val="a0"/>
    <w:link w:val="af6"/>
    <w:uiPriority w:val="99"/>
    <w:rsid w:val="003819C0"/>
    <w:rPr>
      <w:b/>
      <w:bCs/>
      <w:smallCaps/>
      <w:sz w:val="32"/>
      <w:szCs w:val="32"/>
    </w:rPr>
  </w:style>
</w:styles>
</file>

<file path=word/webSettings.xml><?xml version="1.0" encoding="utf-8"?>
<w:webSettings xmlns:r="http://schemas.openxmlformats.org/officeDocument/2006/relationships" xmlns:w="http://schemas.openxmlformats.org/wordprocessingml/2006/main">
  <w:divs>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53287482">
      <w:bodyDiv w:val="1"/>
      <w:marLeft w:val="0"/>
      <w:marRight w:val="0"/>
      <w:marTop w:val="0"/>
      <w:marBottom w:val="0"/>
      <w:divBdr>
        <w:top w:val="none" w:sz="0" w:space="0" w:color="auto"/>
        <w:left w:val="none" w:sz="0" w:space="0" w:color="auto"/>
        <w:bottom w:val="none" w:sz="0" w:space="0" w:color="auto"/>
        <w:right w:val="none" w:sz="0" w:space="0" w:color="auto"/>
      </w:divBdr>
      <w:divsChild>
        <w:div w:id="76874063">
          <w:marLeft w:val="0"/>
          <w:marRight w:val="0"/>
          <w:marTop w:val="0"/>
          <w:marBottom w:val="0"/>
          <w:divBdr>
            <w:top w:val="none" w:sz="0" w:space="0" w:color="auto"/>
            <w:left w:val="none" w:sz="0" w:space="0" w:color="auto"/>
            <w:bottom w:val="none" w:sz="0" w:space="0" w:color="auto"/>
            <w:right w:val="none" w:sz="0" w:space="0" w:color="auto"/>
          </w:divBdr>
        </w:div>
      </w:divsChild>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146240466">
      <w:bodyDiv w:val="1"/>
      <w:marLeft w:val="0"/>
      <w:marRight w:val="0"/>
      <w:marTop w:val="0"/>
      <w:marBottom w:val="0"/>
      <w:divBdr>
        <w:top w:val="none" w:sz="0" w:space="0" w:color="auto"/>
        <w:left w:val="none" w:sz="0" w:space="0" w:color="auto"/>
        <w:bottom w:val="none" w:sz="0" w:space="0" w:color="auto"/>
        <w:right w:val="none" w:sz="0" w:space="0" w:color="auto"/>
      </w:divBdr>
      <w:divsChild>
        <w:div w:id="814643664">
          <w:marLeft w:val="0"/>
          <w:marRight w:val="0"/>
          <w:marTop w:val="0"/>
          <w:marBottom w:val="0"/>
          <w:divBdr>
            <w:top w:val="none" w:sz="0" w:space="0" w:color="auto"/>
            <w:left w:val="none" w:sz="0" w:space="0" w:color="auto"/>
            <w:bottom w:val="none" w:sz="0" w:space="0" w:color="auto"/>
            <w:right w:val="none" w:sz="0" w:space="0" w:color="auto"/>
          </w:divBdr>
        </w:div>
      </w:divsChild>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6.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5.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ru.pdf" TargetMode="External"/><Relationship Id="rId22" Type="http://schemas.openxmlformats.org/officeDocument/2006/relationships/chart" Target="charts/chart4.xml"/><Relationship Id="rId27" Type="http://schemas.openxmlformats.org/officeDocument/2006/relationships/image" Target="media/image6.png"/><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https://worldbankgroup-my.sharepoint.com/personal/swyatt_thegef_org/Documents/Biodiversity/COP%202020/COP%20Report/DO%20IP%20rat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worldbankgroup-my.sharepoint.com/personal/swyatt_thegef_org/Documents/Biodiversity/COP%202020/COP%20Report/DO%20IP%20rating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b331348\AppData\Local\Microsoft\Windows\INetCache\Content.Outlook\1QPUI0VU\Rating_Temp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44901\AppData\Local\Microsoft\Windows\INetCache\Content.Outlook\6LILCZI2\BD%20rating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444901\AppData\Local\Microsoft\Windows\INetCache\Content.Outlook\6LILCZI2\BD%20ratings.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B356010\AppData\Local\Microsoft\Windows\INetCache\Content.Outlook\JJYRL5HI\cofin%20by%20FA%20FY1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rtl="0">
              <a:defRPr sz="1400" b="0" i="0" u="none" strike="noStrike" kern="1200" spc="0" baseline="0">
                <a:solidFill>
                  <a:sysClr val="windowText" lastClr="000000">
                    <a:lumMod val="65000"/>
                    <a:lumOff val="35000"/>
                  </a:sysClr>
                </a:solidFill>
                <a:latin typeface="+mn-lt"/>
                <a:ea typeface="+mn-ea"/>
                <a:cs typeface="+mn-cs"/>
              </a:defRPr>
            </a:pPr>
            <a:r>
              <a:rPr lang="ru-RU" sz="1400" b="0" i="0" u="none" strike="noStrike" kern="1200" spc="0" baseline="0">
                <a:solidFill>
                  <a:sysClr val="windowText" lastClr="000000">
                    <a:lumMod val="65000"/>
                    <a:lumOff val="35000"/>
                  </a:sysClr>
                </a:solidFill>
                <a:latin typeface="+mn-lt"/>
                <a:ea typeface="+mn-ea"/>
                <a:cs typeface="+mn-cs"/>
              </a:rPr>
              <a:t>Оценка выполнения задач в области развития</a:t>
            </a:r>
          </a:p>
          <a:p>
            <a:pPr rtl="0">
              <a:defRPr sz="1400" b="0" i="0" u="none" strike="noStrike" kern="1200" spc="0" baseline="0">
                <a:solidFill>
                  <a:sysClr val="windowText" lastClr="000000">
                    <a:lumMod val="65000"/>
                    <a:lumOff val="35000"/>
                  </a:sysClr>
                </a:solidFill>
                <a:latin typeface="+mn-lt"/>
                <a:ea typeface="+mn-ea"/>
                <a:cs typeface="+mn-cs"/>
              </a:defRPr>
            </a:pPr>
            <a:r>
              <a:rPr lang="ru-RU" sz="1100" b="0" i="0" u="none" strike="noStrike" kern="1200" spc="0" baseline="0">
                <a:solidFill>
                  <a:sysClr val="windowText" lastClr="000000">
                    <a:lumMod val="65000"/>
                    <a:lumOff val="35000"/>
                  </a:sysClr>
                </a:solidFill>
                <a:latin typeface="+mn-lt"/>
                <a:ea typeface="+mn-ea"/>
                <a:cs typeface="+mn-cs"/>
              </a:rPr>
              <a:t>(87% получили умеренно удовлетворительную оценку или выше)</a:t>
            </a:r>
          </a:p>
        </c:rich>
      </c:tx>
      <c:layout>
        <c:manualLayout>
          <c:xMode val="edge"/>
          <c:yMode val="edge"/>
          <c:x val="0.13486439195100627"/>
          <c:y val="2.4154589371980631E-2"/>
        </c:manualLayout>
      </c:layout>
    </c:title>
    <c:plotArea>
      <c:layout/>
      <c:pieChart>
        <c:varyColors val="1"/>
        <c:ser>
          <c:idx val="4"/>
          <c:order val="0"/>
          <c:tx>
            <c:strRef>
              <c:f>Sheet1!$A$8</c:f>
              <c:strCache>
                <c:ptCount val="1"/>
                <c:pt idx="0">
                  <c:v>Development Objective Ratings for Active Projects </c:v>
                </c:pt>
              </c:strCache>
            </c:strRef>
          </c:tx>
          <c:spPr>
            <a:ln w="3175">
              <a:solidFill>
                <a:schemeClr val="bg1"/>
              </a:solidFill>
            </a:ln>
          </c:spPr>
          <c:dPt>
            <c:idx val="0"/>
            <c:spPr>
              <a:solidFill>
                <a:schemeClr val="accent6">
                  <a:lumMod val="50000"/>
                </a:schemeClr>
              </a:solidFill>
              <a:ln w="3175">
                <a:solidFill>
                  <a:schemeClr val="bg1"/>
                </a:solidFill>
              </a:ln>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1-2E32-48A1-8EBB-56BFB93C0EBF}"/>
              </c:ext>
            </c:extLst>
          </c:dPt>
          <c:dPt>
            <c:idx val="1"/>
            <c:spPr>
              <a:solidFill>
                <a:schemeClr val="accent6">
                  <a:lumMod val="75000"/>
                </a:schemeClr>
              </a:solidFill>
              <a:ln w="3175">
                <a:solidFill>
                  <a:schemeClr val="bg1"/>
                </a:solidFill>
              </a:ln>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3-2E32-48A1-8EBB-56BFB93C0EBF}"/>
              </c:ext>
            </c:extLst>
          </c:dPt>
          <c:dPt>
            <c:idx val="2"/>
            <c:spPr>
              <a:solidFill>
                <a:schemeClr val="accent6">
                  <a:lumMod val="60000"/>
                  <a:lumOff val="40000"/>
                </a:schemeClr>
              </a:solidFill>
              <a:ln w="3175">
                <a:solidFill>
                  <a:schemeClr val="bg1"/>
                </a:solidFill>
              </a:ln>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5-2E32-48A1-8EBB-56BFB93C0EBF}"/>
              </c:ext>
            </c:extLst>
          </c:dPt>
          <c:dPt>
            <c:idx val="3"/>
            <c:spPr>
              <a:solidFill>
                <a:schemeClr val="accent1">
                  <a:lumMod val="60000"/>
                  <a:lumOff val="40000"/>
                </a:schemeClr>
              </a:solidFill>
              <a:ln w="3175">
                <a:solidFill>
                  <a:schemeClr val="bg1"/>
                </a:solidFill>
              </a:ln>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7-2E32-48A1-8EBB-56BFB93C0EBF}"/>
              </c:ext>
            </c:extLst>
          </c:dPt>
          <c:dPt>
            <c:idx val="4"/>
            <c:spPr>
              <a:solidFill>
                <a:schemeClr val="accent1">
                  <a:lumMod val="75000"/>
                </a:schemeClr>
              </a:solidFill>
              <a:ln w="3175">
                <a:solidFill>
                  <a:schemeClr val="bg1"/>
                </a:solidFill>
              </a:ln>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9-2E32-48A1-8EBB-56BFB93C0EBF}"/>
              </c:ext>
            </c:extLst>
          </c:dPt>
          <c:dPt>
            <c:idx val="5"/>
            <c:spPr>
              <a:solidFill>
                <a:schemeClr val="accent1">
                  <a:lumMod val="50000"/>
                </a:schemeClr>
              </a:solidFill>
              <a:ln w="3175">
                <a:solidFill>
                  <a:schemeClr val="bg1"/>
                </a:solidFill>
              </a:ln>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B-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C-2E32-48A1-8EBB-56BFB93C0EBF}"/>
            </c:ext>
          </c:extLst>
        </c:ser>
        <c:ser>
          <c:idx val="5"/>
          <c:order val="1"/>
          <c:tx>
            <c:strRef>
              <c:f>Sheet1!$A$9</c:f>
              <c:strCache>
                <c:ptCount val="1"/>
                <c:pt idx="0">
                  <c:v>Implementation Progress Ratings for Active Projects </c:v>
                </c:pt>
              </c:strCache>
            </c:strRef>
          </c:tx>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D-2E32-48A1-8EBB-56BFB93C0EBF}"/>
            </c:ext>
          </c:extLst>
        </c:ser>
        <c:ser>
          <c:idx val="6"/>
          <c:order val="2"/>
          <c:tx>
            <c:strRef>
              <c:f>Sheet1!$A$8</c:f>
              <c:strCache>
                <c:ptCount val="1"/>
                <c:pt idx="0">
                  <c:v>Development Objective Ratings for Active Projects </c:v>
                </c:pt>
              </c:strCache>
            </c:strRef>
          </c:tx>
          <c:dPt>
            <c:idx val="0"/>
            <c:spPr>
              <a:solidFill>
                <a:schemeClr val="accent6">
                  <a:lumMod val="50000"/>
                </a:schemeClr>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F-2E32-48A1-8EBB-56BFB93C0EBF}"/>
              </c:ext>
            </c:extLst>
          </c:dPt>
          <c:dPt>
            <c:idx val="1"/>
            <c:spPr>
              <a:solidFill>
                <a:schemeClr val="accent6">
                  <a:lumMod val="75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1-2E32-48A1-8EBB-56BFB93C0EBF}"/>
              </c:ext>
            </c:extLst>
          </c:dPt>
          <c:dPt>
            <c:idx val="2"/>
            <c:spPr>
              <a:solidFill>
                <a:schemeClr val="accent6">
                  <a:lumMod val="60000"/>
                  <a:lumOff val="40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3-2E32-48A1-8EBB-56BFB93C0EBF}"/>
              </c:ext>
            </c:extLst>
          </c:dPt>
          <c:dPt>
            <c:idx val="3"/>
            <c:spPr>
              <a:solidFill>
                <a:schemeClr val="accent1">
                  <a:lumMod val="60000"/>
                  <a:lumOff val="40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5-2E32-48A1-8EBB-56BFB93C0EBF}"/>
              </c:ext>
            </c:extLst>
          </c:dPt>
          <c:dPt>
            <c:idx val="4"/>
            <c:spPr>
              <a:solidFill>
                <a:schemeClr val="accent1">
                  <a:lumMod val="75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7-2E32-48A1-8EBB-56BFB93C0EBF}"/>
              </c:ext>
            </c:extLst>
          </c:dPt>
          <c:dPt>
            <c:idx val="5"/>
            <c:spPr>
              <a:solidFill>
                <a:schemeClr val="accent1">
                  <a:lumMod val="50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9-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A-2E32-48A1-8EBB-56BFB93C0EBF}"/>
            </c:ext>
          </c:extLst>
        </c:ser>
        <c:ser>
          <c:idx val="7"/>
          <c:order val="3"/>
          <c:tx>
            <c:strRef>
              <c:f>Sheet1!$A$9</c:f>
              <c:strCache>
                <c:ptCount val="1"/>
                <c:pt idx="0">
                  <c:v>Implementation Progress Ratings for Active Projects </c:v>
                </c:pt>
              </c:strCache>
            </c:strRef>
          </c:tx>
          <c:dPt>
            <c:idx val="0"/>
            <c:spPr>
              <a:solidFill>
                <a:schemeClr val="accent1"/>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C-2E32-48A1-8EBB-56BFB93C0EBF}"/>
              </c:ext>
            </c:extLst>
          </c:dPt>
          <c:dPt>
            <c:idx val="1"/>
            <c:spPr>
              <a:solidFill>
                <a:schemeClr val="accent2"/>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E-2E32-48A1-8EBB-56BFB93C0EBF}"/>
              </c:ext>
            </c:extLst>
          </c:dPt>
          <c:dPt>
            <c:idx val="2"/>
            <c:spPr>
              <a:solidFill>
                <a:schemeClr val="accent3"/>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0-2E32-48A1-8EBB-56BFB93C0EBF}"/>
              </c:ext>
            </c:extLst>
          </c:dPt>
          <c:dPt>
            <c:idx val="3"/>
            <c:spPr>
              <a:solidFill>
                <a:schemeClr val="accent4"/>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2-2E32-48A1-8EBB-56BFB93C0EBF}"/>
              </c:ext>
            </c:extLst>
          </c:dPt>
          <c:dPt>
            <c:idx val="4"/>
            <c:spPr>
              <a:solidFill>
                <a:schemeClr val="accent5"/>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4-2E32-48A1-8EBB-56BFB93C0EBF}"/>
              </c:ext>
            </c:extLst>
          </c:dPt>
          <c:dPt>
            <c:idx val="5"/>
            <c:spPr>
              <a:solidFill>
                <a:schemeClr val="accent6"/>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6-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7-2E32-48A1-8EBB-56BFB93C0EBF}"/>
            </c:ext>
          </c:extLst>
        </c:ser>
        <c:ser>
          <c:idx val="2"/>
          <c:order val="4"/>
          <c:tx>
            <c:strRef>
              <c:f>Sheet1!$A$8</c:f>
              <c:strCache>
                <c:ptCount val="1"/>
                <c:pt idx="0">
                  <c:v>Development Objective Ratings for Active Projects </c:v>
                </c:pt>
              </c:strCache>
            </c:strRef>
          </c:tx>
          <c:dPt>
            <c:idx val="0"/>
            <c:spPr>
              <a:solidFill>
                <a:schemeClr val="accent6">
                  <a:lumMod val="50000"/>
                </a:schemeClr>
              </a:solidFill>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9-2E32-48A1-8EBB-56BFB93C0EBF}"/>
              </c:ext>
            </c:extLst>
          </c:dPt>
          <c:dPt>
            <c:idx val="1"/>
            <c:spPr>
              <a:solidFill>
                <a:schemeClr val="accent6">
                  <a:lumMod val="75000"/>
                </a:schemeClr>
              </a:solidFill>
              <a:ln w="6350"/>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B-2E32-48A1-8EBB-56BFB93C0EBF}"/>
              </c:ext>
            </c:extLst>
          </c:dPt>
          <c:dPt>
            <c:idx val="2"/>
            <c:spPr>
              <a:solidFill>
                <a:schemeClr val="accent6">
                  <a:lumMod val="60000"/>
                  <a:lumOff val="40000"/>
                </a:schemeClr>
              </a:solidFill>
              <a:ln w="6350"/>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D-2E32-48A1-8EBB-56BFB93C0EBF}"/>
              </c:ext>
            </c:extLst>
          </c:dPt>
          <c:dPt>
            <c:idx val="3"/>
            <c:spPr>
              <a:solidFill>
                <a:schemeClr val="accent1">
                  <a:lumMod val="60000"/>
                  <a:lumOff val="40000"/>
                </a:schemeClr>
              </a:solidFill>
              <a:ln w="6350"/>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2F-2E32-48A1-8EBB-56BFB93C0EBF}"/>
              </c:ext>
            </c:extLst>
          </c:dPt>
          <c:dPt>
            <c:idx val="4"/>
            <c:spPr>
              <a:solidFill>
                <a:schemeClr val="accent1">
                  <a:lumMod val="75000"/>
                </a:schemeClr>
              </a:solidFill>
              <a:ln w="6350"/>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1-2E32-48A1-8EBB-56BFB93C0EBF}"/>
              </c:ext>
            </c:extLst>
          </c:dPt>
          <c:dPt>
            <c:idx val="5"/>
            <c:spPr>
              <a:solidFill>
                <a:schemeClr val="accent1">
                  <a:lumMod val="50000"/>
                </a:schemeClr>
              </a:solidFill>
              <a:ln w="6350"/>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3-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4-2E32-48A1-8EBB-56BFB93C0EBF}"/>
            </c:ext>
          </c:extLst>
        </c:ser>
        <c:ser>
          <c:idx val="3"/>
          <c:order val="5"/>
          <c:tx>
            <c:strRef>
              <c:f>Sheet1!$A$9</c:f>
              <c:strCache>
                <c:ptCount val="1"/>
                <c:pt idx="0">
                  <c:v>Implementation Progress Ratings for Active Projects </c:v>
                </c:pt>
              </c:strCache>
            </c:strRef>
          </c:tx>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5-2E32-48A1-8EBB-56BFB93C0EBF}"/>
            </c:ext>
          </c:extLst>
        </c:ser>
        <c:ser>
          <c:idx val="0"/>
          <c:order val="6"/>
          <c:tx>
            <c:strRef>
              <c:f>Sheet1!$A$8</c:f>
              <c:strCache>
                <c:ptCount val="1"/>
                <c:pt idx="0">
                  <c:v>Development Objective Ratings for Active Projects </c:v>
                </c:pt>
              </c:strCache>
            </c:strRef>
          </c:tx>
          <c:dPt>
            <c:idx val="0"/>
            <c:spPr>
              <a:solidFill>
                <a:schemeClr val="accent6">
                  <a:lumMod val="50000"/>
                </a:schemeClr>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7-2E32-48A1-8EBB-56BFB93C0EBF}"/>
              </c:ext>
            </c:extLst>
          </c:dPt>
          <c:dPt>
            <c:idx val="1"/>
            <c:spPr>
              <a:solidFill>
                <a:schemeClr val="accent6">
                  <a:lumMod val="75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9-2E32-48A1-8EBB-56BFB93C0EBF}"/>
              </c:ext>
            </c:extLst>
          </c:dPt>
          <c:dPt>
            <c:idx val="2"/>
            <c:spPr>
              <a:solidFill>
                <a:schemeClr val="accent6">
                  <a:lumMod val="60000"/>
                  <a:lumOff val="40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B-2E32-48A1-8EBB-56BFB93C0EBF}"/>
              </c:ext>
            </c:extLst>
          </c:dPt>
          <c:dPt>
            <c:idx val="3"/>
            <c:spPr>
              <a:solidFill>
                <a:schemeClr val="accent1">
                  <a:lumMod val="60000"/>
                  <a:lumOff val="40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D-2E32-48A1-8EBB-56BFB93C0EBF}"/>
              </c:ext>
            </c:extLst>
          </c:dPt>
          <c:dPt>
            <c:idx val="4"/>
            <c:spPr>
              <a:solidFill>
                <a:schemeClr val="accent1">
                  <a:lumMod val="75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3F-2E32-48A1-8EBB-56BFB93C0EBF}"/>
              </c:ext>
            </c:extLst>
          </c:dPt>
          <c:dPt>
            <c:idx val="5"/>
            <c:spPr>
              <a:solidFill>
                <a:schemeClr val="accent1">
                  <a:lumMod val="50000"/>
                </a:schemeClr>
              </a:solidFill>
              <a:ln w="63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1-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2-2E32-48A1-8EBB-56BFB93C0EBF}"/>
            </c:ext>
          </c:extLst>
        </c:ser>
        <c:ser>
          <c:idx val="1"/>
          <c:order val="7"/>
          <c:tx>
            <c:strRef>
              <c:f>Sheet1!$A$9</c:f>
              <c:strCache>
                <c:ptCount val="1"/>
                <c:pt idx="0">
                  <c:v>Implementation Progress Ratings for Active Projects </c:v>
                </c:pt>
              </c:strCache>
            </c:strRef>
          </c:tx>
          <c:dPt>
            <c:idx val="0"/>
            <c:spPr>
              <a:solidFill>
                <a:schemeClr val="accent1"/>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4-2E32-48A1-8EBB-56BFB93C0EBF}"/>
              </c:ext>
            </c:extLst>
          </c:dPt>
          <c:dPt>
            <c:idx val="1"/>
            <c:spPr>
              <a:solidFill>
                <a:schemeClr val="accent2"/>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6-2E32-48A1-8EBB-56BFB93C0EBF}"/>
              </c:ext>
            </c:extLst>
          </c:dPt>
          <c:dPt>
            <c:idx val="2"/>
            <c:spPr>
              <a:solidFill>
                <a:schemeClr val="accent3"/>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8-2E32-48A1-8EBB-56BFB93C0EBF}"/>
              </c:ext>
            </c:extLst>
          </c:dPt>
          <c:dPt>
            <c:idx val="3"/>
            <c:spPr>
              <a:solidFill>
                <a:schemeClr val="accent4"/>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A-2E32-48A1-8EBB-56BFB93C0EBF}"/>
              </c:ext>
            </c:extLst>
          </c:dPt>
          <c:dPt>
            <c:idx val="4"/>
            <c:spPr>
              <a:solidFill>
                <a:schemeClr val="accent5"/>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C-2E32-48A1-8EBB-56BFB93C0EBF}"/>
              </c:ext>
            </c:extLst>
          </c:dPt>
          <c:dPt>
            <c:idx val="5"/>
            <c:spPr>
              <a:solidFill>
                <a:schemeClr val="accent6"/>
              </a:solidFill>
              <a:ln w="19050">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E-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4F-2E32-48A1-8EBB-56BFB93C0EBF}"/>
            </c:ext>
          </c:extLst>
        </c:ser>
        <c:firstSliceAng val="0"/>
      </c:pieChart>
    </c:plotArea>
    <c:legend>
      <c:legendPos val="r"/>
      <c:legendEntry>
        <c:idx val="1"/>
        <c:delete val="1"/>
      </c:legendEntry>
      <c:layout>
        <c:manualLayout>
          <c:xMode val="edge"/>
          <c:yMode val="edge"/>
          <c:x val="0.54621497894158577"/>
          <c:y val="0.3347217467381795"/>
          <c:w val="0.34985577833698667"/>
          <c:h val="0.49356169650768222"/>
        </c:manualLayout>
      </c:layout>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chart>
  <c:spPr>
    <a:ln>
      <a:noFill/>
    </a:ln>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ru-RU" b="0" i="0" u="none" baseline="0"/>
              <a:t>Оценка прогресса в реализации</a:t>
            </a:r>
          </a:p>
          <a:p>
            <a:pPr rtl="0">
              <a:defRPr sz="1400" b="0" i="0" u="none" strike="noStrike" kern="1200" spc="0" baseline="0">
                <a:solidFill>
                  <a:schemeClr val="tx1">
                    <a:lumMod val="65000"/>
                    <a:lumOff val="35000"/>
                  </a:schemeClr>
                </a:solidFill>
                <a:latin typeface="+mn-lt"/>
                <a:ea typeface="+mn-ea"/>
                <a:cs typeface="+mn-cs"/>
              </a:defRPr>
            </a:pPr>
            <a:r>
              <a:rPr lang="ru-RU" sz="1100" b="0" i="0" u="none" baseline="0"/>
              <a:t>(82% получили умеренно удовлетворительную оценку или выше)</a:t>
            </a:r>
            <a:endParaRPr lang="ru-RU" sz="1100"/>
          </a:p>
        </c:rich>
      </c:tx>
      <c:spPr>
        <a:noFill/>
        <a:ln>
          <a:noFill/>
        </a:ln>
        <a:effectLst/>
      </c:spPr>
    </c:title>
    <c:plotArea>
      <c:layout>
        <c:manualLayout>
          <c:layoutTarget val="inner"/>
          <c:xMode val="edge"/>
          <c:yMode val="edge"/>
          <c:x val="0.1601128378190082"/>
          <c:y val="0.23476635514018723"/>
          <c:w val="0.38184724283594074"/>
          <c:h val="0.69462097611630436"/>
        </c:manualLayout>
      </c:layout>
      <c:pieChart>
        <c:varyColors val="1"/>
        <c:ser>
          <c:idx val="1"/>
          <c:order val="0"/>
          <c:tx>
            <c:strRef>
              <c:f>Sheet1!$A$9</c:f>
              <c:strCache>
                <c:ptCount val="1"/>
                <c:pt idx="0">
                  <c:v>Implementation Progress Ratings for Active Projects </c:v>
                </c:pt>
              </c:strCache>
            </c:strRef>
          </c:tx>
          <c:spPr>
            <a:solidFill>
              <a:schemeClr val="accent6">
                <a:lumMod val="75000"/>
              </a:schemeClr>
            </a:solidFill>
            <a:ln w="3175"/>
          </c:spPr>
          <c:dPt>
            <c:idx val="0"/>
            <c:spPr>
              <a:solidFill>
                <a:schemeClr val="accent6">
                  <a:lumMod val="5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1-B9E7-42C3-BDE6-560846DE58AD}"/>
              </c:ext>
            </c:extLst>
          </c:dPt>
          <c:dPt>
            <c:idx val="1"/>
            <c:spPr>
              <a:solidFill>
                <a:schemeClr val="accent6">
                  <a:lumMod val="75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3-B9E7-42C3-BDE6-560846DE58AD}"/>
              </c:ext>
            </c:extLst>
          </c:dPt>
          <c:dPt>
            <c:idx val="2"/>
            <c:spPr>
              <a:solidFill>
                <a:schemeClr val="accent6">
                  <a:lumMod val="60000"/>
                  <a:lumOff val="4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5-B9E7-42C3-BDE6-560846DE58AD}"/>
              </c:ext>
            </c:extLst>
          </c:dPt>
          <c:dPt>
            <c:idx val="3"/>
            <c:spPr>
              <a:solidFill>
                <a:schemeClr val="accent1">
                  <a:lumMod val="60000"/>
                  <a:lumOff val="4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7-B9E7-42C3-BDE6-560846DE58AD}"/>
              </c:ext>
            </c:extLst>
          </c:dPt>
          <c:dPt>
            <c:idx val="4"/>
            <c:spPr>
              <a:solidFill>
                <a:schemeClr val="accent1">
                  <a:lumMod val="75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9-B9E7-42C3-BDE6-560846DE58AD}"/>
              </c:ext>
            </c:extLst>
          </c:dPt>
          <c:dPt>
            <c:idx val="5"/>
            <c:spPr>
              <a:solidFill>
                <a:schemeClr val="accent1">
                  <a:lumMod val="5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B-B9E7-42C3-BDE6-560846DE58AD}"/>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C-B9E7-42C3-BDE6-560846DE58AD}"/>
            </c:ext>
          </c:extLst>
        </c:ser>
        <c:firstSliceAng val="0"/>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02D57815-91ED-43cb-92C2-25804820EDAC}">
            <c15:filteredPieSeries>
              <c15:ser>
                <c:idx val="0"/>
                <c:order val="0"/>
                <c:tx>
                  <c:strRef>
                    <c:extLst>
                      <c:ext uri="{02D57815-91ED-43cb-92C2-25804820EDAC}">
                        <c15:formulaRef>
                          <c15:sqref>Sheet1!$A$8</c15:sqref>
                        </c15:formulaRef>
                      </c:ext>
                    </c:extLst>
                    <c:strCache>
                      <c:ptCount val="1"/>
                      <c:pt idx="0">
                        <c:v>Development Objective Ratings for Active Projects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B9E7-42C3-BDE6-560846DE58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B9E7-42C3-BDE6-560846DE58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B9E7-42C3-BDE6-560846DE58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B9E7-42C3-BDE6-560846DE58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B9E7-42C3-BDE6-560846DE58A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B9E7-42C3-BDE6-560846DE58AD}"/>
                    </c:ext>
                  </c:extLst>
                </c:dPt>
                <c:cat>
                  <c:strRef>
                    <c:extLst>
                      <c:ext uri="{02D57815-91ED-43cb-92C2-25804820EDAC}">
                        <c15:formulaRef>
                          <c15:sqref>Sheet1!$B$7:$G$7</c15:sqref>
                        </c15:formulaRef>
                      </c:ext>
                    </c:extLst>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extLst>
                      <c:ext uri="{02D57815-91ED-43cb-92C2-25804820EDAC}">
                        <c15:formulaRef>
                          <c15:sqref>Sheet1!$B$8:$G$8</c15:sqref>
                        </c15:formulaRef>
                      </c:ext>
                    </c:extLst>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19-B9E7-42C3-BDE6-560846DE58AD}"/>
                  </c:ext>
                </c:extLst>
              </c15:ser>
            </c15:filteredPieSeries>
          </c:ext>
        </c:extLst>
      </c:pieChart>
      <c:spPr>
        <a:noFill/>
        <a:ln>
          <a:noFill/>
        </a:ln>
        <a:effectLst/>
      </c:spPr>
    </c:plotArea>
    <c:legend>
      <c:legendPos val="r"/>
      <c:layout>
        <c:manualLayout>
          <c:xMode val="edge"/>
          <c:yMode val="edge"/>
          <c:x val="0.58950625737000251"/>
          <c:y val="0.3563736780459455"/>
          <c:w val="0.31159175773770498"/>
          <c:h val="0.42056369122084147"/>
        </c:manualLayout>
      </c:layout>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2452427821522412"/>
          <c:y val="0.23460177697382417"/>
          <c:w val="0.65388283195369912"/>
          <c:h val="0.72238763123359706"/>
        </c:manualLayout>
      </c:layout>
      <c:barChart>
        <c:barDir val="bar"/>
        <c:grouping val="stacked"/>
        <c:ser>
          <c:idx val="0"/>
          <c:order val="0"/>
          <c:tx>
            <c:strRef>
              <c:f>'DO.IP FA '!$F$22</c:f>
              <c:strCache>
                <c:ptCount val="1"/>
                <c:pt idx="0">
                  <c:v>White space</c:v>
                </c:pt>
              </c:strCache>
            </c:strRef>
          </c:tx>
          <c:spPr>
            <a:noFill/>
            <a:ln>
              <a:noFill/>
            </a:ln>
            <a:effectLst/>
          </c:spPr>
          <c:cat>
            <c:strRef>
              <c:f>'DO.IP FA '!$A$23:$A$30</c:f>
              <c:strCache>
                <c:ptCount val="7"/>
                <c:pt idx="1">
                  <c:v>Land Degradation</c:v>
                </c:pt>
                <c:pt idx="2">
                  <c:v>Chemicals &amp; Waste</c:v>
                </c:pt>
                <c:pt idx="3">
                  <c:v>Multi-focal Area</c:v>
                </c:pt>
                <c:pt idx="4">
                  <c:v>Biodiversity</c:v>
                </c:pt>
                <c:pt idx="5">
                  <c:v>Climate Change</c:v>
                </c:pt>
                <c:pt idx="6">
                  <c:v>International Waters</c:v>
                </c:pt>
              </c:strCache>
            </c:strRef>
          </c:cat>
          <c:val>
            <c:numRef>
              <c:f>'DO.IP FA '!$F$23:$F$30</c:f>
              <c:numCache>
                <c:formatCode>0%</c:formatCode>
                <c:ptCount val="8"/>
                <c:pt idx="0">
                  <c:v>0.8</c:v>
                </c:pt>
                <c:pt idx="1">
                  <c:v>0.8</c:v>
                </c:pt>
                <c:pt idx="2">
                  <c:v>0.8</c:v>
                </c:pt>
                <c:pt idx="3">
                  <c:v>0.8</c:v>
                </c:pt>
                <c:pt idx="4">
                  <c:v>0.8</c:v>
                </c:pt>
                <c:pt idx="5">
                  <c:v>0.8</c:v>
                </c:pt>
                <c:pt idx="6">
                  <c:v>0.8</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02D57815-91ED-43cb-92C2-25804820EDAC}">
              <c15:datalabelsRange>
                <c15:f>'DO.IP FA '!$C$23:$C$30</c15:f>
                <c15:dlblRangeCache>
                  <c:ptCount val="8"/>
                  <c:pt idx="1">
                    <c:v>53 projects</c:v>
                  </c:pt>
                  <c:pt idx="2">
                    <c:v>80 projects</c:v>
                  </c:pt>
                  <c:pt idx="3">
                    <c:v>158 projects</c:v>
                  </c:pt>
                  <c:pt idx="4">
                    <c:v>154 projects</c:v>
                  </c:pt>
                  <c:pt idx="5">
                    <c:v>195 projects</c:v>
                  </c:pt>
                  <c:pt idx="6">
                    <c:v>35 projects</c:v>
                  </c:pt>
                </c15:dlblRangeCache>
              </c15:datalabelsRange>
            </c:ext>
            <c:ext xmlns:c16="http://schemas.microsoft.com/office/drawing/2014/chart" uri="{C3380CC4-5D6E-409C-BE32-E72D297353CC}">
              <c16:uniqueId val="{00000008-4CF2-40A6-AD9B-8E00BFD19474}"/>
            </c:ext>
          </c:extLst>
        </c:ser>
        <c:ser>
          <c:idx val="1"/>
          <c:order val="1"/>
          <c:tx>
            <c:strRef>
              <c:f>'DO.IP FA '!$G$22</c:f>
              <c:strCache>
                <c:ptCount val="1"/>
                <c:pt idx="0">
                  <c:v>Implementation Progress</c:v>
                </c:pt>
              </c:strCache>
            </c:strRef>
          </c:tx>
          <c:spPr>
            <a:solidFill>
              <a:srgbClr val="0E693D"/>
            </a:solidFill>
            <a:ln>
              <a:solidFill>
                <a:schemeClr val="bg1"/>
              </a:solidFill>
            </a:ln>
            <a:effectLst/>
          </c:spPr>
          <c:dLbls>
            <c:dLbl>
              <c:idx val="0"/>
              <c:layout>
                <c:manualLayout>
                  <c:x val="1.9309132968548425E-2"/>
                  <c:y val="5.4229934924078189E-2"/>
                </c:manualLayout>
              </c:layout>
              <c:dLblPos val="ctr"/>
              <c:showVal val="1"/>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CE6537A1-D6FC-4f65-9D91-7224C49458BB}"/>
                <c:ext xmlns:c16="http://schemas.microsoft.com/office/drawing/2014/chart" uri="{C3380CC4-5D6E-409C-BE32-E72D297353CC}">
                  <c16:uniqueId val="{00000009-4CF2-40A6-AD9B-8E00BFD19474}"/>
                </c:ext>
              </c:extLst>
            </c:dLbl>
            <c:spPr>
              <a:noFill/>
              <a:ln>
                <a:noFill/>
              </a:ln>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bg1"/>
                    </a:solidFill>
                    <a:latin typeface="+mn-lt"/>
                    <a:ea typeface="+mn-ea"/>
                    <a:cs typeface="+mn-cs"/>
                  </a:defRPr>
                </a:pPr>
                <a:endParaRPr lang="ru-RU"/>
              </a:p>
            </c:txPr>
            <c:dLblPos val="inEnd"/>
            <c:showVal val="1"/>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CE6537A1-D6FC-4f65-9D91-7224C49458BB}">
                <c15:showLeaderLines val="0"/>
              </c:ext>
            </c:extLst>
          </c:dLbls>
          <c:cat>
            <c:strRef>
              <c:f>'DO.IP FA '!$A$23:$A$30</c:f>
              <c:strCache>
                <c:ptCount val="7"/>
                <c:pt idx="1">
                  <c:v>Land Degradation</c:v>
                </c:pt>
                <c:pt idx="2">
                  <c:v>Chemicals &amp; Waste</c:v>
                </c:pt>
                <c:pt idx="3">
                  <c:v>Multi-focal Area</c:v>
                </c:pt>
                <c:pt idx="4">
                  <c:v>Biodiversity</c:v>
                </c:pt>
                <c:pt idx="5">
                  <c:v>Climate Change</c:v>
                </c:pt>
                <c:pt idx="6">
                  <c:v>International Waters</c:v>
                </c:pt>
              </c:strCache>
            </c:strRef>
          </c:cat>
          <c:val>
            <c:numRef>
              <c:f>'DO.IP FA '!$G$23:$G$30</c:f>
              <c:numCache>
                <c:formatCode>0%</c:formatCode>
                <c:ptCount val="8"/>
                <c:pt idx="0">
                  <c:v>0</c:v>
                </c:pt>
                <c:pt idx="1">
                  <c:v>0.91</c:v>
                </c:pt>
                <c:pt idx="2">
                  <c:v>0.86000000000000065</c:v>
                </c:pt>
                <c:pt idx="3">
                  <c:v>0.84000000000000064</c:v>
                </c:pt>
                <c:pt idx="4">
                  <c:v>0.84000000000000064</c:v>
                </c:pt>
                <c:pt idx="5">
                  <c:v>0.8</c:v>
                </c:pt>
                <c:pt idx="6">
                  <c:v>0.71000000000000063</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A-4CF2-40A6-AD9B-8E00BFD19474}"/>
            </c:ext>
          </c:extLst>
        </c:ser>
        <c:ser>
          <c:idx val="2"/>
          <c:order val="2"/>
          <c:tx>
            <c:strRef>
              <c:f>'DO.IP FA '!$H$22</c:f>
              <c:strCache>
                <c:ptCount val="1"/>
                <c:pt idx="0">
                  <c:v>Gray Shading</c:v>
                </c:pt>
              </c:strCache>
            </c:strRef>
          </c:tx>
          <c:spPr>
            <a:solidFill>
              <a:schemeClr val="bg1">
                <a:lumMod val="85000"/>
              </a:schemeClr>
            </a:solidFill>
            <a:ln>
              <a:solidFill>
                <a:schemeClr val="bg1"/>
              </a:solidFill>
            </a:ln>
            <a:effectLst/>
          </c:spPr>
          <c:cat>
            <c:strRef>
              <c:f>'DO.IP FA '!$A$23:$A$30</c:f>
              <c:strCache>
                <c:ptCount val="7"/>
                <c:pt idx="1">
                  <c:v>Land Degradation</c:v>
                </c:pt>
                <c:pt idx="2">
                  <c:v>Chemicals &amp; Waste</c:v>
                </c:pt>
                <c:pt idx="3">
                  <c:v>Multi-focal Area</c:v>
                </c:pt>
                <c:pt idx="4">
                  <c:v>Biodiversity</c:v>
                </c:pt>
                <c:pt idx="5">
                  <c:v>Climate Change</c:v>
                </c:pt>
                <c:pt idx="6">
                  <c:v>International Waters</c:v>
                </c:pt>
              </c:strCache>
            </c:strRef>
          </c:cat>
          <c:val>
            <c:numRef>
              <c:f>'DO.IP FA '!$H$23:$H$30</c:f>
              <c:numCache>
                <c:formatCode>0%</c:formatCode>
                <c:ptCount val="8"/>
                <c:pt idx="0">
                  <c:v>0</c:v>
                </c:pt>
                <c:pt idx="1">
                  <c:v>7.0175438596491224E-2</c:v>
                </c:pt>
                <c:pt idx="2">
                  <c:v>0.12000000000000002</c:v>
                </c:pt>
                <c:pt idx="3">
                  <c:v>0.15053763440860221</c:v>
                </c:pt>
                <c:pt idx="4">
                  <c:v>0.15384615384615424</c:v>
                </c:pt>
                <c:pt idx="5">
                  <c:v>0.20731707317073192</c:v>
                </c:pt>
                <c:pt idx="6">
                  <c:v>0.25531914893617025</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B-4CF2-40A6-AD9B-8E00BFD19474}"/>
            </c:ext>
          </c:extLst>
        </c:ser>
        <c:ser>
          <c:idx val="3"/>
          <c:order val="3"/>
          <c:tx>
            <c:strRef>
              <c:f>'DO.IP FA '!$I$22</c:f>
              <c:strCache>
                <c:ptCount val="1"/>
                <c:pt idx="0">
                  <c:v>White Space</c:v>
                </c:pt>
              </c:strCache>
            </c:strRef>
          </c:tx>
          <c:spPr>
            <a:noFill/>
            <a:ln>
              <a:noFill/>
            </a:ln>
            <a:effectLst/>
          </c:spPr>
          <c:cat>
            <c:strRef>
              <c:f>'DO.IP FA '!$A$23:$A$30</c:f>
              <c:strCache>
                <c:ptCount val="7"/>
                <c:pt idx="1">
                  <c:v>Land Degradation</c:v>
                </c:pt>
                <c:pt idx="2">
                  <c:v>Chemicals &amp; Waste</c:v>
                </c:pt>
                <c:pt idx="3">
                  <c:v>Multi-focal Area</c:v>
                </c:pt>
                <c:pt idx="4">
                  <c:v>Biodiversity</c:v>
                </c:pt>
                <c:pt idx="5">
                  <c:v>Climate Change</c:v>
                </c:pt>
                <c:pt idx="6">
                  <c:v>International Waters</c:v>
                </c:pt>
              </c:strCache>
            </c:strRef>
          </c:cat>
          <c:val>
            <c:numRef>
              <c:f>'DO.IP FA '!$I$23:$I$30</c:f>
              <c:numCache>
                <c:formatCode>0%</c:formatCode>
                <c:ptCount val="8"/>
                <c:pt idx="0">
                  <c:v>2.1</c:v>
                </c:pt>
                <c:pt idx="1">
                  <c:v>1</c:v>
                </c:pt>
                <c:pt idx="2">
                  <c:v>1</c:v>
                </c:pt>
                <c:pt idx="3">
                  <c:v>1</c:v>
                </c:pt>
                <c:pt idx="4">
                  <c:v>1</c:v>
                </c:pt>
                <c:pt idx="5">
                  <c:v>1</c:v>
                </c:pt>
                <c:pt idx="6">
                  <c:v>1</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02D57815-91ED-43cb-92C2-25804820EDAC}">
              <c15:datalabelsRange>
                <c15:f>'DO.IP FA '!$E$23:$E$30</c15:f>
                <c15:dlblRangeCache>
                  <c:ptCount val="8"/>
                  <c:pt idx="1">
                    <c:v>52 projects</c:v>
                  </c:pt>
                  <c:pt idx="2">
                    <c:v>81 projects</c:v>
                  </c:pt>
                  <c:pt idx="3">
                    <c:v>170 projects</c:v>
                  </c:pt>
                  <c:pt idx="4">
                    <c:v>161 projects</c:v>
                  </c:pt>
                  <c:pt idx="5">
                    <c:v>215 projects</c:v>
                  </c:pt>
                  <c:pt idx="6">
                    <c:v>37 projects</c:v>
                  </c:pt>
                </c15:dlblRangeCache>
              </c15:datalabelsRange>
            </c:ext>
            <c:ext xmlns:c16="http://schemas.microsoft.com/office/drawing/2014/chart" uri="{C3380CC4-5D6E-409C-BE32-E72D297353CC}">
              <c16:uniqueId val="{00000014-4CF2-40A6-AD9B-8E00BFD19474}"/>
            </c:ext>
          </c:extLst>
        </c:ser>
        <c:ser>
          <c:idx val="4"/>
          <c:order val="4"/>
          <c:tx>
            <c:strRef>
              <c:f>'DO.IP FA '!$J$22</c:f>
              <c:strCache>
                <c:ptCount val="1"/>
                <c:pt idx="0">
                  <c:v>Development Objective</c:v>
                </c:pt>
              </c:strCache>
            </c:strRef>
          </c:tx>
          <c:spPr>
            <a:solidFill>
              <a:srgbClr val="0F6CB6"/>
            </a:solidFill>
            <a:ln>
              <a:solidFill>
                <a:schemeClr val="bg1"/>
              </a:solidFill>
            </a:ln>
            <a:effectLst/>
          </c:spPr>
          <c:dLbls>
            <c:dLbl>
              <c:idx val="0"/>
              <c:layout>
                <c:manualLayout>
                  <c:x val="-3.0125895280039242E-2"/>
                  <c:y val="8.3152566883586618E-2"/>
                </c:manualLayout>
              </c:layout>
              <c:dLblPos val="ctr"/>
              <c:showVal val="1"/>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CE6537A1-D6FC-4f65-9D91-7224C49458BB}"/>
                <c:ext xmlns:c16="http://schemas.microsoft.com/office/drawing/2014/chart" uri="{C3380CC4-5D6E-409C-BE32-E72D297353CC}">
                  <c16:uniqueId val="{00000015-4CF2-40A6-AD9B-8E00BFD19474}"/>
                </c:ext>
              </c:extLst>
            </c:dLbl>
            <c:spPr>
              <a:noFill/>
              <a:ln>
                <a:noFill/>
              </a:ln>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bg1"/>
                    </a:solidFill>
                    <a:latin typeface="+mn-lt"/>
                    <a:ea typeface="+mn-ea"/>
                    <a:cs typeface="+mn-cs"/>
                  </a:defRPr>
                </a:pPr>
                <a:endParaRPr lang="ru-RU"/>
              </a:p>
            </c:txPr>
            <c:dLblPos val="inEnd"/>
            <c:showVal val="1"/>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CE6537A1-D6FC-4f65-9D91-7224C49458BB}">
                <c15:showLeaderLines val="0"/>
              </c:ext>
            </c:extLst>
          </c:dLbls>
          <c:cat>
            <c:strRef>
              <c:f>'DO.IP FA '!$A$23:$A$30</c:f>
              <c:strCache>
                <c:ptCount val="7"/>
                <c:pt idx="1">
                  <c:v>Land Degradation</c:v>
                </c:pt>
                <c:pt idx="2">
                  <c:v>Chemicals &amp; Waste</c:v>
                </c:pt>
                <c:pt idx="3">
                  <c:v>Multi-focal Area</c:v>
                </c:pt>
                <c:pt idx="4">
                  <c:v>Biodiversity</c:v>
                </c:pt>
                <c:pt idx="5">
                  <c:v>Climate Change</c:v>
                </c:pt>
                <c:pt idx="6">
                  <c:v>International Waters</c:v>
                </c:pt>
              </c:strCache>
            </c:strRef>
          </c:cat>
          <c:val>
            <c:numRef>
              <c:f>'DO.IP FA '!$J$23:$J$30</c:f>
              <c:numCache>
                <c:formatCode>0%</c:formatCode>
                <c:ptCount val="8"/>
                <c:pt idx="0">
                  <c:v>0</c:v>
                </c:pt>
                <c:pt idx="1">
                  <c:v>0.94000000000000061</c:v>
                </c:pt>
                <c:pt idx="2">
                  <c:v>0.93</c:v>
                </c:pt>
                <c:pt idx="3">
                  <c:v>0.9</c:v>
                </c:pt>
                <c:pt idx="4">
                  <c:v>0.84000000000000064</c:v>
                </c:pt>
                <c:pt idx="5">
                  <c:v>0.87000000000000088</c:v>
                </c:pt>
                <c:pt idx="6">
                  <c:v>0.8</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6-4CF2-40A6-AD9B-8E00BFD19474}"/>
            </c:ext>
          </c:extLst>
        </c:ser>
        <c:ser>
          <c:idx val="5"/>
          <c:order val="5"/>
          <c:tx>
            <c:strRef>
              <c:f>'DO.IP FA '!$K$22</c:f>
              <c:strCache>
                <c:ptCount val="1"/>
                <c:pt idx="0">
                  <c:v>Gray Shading</c:v>
                </c:pt>
              </c:strCache>
            </c:strRef>
          </c:tx>
          <c:spPr>
            <a:solidFill>
              <a:schemeClr val="bg1">
                <a:lumMod val="85000"/>
              </a:schemeClr>
            </a:solidFill>
            <a:ln>
              <a:solidFill>
                <a:schemeClr val="bg1"/>
              </a:solidFill>
            </a:ln>
            <a:effectLst/>
          </c:spPr>
          <c:cat>
            <c:strRef>
              <c:f>'DO.IP FA '!$A$23:$A$30</c:f>
              <c:strCache>
                <c:ptCount val="7"/>
                <c:pt idx="1">
                  <c:v>Land Degradation</c:v>
                </c:pt>
                <c:pt idx="2">
                  <c:v>Chemicals &amp; Waste</c:v>
                </c:pt>
                <c:pt idx="3">
                  <c:v>Multi-focal Area</c:v>
                </c:pt>
                <c:pt idx="4">
                  <c:v>Biodiversity</c:v>
                </c:pt>
                <c:pt idx="5">
                  <c:v>Climate Change</c:v>
                </c:pt>
                <c:pt idx="6">
                  <c:v>International Waters</c:v>
                </c:pt>
              </c:strCache>
            </c:strRef>
          </c:cat>
          <c:val>
            <c:numRef>
              <c:f>'DO.IP FA '!$K$23:$K$30</c:f>
              <c:numCache>
                <c:formatCode>0%</c:formatCode>
                <c:ptCount val="8"/>
                <c:pt idx="0">
                  <c:v>0</c:v>
                </c:pt>
                <c:pt idx="1">
                  <c:v>8.7719298245614086E-2</c:v>
                </c:pt>
                <c:pt idx="2">
                  <c:v>0</c:v>
                </c:pt>
                <c:pt idx="3">
                  <c:v>8.6021505376344246E-2</c:v>
                </c:pt>
                <c:pt idx="4">
                  <c:v>0.11538461538461542</c:v>
                </c:pt>
                <c:pt idx="5">
                  <c:v>0.12601626016260187</c:v>
                </c:pt>
                <c:pt idx="6">
                  <c:v>0.21276595744680879</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17-4CF2-40A6-AD9B-8E00BFD19474}"/>
            </c:ext>
          </c:extLst>
        </c:ser>
        <c:gapWidth val="40"/>
        <c:overlap val="100"/>
        <c:axId val="186928512"/>
        <c:axId val="186950784"/>
      </c:barChart>
      <c:catAx>
        <c:axId val="186928512"/>
        <c:scaling>
          <c:orientation val="maxMin"/>
        </c:scaling>
        <c:axPos val="l"/>
        <c:numFmt formatCode="General" sourceLinked="1"/>
        <c:majorTickMark val="none"/>
        <c:tickLblPos val="nextTo"/>
        <c:spPr>
          <a:noFill/>
          <a:ln w="9525" cap="flat" cmpd="sng" algn="ctr">
            <a:noFill/>
            <a:round/>
          </a:ln>
          <a:effectLst/>
        </c:spPr>
        <c:txPr>
          <a:bodyPr rot="-60000000" spcFirstLastPara="1" vertOverflow="ellipsis" vert="horz" wrap="square" anchor="ctr" anchorCtr="1"/>
          <a:lstStyle/>
          <a:p>
            <a:pPr rtl="0">
              <a:defRPr sz="1100" b="1" i="0" u="none" strike="noStrike" kern="1200" baseline="0">
                <a:solidFill>
                  <a:sysClr val="windowText" lastClr="000000"/>
                </a:solidFill>
                <a:latin typeface="+mn-lt"/>
                <a:ea typeface="+mn-ea"/>
                <a:cs typeface="+mn-cs"/>
              </a:defRPr>
            </a:pPr>
            <a:endParaRPr lang="ru-RU"/>
          </a:p>
        </c:txPr>
        <c:crossAx val="186950784"/>
        <c:crosses val="autoZero"/>
        <c:auto val="1"/>
        <c:lblAlgn val="ctr"/>
        <c:lblOffset val="100"/>
      </c:catAx>
      <c:valAx>
        <c:axId val="186950784"/>
        <c:scaling>
          <c:orientation val="minMax"/>
          <c:max val="3.8"/>
          <c:min val="0"/>
        </c:scaling>
        <c:delete val="1"/>
        <c:axPos val="t"/>
        <c:numFmt formatCode="0%" sourceLinked="1"/>
        <c:tickLblPos val="none"/>
        <c:crossAx val="186928512"/>
        <c:crosses val="autoZero"/>
        <c:crossBetween val="between"/>
        <c:majorUnit val="2.8"/>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ru-RU" b="0" i="0" u="none" baseline="0"/>
              <a:t>Прогресс в реализации проекта</a:t>
            </a:r>
          </a:p>
          <a:p>
            <a:pPr rtl="0">
              <a:defRPr sz="1400" b="0" i="0" u="none" strike="noStrike" kern="1200" spc="0" baseline="0">
                <a:solidFill>
                  <a:schemeClr val="tx1">
                    <a:lumMod val="65000"/>
                    <a:lumOff val="35000"/>
                  </a:schemeClr>
                </a:solidFill>
                <a:latin typeface="+mn-lt"/>
                <a:ea typeface="+mn-ea"/>
                <a:cs typeface="+mn-cs"/>
              </a:defRPr>
            </a:pPr>
            <a:r>
              <a:rPr lang="ru-RU" sz="1100" b="0" i="0" u="none" baseline="0"/>
              <a:t>(82% получили умеренно удовлетворительную оценку или выше)</a:t>
            </a:r>
            <a:endParaRPr lang="ru-RU" sz="1100"/>
          </a:p>
        </c:rich>
      </c:tx>
      <c:spPr>
        <a:noFill/>
        <a:ln>
          <a:noFill/>
        </a:ln>
        <a:effectLst/>
      </c:spPr>
    </c:title>
    <c:plotArea>
      <c:layout/>
      <c:pieChart>
        <c:varyColors val="1"/>
        <c:ser>
          <c:idx val="1"/>
          <c:order val="0"/>
          <c:tx>
            <c:strRef>
              <c:f>Sheet1!$C$11</c:f>
              <c:strCache>
                <c:ptCount val="1"/>
                <c:pt idx="0">
                  <c:v>Implementation Progress</c:v>
                </c:pt>
              </c:strCache>
            </c:strRef>
          </c:tx>
          <c:spPr>
            <a:ln w="3175"/>
          </c:spPr>
          <c:dPt>
            <c:idx val="0"/>
            <c:spPr>
              <a:solidFill>
                <a:schemeClr val="accent6">
                  <a:lumMod val="5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1-F60E-4790-8BA3-5B4A1CDC96A3}"/>
              </c:ext>
            </c:extLst>
          </c:dPt>
          <c:dPt>
            <c:idx val="1"/>
            <c:spPr>
              <a:solidFill>
                <a:schemeClr val="accent6">
                  <a:lumMod val="75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3-F60E-4790-8BA3-5B4A1CDC96A3}"/>
              </c:ext>
            </c:extLst>
          </c:dPt>
          <c:dPt>
            <c:idx val="2"/>
            <c:spPr>
              <a:solidFill>
                <a:schemeClr val="accent6">
                  <a:lumMod val="60000"/>
                  <a:lumOff val="4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5-F60E-4790-8BA3-5B4A1CDC96A3}"/>
              </c:ext>
            </c:extLst>
          </c:dPt>
          <c:dPt>
            <c:idx val="3"/>
            <c:spPr>
              <a:solidFill>
                <a:schemeClr val="accent1">
                  <a:lumMod val="60000"/>
                  <a:lumOff val="4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7-F60E-4790-8BA3-5B4A1CDC96A3}"/>
              </c:ext>
            </c:extLst>
          </c:dPt>
          <c:dPt>
            <c:idx val="4"/>
            <c:spPr>
              <a:solidFill>
                <a:schemeClr val="accent1">
                  <a:lumMod val="75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9-F60E-4790-8BA3-5B4A1CDC96A3}"/>
              </c:ext>
            </c:extLst>
          </c:dPt>
          <c:dPt>
            <c:idx val="5"/>
            <c:spPr>
              <a:solidFill>
                <a:schemeClr val="accent1">
                  <a:lumMod val="5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B-F60E-4790-8BA3-5B4A1CDC96A3}"/>
              </c:ext>
            </c:extLst>
          </c:dPt>
          <c:cat>
            <c:strRef>
              <c:f>Sheet1!$A$12:$A$17</c:f>
              <c:strCache>
                <c:ptCount val="6"/>
                <c:pt idx="0">
                  <c:v>Highly Satisfactory (5%)</c:v>
                </c:pt>
                <c:pt idx="1">
                  <c:v>Satisfactory (46%)</c:v>
                </c:pt>
                <c:pt idx="2">
                  <c:v>Moderately Satisfactory (31%)</c:v>
                </c:pt>
                <c:pt idx="3">
                  <c:v>Moderately Unsatisfactory (12%)</c:v>
                </c:pt>
                <c:pt idx="4">
                  <c:v>Unsatisfactory (5%)</c:v>
                </c:pt>
                <c:pt idx="5">
                  <c:v>Highly Unsatisfactory (1%)</c:v>
                </c:pt>
              </c:strCache>
            </c:strRef>
          </c:cat>
          <c:val>
            <c:numRef>
              <c:f>Sheet1!$C$12:$C$17</c:f>
              <c:numCache>
                <c:formatCode>0%</c:formatCode>
                <c:ptCount val="6"/>
                <c:pt idx="0">
                  <c:v>4.7619047619047623E-2</c:v>
                </c:pt>
                <c:pt idx="1">
                  <c:v>0.46218487394958085</c:v>
                </c:pt>
                <c:pt idx="2">
                  <c:v>0.3109243697479005</c:v>
                </c:pt>
                <c:pt idx="3">
                  <c:v>0.11764705882352942</c:v>
                </c:pt>
                <c:pt idx="4">
                  <c:v>5.3221288515406147E-2</c:v>
                </c:pt>
                <c:pt idx="5">
                  <c:v>8.403361344537813E-3</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C-F60E-4790-8BA3-5B4A1CDC96A3}"/>
            </c:ext>
          </c:extLst>
        </c:ser>
        <c:firstSliceAng val="0"/>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02D57815-91ED-43cb-92C2-25804820EDAC}">
            <c15:filteredPieSeries>
              <c15:ser>
                <c:idx val="0"/>
                <c:order val="0"/>
                <c:tx>
                  <c:strRef>
                    <c:extLst>
                      <c:ext uri="{02D57815-91ED-43cb-92C2-25804820EDAC}">
                        <c15:formulaRef>
                          <c15:sqref>Sheet1!$B$11</c15:sqref>
                        </c15:formulaRef>
                      </c:ext>
                    </c:extLst>
                    <c:strCache>
                      <c:ptCount val="1"/>
                      <c:pt idx="0">
                        <c:v>Development Objective </c:v>
                      </c:pt>
                    </c:strCache>
                  </c:strRef>
                </c:tx>
                <c:spPr>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E-F60E-4790-8BA3-5B4A1CDC96A3}"/>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10-F60E-4790-8BA3-5B4A1CDC96A3}"/>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12-F60E-4790-8BA3-5B4A1CDC96A3}"/>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14-F60E-4790-8BA3-5B4A1CDC96A3}"/>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16-F60E-4790-8BA3-5B4A1CDC96A3}"/>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18-F60E-4790-8BA3-5B4A1CDC96A3}"/>
                    </c:ext>
                  </c:extLst>
                </c:dPt>
                <c:cat>
                  <c:strRef>
                    <c:extLst>
                      <c:ext uri="{02D57815-91ED-43cb-92C2-25804820EDAC}">
                        <c15:formulaRef>
                          <c15:sqref>Sheet1!$A$12:$A$17</c15:sqref>
                        </c15:formulaRef>
                      </c:ext>
                    </c:extLst>
                    <c:strCache>
                      <c:ptCount val="6"/>
                      <c:pt idx="0">
                        <c:v>Highly Satisfactory (5%)</c:v>
                      </c:pt>
                      <c:pt idx="1">
                        <c:v>Satisfactory (46%)</c:v>
                      </c:pt>
                      <c:pt idx="2">
                        <c:v>Moderately Satisfactory (31%)</c:v>
                      </c:pt>
                      <c:pt idx="3">
                        <c:v>Moderately Unsatisfactory (12%)</c:v>
                      </c:pt>
                      <c:pt idx="4">
                        <c:v>Unsatisfactory (5%)</c:v>
                      </c:pt>
                      <c:pt idx="5">
                        <c:v>Highly Unsatisfactory (1%)</c:v>
                      </c:pt>
                    </c:strCache>
                  </c:strRef>
                </c:cat>
                <c:val>
                  <c:numRef>
                    <c:extLst>
                      <c:ext uri="{02D57815-91ED-43cb-92C2-25804820EDAC}">
                        <c15:formulaRef>
                          <c15:sqref>Sheet1!$B$12:$B$17</c15:sqref>
                        </c15:formulaRef>
                      </c:ext>
                    </c:extLst>
                    <c:numCache>
                      <c:formatCode>0%</c:formatCode>
                      <c:ptCount val="6"/>
                      <c:pt idx="0">
                        <c:v>5.3221288515406161E-2</c:v>
                      </c:pt>
                      <c:pt idx="1">
                        <c:v>0.49859943977591037</c:v>
                      </c:pt>
                      <c:pt idx="2">
                        <c:v>0.30252100840336132</c:v>
                      </c:pt>
                      <c:pt idx="3">
                        <c:v>0.11764705882352941</c:v>
                      </c:pt>
                      <c:pt idx="4">
                        <c:v>2.2408963585434174E-2</c:v>
                      </c:pt>
                      <c:pt idx="5">
                        <c:v>5.6022408963585435E-3</c:v>
                      </c:pt>
                    </c:numCache>
                  </c:numRef>
                </c:val>
                <c:extLst>
                  <c:ext xmlns:c16="http://schemas.microsoft.com/office/drawing/2014/chart" uri="{C3380CC4-5D6E-409C-BE32-E72D297353CC}">
                    <c16:uniqueId val="{00000019-F60E-4790-8BA3-5B4A1CDC96A3}"/>
                  </c:ext>
                </c:extLst>
              </c15:ser>
            </c15:filteredPieSeries>
          </c:ext>
        </c:extLst>
      </c:pieChart>
      <c:spPr>
        <a:noFill/>
        <a:ln>
          <a:noFill/>
        </a:ln>
        <a:effectLst/>
      </c:spPr>
    </c:plotArea>
    <c:legend>
      <c:legendPos val="r"/>
      <c:layout>
        <c:manualLayout>
          <c:xMode val="edge"/>
          <c:yMode val="edge"/>
          <c:x val="0.56500528851804066"/>
          <c:y val="0.33687672117908468"/>
          <c:w val="0.38612684608453846"/>
          <c:h val="0.44538760347264372"/>
        </c:manualLayout>
      </c:layout>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ru-RU" b="0" i="0" u="none" baseline="0"/>
              <a:t>Выполнение задач в области развития</a:t>
            </a:r>
          </a:p>
          <a:p>
            <a:pPr rtl="0">
              <a:defRPr sz="1400" b="0" i="0" u="none" strike="noStrike" kern="1200" spc="0" baseline="0">
                <a:solidFill>
                  <a:schemeClr val="tx1">
                    <a:lumMod val="65000"/>
                    <a:lumOff val="35000"/>
                  </a:schemeClr>
                </a:solidFill>
                <a:latin typeface="+mn-lt"/>
                <a:ea typeface="+mn-ea"/>
                <a:cs typeface="+mn-cs"/>
              </a:defRPr>
            </a:pPr>
            <a:r>
              <a:rPr lang="ru-RU" sz="1100" b="0" i="0" u="none" baseline="0"/>
              <a:t>(85% получили умеренно удовлетворительную оценку или выше)</a:t>
            </a:r>
            <a:r>
              <a:rPr lang="ru-RU" b="0" i="0" u="none" baseline="0"/>
              <a:t> </a:t>
            </a:r>
          </a:p>
        </c:rich>
      </c:tx>
      <c:spPr>
        <a:noFill/>
        <a:ln>
          <a:noFill/>
        </a:ln>
        <a:effectLst/>
      </c:spPr>
    </c:title>
    <c:plotArea>
      <c:layout/>
      <c:pieChart>
        <c:varyColors val="1"/>
        <c:ser>
          <c:idx val="0"/>
          <c:order val="0"/>
          <c:tx>
            <c:strRef>
              <c:f>Sheet1!$B$20</c:f>
              <c:strCache>
                <c:ptCount val="1"/>
                <c:pt idx="0">
                  <c:v>Development Objective </c:v>
                </c:pt>
              </c:strCache>
            </c:strRef>
          </c:tx>
          <c:spPr>
            <a:ln w="3175"/>
          </c:spPr>
          <c:dPt>
            <c:idx val="0"/>
            <c:spPr>
              <a:solidFill>
                <a:schemeClr val="accent6">
                  <a:lumMod val="5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1-B6F0-43AD-9CA4-4537735A3176}"/>
              </c:ext>
            </c:extLst>
          </c:dPt>
          <c:dPt>
            <c:idx val="1"/>
            <c:spPr>
              <a:solidFill>
                <a:schemeClr val="accent6">
                  <a:lumMod val="75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3-B6F0-43AD-9CA4-4537735A3176}"/>
              </c:ext>
            </c:extLst>
          </c:dPt>
          <c:dPt>
            <c:idx val="2"/>
            <c:spPr>
              <a:solidFill>
                <a:schemeClr val="accent6">
                  <a:lumMod val="60000"/>
                  <a:lumOff val="4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5-B6F0-43AD-9CA4-4537735A3176}"/>
              </c:ext>
            </c:extLst>
          </c:dPt>
          <c:dPt>
            <c:idx val="3"/>
            <c:spPr>
              <a:solidFill>
                <a:schemeClr val="accent1">
                  <a:lumMod val="60000"/>
                  <a:lumOff val="4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7-B6F0-43AD-9CA4-4537735A3176}"/>
              </c:ext>
            </c:extLst>
          </c:dPt>
          <c:dPt>
            <c:idx val="4"/>
            <c:spPr>
              <a:solidFill>
                <a:schemeClr val="accent1">
                  <a:lumMod val="75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9-B6F0-43AD-9CA4-4537735A3176}"/>
              </c:ext>
            </c:extLst>
          </c:dPt>
          <c:dPt>
            <c:idx val="5"/>
            <c:spPr>
              <a:solidFill>
                <a:schemeClr val="accent1">
                  <a:lumMod val="50000"/>
                </a:schemeClr>
              </a:solidFill>
              <a:ln w="3175">
                <a:solidFill>
                  <a:schemeClr val="lt1"/>
                </a:solidFill>
              </a:ln>
              <a:effectLst/>
            </c:spPr>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B-B6F0-43AD-9CA4-4537735A3176}"/>
              </c:ext>
            </c:extLst>
          </c:dPt>
          <c:cat>
            <c:strRef>
              <c:f>Sheet1!$A$21:$A$26</c:f>
              <c:strCache>
                <c:ptCount val="6"/>
                <c:pt idx="0">
                  <c:v>Highly Satisfactory (5%)</c:v>
                </c:pt>
                <c:pt idx="1">
                  <c:v>Satisfactory (50%)</c:v>
                </c:pt>
                <c:pt idx="2">
                  <c:v>Moderately Satisfactory (30%)</c:v>
                </c:pt>
                <c:pt idx="3">
                  <c:v>Moderately Unsatisfactory (12%)</c:v>
                </c:pt>
                <c:pt idx="4">
                  <c:v>Unsatisfactory (2%)</c:v>
                </c:pt>
                <c:pt idx="5">
                  <c:v>Highly Unsatisfactory (1%)</c:v>
                </c:pt>
              </c:strCache>
            </c:strRef>
          </c:cat>
          <c:val>
            <c:numRef>
              <c:f>Sheet1!$B$21:$B$26</c:f>
              <c:numCache>
                <c:formatCode>0%</c:formatCode>
                <c:ptCount val="6"/>
                <c:pt idx="0">
                  <c:v>5.3221288515406147E-2</c:v>
                </c:pt>
                <c:pt idx="1">
                  <c:v>0.49859943977591037</c:v>
                </c:pt>
                <c:pt idx="2">
                  <c:v>0.30252100840336127</c:v>
                </c:pt>
                <c:pt idx="3">
                  <c:v>0.11764705882352942</c:v>
                </c:pt>
                <c:pt idx="4">
                  <c:v>2.240896358543424E-2</c:v>
                </c:pt>
                <c:pt idx="5">
                  <c:v>5.6022408963585504E-3</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C-B6F0-43AD-9CA4-4537735A3176}"/>
            </c:ext>
          </c:extLst>
        </c:ser>
        <c:firstSliceAng val="0"/>
      </c:pieChart>
      <c:spPr>
        <a:noFill/>
        <a:ln>
          <a:noFill/>
        </a:ln>
        <a:effectLst/>
      </c:spPr>
    </c:plotArea>
    <c:legend>
      <c:legendPos val="r"/>
      <c:layout>
        <c:manualLayout>
          <c:xMode val="edge"/>
          <c:yMode val="edge"/>
          <c:x val="0.60549866331643665"/>
          <c:y val="0.35153427019978351"/>
          <c:w val="0.33760585121665065"/>
          <c:h val="0.40000273743517256"/>
        </c:manualLayout>
      </c:layout>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bg1"/>
                    </a:solidFill>
                    <a:latin typeface="+mn-lt"/>
                    <a:ea typeface="+mn-ea"/>
                    <a:cs typeface="+mn-cs"/>
                  </a:defRPr>
                </a:pPr>
                <a:endParaRPr lang="ru-RU"/>
              </a:p>
            </c:txPr>
            <c:dLblPos val="inEnd"/>
            <c:showVal val="1"/>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GEF-3</c:v>
                </c:pt>
                <c:pt idx="1">
                  <c:v>GEF-4</c:v>
                </c:pt>
                <c:pt idx="2">
                  <c:v>GEF-5</c:v>
                </c:pt>
                <c:pt idx="3">
                  <c:v>GEF-6</c:v>
                </c:pt>
              </c:strCache>
            </c:strRef>
          </c:cat>
          <c:val>
            <c:numRef>
              <c:f>Sheet1!$B$1:$B$4</c:f>
              <c:numCache>
                <c:formatCode>0.0</c:formatCode>
                <c:ptCount val="4"/>
                <c:pt idx="0">
                  <c:v>5.79</c:v>
                </c:pt>
                <c:pt idx="1">
                  <c:v>6.1099999999999985</c:v>
                </c:pt>
                <c:pt idx="2">
                  <c:v>8.32</c:v>
                </c:pt>
                <c:pt idx="3">
                  <c:v>9.31</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0-9432-4378-88D7-B5E9F923E7E8}"/>
            </c:ext>
          </c:extLst>
        </c:ser>
        <c:gapWidth val="80"/>
        <c:overlap val="-27"/>
        <c:axId val="190030976"/>
        <c:axId val="190032512"/>
      </c:barChart>
      <c:catAx>
        <c:axId val="190030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crossAx val="190032512"/>
        <c:crosses val="autoZero"/>
        <c:auto val="1"/>
        <c:lblAlgn val="ctr"/>
        <c:lblOffset val="100"/>
      </c:catAx>
      <c:valAx>
        <c:axId val="190032512"/>
        <c:scaling>
          <c:orientation val="minMax"/>
          <c:max val="10"/>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crossAx val="190030976"/>
        <c:crosses val="autoZero"/>
        <c:crossBetween val="between"/>
      </c:valAx>
      <c:spPr>
        <a:noFill/>
        <a:ln>
          <a:noFill/>
        </a:ln>
        <a:effectLst/>
      </c:spPr>
    </c:plotArea>
    <c:plotVisOnly val="1"/>
    <c:dispBlanksAs val="gap"/>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1"/>
          <c:order val="0"/>
          <c:tx>
            <c:strRef>
              <c:f>'C:\Users\wb331348\OneDrive - WBG\PPO\monitoring report\[FY19 DATA FINAL_Monitoring Report Working File v_3.xlsx]COFIN FA'!$C$13</c:f>
              <c:strCache>
                <c:ptCount val="1"/>
                <c:pt idx="0">
                  <c:v>co-fin ratio</c:v>
                </c:pt>
              </c:strCache>
            </c:strRef>
          </c:tx>
          <c:spPr>
            <a:solidFill>
              <a:schemeClr val="accent2"/>
            </a:solidFill>
            <a:ln>
              <a:noFill/>
            </a:ln>
            <a:effectLst/>
          </c:spPr>
          <c:dLbls>
            <c:numFmt formatCode="#,##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bg1"/>
                    </a:solidFill>
                    <a:latin typeface="+mn-lt"/>
                    <a:ea typeface="+mn-ea"/>
                    <a:cs typeface="+mn-cs"/>
                  </a:defRPr>
                </a:pPr>
                <a:endParaRPr lang="ru-RU"/>
              </a:p>
            </c:txPr>
            <c:dLblPos val="inEnd"/>
            <c:showVal val="1"/>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'[1]COFIN FA'!$A$14:$A$19</c:f>
              <c:strCache>
                <c:ptCount val="6"/>
                <c:pt idx="0">
                  <c:v>Biodiversity</c:v>
                </c:pt>
                <c:pt idx="1">
                  <c:v>Chemicals and Waste</c:v>
                </c:pt>
                <c:pt idx="2">
                  <c:v>Climate Change</c:v>
                </c:pt>
                <c:pt idx="3">
                  <c:v>International Waters</c:v>
                </c:pt>
                <c:pt idx="4">
                  <c:v>Land Degradation</c:v>
                </c:pt>
                <c:pt idx="5">
                  <c:v>Multi Focal Area</c:v>
                </c:pt>
              </c:strCache>
            </c:strRef>
          </c:cat>
          <c:val>
            <c:numRef>
              <c:f>'[1]COFIN FA'!$C$14:$C$19</c:f>
              <c:numCache>
                <c:formatCode>General</c:formatCode>
                <c:ptCount val="6"/>
                <c:pt idx="0">
                  <c:v>4.8197846298113269</c:v>
                </c:pt>
                <c:pt idx="1">
                  <c:v>4.8217913413511173</c:v>
                </c:pt>
                <c:pt idx="2">
                  <c:v>12.787901799391943</c:v>
                </c:pt>
                <c:pt idx="3">
                  <c:v>11.610156747351491</c:v>
                </c:pt>
                <c:pt idx="4">
                  <c:v>6.3140169250798346</c:v>
                </c:pt>
                <c:pt idx="5">
                  <c:v>7.7653261265929485</c:v>
                </c:pt>
              </c:numCache>
            </c:numRef>
          </c:val>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6="http://schemas.microsoft.com/office/drawing/2014/chart" uri="{C3380CC4-5D6E-409C-BE32-E72D297353CC}">
              <c16:uniqueId val="{00000000-E7BC-4C38-AC8A-00AB1B3B0A81}"/>
            </c:ext>
          </c:extLst>
        </c:ser>
        <c:gapWidth val="80"/>
        <c:overlap val="-27"/>
        <c:axId val="190405632"/>
        <c:axId val="190427904"/>
        <c:extLst xmlns:c16r2="http://schemas.microsoft.com/office/drawing/2015/06/chart"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package/2006/relationships" xmlns:o="urn:schemas-microsoft-com:office:office" xmlns:ve="http://schemas.openxmlformats.org/markup-compatibility/2006">
          <c:ext xmlns:c15="http://schemas.microsoft.com/office/drawing/2012/chart" uri="{02D57815-91ED-43cb-92C2-25804820EDAC}">
            <c15:filteredBarSeries>
              <c15:ser>
                <c:idx val="0"/>
                <c:order val="0"/>
                <c:tx>
                  <c:strRef>
                    <c:extLst>
                      <c:ext uri="{02D57815-91ED-43cb-92C2-25804820EDAC}">
                        <c15:formulaRef>
                          <c15:sqref>'C:\Users\wb331348\OneDrive - WBG\PPO\monitoring report\[FY19 DATA FINAL_Monitoring Report Working File v_3.xlsx]COFIN FA'!$B$13</c15:sqref>
                        </c15:formulaRef>
                      </c:ext>
                    </c:extLst>
                    <c:strCache>
                      <c:ptCount val="1"/>
                      <c:pt idx="0">
                        <c:v>Grants (%)</c:v>
                      </c:pt>
                    </c:strCache>
                  </c:strRef>
                </c:tx>
                <c:spPr>
                  <a:solidFill>
                    <a:schemeClr val="accent1"/>
                  </a:solidFill>
                  <a:ln>
                    <a:noFill/>
                  </a:ln>
                  <a:effectLst/>
                </c:spPr>
                <c:invertIfNegative val="0"/>
                <c:cat>
                  <c:strRef>
                    <c:extLst>
                      <c:ext uri="{02D57815-91ED-43cb-92C2-25804820EDAC}">
                        <c15:formulaRef>
                          <c15:sqref>'[1]COFIN FA'!$A$14:$A$19</c15:sqref>
                        </c15:formulaRef>
                      </c:ext>
                    </c:extLst>
                    <c:strCache>
                      <c:ptCount val="6"/>
                      <c:pt idx="0">
                        <c:v>Biodiversity</c:v>
                      </c:pt>
                      <c:pt idx="1">
                        <c:v>Chemicals and Waste</c:v>
                      </c:pt>
                      <c:pt idx="2">
                        <c:v>Climate Change</c:v>
                      </c:pt>
                      <c:pt idx="3">
                        <c:v>International Waters</c:v>
                      </c:pt>
                      <c:pt idx="4">
                        <c:v>Land Degradation</c:v>
                      </c:pt>
                      <c:pt idx="5">
                        <c:v>Multi Focal Area</c:v>
                      </c:pt>
                    </c:strCache>
                  </c:strRef>
                </c:cat>
                <c:val>
                  <c:numRef>
                    <c:extLst>
                      <c:ext uri="{02D57815-91ED-43cb-92C2-25804820EDAC}">
                        <c15:formulaRef>
                          <c15:sqref>'[1]COFIN FA'!$B$14:$B$19</c15:sqref>
                        </c15:formulaRef>
                      </c:ext>
                    </c:extLst>
                    <c:numCache>
                      <c:formatCode>General</c:formatCode>
                      <c:ptCount val="6"/>
                      <c:pt idx="0">
                        <c:v>17</c:v>
                      </c:pt>
                      <c:pt idx="1">
                        <c:v>10</c:v>
                      </c:pt>
                      <c:pt idx="2">
                        <c:v>25</c:v>
                      </c:pt>
                      <c:pt idx="3">
                        <c:v>6</c:v>
                      </c:pt>
                      <c:pt idx="4">
                        <c:v>4</c:v>
                      </c:pt>
                      <c:pt idx="5">
                        <c:v>38</c:v>
                      </c:pt>
                    </c:numCache>
                  </c:numRef>
                </c:val>
                <c:extLst>
                  <c:ext xmlns:c16="http://schemas.microsoft.com/office/drawing/2014/chart" uri="{C3380CC4-5D6E-409C-BE32-E72D297353CC}">
                    <c16:uniqueId val="{00000001-E7BC-4C38-AC8A-00AB1B3B0A81}"/>
                  </c:ext>
                </c:extLst>
              </c15:ser>
            </c15:filteredBarSeries>
          </c:ext>
        </c:extLst>
      </c:barChart>
      <c:catAx>
        <c:axId val="190405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crossAx val="190427904"/>
        <c:crosses val="autoZero"/>
        <c:auto val="1"/>
        <c:lblAlgn val="ctr"/>
        <c:lblOffset val="100"/>
      </c:catAx>
      <c:valAx>
        <c:axId val="190427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crossAx val="1904056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0.23035</cdr:x>
      <cdr:y>0.02907</cdr:y>
    </cdr:from>
    <cdr:to>
      <cdr:x>0.6326</cdr:x>
      <cdr:y>0.28987</cdr:y>
    </cdr:to>
    <cdr:sp macro="" textlink="">
      <cdr:nvSpPr>
        <cdr:cNvPr id="2" name="TextBox 1"/>
        <cdr:cNvSpPr txBox="1"/>
      </cdr:nvSpPr>
      <cdr:spPr>
        <a:xfrm xmlns:a="http://schemas.openxmlformats.org/drawingml/2006/main">
          <a:off x="1369091" y="106290"/>
          <a:ext cx="2390813" cy="9537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rtl="0"/>
          <a:r>
            <a:rPr lang="ru-RU" sz="1100" b="1" i="0" u="none" baseline="0">
              <a:solidFill>
                <a:srgbClr val="0E693D"/>
              </a:solidFill>
            </a:rPr>
            <a:t>Результаты выполнения проекта</a:t>
          </a:r>
        </a:p>
        <a:p xmlns:a="http://schemas.openxmlformats.org/drawingml/2006/main">
          <a:pPr algn="r" rtl="0"/>
          <a:r>
            <a:rPr lang="ru-RU" sz="1000" b="0" i="0" u="none" baseline="0">
              <a:solidFill>
                <a:srgbClr val="0E693D"/>
              </a:solidFill>
            </a:rPr>
            <a:t>Процент проектов, получивших </a:t>
          </a:r>
        </a:p>
        <a:p xmlns:a="http://schemas.openxmlformats.org/drawingml/2006/main">
          <a:pPr algn="r" rtl="0"/>
          <a:r>
            <a:rPr lang="ru-RU" sz="1000" b="0" i="0" u="none" baseline="0">
              <a:solidFill>
                <a:srgbClr val="0E693D"/>
              </a:solidFill>
            </a:rPr>
            <a:t> </a:t>
          </a:r>
          <a:r>
            <a:rPr lang="ru-RU" sz="1000" b="0" i="1" u="none" baseline="0">
              <a:solidFill>
                <a:srgbClr val="0E693D"/>
              </a:solidFill>
            </a:rPr>
            <a:t>умеренно удовлетворительную оценку </a:t>
          </a:r>
        </a:p>
        <a:p xmlns:a="http://schemas.openxmlformats.org/drawingml/2006/main">
          <a:pPr algn="r" rtl="0"/>
          <a:r>
            <a:rPr lang="ru-RU" sz="1000" b="0" i="0" u="none" baseline="0">
              <a:solidFill>
                <a:srgbClr val="0E693D"/>
              </a:solidFill>
            </a:rPr>
            <a:t>или выше</a:t>
          </a:r>
          <a:endParaRPr lang="ru-RU" sz="1000">
            <a:solidFill>
              <a:srgbClr val="0E693D"/>
            </a:solidFill>
          </a:endParaRPr>
        </a:p>
      </cdr:txBody>
    </cdr:sp>
  </cdr:relSizeAnchor>
  <cdr:relSizeAnchor xmlns:cdr="http://schemas.openxmlformats.org/drawingml/2006/chartDrawing">
    <cdr:from>
      <cdr:x>0.59853</cdr:x>
      <cdr:y>0.02378</cdr:y>
    </cdr:from>
    <cdr:to>
      <cdr:x>0.98911</cdr:x>
      <cdr:y>0.246</cdr:y>
    </cdr:to>
    <cdr:sp macro="" textlink="">
      <cdr:nvSpPr>
        <cdr:cNvPr id="3" name="TextBox 1"/>
        <cdr:cNvSpPr txBox="1"/>
      </cdr:nvSpPr>
      <cdr:spPr>
        <a:xfrm xmlns:a="http://schemas.openxmlformats.org/drawingml/2006/main">
          <a:off x="3557413" y="86946"/>
          <a:ext cx="2321451" cy="812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rtl="0"/>
          <a:r>
            <a:rPr lang="ru-RU" sz="1100" b="1" i="0" u="none" baseline="0">
              <a:solidFill>
                <a:srgbClr val="0F6CB6"/>
              </a:solidFill>
            </a:rPr>
            <a:t>Задача в области развития</a:t>
          </a:r>
        </a:p>
        <a:p xmlns:a="http://schemas.openxmlformats.org/drawingml/2006/main">
          <a:pPr algn="r" rtl="0"/>
          <a:r>
            <a:rPr lang="ru-RU" sz="1000" b="0" i="0" u="none" baseline="0">
              <a:solidFill>
                <a:srgbClr val="0F6CB6"/>
              </a:solidFill>
            </a:rPr>
            <a:t>Процент проектов, получивших  </a:t>
          </a:r>
        </a:p>
        <a:p xmlns:a="http://schemas.openxmlformats.org/drawingml/2006/main">
          <a:pPr algn="r" rtl="0"/>
          <a:r>
            <a:rPr lang="ru-RU" sz="1000" b="0" i="1" u="none" baseline="0">
              <a:solidFill>
                <a:srgbClr val="0F6CB6"/>
              </a:solidFill>
            </a:rPr>
            <a:t>умеренно удовлетворительную оценку </a:t>
          </a:r>
        </a:p>
        <a:p xmlns:a="http://schemas.openxmlformats.org/drawingml/2006/main">
          <a:pPr algn="r" rtl="0"/>
          <a:r>
            <a:rPr lang="ru-RU" sz="1000" b="0" i="0" u="none" baseline="0">
              <a:solidFill>
                <a:srgbClr val="0F6CB6"/>
              </a:solidFill>
            </a:rPr>
            <a:t>или выше</a:t>
          </a:r>
          <a:endParaRPr lang="ru-RU" sz="1000">
            <a:solidFill>
              <a:srgbClr val="0F6CB6"/>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a3"/>
            </w:rPr>
            <w:t>[Subject]</w:t>
          </w:r>
        </w:p>
      </w:docPartBody>
    </w:docPart>
    <w:docPart>
      <w:docPartPr>
        <w:name w:val="B16882D3CD1D4AF581A165F293A75A9E"/>
        <w:category>
          <w:name w:val="General"/>
          <w:gallery w:val="placeholder"/>
        </w:category>
        <w:types>
          <w:type w:val="bbPlcHdr"/>
        </w:types>
        <w:behaviors>
          <w:behavior w:val="content"/>
        </w:behaviors>
        <w:guid w:val="{E828BA2B-402F-43DB-BCF6-9E39A5B91AB6}"/>
      </w:docPartPr>
      <w:docPartBody>
        <w:p w:rsidR="00723176" w:rsidRDefault="00637C32" w:rsidP="00637C32">
          <w:pPr>
            <w:pStyle w:val="B16882D3CD1D4AF581A165F293A75A9E"/>
          </w:pPr>
          <w:r w:rsidRPr="00C725B6">
            <w:rPr>
              <w:rStyle w:val="a3"/>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637C32"/>
    <w:rsid w:val="001C16E1"/>
    <w:rsid w:val="002E5893"/>
    <w:rsid w:val="005C606E"/>
    <w:rsid w:val="00637C32"/>
    <w:rsid w:val="00723176"/>
    <w:rsid w:val="00945080"/>
    <w:rsid w:val="009653BF"/>
    <w:rsid w:val="00A03189"/>
    <w:rsid w:val="00E530D6"/>
    <w:rsid w:val="00E8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3176"/>
    <w:rPr>
      <w:color w:val="808080"/>
    </w:rPr>
  </w:style>
  <w:style w:type="paragraph" w:customStyle="1" w:styleId="7207C0693C2141E48CF6787E265A3927">
    <w:name w:val="7207C0693C2141E48CF6787E265A3927"/>
    <w:rsid w:val="00637C32"/>
  </w:style>
  <w:style w:type="paragraph" w:customStyle="1" w:styleId="B16882D3CD1D4AF581A165F293A75A9E">
    <w:name w:val="B16882D3CD1D4AF581A165F293A75A9E"/>
    <w:rsid w:val="00637C32"/>
  </w:style>
  <w:style w:type="paragraph" w:customStyle="1" w:styleId="30A7825E02CC4C0A82FF55ED02BAD813">
    <w:name w:val="30A7825E02CC4C0A82FF55ED02BAD813"/>
    <w:rsid w:val="00637C32"/>
  </w:style>
  <w:style w:type="paragraph" w:customStyle="1" w:styleId="AB57621758274B1983F6392475BD1141">
    <w:name w:val="AB57621758274B1983F6392475BD1141"/>
    <w:rsid w:val="00637C32"/>
  </w:style>
  <w:style w:type="paragraph" w:customStyle="1" w:styleId="6B0E0D4F88734936806EE74494FD8563">
    <w:name w:val="6B0E0D4F88734936806EE74494FD8563"/>
    <w:rsid w:val="0072317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01D5-7BF8-4CB4-8636-3E4B4661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4.xml><?xml version="1.0" encoding="utf-8"?>
<ds:datastoreItem xmlns:ds="http://schemas.openxmlformats.org/officeDocument/2006/customXml" ds:itemID="{6E079E57-07C0-4DE5-B670-90221C30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47</Pages>
  <Words>12346</Words>
  <Characters>70375</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МЕХАНИЗМ ФИНАНСИРОВАНИЯ – ПРЕДВАРИТЕЛЬНЫЙ ДОКЛАД ГЛОБАЛЬНОГО ЭКОЛОГИЧЕСКОГО ФОНДА</vt:lpstr>
      <vt:lpstr>Financial mechanism</vt:lpstr>
    </vt:vector>
  </TitlesOfParts>
  <Company>RePack by SPecialiST</Company>
  <LinksUpToDate>false</LinksUpToDate>
  <CharactersWithSpaces>82556</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 ФИНАНСИРОВАНИЯ – ПРЕДВАРИТЕЛЬНЫЙ ДОКЛАД ГЛОБАЛЬНОГО ЭКОЛОГИЧЕСКОГО ФОНДА</dc:title>
  <dc:subject>CBD/SBI/3/6/Add.1</dc:subject>
  <dc:creator>Mark Thomas Zimsky</dc:creator>
  <cp:lastModifiedBy>dva</cp:lastModifiedBy>
  <cp:revision>15</cp:revision>
  <cp:lastPrinted>2020-07-24T07:18:00Z</cp:lastPrinted>
  <dcterms:created xsi:type="dcterms:W3CDTF">2020-07-18T09:21:00Z</dcterms:created>
  <dcterms:modified xsi:type="dcterms:W3CDTF">2020-07-24T14:33:00Z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