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E265B" w14:paraId="311EBE0C" w14:textId="77777777" w:rsidTr="008A1499">
        <w:trPr>
          <w:trHeight w:val="850"/>
        </w:trPr>
        <w:tc>
          <w:tcPr>
            <w:tcW w:w="975" w:type="dxa"/>
            <w:vAlign w:val="bottom"/>
          </w:tcPr>
          <w:p w14:paraId="164CD1F1" w14:textId="77777777" w:rsidR="008A1499" w:rsidRPr="003E265B" w:rsidRDefault="008A1499" w:rsidP="008A1499">
            <w:pPr>
              <w:pStyle w:val="AASmallLogo"/>
            </w:pP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1C1ECBF7" w14:textId="77777777" w:rsidR="008A1499" w:rsidRPr="003E265B" w:rsidRDefault="008A1499" w:rsidP="008A1499">
            <w:pPr>
              <w:pStyle w:val="AASmallLogo"/>
            </w:pPr>
          </w:p>
        </w:tc>
        <w:tc>
          <w:tcPr>
            <w:tcW w:w="1434" w:type="dxa"/>
            <w:noWrap/>
            <w:vAlign w:val="bottom"/>
          </w:tcPr>
          <w:p w14:paraId="64838C29" w14:textId="0B265ED0" w:rsidR="008A1499" w:rsidRPr="003E265B" w:rsidRDefault="00E73ADC" w:rsidP="008A1499">
            <w:pPr>
              <w:pStyle w:val="AASmallLogo"/>
            </w:pPr>
            <w:r w:rsidRPr="00360A23">
              <w:rPr>
                <w:noProof/>
                <w:lang w:eastAsia="ru-RU"/>
              </w:rPr>
              <w:drawing>
                <wp:inline distT="0" distB="0" distL="0" distR="0" wp14:anchorId="5A100A6F" wp14:editId="346D18FF">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25A4DB09" w14:textId="77777777" w:rsidR="008A1499" w:rsidRPr="003E265B" w:rsidRDefault="008A1499" w:rsidP="008A1499">
            <w:pPr>
              <w:pStyle w:val="AASmallLogo"/>
            </w:pPr>
          </w:p>
        </w:tc>
        <w:tc>
          <w:tcPr>
            <w:tcW w:w="8073" w:type="dxa"/>
            <w:vAlign w:val="bottom"/>
          </w:tcPr>
          <w:p w14:paraId="4073AF74" w14:textId="5E0960FF" w:rsidR="008A1499" w:rsidRPr="003E265B" w:rsidRDefault="008A1499" w:rsidP="00440131">
            <w:pPr>
              <w:pStyle w:val="ABSymbol"/>
              <w:ind w:left="39"/>
            </w:pPr>
            <w:r>
              <w:rPr>
                <w:sz w:val="40"/>
              </w:rPr>
              <w:t>CBD</w:t>
            </w:r>
            <w:r>
              <w:t>/SBI/7/14-</w:t>
            </w:r>
            <w:r>
              <w:rPr>
                <w:sz w:val="40"/>
                <w:szCs w:val="40"/>
              </w:rPr>
              <w:t>CBD</w:t>
            </w:r>
            <w:r>
              <w:t>/COP/17/3-</w:t>
            </w:r>
            <w:r>
              <w:rPr>
                <w:sz w:val="40"/>
                <w:szCs w:val="40"/>
              </w:rPr>
              <w:t>CBD</w:t>
            </w:r>
            <w:r>
              <w:t>/CP/MOP/12/4-</w:t>
            </w:r>
            <w:r>
              <w:rPr>
                <w:sz w:val="40"/>
                <w:szCs w:val="40"/>
              </w:rPr>
              <w:t>CBD</w:t>
            </w:r>
            <w:r>
              <w:t>/NP/MOP/6/4</w:t>
            </w:r>
          </w:p>
        </w:tc>
      </w:tr>
    </w:tbl>
    <w:p w14:paraId="036DA216" w14:textId="77777777" w:rsidR="008A1499" w:rsidRPr="003E265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B4624" w14:paraId="2951B9D8" w14:textId="77777777" w:rsidTr="008A1499">
        <w:trPr>
          <w:trHeight w:val="1814"/>
        </w:trPr>
        <w:tc>
          <w:tcPr>
            <w:tcW w:w="7370" w:type="dxa"/>
          </w:tcPr>
          <w:p w14:paraId="1FEFE3A9" w14:textId="61C9AF4B" w:rsidR="008A1499" w:rsidRPr="003E265B" w:rsidRDefault="00E73ADC" w:rsidP="008A1499">
            <w:pPr>
              <w:pStyle w:val="ACLargeLogo"/>
            </w:pPr>
            <w:r w:rsidRPr="001E2C8A">
              <w:rPr>
                <w:noProof/>
                <w:snapToGrid w:val="0"/>
                <w:kern w:val="22"/>
                <w:lang w:eastAsia="ru-RU"/>
              </w:rPr>
              <w:drawing>
                <wp:inline distT="0" distB="0" distL="0" distR="0" wp14:anchorId="1156AD3C" wp14:editId="45409A3B">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50FD90AD" w14:textId="77777777" w:rsidR="008A1499" w:rsidRPr="003E265B" w:rsidRDefault="008A1499" w:rsidP="008A1499">
            <w:pPr>
              <w:pStyle w:val="ACLargeLogo"/>
            </w:pPr>
          </w:p>
        </w:tc>
        <w:tc>
          <w:tcPr>
            <w:tcW w:w="3112" w:type="dxa"/>
          </w:tcPr>
          <w:p w14:paraId="2AA42539" w14:textId="77777777" w:rsidR="008A1499" w:rsidRPr="002B4624" w:rsidRDefault="008A1499" w:rsidP="008A1499">
            <w:pPr>
              <w:pStyle w:val="AEDistrNormal"/>
              <w:rPr>
                <w:lang w:val="en-CA"/>
              </w:rPr>
            </w:pPr>
            <w:r w:rsidRPr="002B4624">
              <w:rPr>
                <w:lang w:val="en-CA"/>
              </w:rPr>
              <w:t xml:space="preserve">Distr.: General </w:t>
            </w:r>
          </w:p>
          <w:p w14:paraId="7634D684" w14:textId="662C5C42" w:rsidR="008A1499" w:rsidRPr="002B4624" w:rsidRDefault="0090257B" w:rsidP="008A1499">
            <w:pPr>
              <w:pStyle w:val="AEDistrNormal"/>
              <w:rPr>
                <w:lang w:val="en-CA"/>
              </w:rPr>
            </w:pPr>
            <w:r w:rsidRPr="002B4624">
              <w:rPr>
                <w:lang w:val="en-CA"/>
              </w:rPr>
              <w:t>3 July 2026</w:t>
            </w:r>
          </w:p>
          <w:p w14:paraId="5F416EF6" w14:textId="77777777" w:rsidR="00E73ADC" w:rsidRDefault="00E73ADC" w:rsidP="00E73ADC">
            <w:pPr>
              <w:pStyle w:val="AEDistrNormal6pt"/>
              <w:spacing w:before="0"/>
              <w:rPr>
                <w:lang w:val="en-US"/>
              </w:rPr>
            </w:pPr>
            <w:r w:rsidRPr="002B4624">
              <w:rPr>
                <w:lang w:val="en-CA"/>
              </w:rPr>
              <w:t>Russian</w:t>
            </w:r>
          </w:p>
          <w:p w14:paraId="64168BD9" w14:textId="206F0C8E" w:rsidR="008A1499" w:rsidRPr="002B4624" w:rsidRDefault="00E73ADC" w:rsidP="00E73ADC">
            <w:pPr>
              <w:pStyle w:val="AEDistrNormal6pt"/>
              <w:spacing w:before="0"/>
              <w:rPr>
                <w:lang w:val="en-CA"/>
              </w:rPr>
            </w:pPr>
            <w:r w:rsidRPr="002B4624">
              <w:rPr>
                <w:lang w:val="en-CA"/>
              </w:rPr>
              <w:t>Original: English</w:t>
            </w:r>
            <w:r w:rsidR="008A1499" w:rsidRPr="002B4624">
              <w:rPr>
                <w:lang w:val="en-CA"/>
              </w:rPr>
              <w:t xml:space="preserve"> </w:t>
            </w:r>
          </w:p>
          <w:p w14:paraId="4FFFF473" w14:textId="77777777" w:rsidR="008A1499" w:rsidRPr="002B4624" w:rsidRDefault="008A1499" w:rsidP="008A1499">
            <w:pPr>
              <w:pStyle w:val="AEDistrNormal6pt"/>
              <w:rPr>
                <w:lang w:val="en-CA"/>
              </w:rPr>
            </w:pPr>
          </w:p>
        </w:tc>
      </w:tr>
    </w:tbl>
    <w:p w14:paraId="3F5353AF" w14:textId="77777777" w:rsidR="008A1499" w:rsidRPr="002B4624" w:rsidRDefault="008A1499" w:rsidP="008A1499">
      <w:pPr>
        <w:pStyle w:val="AISpacer"/>
        <w:rPr>
          <w:lang w:val="en-CA"/>
        </w:rPr>
      </w:pPr>
    </w:p>
    <w:tbl>
      <w:tblPr>
        <w:tblW w:w="10619" w:type="dxa"/>
        <w:tblInd w:w="-283" w:type="dxa"/>
        <w:tblLayout w:type="fixed"/>
        <w:tblCellMar>
          <w:left w:w="283" w:type="dxa"/>
        </w:tblCellMar>
        <w:tblLook w:val="0000" w:firstRow="0" w:lastRow="0" w:firstColumn="0" w:lastColumn="0" w:noHBand="0" w:noVBand="0"/>
      </w:tblPr>
      <w:tblGrid>
        <w:gridCol w:w="5233"/>
        <w:gridCol w:w="5379"/>
        <w:gridCol w:w="7"/>
      </w:tblGrid>
      <w:tr w:rsidR="009C7B8F" w:rsidRPr="003E265B" w14:paraId="4DB8A6DB" w14:textId="77777777" w:rsidTr="00231A0B">
        <w:trPr>
          <w:gridAfter w:val="1"/>
          <w:wAfter w:w="7" w:type="dxa"/>
          <w:trHeight w:val="57"/>
        </w:trPr>
        <w:tc>
          <w:tcPr>
            <w:tcW w:w="5233" w:type="dxa"/>
          </w:tcPr>
          <w:p w14:paraId="28DBBB99" w14:textId="555B38AD" w:rsidR="009C7B8F" w:rsidRPr="003E265B" w:rsidRDefault="009C7B8F" w:rsidP="007C7D55">
            <w:pPr>
              <w:pStyle w:val="AFCorN12Bold"/>
            </w:pPr>
            <w:r>
              <w:t>Вспомогательный орган по</w:t>
            </w:r>
            <w:r w:rsidR="00231A0B" w:rsidRPr="002B4624">
              <w:t xml:space="preserve"> </w:t>
            </w:r>
            <w:r>
              <w:t xml:space="preserve">осуществлению </w:t>
            </w:r>
          </w:p>
          <w:p w14:paraId="10B899CD" w14:textId="77777777" w:rsidR="009C7B8F" w:rsidRPr="003E265B" w:rsidRDefault="009C7B8F" w:rsidP="007C7D55">
            <w:pPr>
              <w:pStyle w:val="AFCorNBold"/>
            </w:pPr>
            <w:r>
              <w:t xml:space="preserve">Седьмое совещание </w:t>
            </w:r>
          </w:p>
          <w:p w14:paraId="14F11050" w14:textId="77777777" w:rsidR="009C7B8F" w:rsidRPr="003E265B" w:rsidRDefault="009C7B8F" w:rsidP="007C7D55">
            <w:pPr>
              <w:pStyle w:val="AFCorNNormal"/>
            </w:pPr>
            <w:r>
              <w:t xml:space="preserve">Найроби, </w:t>
            </w:r>
            <w:r>
              <w:rPr>
                <w:snapToGrid w:val="0"/>
              </w:rPr>
              <w:t>4-12 августа 2026 года</w:t>
            </w:r>
          </w:p>
          <w:p w14:paraId="7F0B816F" w14:textId="77777777" w:rsidR="009C7B8F" w:rsidRPr="003E265B" w:rsidRDefault="009C7B8F" w:rsidP="007C7D55">
            <w:pPr>
              <w:pStyle w:val="AFCorNNormal"/>
            </w:pPr>
            <w:r>
              <w:t>Пункт 14 предварительной повестки дня</w:t>
            </w:r>
            <w:r w:rsidRPr="003E265B">
              <w:rPr>
                <w:rStyle w:val="FootnoteReference"/>
              </w:rPr>
              <w:footnoteReference w:customMarkFollows="1" w:id="1"/>
              <w:t>*</w:t>
            </w:r>
            <w:r>
              <w:t xml:space="preserve"> </w:t>
            </w:r>
          </w:p>
          <w:p w14:paraId="77717E40" w14:textId="77777777" w:rsidR="009C7B8F" w:rsidRPr="003E265B" w:rsidRDefault="009C7B8F" w:rsidP="007C7D55">
            <w:pPr>
              <w:pStyle w:val="AFCorNBold"/>
            </w:pPr>
            <w:r>
              <w:t>Административные и бюджетные вопросы</w:t>
            </w:r>
          </w:p>
        </w:tc>
        <w:tc>
          <w:tcPr>
            <w:tcW w:w="5379" w:type="dxa"/>
          </w:tcPr>
          <w:p w14:paraId="58055210" w14:textId="77777777" w:rsidR="009C7B8F" w:rsidRPr="003E265B" w:rsidRDefault="009C7B8F" w:rsidP="007C7D55">
            <w:pPr>
              <w:pStyle w:val="AFCorN12Bold"/>
            </w:pPr>
            <w:r>
              <w:t xml:space="preserve">Конференция Сторон Конвенции о биологическом разнообразии </w:t>
            </w:r>
          </w:p>
          <w:p w14:paraId="5F2A108B" w14:textId="77777777" w:rsidR="009C7B8F" w:rsidRPr="003E265B" w:rsidRDefault="009C7B8F" w:rsidP="007C7D55">
            <w:pPr>
              <w:pStyle w:val="AFCorNBold"/>
            </w:pPr>
            <w:r>
              <w:t xml:space="preserve">Семнадцатое совещание </w:t>
            </w:r>
          </w:p>
          <w:p w14:paraId="6BC99171" w14:textId="77777777" w:rsidR="009C7B8F" w:rsidRPr="003E265B" w:rsidRDefault="009C7B8F" w:rsidP="007C7D55">
            <w:pPr>
              <w:pStyle w:val="AFCorNNormal"/>
            </w:pPr>
            <w:r>
              <w:t>Ереван, 19-30 октября 2026 года</w:t>
            </w:r>
          </w:p>
          <w:p w14:paraId="2EDD79F0" w14:textId="77777777" w:rsidR="009C7B8F" w:rsidRPr="003E265B" w:rsidRDefault="009C7B8F" w:rsidP="007C7D55">
            <w:pPr>
              <w:pStyle w:val="AFCorNNormal"/>
            </w:pPr>
            <w:r>
              <w:t>Пункт 7 предварительной повестки дня</w:t>
            </w:r>
            <w:r>
              <w:rPr>
                <w:rStyle w:val="FootnoteReference"/>
              </w:rPr>
              <w:footnoteReference w:customMarkFollows="1" w:id="2"/>
              <w:t>**</w:t>
            </w:r>
          </w:p>
          <w:p w14:paraId="019BB698" w14:textId="74A16F38" w:rsidR="009C7B8F" w:rsidRPr="003E265B" w:rsidRDefault="009C7B8F" w:rsidP="007C7D55">
            <w:pPr>
              <w:pStyle w:val="AFCorNBold"/>
              <w:spacing w:after="120"/>
            </w:pPr>
            <w:r>
              <w:t>Административное обеспечение Конвенции о биологическом разнообразии, бюджет целевых фондов и функциональный обзор секретариата</w:t>
            </w:r>
          </w:p>
        </w:tc>
      </w:tr>
      <w:tr w:rsidR="009C7B8F" w:rsidRPr="003E265B" w14:paraId="10C7D2A1" w14:textId="77777777" w:rsidTr="00231A0B">
        <w:trPr>
          <w:trHeight w:val="57"/>
        </w:trPr>
        <w:tc>
          <w:tcPr>
            <w:tcW w:w="5233" w:type="dxa"/>
          </w:tcPr>
          <w:p w14:paraId="3FE5FDE5" w14:textId="77777777" w:rsidR="009C7B8F" w:rsidRPr="003E265B" w:rsidRDefault="009C7B8F" w:rsidP="007C7D55">
            <w:pPr>
              <w:pStyle w:val="AFCorN12Bold"/>
            </w:pPr>
            <w: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754A136E" w14:textId="77777777" w:rsidR="009C7B8F" w:rsidRPr="003E265B" w:rsidRDefault="009C7B8F" w:rsidP="007C7D55">
            <w:pPr>
              <w:pStyle w:val="AFCorNBold"/>
            </w:pPr>
            <w:r>
              <w:t xml:space="preserve">Двенадцатое совещание </w:t>
            </w:r>
          </w:p>
          <w:p w14:paraId="35D8499D" w14:textId="77777777" w:rsidR="009C7B8F" w:rsidRPr="003E265B" w:rsidRDefault="009C7B8F" w:rsidP="007C7D55">
            <w:pPr>
              <w:pStyle w:val="AFCorNNormal"/>
            </w:pPr>
            <w:r>
              <w:rPr>
                <w:snapToGrid w:val="0"/>
              </w:rPr>
              <w:t>Ереван</w:t>
            </w:r>
            <w:r>
              <w:t xml:space="preserve">, </w:t>
            </w:r>
            <w:r>
              <w:rPr>
                <w:snapToGrid w:val="0"/>
              </w:rPr>
              <w:t>19-30 октября 2026 года</w:t>
            </w:r>
          </w:p>
          <w:p w14:paraId="458CE02E" w14:textId="77777777" w:rsidR="009C7B8F" w:rsidRPr="003E265B" w:rsidRDefault="009C7B8F" w:rsidP="007C7D55">
            <w:pPr>
              <w:pStyle w:val="AFCorNNormal"/>
            </w:pPr>
            <w:r>
              <w:t>Пункт 6 предварительной повестки дня</w:t>
            </w:r>
            <w:r>
              <w:rPr>
                <w:rStyle w:val="FootnoteReference"/>
              </w:rPr>
              <w:footnoteReference w:customMarkFollows="1" w:id="3"/>
              <w:t>***</w:t>
            </w:r>
          </w:p>
          <w:p w14:paraId="48811DE0" w14:textId="77777777" w:rsidR="009C7B8F" w:rsidRPr="003E265B" w:rsidRDefault="009C7B8F" w:rsidP="007C7D55">
            <w:pPr>
              <w:pStyle w:val="AFCorNBold"/>
            </w:pPr>
            <w:r>
              <w:t>Административное обеспечение Картахенского протокола и бюджет целевых фондов</w:t>
            </w:r>
          </w:p>
        </w:tc>
        <w:tc>
          <w:tcPr>
            <w:tcW w:w="5386" w:type="dxa"/>
            <w:gridSpan w:val="2"/>
          </w:tcPr>
          <w:p w14:paraId="1C63FA10" w14:textId="77777777" w:rsidR="009C7B8F" w:rsidRPr="003E265B" w:rsidRDefault="009C7B8F" w:rsidP="007C7D55">
            <w:pPr>
              <w:pStyle w:val="AFCorN12Bold"/>
            </w:pPr>
            <w: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27CE991" w14:textId="77777777" w:rsidR="009C7B8F" w:rsidRPr="003E265B" w:rsidRDefault="009C7B8F" w:rsidP="007C7D55">
            <w:pPr>
              <w:pStyle w:val="AFCorNBold"/>
            </w:pPr>
            <w:r>
              <w:t xml:space="preserve">Шестое совещание </w:t>
            </w:r>
          </w:p>
          <w:p w14:paraId="4D192A87" w14:textId="77777777" w:rsidR="009C7B8F" w:rsidRPr="003E265B" w:rsidRDefault="009C7B8F" w:rsidP="007C7D55">
            <w:pPr>
              <w:pStyle w:val="AFCorNNormal"/>
            </w:pPr>
            <w:r>
              <w:t>Ереван, 19-30 октября 2026 года</w:t>
            </w:r>
          </w:p>
          <w:p w14:paraId="5981687D" w14:textId="77777777" w:rsidR="009C7B8F" w:rsidRPr="003E265B" w:rsidRDefault="009C7B8F" w:rsidP="007C7D55">
            <w:pPr>
              <w:pStyle w:val="AFCorNNormal"/>
            </w:pPr>
            <w:r>
              <w:t>Пункт 6 предварительной повестки дня</w:t>
            </w:r>
            <w:r>
              <w:rPr>
                <w:rStyle w:val="FootnoteReference"/>
              </w:rPr>
              <w:footnoteReference w:customMarkFollows="1" w:id="4"/>
              <w:t>****</w:t>
            </w:r>
          </w:p>
          <w:p w14:paraId="54926F62" w14:textId="77777777" w:rsidR="009C7B8F" w:rsidRPr="003E265B" w:rsidRDefault="009C7B8F" w:rsidP="007C7D55">
            <w:pPr>
              <w:pStyle w:val="AFCorNBold"/>
            </w:pPr>
            <w:r>
              <w:t>Административное обеспечение Нагойского протокола и бюджет целевых фондов</w:t>
            </w:r>
          </w:p>
        </w:tc>
      </w:tr>
    </w:tbl>
    <w:p w14:paraId="7A204686" w14:textId="0452983F" w:rsidR="00C9161D" w:rsidRPr="007B080E" w:rsidRDefault="00000000" w:rsidP="00A111D1">
      <w:pPr>
        <w:pStyle w:val="CBDTitle"/>
        <w:rPr>
          <w:caps/>
        </w:rPr>
      </w:pPr>
      <w:sdt>
        <w:sdtPr>
          <w:alias w:val="Название"/>
          <w:tag w:val=""/>
          <w:id w:val="772832786"/>
          <w:placeholder>
            <w:docPart w:val="3330D00C199F4F7295DEF710CB577B8B"/>
          </w:placeholder>
          <w:dataBinding w:prefixMappings="xmlns:ns0='http://purl.org/dc/elements/1.1/' xmlns:ns1='http://schemas.openxmlformats.org/package/2006/metadata/core-properties' " w:xpath="/ns1:coreProperties[1]/ns0:title[1]" w:storeItemID="{6C3C8BC8-F283-45AE-878A-BAB7291924A1}"/>
          <w:text/>
        </w:sdtPr>
        <w:sdtContent>
          <w:r w:rsidR="007B080E" w:rsidRPr="007B080E">
            <w:t>Административное обеспечение Конвенции и протоколов к н</w:t>
          </w:r>
          <w:r w:rsidR="007B080E">
            <w:t>ей на двухлетний период</w:t>
          </w:r>
          <w:r w:rsidR="00C16663" w:rsidRPr="007B080E">
            <w:t xml:space="preserve"> </w:t>
          </w:r>
          <w:r w:rsidR="007B080E" w:rsidRPr="007B080E">
            <w:t>2025–2026</w:t>
          </w:r>
          <w:r w:rsidR="007B080E">
            <w:t xml:space="preserve"> годов</w:t>
          </w:r>
        </w:sdtContent>
      </w:sdt>
      <w:r w:rsidR="007B080E" w:rsidRPr="007B080E">
        <w:rPr>
          <w:rStyle w:val="FootnoteReference"/>
        </w:rPr>
        <w:footnoteReference w:customMarkFollows="1" w:id="5"/>
        <w:t>†</w:t>
      </w:r>
    </w:p>
    <w:p w14:paraId="433E74B8" w14:textId="77777777" w:rsidR="00F6586C" w:rsidRPr="003E265B" w:rsidRDefault="0030169D" w:rsidP="00A111D1">
      <w:pPr>
        <w:pStyle w:val="CBDSubTitle"/>
      </w:pPr>
      <w:r>
        <w:t>Записка секретариата</w:t>
      </w:r>
    </w:p>
    <w:p w14:paraId="4E10A25E" w14:textId="326B984C" w:rsidR="00C9161D" w:rsidRPr="003E265B" w:rsidRDefault="00A111D1" w:rsidP="2080ABF3">
      <w:pPr>
        <w:pStyle w:val="CBDH1"/>
        <w:tabs>
          <w:tab w:val="left" w:pos="900"/>
        </w:tabs>
      </w:pPr>
      <w:r>
        <w:t>I.</w:t>
      </w:r>
      <w:r>
        <w:tab/>
        <w:t>Введение</w:t>
      </w:r>
    </w:p>
    <w:p w14:paraId="6221F779" w14:textId="4728A577" w:rsidR="005B35E2" w:rsidRPr="003E265B" w:rsidRDefault="77F2CCAC" w:rsidP="00440131">
      <w:pPr>
        <w:pStyle w:val="CBDNormalNumber"/>
      </w:pPr>
      <w:r>
        <w:t>В своем решении </w:t>
      </w:r>
      <w:hyperlink r:id="rId15" w:history="1">
        <w:r>
          <w:rPr>
            <w:rStyle w:val="Hyperlink"/>
          </w:rPr>
          <w:t>16/28</w:t>
        </w:r>
      </w:hyperlink>
      <w:r w:rsidR="00C7468A" w:rsidRPr="00C7468A">
        <w:t xml:space="preserve"> </w:t>
      </w:r>
      <w:r>
        <w:t>Конференция Сторон Конвенции поручила Исполнительному секретарю представить Вспомогательному органу по осуществлению до 17-го совещания Конференции Сторон Конвенции,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 доклады о поступлениях и исполнении бюджета, остатках неиспользованных средств и положении дел с излишками средств и переходящими остатками, а также о любых корректировках, внесенных в бюджет на двухлетний период 2025-2026 годов.</w:t>
      </w:r>
    </w:p>
    <w:p w14:paraId="6C77B58D" w14:textId="0425A919" w:rsidR="000D2A86" w:rsidRPr="003E265B" w:rsidRDefault="1F9B268F" w:rsidP="00440131">
      <w:pPr>
        <w:pStyle w:val="CBDNormalNumber"/>
      </w:pPr>
      <w:r>
        <w:lastRenderedPageBreak/>
        <w:t xml:space="preserve">В настоящем документе приводится подробная информация о финансовой и административной деятельности секретариата за двухлетний период </w:t>
      </w:r>
      <w:r w:rsidR="00C7468A">
        <w:t>2025–2026 годов</w:t>
      </w:r>
      <w:r>
        <w:t xml:space="preserve"> по состоянию на 31 мая 2026 года, если не указано иное. С дополнительной информацией о положении дел со взносами в трех общих целевых фондах (Общий целевой фонд Конвенции, Общий целевой фонд для основного бюджета по программе Картахенского протокола и Общий целевой фонд для основного бюджета по программе Нагойского протокола), Специальном добровольном целевом фонде для дополнительных утвержденных мероприятий в рамках Конвенции и протоколов к ней, Специальном добровольном целевом фонде для содействия участию Сторон в процессе осуществления Конвенции и Специальном добровольном целевом фонде для содействия участию коренных народов и местных общин по состоянию на 31 мая 2026 года, а также с финансовой отчетностью за 2025 год можно ознакомиться на веб-сайте секретариата.</w:t>
      </w:r>
      <w:r w:rsidR="002B4624">
        <w:t xml:space="preserve"> </w:t>
      </w:r>
    </w:p>
    <w:p w14:paraId="16A94953" w14:textId="0571DF04" w:rsidR="002C2291" w:rsidRPr="003E265B" w:rsidRDefault="002C2291" w:rsidP="002C2291">
      <w:pPr>
        <w:pStyle w:val="CBDH1"/>
      </w:pPr>
      <w:r>
        <w:t>II.</w:t>
      </w:r>
      <w:r>
        <w:tab/>
        <w:t xml:space="preserve">Поступления и исполнение бюджета на двухлетний период </w:t>
      </w:r>
      <w:r w:rsidR="00C7468A">
        <w:t>2025–2026 годов</w:t>
      </w:r>
    </w:p>
    <w:p w14:paraId="4C1FB6F2" w14:textId="4A1334D3" w:rsidR="0093169E" w:rsidRPr="003E265B" w:rsidRDefault="00A111D1" w:rsidP="00A111D1">
      <w:pPr>
        <w:pStyle w:val="CBDH2"/>
      </w:pPr>
      <w:r>
        <w:t>A.</w:t>
      </w:r>
      <w:r>
        <w:tab/>
        <w:t>Состояние начисленных взносов</w:t>
      </w:r>
    </w:p>
    <w:p w14:paraId="4F9F9CFF" w14:textId="5E8188D7" w:rsidR="00EF007D" w:rsidRPr="003E265B" w:rsidRDefault="00162F9B" w:rsidP="00440131">
      <w:pPr>
        <w:pStyle w:val="CBDNormalNumber"/>
      </w:pPr>
      <w:r>
        <w:t>В своем решении </w:t>
      </w:r>
      <w:hyperlink r:id="rId16" w:history="1">
        <w:r>
          <w:rPr>
            <w:rStyle w:val="Hyperlink"/>
          </w:rPr>
          <w:t>16/28</w:t>
        </w:r>
      </w:hyperlink>
      <w:r w:rsidR="00C7468A" w:rsidRPr="00C7468A">
        <w:t xml:space="preserve"> </w:t>
      </w:r>
      <w:r>
        <w:t>Конференция Сторон приняла комплексную программу работы и бюджет Конвенции и протоколов к ней. В том же решении она постановила распределять расходы на услуги секретариата среди Конвенции, Картахенского протокола и Нагойского протокола в соотношении 72:15:13 соответственно в двухлетний период 2025-2026 годов. Комплексный бюджет был также принят Конференцией Сторон, выступающей в качестве совещания Сторон Картахенского протокола по биобезопасности, и Конференцией Сторон, выступающей в качестве совещания Сторон Нагойского протокола, в решениях </w:t>
      </w:r>
      <w:hyperlink r:id="rId17" w:history="1">
        <w:r>
          <w:rPr>
            <w:rStyle w:val="Hyperlink"/>
          </w:rPr>
          <w:t>CP-11/11</w:t>
        </w:r>
      </w:hyperlink>
      <w:r>
        <w:t xml:space="preserve"> и </w:t>
      </w:r>
      <w:hyperlink r:id="rId18" w:history="1">
        <w:r>
          <w:rPr>
            <w:rStyle w:val="Hyperlink"/>
          </w:rPr>
          <w:t>NP-5/12</w:t>
        </w:r>
      </w:hyperlink>
      <w:r w:rsidR="00C7468A" w:rsidRPr="00C7468A">
        <w:t xml:space="preserve"> </w:t>
      </w:r>
      <w:r>
        <w:t>соответственно.</w:t>
      </w:r>
    </w:p>
    <w:p w14:paraId="5038BE1A" w14:textId="7208F1C9" w:rsidR="00EF007D" w:rsidRPr="003E265B" w:rsidRDefault="00EF007D" w:rsidP="00440131">
      <w:pPr>
        <w:pStyle w:val="CBDNormalNumber"/>
      </w:pPr>
      <w:r>
        <w:t>Комплексный бюджет в размере 21 682 100 долл. США и 22 753 400 долл. США был</w:t>
      </w:r>
      <w:r w:rsidR="00C7468A" w:rsidRPr="00C7468A">
        <w:t xml:space="preserve"> </w:t>
      </w:r>
      <w:r>
        <w:t>утвержден на 2025 и 2026 годы соответственно, что в общей сложности составляет 44 435 500 долл. США на двухлетний период, включая расходы на поддержку программ в размере 13%. Отдельные бюджеты Конвенции и протоколов, утвержденные соответствующими</w:t>
      </w:r>
      <w:r w:rsidR="00C7468A" w:rsidRPr="00C7468A">
        <w:t xml:space="preserve"> </w:t>
      </w:r>
      <w:r>
        <w:t>руководящими органами, представлены в таблице 1.</w:t>
      </w:r>
    </w:p>
    <w:p w14:paraId="1392082D" w14:textId="3AE1F008" w:rsidR="003F6EC1" w:rsidRPr="003E265B"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Таблица 1</w:t>
      </w:r>
      <w:r>
        <w:rPr>
          <w:b/>
          <w:bCs/>
        </w:rPr>
        <w:br/>
        <w:t xml:space="preserve">Сводная информация об утвержденных ресурсах на </w:t>
      </w:r>
      <w:r w:rsidR="00C7468A">
        <w:rPr>
          <w:b/>
          <w:bCs/>
        </w:rPr>
        <w:t>2025–2026 годы</w:t>
      </w:r>
      <w:r>
        <w:rPr>
          <w:b/>
          <w:bCs/>
        </w:rPr>
        <w:t xml:space="preserve"> в разбивке по целевым фондам</w:t>
      </w:r>
    </w:p>
    <w:p w14:paraId="64506968" w14:textId="5CDF5A84" w:rsidR="003F6EC1" w:rsidRPr="003E265B"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Pr>
          <w:sz w:val="18"/>
          <w:szCs w:val="18"/>
        </w:rPr>
        <w:t>(долл. США)</w:t>
      </w:r>
    </w:p>
    <w:tbl>
      <w:tblPr>
        <w:tblW w:w="8730" w:type="dxa"/>
        <w:tblInd w:w="630" w:type="dxa"/>
        <w:tblCellMar>
          <w:left w:w="28" w:type="dxa"/>
          <w:right w:w="28" w:type="dxa"/>
        </w:tblCellMar>
        <w:tblLook w:val="04A0" w:firstRow="1" w:lastRow="0" w:firstColumn="1" w:lastColumn="0" w:noHBand="0" w:noVBand="1"/>
      </w:tblPr>
      <w:tblGrid>
        <w:gridCol w:w="3780"/>
        <w:gridCol w:w="1620"/>
        <w:gridCol w:w="1710"/>
        <w:gridCol w:w="1620"/>
      </w:tblGrid>
      <w:tr w:rsidR="003F6EC1" w:rsidRPr="003E265B" w14:paraId="1F7CD7C7" w14:textId="77777777" w:rsidTr="00231A0B">
        <w:trPr>
          <w:trHeight w:val="420"/>
        </w:trPr>
        <w:tc>
          <w:tcPr>
            <w:tcW w:w="3780" w:type="dxa"/>
            <w:vMerge w:val="restart"/>
            <w:tcBorders>
              <w:top w:val="single" w:sz="4" w:space="0" w:color="auto"/>
              <w:bottom w:val="single" w:sz="4" w:space="0" w:color="000000" w:themeColor="text1"/>
            </w:tcBorders>
            <w:vAlign w:val="bottom"/>
            <w:hideMark/>
          </w:tcPr>
          <w:p w14:paraId="7BE8AA6C" w14:textId="3BA599DA"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Pr>
                <w:i/>
                <w:iCs/>
                <w:sz w:val="18"/>
                <w:szCs w:val="18"/>
              </w:rPr>
              <w:t>Целевой фонд</w:t>
            </w:r>
            <w:r>
              <w:rPr>
                <w:sz w:val="18"/>
                <w:szCs w:val="18"/>
              </w:rPr>
              <w:t xml:space="preserve"> </w:t>
            </w:r>
          </w:p>
        </w:tc>
        <w:tc>
          <w:tcPr>
            <w:tcW w:w="1620" w:type="dxa"/>
            <w:vMerge w:val="restart"/>
            <w:tcBorders>
              <w:top w:val="single" w:sz="4" w:space="0" w:color="auto"/>
              <w:bottom w:val="single" w:sz="4" w:space="0" w:color="000000" w:themeColor="text1"/>
            </w:tcBorders>
            <w:vAlign w:val="bottom"/>
            <w:hideMark/>
          </w:tcPr>
          <w:p w14:paraId="27DEE3CD" w14:textId="7B5DD0C8"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i/>
                <w:iCs/>
                <w:sz w:val="18"/>
                <w:szCs w:val="18"/>
              </w:rPr>
              <w:t>Утвержденный бюджет на 2025 г.</w:t>
            </w:r>
            <w:r>
              <w:rPr>
                <w:sz w:val="18"/>
                <w:szCs w:val="18"/>
              </w:rPr>
              <w:t xml:space="preserve"> </w:t>
            </w:r>
          </w:p>
        </w:tc>
        <w:tc>
          <w:tcPr>
            <w:tcW w:w="1710" w:type="dxa"/>
            <w:vMerge w:val="restart"/>
            <w:tcBorders>
              <w:top w:val="single" w:sz="4" w:space="0" w:color="auto"/>
              <w:bottom w:val="single" w:sz="4" w:space="0" w:color="000000" w:themeColor="text1"/>
            </w:tcBorders>
            <w:vAlign w:val="bottom"/>
            <w:hideMark/>
          </w:tcPr>
          <w:p w14:paraId="2CD5FEF9" w14:textId="293138E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i/>
                <w:iCs/>
                <w:sz w:val="18"/>
                <w:szCs w:val="18"/>
              </w:rPr>
              <w:t>Утвержденный бюджет на 2026 г.</w:t>
            </w:r>
            <w:r>
              <w:rPr>
                <w:sz w:val="18"/>
                <w:szCs w:val="18"/>
              </w:rPr>
              <w:t xml:space="preserve"> </w:t>
            </w:r>
          </w:p>
        </w:tc>
        <w:tc>
          <w:tcPr>
            <w:tcW w:w="1620" w:type="dxa"/>
            <w:vMerge w:val="restart"/>
            <w:tcBorders>
              <w:top w:val="single" w:sz="4" w:space="0" w:color="auto"/>
              <w:bottom w:val="single" w:sz="4" w:space="0" w:color="000000" w:themeColor="text1"/>
            </w:tcBorders>
            <w:vAlign w:val="bottom"/>
            <w:hideMark/>
          </w:tcPr>
          <w:p w14:paraId="28A36595" w14:textId="4DAA11E6"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i/>
                <w:iCs/>
                <w:sz w:val="18"/>
                <w:szCs w:val="18"/>
              </w:rPr>
              <w:t xml:space="preserve">Общий утвержденный бюджет на двухлетний период </w:t>
            </w:r>
            <w:r w:rsidR="000E7EE5">
              <w:rPr>
                <w:i/>
                <w:iCs/>
                <w:sz w:val="18"/>
                <w:szCs w:val="18"/>
              </w:rPr>
              <w:t xml:space="preserve">2025–2026 </w:t>
            </w:r>
            <w:r>
              <w:rPr>
                <w:i/>
                <w:iCs/>
                <w:sz w:val="18"/>
                <w:szCs w:val="18"/>
              </w:rPr>
              <w:t>гг.</w:t>
            </w:r>
            <w:r>
              <w:rPr>
                <w:sz w:val="18"/>
                <w:szCs w:val="18"/>
              </w:rPr>
              <w:t xml:space="preserve"> </w:t>
            </w:r>
          </w:p>
        </w:tc>
      </w:tr>
      <w:tr w:rsidR="003F6EC1" w:rsidRPr="003E265B" w14:paraId="46B5DD20" w14:textId="77777777" w:rsidTr="00231A0B">
        <w:trPr>
          <w:trHeight w:val="270"/>
        </w:trPr>
        <w:tc>
          <w:tcPr>
            <w:tcW w:w="3780" w:type="dxa"/>
            <w:vMerge/>
            <w:vAlign w:val="center"/>
            <w:hideMark/>
          </w:tcPr>
          <w:p w14:paraId="136EAE2F"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620" w:type="dxa"/>
            <w:vMerge/>
            <w:vAlign w:val="center"/>
            <w:hideMark/>
          </w:tcPr>
          <w:p w14:paraId="181D0017"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710" w:type="dxa"/>
            <w:vMerge/>
            <w:vAlign w:val="center"/>
            <w:hideMark/>
          </w:tcPr>
          <w:p w14:paraId="2B9942FB"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620" w:type="dxa"/>
            <w:vMerge/>
            <w:vAlign w:val="center"/>
            <w:hideMark/>
          </w:tcPr>
          <w:p w14:paraId="31AB5BBF"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r>
      <w:tr w:rsidR="2080ABF3" w:rsidRPr="003E265B" w14:paraId="6E66F2CD" w14:textId="77777777" w:rsidTr="00231A0B">
        <w:trPr>
          <w:trHeight w:val="270"/>
        </w:trPr>
        <w:tc>
          <w:tcPr>
            <w:tcW w:w="378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5691969" w14:textId="637B715F" w:rsidR="2080ABF3" w:rsidRPr="003E265B" w:rsidRDefault="2080ABF3" w:rsidP="2080ABF3">
            <w:pPr>
              <w:ind w:left="32"/>
              <w:jc w:val="left"/>
            </w:pPr>
            <w:r>
              <w:rPr>
                <w:sz w:val="18"/>
                <w:szCs w:val="18"/>
              </w:rPr>
              <w:t>Общий целевой фонд Конвенции</w:t>
            </w:r>
          </w:p>
        </w:tc>
        <w:tc>
          <w:tcPr>
            <w:tcW w:w="162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275906B" w14:textId="44EF2217" w:rsidR="2080ABF3" w:rsidRPr="003E265B" w:rsidRDefault="2080ABF3" w:rsidP="2080ABF3">
            <w:pPr>
              <w:ind w:left="32"/>
              <w:jc w:val="right"/>
            </w:pPr>
            <w:r>
              <w:rPr>
                <w:sz w:val="18"/>
                <w:szCs w:val="18"/>
              </w:rPr>
              <w:t>15 611 100</w:t>
            </w:r>
          </w:p>
        </w:tc>
        <w:tc>
          <w:tcPr>
            <w:tcW w:w="171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6AAA8D7" w14:textId="65741A36" w:rsidR="2080ABF3" w:rsidRPr="003E265B" w:rsidRDefault="2080ABF3" w:rsidP="2080ABF3">
            <w:pPr>
              <w:ind w:left="32"/>
              <w:jc w:val="right"/>
            </w:pPr>
            <w:r>
              <w:rPr>
                <w:sz w:val="18"/>
                <w:szCs w:val="18"/>
              </w:rPr>
              <w:t>16 382 400</w:t>
            </w:r>
          </w:p>
        </w:tc>
        <w:tc>
          <w:tcPr>
            <w:tcW w:w="162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E377C58" w14:textId="587D5041" w:rsidR="2080ABF3" w:rsidRPr="003E265B" w:rsidRDefault="2080ABF3" w:rsidP="2080ABF3">
            <w:pPr>
              <w:ind w:left="32"/>
              <w:jc w:val="right"/>
            </w:pPr>
            <w:r>
              <w:rPr>
                <w:sz w:val="18"/>
                <w:szCs w:val="18"/>
              </w:rPr>
              <w:t>31 993 500</w:t>
            </w:r>
          </w:p>
        </w:tc>
      </w:tr>
      <w:tr w:rsidR="003F6EC1" w:rsidRPr="003E265B" w14:paraId="4DCE20D0" w14:textId="77777777" w:rsidTr="00231A0B">
        <w:trPr>
          <w:trHeight w:val="270"/>
        </w:trPr>
        <w:tc>
          <w:tcPr>
            <w:tcW w:w="378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9F0E248" w14:textId="1E6937EA"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Pr>
                <w:sz w:val="18"/>
                <w:szCs w:val="18"/>
              </w:rPr>
              <w:t xml:space="preserve">Общий целевой фонд для основного бюджета по программе Картахенского протокола </w:t>
            </w:r>
          </w:p>
        </w:tc>
        <w:tc>
          <w:tcPr>
            <w:tcW w:w="162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925B168" w14:textId="65ADE7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szCs w:val="18"/>
              </w:rPr>
              <w:t>3 252 300</w:t>
            </w:r>
          </w:p>
        </w:tc>
        <w:tc>
          <w:tcPr>
            <w:tcW w:w="171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7613C708" w14:textId="6DA2F24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szCs w:val="18"/>
              </w:rPr>
              <w:t>3 413 100</w:t>
            </w:r>
          </w:p>
        </w:tc>
        <w:tc>
          <w:tcPr>
            <w:tcW w:w="162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FC77F74" w14:textId="1B16B08F"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szCs w:val="18"/>
              </w:rPr>
              <w:t>6 665 400</w:t>
            </w:r>
          </w:p>
        </w:tc>
      </w:tr>
      <w:tr w:rsidR="003F6EC1" w:rsidRPr="003E265B" w14:paraId="300EAA8F" w14:textId="77777777" w:rsidTr="00231A0B">
        <w:trPr>
          <w:trHeight w:val="270"/>
        </w:trPr>
        <w:tc>
          <w:tcPr>
            <w:tcW w:w="3780" w:type="dxa"/>
            <w:tcBorders>
              <w:top w:val="none" w:sz="4" w:space="0" w:color="000000" w:themeColor="text1"/>
              <w:bottom w:val="single" w:sz="4" w:space="0" w:color="auto"/>
            </w:tcBorders>
            <w:vAlign w:val="bottom"/>
            <w:hideMark/>
          </w:tcPr>
          <w:p w14:paraId="77CDB609" w14:textId="6624D768"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Pr>
                <w:sz w:val="18"/>
                <w:szCs w:val="18"/>
              </w:rPr>
              <w:t xml:space="preserve">Общий целевой фонд для основного бюджета по программе Нагойского протокола </w:t>
            </w:r>
          </w:p>
        </w:tc>
        <w:tc>
          <w:tcPr>
            <w:tcW w:w="1620" w:type="dxa"/>
            <w:tcBorders>
              <w:top w:val="none" w:sz="4" w:space="0" w:color="000000" w:themeColor="text1"/>
              <w:bottom w:val="single" w:sz="4" w:space="0" w:color="auto"/>
            </w:tcBorders>
            <w:vAlign w:val="bottom"/>
            <w:hideMark/>
          </w:tcPr>
          <w:p w14:paraId="29CD63C4" w14:textId="4DFAF596"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szCs w:val="18"/>
              </w:rPr>
              <w:t>2 818 700</w:t>
            </w:r>
          </w:p>
        </w:tc>
        <w:tc>
          <w:tcPr>
            <w:tcW w:w="1710" w:type="dxa"/>
            <w:tcBorders>
              <w:top w:val="none" w:sz="4" w:space="0" w:color="000000" w:themeColor="text1"/>
              <w:bottom w:val="single" w:sz="4" w:space="0" w:color="auto"/>
            </w:tcBorders>
            <w:vAlign w:val="bottom"/>
            <w:hideMark/>
          </w:tcPr>
          <w:p w14:paraId="477930A4" w14:textId="6C21AE30"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szCs w:val="18"/>
              </w:rPr>
              <w:t>2 957 900</w:t>
            </w:r>
          </w:p>
        </w:tc>
        <w:tc>
          <w:tcPr>
            <w:tcW w:w="1620" w:type="dxa"/>
            <w:tcBorders>
              <w:top w:val="none" w:sz="4" w:space="0" w:color="000000" w:themeColor="text1"/>
              <w:bottom w:val="single" w:sz="4" w:space="0" w:color="auto"/>
            </w:tcBorders>
            <w:vAlign w:val="bottom"/>
            <w:hideMark/>
          </w:tcPr>
          <w:p w14:paraId="0F4BE6A3" w14:textId="5246526F"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sz w:val="18"/>
                <w:szCs w:val="18"/>
              </w:rPr>
              <w:t>5 776 600</w:t>
            </w:r>
          </w:p>
        </w:tc>
      </w:tr>
      <w:tr w:rsidR="003F6EC1" w:rsidRPr="003E265B" w14:paraId="29D27BF4" w14:textId="77777777" w:rsidTr="00231A0B">
        <w:trPr>
          <w:trHeight w:val="270"/>
        </w:trPr>
        <w:tc>
          <w:tcPr>
            <w:tcW w:w="3780" w:type="dxa"/>
            <w:tcBorders>
              <w:top w:val="single" w:sz="4" w:space="0" w:color="auto"/>
              <w:bottom w:val="single" w:sz="4" w:space="0" w:color="auto"/>
            </w:tcBorders>
            <w:vAlign w:val="bottom"/>
            <w:hideMark/>
          </w:tcPr>
          <w:p w14:paraId="3DB1F628" w14:textId="55969BD7" w:rsidR="003F6EC1" w:rsidRPr="003E265B" w:rsidRDefault="003F6EC1" w:rsidP="003F6EC1">
            <w:pPr>
              <w:tabs>
                <w:tab w:val="clear" w:pos="567"/>
                <w:tab w:val="clear" w:pos="1134"/>
                <w:tab w:val="clear" w:pos="1701"/>
                <w:tab w:val="clear" w:pos="2268"/>
              </w:tabs>
              <w:ind w:left="30" w:firstLine="555"/>
              <w:jc w:val="left"/>
              <w:textAlignment w:val="baseline"/>
              <w:rPr>
                <w:rFonts w:eastAsia="Times New Roman"/>
                <w:sz w:val="24"/>
                <w:szCs w:val="24"/>
              </w:rPr>
            </w:pPr>
            <w:r>
              <w:rPr>
                <w:b/>
                <w:bCs/>
                <w:sz w:val="18"/>
                <w:szCs w:val="18"/>
              </w:rPr>
              <w:t>Итого</w:t>
            </w:r>
            <w:r>
              <w:rPr>
                <w:sz w:val="18"/>
                <w:szCs w:val="18"/>
              </w:rPr>
              <w:t xml:space="preserve"> </w:t>
            </w:r>
          </w:p>
        </w:tc>
        <w:tc>
          <w:tcPr>
            <w:tcW w:w="1620" w:type="dxa"/>
            <w:tcBorders>
              <w:top w:val="single" w:sz="4" w:space="0" w:color="auto"/>
              <w:bottom w:val="single" w:sz="4" w:space="0" w:color="auto"/>
            </w:tcBorders>
            <w:vAlign w:val="bottom"/>
            <w:hideMark/>
          </w:tcPr>
          <w:p w14:paraId="6F3D3DEF" w14:textId="071338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b/>
                <w:bCs/>
                <w:sz w:val="18"/>
                <w:szCs w:val="18"/>
              </w:rPr>
              <w:t>21 682 100</w:t>
            </w:r>
          </w:p>
        </w:tc>
        <w:tc>
          <w:tcPr>
            <w:tcW w:w="1710" w:type="dxa"/>
            <w:tcBorders>
              <w:top w:val="single" w:sz="4" w:space="0" w:color="auto"/>
              <w:bottom w:val="single" w:sz="4" w:space="0" w:color="auto"/>
            </w:tcBorders>
            <w:vAlign w:val="bottom"/>
            <w:hideMark/>
          </w:tcPr>
          <w:p w14:paraId="1B7DFF20" w14:textId="453B3BD7"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b/>
                <w:bCs/>
                <w:sz w:val="18"/>
                <w:szCs w:val="18"/>
              </w:rPr>
              <w:t>22 753 400</w:t>
            </w:r>
          </w:p>
        </w:tc>
        <w:tc>
          <w:tcPr>
            <w:tcW w:w="1620" w:type="dxa"/>
            <w:tcBorders>
              <w:top w:val="single" w:sz="4" w:space="0" w:color="auto"/>
              <w:bottom w:val="single" w:sz="4" w:space="0" w:color="auto"/>
            </w:tcBorders>
            <w:vAlign w:val="bottom"/>
            <w:hideMark/>
          </w:tcPr>
          <w:p w14:paraId="4BB1277F" w14:textId="3F2E87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Pr>
                <w:b/>
                <w:bCs/>
                <w:sz w:val="18"/>
                <w:szCs w:val="18"/>
              </w:rPr>
              <w:t>44 435 500</w:t>
            </w:r>
          </w:p>
        </w:tc>
      </w:tr>
    </w:tbl>
    <w:p w14:paraId="11DB565B" w14:textId="0FFB2170" w:rsidR="00EF007D" w:rsidRPr="003E265B" w:rsidRDefault="00535FD1" w:rsidP="00440131">
      <w:pPr>
        <w:pStyle w:val="CBDNormalNumber"/>
      </w:pPr>
      <w:r>
        <w:t>Как показано в таблице 2, после вычета суммы средств, сэкономленных за предыдущие периоды, в размере 668 900 долл. США и взноса принимающей страны в размере 3 321 300 долл. США, общий объем начисленных взносов Сторон Конвенции и протоколов к ней в соответствии со шкалой взносов составил 40 445 300 долл. США за двухлетний период.</w:t>
      </w:r>
    </w:p>
    <w:p w14:paraId="39CEFF19" w14:textId="77777777" w:rsidR="00231A0B" w:rsidRDefault="00231A0B">
      <w:pPr>
        <w:tabs>
          <w:tab w:val="clear" w:pos="567"/>
          <w:tab w:val="clear" w:pos="1134"/>
          <w:tab w:val="clear" w:pos="1701"/>
          <w:tab w:val="clear" w:pos="2268"/>
        </w:tabs>
        <w:jc w:val="left"/>
      </w:pPr>
      <w:r>
        <w:br w:type="page"/>
      </w:r>
    </w:p>
    <w:p w14:paraId="3ABE1F2E" w14:textId="1B738556" w:rsidR="00981655" w:rsidRPr="003E265B" w:rsidRDefault="00981655" w:rsidP="00981655">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lastRenderedPageBreak/>
        <w:t>Таблица 2</w:t>
      </w:r>
      <w:r>
        <w:rPr>
          <w:b/>
          <w:bCs/>
        </w:rPr>
        <w:br/>
        <w:t xml:space="preserve">Общее состояние начисленных взносов, </w:t>
      </w:r>
      <w:r w:rsidR="00C7468A">
        <w:rPr>
          <w:b/>
          <w:bCs/>
        </w:rPr>
        <w:t xml:space="preserve">2025–2026 </w:t>
      </w:r>
      <w:r>
        <w:rPr>
          <w:b/>
          <w:bCs/>
        </w:rPr>
        <w:t>годы</w:t>
      </w:r>
    </w:p>
    <w:p w14:paraId="7AB72665" w14:textId="588E5F60" w:rsidR="00981655" w:rsidRPr="003E265B" w:rsidRDefault="00981655" w:rsidP="00034006">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Pr>
          <w:sz w:val="18"/>
          <w:szCs w:val="18"/>
        </w:rPr>
        <w:t>(тыс. долл. США)</w:t>
      </w:r>
    </w:p>
    <w:tbl>
      <w:tblPr>
        <w:tblW w:w="6255"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710"/>
        <w:gridCol w:w="1545"/>
      </w:tblGrid>
      <w:tr w:rsidR="00981655" w:rsidRPr="003E265B" w14:paraId="0EB4CB7B" w14:textId="77777777" w:rsidTr="00440131">
        <w:trPr>
          <w:trHeight w:val="450"/>
        </w:trPr>
        <w:tc>
          <w:tcPr>
            <w:tcW w:w="4710" w:type="dxa"/>
            <w:tcBorders>
              <w:top w:val="single" w:sz="4" w:space="0" w:color="auto"/>
              <w:left w:val="nil"/>
              <w:bottom w:val="single" w:sz="4" w:space="0" w:color="auto"/>
              <w:right w:val="nil"/>
            </w:tcBorders>
            <w:vAlign w:val="bottom"/>
            <w:hideMark/>
          </w:tcPr>
          <w:p w14:paraId="5F48E49B" w14:textId="0FA1F126" w:rsidR="00981655" w:rsidRPr="003E265B" w:rsidRDefault="00981655" w:rsidP="00BD6DBA">
            <w:pPr>
              <w:tabs>
                <w:tab w:val="clear" w:pos="567"/>
                <w:tab w:val="clear" w:pos="1134"/>
                <w:tab w:val="clear" w:pos="1701"/>
                <w:tab w:val="clear" w:pos="2268"/>
              </w:tabs>
              <w:jc w:val="left"/>
              <w:textAlignment w:val="baseline"/>
              <w:rPr>
                <w:rFonts w:eastAsia="Times New Roman"/>
                <w:sz w:val="24"/>
                <w:szCs w:val="24"/>
              </w:rPr>
            </w:pPr>
            <w:r>
              <w:rPr>
                <w:i/>
                <w:iCs/>
                <w:sz w:val="18"/>
                <w:szCs w:val="18"/>
              </w:rPr>
              <w:t>Источник финансирования</w:t>
            </w:r>
            <w:r>
              <w:rPr>
                <w:sz w:val="18"/>
                <w:szCs w:val="18"/>
              </w:rPr>
              <w:t xml:space="preserve"> </w:t>
            </w:r>
          </w:p>
        </w:tc>
        <w:tc>
          <w:tcPr>
            <w:tcW w:w="1545" w:type="dxa"/>
            <w:tcBorders>
              <w:top w:val="single" w:sz="4" w:space="0" w:color="auto"/>
              <w:left w:val="nil"/>
              <w:bottom w:val="single" w:sz="4" w:space="0" w:color="auto"/>
              <w:right w:val="nil"/>
            </w:tcBorders>
            <w:vAlign w:val="bottom"/>
            <w:hideMark/>
          </w:tcPr>
          <w:p w14:paraId="0A76E827" w14:textId="5321BFEF" w:rsidR="00981655" w:rsidRPr="003E265B" w:rsidRDefault="00981655" w:rsidP="00BD6DBA">
            <w:pPr>
              <w:tabs>
                <w:tab w:val="clear" w:pos="567"/>
                <w:tab w:val="clear" w:pos="1134"/>
                <w:tab w:val="clear" w:pos="1701"/>
                <w:tab w:val="clear" w:pos="2268"/>
              </w:tabs>
              <w:jc w:val="right"/>
              <w:textAlignment w:val="baseline"/>
              <w:rPr>
                <w:rFonts w:eastAsia="Times New Roman"/>
                <w:sz w:val="24"/>
                <w:szCs w:val="24"/>
              </w:rPr>
            </w:pPr>
            <w:r>
              <w:rPr>
                <w:i/>
                <w:iCs/>
                <w:sz w:val="18"/>
                <w:szCs w:val="18"/>
              </w:rPr>
              <w:t>Сумма</w:t>
            </w:r>
            <w:r>
              <w:rPr>
                <w:sz w:val="18"/>
                <w:szCs w:val="18"/>
              </w:rPr>
              <w:t xml:space="preserve"> </w:t>
            </w:r>
          </w:p>
        </w:tc>
      </w:tr>
      <w:tr w:rsidR="00981655" w:rsidRPr="003E265B" w14:paraId="2A8F1FB9" w14:textId="77777777" w:rsidTr="00440131">
        <w:trPr>
          <w:trHeight w:val="285"/>
        </w:trPr>
        <w:tc>
          <w:tcPr>
            <w:tcW w:w="4710" w:type="dxa"/>
            <w:tcBorders>
              <w:top w:val="nil"/>
              <w:left w:val="nil"/>
              <w:bottom w:val="nil"/>
              <w:right w:val="nil"/>
            </w:tcBorders>
            <w:vAlign w:val="center"/>
            <w:hideMark/>
          </w:tcPr>
          <w:p w14:paraId="48EEE0B6" w14:textId="6886026A"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Pr>
                <w:sz w:val="18"/>
                <w:szCs w:val="18"/>
              </w:rPr>
              <w:t xml:space="preserve">Утвержденный бюджет </w:t>
            </w:r>
          </w:p>
        </w:tc>
        <w:tc>
          <w:tcPr>
            <w:tcW w:w="1545" w:type="dxa"/>
            <w:tcBorders>
              <w:top w:val="nil"/>
              <w:left w:val="nil"/>
              <w:bottom w:val="nil"/>
              <w:right w:val="nil"/>
            </w:tcBorders>
            <w:vAlign w:val="center"/>
            <w:hideMark/>
          </w:tcPr>
          <w:p w14:paraId="0F2F7458" w14:textId="0CCD3051"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sz w:val="18"/>
                <w:szCs w:val="18"/>
              </w:rPr>
              <w:t>44 435,5</w:t>
            </w:r>
          </w:p>
        </w:tc>
      </w:tr>
      <w:tr w:rsidR="00981655" w:rsidRPr="003E265B" w14:paraId="1054F287" w14:textId="77777777" w:rsidTr="00440131">
        <w:trPr>
          <w:trHeight w:val="285"/>
        </w:trPr>
        <w:tc>
          <w:tcPr>
            <w:tcW w:w="4710" w:type="dxa"/>
            <w:tcBorders>
              <w:top w:val="nil"/>
              <w:left w:val="nil"/>
              <w:bottom w:val="nil"/>
              <w:right w:val="nil"/>
            </w:tcBorders>
            <w:vAlign w:val="center"/>
            <w:hideMark/>
          </w:tcPr>
          <w:p w14:paraId="4FC0C82F" w14:textId="3B5FB540"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Pr>
                <w:sz w:val="18"/>
                <w:szCs w:val="18"/>
              </w:rPr>
              <w:t xml:space="preserve">Принимающая страна </w:t>
            </w:r>
          </w:p>
        </w:tc>
        <w:tc>
          <w:tcPr>
            <w:tcW w:w="1545" w:type="dxa"/>
            <w:tcBorders>
              <w:top w:val="nil"/>
              <w:left w:val="nil"/>
              <w:bottom w:val="nil"/>
              <w:right w:val="nil"/>
            </w:tcBorders>
            <w:vAlign w:val="center"/>
            <w:hideMark/>
          </w:tcPr>
          <w:p w14:paraId="31CC93F5" w14:textId="714BCBCD"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sz w:val="18"/>
                <w:szCs w:val="18"/>
              </w:rPr>
              <w:t>(3</w:t>
            </w:r>
            <w:r w:rsidR="00C7468A">
              <w:rPr>
                <w:sz w:val="18"/>
                <w:szCs w:val="18"/>
                <w:lang w:val="en-US"/>
              </w:rPr>
              <w:t xml:space="preserve"> </w:t>
            </w:r>
            <w:r>
              <w:rPr>
                <w:sz w:val="18"/>
                <w:szCs w:val="18"/>
              </w:rPr>
              <w:t>321,3)</w:t>
            </w:r>
          </w:p>
        </w:tc>
      </w:tr>
      <w:tr w:rsidR="00981655" w:rsidRPr="003E265B" w14:paraId="0654946D" w14:textId="77777777" w:rsidTr="00440131">
        <w:trPr>
          <w:trHeight w:val="285"/>
        </w:trPr>
        <w:tc>
          <w:tcPr>
            <w:tcW w:w="4710" w:type="dxa"/>
            <w:tcBorders>
              <w:top w:val="nil"/>
              <w:left w:val="nil"/>
              <w:bottom w:val="single" w:sz="4" w:space="0" w:color="auto"/>
              <w:right w:val="nil"/>
            </w:tcBorders>
            <w:vAlign w:val="center"/>
            <w:hideMark/>
          </w:tcPr>
          <w:p w14:paraId="25E8D453" w14:textId="15D80FA8"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Pr>
                <w:sz w:val="18"/>
                <w:szCs w:val="18"/>
              </w:rPr>
              <w:t xml:space="preserve">Средства, сэкономленные в предыдущие годы </w:t>
            </w:r>
          </w:p>
        </w:tc>
        <w:tc>
          <w:tcPr>
            <w:tcW w:w="1545" w:type="dxa"/>
            <w:tcBorders>
              <w:top w:val="nil"/>
              <w:left w:val="nil"/>
              <w:bottom w:val="single" w:sz="4" w:space="0" w:color="auto"/>
              <w:right w:val="nil"/>
            </w:tcBorders>
            <w:vAlign w:val="center"/>
            <w:hideMark/>
          </w:tcPr>
          <w:p w14:paraId="70263F3A" w14:textId="71347118"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sz w:val="18"/>
                <w:szCs w:val="18"/>
              </w:rPr>
              <w:t>(668,9)</w:t>
            </w:r>
          </w:p>
        </w:tc>
      </w:tr>
      <w:tr w:rsidR="00981655" w:rsidRPr="003E265B" w14:paraId="1181E60B" w14:textId="77777777" w:rsidTr="00440131">
        <w:trPr>
          <w:trHeight w:val="285"/>
        </w:trPr>
        <w:tc>
          <w:tcPr>
            <w:tcW w:w="4710" w:type="dxa"/>
            <w:tcBorders>
              <w:top w:val="single" w:sz="4" w:space="0" w:color="auto"/>
              <w:left w:val="nil"/>
              <w:bottom w:val="single" w:sz="4" w:space="0" w:color="auto"/>
              <w:right w:val="nil"/>
            </w:tcBorders>
            <w:vAlign w:val="center"/>
            <w:hideMark/>
          </w:tcPr>
          <w:p w14:paraId="1F5784CA" w14:textId="7160B954" w:rsidR="00981655" w:rsidRPr="003E265B" w:rsidRDefault="00981655" w:rsidP="00981655">
            <w:pPr>
              <w:tabs>
                <w:tab w:val="clear" w:pos="567"/>
                <w:tab w:val="clear" w:pos="1134"/>
                <w:tab w:val="clear" w:pos="1701"/>
                <w:tab w:val="clear" w:pos="2268"/>
              </w:tabs>
              <w:textAlignment w:val="baseline"/>
              <w:rPr>
                <w:rFonts w:eastAsia="Times New Roman"/>
                <w:sz w:val="24"/>
                <w:szCs w:val="24"/>
              </w:rPr>
            </w:pPr>
            <w:r>
              <w:rPr>
                <w:b/>
                <w:bCs/>
                <w:sz w:val="18"/>
                <w:szCs w:val="18"/>
              </w:rPr>
              <w:t>Итого начисленных взносов</w:t>
            </w:r>
            <w:r>
              <w:rPr>
                <w:sz w:val="18"/>
                <w:szCs w:val="18"/>
              </w:rPr>
              <w:t xml:space="preserve"> </w:t>
            </w:r>
          </w:p>
        </w:tc>
        <w:tc>
          <w:tcPr>
            <w:tcW w:w="1545" w:type="dxa"/>
            <w:tcBorders>
              <w:top w:val="single" w:sz="4" w:space="0" w:color="auto"/>
              <w:left w:val="nil"/>
              <w:bottom w:val="single" w:sz="4" w:space="0" w:color="auto"/>
              <w:right w:val="nil"/>
            </w:tcBorders>
            <w:vAlign w:val="center"/>
            <w:hideMark/>
          </w:tcPr>
          <w:p w14:paraId="7B8DFF23" w14:textId="03D67E0C"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Pr>
                <w:b/>
                <w:bCs/>
                <w:sz w:val="18"/>
                <w:szCs w:val="18"/>
              </w:rPr>
              <w:t>40 445,3</w:t>
            </w:r>
          </w:p>
        </w:tc>
      </w:tr>
    </w:tbl>
    <w:p w14:paraId="5A74623A" w14:textId="77777777" w:rsidR="00231A0B" w:rsidRDefault="00231A0B" w:rsidP="00042AD8">
      <w:pPr>
        <w:tabs>
          <w:tab w:val="clear" w:pos="567"/>
          <w:tab w:val="clear" w:pos="1134"/>
          <w:tab w:val="clear" w:pos="1701"/>
          <w:tab w:val="clear" w:pos="2268"/>
        </w:tabs>
        <w:ind w:left="555"/>
        <w:jc w:val="left"/>
        <w:textAlignment w:val="baseline"/>
        <w:rPr>
          <w:lang w:val="en-US"/>
        </w:rPr>
      </w:pPr>
    </w:p>
    <w:p w14:paraId="11AC654B" w14:textId="551D272A" w:rsidR="00042AD8" w:rsidRPr="003E265B"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Таблица 3</w:t>
      </w:r>
      <w:r>
        <w:rPr>
          <w:b/>
          <w:bCs/>
        </w:rPr>
        <w:t xml:space="preserve"> </w:t>
      </w:r>
      <w:r>
        <w:rPr>
          <w:b/>
          <w:bCs/>
        </w:rPr>
        <w:br/>
        <w:t xml:space="preserve">Состояние взносов в осуществление Конвенции и протоколов к ней за двухлетний период </w:t>
      </w:r>
      <w:r w:rsidR="00C7468A">
        <w:rPr>
          <w:b/>
          <w:bCs/>
        </w:rPr>
        <w:t xml:space="preserve">2025–2026 </w:t>
      </w:r>
      <w:r>
        <w:rPr>
          <w:b/>
          <w:bCs/>
        </w:rPr>
        <w:t>годов, по состоянию на 31 мая 2026 года</w:t>
      </w:r>
    </w:p>
    <w:p w14:paraId="1DB6A253" w14:textId="7CC40CE4" w:rsidR="00042AD8" w:rsidRPr="003E265B"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rPr>
      </w:pPr>
      <w:r>
        <w:rPr>
          <w:sz w:val="18"/>
          <w:szCs w:val="18"/>
        </w:rPr>
        <w:t>(тыс. долл. США)</w:t>
      </w:r>
    </w:p>
    <w:tbl>
      <w:tblPr>
        <w:tblW w:w="8784"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3178"/>
        <w:gridCol w:w="1030"/>
        <w:gridCol w:w="1112"/>
        <w:gridCol w:w="1120"/>
        <w:gridCol w:w="1230"/>
        <w:gridCol w:w="1114"/>
      </w:tblGrid>
      <w:tr w:rsidR="00042AD8" w:rsidRPr="003E265B" w14:paraId="7057FE15" w14:textId="77777777" w:rsidTr="00440131">
        <w:trPr>
          <w:trHeight w:val="240"/>
        </w:trPr>
        <w:tc>
          <w:tcPr>
            <w:tcW w:w="3330" w:type="dxa"/>
            <w:tcBorders>
              <w:top w:val="single" w:sz="4" w:space="0" w:color="auto"/>
              <w:left w:val="nil"/>
              <w:bottom w:val="single" w:sz="4" w:space="0" w:color="auto"/>
              <w:right w:val="nil"/>
            </w:tcBorders>
            <w:vAlign w:val="bottom"/>
            <w:hideMark/>
          </w:tcPr>
          <w:p w14:paraId="027E06D9" w14:textId="082F75A7" w:rsidR="00042AD8" w:rsidRPr="00440131" w:rsidRDefault="00D66E14" w:rsidP="00A803CA">
            <w:pPr>
              <w:tabs>
                <w:tab w:val="clear" w:pos="567"/>
                <w:tab w:val="clear" w:pos="1134"/>
                <w:tab w:val="clear" w:pos="1701"/>
                <w:tab w:val="clear" w:pos="2268"/>
              </w:tabs>
              <w:jc w:val="left"/>
              <w:textAlignment w:val="baseline"/>
              <w:rPr>
                <w:rFonts w:eastAsia="Times New Roman"/>
                <w:i/>
                <w:iCs/>
                <w:sz w:val="24"/>
                <w:szCs w:val="24"/>
              </w:rPr>
            </w:pPr>
            <w:r>
              <w:rPr>
                <w:i/>
                <w:iCs/>
                <w:sz w:val="18"/>
                <w:szCs w:val="18"/>
              </w:rPr>
              <w:t>Целевой фонд</w:t>
            </w:r>
          </w:p>
        </w:tc>
        <w:tc>
          <w:tcPr>
            <w:tcW w:w="900" w:type="dxa"/>
            <w:tcBorders>
              <w:top w:val="single" w:sz="4" w:space="0" w:color="auto"/>
              <w:left w:val="nil"/>
              <w:bottom w:val="single" w:sz="4" w:space="0" w:color="auto"/>
              <w:right w:val="nil"/>
            </w:tcBorders>
            <w:vAlign w:val="bottom"/>
            <w:hideMark/>
          </w:tcPr>
          <w:p w14:paraId="48F721BB" w14:textId="6F4774E1"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i/>
                <w:iCs/>
                <w:sz w:val="18"/>
                <w:szCs w:val="18"/>
              </w:rPr>
              <w:t xml:space="preserve">Сумма </w:t>
            </w:r>
          </w:p>
          <w:p w14:paraId="37D96B41" w14:textId="1FC12DA9"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i/>
                <w:iCs/>
                <w:sz w:val="18"/>
                <w:szCs w:val="18"/>
              </w:rPr>
              <w:t>начисленных взносов</w:t>
            </w:r>
          </w:p>
        </w:tc>
        <w:tc>
          <w:tcPr>
            <w:tcW w:w="1125" w:type="dxa"/>
            <w:tcBorders>
              <w:top w:val="single" w:sz="4" w:space="0" w:color="auto"/>
              <w:left w:val="nil"/>
              <w:bottom w:val="single" w:sz="4" w:space="0" w:color="auto"/>
              <w:right w:val="nil"/>
            </w:tcBorders>
            <w:vAlign w:val="bottom"/>
            <w:hideMark/>
          </w:tcPr>
          <w:p w14:paraId="3AD1A71D" w14:textId="0341C0F9"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i/>
                <w:iCs/>
                <w:sz w:val="18"/>
                <w:szCs w:val="18"/>
              </w:rPr>
              <w:t xml:space="preserve">Сумма </w:t>
            </w:r>
          </w:p>
          <w:p w14:paraId="2AF46DD7" w14:textId="51016364"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i/>
                <w:iCs/>
                <w:sz w:val="18"/>
                <w:szCs w:val="18"/>
              </w:rPr>
              <w:t>полученных взносов</w:t>
            </w:r>
          </w:p>
        </w:tc>
        <w:tc>
          <w:tcPr>
            <w:tcW w:w="1170" w:type="dxa"/>
            <w:tcBorders>
              <w:top w:val="single" w:sz="4" w:space="0" w:color="auto"/>
              <w:left w:val="nil"/>
              <w:bottom w:val="single" w:sz="4" w:space="0" w:color="auto"/>
              <w:right w:val="nil"/>
            </w:tcBorders>
            <w:vAlign w:val="bottom"/>
            <w:hideMark/>
          </w:tcPr>
          <w:p w14:paraId="7E2697AF" w14:textId="64A7A1E9"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i/>
                <w:iCs/>
                <w:sz w:val="18"/>
                <w:szCs w:val="18"/>
              </w:rPr>
              <w:t>Доля в %</w:t>
            </w:r>
            <w:r>
              <w:rPr>
                <w:sz w:val="18"/>
                <w:szCs w:val="18"/>
              </w:rPr>
              <w:t xml:space="preserve"> </w:t>
            </w:r>
          </w:p>
        </w:tc>
        <w:tc>
          <w:tcPr>
            <w:tcW w:w="1095" w:type="dxa"/>
            <w:tcBorders>
              <w:top w:val="single" w:sz="4" w:space="0" w:color="auto"/>
              <w:left w:val="nil"/>
              <w:bottom w:val="single" w:sz="4" w:space="0" w:color="auto"/>
              <w:right w:val="nil"/>
            </w:tcBorders>
            <w:vAlign w:val="bottom"/>
            <w:hideMark/>
          </w:tcPr>
          <w:p w14:paraId="299618D3" w14:textId="5A039B15" w:rsidR="00042AD8" w:rsidRPr="003E265B" w:rsidRDefault="00C75AA0" w:rsidP="00C75AA0">
            <w:pPr>
              <w:tabs>
                <w:tab w:val="clear" w:pos="567"/>
                <w:tab w:val="clear" w:pos="1134"/>
                <w:tab w:val="clear" w:pos="1701"/>
                <w:tab w:val="clear" w:pos="2268"/>
              </w:tabs>
              <w:jc w:val="right"/>
              <w:textAlignment w:val="baseline"/>
              <w:rPr>
                <w:rFonts w:eastAsia="Times New Roman"/>
                <w:sz w:val="24"/>
                <w:szCs w:val="24"/>
              </w:rPr>
            </w:pPr>
            <w:r>
              <w:rPr>
                <w:i/>
                <w:iCs/>
                <w:sz w:val="18"/>
                <w:szCs w:val="18"/>
              </w:rPr>
              <w:t>Сумма невыплаченных взносов</w:t>
            </w:r>
          </w:p>
        </w:tc>
        <w:tc>
          <w:tcPr>
            <w:tcW w:w="1164" w:type="dxa"/>
            <w:tcBorders>
              <w:top w:val="single" w:sz="4" w:space="0" w:color="auto"/>
              <w:left w:val="nil"/>
              <w:bottom w:val="single" w:sz="4" w:space="0" w:color="auto"/>
              <w:right w:val="nil"/>
            </w:tcBorders>
            <w:vAlign w:val="bottom"/>
            <w:hideMark/>
          </w:tcPr>
          <w:p w14:paraId="7E43210D" w14:textId="5761682B"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i/>
                <w:iCs/>
                <w:sz w:val="18"/>
                <w:szCs w:val="18"/>
              </w:rPr>
              <w:t>Доля в %</w:t>
            </w:r>
          </w:p>
        </w:tc>
      </w:tr>
      <w:tr w:rsidR="00042AD8" w:rsidRPr="003E265B" w14:paraId="594AC397" w14:textId="77777777" w:rsidTr="00440131">
        <w:trPr>
          <w:trHeight w:val="255"/>
        </w:trPr>
        <w:tc>
          <w:tcPr>
            <w:tcW w:w="3330" w:type="dxa"/>
            <w:tcBorders>
              <w:top w:val="single" w:sz="4" w:space="0" w:color="auto"/>
              <w:left w:val="nil"/>
              <w:bottom w:val="nil"/>
              <w:right w:val="nil"/>
            </w:tcBorders>
            <w:vAlign w:val="bottom"/>
            <w:hideMark/>
          </w:tcPr>
          <w:p w14:paraId="7ABB7053" w14:textId="1FC42CC0"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Pr>
                <w:sz w:val="18"/>
                <w:szCs w:val="18"/>
              </w:rPr>
              <w:t xml:space="preserve">Общий целевой фонд Конвенции </w:t>
            </w:r>
          </w:p>
        </w:tc>
        <w:tc>
          <w:tcPr>
            <w:tcW w:w="900" w:type="dxa"/>
            <w:tcBorders>
              <w:top w:val="single" w:sz="4" w:space="0" w:color="auto"/>
              <w:left w:val="nil"/>
              <w:bottom w:val="nil"/>
              <w:right w:val="nil"/>
            </w:tcBorders>
            <w:vAlign w:val="bottom"/>
            <w:hideMark/>
          </w:tcPr>
          <w:p w14:paraId="03D1145F" w14:textId="220C7F29"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29 120</w:t>
            </w:r>
            <w:r w:rsidR="00042AD8">
              <w:rPr>
                <w:sz w:val="18"/>
                <w:szCs w:val="18"/>
              </w:rPr>
              <w:t>,6</w:t>
            </w:r>
          </w:p>
        </w:tc>
        <w:tc>
          <w:tcPr>
            <w:tcW w:w="1125" w:type="dxa"/>
            <w:tcBorders>
              <w:top w:val="single" w:sz="4" w:space="0" w:color="auto"/>
              <w:left w:val="nil"/>
              <w:bottom w:val="nil"/>
              <w:right w:val="nil"/>
            </w:tcBorders>
            <w:vAlign w:val="bottom"/>
            <w:hideMark/>
          </w:tcPr>
          <w:p w14:paraId="07072980" w14:textId="78842468"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21 084</w:t>
            </w:r>
            <w:r w:rsidR="00042AD8">
              <w:rPr>
                <w:sz w:val="18"/>
                <w:szCs w:val="18"/>
              </w:rPr>
              <w:t>,6</w:t>
            </w:r>
          </w:p>
        </w:tc>
        <w:tc>
          <w:tcPr>
            <w:tcW w:w="1170" w:type="dxa"/>
            <w:tcBorders>
              <w:top w:val="single" w:sz="4" w:space="0" w:color="auto"/>
              <w:left w:val="nil"/>
              <w:bottom w:val="nil"/>
              <w:right w:val="nil"/>
            </w:tcBorders>
            <w:vAlign w:val="bottom"/>
            <w:hideMark/>
          </w:tcPr>
          <w:p w14:paraId="38CFD4B0" w14:textId="3825F5D2"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72,40 </w:t>
            </w:r>
          </w:p>
        </w:tc>
        <w:tc>
          <w:tcPr>
            <w:tcW w:w="1095" w:type="dxa"/>
            <w:tcBorders>
              <w:top w:val="single" w:sz="4" w:space="0" w:color="auto"/>
              <w:left w:val="nil"/>
              <w:bottom w:val="nil"/>
              <w:right w:val="nil"/>
            </w:tcBorders>
            <w:vAlign w:val="bottom"/>
            <w:hideMark/>
          </w:tcPr>
          <w:p w14:paraId="181F3ED4" w14:textId="3C0CE578"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8 036</w:t>
            </w:r>
            <w:r w:rsidR="00042AD8">
              <w:rPr>
                <w:sz w:val="18"/>
                <w:szCs w:val="18"/>
              </w:rPr>
              <w:t>,0</w:t>
            </w:r>
          </w:p>
        </w:tc>
        <w:tc>
          <w:tcPr>
            <w:tcW w:w="1164" w:type="dxa"/>
            <w:tcBorders>
              <w:top w:val="single" w:sz="4" w:space="0" w:color="auto"/>
              <w:left w:val="nil"/>
              <w:bottom w:val="nil"/>
              <w:right w:val="nil"/>
            </w:tcBorders>
            <w:vAlign w:val="bottom"/>
            <w:hideMark/>
          </w:tcPr>
          <w:p w14:paraId="01BA0B29" w14:textId="71296377"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27,60</w:t>
            </w:r>
          </w:p>
        </w:tc>
      </w:tr>
      <w:tr w:rsidR="00042AD8" w:rsidRPr="003E265B" w14:paraId="168211C8" w14:textId="77777777" w:rsidTr="00440131">
        <w:trPr>
          <w:trHeight w:val="225"/>
        </w:trPr>
        <w:tc>
          <w:tcPr>
            <w:tcW w:w="3330" w:type="dxa"/>
            <w:tcBorders>
              <w:top w:val="nil"/>
              <w:left w:val="nil"/>
              <w:bottom w:val="nil"/>
              <w:right w:val="nil"/>
            </w:tcBorders>
            <w:vAlign w:val="bottom"/>
            <w:hideMark/>
          </w:tcPr>
          <w:p w14:paraId="243E4B54" w14:textId="455207CF"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Pr>
                <w:sz w:val="18"/>
                <w:szCs w:val="18"/>
              </w:rPr>
              <w:t xml:space="preserve">Общий целевой фонд для основного бюджета по программе Картахенского протокола </w:t>
            </w:r>
          </w:p>
        </w:tc>
        <w:tc>
          <w:tcPr>
            <w:tcW w:w="900" w:type="dxa"/>
            <w:tcBorders>
              <w:top w:val="nil"/>
              <w:left w:val="nil"/>
              <w:bottom w:val="nil"/>
              <w:right w:val="nil"/>
            </w:tcBorders>
            <w:vAlign w:val="bottom"/>
            <w:hideMark/>
          </w:tcPr>
          <w:p w14:paraId="04DCAD56" w14:textId="05BBEFB7"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6 066</w:t>
            </w:r>
            <w:r w:rsidR="00042AD8">
              <w:rPr>
                <w:sz w:val="18"/>
                <w:szCs w:val="18"/>
              </w:rPr>
              <w:t>,8</w:t>
            </w:r>
          </w:p>
        </w:tc>
        <w:tc>
          <w:tcPr>
            <w:tcW w:w="1125" w:type="dxa"/>
            <w:tcBorders>
              <w:top w:val="nil"/>
              <w:left w:val="nil"/>
              <w:bottom w:val="nil"/>
              <w:right w:val="nil"/>
            </w:tcBorders>
            <w:vAlign w:val="bottom"/>
            <w:hideMark/>
          </w:tcPr>
          <w:p w14:paraId="20F26B39" w14:textId="00D8D63A"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4 030</w:t>
            </w:r>
            <w:r w:rsidR="00042AD8">
              <w:rPr>
                <w:sz w:val="18"/>
                <w:szCs w:val="18"/>
              </w:rPr>
              <w:t>,8</w:t>
            </w:r>
          </w:p>
        </w:tc>
        <w:tc>
          <w:tcPr>
            <w:tcW w:w="1170" w:type="dxa"/>
            <w:tcBorders>
              <w:top w:val="nil"/>
              <w:left w:val="nil"/>
              <w:bottom w:val="nil"/>
              <w:right w:val="nil"/>
            </w:tcBorders>
            <w:vAlign w:val="bottom"/>
            <w:hideMark/>
          </w:tcPr>
          <w:p w14:paraId="0F083F47" w14:textId="7F87C33E"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66,44 </w:t>
            </w:r>
          </w:p>
        </w:tc>
        <w:tc>
          <w:tcPr>
            <w:tcW w:w="1095" w:type="dxa"/>
            <w:tcBorders>
              <w:top w:val="nil"/>
              <w:left w:val="nil"/>
              <w:bottom w:val="nil"/>
              <w:right w:val="nil"/>
            </w:tcBorders>
            <w:vAlign w:val="bottom"/>
            <w:hideMark/>
          </w:tcPr>
          <w:p w14:paraId="4A704AE7" w14:textId="0B084F00"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2 035</w:t>
            </w:r>
            <w:r w:rsidR="00042AD8">
              <w:rPr>
                <w:sz w:val="18"/>
                <w:szCs w:val="18"/>
              </w:rPr>
              <w:t>,9</w:t>
            </w:r>
          </w:p>
        </w:tc>
        <w:tc>
          <w:tcPr>
            <w:tcW w:w="1164" w:type="dxa"/>
            <w:tcBorders>
              <w:top w:val="nil"/>
              <w:left w:val="nil"/>
              <w:bottom w:val="nil"/>
              <w:right w:val="nil"/>
            </w:tcBorders>
            <w:vAlign w:val="bottom"/>
            <w:hideMark/>
          </w:tcPr>
          <w:p w14:paraId="50F65E07" w14:textId="1CC3DC82"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33,56</w:t>
            </w:r>
          </w:p>
        </w:tc>
      </w:tr>
      <w:tr w:rsidR="00042AD8" w:rsidRPr="003E265B" w14:paraId="53D611E8" w14:textId="77777777" w:rsidTr="00440131">
        <w:trPr>
          <w:trHeight w:val="225"/>
        </w:trPr>
        <w:tc>
          <w:tcPr>
            <w:tcW w:w="3330" w:type="dxa"/>
            <w:tcBorders>
              <w:top w:val="nil"/>
              <w:left w:val="nil"/>
              <w:bottom w:val="nil"/>
              <w:right w:val="nil"/>
            </w:tcBorders>
            <w:vAlign w:val="bottom"/>
            <w:hideMark/>
          </w:tcPr>
          <w:p w14:paraId="16F0D3F7" w14:textId="73F1A420"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Pr>
                <w:sz w:val="18"/>
                <w:szCs w:val="18"/>
              </w:rPr>
              <w:t xml:space="preserve">Общий целевой фонд для основного бюджета по программе Нагойского протокола </w:t>
            </w:r>
          </w:p>
        </w:tc>
        <w:tc>
          <w:tcPr>
            <w:tcW w:w="900" w:type="dxa"/>
            <w:tcBorders>
              <w:top w:val="nil"/>
              <w:left w:val="nil"/>
              <w:bottom w:val="single" w:sz="4" w:space="0" w:color="auto"/>
              <w:right w:val="nil"/>
            </w:tcBorders>
            <w:vAlign w:val="bottom"/>
            <w:hideMark/>
          </w:tcPr>
          <w:p w14:paraId="300067F3" w14:textId="110B3759"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5 257</w:t>
            </w:r>
            <w:r w:rsidR="00042AD8">
              <w:rPr>
                <w:sz w:val="18"/>
                <w:szCs w:val="18"/>
              </w:rPr>
              <w:t>,9</w:t>
            </w:r>
          </w:p>
        </w:tc>
        <w:tc>
          <w:tcPr>
            <w:tcW w:w="1125" w:type="dxa"/>
            <w:tcBorders>
              <w:top w:val="nil"/>
              <w:left w:val="nil"/>
              <w:bottom w:val="nil"/>
              <w:right w:val="nil"/>
            </w:tcBorders>
            <w:vAlign w:val="bottom"/>
            <w:hideMark/>
          </w:tcPr>
          <w:p w14:paraId="1AA0981E" w14:textId="2D29F8C7"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3 047</w:t>
            </w:r>
            <w:r w:rsidR="00042AD8">
              <w:rPr>
                <w:sz w:val="18"/>
                <w:szCs w:val="18"/>
              </w:rPr>
              <w:t>,1</w:t>
            </w:r>
          </w:p>
        </w:tc>
        <w:tc>
          <w:tcPr>
            <w:tcW w:w="1170" w:type="dxa"/>
            <w:tcBorders>
              <w:top w:val="nil"/>
              <w:left w:val="nil"/>
              <w:bottom w:val="nil"/>
              <w:right w:val="nil"/>
            </w:tcBorders>
            <w:vAlign w:val="bottom"/>
            <w:hideMark/>
          </w:tcPr>
          <w:p w14:paraId="1DF86B47" w14:textId="674BE52A"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57,95 </w:t>
            </w:r>
          </w:p>
        </w:tc>
        <w:tc>
          <w:tcPr>
            <w:tcW w:w="1095" w:type="dxa"/>
            <w:tcBorders>
              <w:top w:val="nil"/>
              <w:left w:val="nil"/>
              <w:bottom w:val="nil"/>
              <w:right w:val="nil"/>
            </w:tcBorders>
            <w:vAlign w:val="bottom"/>
            <w:hideMark/>
          </w:tcPr>
          <w:p w14:paraId="5E3834FE" w14:textId="0CA48964" w:rsidR="00042AD8" w:rsidRPr="003E265B" w:rsidRDefault="00C7468A"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2 210</w:t>
            </w:r>
            <w:r w:rsidR="00042AD8">
              <w:rPr>
                <w:sz w:val="18"/>
                <w:szCs w:val="18"/>
              </w:rPr>
              <w:t>,8</w:t>
            </w:r>
          </w:p>
        </w:tc>
        <w:tc>
          <w:tcPr>
            <w:tcW w:w="1164" w:type="dxa"/>
            <w:tcBorders>
              <w:top w:val="nil"/>
              <w:left w:val="nil"/>
              <w:bottom w:val="nil"/>
              <w:right w:val="nil"/>
            </w:tcBorders>
            <w:vAlign w:val="bottom"/>
            <w:hideMark/>
          </w:tcPr>
          <w:p w14:paraId="2D55E8F0" w14:textId="20D530D7"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sz w:val="18"/>
                <w:szCs w:val="18"/>
              </w:rPr>
              <w:t>42,05</w:t>
            </w:r>
          </w:p>
        </w:tc>
      </w:tr>
      <w:tr w:rsidR="00042AD8" w:rsidRPr="003E265B" w14:paraId="13E8384A" w14:textId="77777777" w:rsidTr="00440131">
        <w:trPr>
          <w:trHeight w:val="225"/>
        </w:trPr>
        <w:tc>
          <w:tcPr>
            <w:tcW w:w="3330" w:type="dxa"/>
            <w:tcBorders>
              <w:top w:val="single" w:sz="4" w:space="0" w:color="auto"/>
              <w:left w:val="nil"/>
              <w:bottom w:val="single" w:sz="4" w:space="0" w:color="auto"/>
              <w:right w:val="nil"/>
            </w:tcBorders>
            <w:vAlign w:val="bottom"/>
            <w:hideMark/>
          </w:tcPr>
          <w:p w14:paraId="5679DF80" w14:textId="1E7CB95E" w:rsidR="00042AD8" w:rsidRPr="003E265B" w:rsidRDefault="00042AD8" w:rsidP="00042AD8">
            <w:pPr>
              <w:tabs>
                <w:tab w:val="clear" w:pos="567"/>
                <w:tab w:val="clear" w:pos="1134"/>
                <w:tab w:val="clear" w:pos="1701"/>
                <w:tab w:val="clear" w:pos="2268"/>
              </w:tabs>
              <w:ind w:firstLine="555"/>
              <w:jc w:val="left"/>
              <w:textAlignment w:val="baseline"/>
              <w:rPr>
                <w:rFonts w:eastAsia="Times New Roman"/>
                <w:sz w:val="24"/>
                <w:szCs w:val="24"/>
              </w:rPr>
            </w:pPr>
            <w:r>
              <w:rPr>
                <w:b/>
                <w:bCs/>
                <w:sz w:val="18"/>
                <w:szCs w:val="18"/>
              </w:rPr>
              <w:t xml:space="preserve">Итого </w:t>
            </w:r>
          </w:p>
        </w:tc>
        <w:tc>
          <w:tcPr>
            <w:tcW w:w="900" w:type="dxa"/>
            <w:tcBorders>
              <w:top w:val="single" w:sz="4" w:space="0" w:color="auto"/>
              <w:left w:val="nil"/>
              <w:bottom w:val="single" w:sz="4" w:space="0" w:color="auto"/>
              <w:right w:val="nil"/>
            </w:tcBorders>
            <w:vAlign w:val="bottom"/>
            <w:hideMark/>
          </w:tcPr>
          <w:p w14:paraId="1C8012C2" w14:textId="3B130718" w:rsidR="00042AD8" w:rsidRPr="003E265B" w:rsidRDefault="000E7EE5" w:rsidP="00042AD8">
            <w:pPr>
              <w:tabs>
                <w:tab w:val="clear" w:pos="567"/>
                <w:tab w:val="clear" w:pos="1134"/>
                <w:tab w:val="clear" w:pos="1701"/>
                <w:tab w:val="clear" w:pos="2268"/>
              </w:tabs>
              <w:jc w:val="right"/>
              <w:textAlignment w:val="baseline"/>
              <w:rPr>
                <w:rFonts w:eastAsia="Times New Roman"/>
                <w:sz w:val="24"/>
                <w:szCs w:val="24"/>
              </w:rPr>
            </w:pPr>
            <w:r>
              <w:rPr>
                <w:b/>
                <w:bCs/>
                <w:sz w:val="18"/>
                <w:szCs w:val="18"/>
              </w:rPr>
              <w:t>40 445</w:t>
            </w:r>
            <w:r w:rsidR="00042AD8">
              <w:rPr>
                <w:b/>
                <w:bCs/>
                <w:sz w:val="18"/>
                <w:szCs w:val="18"/>
              </w:rPr>
              <w:t>,3</w:t>
            </w:r>
          </w:p>
        </w:tc>
        <w:tc>
          <w:tcPr>
            <w:tcW w:w="1125" w:type="dxa"/>
            <w:tcBorders>
              <w:top w:val="single" w:sz="4" w:space="0" w:color="auto"/>
              <w:left w:val="nil"/>
              <w:bottom w:val="single" w:sz="4" w:space="0" w:color="auto"/>
              <w:right w:val="nil"/>
            </w:tcBorders>
            <w:vAlign w:val="bottom"/>
            <w:hideMark/>
          </w:tcPr>
          <w:p w14:paraId="785C6D79" w14:textId="080949CA" w:rsidR="00042AD8" w:rsidRPr="003E265B" w:rsidRDefault="000E7EE5" w:rsidP="00042AD8">
            <w:pPr>
              <w:tabs>
                <w:tab w:val="clear" w:pos="567"/>
                <w:tab w:val="clear" w:pos="1134"/>
                <w:tab w:val="clear" w:pos="1701"/>
                <w:tab w:val="clear" w:pos="2268"/>
              </w:tabs>
              <w:jc w:val="right"/>
              <w:textAlignment w:val="baseline"/>
              <w:rPr>
                <w:rFonts w:eastAsia="Times New Roman"/>
                <w:sz w:val="24"/>
                <w:szCs w:val="24"/>
              </w:rPr>
            </w:pPr>
            <w:r>
              <w:rPr>
                <w:b/>
                <w:bCs/>
                <w:sz w:val="18"/>
                <w:szCs w:val="18"/>
              </w:rPr>
              <w:t>28 162</w:t>
            </w:r>
            <w:r w:rsidR="00042AD8">
              <w:rPr>
                <w:b/>
                <w:bCs/>
                <w:sz w:val="18"/>
                <w:szCs w:val="18"/>
              </w:rPr>
              <w:t>,5</w:t>
            </w:r>
          </w:p>
        </w:tc>
        <w:tc>
          <w:tcPr>
            <w:tcW w:w="1170" w:type="dxa"/>
            <w:tcBorders>
              <w:top w:val="single" w:sz="4" w:space="0" w:color="auto"/>
              <w:left w:val="nil"/>
              <w:bottom w:val="single" w:sz="4" w:space="0" w:color="auto"/>
              <w:right w:val="nil"/>
            </w:tcBorders>
            <w:vAlign w:val="bottom"/>
            <w:hideMark/>
          </w:tcPr>
          <w:p w14:paraId="0CE0A25D" w14:textId="7E60F985"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Pr>
                <w:b/>
                <w:bCs/>
                <w:sz w:val="18"/>
                <w:szCs w:val="18"/>
              </w:rPr>
              <w:t>69,63</w:t>
            </w:r>
            <w:r>
              <w:rPr>
                <w:sz w:val="18"/>
                <w:szCs w:val="18"/>
              </w:rPr>
              <w:t xml:space="preserve"> </w:t>
            </w:r>
          </w:p>
        </w:tc>
        <w:tc>
          <w:tcPr>
            <w:tcW w:w="1095" w:type="dxa"/>
            <w:tcBorders>
              <w:top w:val="single" w:sz="4" w:space="0" w:color="auto"/>
              <w:left w:val="nil"/>
              <w:bottom w:val="single" w:sz="4" w:space="0" w:color="auto"/>
              <w:right w:val="nil"/>
            </w:tcBorders>
            <w:vAlign w:val="bottom"/>
            <w:hideMark/>
          </w:tcPr>
          <w:p w14:paraId="20C17060" w14:textId="7B871591" w:rsidR="00042AD8" w:rsidRPr="003E265B" w:rsidRDefault="000E7EE5" w:rsidP="00042AD8">
            <w:pPr>
              <w:tabs>
                <w:tab w:val="clear" w:pos="567"/>
                <w:tab w:val="clear" w:pos="1134"/>
                <w:tab w:val="clear" w:pos="1701"/>
                <w:tab w:val="clear" w:pos="2268"/>
              </w:tabs>
              <w:jc w:val="right"/>
              <w:textAlignment w:val="baseline"/>
              <w:rPr>
                <w:rFonts w:eastAsia="Times New Roman"/>
                <w:sz w:val="24"/>
                <w:szCs w:val="24"/>
              </w:rPr>
            </w:pPr>
            <w:r>
              <w:rPr>
                <w:b/>
                <w:bCs/>
                <w:sz w:val="18"/>
                <w:szCs w:val="18"/>
              </w:rPr>
              <w:t>12 282</w:t>
            </w:r>
            <w:r w:rsidR="00042AD8">
              <w:rPr>
                <w:b/>
                <w:bCs/>
                <w:sz w:val="18"/>
                <w:szCs w:val="18"/>
              </w:rPr>
              <w:t>,7</w:t>
            </w:r>
          </w:p>
        </w:tc>
        <w:tc>
          <w:tcPr>
            <w:tcW w:w="1164" w:type="dxa"/>
            <w:tcBorders>
              <w:top w:val="single" w:sz="4" w:space="0" w:color="auto"/>
              <w:left w:val="nil"/>
              <w:bottom w:val="single" w:sz="4" w:space="0" w:color="auto"/>
              <w:right w:val="nil"/>
            </w:tcBorders>
            <w:vAlign w:val="bottom"/>
            <w:hideMark/>
          </w:tcPr>
          <w:p w14:paraId="3800DB42" w14:textId="66C722BC"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Pr>
                <w:b/>
                <w:bCs/>
                <w:sz w:val="18"/>
                <w:szCs w:val="18"/>
              </w:rPr>
              <w:t>30,37</w:t>
            </w:r>
          </w:p>
        </w:tc>
      </w:tr>
    </w:tbl>
    <w:p w14:paraId="72572F6F" w14:textId="5A4FBFCD" w:rsidR="00822565" w:rsidRPr="003E265B" w:rsidRDefault="00822565" w:rsidP="00440131">
      <w:pPr>
        <w:pStyle w:val="CBDNormalNumber"/>
      </w:pPr>
      <w:r>
        <w:rPr>
          <w:rStyle w:val="normaltextrun"/>
          <w:color w:val="000000"/>
          <w:shd w:val="clear" w:color="auto" w:fill="FFFFFF"/>
        </w:rPr>
        <w:t xml:space="preserve">Как показано в таблице 3, по состоянию на 31 мая 2026 года Стороны выплатили 69,63% от общей суммы начисленных взносов за двухлетний период </w:t>
      </w:r>
      <w:r w:rsidR="00C7468A">
        <w:rPr>
          <w:rStyle w:val="normaltextrun"/>
          <w:color w:val="000000"/>
          <w:shd w:val="clear" w:color="auto" w:fill="FFFFFF"/>
        </w:rPr>
        <w:t xml:space="preserve">2025–2026 </w:t>
      </w:r>
      <w:r>
        <w:rPr>
          <w:rStyle w:val="normaltextrun"/>
          <w:color w:val="000000"/>
          <w:shd w:val="clear" w:color="auto" w:fill="FFFFFF"/>
        </w:rPr>
        <w:t xml:space="preserve">годов. Как показано в таблице 4, </w:t>
      </w:r>
      <w:r>
        <w:rPr>
          <w:rStyle w:val="normaltextrun"/>
          <w:color w:val="000000" w:themeColor="text1"/>
        </w:rPr>
        <w:t xml:space="preserve">по состоянию </w:t>
      </w:r>
      <w:r>
        <w:rPr>
          <w:rStyle w:val="normaltextrun"/>
          <w:color w:val="000000"/>
          <w:shd w:val="clear" w:color="auto" w:fill="FFFFFF"/>
        </w:rPr>
        <w:t>на ту же дату 94 Стороны Конвенции, 80 Сторон Картахенского протокола и 57 Сторон Нагойского протокола выплатили свои начисленные взносы за 2025 год в полном объеме. Что касается 2026 года, 49 Сторон Конвенции, 37 Сторон Картахенского протокола и 25 Сторон Нагойского протокола выплатили свои начисленные взносы в полном объеме.</w:t>
      </w:r>
    </w:p>
    <w:p w14:paraId="59A862CC" w14:textId="37915193" w:rsidR="00E83DA7" w:rsidRPr="003E265B" w:rsidRDefault="00E83DA7" w:rsidP="00E83DA7">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t>Таблица 4</w:t>
      </w:r>
      <w:r>
        <w:rPr>
          <w:b/>
          <w:bCs/>
        </w:rPr>
        <w:t xml:space="preserve"> </w:t>
      </w:r>
      <w:r>
        <w:rPr>
          <w:b/>
          <w:bCs/>
        </w:rPr>
        <w:br/>
        <w:t xml:space="preserve">Состояние начисленных взносов за двухлетний период </w:t>
      </w:r>
      <w:r w:rsidR="00C7468A">
        <w:rPr>
          <w:b/>
          <w:bCs/>
        </w:rPr>
        <w:t xml:space="preserve">2025–2026 </w:t>
      </w:r>
      <w:r>
        <w:rPr>
          <w:b/>
          <w:bCs/>
        </w:rPr>
        <w:t>годов, полностью выплаченных по состоянию на 31 мая 2026 года</w:t>
      </w:r>
      <w:r>
        <w:rPr>
          <w:b/>
          <w:bCs/>
          <w:bdr w:val="none" w:sz="0" w:space="0" w:color="auto" w:frame="1"/>
          <w:shd w:val="clear" w:color="auto" w:fill="C6C6C6"/>
        </w:rPr>
        <w:t xml:space="preserve"> </w:t>
      </w:r>
    </w:p>
    <w:tbl>
      <w:tblPr>
        <w:tblW w:w="8922"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4A0" w:firstRow="1" w:lastRow="0" w:firstColumn="1" w:lastColumn="0" w:noHBand="0" w:noVBand="1"/>
      </w:tblPr>
      <w:tblGrid>
        <w:gridCol w:w="2685"/>
        <w:gridCol w:w="1134"/>
        <w:gridCol w:w="1512"/>
        <w:gridCol w:w="47"/>
        <w:gridCol w:w="992"/>
        <w:gridCol w:w="342"/>
        <w:gridCol w:w="1217"/>
        <w:gridCol w:w="993"/>
      </w:tblGrid>
      <w:tr w:rsidR="005F2009" w:rsidRPr="003E265B" w14:paraId="3B074409" w14:textId="77777777" w:rsidTr="00440131">
        <w:trPr>
          <w:trHeight w:val="295"/>
        </w:trPr>
        <w:tc>
          <w:tcPr>
            <w:tcW w:w="2685" w:type="dxa"/>
            <w:vMerge w:val="restart"/>
            <w:tcBorders>
              <w:top w:val="single" w:sz="4" w:space="0" w:color="auto"/>
              <w:left w:val="nil"/>
              <w:right w:val="nil"/>
            </w:tcBorders>
            <w:vAlign w:val="bottom"/>
            <w:hideMark/>
          </w:tcPr>
          <w:p w14:paraId="2BE3195B" w14:textId="047470AE" w:rsidR="005F2009" w:rsidRPr="003E265B" w:rsidRDefault="005F2009" w:rsidP="00D96E88">
            <w:pPr>
              <w:tabs>
                <w:tab w:val="clear" w:pos="567"/>
                <w:tab w:val="clear" w:pos="1134"/>
                <w:tab w:val="clear" w:pos="1701"/>
                <w:tab w:val="clear" w:pos="2268"/>
              </w:tabs>
              <w:jc w:val="left"/>
              <w:textAlignment w:val="baseline"/>
              <w:rPr>
                <w:rFonts w:eastAsia="Times New Roman"/>
                <w:sz w:val="24"/>
                <w:szCs w:val="24"/>
              </w:rPr>
            </w:pPr>
            <w:r>
              <w:rPr>
                <w:i/>
                <w:iCs/>
                <w:sz w:val="18"/>
                <w:szCs w:val="18"/>
              </w:rPr>
              <w:t>Целевой фонд</w:t>
            </w:r>
            <w:r>
              <w:rPr>
                <w:sz w:val="18"/>
                <w:szCs w:val="18"/>
              </w:rPr>
              <w:t xml:space="preserve"> </w:t>
            </w:r>
          </w:p>
        </w:tc>
        <w:tc>
          <w:tcPr>
            <w:tcW w:w="1134" w:type="dxa"/>
            <w:vMerge w:val="restart"/>
            <w:tcBorders>
              <w:top w:val="single" w:sz="4" w:space="0" w:color="auto"/>
              <w:left w:val="nil"/>
              <w:right w:val="nil"/>
            </w:tcBorders>
            <w:vAlign w:val="bottom"/>
            <w:hideMark/>
          </w:tcPr>
          <w:p w14:paraId="42508B74" w14:textId="0139DFFD" w:rsidR="005F2009" w:rsidRPr="003E265B" w:rsidRDefault="005F2009" w:rsidP="00440131">
            <w:pPr>
              <w:tabs>
                <w:tab w:val="clear" w:pos="567"/>
                <w:tab w:val="clear" w:pos="1134"/>
                <w:tab w:val="clear" w:pos="1701"/>
                <w:tab w:val="clear" w:pos="2268"/>
              </w:tabs>
              <w:ind w:right="139"/>
              <w:jc w:val="right"/>
              <w:textAlignment w:val="baseline"/>
              <w:rPr>
                <w:rFonts w:eastAsia="Times New Roman"/>
                <w:sz w:val="24"/>
                <w:szCs w:val="24"/>
              </w:rPr>
            </w:pPr>
            <w:r>
              <w:rPr>
                <w:i/>
                <w:iCs/>
                <w:sz w:val="18"/>
                <w:szCs w:val="18"/>
              </w:rPr>
              <w:t>Число Сторон</w:t>
            </w:r>
          </w:p>
        </w:tc>
        <w:tc>
          <w:tcPr>
            <w:tcW w:w="2893" w:type="dxa"/>
            <w:gridSpan w:val="4"/>
            <w:tcBorders>
              <w:top w:val="single" w:sz="4" w:space="0" w:color="auto"/>
              <w:left w:val="nil"/>
              <w:bottom w:val="single" w:sz="4" w:space="0" w:color="auto"/>
              <w:right w:val="nil"/>
            </w:tcBorders>
            <w:vAlign w:val="bottom"/>
            <w:hideMark/>
          </w:tcPr>
          <w:p w14:paraId="00AAD3A9" w14:textId="1F399673" w:rsidR="005F2009" w:rsidRPr="00440131" w:rsidRDefault="00921F04" w:rsidP="00440131">
            <w:pPr>
              <w:tabs>
                <w:tab w:val="clear" w:pos="567"/>
                <w:tab w:val="clear" w:pos="1134"/>
                <w:tab w:val="clear" w:pos="1701"/>
                <w:tab w:val="clear" w:pos="2268"/>
              </w:tabs>
              <w:jc w:val="center"/>
              <w:textAlignment w:val="baseline"/>
              <w:rPr>
                <w:rFonts w:eastAsia="Times New Roman"/>
                <w:i/>
                <w:iCs/>
                <w:sz w:val="24"/>
                <w:szCs w:val="24"/>
                <w:highlight w:val="cyan"/>
              </w:rPr>
            </w:pPr>
            <w:r>
              <w:rPr>
                <w:i/>
                <w:iCs/>
                <w:sz w:val="18"/>
                <w:szCs w:val="18"/>
              </w:rPr>
              <w:t xml:space="preserve">Начисления за 2025 г. </w:t>
            </w:r>
          </w:p>
        </w:tc>
        <w:tc>
          <w:tcPr>
            <w:tcW w:w="2210" w:type="dxa"/>
            <w:gridSpan w:val="2"/>
            <w:tcBorders>
              <w:top w:val="single" w:sz="4" w:space="0" w:color="auto"/>
              <w:left w:val="nil"/>
              <w:bottom w:val="single" w:sz="4" w:space="0" w:color="auto"/>
              <w:right w:val="nil"/>
            </w:tcBorders>
            <w:vAlign w:val="bottom"/>
          </w:tcPr>
          <w:p w14:paraId="57C1A5EC" w14:textId="4592EBDF" w:rsidR="005F2009" w:rsidRPr="003E265B" w:rsidRDefault="00921F04" w:rsidP="00440131">
            <w:pPr>
              <w:tabs>
                <w:tab w:val="clear" w:pos="567"/>
                <w:tab w:val="clear" w:pos="1134"/>
                <w:tab w:val="clear" w:pos="1701"/>
                <w:tab w:val="clear" w:pos="2268"/>
              </w:tabs>
              <w:jc w:val="center"/>
              <w:textAlignment w:val="baseline"/>
              <w:rPr>
                <w:rFonts w:eastAsia="Times New Roman"/>
                <w:i/>
                <w:iCs/>
                <w:sz w:val="18"/>
                <w:szCs w:val="18"/>
              </w:rPr>
            </w:pPr>
            <w:r>
              <w:rPr>
                <w:i/>
                <w:iCs/>
                <w:sz w:val="18"/>
                <w:szCs w:val="18"/>
              </w:rPr>
              <w:t>Начисления за 2026 г.</w:t>
            </w:r>
          </w:p>
        </w:tc>
      </w:tr>
      <w:tr w:rsidR="005F2009" w:rsidRPr="003E265B" w14:paraId="06985121" w14:textId="77777777" w:rsidTr="00440131">
        <w:trPr>
          <w:trHeight w:val="295"/>
        </w:trPr>
        <w:tc>
          <w:tcPr>
            <w:tcW w:w="2685" w:type="dxa"/>
            <w:vMerge/>
            <w:tcBorders>
              <w:left w:val="nil"/>
              <w:bottom w:val="single" w:sz="4" w:space="0" w:color="auto"/>
              <w:right w:val="nil"/>
            </w:tcBorders>
            <w:vAlign w:val="bottom"/>
          </w:tcPr>
          <w:p w14:paraId="3CFD5854" w14:textId="77777777" w:rsidR="005F2009" w:rsidRPr="003E265B" w:rsidRDefault="005F2009" w:rsidP="005F2009">
            <w:pPr>
              <w:tabs>
                <w:tab w:val="clear" w:pos="567"/>
                <w:tab w:val="clear" w:pos="1134"/>
                <w:tab w:val="clear" w:pos="1701"/>
                <w:tab w:val="clear" w:pos="2268"/>
              </w:tabs>
              <w:jc w:val="left"/>
              <w:textAlignment w:val="baseline"/>
              <w:rPr>
                <w:rFonts w:eastAsia="Times New Roman"/>
                <w:i/>
                <w:iCs/>
                <w:sz w:val="18"/>
                <w:szCs w:val="18"/>
              </w:rPr>
            </w:pPr>
          </w:p>
        </w:tc>
        <w:tc>
          <w:tcPr>
            <w:tcW w:w="1134" w:type="dxa"/>
            <w:vMerge/>
            <w:tcBorders>
              <w:left w:val="nil"/>
              <w:bottom w:val="single" w:sz="4" w:space="0" w:color="auto"/>
              <w:right w:val="nil"/>
            </w:tcBorders>
            <w:vAlign w:val="bottom"/>
          </w:tcPr>
          <w:p w14:paraId="5E3264A5" w14:textId="77777777" w:rsidR="005F2009" w:rsidRPr="003E265B" w:rsidRDefault="005F2009" w:rsidP="005F2009">
            <w:pPr>
              <w:tabs>
                <w:tab w:val="clear" w:pos="567"/>
                <w:tab w:val="clear" w:pos="1134"/>
                <w:tab w:val="clear" w:pos="1701"/>
                <w:tab w:val="clear" w:pos="2268"/>
              </w:tabs>
              <w:ind w:right="139"/>
              <w:jc w:val="right"/>
              <w:textAlignment w:val="baseline"/>
              <w:rPr>
                <w:rFonts w:eastAsia="Times New Roman"/>
                <w:i/>
                <w:iCs/>
                <w:sz w:val="18"/>
                <w:szCs w:val="18"/>
              </w:rPr>
            </w:pPr>
          </w:p>
        </w:tc>
        <w:tc>
          <w:tcPr>
            <w:tcW w:w="1559" w:type="dxa"/>
            <w:gridSpan w:val="2"/>
            <w:tcBorders>
              <w:top w:val="single" w:sz="4" w:space="0" w:color="auto"/>
              <w:left w:val="nil"/>
              <w:bottom w:val="single" w:sz="4" w:space="0" w:color="auto"/>
              <w:right w:val="nil"/>
            </w:tcBorders>
            <w:vAlign w:val="bottom"/>
          </w:tcPr>
          <w:p w14:paraId="13045A46" w14:textId="0DDD216C" w:rsidR="005F2009" w:rsidRPr="00440131" w:rsidRDefault="005F2009" w:rsidP="005F2009">
            <w:pPr>
              <w:tabs>
                <w:tab w:val="clear" w:pos="567"/>
                <w:tab w:val="clear" w:pos="1134"/>
                <w:tab w:val="clear" w:pos="1701"/>
                <w:tab w:val="clear" w:pos="2268"/>
              </w:tabs>
              <w:jc w:val="right"/>
              <w:textAlignment w:val="baseline"/>
              <w:rPr>
                <w:rFonts w:eastAsia="Times New Roman"/>
                <w:i/>
                <w:iCs/>
                <w:sz w:val="18"/>
                <w:szCs w:val="18"/>
              </w:rPr>
            </w:pPr>
            <w:r>
              <w:rPr>
                <w:i/>
                <w:iCs/>
                <w:sz w:val="18"/>
                <w:szCs w:val="18"/>
              </w:rPr>
              <w:t>Число Сторон, полностью выплативших свои начисленные взносы</w:t>
            </w:r>
            <w:r>
              <w:rPr>
                <w:sz w:val="18"/>
                <w:szCs w:val="18"/>
              </w:rPr>
              <w:t xml:space="preserve"> </w:t>
            </w:r>
          </w:p>
        </w:tc>
        <w:tc>
          <w:tcPr>
            <w:tcW w:w="992" w:type="dxa"/>
            <w:tcBorders>
              <w:top w:val="single" w:sz="4" w:space="0" w:color="auto"/>
              <w:left w:val="nil"/>
              <w:bottom w:val="single" w:sz="4" w:space="0" w:color="auto"/>
              <w:right w:val="nil"/>
            </w:tcBorders>
            <w:vAlign w:val="bottom"/>
          </w:tcPr>
          <w:p w14:paraId="4E4BF318" w14:textId="0BFA7E20" w:rsidR="005F2009" w:rsidRPr="00440131" w:rsidRDefault="005F2009" w:rsidP="00440131">
            <w:pPr>
              <w:tabs>
                <w:tab w:val="clear" w:pos="567"/>
                <w:tab w:val="clear" w:pos="1134"/>
                <w:tab w:val="clear" w:pos="1701"/>
                <w:tab w:val="clear" w:pos="2268"/>
              </w:tabs>
              <w:ind w:left="-128" w:right="116"/>
              <w:jc w:val="right"/>
              <w:textAlignment w:val="baseline"/>
              <w:rPr>
                <w:rFonts w:eastAsia="Times New Roman"/>
                <w:i/>
                <w:iCs/>
                <w:sz w:val="18"/>
                <w:szCs w:val="18"/>
              </w:rPr>
            </w:pPr>
            <w:r>
              <w:rPr>
                <w:i/>
                <w:iCs/>
                <w:sz w:val="18"/>
                <w:szCs w:val="18"/>
              </w:rPr>
              <w:t>Доля в %</w:t>
            </w:r>
          </w:p>
        </w:tc>
        <w:tc>
          <w:tcPr>
            <w:tcW w:w="1559" w:type="dxa"/>
            <w:gridSpan w:val="2"/>
            <w:tcBorders>
              <w:top w:val="single" w:sz="4" w:space="0" w:color="auto"/>
              <w:left w:val="nil"/>
              <w:bottom w:val="single" w:sz="4" w:space="0" w:color="auto"/>
              <w:right w:val="nil"/>
            </w:tcBorders>
            <w:vAlign w:val="bottom"/>
          </w:tcPr>
          <w:p w14:paraId="7F590B7F" w14:textId="5A3446A0" w:rsidR="005F2009" w:rsidRPr="00440131" w:rsidRDefault="005F2009" w:rsidP="005F2009">
            <w:pPr>
              <w:tabs>
                <w:tab w:val="clear" w:pos="567"/>
                <w:tab w:val="clear" w:pos="1134"/>
                <w:tab w:val="clear" w:pos="1701"/>
                <w:tab w:val="clear" w:pos="2268"/>
              </w:tabs>
              <w:jc w:val="right"/>
              <w:textAlignment w:val="baseline"/>
              <w:rPr>
                <w:rFonts w:eastAsia="Times New Roman"/>
                <w:sz w:val="24"/>
                <w:szCs w:val="24"/>
              </w:rPr>
            </w:pPr>
            <w:r>
              <w:rPr>
                <w:i/>
                <w:iCs/>
                <w:sz w:val="18"/>
                <w:szCs w:val="18"/>
              </w:rPr>
              <w:t>Число Сторон,</w:t>
            </w:r>
            <w:r>
              <w:rPr>
                <w:sz w:val="18"/>
                <w:szCs w:val="18"/>
              </w:rPr>
              <w:t xml:space="preserve"> </w:t>
            </w:r>
          </w:p>
          <w:p w14:paraId="3025F206" w14:textId="57E0FF13" w:rsidR="005F2009" w:rsidRPr="003E265B" w:rsidRDefault="00921F04" w:rsidP="005F2009">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rPr>
            </w:pPr>
            <w:r>
              <w:rPr>
                <w:i/>
                <w:iCs/>
                <w:sz w:val="18"/>
                <w:szCs w:val="18"/>
              </w:rPr>
              <w:t>полностью выплативших свои начисленные взносы</w:t>
            </w:r>
            <w:r>
              <w:rPr>
                <w:sz w:val="18"/>
                <w:szCs w:val="18"/>
              </w:rPr>
              <w:t xml:space="preserve"> </w:t>
            </w:r>
          </w:p>
        </w:tc>
        <w:tc>
          <w:tcPr>
            <w:tcW w:w="993" w:type="dxa"/>
            <w:tcBorders>
              <w:top w:val="single" w:sz="4" w:space="0" w:color="auto"/>
              <w:left w:val="nil"/>
              <w:bottom w:val="single" w:sz="4" w:space="0" w:color="auto"/>
              <w:right w:val="nil"/>
            </w:tcBorders>
            <w:vAlign w:val="bottom"/>
          </w:tcPr>
          <w:p w14:paraId="3B4CA665" w14:textId="258B07C1" w:rsidR="005F2009" w:rsidRPr="003E265B" w:rsidRDefault="005F2009" w:rsidP="005F2009">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rPr>
            </w:pPr>
            <w:r>
              <w:rPr>
                <w:i/>
                <w:iCs/>
                <w:sz w:val="18"/>
                <w:szCs w:val="18"/>
              </w:rPr>
              <w:t>Доля в %</w:t>
            </w:r>
            <w:r>
              <w:rPr>
                <w:rFonts w:asciiTheme="minorHAnsi" w:hAnsiTheme="minorHAnsi"/>
                <w:i/>
                <w:iCs/>
                <w:sz w:val="18"/>
                <w:szCs w:val="18"/>
              </w:rPr>
              <w:t xml:space="preserve"> </w:t>
            </w:r>
          </w:p>
        </w:tc>
      </w:tr>
      <w:tr w:rsidR="005F2009" w:rsidRPr="003E265B" w14:paraId="2B40BFCC" w14:textId="77777777" w:rsidTr="00440131">
        <w:trPr>
          <w:trHeight w:val="255"/>
        </w:trPr>
        <w:tc>
          <w:tcPr>
            <w:tcW w:w="2685" w:type="dxa"/>
            <w:tcBorders>
              <w:top w:val="nil"/>
              <w:left w:val="nil"/>
              <w:bottom w:val="nil"/>
              <w:right w:val="nil"/>
            </w:tcBorders>
            <w:vAlign w:val="bottom"/>
            <w:hideMark/>
          </w:tcPr>
          <w:p w14:paraId="2026AEFD" w14:textId="35246647" w:rsidR="005F2009" w:rsidRPr="003E265B" w:rsidRDefault="005F2009" w:rsidP="005F2009">
            <w:pPr>
              <w:jc w:val="left"/>
            </w:pPr>
            <w:r>
              <w:rPr>
                <w:sz w:val="18"/>
                <w:szCs w:val="18"/>
              </w:rPr>
              <w:t>Общий целевой фонд Конвенции о биологическом разнообразии</w:t>
            </w:r>
          </w:p>
        </w:tc>
        <w:tc>
          <w:tcPr>
            <w:tcW w:w="1134" w:type="dxa"/>
            <w:tcBorders>
              <w:top w:val="nil"/>
              <w:left w:val="nil"/>
              <w:bottom w:val="nil"/>
              <w:right w:val="nil"/>
            </w:tcBorders>
            <w:hideMark/>
          </w:tcPr>
          <w:p w14:paraId="7233068D" w14:textId="7D27ACE2" w:rsidR="005F2009" w:rsidRPr="003E265B" w:rsidRDefault="005F2009" w:rsidP="00921F04">
            <w:pPr>
              <w:jc w:val="right"/>
            </w:pPr>
            <w:r>
              <w:rPr>
                <w:sz w:val="18"/>
                <w:szCs w:val="18"/>
              </w:rPr>
              <w:t>196</w:t>
            </w:r>
          </w:p>
        </w:tc>
        <w:tc>
          <w:tcPr>
            <w:tcW w:w="1512" w:type="dxa"/>
            <w:tcBorders>
              <w:top w:val="nil"/>
              <w:left w:val="nil"/>
              <w:bottom w:val="nil"/>
              <w:right w:val="nil"/>
            </w:tcBorders>
            <w:hideMark/>
          </w:tcPr>
          <w:p w14:paraId="1B79CCBA" w14:textId="6DC1B038" w:rsidR="005F2009" w:rsidRPr="003E265B" w:rsidRDefault="005F2009" w:rsidP="00921F04">
            <w:pPr>
              <w:jc w:val="right"/>
            </w:pPr>
            <w:r>
              <w:rPr>
                <w:sz w:val="18"/>
                <w:szCs w:val="18"/>
              </w:rPr>
              <w:t>94</w:t>
            </w:r>
          </w:p>
        </w:tc>
        <w:tc>
          <w:tcPr>
            <w:tcW w:w="1039" w:type="dxa"/>
            <w:gridSpan w:val="2"/>
            <w:tcBorders>
              <w:top w:val="nil"/>
              <w:left w:val="nil"/>
              <w:bottom w:val="nil"/>
              <w:right w:val="nil"/>
            </w:tcBorders>
            <w:hideMark/>
          </w:tcPr>
          <w:p w14:paraId="33F1C337" w14:textId="306FA760" w:rsidR="005F2009" w:rsidRPr="003E265B" w:rsidRDefault="005F2009" w:rsidP="00440131">
            <w:pPr>
              <w:ind w:left="-128" w:right="116"/>
              <w:jc w:val="right"/>
            </w:pPr>
            <w:r>
              <w:rPr>
                <w:sz w:val="18"/>
                <w:szCs w:val="18"/>
              </w:rPr>
              <w:t>47,96</w:t>
            </w:r>
          </w:p>
        </w:tc>
        <w:tc>
          <w:tcPr>
            <w:tcW w:w="1559" w:type="dxa"/>
            <w:gridSpan w:val="2"/>
            <w:tcBorders>
              <w:top w:val="nil"/>
              <w:left w:val="nil"/>
              <w:bottom w:val="nil"/>
              <w:right w:val="nil"/>
            </w:tcBorders>
            <w:hideMark/>
          </w:tcPr>
          <w:p w14:paraId="7D1625D4" w14:textId="58281E16" w:rsidR="005F2009" w:rsidRPr="003E265B" w:rsidRDefault="005F2009" w:rsidP="00921F04">
            <w:pPr>
              <w:jc w:val="right"/>
            </w:pPr>
            <w:r>
              <w:rPr>
                <w:sz w:val="18"/>
                <w:szCs w:val="18"/>
              </w:rPr>
              <w:t>49</w:t>
            </w:r>
          </w:p>
        </w:tc>
        <w:tc>
          <w:tcPr>
            <w:tcW w:w="993" w:type="dxa"/>
            <w:tcBorders>
              <w:top w:val="nil"/>
              <w:left w:val="nil"/>
              <w:bottom w:val="nil"/>
              <w:right w:val="nil"/>
            </w:tcBorders>
            <w:hideMark/>
          </w:tcPr>
          <w:p w14:paraId="682CD654" w14:textId="231DAD65" w:rsidR="005F2009" w:rsidRPr="003E265B" w:rsidRDefault="005F2009" w:rsidP="00921F04">
            <w:pPr>
              <w:jc w:val="right"/>
            </w:pPr>
            <w:r>
              <w:rPr>
                <w:sz w:val="18"/>
                <w:szCs w:val="18"/>
              </w:rPr>
              <w:t>25,00</w:t>
            </w:r>
          </w:p>
        </w:tc>
      </w:tr>
      <w:tr w:rsidR="005F2009" w:rsidRPr="003E265B" w14:paraId="2ACB53A6" w14:textId="77777777" w:rsidTr="00440131">
        <w:trPr>
          <w:trHeight w:val="255"/>
        </w:trPr>
        <w:tc>
          <w:tcPr>
            <w:tcW w:w="2685" w:type="dxa"/>
            <w:tcBorders>
              <w:top w:val="nil"/>
              <w:left w:val="nil"/>
              <w:bottom w:val="nil"/>
              <w:right w:val="nil"/>
            </w:tcBorders>
            <w:vAlign w:val="bottom"/>
            <w:hideMark/>
          </w:tcPr>
          <w:p w14:paraId="2099DB93" w14:textId="292373F3" w:rsidR="005F2009" w:rsidRPr="003E265B" w:rsidRDefault="005F2009" w:rsidP="005F2009">
            <w:pPr>
              <w:jc w:val="left"/>
            </w:pPr>
            <w:r>
              <w:rPr>
                <w:sz w:val="18"/>
                <w:szCs w:val="18"/>
              </w:rPr>
              <w:t>Общий целевой фонд для Картахенского протокола</w:t>
            </w:r>
          </w:p>
        </w:tc>
        <w:tc>
          <w:tcPr>
            <w:tcW w:w="1134" w:type="dxa"/>
            <w:tcBorders>
              <w:top w:val="nil"/>
              <w:left w:val="nil"/>
              <w:bottom w:val="nil"/>
              <w:right w:val="nil"/>
            </w:tcBorders>
            <w:hideMark/>
          </w:tcPr>
          <w:p w14:paraId="0D0120D6" w14:textId="02D66A05" w:rsidR="005F2009" w:rsidRPr="003E265B" w:rsidRDefault="005F2009" w:rsidP="00921F04">
            <w:pPr>
              <w:jc w:val="right"/>
            </w:pPr>
            <w:r>
              <w:rPr>
                <w:sz w:val="18"/>
                <w:szCs w:val="18"/>
              </w:rPr>
              <w:t>173</w:t>
            </w:r>
          </w:p>
        </w:tc>
        <w:tc>
          <w:tcPr>
            <w:tcW w:w="1512" w:type="dxa"/>
            <w:tcBorders>
              <w:top w:val="nil"/>
              <w:left w:val="nil"/>
              <w:bottom w:val="nil"/>
              <w:right w:val="nil"/>
            </w:tcBorders>
            <w:hideMark/>
          </w:tcPr>
          <w:p w14:paraId="4038C361" w14:textId="5171EAAA" w:rsidR="005F2009" w:rsidRPr="003E265B" w:rsidRDefault="005F2009" w:rsidP="00921F04">
            <w:pPr>
              <w:jc w:val="right"/>
            </w:pPr>
            <w:r>
              <w:rPr>
                <w:sz w:val="18"/>
                <w:szCs w:val="18"/>
              </w:rPr>
              <w:t>80</w:t>
            </w:r>
          </w:p>
        </w:tc>
        <w:tc>
          <w:tcPr>
            <w:tcW w:w="1039" w:type="dxa"/>
            <w:gridSpan w:val="2"/>
            <w:tcBorders>
              <w:top w:val="nil"/>
              <w:left w:val="nil"/>
              <w:bottom w:val="nil"/>
              <w:right w:val="nil"/>
            </w:tcBorders>
            <w:hideMark/>
          </w:tcPr>
          <w:p w14:paraId="6E41BF53" w14:textId="4674CDCA" w:rsidR="005F2009" w:rsidRPr="003E265B" w:rsidRDefault="005F2009" w:rsidP="00440131">
            <w:pPr>
              <w:ind w:left="-128" w:right="116"/>
              <w:jc w:val="right"/>
            </w:pPr>
            <w:r>
              <w:rPr>
                <w:sz w:val="18"/>
                <w:szCs w:val="18"/>
              </w:rPr>
              <w:t>46,24</w:t>
            </w:r>
          </w:p>
        </w:tc>
        <w:tc>
          <w:tcPr>
            <w:tcW w:w="1559" w:type="dxa"/>
            <w:gridSpan w:val="2"/>
            <w:tcBorders>
              <w:top w:val="nil"/>
              <w:left w:val="nil"/>
              <w:bottom w:val="nil"/>
              <w:right w:val="nil"/>
            </w:tcBorders>
            <w:hideMark/>
          </w:tcPr>
          <w:p w14:paraId="61D14123" w14:textId="352FE6B2" w:rsidR="005F2009" w:rsidRPr="003E265B" w:rsidRDefault="005F2009" w:rsidP="00921F04">
            <w:pPr>
              <w:jc w:val="right"/>
            </w:pPr>
            <w:r>
              <w:rPr>
                <w:sz w:val="18"/>
                <w:szCs w:val="18"/>
              </w:rPr>
              <w:t>37</w:t>
            </w:r>
          </w:p>
        </w:tc>
        <w:tc>
          <w:tcPr>
            <w:tcW w:w="993" w:type="dxa"/>
            <w:tcBorders>
              <w:top w:val="nil"/>
              <w:left w:val="nil"/>
              <w:bottom w:val="nil"/>
              <w:right w:val="nil"/>
            </w:tcBorders>
            <w:hideMark/>
          </w:tcPr>
          <w:p w14:paraId="1C9E1565" w14:textId="6CDCFA1C" w:rsidR="005F2009" w:rsidRPr="003E265B" w:rsidRDefault="005F2009" w:rsidP="00921F04">
            <w:pPr>
              <w:jc w:val="right"/>
            </w:pPr>
            <w:r>
              <w:rPr>
                <w:sz w:val="18"/>
                <w:szCs w:val="18"/>
              </w:rPr>
              <w:t>21,39</w:t>
            </w:r>
          </w:p>
        </w:tc>
      </w:tr>
      <w:tr w:rsidR="005F2009" w:rsidRPr="003E265B" w14:paraId="39917DEF" w14:textId="77777777" w:rsidTr="00440131">
        <w:trPr>
          <w:trHeight w:val="255"/>
        </w:trPr>
        <w:tc>
          <w:tcPr>
            <w:tcW w:w="2685" w:type="dxa"/>
            <w:tcBorders>
              <w:top w:val="nil"/>
              <w:left w:val="nil"/>
              <w:bottom w:val="single" w:sz="4" w:space="0" w:color="000000" w:themeColor="text1"/>
              <w:right w:val="nil"/>
            </w:tcBorders>
            <w:vAlign w:val="bottom"/>
            <w:hideMark/>
          </w:tcPr>
          <w:p w14:paraId="63E703DD" w14:textId="3186F0D2" w:rsidR="005F2009" w:rsidRPr="003E265B" w:rsidRDefault="005F2009" w:rsidP="005F2009">
            <w:pPr>
              <w:jc w:val="left"/>
            </w:pPr>
            <w:r>
              <w:rPr>
                <w:sz w:val="18"/>
                <w:szCs w:val="18"/>
              </w:rPr>
              <w:t>Общий целевой фонд для Нагойского протокола</w:t>
            </w:r>
          </w:p>
        </w:tc>
        <w:tc>
          <w:tcPr>
            <w:tcW w:w="1134" w:type="dxa"/>
            <w:tcBorders>
              <w:top w:val="nil"/>
              <w:left w:val="nil"/>
              <w:bottom w:val="single" w:sz="4" w:space="0" w:color="000000" w:themeColor="text1"/>
              <w:right w:val="nil"/>
            </w:tcBorders>
            <w:hideMark/>
          </w:tcPr>
          <w:p w14:paraId="78FE61FA" w14:textId="664B5952" w:rsidR="005F2009" w:rsidRPr="003E265B" w:rsidRDefault="005F2009" w:rsidP="00921F04">
            <w:pPr>
              <w:jc w:val="right"/>
            </w:pPr>
            <w:r>
              <w:rPr>
                <w:sz w:val="18"/>
                <w:szCs w:val="18"/>
              </w:rPr>
              <w:t>142</w:t>
            </w:r>
          </w:p>
        </w:tc>
        <w:tc>
          <w:tcPr>
            <w:tcW w:w="1512" w:type="dxa"/>
            <w:tcBorders>
              <w:top w:val="nil"/>
              <w:left w:val="nil"/>
              <w:bottom w:val="single" w:sz="4" w:space="0" w:color="000000" w:themeColor="text1"/>
              <w:right w:val="nil"/>
            </w:tcBorders>
            <w:hideMark/>
          </w:tcPr>
          <w:p w14:paraId="4C067F2D" w14:textId="4B8908AE" w:rsidR="005F2009" w:rsidRPr="003E265B" w:rsidRDefault="005F2009" w:rsidP="00921F04">
            <w:pPr>
              <w:jc w:val="right"/>
            </w:pPr>
            <w:r>
              <w:rPr>
                <w:sz w:val="18"/>
                <w:szCs w:val="18"/>
              </w:rPr>
              <w:t>57</w:t>
            </w:r>
          </w:p>
        </w:tc>
        <w:tc>
          <w:tcPr>
            <w:tcW w:w="1039" w:type="dxa"/>
            <w:gridSpan w:val="2"/>
            <w:tcBorders>
              <w:top w:val="nil"/>
              <w:left w:val="nil"/>
              <w:bottom w:val="single" w:sz="4" w:space="0" w:color="000000" w:themeColor="text1"/>
              <w:right w:val="nil"/>
            </w:tcBorders>
            <w:hideMark/>
          </w:tcPr>
          <w:p w14:paraId="555B7AC0" w14:textId="0A0795E7" w:rsidR="005F2009" w:rsidRPr="003E265B" w:rsidRDefault="005F2009" w:rsidP="00440131">
            <w:pPr>
              <w:ind w:left="-128" w:right="116"/>
              <w:jc w:val="right"/>
            </w:pPr>
            <w:r>
              <w:rPr>
                <w:sz w:val="18"/>
                <w:szCs w:val="18"/>
              </w:rPr>
              <w:t>40,14</w:t>
            </w:r>
          </w:p>
        </w:tc>
        <w:tc>
          <w:tcPr>
            <w:tcW w:w="1559" w:type="dxa"/>
            <w:gridSpan w:val="2"/>
            <w:tcBorders>
              <w:top w:val="nil"/>
              <w:left w:val="nil"/>
              <w:bottom w:val="single" w:sz="4" w:space="0" w:color="000000" w:themeColor="text1"/>
              <w:right w:val="nil"/>
            </w:tcBorders>
            <w:hideMark/>
          </w:tcPr>
          <w:p w14:paraId="7B691E72" w14:textId="03A6C91F" w:rsidR="005F2009" w:rsidRPr="003E265B" w:rsidRDefault="005F2009" w:rsidP="00921F04">
            <w:pPr>
              <w:jc w:val="right"/>
            </w:pPr>
            <w:r>
              <w:rPr>
                <w:sz w:val="18"/>
                <w:szCs w:val="18"/>
              </w:rPr>
              <w:t>25</w:t>
            </w:r>
          </w:p>
        </w:tc>
        <w:tc>
          <w:tcPr>
            <w:tcW w:w="993" w:type="dxa"/>
            <w:tcBorders>
              <w:top w:val="nil"/>
              <w:left w:val="nil"/>
              <w:bottom w:val="single" w:sz="4" w:space="0" w:color="000000" w:themeColor="text1"/>
              <w:right w:val="nil"/>
            </w:tcBorders>
            <w:hideMark/>
          </w:tcPr>
          <w:p w14:paraId="030B78AD" w14:textId="72B5902D" w:rsidR="005F2009" w:rsidRPr="003E265B" w:rsidRDefault="005F2009" w:rsidP="00921F04">
            <w:pPr>
              <w:jc w:val="right"/>
            </w:pPr>
            <w:r>
              <w:rPr>
                <w:sz w:val="18"/>
                <w:szCs w:val="18"/>
              </w:rPr>
              <w:t>17,61</w:t>
            </w:r>
          </w:p>
        </w:tc>
      </w:tr>
    </w:tbl>
    <w:p w14:paraId="532BFD67" w14:textId="6589A3AC" w:rsidR="00822565" w:rsidRPr="003E265B" w:rsidRDefault="00846ACF" w:rsidP="00440131">
      <w:pPr>
        <w:pStyle w:val="CBDNormalNumber"/>
      </w:pPr>
      <w:r>
        <w:t>С состоянием взносов в три общих целевых фонда можно ознакомиться на веб-сайте секретариата.</w:t>
      </w:r>
    </w:p>
    <w:p w14:paraId="2C2180DA" w14:textId="7EDD4919" w:rsidR="00F5246B" w:rsidRPr="003E265B" w:rsidRDefault="00F5246B" w:rsidP="00F5246B">
      <w:pPr>
        <w:pStyle w:val="CBDH2"/>
      </w:pPr>
      <w:r>
        <w:t>B.</w:t>
      </w:r>
      <w:r>
        <w:tab/>
        <w:t xml:space="preserve">Исполнение комплексного бюджета на </w:t>
      </w:r>
      <w:r w:rsidR="000E7EE5">
        <w:t xml:space="preserve">2025–2026 </w:t>
      </w:r>
      <w:r>
        <w:t>годы</w:t>
      </w:r>
    </w:p>
    <w:p w14:paraId="37B706F2" w14:textId="204B9D20" w:rsidR="00822565" w:rsidRPr="003E265B" w:rsidRDefault="009037F0" w:rsidP="2080ABF3">
      <w:pPr>
        <w:pStyle w:val="CBDNormalNumber"/>
        <w:tabs>
          <w:tab w:val="left" w:pos="900"/>
        </w:tabs>
      </w:pPr>
      <w:r>
        <w:t>Как показано в третьей колонке таблицы 5, по состоянию на 31 мая 2026 года фактические расходы в дополнение к прогнозируемым суммам до декабря 2026 года за двухлетний период 2025–2026 годов составляют в общей сложности 39 023 699 долл. США, включая фактические расходы и обязательства, которые будут произведены и погашены до конца 2026 года.</w:t>
      </w:r>
    </w:p>
    <w:p w14:paraId="31E437A6" w14:textId="63E9E796" w:rsidR="000A0DFF" w:rsidRPr="003E265B" w:rsidRDefault="000A0DFF" w:rsidP="000A0DF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lastRenderedPageBreak/>
        <w:t>Таблица 5</w:t>
      </w:r>
      <w:r>
        <w:rPr>
          <w:b/>
          <w:bCs/>
        </w:rPr>
        <w:t xml:space="preserve"> </w:t>
      </w:r>
      <w:r>
        <w:rPr>
          <w:b/>
          <w:bCs/>
        </w:rPr>
        <w:br/>
        <w:t xml:space="preserve">Расходы по статьям бюджета в сравнении с утвержденным комплексным бюджетом на </w:t>
      </w:r>
      <w:r w:rsidR="00C7468A">
        <w:rPr>
          <w:b/>
          <w:bCs/>
        </w:rPr>
        <w:t xml:space="preserve">2025–2026 </w:t>
      </w:r>
      <w:r>
        <w:rPr>
          <w:b/>
          <w:bCs/>
        </w:rPr>
        <w:t>годы по состоянию на 31 мая 2026 года</w:t>
      </w:r>
    </w:p>
    <w:p w14:paraId="4261074C" w14:textId="5A3927A2" w:rsidR="000A0DFF" w:rsidRPr="003E265B" w:rsidRDefault="000A0DFF" w:rsidP="00787265">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rPr>
      </w:pPr>
      <w:r>
        <w:rPr>
          <w:sz w:val="18"/>
          <w:szCs w:val="18"/>
        </w:rPr>
        <w:t>(тыс. долл. США)</w:t>
      </w:r>
    </w:p>
    <w:tbl>
      <w:tblPr>
        <w:tblW w:w="4692" w:type="pct"/>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1"/>
        <w:gridCol w:w="492"/>
        <w:gridCol w:w="1351"/>
        <w:gridCol w:w="1843"/>
        <w:gridCol w:w="1846"/>
      </w:tblGrid>
      <w:tr w:rsidR="000A0DFF" w:rsidRPr="003E265B" w14:paraId="7E75297A" w14:textId="77777777" w:rsidTr="00440131">
        <w:trPr>
          <w:trHeight w:val="585"/>
          <w:tblHeader/>
        </w:trPr>
        <w:tc>
          <w:tcPr>
            <w:tcW w:w="1851" w:type="pct"/>
            <w:tcBorders>
              <w:top w:val="single" w:sz="4" w:space="0" w:color="auto"/>
              <w:left w:val="nil"/>
              <w:bottom w:val="single" w:sz="4" w:space="0" w:color="auto"/>
              <w:right w:val="nil"/>
            </w:tcBorders>
            <w:vAlign w:val="bottom"/>
            <w:hideMark/>
          </w:tcPr>
          <w:p w14:paraId="1F61B9B1" w14:textId="51AF5847" w:rsidR="000A0DFF" w:rsidRPr="00440131" w:rsidRDefault="000A0DFF" w:rsidP="000A0DFF">
            <w:pPr>
              <w:tabs>
                <w:tab w:val="clear" w:pos="567"/>
                <w:tab w:val="clear" w:pos="1134"/>
                <w:tab w:val="clear" w:pos="1701"/>
                <w:tab w:val="clear" w:pos="2268"/>
              </w:tabs>
              <w:jc w:val="left"/>
              <w:textAlignment w:val="baseline"/>
              <w:rPr>
                <w:rFonts w:eastAsia="Times New Roman"/>
                <w:sz w:val="24"/>
                <w:szCs w:val="24"/>
              </w:rPr>
            </w:pPr>
            <w:r>
              <w:rPr>
                <w:i/>
                <w:iCs/>
                <w:sz w:val="18"/>
                <w:szCs w:val="18"/>
              </w:rPr>
              <w:t>Статья расходов</w:t>
            </w:r>
            <w:r>
              <w:rPr>
                <w:sz w:val="18"/>
                <w:szCs w:val="18"/>
              </w:rPr>
              <w:t xml:space="preserve"> </w:t>
            </w:r>
          </w:p>
        </w:tc>
        <w:tc>
          <w:tcPr>
            <w:tcW w:w="1049" w:type="pct"/>
            <w:gridSpan w:val="2"/>
            <w:tcBorders>
              <w:top w:val="single" w:sz="4" w:space="0" w:color="auto"/>
              <w:left w:val="nil"/>
              <w:bottom w:val="single" w:sz="4" w:space="0" w:color="auto"/>
              <w:right w:val="nil"/>
            </w:tcBorders>
            <w:vAlign w:val="bottom"/>
            <w:hideMark/>
          </w:tcPr>
          <w:p w14:paraId="1B3559B5" w14:textId="1E86243B" w:rsidR="000A0DFF" w:rsidRPr="00440131" w:rsidRDefault="000A0DFF" w:rsidP="00F360E5">
            <w:pPr>
              <w:tabs>
                <w:tab w:val="clear" w:pos="567"/>
                <w:tab w:val="clear" w:pos="1134"/>
                <w:tab w:val="clear" w:pos="1701"/>
                <w:tab w:val="clear" w:pos="2268"/>
              </w:tabs>
              <w:jc w:val="right"/>
              <w:textAlignment w:val="baseline"/>
              <w:rPr>
                <w:rFonts w:eastAsia="Times New Roman"/>
                <w:sz w:val="24"/>
                <w:szCs w:val="24"/>
              </w:rPr>
            </w:pPr>
            <w:r>
              <w:rPr>
                <w:i/>
                <w:iCs/>
                <w:sz w:val="18"/>
                <w:szCs w:val="18"/>
              </w:rPr>
              <w:t>Утвержденный бюджет на 2025</w:t>
            </w:r>
            <w:r>
              <w:rPr>
                <w:i/>
                <w:iCs/>
                <w:sz w:val="18"/>
                <w:szCs w:val="18"/>
              </w:rPr>
              <w:sym w:font="Symbol" w:char="F02D"/>
            </w:r>
            <w:r>
              <w:rPr>
                <w:i/>
                <w:iCs/>
                <w:sz w:val="18"/>
                <w:szCs w:val="18"/>
              </w:rPr>
              <w:t>2026 гг.</w:t>
            </w:r>
          </w:p>
        </w:tc>
        <w:tc>
          <w:tcPr>
            <w:tcW w:w="1049" w:type="pct"/>
            <w:tcBorders>
              <w:top w:val="single" w:sz="4" w:space="0" w:color="auto"/>
              <w:left w:val="nil"/>
              <w:bottom w:val="single" w:sz="4" w:space="0" w:color="auto"/>
              <w:right w:val="nil"/>
            </w:tcBorders>
            <w:vAlign w:val="bottom"/>
            <w:hideMark/>
          </w:tcPr>
          <w:p w14:paraId="68BF45E7" w14:textId="1B289B2A" w:rsidR="000A0DFF" w:rsidRPr="00440131" w:rsidRDefault="000A0DFF" w:rsidP="000A0DFF">
            <w:pPr>
              <w:tabs>
                <w:tab w:val="clear" w:pos="567"/>
                <w:tab w:val="clear" w:pos="1134"/>
                <w:tab w:val="clear" w:pos="1701"/>
                <w:tab w:val="clear" w:pos="2268"/>
              </w:tabs>
              <w:jc w:val="right"/>
              <w:textAlignment w:val="baseline"/>
              <w:rPr>
                <w:rFonts w:eastAsia="Times New Roman"/>
                <w:sz w:val="24"/>
                <w:szCs w:val="24"/>
              </w:rPr>
            </w:pPr>
            <w:r>
              <w:rPr>
                <w:i/>
                <w:iCs/>
                <w:sz w:val="18"/>
                <w:szCs w:val="18"/>
              </w:rPr>
              <w:t>Расходы 2025</w:t>
            </w:r>
            <w:r>
              <w:rPr>
                <w:i/>
                <w:iCs/>
                <w:sz w:val="18"/>
                <w:szCs w:val="18"/>
              </w:rPr>
              <w:sym w:font="Symbol" w:char="F02D"/>
            </w:r>
            <w:r>
              <w:rPr>
                <w:i/>
                <w:iCs/>
                <w:sz w:val="18"/>
                <w:szCs w:val="18"/>
              </w:rPr>
              <w:t>2026 гг.</w:t>
            </w:r>
            <w:r>
              <w:rPr>
                <w:sz w:val="18"/>
                <w:szCs w:val="18"/>
              </w:rPr>
              <w:t xml:space="preserve"> </w:t>
            </w:r>
          </w:p>
          <w:p w14:paraId="0CE994E6" w14:textId="3921A848" w:rsidR="000A0DFF" w:rsidRPr="00440131" w:rsidRDefault="007E7223" w:rsidP="000A0DFF">
            <w:pPr>
              <w:tabs>
                <w:tab w:val="clear" w:pos="567"/>
                <w:tab w:val="clear" w:pos="1134"/>
                <w:tab w:val="clear" w:pos="1701"/>
                <w:tab w:val="clear" w:pos="2268"/>
              </w:tabs>
              <w:jc w:val="right"/>
              <w:textAlignment w:val="baseline"/>
              <w:rPr>
                <w:rFonts w:eastAsia="Times New Roman"/>
                <w:sz w:val="24"/>
                <w:szCs w:val="24"/>
              </w:rPr>
            </w:pPr>
            <w:r>
              <w:rPr>
                <w:i/>
                <w:iCs/>
                <w:sz w:val="18"/>
                <w:szCs w:val="18"/>
              </w:rPr>
              <w:t xml:space="preserve"> (фактические + прогнозируемые)</w:t>
            </w:r>
            <w:r>
              <w:rPr>
                <w:sz w:val="18"/>
                <w:szCs w:val="18"/>
              </w:rPr>
              <w:t xml:space="preserve"> </w:t>
            </w:r>
          </w:p>
        </w:tc>
        <w:tc>
          <w:tcPr>
            <w:tcW w:w="1051" w:type="pct"/>
            <w:tcBorders>
              <w:top w:val="single" w:sz="4" w:space="0" w:color="auto"/>
              <w:left w:val="nil"/>
              <w:bottom w:val="single" w:sz="4" w:space="0" w:color="auto"/>
              <w:right w:val="nil"/>
            </w:tcBorders>
            <w:vAlign w:val="bottom"/>
            <w:hideMark/>
          </w:tcPr>
          <w:p w14:paraId="7801F732" w14:textId="02A69958" w:rsidR="000A0DFF" w:rsidRPr="00440131" w:rsidRDefault="000A0DFF" w:rsidP="00440131">
            <w:pPr>
              <w:tabs>
                <w:tab w:val="clear" w:pos="567"/>
                <w:tab w:val="clear" w:pos="1134"/>
                <w:tab w:val="clear" w:pos="1701"/>
                <w:tab w:val="clear" w:pos="2268"/>
              </w:tabs>
              <w:ind w:right="4"/>
              <w:jc w:val="right"/>
              <w:textAlignment w:val="baseline"/>
              <w:rPr>
                <w:rFonts w:eastAsia="Times New Roman"/>
                <w:sz w:val="24"/>
                <w:szCs w:val="24"/>
              </w:rPr>
            </w:pPr>
            <w:r>
              <w:rPr>
                <w:i/>
                <w:iCs/>
                <w:sz w:val="18"/>
                <w:szCs w:val="18"/>
              </w:rPr>
              <w:t>Прогнозируемое расхождение 2025</w:t>
            </w:r>
            <w:r>
              <w:rPr>
                <w:i/>
                <w:iCs/>
                <w:sz w:val="18"/>
                <w:szCs w:val="18"/>
              </w:rPr>
              <w:sym w:font="Symbol" w:char="F02D"/>
            </w:r>
            <w:r>
              <w:rPr>
                <w:i/>
                <w:iCs/>
                <w:sz w:val="18"/>
                <w:szCs w:val="18"/>
              </w:rPr>
              <w:t>2026 гг.</w:t>
            </w:r>
            <w:r>
              <w:rPr>
                <w:sz w:val="18"/>
                <w:szCs w:val="18"/>
              </w:rPr>
              <w:t xml:space="preserve"> </w:t>
            </w:r>
          </w:p>
        </w:tc>
      </w:tr>
      <w:tr w:rsidR="000A0DFF" w:rsidRPr="003E265B" w14:paraId="656E2232" w14:textId="77777777" w:rsidTr="00440131">
        <w:trPr>
          <w:trHeight w:val="285"/>
        </w:trPr>
        <w:tc>
          <w:tcPr>
            <w:tcW w:w="2131" w:type="pct"/>
            <w:gridSpan w:val="2"/>
            <w:tcBorders>
              <w:top w:val="nil"/>
              <w:left w:val="nil"/>
              <w:bottom w:val="nil"/>
              <w:right w:val="nil"/>
            </w:tcBorders>
            <w:vAlign w:val="bottom"/>
            <w:hideMark/>
          </w:tcPr>
          <w:p w14:paraId="6FC5384F" w14:textId="257539A9"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Расходы на персонал</w:t>
            </w:r>
            <w:r>
              <w:rPr>
                <w:b/>
                <w:bCs/>
                <w:sz w:val="18"/>
                <w:szCs w:val="18"/>
              </w:rPr>
              <w:t xml:space="preserve"> </w:t>
            </w:r>
          </w:p>
        </w:tc>
        <w:tc>
          <w:tcPr>
            <w:tcW w:w="769" w:type="pct"/>
            <w:tcBorders>
              <w:top w:val="nil"/>
              <w:left w:val="nil"/>
              <w:bottom w:val="nil"/>
              <w:right w:val="nil"/>
            </w:tcBorders>
            <w:vAlign w:val="bottom"/>
            <w:hideMark/>
          </w:tcPr>
          <w:p w14:paraId="7C0E2CCD" w14:textId="32D477D1"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27 163</w:t>
            </w:r>
            <w:r w:rsidR="000A0DFF">
              <w:rPr>
                <w:sz w:val="18"/>
                <w:szCs w:val="18"/>
              </w:rPr>
              <w:t>,7 </w:t>
            </w:r>
          </w:p>
        </w:tc>
        <w:tc>
          <w:tcPr>
            <w:tcW w:w="1049" w:type="pct"/>
            <w:tcBorders>
              <w:top w:val="nil"/>
              <w:left w:val="nil"/>
              <w:bottom w:val="nil"/>
              <w:right w:val="nil"/>
            </w:tcBorders>
            <w:vAlign w:val="bottom"/>
            <w:hideMark/>
          </w:tcPr>
          <w:p w14:paraId="46D9A949" w14:textId="1408389D"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26 277</w:t>
            </w:r>
            <w:r w:rsidR="000A0DFF">
              <w:rPr>
                <w:sz w:val="18"/>
                <w:szCs w:val="18"/>
              </w:rPr>
              <w:t>,9</w:t>
            </w:r>
          </w:p>
        </w:tc>
        <w:tc>
          <w:tcPr>
            <w:tcW w:w="1051" w:type="pct"/>
            <w:tcBorders>
              <w:top w:val="nil"/>
              <w:left w:val="nil"/>
              <w:bottom w:val="nil"/>
              <w:right w:val="nil"/>
            </w:tcBorders>
            <w:vAlign w:val="bottom"/>
            <w:hideMark/>
          </w:tcPr>
          <w:p w14:paraId="27403641" w14:textId="10081C46"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885,8</w:t>
            </w:r>
          </w:p>
        </w:tc>
      </w:tr>
      <w:tr w:rsidR="000A0DFF" w:rsidRPr="003E265B" w14:paraId="4DD37671" w14:textId="77777777" w:rsidTr="00440131">
        <w:trPr>
          <w:trHeight w:val="285"/>
        </w:trPr>
        <w:tc>
          <w:tcPr>
            <w:tcW w:w="2131" w:type="pct"/>
            <w:gridSpan w:val="2"/>
            <w:tcBorders>
              <w:top w:val="nil"/>
              <w:left w:val="nil"/>
              <w:bottom w:val="nil"/>
              <w:right w:val="nil"/>
            </w:tcBorders>
            <w:vAlign w:val="bottom"/>
            <w:hideMark/>
          </w:tcPr>
          <w:p w14:paraId="4D22B60C" w14:textId="58E037CF"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Временный персонал общего назначения</w:t>
            </w:r>
            <w:r>
              <w:rPr>
                <w:b/>
                <w:bCs/>
                <w:sz w:val="18"/>
                <w:szCs w:val="18"/>
              </w:rPr>
              <w:t xml:space="preserve"> </w:t>
            </w:r>
          </w:p>
        </w:tc>
        <w:tc>
          <w:tcPr>
            <w:tcW w:w="769" w:type="pct"/>
            <w:tcBorders>
              <w:top w:val="nil"/>
              <w:left w:val="nil"/>
              <w:bottom w:val="nil"/>
              <w:right w:val="nil"/>
            </w:tcBorders>
            <w:vAlign w:val="bottom"/>
            <w:hideMark/>
          </w:tcPr>
          <w:p w14:paraId="47AEDB0D" w14:textId="31F3795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200,0 </w:t>
            </w:r>
          </w:p>
        </w:tc>
        <w:tc>
          <w:tcPr>
            <w:tcW w:w="1049" w:type="pct"/>
            <w:tcBorders>
              <w:top w:val="nil"/>
              <w:left w:val="nil"/>
              <w:bottom w:val="nil"/>
              <w:right w:val="nil"/>
            </w:tcBorders>
            <w:vAlign w:val="bottom"/>
            <w:hideMark/>
          </w:tcPr>
          <w:p w14:paraId="1A1662C2" w14:textId="579059D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180,0</w:t>
            </w:r>
          </w:p>
        </w:tc>
        <w:tc>
          <w:tcPr>
            <w:tcW w:w="1051" w:type="pct"/>
            <w:tcBorders>
              <w:top w:val="nil"/>
              <w:left w:val="nil"/>
              <w:bottom w:val="nil"/>
              <w:right w:val="nil"/>
            </w:tcBorders>
            <w:vAlign w:val="bottom"/>
            <w:hideMark/>
          </w:tcPr>
          <w:p w14:paraId="67D76891" w14:textId="07772C9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20,0</w:t>
            </w:r>
          </w:p>
        </w:tc>
      </w:tr>
      <w:tr w:rsidR="000A0DFF" w:rsidRPr="003E265B" w14:paraId="61E7F8D6" w14:textId="77777777" w:rsidTr="00440131">
        <w:trPr>
          <w:trHeight w:val="285"/>
        </w:trPr>
        <w:tc>
          <w:tcPr>
            <w:tcW w:w="2131" w:type="pct"/>
            <w:gridSpan w:val="2"/>
            <w:tcBorders>
              <w:top w:val="nil"/>
              <w:left w:val="nil"/>
              <w:bottom w:val="nil"/>
              <w:right w:val="nil"/>
            </w:tcBorders>
            <w:vAlign w:val="bottom"/>
            <w:hideMark/>
          </w:tcPr>
          <w:p w14:paraId="447398E1" w14:textId="6B01380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Совещания бюро</w:t>
            </w:r>
            <w:r>
              <w:rPr>
                <w:b/>
                <w:bCs/>
                <w:sz w:val="18"/>
                <w:szCs w:val="18"/>
              </w:rPr>
              <w:t xml:space="preserve"> </w:t>
            </w:r>
          </w:p>
        </w:tc>
        <w:tc>
          <w:tcPr>
            <w:tcW w:w="769" w:type="pct"/>
            <w:tcBorders>
              <w:top w:val="nil"/>
              <w:left w:val="nil"/>
              <w:bottom w:val="nil"/>
              <w:right w:val="nil"/>
            </w:tcBorders>
            <w:vAlign w:val="bottom"/>
            <w:hideMark/>
          </w:tcPr>
          <w:p w14:paraId="21BCC2B0" w14:textId="0314B19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338,3 </w:t>
            </w:r>
          </w:p>
        </w:tc>
        <w:tc>
          <w:tcPr>
            <w:tcW w:w="1049" w:type="pct"/>
            <w:tcBorders>
              <w:top w:val="nil"/>
              <w:left w:val="nil"/>
              <w:bottom w:val="nil"/>
              <w:right w:val="nil"/>
            </w:tcBorders>
            <w:vAlign w:val="bottom"/>
            <w:hideMark/>
          </w:tcPr>
          <w:p w14:paraId="61859055" w14:textId="01F6C0C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300,0 </w:t>
            </w:r>
          </w:p>
        </w:tc>
        <w:tc>
          <w:tcPr>
            <w:tcW w:w="1051" w:type="pct"/>
            <w:tcBorders>
              <w:top w:val="nil"/>
              <w:left w:val="nil"/>
              <w:bottom w:val="nil"/>
              <w:right w:val="nil"/>
            </w:tcBorders>
            <w:vAlign w:val="bottom"/>
            <w:hideMark/>
          </w:tcPr>
          <w:p w14:paraId="5BFF0822" w14:textId="64CE3E7F"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38,3</w:t>
            </w:r>
          </w:p>
        </w:tc>
      </w:tr>
      <w:tr w:rsidR="000A0DFF" w:rsidRPr="003E265B" w14:paraId="2EEBD51B" w14:textId="77777777" w:rsidTr="00440131">
        <w:trPr>
          <w:trHeight w:val="285"/>
        </w:trPr>
        <w:tc>
          <w:tcPr>
            <w:tcW w:w="2131" w:type="pct"/>
            <w:gridSpan w:val="2"/>
            <w:tcBorders>
              <w:top w:val="nil"/>
              <w:left w:val="nil"/>
              <w:bottom w:val="nil"/>
              <w:right w:val="nil"/>
            </w:tcBorders>
            <w:vAlign w:val="bottom"/>
            <w:hideMark/>
          </w:tcPr>
          <w:p w14:paraId="1B420695" w14:textId="487DF25A"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Совещания экспертов</w:t>
            </w:r>
            <w:r>
              <w:rPr>
                <w:b/>
                <w:bCs/>
                <w:sz w:val="18"/>
                <w:szCs w:val="18"/>
              </w:rPr>
              <w:t xml:space="preserve"> </w:t>
            </w:r>
          </w:p>
        </w:tc>
        <w:tc>
          <w:tcPr>
            <w:tcW w:w="769" w:type="pct"/>
            <w:tcBorders>
              <w:top w:val="nil"/>
              <w:left w:val="nil"/>
              <w:bottom w:val="nil"/>
              <w:right w:val="nil"/>
            </w:tcBorders>
            <w:vAlign w:val="bottom"/>
            <w:hideMark/>
          </w:tcPr>
          <w:p w14:paraId="4F0337A1" w14:textId="7976C2BE"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380,0 </w:t>
            </w:r>
          </w:p>
        </w:tc>
        <w:tc>
          <w:tcPr>
            <w:tcW w:w="1049" w:type="pct"/>
            <w:tcBorders>
              <w:top w:val="nil"/>
              <w:left w:val="nil"/>
              <w:bottom w:val="nil"/>
              <w:right w:val="nil"/>
            </w:tcBorders>
            <w:vAlign w:val="bottom"/>
            <w:hideMark/>
          </w:tcPr>
          <w:p w14:paraId="4979E97D" w14:textId="57408CB1"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380,0 </w:t>
            </w:r>
          </w:p>
        </w:tc>
        <w:tc>
          <w:tcPr>
            <w:tcW w:w="1051" w:type="pct"/>
            <w:tcBorders>
              <w:top w:val="nil"/>
              <w:left w:val="nil"/>
              <w:bottom w:val="nil"/>
              <w:right w:val="nil"/>
            </w:tcBorders>
            <w:vAlign w:val="bottom"/>
            <w:hideMark/>
          </w:tcPr>
          <w:p w14:paraId="64FF3D9E" w14:textId="6C767096"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 </w:t>
            </w:r>
          </w:p>
        </w:tc>
      </w:tr>
      <w:tr w:rsidR="000A0DFF" w:rsidRPr="003E265B" w14:paraId="4DF97F72" w14:textId="77777777" w:rsidTr="00440131">
        <w:trPr>
          <w:trHeight w:val="285"/>
        </w:trPr>
        <w:tc>
          <w:tcPr>
            <w:tcW w:w="2131" w:type="pct"/>
            <w:gridSpan w:val="2"/>
            <w:tcBorders>
              <w:top w:val="nil"/>
              <w:left w:val="nil"/>
              <w:bottom w:val="nil"/>
              <w:right w:val="nil"/>
            </w:tcBorders>
            <w:vAlign w:val="bottom"/>
            <w:hideMark/>
          </w:tcPr>
          <w:p w14:paraId="285B2635" w14:textId="6A3F4DF8"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Совещания межправительственных органов</w:t>
            </w:r>
            <w:r>
              <w:rPr>
                <w:b/>
                <w:bCs/>
                <w:sz w:val="18"/>
                <w:szCs w:val="18"/>
              </w:rPr>
              <w:t xml:space="preserve"> </w:t>
            </w:r>
          </w:p>
        </w:tc>
        <w:tc>
          <w:tcPr>
            <w:tcW w:w="769" w:type="pct"/>
            <w:tcBorders>
              <w:top w:val="nil"/>
              <w:left w:val="nil"/>
              <w:bottom w:val="nil"/>
              <w:right w:val="nil"/>
            </w:tcBorders>
            <w:vAlign w:val="bottom"/>
            <w:hideMark/>
          </w:tcPr>
          <w:p w14:paraId="4BD577F9" w14:textId="1B8E0614"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4 975</w:t>
            </w:r>
            <w:r w:rsidR="000A0DFF">
              <w:rPr>
                <w:sz w:val="18"/>
                <w:szCs w:val="18"/>
              </w:rPr>
              <w:t xml:space="preserve">,5 </w:t>
            </w:r>
          </w:p>
        </w:tc>
        <w:tc>
          <w:tcPr>
            <w:tcW w:w="1049" w:type="pct"/>
            <w:tcBorders>
              <w:top w:val="nil"/>
              <w:left w:val="nil"/>
              <w:bottom w:val="nil"/>
              <w:right w:val="nil"/>
            </w:tcBorders>
            <w:vAlign w:val="bottom"/>
            <w:hideMark/>
          </w:tcPr>
          <w:p w14:paraId="5768788D" w14:textId="6DCB0513"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5 855</w:t>
            </w:r>
            <w:r w:rsidR="000A0DFF">
              <w:rPr>
                <w:sz w:val="18"/>
                <w:szCs w:val="18"/>
              </w:rPr>
              <w:t xml:space="preserve">,9 </w:t>
            </w:r>
          </w:p>
        </w:tc>
        <w:tc>
          <w:tcPr>
            <w:tcW w:w="1051" w:type="pct"/>
            <w:tcBorders>
              <w:top w:val="nil"/>
              <w:left w:val="nil"/>
              <w:bottom w:val="nil"/>
              <w:right w:val="nil"/>
            </w:tcBorders>
            <w:vAlign w:val="bottom"/>
            <w:hideMark/>
          </w:tcPr>
          <w:p w14:paraId="5DE5A50B" w14:textId="1BE877A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(880,4)</w:t>
            </w:r>
          </w:p>
        </w:tc>
      </w:tr>
      <w:tr w:rsidR="000A0DFF" w:rsidRPr="003E265B" w14:paraId="697F89E0" w14:textId="77777777" w:rsidTr="00440131">
        <w:trPr>
          <w:trHeight w:val="285"/>
        </w:trPr>
        <w:tc>
          <w:tcPr>
            <w:tcW w:w="2131" w:type="pct"/>
            <w:gridSpan w:val="2"/>
            <w:tcBorders>
              <w:top w:val="nil"/>
              <w:left w:val="nil"/>
              <w:bottom w:val="nil"/>
              <w:right w:val="nil"/>
            </w:tcBorders>
            <w:vAlign w:val="bottom"/>
            <w:hideMark/>
          </w:tcPr>
          <w:p w14:paraId="779B1A31" w14:textId="5A871CA3"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Консультанты</w:t>
            </w:r>
            <w:r>
              <w:rPr>
                <w:b/>
                <w:bCs/>
                <w:sz w:val="18"/>
                <w:szCs w:val="18"/>
              </w:rPr>
              <w:t xml:space="preserve"> </w:t>
            </w:r>
          </w:p>
        </w:tc>
        <w:tc>
          <w:tcPr>
            <w:tcW w:w="769" w:type="pct"/>
            <w:tcBorders>
              <w:top w:val="nil"/>
              <w:left w:val="nil"/>
              <w:bottom w:val="nil"/>
              <w:right w:val="nil"/>
            </w:tcBorders>
            <w:vAlign w:val="bottom"/>
            <w:hideMark/>
          </w:tcPr>
          <w:p w14:paraId="1448CB94" w14:textId="07F73B10"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150,0 </w:t>
            </w:r>
          </w:p>
        </w:tc>
        <w:tc>
          <w:tcPr>
            <w:tcW w:w="1049" w:type="pct"/>
            <w:tcBorders>
              <w:top w:val="nil"/>
              <w:left w:val="nil"/>
              <w:bottom w:val="nil"/>
              <w:right w:val="nil"/>
            </w:tcBorders>
            <w:vAlign w:val="bottom"/>
            <w:hideMark/>
          </w:tcPr>
          <w:p w14:paraId="47B6B752" w14:textId="77BA4A4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150,0 </w:t>
            </w:r>
          </w:p>
        </w:tc>
        <w:tc>
          <w:tcPr>
            <w:tcW w:w="1051" w:type="pct"/>
            <w:tcBorders>
              <w:top w:val="nil"/>
              <w:left w:val="nil"/>
              <w:bottom w:val="nil"/>
              <w:right w:val="nil"/>
            </w:tcBorders>
            <w:vAlign w:val="bottom"/>
            <w:hideMark/>
          </w:tcPr>
          <w:p w14:paraId="47A3945D" w14:textId="570D7082"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 </w:t>
            </w:r>
          </w:p>
        </w:tc>
      </w:tr>
      <w:tr w:rsidR="000A0DFF" w:rsidRPr="003E265B" w14:paraId="733A80CE" w14:textId="77777777" w:rsidTr="00440131">
        <w:trPr>
          <w:trHeight w:val="285"/>
        </w:trPr>
        <w:tc>
          <w:tcPr>
            <w:tcW w:w="2131" w:type="pct"/>
            <w:gridSpan w:val="2"/>
            <w:tcBorders>
              <w:top w:val="nil"/>
              <w:left w:val="nil"/>
              <w:bottom w:val="nil"/>
              <w:right w:val="nil"/>
            </w:tcBorders>
            <w:vAlign w:val="bottom"/>
            <w:hideMark/>
          </w:tcPr>
          <w:p w14:paraId="5CD94B43" w14:textId="39A21BB2"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Функциональный обзор</w:t>
            </w:r>
            <w:r>
              <w:rPr>
                <w:b/>
                <w:bCs/>
                <w:sz w:val="18"/>
                <w:szCs w:val="18"/>
              </w:rPr>
              <w:t xml:space="preserve"> </w:t>
            </w:r>
          </w:p>
        </w:tc>
        <w:tc>
          <w:tcPr>
            <w:tcW w:w="769" w:type="pct"/>
            <w:tcBorders>
              <w:top w:val="nil"/>
              <w:left w:val="nil"/>
              <w:bottom w:val="nil"/>
              <w:right w:val="nil"/>
            </w:tcBorders>
            <w:vAlign w:val="bottom"/>
            <w:hideMark/>
          </w:tcPr>
          <w:p w14:paraId="172930F8" w14:textId="0D54546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250,0 </w:t>
            </w:r>
          </w:p>
        </w:tc>
        <w:tc>
          <w:tcPr>
            <w:tcW w:w="1049" w:type="pct"/>
            <w:tcBorders>
              <w:top w:val="nil"/>
              <w:left w:val="nil"/>
              <w:bottom w:val="nil"/>
              <w:right w:val="nil"/>
            </w:tcBorders>
            <w:vAlign w:val="bottom"/>
            <w:hideMark/>
          </w:tcPr>
          <w:p w14:paraId="22485597" w14:textId="1B0D47CB"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278,0 </w:t>
            </w:r>
          </w:p>
        </w:tc>
        <w:tc>
          <w:tcPr>
            <w:tcW w:w="1051" w:type="pct"/>
            <w:tcBorders>
              <w:top w:val="nil"/>
              <w:left w:val="nil"/>
              <w:bottom w:val="nil"/>
              <w:right w:val="nil"/>
            </w:tcBorders>
            <w:vAlign w:val="bottom"/>
            <w:hideMark/>
          </w:tcPr>
          <w:p w14:paraId="4C083DDF" w14:textId="67563A2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(28,0)</w:t>
            </w:r>
          </w:p>
        </w:tc>
      </w:tr>
      <w:tr w:rsidR="000A0DFF" w:rsidRPr="003E265B" w14:paraId="07A82F5C" w14:textId="77777777" w:rsidTr="00440131">
        <w:trPr>
          <w:trHeight w:val="285"/>
        </w:trPr>
        <w:tc>
          <w:tcPr>
            <w:tcW w:w="2131" w:type="pct"/>
            <w:gridSpan w:val="2"/>
            <w:tcBorders>
              <w:top w:val="nil"/>
              <w:left w:val="nil"/>
              <w:bottom w:val="nil"/>
              <w:right w:val="nil"/>
            </w:tcBorders>
            <w:vAlign w:val="bottom"/>
            <w:hideMark/>
          </w:tcPr>
          <w:p w14:paraId="266C5526" w14:textId="757E50D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Служебные командировки</w:t>
            </w:r>
            <w:r>
              <w:rPr>
                <w:b/>
                <w:bCs/>
                <w:sz w:val="18"/>
                <w:szCs w:val="18"/>
              </w:rPr>
              <w:t xml:space="preserve"> </w:t>
            </w:r>
          </w:p>
        </w:tc>
        <w:tc>
          <w:tcPr>
            <w:tcW w:w="769" w:type="pct"/>
            <w:tcBorders>
              <w:top w:val="nil"/>
              <w:left w:val="nil"/>
              <w:bottom w:val="nil"/>
              <w:right w:val="nil"/>
            </w:tcBorders>
            <w:vAlign w:val="bottom"/>
            <w:hideMark/>
          </w:tcPr>
          <w:p w14:paraId="250B6574" w14:textId="3DCA3C3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850,0 </w:t>
            </w:r>
          </w:p>
        </w:tc>
        <w:tc>
          <w:tcPr>
            <w:tcW w:w="1049" w:type="pct"/>
            <w:tcBorders>
              <w:top w:val="nil"/>
              <w:left w:val="nil"/>
              <w:bottom w:val="nil"/>
              <w:right w:val="nil"/>
            </w:tcBorders>
            <w:vAlign w:val="bottom"/>
            <w:hideMark/>
          </w:tcPr>
          <w:p w14:paraId="413FD407" w14:textId="3CA4E28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835,0 </w:t>
            </w:r>
          </w:p>
        </w:tc>
        <w:tc>
          <w:tcPr>
            <w:tcW w:w="1051" w:type="pct"/>
            <w:tcBorders>
              <w:top w:val="nil"/>
              <w:left w:val="nil"/>
              <w:bottom w:val="nil"/>
              <w:right w:val="nil"/>
            </w:tcBorders>
            <w:vAlign w:val="bottom"/>
            <w:hideMark/>
          </w:tcPr>
          <w:p w14:paraId="48B5F5EC" w14:textId="5F440F7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15,0</w:t>
            </w:r>
          </w:p>
        </w:tc>
      </w:tr>
      <w:tr w:rsidR="000A0DFF" w:rsidRPr="003E265B" w14:paraId="7B6C2399" w14:textId="77777777" w:rsidTr="00440131">
        <w:trPr>
          <w:trHeight w:val="285"/>
        </w:trPr>
        <w:tc>
          <w:tcPr>
            <w:tcW w:w="2131" w:type="pct"/>
            <w:gridSpan w:val="2"/>
            <w:tcBorders>
              <w:top w:val="nil"/>
              <w:left w:val="nil"/>
              <w:bottom w:val="nil"/>
              <w:right w:val="nil"/>
            </w:tcBorders>
            <w:vAlign w:val="bottom"/>
            <w:hideMark/>
          </w:tcPr>
          <w:p w14:paraId="5A2DA0FB" w14:textId="7A5E184C"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Арендная плата и сопутствующие расходы</w:t>
            </w:r>
            <w:r>
              <w:rPr>
                <w:b/>
                <w:bCs/>
                <w:sz w:val="18"/>
                <w:szCs w:val="18"/>
              </w:rPr>
              <w:t xml:space="preserve"> </w:t>
            </w:r>
          </w:p>
        </w:tc>
        <w:tc>
          <w:tcPr>
            <w:tcW w:w="769" w:type="pct"/>
            <w:tcBorders>
              <w:top w:val="nil"/>
              <w:left w:val="nil"/>
              <w:bottom w:val="nil"/>
              <w:right w:val="nil"/>
            </w:tcBorders>
            <w:vAlign w:val="bottom"/>
            <w:hideMark/>
          </w:tcPr>
          <w:p w14:paraId="23859EBE" w14:textId="3DE8ABC9"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2 939</w:t>
            </w:r>
            <w:r w:rsidR="000A0DFF">
              <w:rPr>
                <w:sz w:val="18"/>
                <w:szCs w:val="18"/>
              </w:rPr>
              <w:t xml:space="preserve">,2 </w:t>
            </w:r>
          </w:p>
        </w:tc>
        <w:tc>
          <w:tcPr>
            <w:tcW w:w="1049" w:type="pct"/>
            <w:tcBorders>
              <w:top w:val="nil"/>
              <w:left w:val="nil"/>
              <w:bottom w:val="nil"/>
              <w:right w:val="nil"/>
            </w:tcBorders>
            <w:vAlign w:val="bottom"/>
            <w:hideMark/>
          </w:tcPr>
          <w:p w14:paraId="5827A588" w14:textId="5355EFC5"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2 948</w:t>
            </w:r>
            <w:r w:rsidR="7D103107">
              <w:rPr>
                <w:sz w:val="18"/>
                <w:szCs w:val="18"/>
              </w:rPr>
              <w:t xml:space="preserve">,6 </w:t>
            </w:r>
          </w:p>
        </w:tc>
        <w:tc>
          <w:tcPr>
            <w:tcW w:w="1051" w:type="pct"/>
            <w:tcBorders>
              <w:top w:val="nil"/>
              <w:left w:val="nil"/>
              <w:bottom w:val="nil"/>
              <w:right w:val="nil"/>
            </w:tcBorders>
            <w:vAlign w:val="bottom"/>
            <w:hideMark/>
          </w:tcPr>
          <w:p w14:paraId="04062954" w14:textId="329181AA" w:rsidR="000A0DFF" w:rsidRPr="003E265B" w:rsidRDefault="7D103107"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(9,4)</w:t>
            </w:r>
          </w:p>
        </w:tc>
      </w:tr>
      <w:tr w:rsidR="000A0DFF" w:rsidRPr="003E265B" w14:paraId="79D14ED1" w14:textId="77777777" w:rsidTr="00440131">
        <w:trPr>
          <w:trHeight w:val="285"/>
        </w:trPr>
        <w:tc>
          <w:tcPr>
            <w:tcW w:w="2131" w:type="pct"/>
            <w:gridSpan w:val="2"/>
            <w:tcBorders>
              <w:top w:val="nil"/>
              <w:left w:val="nil"/>
              <w:bottom w:val="nil"/>
              <w:right w:val="nil"/>
            </w:tcBorders>
            <w:vAlign w:val="bottom"/>
            <w:hideMark/>
          </w:tcPr>
          <w:p w14:paraId="7E9EAB99" w14:textId="5F5A185A"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Профподготовка персонала</w:t>
            </w:r>
            <w:r>
              <w:rPr>
                <w:b/>
                <w:bCs/>
                <w:sz w:val="18"/>
                <w:szCs w:val="18"/>
              </w:rPr>
              <w:t xml:space="preserve"> </w:t>
            </w:r>
          </w:p>
        </w:tc>
        <w:tc>
          <w:tcPr>
            <w:tcW w:w="769" w:type="pct"/>
            <w:tcBorders>
              <w:top w:val="nil"/>
              <w:left w:val="nil"/>
              <w:bottom w:val="nil"/>
              <w:right w:val="nil"/>
            </w:tcBorders>
            <w:vAlign w:val="bottom"/>
            <w:hideMark/>
          </w:tcPr>
          <w:p w14:paraId="282A1913" w14:textId="4C267F5F"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10,0 </w:t>
            </w:r>
          </w:p>
        </w:tc>
        <w:tc>
          <w:tcPr>
            <w:tcW w:w="1049" w:type="pct"/>
            <w:tcBorders>
              <w:top w:val="nil"/>
              <w:left w:val="nil"/>
              <w:bottom w:val="nil"/>
              <w:right w:val="nil"/>
            </w:tcBorders>
            <w:vAlign w:val="bottom"/>
            <w:hideMark/>
          </w:tcPr>
          <w:p w14:paraId="7210B78E" w14:textId="6EC213EB"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10,0 </w:t>
            </w:r>
          </w:p>
        </w:tc>
        <w:tc>
          <w:tcPr>
            <w:tcW w:w="1051" w:type="pct"/>
            <w:tcBorders>
              <w:top w:val="nil"/>
              <w:left w:val="nil"/>
              <w:bottom w:val="nil"/>
              <w:right w:val="nil"/>
            </w:tcBorders>
            <w:vAlign w:val="bottom"/>
            <w:hideMark/>
          </w:tcPr>
          <w:p w14:paraId="065EB1A2" w14:textId="07B7D0F0"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 </w:t>
            </w:r>
          </w:p>
        </w:tc>
      </w:tr>
      <w:tr w:rsidR="000A0DFF" w:rsidRPr="003E265B" w14:paraId="6068BA94" w14:textId="77777777" w:rsidTr="00440131">
        <w:trPr>
          <w:trHeight w:val="285"/>
        </w:trPr>
        <w:tc>
          <w:tcPr>
            <w:tcW w:w="2131" w:type="pct"/>
            <w:gridSpan w:val="2"/>
            <w:tcBorders>
              <w:top w:val="nil"/>
              <w:left w:val="nil"/>
              <w:bottom w:val="nil"/>
              <w:right w:val="nil"/>
            </w:tcBorders>
            <w:vAlign w:val="bottom"/>
            <w:hideMark/>
          </w:tcPr>
          <w:p w14:paraId="6DC9A641" w14:textId="7366CC32"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Информационные технологии</w:t>
            </w:r>
            <w:r>
              <w:rPr>
                <w:b/>
                <w:bCs/>
                <w:sz w:val="18"/>
                <w:szCs w:val="18"/>
              </w:rPr>
              <w:t xml:space="preserve"> </w:t>
            </w:r>
          </w:p>
        </w:tc>
        <w:tc>
          <w:tcPr>
            <w:tcW w:w="769" w:type="pct"/>
            <w:tcBorders>
              <w:top w:val="nil"/>
              <w:left w:val="nil"/>
              <w:bottom w:val="nil"/>
              <w:right w:val="nil"/>
            </w:tcBorders>
            <w:vAlign w:val="bottom"/>
            <w:hideMark/>
          </w:tcPr>
          <w:p w14:paraId="6BFBEF0A" w14:textId="1C038ED1"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130,0 </w:t>
            </w:r>
          </w:p>
        </w:tc>
        <w:tc>
          <w:tcPr>
            <w:tcW w:w="1049" w:type="pct"/>
            <w:tcBorders>
              <w:top w:val="nil"/>
              <w:left w:val="nil"/>
              <w:bottom w:val="nil"/>
              <w:right w:val="nil"/>
            </w:tcBorders>
            <w:vAlign w:val="bottom"/>
            <w:hideMark/>
          </w:tcPr>
          <w:p w14:paraId="3B0E5456" w14:textId="31D7496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130,0 </w:t>
            </w:r>
          </w:p>
        </w:tc>
        <w:tc>
          <w:tcPr>
            <w:tcW w:w="1051" w:type="pct"/>
            <w:tcBorders>
              <w:top w:val="nil"/>
              <w:left w:val="nil"/>
              <w:bottom w:val="nil"/>
              <w:right w:val="nil"/>
            </w:tcBorders>
            <w:vAlign w:val="bottom"/>
            <w:hideMark/>
          </w:tcPr>
          <w:p w14:paraId="2FC62AE7" w14:textId="51269ACF"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 </w:t>
            </w:r>
          </w:p>
        </w:tc>
      </w:tr>
      <w:tr w:rsidR="000A0DFF" w:rsidRPr="003E265B" w14:paraId="26FE2573" w14:textId="77777777" w:rsidTr="00440131">
        <w:trPr>
          <w:trHeight w:val="285"/>
        </w:trPr>
        <w:tc>
          <w:tcPr>
            <w:tcW w:w="2131" w:type="pct"/>
            <w:gridSpan w:val="2"/>
            <w:tcBorders>
              <w:top w:val="nil"/>
              <w:left w:val="nil"/>
              <w:bottom w:val="nil"/>
              <w:right w:val="nil"/>
            </w:tcBorders>
            <w:vAlign w:val="bottom"/>
            <w:hideMark/>
          </w:tcPr>
          <w:p w14:paraId="2CCAB7BA" w14:textId="1DAB552E"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Общие эксплуатационные расходы</w:t>
            </w:r>
            <w:r>
              <w:rPr>
                <w:b/>
                <w:bCs/>
                <w:sz w:val="18"/>
                <w:szCs w:val="18"/>
              </w:rPr>
              <w:t xml:space="preserve"> </w:t>
            </w:r>
          </w:p>
        </w:tc>
        <w:tc>
          <w:tcPr>
            <w:tcW w:w="769" w:type="pct"/>
            <w:tcBorders>
              <w:top w:val="nil"/>
              <w:left w:val="nil"/>
              <w:bottom w:val="nil"/>
              <w:right w:val="nil"/>
            </w:tcBorders>
            <w:vAlign w:val="bottom"/>
            <w:hideMark/>
          </w:tcPr>
          <w:p w14:paraId="77F72CFD" w14:textId="0A66AF9E"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1 453</w:t>
            </w:r>
            <w:r w:rsidR="000A0DFF">
              <w:rPr>
                <w:sz w:val="18"/>
                <w:szCs w:val="18"/>
              </w:rPr>
              <w:t xml:space="preserve">,2 </w:t>
            </w:r>
          </w:p>
        </w:tc>
        <w:tc>
          <w:tcPr>
            <w:tcW w:w="1049" w:type="pct"/>
            <w:tcBorders>
              <w:top w:val="nil"/>
              <w:left w:val="nil"/>
              <w:bottom w:val="nil"/>
              <w:right w:val="nil"/>
            </w:tcBorders>
            <w:vAlign w:val="bottom"/>
            <w:hideMark/>
          </w:tcPr>
          <w:p w14:paraId="6085DE9E" w14:textId="7883038A" w:rsidR="000A0DFF" w:rsidRPr="003E265B" w:rsidRDefault="00C7468A"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1 453</w:t>
            </w:r>
            <w:r w:rsidR="000A0DFF">
              <w:rPr>
                <w:sz w:val="18"/>
                <w:szCs w:val="18"/>
              </w:rPr>
              <w:t xml:space="preserve">,2 </w:t>
            </w:r>
          </w:p>
        </w:tc>
        <w:tc>
          <w:tcPr>
            <w:tcW w:w="1051" w:type="pct"/>
            <w:tcBorders>
              <w:top w:val="nil"/>
              <w:left w:val="nil"/>
              <w:bottom w:val="nil"/>
              <w:right w:val="nil"/>
            </w:tcBorders>
            <w:vAlign w:val="bottom"/>
            <w:hideMark/>
          </w:tcPr>
          <w:p w14:paraId="0ABA4538" w14:textId="45FD4357"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 </w:t>
            </w:r>
          </w:p>
        </w:tc>
      </w:tr>
      <w:tr w:rsidR="000A0DFF" w:rsidRPr="003E265B" w14:paraId="736434A0" w14:textId="77777777" w:rsidTr="00440131">
        <w:trPr>
          <w:trHeight w:val="285"/>
        </w:trPr>
        <w:tc>
          <w:tcPr>
            <w:tcW w:w="2131" w:type="pct"/>
            <w:gridSpan w:val="2"/>
            <w:tcBorders>
              <w:top w:val="nil"/>
              <w:left w:val="nil"/>
              <w:bottom w:val="nil"/>
              <w:right w:val="nil"/>
            </w:tcBorders>
            <w:vAlign w:val="bottom"/>
            <w:hideMark/>
          </w:tcPr>
          <w:p w14:paraId="7EEF77C7" w14:textId="200D36C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Информационные материалы</w:t>
            </w:r>
            <w:r>
              <w:rPr>
                <w:b/>
                <w:bCs/>
                <w:sz w:val="18"/>
                <w:szCs w:val="18"/>
              </w:rPr>
              <w:t xml:space="preserve"> </w:t>
            </w:r>
          </w:p>
        </w:tc>
        <w:tc>
          <w:tcPr>
            <w:tcW w:w="769" w:type="pct"/>
            <w:tcBorders>
              <w:top w:val="nil"/>
              <w:left w:val="nil"/>
              <w:bottom w:val="nil"/>
              <w:right w:val="nil"/>
            </w:tcBorders>
            <w:vAlign w:val="bottom"/>
            <w:hideMark/>
          </w:tcPr>
          <w:p w14:paraId="43D306AD" w14:textId="29F6BDE2"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200,0 </w:t>
            </w:r>
          </w:p>
        </w:tc>
        <w:tc>
          <w:tcPr>
            <w:tcW w:w="1049" w:type="pct"/>
            <w:tcBorders>
              <w:top w:val="nil"/>
              <w:left w:val="nil"/>
              <w:bottom w:val="nil"/>
              <w:right w:val="nil"/>
            </w:tcBorders>
            <w:vAlign w:val="bottom"/>
            <w:hideMark/>
          </w:tcPr>
          <w:p w14:paraId="11B3FE95" w14:textId="35FB1F6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198,0 </w:t>
            </w:r>
          </w:p>
        </w:tc>
        <w:tc>
          <w:tcPr>
            <w:tcW w:w="1051" w:type="pct"/>
            <w:tcBorders>
              <w:top w:val="nil"/>
              <w:left w:val="nil"/>
              <w:bottom w:val="nil"/>
              <w:right w:val="nil"/>
            </w:tcBorders>
            <w:vAlign w:val="bottom"/>
            <w:hideMark/>
          </w:tcPr>
          <w:p w14:paraId="413A448A" w14:textId="2E7315E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2,0</w:t>
            </w:r>
          </w:p>
        </w:tc>
      </w:tr>
      <w:tr w:rsidR="000A0DFF" w:rsidRPr="003E265B" w14:paraId="124AB9B2" w14:textId="77777777" w:rsidTr="00440131">
        <w:trPr>
          <w:trHeight w:val="285"/>
        </w:trPr>
        <w:tc>
          <w:tcPr>
            <w:tcW w:w="2131" w:type="pct"/>
            <w:gridSpan w:val="2"/>
            <w:tcBorders>
              <w:top w:val="nil"/>
              <w:left w:val="nil"/>
              <w:bottom w:val="single" w:sz="4" w:space="0" w:color="auto"/>
              <w:right w:val="nil"/>
            </w:tcBorders>
            <w:vAlign w:val="bottom"/>
            <w:hideMark/>
          </w:tcPr>
          <w:p w14:paraId="6643DDCD" w14:textId="2D1DCFED"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Pr>
                <w:sz w:val="18"/>
                <w:szCs w:val="18"/>
              </w:rPr>
              <w:t>Перевод веб-сайтов механизма посредничества</w:t>
            </w:r>
            <w:r>
              <w:rPr>
                <w:b/>
                <w:bCs/>
                <w:sz w:val="18"/>
                <w:szCs w:val="18"/>
              </w:rPr>
              <w:t xml:space="preserve"> </w:t>
            </w:r>
          </w:p>
        </w:tc>
        <w:tc>
          <w:tcPr>
            <w:tcW w:w="769" w:type="pct"/>
            <w:tcBorders>
              <w:top w:val="nil"/>
              <w:left w:val="nil"/>
              <w:bottom w:val="single" w:sz="4" w:space="0" w:color="auto"/>
              <w:right w:val="nil"/>
            </w:tcBorders>
            <w:vAlign w:val="bottom"/>
            <w:hideMark/>
          </w:tcPr>
          <w:p w14:paraId="54A0EF18" w14:textId="048A9A7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130,0 </w:t>
            </w:r>
          </w:p>
        </w:tc>
        <w:tc>
          <w:tcPr>
            <w:tcW w:w="1049" w:type="pct"/>
            <w:tcBorders>
              <w:top w:val="nil"/>
              <w:left w:val="nil"/>
              <w:bottom w:val="single" w:sz="4" w:space="0" w:color="auto"/>
              <w:right w:val="nil"/>
            </w:tcBorders>
            <w:vAlign w:val="bottom"/>
            <w:hideMark/>
          </w:tcPr>
          <w:p w14:paraId="3D013B98" w14:textId="101BAAC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 xml:space="preserve">80,0 </w:t>
            </w:r>
          </w:p>
        </w:tc>
        <w:tc>
          <w:tcPr>
            <w:tcW w:w="1051" w:type="pct"/>
            <w:tcBorders>
              <w:top w:val="nil"/>
              <w:left w:val="nil"/>
              <w:bottom w:val="single" w:sz="4" w:space="0" w:color="auto"/>
              <w:right w:val="nil"/>
            </w:tcBorders>
            <w:vAlign w:val="bottom"/>
            <w:hideMark/>
          </w:tcPr>
          <w:p w14:paraId="735801D2" w14:textId="2121FFB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Pr>
                <w:sz w:val="18"/>
                <w:szCs w:val="18"/>
              </w:rPr>
              <w:t>50,0</w:t>
            </w:r>
          </w:p>
        </w:tc>
      </w:tr>
      <w:tr w:rsidR="000A0DFF" w:rsidRPr="003E265B" w14:paraId="6EDD2C5C" w14:textId="77777777" w:rsidTr="00440131">
        <w:trPr>
          <w:trHeight w:val="285"/>
        </w:trPr>
        <w:tc>
          <w:tcPr>
            <w:tcW w:w="2131" w:type="pct"/>
            <w:gridSpan w:val="2"/>
            <w:tcBorders>
              <w:top w:val="single" w:sz="4" w:space="0" w:color="auto"/>
              <w:left w:val="nil"/>
              <w:bottom w:val="single" w:sz="4" w:space="0" w:color="auto"/>
              <w:right w:val="nil"/>
            </w:tcBorders>
            <w:vAlign w:val="bottom"/>
            <w:hideMark/>
          </w:tcPr>
          <w:p w14:paraId="57C2A46D" w14:textId="305B5DBB" w:rsidR="000A0DFF" w:rsidRPr="003E265B" w:rsidRDefault="00AA6129" w:rsidP="00440131">
            <w:pPr>
              <w:tabs>
                <w:tab w:val="clear" w:pos="567"/>
                <w:tab w:val="clear" w:pos="1134"/>
                <w:tab w:val="clear" w:pos="1701"/>
                <w:tab w:val="clear" w:pos="2268"/>
              </w:tabs>
              <w:ind w:firstLine="271"/>
              <w:jc w:val="left"/>
              <w:textAlignment w:val="baseline"/>
              <w:rPr>
                <w:rFonts w:eastAsia="Times New Roman"/>
                <w:b/>
                <w:bCs/>
                <w:sz w:val="24"/>
                <w:szCs w:val="24"/>
              </w:rPr>
            </w:pPr>
            <w:r>
              <w:rPr>
                <w:b/>
                <w:bCs/>
                <w:sz w:val="18"/>
                <w:szCs w:val="18"/>
              </w:rPr>
              <w:t xml:space="preserve">Итого </w:t>
            </w:r>
          </w:p>
        </w:tc>
        <w:tc>
          <w:tcPr>
            <w:tcW w:w="769" w:type="pct"/>
            <w:tcBorders>
              <w:top w:val="single" w:sz="4" w:space="0" w:color="auto"/>
              <w:left w:val="nil"/>
              <w:bottom w:val="single" w:sz="4" w:space="0" w:color="auto"/>
              <w:right w:val="nil"/>
            </w:tcBorders>
            <w:vAlign w:val="bottom"/>
            <w:hideMark/>
          </w:tcPr>
          <w:p w14:paraId="612ABD5E" w14:textId="3FDCB38B" w:rsidR="000A0DFF" w:rsidRPr="003E265B" w:rsidRDefault="000E7EE5" w:rsidP="000A0DFF">
            <w:pPr>
              <w:tabs>
                <w:tab w:val="clear" w:pos="567"/>
                <w:tab w:val="clear" w:pos="1134"/>
                <w:tab w:val="clear" w:pos="1701"/>
                <w:tab w:val="clear" w:pos="2268"/>
              </w:tabs>
              <w:jc w:val="right"/>
              <w:textAlignment w:val="baseline"/>
              <w:rPr>
                <w:rFonts w:eastAsia="Times New Roman"/>
                <w:sz w:val="24"/>
                <w:szCs w:val="24"/>
              </w:rPr>
            </w:pPr>
            <w:r>
              <w:rPr>
                <w:b/>
                <w:bCs/>
                <w:sz w:val="18"/>
                <w:szCs w:val="18"/>
              </w:rPr>
              <w:t>39 169</w:t>
            </w:r>
            <w:r w:rsidR="000A0DFF">
              <w:rPr>
                <w:b/>
                <w:bCs/>
                <w:sz w:val="18"/>
                <w:szCs w:val="18"/>
              </w:rPr>
              <w:t xml:space="preserve">,9 </w:t>
            </w:r>
          </w:p>
        </w:tc>
        <w:tc>
          <w:tcPr>
            <w:tcW w:w="1049" w:type="pct"/>
            <w:tcBorders>
              <w:top w:val="single" w:sz="4" w:space="0" w:color="auto"/>
              <w:left w:val="nil"/>
              <w:bottom w:val="single" w:sz="4" w:space="0" w:color="auto"/>
              <w:right w:val="nil"/>
            </w:tcBorders>
            <w:vAlign w:val="bottom"/>
            <w:hideMark/>
          </w:tcPr>
          <w:p w14:paraId="3FAF9BD6" w14:textId="5F162BA9" w:rsidR="000A0DFF" w:rsidRPr="003E265B" w:rsidRDefault="000E7EE5" w:rsidP="000A0DFF">
            <w:pPr>
              <w:tabs>
                <w:tab w:val="clear" w:pos="567"/>
                <w:tab w:val="clear" w:pos="1134"/>
                <w:tab w:val="clear" w:pos="1701"/>
                <w:tab w:val="clear" w:pos="2268"/>
              </w:tabs>
              <w:jc w:val="right"/>
              <w:textAlignment w:val="baseline"/>
              <w:rPr>
                <w:rFonts w:eastAsia="Times New Roman"/>
                <w:sz w:val="24"/>
                <w:szCs w:val="24"/>
              </w:rPr>
            </w:pPr>
            <w:r>
              <w:rPr>
                <w:b/>
                <w:bCs/>
                <w:sz w:val="18"/>
                <w:szCs w:val="18"/>
              </w:rPr>
              <w:t>39 080</w:t>
            </w:r>
            <w:r w:rsidR="000A0DFF">
              <w:rPr>
                <w:b/>
                <w:bCs/>
                <w:sz w:val="18"/>
                <w:szCs w:val="18"/>
              </w:rPr>
              <w:t xml:space="preserve">,9 </w:t>
            </w:r>
          </w:p>
        </w:tc>
        <w:tc>
          <w:tcPr>
            <w:tcW w:w="1051" w:type="pct"/>
            <w:tcBorders>
              <w:top w:val="single" w:sz="4" w:space="0" w:color="auto"/>
              <w:left w:val="nil"/>
              <w:bottom w:val="single" w:sz="4" w:space="0" w:color="auto"/>
              <w:right w:val="nil"/>
            </w:tcBorders>
            <w:vAlign w:val="bottom"/>
            <w:hideMark/>
          </w:tcPr>
          <w:p w14:paraId="4EFA2EAB" w14:textId="3C7B3073" w:rsidR="000A0DFF" w:rsidRPr="003E265B" w:rsidRDefault="25830CE9" w:rsidP="000A0DFF">
            <w:pPr>
              <w:tabs>
                <w:tab w:val="clear" w:pos="567"/>
                <w:tab w:val="clear" w:pos="1134"/>
                <w:tab w:val="clear" w:pos="1701"/>
                <w:tab w:val="clear" w:pos="2268"/>
              </w:tabs>
              <w:jc w:val="right"/>
              <w:textAlignment w:val="baseline"/>
              <w:rPr>
                <w:rFonts w:eastAsia="Times New Roman"/>
                <w:sz w:val="24"/>
                <w:szCs w:val="24"/>
              </w:rPr>
            </w:pPr>
            <w:r>
              <w:rPr>
                <w:b/>
                <w:bCs/>
                <w:sz w:val="18"/>
                <w:szCs w:val="18"/>
              </w:rPr>
              <w:t>93,4</w:t>
            </w:r>
          </w:p>
        </w:tc>
      </w:tr>
    </w:tbl>
    <w:p w14:paraId="44313585" w14:textId="6DF7117F" w:rsidR="00A556AC" w:rsidRPr="003E265B" w:rsidRDefault="00F10EB6" w:rsidP="00440131">
      <w:pPr>
        <w:pStyle w:val="CBDH5"/>
        <w:ind w:firstLine="0"/>
      </w:pPr>
      <w:r>
        <w:t>Расходы на персонал</w:t>
      </w:r>
    </w:p>
    <w:p w14:paraId="2ECDAC68" w14:textId="574B3217" w:rsidR="00F10EB6" w:rsidRPr="003E265B" w:rsidRDefault="415B4EE3" w:rsidP="00440131">
      <w:pPr>
        <w:pStyle w:val="CBDNormalNumber"/>
      </w:pPr>
      <w:r>
        <w:t>В своем решении </w:t>
      </w:r>
      <w:hyperlink r:id="rId19" w:history="1">
        <w:r>
          <w:rPr>
            <w:rStyle w:val="Hyperlink"/>
          </w:rPr>
          <w:t>16/28</w:t>
        </w:r>
      </w:hyperlink>
      <w:r w:rsidR="00C7468A" w:rsidRPr="00C7468A">
        <w:t xml:space="preserve"> </w:t>
      </w:r>
      <w:r>
        <w:t xml:space="preserve">Конференция Сторон утвердила 87 должностей (56 должностей категории специалистов и выше и 31 должность категории общего обслуживания) в сводном основном бюджете трех общих целевых фондов на двухлетний период </w:t>
      </w:r>
      <w:r w:rsidR="00C7468A">
        <w:t xml:space="preserve">2025–2026 </w:t>
      </w:r>
      <w:r>
        <w:t>годов. Организация Объединенных Наций утвердила пересмотренную шкалу окладов для сотрудников, набираемых на местной основе в Монреале (категории общего обслуживания и национальных сотрудников категории специалистов), по итогам обследования окладов, проведенного Комиссией по международной гражданской службе в 2024 году. С целью распределения финансовых последствий повышения окладов оно было осуществлено в два этапа: с 1 апреля 2024 года оклады были повышены на 6,44 %, а с 1 апреля 2025 года — еще на 6,27 %. Оставшаяся часть повышения будет вводиться поэтапно в последующие годы в зависимости от результатов промежуточных обзоров и правил Организации Объединенных Наций. Выплаты за предыдущие периоды были оформлены в 2025 году.</w:t>
      </w:r>
    </w:p>
    <w:p w14:paraId="5CF434A1" w14:textId="5D1561A7" w:rsidR="000C4971" w:rsidRPr="003E265B" w:rsidRDefault="000C4971" w:rsidP="00440131">
      <w:pPr>
        <w:pStyle w:val="CBDH5"/>
        <w:ind w:firstLine="0"/>
      </w:pPr>
      <w:r>
        <w:t xml:space="preserve">Временный персонал общего назначения </w:t>
      </w:r>
    </w:p>
    <w:p w14:paraId="74659399" w14:textId="5D3764FC" w:rsidR="000C4971" w:rsidRPr="003E265B" w:rsidRDefault="00E348D0" w:rsidP="00440131">
      <w:pPr>
        <w:pStyle w:val="CBDNormalNumber"/>
      </w:pPr>
      <w:r>
        <w:t xml:space="preserve">По состоянию на 31 мая 2026 года секретариат израсходовал около 82 000 долл. США на привлечение четырех индивидуальных подрядчиков для удовлетворения возросших оперативных потребностей. Планируется привлечь дополнительный временный персонал за счет оставшейся части бюджета для оказания поддержки в подготовке предстоящих совещаний Конференции Сторон. </w:t>
      </w:r>
    </w:p>
    <w:p w14:paraId="46B51D70" w14:textId="63BF7D9C" w:rsidR="00E348D0" w:rsidRPr="003E265B" w:rsidRDefault="00E348D0" w:rsidP="00440131">
      <w:pPr>
        <w:pStyle w:val="CBDH5"/>
        <w:ind w:firstLine="0"/>
      </w:pPr>
      <w:r>
        <w:t>Консультанты</w:t>
      </w:r>
    </w:p>
    <w:p w14:paraId="0869BFC2" w14:textId="4442C06F" w:rsidR="47C9D8B5" w:rsidRPr="003E265B" w:rsidRDefault="47C9D8B5" w:rsidP="00440131">
      <w:pPr>
        <w:pStyle w:val="CBDNormalNumber"/>
        <w:rPr>
          <w:rFonts w:eastAsia="Times New Roman"/>
        </w:rPr>
      </w:pPr>
      <w:r>
        <w:t>По состоянию на 31 мая 2026 года секретариат израсходовал около 125 000 долл. США на оплату услуг семи консультантов; ожидается, что эта сумма будет превышена, поскольку в настоящее время существует необходимость в привлечении еще одного-двух консультантов.</w:t>
      </w:r>
    </w:p>
    <w:p w14:paraId="39B5C50B" w14:textId="22EA3E3B" w:rsidR="00E348D0" w:rsidRPr="003E265B" w:rsidRDefault="00BA559A" w:rsidP="2080ABF3">
      <w:pPr>
        <w:pStyle w:val="CBDNormalNumber"/>
        <w:numPr>
          <w:ilvl w:val="0"/>
          <w:numId w:val="0"/>
        </w:numPr>
        <w:tabs>
          <w:tab w:val="left" w:pos="990"/>
        </w:tabs>
        <w:ind w:left="567"/>
      </w:pPr>
      <w:r>
        <w:rPr>
          <w:i/>
          <w:iCs/>
        </w:rPr>
        <w:t>Профподготовка</w:t>
      </w:r>
    </w:p>
    <w:p w14:paraId="0B2804EF" w14:textId="3A04A380" w:rsidR="000C4971" w:rsidRPr="003E265B" w:rsidRDefault="00CC7FBB" w:rsidP="00440131">
      <w:pPr>
        <w:pStyle w:val="CBDNormalNumber"/>
      </w:pPr>
      <w:r>
        <w:lastRenderedPageBreak/>
        <w:t xml:space="preserve">По состоянию на 31 мая 2026 года было израсходовано около 7 000 долл. США на покрытие расходов на обучение в области анализа данных. Остаток средств будет израсходован на дальнейшее профессиональное обучение персонала до декабря 2026 года. </w:t>
      </w:r>
    </w:p>
    <w:p w14:paraId="5D48CC34" w14:textId="6E06CE05" w:rsidR="00CC7FBB" w:rsidRPr="003E265B" w:rsidRDefault="00CC7FBB" w:rsidP="00440131">
      <w:pPr>
        <w:pStyle w:val="CBDH5"/>
        <w:ind w:firstLine="0"/>
      </w:pPr>
      <w:r>
        <w:t xml:space="preserve">Структурный обзор </w:t>
      </w:r>
    </w:p>
    <w:p w14:paraId="7AC61B96" w14:textId="732A0847" w:rsidR="000C4971" w:rsidRPr="003E265B" w:rsidRDefault="00CC7FBB" w:rsidP="00440131">
      <w:pPr>
        <w:pStyle w:val="CBDNormalNumber"/>
      </w:pPr>
      <w:r>
        <w:t>Функциональный обзор был проведен и завершен с перерасходом средств в размере около 28 000 долл. США. Всесторонний доклад представлен в виде отдельного документа</w:t>
      </w:r>
      <w:r w:rsidR="004F7C74" w:rsidRPr="003E265B">
        <w:rPr>
          <w:rStyle w:val="FootnoteReference"/>
        </w:rPr>
        <w:footnoteReference w:id="6"/>
      </w:r>
      <w:r w:rsidR="0083021E">
        <w:t>.</w:t>
      </w:r>
    </w:p>
    <w:p w14:paraId="5CA39446" w14:textId="30326ECE" w:rsidR="00CC7FBB" w:rsidRPr="003E265B" w:rsidRDefault="00CC7FBB" w:rsidP="00440131">
      <w:pPr>
        <w:pStyle w:val="CBDH5"/>
        <w:ind w:firstLine="0"/>
      </w:pPr>
      <w:r>
        <w:t xml:space="preserve">Совещания бюро </w:t>
      </w:r>
    </w:p>
    <w:p w14:paraId="7EFAE064" w14:textId="2E302A2D" w:rsidR="00CC7FBB" w:rsidRPr="003E265B" w:rsidRDefault="2E36DB68" w:rsidP="00440131">
      <w:pPr>
        <w:pStyle w:val="CBDNormalNumber"/>
      </w:pPr>
      <w:r>
        <w:t>В своем решении </w:t>
      </w:r>
      <w:hyperlink r:id="rId20" w:history="1">
        <w:r>
          <w:rPr>
            <w:rStyle w:val="Hyperlink"/>
          </w:rPr>
          <w:t>16/28</w:t>
        </w:r>
      </w:hyperlink>
      <w:r w:rsidR="00C7468A" w:rsidRPr="00C7468A">
        <w:t xml:space="preserve"> </w:t>
      </w:r>
      <w:r>
        <w:t>Конференция Сторон утвердила бюджет в размере 338 300 долл. США на двухлетний период для покрытия расходов на проведение совещаний бюро. В период с 1 января 2025 года по 30 июня 2026 года было проведено девять совещаний бюро Конференции Сторон и два совместных совещания с бюро Вспомогательного органа по научным, техническим и технологическим консультациям. Из этих девяти совещаний три</w:t>
      </w:r>
      <w:r w:rsidR="001B3B54" w:rsidRPr="003E265B">
        <w:rPr>
          <w:rStyle w:val="FootnoteReference"/>
        </w:rPr>
        <w:footnoteReference w:id="7"/>
      </w:r>
      <w:r>
        <w:t xml:space="preserve"> были проведены в очном формате, а остальные — в формате видеоконференции. Кроме того, в октябре 2025 года в Панаме было проведено выездное совещание сразу после 1-го совещания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Одно из совместных совещаний состоялось в очном формате в Риме в 2025 году в рамках возобновленного 16-го совещания Конференции Сторон Конвенции, а другое — в режиме онлайн. В оставшийся период с 1 июля по 30 октября 2026 года бюро проведет два совещания в режиме онлайн и два очных совещания: в Найроби состоится 7-е совещание Вспомогательного органа по осуществлению, а в Ереване — 17-е совещание Конференции Сторон. На оплату поездок членов бюро Сторон Конвенции из числа развивающихся стран до 31 мая было израсходовано в общей сложности около 231 000 долл. США, и секретариат рассчитывает полностью израсходовать оставшиеся бюджетные средства к концу декабря 2026 года. </w:t>
      </w:r>
    </w:p>
    <w:p w14:paraId="5CF6EC49" w14:textId="6AE95C10" w:rsidR="009B154D" w:rsidRPr="003E265B" w:rsidRDefault="00650279" w:rsidP="00440131">
      <w:pPr>
        <w:pStyle w:val="CBDH5"/>
        <w:ind w:firstLine="0"/>
      </w:pPr>
      <w:r>
        <w:t xml:space="preserve">Совещания экспертов </w:t>
      </w:r>
    </w:p>
    <w:p w14:paraId="54F6E804" w14:textId="1700C7FD" w:rsidR="00650279" w:rsidRPr="003E265B" w:rsidRDefault="490D05A6" w:rsidP="00440131">
      <w:pPr>
        <w:pStyle w:val="CBDNormalNumber"/>
        <w:keepNext/>
        <w:tabs>
          <w:tab w:val="left" w:pos="1080"/>
        </w:tabs>
      </w:pPr>
      <w:r>
        <w:t xml:space="preserve">На своем 16-м совещании Конференция Сторон утвердила бюджет в размере 380 000 долл. США на организацию нескольких совещаний экспертов в </w:t>
      </w:r>
      <w:r w:rsidR="00C7468A">
        <w:t xml:space="preserve">2025–2026 </w:t>
      </w:r>
      <w:r>
        <w:t>годах. В период с 1 января 2025 по 31 мая 2026 года секретариат организовал следующие очные совещания экспертов, общая стоимость которых составила около 352 000 долл. США:</w:t>
      </w:r>
    </w:p>
    <w:p w14:paraId="0A6E60FA" w14:textId="712F5967" w:rsidR="001724A7" w:rsidRPr="003E265B" w:rsidRDefault="00231A0B" w:rsidP="00440131">
      <w:pPr>
        <w:pStyle w:val="CBDNormalNumber"/>
        <w:keepNext/>
        <w:numPr>
          <w:ilvl w:val="1"/>
          <w:numId w:val="8"/>
        </w:numPr>
      </w:pPr>
      <w:r>
        <w:t>с</w:t>
      </w:r>
      <w:r w:rsidR="490D05A6">
        <w:t>овещания экспертов в рамках Конвенции:</w:t>
      </w:r>
    </w:p>
    <w:p w14:paraId="1BB01130" w14:textId="006F387C" w:rsidR="001724A7" w:rsidRPr="003E265B" w:rsidRDefault="490D05A6" w:rsidP="00D925D9">
      <w:pPr>
        <w:pStyle w:val="CBDNormalNumber"/>
        <w:numPr>
          <w:ilvl w:val="2"/>
          <w:numId w:val="8"/>
        </w:numPr>
        <w:tabs>
          <w:tab w:val="clear" w:pos="567"/>
          <w:tab w:val="left" w:pos="1080"/>
          <w:tab w:val="left" w:pos="1890"/>
        </w:tabs>
        <w:ind w:left="2261" w:hanging="562"/>
        <w:jc w:val="left"/>
      </w:pPr>
      <w:r>
        <w:t>первое совещание Специальной группы технических экспертов по методике ассигнования средств (27-29 января 2026 года);</w:t>
      </w:r>
    </w:p>
    <w:p w14:paraId="6500B8E3" w14:textId="57FE24A5" w:rsidR="001724A7" w:rsidRPr="003E265B" w:rsidRDefault="490D05A6" w:rsidP="00D925D9">
      <w:pPr>
        <w:pStyle w:val="CBDNormalNumber"/>
        <w:numPr>
          <w:ilvl w:val="2"/>
          <w:numId w:val="8"/>
        </w:numPr>
        <w:tabs>
          <w:tab w:val="clear" w:pos="567"/>
          <w:tab w:val="left" w:pos="1080"/>
          <w:tab w:val="left" w:pos="1890"/>
        </w:tabs>
        <w:ind w:left="2261" w:hanging="562"/>
        <w:jc w:val="left"/>
      </w:pPr>
      <w:r>
        <w:t>второе совещание Специальной группы технических экспертов по методике ассигнования средств (12-14 мая 2026 года);</w:t>
      </w:r>
    </w:p>
    <w:p w14:paraId="51F0180B" w14:textId="02F2E48F" w:rsidR="00650279" w:rsidRPr="003E265B" w:rsidRDefault="00231A0B" w:rsidP="00D925D9">
      <w:pPr>
        <w:pStyle w:val="CBDNormalNumber"/>
        <w:numPr>
          <w:ilvl w:val="2"/>
          <w:numId w:val="8"/>
        </w:numPr>
        <w:tabs>
          <w:tab w:val="clear" w:pos="567"/>
          <w:tab w:val="left" w:pos="1080"/>
          <w:tab w:val="left" w:pos="1890"/>
        </w:tabs>
        <w:ind w:left="2261" w:hanging="562"/>
        <w:jc w:val="left"/>
      </w:pPr>
      <w:r>
        <w:t>д</w:t>
      </w:r>
      <w:r w:rsidR="00680AB0">
        <w:t>о декабря 2026 года пройдет совещание Неофициального консультативного комитета по Механизму посредничества</w:t>
      </w:r>
      <w:r w:rsidR="0083021E">
        <w:t>;</w:t>
      </w:r>
    </w:p>
    <w:p w14:paraId="2C8B9A9A" w14:textId="64DDD010" w:rsidR="001724A7" w:rsidRPr="003E265B" w:rsidRDefault="00231A0B" w:rsidP="00440131">
      <w:pPr>
        <w:pStyle w:val="CBDNormalNumber"/>
        <w:keepNext/>
        <w:numPr>
          <w:ilvl w:val="1"/>
          <w:numId w:val="8"/>
        </w:numPr>
      </w:pPr>
      <w:r>
        <w:t>с</w:t>
      </w:r>
      <w:r w:rsidR="490D05A6">
        <w:t>овещания экспертов в рамках Картахенского протокола:</w:t>
      </w:r>
    </w:p>
    <w:p w14:paraId="73B78C42" w14:textId="32360C69" w:rsidR="00EE1A97" w:rsidRPr="003E265B" w:rsidRDefault="490D05A6" w:rsidP="00D925D9">
      <w:pPr>
        <w:pStyle w:val="ListParagraph"/>
        <w:numPr>
          <w:ilvl w:val="2"/>
          <w:numId w:val="8"/>
        </w:numPr>
        <w:spacing w:before="120" w:after="120"/>
        <w:ind w:left="2261" w:hanging="562"/>
        <w:contextualSpacing w:val="0"/>
        <w:jc w:val="left"/>
      </w:pPr>
      <w:r>
        <w:t>двадцатое совещание Комитета по соблюдению в рамках</w:t>
      </w:r>
      <w:r w:rsidR="00C7468A" w:rsidRPr="00C7468A">
        <w:t xml:space="preserve"> </w:t>
      </w:r>
      <w:r>
        <w:t>Картахенского протокола по биобезопасности (27-29 мая 2025 года);</w:t>
      </w:r>
    </w:p>
    <w:p w14:paraId="4948730D" w14:textId="67FCE501" w:rsidR="001724A7" w:rsidRPr="003E265B" w:rsidRDefault="490D05A6" w:rsidP="00D925D9">
      <w:pPr>
        <w:pStyle w:val="ListParagraph"/>
        <w:numPr>
          <w:ilvl w:val="2"/>
          <w:numId w:val="8"/>
        </w:numPr>
        <w:spacing w:before="120" w:after="120"/>
        <w:ind w:left="2261" w:hanging="562"/>
        <w:contextualSpacing w:val="0"/>
        <w:jc w:val="left"/>
      </w:pPr>
      <w:r>
        <w:lastRenderedPageBreak/>
        <w:t>тринадцатое совещание Неофициального консультативного комитета по Механизму посредничества по биобезопасности (9-11 декабря 2025 года);</w:t>
      </w:r>
    </w:p>
    <w:p w14:paraId="58044582" w14:textId="2CEB1366" w:rsidR="001724A7" w:rsidRPr="003E265B" w:rsidRDefault="490D05A6" w:rsidP="00D925D9">
      <w:pPr>
        <w:pStyle w:val="ListParagraph"/>
        <w:numPr>
          <w:ilvl w:val="2"/>
          <w:numId w:val="8"/>
        </w:numPr>
        <w:spacing w:before="120" w:after="120"/>
        <w:ind w:left="2261" w:hanging="562"/>
        <w:contextualSpacing w:val="0"/>
        <w:jc w:val="left"/>
      </w:pPr>
      <w:r>
        <w:t>двадцать первое совещание Комитета по соблюдению в рамках</w:t>
      </w:r>
      <w:r w:rsidR="00C7468A" w:rsidRPr="00C7468A">
        <w:t xml:space="preserve"> </w:t>
      </w:r>
      <w:r>
        <w:t>Картахенского протокола по биобезопасности (10</w:t>
      </w:r>
      <w:r>
        <w:sym w:font="Symbol" w:char="F02D"/>
      </w:r>
      <w:r>
        <w:t>12 июня 2026 года);</w:t>
      </w:r>
    </w:p>
    <w:p w14:paraId="3350706A" w14:textId="06C28BDA" w:rsidR="00E34C9E" w:rsidRPr="003E265B" w:rsidRDefault="00417720" w:rsidP="00D925D9">
      <w:pPr>
        <w:pStyle w:val="ListParagraph"/>
        <w:numPr>
          <w:ilvl w:val="2"/>
          <w:numId w:val="8"/>
        </w:numPr>
        <w:spacing w:before="120" w:after="120"/>
        <w:ind w:left="2261" w:hanging="562"/>
        <w:contextualSpacing w:val="0"/>
        <w:jc w:val="left"/>
      </w:pPr>
      <w:r>
        <w:t>пятнадцатое совещание Контактной группы по Картахенскому протоколу по биобезопасности (16</w:t>
      </w:r>
      <w:r>
        <w:sym w:font="Symbol" w:char="F02D"/>
      </w:r>
      <w:r>
        <w:t>18 июня 2026 года);</w:t>
      </w:r>
    </w:p>
    <w:p w14:paraId="7CB7014C" w14:textId="48499310" w:rsidR="00E34C9E" w:rsidRPr="003E265B" w:rsidRDefault="0083021E" w:rsidP="00440131">
      <w:pPr>
        <w:pStyle w:val="ListParagraph"/>
        <w:keepNext/>
        <w:numPr>
          <w:ilvl w:val="1"/>
          <w:numId w:val="8"/>
        </w:numPr>
        <w:tabs>
          <w:tab w:val="clear" w:pos="567"/>
          <w:tab w:val="clear" w:pos="1134"/>
        </w:tabs>
        <w:spacing w:before="120" w:after="120"/>
        <w:contextualSpacing w:val="0"/>
        <w:jc w:val="left"/>
      </w:pPr>
      <w:r>
        <w:t>с</w:t>
      </w:r>
      <w:r w:rsidR="490D05A6">
        <w:t>овещания экспертов в рамках Нагойского протокола:</w:t>
      </w:r>
    </w:p>
    <w:p w14:paraId="2856A3D0" w14:textId="58983C50" w:rsidR="00EE1A97" w:rsidRPr="003E265B" w:rsidRDefault="490D05A6" w:rsidP="00D925D9">
      <w:pPr>
        <w:pStyle w:val="ListParagraph"/>
        <w:numPr>
          <w:ilvl w:val="2"/>
          <w:numId w:val="8"/>
        </w:numPr>
        <w:spacing w:before="120" w:after="120"/>
        <w:ind w:left="2261" w:hanging="562"/>
        <w:contextualSpacing w:val="0"/>
        <w:jc w:val="left"/>
      </w:pPr>
      <w:r>
        <w:t>пятое совещание Комитета по соблюдению в рамках Нагойского протокола регулирования доступа к генетическим ресурсам и совместного использования выгод (27-29 мая 2026 года);</w:t>
      </w:r>
    </w:p>
    <w:p w14:paraId="05D57F88" w14:textId="5DF12561" w:rsidR="00EE1A97" w:rsidRPr="003E265B" w:rsidRDefault="490D05A6" w:rsidP="00D925D9">
      <w:pPr>
        <w:pStyle w:val="ListParagraph"/>
        <w:numPr>
          <w:ilvl w:val="2"/>
          <w:numId w:val="8"/>
        </w:numPr>
        <w:spacing w:before="120" w:after="120"/>
        <w:ind w:left="2261" w:hanging="562"/>
        <w:contextualSpacing w:val="0"/>
        <w:jc w:val="left"/>
      </w:pPr>
      <w:r>
        <w:t>шестое совещание Неофициального консультативного комитета по созданию потенциала для осуществления Нагойского протокола (1-4 июня 2026 года);</w:t>
      </w:r>
    </w:p>
    <w:p w14:paraId="32F5DF5B" w14:textId="69D79AE2" w:rsidR="00650279" w:rsidRPr="003E265B" w:rsidRDefault="490D05A6" w:rsidP="00D925D9">
      <w:pPr>
        <w:pStyle w:val="ListParagraph"/>
        <w:numPr>
          <w:ilvl w:val="2"/>
          <w:numId w:val="8"/>
        </w:numPr>
        <w:spacing w:before="120" w:after="120"/>
        <w:ind w:left="2261" w:hanging="562"/>
        <w:contextualSpacing w:val="0"/>
        <w:jc w:val="left"/>
      </w:pPr>
      <w:r>
        <w:t>шестое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(17 июня 2026 года).</w:t>
      </w:r>
    </w:p>
    <w:p w14:paraId="6A8CBB23" w14:textId="05D744E9" w:rsidR="00CC7FBB" w:rsidRPr="00C7468A" w:rsidRDefault="00A83CD2" w:rsidP="00440131">
      <w:pPr>
        <w:pStyle w:val="CBDH5"/>
        <w:ind w:firstLine="0"/>
      </w:pPr>
      <w:r w:rsidRPr="00C7468A">
        <w:t xml:space="preserve">Совещания межправительственных органов </w:t>
      </w:r>
    </w:p>
    <w:p w14:paraId="39F41DA6" w14:textId="3DD2995C" w:rsidR="00CC7FBB" w:rsidRPr="00C7468A" w:rsidRDefault="1682D5B9" w:rsidP="00440131">
      <w:pPr>
        <w:pStyle w:val="CBDNormalNumber"/>
      </w:pPr>
      <w:r w:rsidRPr="00C7468A">
        <w:t>В своем решении </w:t>
      </w:r>
      <w:hyperlink r:id="rId21" w:history="1">
        <w:r w:rsidRPr="00C7468A">
          <w:rPr>
            <w:rStyle w:val="Hyperlink"/>
          </w:rPr>
          <w:t>16/28</w:t>
        </w:r>
      </w:hyperlink>
      <w:r w:rsidRPr="00C7468A">
        <w:t xml:space="preserve"> Конференция Сторон утвердила бюджет в размере 4 975 500 долл. на двухлетний период для покрытия расходов на проведение совещаний вспомогательных органов, 17-го совещания Конференции Сторон Конвенции,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 По состоянию на 31 мая 2026 года 4,14 млн долл. было израсходовано на покрытие расходов в связи с проведением 27-го совещания Вспомогательного органа по научным, техническим и технологическим консультациям, 6-го и 7-го совещаний Вспомогательного органа по осуществлению, возобновленных вторых частей 16-го совещания Конференции Сторон Конвенции,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 1-го совещания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17-го совещания Конференции Сторон Конвенции,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 Важно также отметить, что дополнительное совещание Вспомогательного органа по осуществлению, проведенное в данный двухлетний период, не было предусмотрено в бюджете на 2025</w:t>
      </w:r>
      <w:r w:rsidRPr="00C7468A">
        <w:sym w:font="Symbol" w:char="F02D"/>
      </w:r>
      <w:r w:rsidRPr="00C7468A">
        <w:t>2026 годы. В связи с предстоящим 28-м совещанием Вспомогательного органа по научным, техническим и технологическим консультациям и 7-м совещанием Вспомогательного органа по осуществлению, которые состоятся в Найроби, а также 17-м совещанием Конференции Сторон, которое состоится в Ереване, ожидается, что расходы по данной статье бюджета превысят предусмотренную сумму примерно на 880 000 долл. США.</w:t>
      </w:r>
    </w:p>
    <w:p w14:paraId="680F3A5B" w14:textId="6341D4D0" w:rsidR="002D6AC6" w:rsidRPr="00C7468A" w:rsidRDefault="002D6AC6" w:rsidP="00440131">
      <w:pPr>
        <w:pStyle w:val="CBDH5"/>
        <w:ind w:firstLine="0"/>
      </w:pPr>
      <w:r w:rsidRPr="00C7468A">
        <w:t xml:space="preserve">Информационные материалы и коммуникация </w:t>
      </w:r>
    </w:p>
    <w:p w14:paraId="2B3E9797" w14:textId="7555A4D1" w:rsidR="002D6AC6" w:rsidRPr="00C7468A" w:rsidRDefault="7A497E6E" w:rsidP="00440131">
      <w:pPr>
        <w:pStyle w:val="CBDNormalNumber"/>
      </w:pPr>
      <w:r w:rsidRPr="00C7468A">
        <w:t xml:space="preserve">По состоянию на 31 мая 2026 года секретариат израсходовал 145 000 долл. США на подготовку информационных материалов для распространения в печатных СМИ, сети Интернет, социальных сетях, в аудиоформате и на телевидении в целях привлечения внимания и повышения осведомленности о Монреальской глобальной рамочной программе в области биоразнообразия, а также в связи с 17-м совещанием Конференции Сторон, другой </w:t>
      </w:r>
      <w:r w:rsidRPr="00C7468A">
        <w:lastRenderedPageBreak/>
        <w:t>работой, проводимой в рамках Конвенции, и празднованием Международного дня биологического разнообразия.</w:t>
      </w:r>
    </w:p>
    <w:p w14:paraId="282DF589" w14:textId="4F3CAF3D" w:rsidR="00A83CD2" w:rsidRPr="00C7468A" w:rsidRDefault="002D6AC6" w:rsidP="00440131">
      <w:pPr>
        <w:pStyle w:val="CBDH5"/>
        <w:ind w:firstLine="0"/>
      </w:pPr>
      <w:r w:rsidRPr="00C7468A">
        <w:t xml:space="preserve">Перевод веб-сайта механизма посредничества и проектов веб-сайтов </w:t>
      </w:r>
    </w:p>
    <w:p w14:paraId="4671EE62" w14:textId="207EAAAA" w:rsidR="00CC7FBB" w:rsidRPr="00C7468A" w:rsidRDefault="006B3801" w:rsidP="00440131">
      <w:pPr>
        <w:pStyle w:val="CBDNormalNumber"/>
      </w:pPr>
      <w:r w:rsidRPr="00C7468A">
        <w:t xml:space="preserve">По состоянию на 31 мая 2026 года секретариат потратил по этой статье расходов около 7 000 долл. США главным образом на перевод платформ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В связи с тем, что веб-сайт секретариата находится в процессе обновления, перевод его содержания был отложен до завершения этого процесса. </w:t>
      </w:r>
    </w:p>
    <w:p w14:paraId="5D1C719E" w14:textId="447BFB61" w:rsidR="006B3801" w:rsidRPr="00C7468A" w:rsidRDefault="006B3801" w:rsidP="00440131">
      <w:pPr>
        <w:pStyle w:val="CBDH5"/>
        <w:ind w:firstLine="0"/>
      </w:pPr>
      <w:r w:rsidRPr="00C7468A">
        <w:rPr>
          <w:iCs/>
        </w:rPr>
        <w:t>Служебные командировки</w:t>
      </w:r>
      <w:r w:rsidRPr="00C7468A">
        <w:t xml:space="preserve"> </w:t>
      </w:r>
    </w:p>
    <w:p w14:paraId="4834A38B" w14:textId="57F44551" w:rsidR="00393083" w:rsidRPr="00C7468A" w:rsidRDefault="60FE1123" w:rsidP="00440131">
      <w:pPr>
        <w:pStyle w:val="CBDNormalNumber"/>
        <w:rPr>
          <w:rFonts w:eastAsia="Times New Roman"/>
        </w:rPr>
      </w:pPr>
      <w:r w:rsidRPr="00C7468A">
        <w:rPr>
          <w:rStyle w:val="normaltextrun"/>
        </w:rPr>
        <w:t>По состоянию на 31 мая 2026 года 600 000 долл. США было израсходовано за текущий двухлетний период на служебные командировки сотрудников секретариата в целях представления Конвенции и протоколов к ней на различных совещаниях и мероприятиях.</w:t>
      </w:r>
    </w:p>
    <w:p w14:paraId="2672D4DA" w14:textId="6500E3ED" w:rsidR="00393083" w:rsidRPr="00C7468A" w:rsidRDefault="00393083" w:rsidP="00440131">
      <w:pPr>
        <w:pStyle w:val="CBDNormalNumber"/>
      </w:pPr>
      <w:r w:rsidRPr="00C7468A">
        <w:rPr>
          <w:rStyle w:val="normaltextrun"/>
        </w:rPr>
        <w:t>В течение двухлетнего периода сотрудники секретариата также посещали совещания с представителями гражданского общества и бизнес-форумы и участвовали в соответствующих технических совещаниях и межправительственных процессах. Участие сотрудников в других совещаниях и мероприятиях финансировалось за счет добровольных взносов, а в некоторых случаях оплачивалось различными организаторами. Кроме того, сотрудники участвовали в совещаниях и мероприятиях в режиме видеоконференций.</w:t>
      </w:r>
    </w:p>
    <w:p w14:paraId="254602D4" w14:textId="4D9F7DA6" w:rsidR="00393083" w:rsidRPr="00C7468A" w:rsidRDefault="00393083" w:rsidP="00440131">
      <w:pPr>
        <w:pStyle w:val="CBDH5"/>
        <w:ind w:firstLine="0"/>
      </w:pPr>
      <w:r w:rsidRPr="00C7468A">
        <w:t xml:space="preserve">Арендная плата и сопутствующие расходы </w:t>
      </w:r>
    </w:p>
    <w:p w14:paraId="08771BB2" w14:textId="061D7626" w:rsidR="00393083" w:rsidRPr="00C7468A" w:rsidRDefault="00393083" w:rsidP="00440131">
      <w:pPr>
        <w:pStyle w:val="CBDNormalNumber"/>
      </w:pPr>
      <w:r w:rsidRPr="00C7468A">
        <w:t xml:space="preserve">Арендная плата и сопутствующие расходы секретариата на существующие служебные помещения в Монреале, Канада, оплачиваются правительствами Канады и провинции Квебек на основе совместного финансирования в соотношении 75/25. В соответствии с текущим договором аренды сроком на 10 лет секретариат планирует выплатить 2 948 590 долл. США за аренду своих помещений за двухлетний период. </w:t>
      </w:r>
    </w:p>
    <w:p w14:paraId="7160723B" w14:textId="49FEBD29" w:rsidR="00393083" w:rsidRPr="00C7468A" w:rsidRDefault="00814011" w:rsidP="00440131">
      <w:pPr>
        <w:pStyle w:val="CBDH5"/>
        <w:ind w:firstLine="0"/>
      </w:pPr>
      <w:r w:rsidRPr="00C7468A">
        <w:rPr>
          <w:iCs/>
        </w:rPr>
        <w:t>Информационные технологии</w:t>
      </w:r>
      <w:r w:rsidRPr="00C7468A">
        <w:rPr>
          <w:i w:val="0"/>
          <w:iCs/>
        </w:rPr>
        <w:t xml:space="preserve"> </w:t>
      </w:r>
    </w:p>
    <w:p w14:paraId="13D7F287" w14:textId="6C57A8C4" w:rsidR="00814011" w:rsidRPr="00C7468A" w:rsidRDefault="00814011" w:rsidP="00440131">
      <w:pPr>
        <w:pStyle w:val="CBDNormalNumber"/>
      </w:pPr>
      <w:r w:rsidRPr="00C7468A">
        <w:t xml:space="preserve">Секретариат израсходовал около 80 000 долл. США на оплату услуг дизайнеров пользовательского интерфейса для совершенствования дизайна и функциональных возможностей веб-сайта секретариата. Результатом этой работы должен стать более динамичный, привлекательный и удобный для пользователей веб-сайт, который будет адаптирован для различных устройств и согласован с темами Куньминско-Монреальской глобальной рамочной программы в области биоразнообразия. До декабря 2026 года будут оказаны дополнительные услуги за счет оставшейся суммы, предусмотренной бюджетом. </w:t>
      </w:r>
    </w:p>
    <w:p w14:paraId="4032EE62" w14:textId="0CB7B322" w:rsidR="00814011" w:rsidRPr="00C7468A" w:rsidRDefault="00EB542E" w:rsidP="00440131">
      <w:pPr>
        <w:pStyle w:val="CBDH5"/>
        <w:ind w:firstLine="0"/>
      </w:pPr>
      <w:r w:rsidRPr="00C7468A">
        <w:t xml:space="preserve">Общие эксплуатационные расходы </w:t>
      </w:r>
    </w:p>
    <w:p w14:paraId="1CFC712D" w14:textId="09B3A876" w:rsidR="00814011" w:rsidRPr="00C7468A" w:rsidRDefault="00EB542E" w:rsidP="00440131">
      <w:pPr>
        <w:pStyle w:val="CBDNormalNumber"/>
      </w:pPr>
      <w:r w:rsidRPr="00C7468A">
        <w:t xml:space="preserve">Общие эксплуатационные расходы включают финансирование затрат на офисное оборудование и канцелярские принадлежности, оплату коммунальных услуг, страхования, курьерских служб, услуг связи, стоимости годовых лицензий на систему Умоджа, компьютерное программное обеспечение, программное обеспечение для проведения виртуальных совещаний, лицензии на информационные технологии, техническое обслуживание оборудования, содержание помещений, банковские комиссии и прочие расходы. Ожидается, что эти бюджетные средства будут полностью реализованы к концу декабря 2026 года. </w:t>
      </w:r>
    </w:p>
    <w:p w14:paraId="7CF82CC8" w14:textId="0423FE12" w:rsidR="008A3979" w:rsidRPr="00C7468A" w:rsidRDefault="008A3979" w:rsidP="2080ABF3">
      <w:pPr>
        <w:pStyle w:val="CBDNormalNumber"/>
        <w:numPr>
          <w:ilvl w:val="0"/>
          <w:numId w:val="0"/>
        </w:numPr>
        <w:tabs>
          <w:tab w:val="left" w:pos="990"/>
        </w:tabs>
        <w:ind w:left="567"/>
      </w:pPr>
      <w:r w:rsidRPr="00C7468A">
        <w:rPr>
          <w:b/>
          <w:bCs/>
        </w:rPr>
        <w:t xml:space="preserve">Резерв оборотных средств </w:t>
      </w:r>
    </w:p>
    <w:p w14:paraId="33FDDEC1" w14:textId="6F6B932F" w:rsidR="00814011" w:rsidRPr="00C7468A" w:rsidRDefault="00D320AF" w:rsidP="00440131">
      <w:pPr>
        <w:pStyle w:val="CBDNormalNumber"/>
      </w:pPr>
      <w:r w:rsidRPr="00C7468A">
        <w:t xml:space="preserve">Резерв оборотных средств соответствует 15% сметных годовых расходов, включая расходы на поддержку программ. Резерв оборотных средств предназначен для обеспечения непрерывности работы секретариата в случае временного дефицита денежных средств. При </w:t>
      </w:r>
      <w:r w:rsidRPr="00C7468A">
        <w:lastRenderedPageBreak/>
        <w:t xml:space="preserve">использовании средств из резерва оборотных средств пополнение резерва осуществляется в кратчайшие сроки за счет взносов. </w:t>
      </w:r>
    </w:p>
    <w:p w14:paraId="27CE7DFC" w14:textId="30482CBF" w:rsidR="00D320AF" w:rsidRPr="00C7468A"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C7468A">
        <w:t xml:space="preserve">Таблица 6 </w:t>
      </w:r>
      <w:r w:rsidRPr="00C7468A">
        <w:rPr>
          <w:b/>
          <w:bCs/>
        </w:rPr>
        <w:br/>
        <w:t>Резерв оборотных средств по состоянию на 31 мая 2026 года</w:t>
      </w:r>
    </w:p>
    <w:p w14:paraId="37C40317" w14:textId="5BE96D6F" w:rsidR="00D320AF" w:rsidRPr="00C7468A"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sz w:val="18"/>
          <w:szCs w:val="18"/>
        </w:rPr>
      </w:pPr>
      <w:r w:rsidRPr="00C7468A">
        <w:rPr>
          <w:sz w:val="18"/>
          <w:szCs w:val="18"/>
        </w:rPr>
        <w:t>(тыс. долл. США)</w:t>
      </w:r>
    </w:p>
    <w:tbl>
      <w:tblPr>
        <w:tblW w:w="7974" w:type="dxa"/>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04"/>
        <w:gridCol w:w="1170"/>
      </w:tblGrid>
      <w:tr w:rsidR="00D320AF" w:rsidRPr="00C7468A" w14:paraId="6879EAAF" w14:textId="77777777" w:rsidTr="0083021E">
        <w:trPr>
          <w:trHeight w:val="285"/>
        </w:trPr>
        <w:tc>
          <w:tcPr>
            <w:tcW w:w="6804" w:type="dxa"/>
            <w:tcBorders>
              <w:top w:val="single" w:sz="4" w:space="0" w:color="auto"/>
              <w:left w:val="nil"/>
              <w:bottom w:val="single" w:sz="4" w:space="0" w:color="auto"/>
              <w:right w:val="nil"/>
            </w:tcBorders>
            <w:vAlign w:val="center"/>
            <w:hideMark/>
          </w:tcPr>
          <w:p w14:paraId="75B75B53" w14:textId="785682A9" w:rsidR="00D320AF" w:rsidRPr="00C7468A"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C7468A">
              <w:rPr>
                <w:i/>
                <w:iCs/>
                <w:color w:val="000000"/>
                <w:sz w:val="18"/>
                <w:szCs w:val="18"/>
              </w:rPr>
              <w:t>Целевой фонд</w:t>
            </w:r>
            <w:r w:rsidRPr="00C7468A">
              <w:rPr>
                <w:color w:val="000000"/>
                <w:sz w:val="18"/>
                <w:szCs w:val="18"/>
              </w:rPr>
              <w:t xml:space="preserve"> </w:t>
            </w:r>
          </w:p>
        </w:tc>
        <w:tc>
          <w:tcPr>
            <w:tcW w:w="1170" w:type="dxa"/>
            <w:tcBorders>
              <w:top w:val="single" w:sz="4" w:space="0" w:color="auto"/>
              <w:left w:val="nil"/>
              <w:bottom w:val="single" w:sz="4" w:space="0" w:color="auto"/>
              <w:right w:val="nil"/>
            </w:tcBorders>
            <w:vAlign w:val="center"/>
            <w:hideMark/>
          </w:tcPr>
          <w:p w14:paraId="1637746B" w14:textId="7F4543F7" w:rsidR="00D320AF" w:rsidRPr="00C7468A"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i/>
                <w:iCs/>
                <w:color w:val="000000"/>
                <w:sz w:val="18"/>
                <w:szCs w:val="18"/>
              </w:rPr>
              <w:t>2025</w:t>
            </w:r>
            <w:r w:rsidRPr="00C7468A">
              <w:rPr>
                <w:color w:val="000000"/>
                <w:sz w:val="18"/>
                <w:szCs w:val="18"/>
              </w:rPr>
              <w:t xml:space="preserve"> </w:t>
            </w:r>
          </w:p>
        </w:tc>
      </w:tr>
      <w:tr w:rsidR="00D320AF" w:rsidRPr="00C7468A" w14:paraId="74526151" w14:textId="77777777" w:rsidTr="0083021E">
        <w:trPr>
          <w:trHeight w:val="285"/>
        </w:trPr>
        <w:tc>
          <w:tcPr>
            <w:tcW w:w="6804" w:type="dxa"/>
            <w:tcBorders>
              <w:top w:val="single" w:sz="4" w:space="0" w:color="auto"/>
              <w:left w:val="nil"/>
              <w:bottom w:val="nil"/>
              <w:right w:val="nil"/>
            </w:tcBorders>
            <w:vAlign w:val="center"/>
            <w:hideMark/>
          </w:tcPr>
          <w:p w14:paraId="282D3629" w14:textId="2A3A7C60" w:rsidR="00D320AF" w:rsidRPr="00C7468A"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C7468A">
              <w:rPr>
                <w:sz w:val="18"/>
                <w:szCs w:val="18"/>
              </w:rPr>
              <w:t>Общий целевой фонд Конвенции</w:t>
            </w:r>
            <w:r w:rsidRPr="00C7468A">
              <w:rPr>
                <w:color w:val="000000"/>
                <w:sz w:val="18"/>
                <w:szCs w:val="18"/>
              </w:rPr>
              <w:t xml:space="preserve"> </w:t>
            </w:r>
          </w:p>
        </w:tc>
        <w:tc>
          <w:tcPr>
            <w:tcW w:w="1170" w:type="dxa"/>
            <w:tcBorders>
              <w:top w:val="single" w:sz="4" w:space="0" w:color="auto"/>
              <w:left w:val="nil"/>
              <w:bottom w:val="nil"/>
              <w:right w:val="nil"/>
            </w:tcBorders>
            <w:vAlign w:val="center"/>
            <w:hideMark/>
          </w:tcPr>
          <w:p w14:paraId="69837CA9" w14:textId="25181132" w:rsidR="00D320AF" w:rsidRPr="00C7468A"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sz w:val="18"/>
                <w:szCs w:val="18"/>
              </w:rPr>
              <w:t xml:space="preserve">2 441,9 </w:t>
            </w:r>
          </w:p>
        </w:tc>
      </w:tr>
      <w:tr w:rsidR="00D320AF" w:rsidRPr="00C7468A" w14:paraId="3971B620" w14:textId="77777777" w:rsidTr="0083021E">
        <w:trPr>
          <w:trHeight w:val="285"/>
        </w:trPr>
        <w:tc>
          <w:tcPr>
            <w:tcW w:w="6804" w:type="dxa"/>
            <w:tcBorders>
              <w:top w:val="nil"/>
              <w:left w:val="nil"/>
              <w:bottom w:val="nil"/>
              <w:right w:val="nil"/>
            </w:tcBorders>
            <w:vAlign w:val="center"/>
            <w:hideMark/>
          </w:tcPr>
          <w:p w14:paraId="176C5F48" w14:textId="56C0196C" w:rsidR="00D320AF" w:rsidRPr="00C7468A"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C7468A">
              <w:rPr>
                <w:sz w:val="18"/>
                <w:szCs w:val="18"/>
              </w:rPr>
              <w:t>Общий целевой фонд для основного бюджета по программе Картахенского протокола</w:t>
            </w:r>
            <w:r w:rsidRPr="00C7468A">
              <w:rPr>
                <w:color w:val="000000"/>
                <w:sz w:val="18"/>
                <w:szCs w:val="18"/>
              </w:rPr>
              <w:t xml:space="preserve"> </w:t>
            </w:r>
          </w:p>
        </w:tc>
        <w:tc>
          <w:tcPr>
            <w:tcW w:w="1170" w:type="dxa"/>
            <w:tcBorders>
              <w:top w:val="nil"/>
              <w:left w:val="nil"/>
              <w:bottom w:val="nil"/>
              <w:right w:val="nil"/>
            </w:tcBorders>
            <w:vAlign w:val="center"/>
            <w:hideMark/>
          </w:tcPr>
          <w:p w14:paraId="33901490" w14:textId="6CF4F376" w:rsidR="00D320AF" w:rsidRPr="00C7468A"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color w:val="000000"/>
                <w:sz w:val="18"/>
                <w:szCs w:val="18"/>
              </w:rPr>
              <w:t xml:space="preserve">508,7 </w:t>
            </w:r>
          </w:p>
        </w:tc>
      </w:tr>
      <w:tr w:rsidR="00D320AF" w:rsidRPr="00C7468A" w14:paraId="2185C91C" w14:textId="77777777" w:rsidTr="0083021E">
        <w:trPr>
          <w:trHeight w:val="285"/>
        </w:trPr>
        <w:tc>
          <w:tcPr>
            <w:tcW w:w="6804" w:type="dxa"/>
            <w:tcBorders>
              <w:top w:val="nil"/>
              <w:left w:val="nil"/>
              <w:bottom w:val="single" w:sz="4" w:space="0" w:color="auto"/>
              <w:right w:val="nil"/>
            </w:tcBorders>
            <w:vAlign w:val="center"/>
            <w:hideMark/>
          </w:tcPr>
          <w:p w14:paraId="5A64ACFC" w14:textId="340E4088" w:rsidR="00D320AF" w:rsidRPr="00C7468A"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C7468A">
              <w:rPr>
                <w:color w:val="000000"/>
                <w:sz w:val="18"/>
                <w:szCs w:val="18"/>
              </w:rPr>
              <w:t xml:space="preserve">Общий целевой фонд для основного бюджета по программе Нагойского протокола </w:t>
            </w:r>
          </w:p>
        </w:tc>
        <w:tc>
          <w:tcPr>
            <w:tcW w:w="1170" w:type="dxa"/>
            <w:tcBorders>
              <w:top w:val="nil"/>
              <w:left w:val="nil"/>
              <w:bottom w:val="single" w:sz="4" w:space="0" w:color="auto"/>
              <w:right w:val="nil"/>
            </w:tcBorders>
            <w:vAlign w:val="center"/>
            <w:hideMark/>
          </w:tcPr>
          <w:p w14:paraId="634D24B3" w14:textId="07022C97" w:rsidR="00D320AF" w:rsidRPr="00C7468A"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color w:val="000000"/>
                <w:sz w:val="18"/>
                <w:szCs w:val="18"/>
              </w:rPr>
              <w:t xml:space="preserve">440,9 </w:t>
            </w:r>
          </w:p>
        </w:tc>
      </w:tr>
      <w:tr w:rsidR="00D320AF" w:rsidRPr="00C7468A" w14:paraId="463BE63E" w14:textId="77777777" w:rsidTr="0083021E">
        <w:trPr>
          <w:trHeight w:val="285"/>
        </w:trPr>
        <w:tc>
          <w:tcPr>
            <w:tcW w:w="6804" w:type="dxa"/>
            <w:tcBorders>
              <w:top w:val="single" w:sz="4" w:space="0" w:color="auto"/>
              <w:left w:val="nil"/>
              <w:bottom w:val="single" w:sz="4" w:space="0" w:color="auto"/>
              <w:right w:val="nil"/>
            </w:tcBorders>
            <w:vAlign w:val="center"/>
            <w:hideMark/>
          </w:tcPr>
          <w:p w14:paraId="24810819" w14:textId="271E6174" w:rsidR="00D320AF" w:rsidRPr="00C7468A" w:rsidRDefault="00D320AF" w:rsidP="00440131">
            <w:pPr>
              <w:tabs>
                <w:tab w:val="clear" w:pos="567"/>
                <w:tab w:val="clear" w:pos="1134"/>
                <w:tab w:val="clear" w:pos="1701"/>
                <w:tab w:val="clear" w:pos="2268"/>
              </w:tabs>
              <w:spacing w:before="40" w:after="40"/>
              <w:ind w:firstLine="555"/>
              <w:jc w:val="left"/>
              <w:textAlignment w:val="baseline"/>
              <w:rPr>
                <w:rFonts w:eastAsia="Times New Roman"/>
                <w:sz w:val="24"/>
                <w:szCs w:val="24"/>
              </w:rPr>
            </w:pPr>
            <w:r w:rsidRPr="00C7468A">
              <w:rPr>
                <w:b/>
                <w:bCs/>
                <w:color w:val="000000"/>
                <w:sz w:val="18"/>
                <w:szCs w:val="18"/>
              </w:rPr>
              <w:t>Итого</w:t>
            </w:r>
            <w:r w:rsidRPr="00C7468A">
              <w:rPr>
                <w:color w:val="000000"/>
                <w:sz w:val="18"/>
                <w:szCs w:val="18"/>
              </w:rPr>
              <w:t xml:space="preserve"> </w:t>
            </w:r>
          </w:p>
        </w:tc>
        <w:tc>
          <w:tcPr>
            <w:tcW w:w="1170" w:type="dxa"/>
            <w:tcBorders>
              <w:top w:val="single" w:sz="4" w:space="0" w:color="auto"/>
              <w:left w:val="nil"/>
              <w:bottom w:val="single" w:sz="4" w:space="0" w:color="auto"/>
              <w:right w:val="nil"/>
            </w:tcBorders>
            <w:vAlign w:val="center"/>
            <w:hideMark/>
          </w:tcPr>
          <w:p w14:paraId="05206128" w14:textId="275864C9" w:rsidR="00D320AF" w:rsidRPr="00C7468A"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b/>
                <w:bCs/>
                <w:color w:val="000000"/>
                <w:sz w:val="18"/>
                <w:szCs w:val="18"/>
              </w:rPr>
              <w:t>3 391,5</w:t>
            </w:r>
            <w:r w:rsidRPr="00C7468A">
              <w:rPr>
                <w:color w:val="000000"/>
                <w:sz w:val="18"/>
                <w:szCs w:val="18"/>
              </w:rPr>
              <w:t xml:space="preserve"> </w:t>
            </w:r>
          </w:p>
        </w:tc>
      </w:tr>
    </w:tbl>
    <w:p w14:paraId="6CDEFE7E" w14:textId="73928AD8" w:rsidR="00272076" w:rsidRPr="00C7468A" w:rsidRDefault="00272076" w:rsidP="00440131">
      <w:pPr>
        <w:pStyle w:val="CBDNormalNumber"/>
      </w:pPr>
      <w:r w:rsidRPr="00C7468A">
        <w:t xml:space="preserve">В таблице 6 представлен резерв оборотных средств по состоянию на 31 декабря 2025 года. </w:t>
      </w:r>
    </w:p>
    <w:p w14:paraId="7A41918C" w14:textId="16184CA3" w:rsidR="00272076" w:rsidRPr="00C7468A" w:rsidRDefault="2E2864F1" w:rsidP="00440131">
      <w:pPr>
        <w:pStyle w:val="CBDNormalNumber"/>
      </w:pPr>
      <w:r w:rsidRPr="00C7468A">
        <w:t xml:space="preserve">По состоянию на 31 декабря 2025 года совокупное положительное сальдо трех общих целевых фондов, за вычетом резерва оборотных средств в размере 3 391 500 долл. США, составило 18,2 млн долл. США (см. таблицу 7). </w:t>
      </w:r>
    </w:p>
    <w:p w14:paraId="2D3C17D4" w14:textId="1D0BA6E5" w:rsidR="00F210E7" w:rsidRPr="00C7468A" w:rsidRDefault="00F210E7" w:rsidP="00440131">
      <w:pPr>
        <w:pStyle w:val="CBDTableTitle"/>
        <w:rPr>
          <w:rFonts w:ascii="Segoe UI" w:hAnsi="Segoe UI" w:cs="Segoe UI"/>
          <w:sz w:val="18"/>
          <w:szCs w:val="18"/>
        </w:rPr>
      </w:pPr>
      <w:r w:rsidRPr="00C7468A">
        <w:rPr>
          <w:b w:val="0"/>
          <w:bCs/>
        </w:rPr>
        <w:t>Таблица 7</w:t>
      </w:r>
      <w:r w:rsidRPr="00C7468A">
        <w:t xml:space="preserve"> </w:t>
      </w:r>
      <w:r w:rsidRPr="00C7468A">
        <w:br/>
        <w:t>Совокупное положительное сальдо (за вычетом резерва оборотных средств) по состоянию на 31 декабря 2025 года</w:t>
      </w:r>
    </w:p>
    <w:p w14:paraId="756AD92F" w14:textId="778DA61F" w:rsidR="00F210E7" w:rsidRPr="00C7468A" w:rsidRDefault="00F210E7" w:rsidP="00F210E7">
      <w:pPr>
        <w:tabs>
          <w:tab w:val="clear" w:pos="567"/>
          <w:tab w:val="clear" w:pos="1134"/>
          <w:tab w:val="clear" w:pos="1701"/>
          <w:tab w:val="clear" w:pos="2268"/>
        </w:tabs>
        <w:ind w:left="555"/>
        <w:jc w:val="left"/>
        <w:textAlignment w:val="baseline"/>
        <w:rPr>
          <w:rFonts w:ascii="Segoe UI" w:eastAsia="Times New Roman" w:hAnsi="Segoe UI" w:cs="Segoe UI"/>
          <w:sz w:val="18"/>
          <w:szCs w:val="18"/>
        </w:rPr>
      </w:pPr>
      <w:r w:rsidRPr="00C7468A">
        <w:rPr>
          <w:sz w:val="18"/>
          <w:szCs w:val="18"/>
        </w:rPr>
        <w:t>(млн долл. США)</w:t>
      </w:r>
      <w:r w:rsidRPr="00C7468A">
        <w:rPr>
          <w:sz w:val="18"/>
          <w:szCs w:val="18"/>
          <w:bdr w:val="none" w:sz="0" w:space="0" w:color="auto" w:frame="1"/>
          <w:shd w:val="clear" w:color="auto" w:fill="C6C6C6"/>
        </w:rPr>
        <w:t xml:space="preserve"> </w:t>
      </w:r>
    </w:p>
    <w:tbl>
      <w:tblPr>
        <w:tblW w:w="4215"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5"/>
        <w:gridCol w:w="2250"/>
      </w:tblGrid>
      <w:tr w:rsidR="00F210E7" w:rsidRPr="00C7468A" w14:paraId="4A055C36" w14:textId="77777777" w:rsidTr="0083021E">
        <w:tc>
          <w:tcPr>
            <w:tcW w:w="1965" w:type="dxa"/>
            <w:tcBorders>
              <w:top w:val="single" w:sz="4" w:space="0" w:color="auto"/>
              <w:left w:val="nil"/>
              <w:bottom w:val="nil"/>
              <w:right w:val="nil"/>
            </w:tcBorders>
            <w:vAlign w:val="center"/>
            <w:hideMark/>
          </w:tcPr>
          <w:p w14:paraId="1F1AD09E" w14:textId="5A12F641" w:rsidR="00F210E7" w:rsidRPr="00C7468A"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C7468A">
              <w:rPr>
                <w:sz w:val="18"/>
                <w:szCs w:val="18"/>
              </w:rPr>
              <w:t xml:space="preserve">Конвенция </w:t>
            </w:r>
          </w:p>
        </w:tc>
        <w:tc>
          <w:tcPr>
            <w:tcW w:w="2250" w:type="dxa"/>
            <w:tcBorders>
              <w:top w:val="single" w:sz="4" w:space="0" w:color="auto"/>
              <w:left w:val="nil"/>
              <w:bottom w:val="nil"/>
              <w:right w:val="nil"/>
            </w:tcBorders>
            <w:vAlign w:val="center"/>
            <w:hideMark/>
          </w:tcPr>
          <w:p w14:paraId="62C210A4" w14:textId="0F8051D7" w:rsidR="00F210E7" w:rsidRPr="00C7468A"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sz w:val="18"/>
                <w:szCs w:val="18"/>
              </w:rPr>
              <w:t xml:space="preserve">11,0 </w:t>
            </w:r>
          </w:p>
        </w:tc>
      </w:tr>
      <w:tr w:rsidR="00F210E7" w:rsidRPr="00C7468A" w14:paraId="4EF8CA07" w14:textId="77777777" w:rsidTr="0083021E">
        <w:tc>
          <w:tcPr>
            <w:tcW w:w="1965" w:type="dxa"/>
            <w:tcBorders>
              <w:top w:val="nil"/>
              <w:left w:val="nil"/>
              <w:bottom w:val="nil"/>
              <w:right w:val="nil"/>
            </w:tcBorders>
            <w:vAlign w:val="center"/>
            <w:hideMark/>
          </w:tcPr>
          <w:p w14:paraId="4AAF6E64" w14:textId="7EDCDB87" w:rsidR="00F210E7" w:rsidRPr="00C7468A"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C7468A">
              <w:rPr>
                <w:sz w:val="18"/>
                <w:szCs w:val="18"/>
              </w:rPr>
              <w:t xml:space="preserve">Картахенский протокол </w:t>
            </w:r>
          </w:p>
        </w:tc>
        <w:tc>
          <w:tcPr>
            <w:tcW w:w="2250" w:type="dxa"/>
            <w:tcBorders>
              <w:top w:val="nil"/>
              <w:left w:val="nil"/>
              <w:bottom w:val="nil"/>
              <w:right w:val="nil"/>
            </w:tcBorders>
            <w:vAlign w:val="center"/>
            <w:hideMark/>
          </w:tcPr>
          <w:p w14:paraId="472AC5F3" w14:textId="70416464" w:rsidR="00F210E7" w:rsidRPr="00C7468A"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sz w:val="18"/>
                <w:szCs w:val="18"/>
              </w:rPr>
              <w:t xml:space="preserve">4,9 </w:t>
            </w:r>
          </w:p>
        </w:tc>
      </w:tr>
      <w:tr w:rsidR="00F210E7" w:rsidRPr="00C7468A" w14:paraId="6F24772D" w14:textId="77777777" w:rsidTr="0083021E">
        <w:tc>
          <w:tcPr>
            <w:tcW w:w="1965" w:type="dxa"/>
            <w:tcBorders>
              <w:top w:val="nil"/>
              <w:left w:val="nil"/>
              <w:bottom w:val="single" w:sz="4" w:space="0" w:color="auto"/>
              <w:right w:val="nil"/>
            </w:tcBorders>
            <w:vAlign w:val="center"/>
            <w:hideMark/>
          </w:tcPr>
          <w:p w14:paraId="396B44B6" w14:textId="1FFC58E2" w:rsidR="00F210E7" w:rsidRPr="00C7468A"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C7468A">
              <w:rPr>
                <w:sz w:val="18"/>
                <w:szCs w:val="18"/>
              </w:rPr>
              <w:t xml:space="preserve">Нагойский протокол </w:t>
            </w:r>
          </w:p>
        </w:tc>
        <w:tc>
          <w:tcPr>
            <w:tcW w:w="2250" w:type="dxa"/>
            <w:tcBorders>
              <w:top w:val="nil"/>
              <w:left w:val="nil"/>
              <w:bottom w:val="single" w:sz="4" w:space="0" w:color="auto"/>
              <w:right w:val="nil"/>
            </w:tcBorders>
            <w:vAlign w:val="center"/>
            <w:hideMark/>
          </w:tcPr>
          <w:p w14:paraId="6337CF9C" w14:textId="77EBD614" w:rsidR="00F210E7" w:rsidRPr="00C7468A"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sz w:val="18"/>
                <w:szCs w:val="18"/>
              </w:rPr>
              <w:t xml:space="preserve">2,3 </w:t>
            </w:r>
          </w:p>
        </w:tc>
      </w:tr>
      <w:tr w:rsidR="00F210E7" w:rsidRPr="00C7468A" w14:paraId="07E20131" w14:textId="77777777" w:rsidTr="0083021E">
        <w:tc>
          <w:tcPr>
            <w:tcW w:w="1965" w:type="dxa"/>
            <w:tcBorders>
              <w:top w:val="single" w:sz="4" w:space="0" w:color="auto"/>
              <w:left w:val="nil"/>
              <w:bottom w:val="single" w:sz="4" w:space="0" w:color="auto"/>
              <w:right w:val="nil"/>
            </w:tcBorders>
            <w:vAlign w:val="center"/>
            <w:hideMark/>
          </w:tcPr>
          <w:p w14:paraId="64FCDB94" w14:textId="3F505200" w:rsidR="00F210E7" w:rsidRPr="00C7468A" w:rsidRDefault="00F210E7" w:rsidP="00440131">
            <w:pPr>
              <w:tabs>
                <w:tab w:val="clear" w:pos="567"/>
                <w:tab w:val="clear" w:pos="1134"/>
                <w:tab w:val="clear" w:pos="1701"/>
                <w:tab w:val="clear" w:pos="2268"/>
              </w:tabs>
              <w:spacing w:before="40" w:after="40"/>
              <w:ind w:left="180"/>
              <w:jc w:val="left"/>
              <w:textAlignment w:val="baseline"/>
              <w:rPr>
                <w:rFonts w:eastAsia="Times New Roman"/>
                <w:sz w:val="24"/>
                <w:szCs w:val="24"/>
              </w:rPr>
            </w:pPr>
            <w:r w:rsidRPr="00C7468A">
              <w:rPr>
                <w:b/>
                <w:bCs/>
                <w:sz w:val="18"/>
                <w:szCs w:val="18"/>
              </w:rPr>
              <w:t>Итого</w:t>
            </w:r>
            <w:r w:rsidRPr="00C7468A">
              <w:rPr>
                <w:sz w:val="18"/>
                <w:szCs w:val="18"/>
              </w:rPr>
              <w:t xml:space="preserve"> </w:t>
            </w:r>
          </w:p>
        </w:tc>
        <w:tc>
          <w:tcPr>
            <w:tcW w:w="2250" w:type="dxa"/>
            <w:tcBorders>
              <w:top w:val="single" w:sz="4" w:space="0" w:color="auto"/>
              <w:left w:val="nil"/>
              <w:bottom w:val="single" w:sz="4" w:space="0" w:color="auto"/>
              <w:right w:val="nil"/>
            </w:tcBorders>
            <w:vAlign w:val="center"/>
            <w:hideMark/>
          </w:tcPr>
          <w:p w14:paraId="53809BB3" w14:textId="047505A4" w:rsidR="00F210E7" w:rsidRPr="00C7468A"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C7468A">
              <w:rPr>
                <w:b/>
                <w:bCs/>
                <w:sz w:val="18"/>
                <w:szCs w:val="18"/>
              </w:rPr>
              <w:t>18,2</w:t>
            </w:r>
            <w:r w:rsidRPr="00C7468A">
              <w:rPr>
                <w:sz w:val="18"/>
                <w:szCs w:val="18"/>
              </w:rPr>
              <w:t xml:space="preserve"> </w:t>
            </w:r>
          </w:p>
        </w:tc>
      </w:tr>
    </w:tbl>
    <w:p w14:paraId="0A7F9139" w14:textId="5742FD76" w:rsidR="00EF5B53" w:rsidRPr="00C7468A" w:rsidRDefault="00EF5B53" w:rsidP="00440131">
      <w:pPr>
        <w:pStyle w:val="CBDH2"/>
        <w:jc w:val="left"/>
      </w:pPr>
      <w:r w:rsidRPr="00C7468A">
        <w:t>C.</w:t>
      </w:r>
      <w:r w:rsidRPr="00C7468A">
        <w:tab/>
        <w:t>Специальный добровольный целевой фонд для дополнительных утвержденных мероприятий в рамках Конвенции и протоколов к ней</w:t>
      </w:r>
    </w:p>
    <w:p w14:paraId="768DD603" w14:textId="56B22A61" w:rsidR="001A5B2D" w:rsidRPr="00C7468A" w:rsidRDefault="001A5B2D" w:rsidP="00440131">
      <w:pPr>
        <w:pStyle w:val="CBDNormalNumber"/>
        <w:rPr>
          <w:rFonts w:eastAsia="Times New Roman"/>
        </w:rPr>
      </w:pPr>
      <w:r w:rsidRPr="00C7468A">
        <w:rPr>
          <w:rStyle w:val="normaltextrun"/>
          <w:color w:val="000000"/>
        </w:rPr>
        <w:t>В своем решении </w:t>
      </w:r>
      <w:hyperlink r:id="rId22" w:history="1">
        <w:r w:rsidRPr="00C7468A">
          <w:rPr>
            <w:rStyle w:val="Hyperlink"/>
          </w:rPr>
          <w:t>16/28</w:t>
        </w:r>
      </w:hyperlink>
      <w:r w:rsidRPr="00C7468A">
        <w:rPr>
          <w:rStyle w:val="normaltextrun"/>
          <w:color w:val="000000"/>
        </w:rPr>
        <w:t xml:space="preserve"> Конференция Сторон признала смету финансирования в размере 28 690 983 долл. США для Специального добровольного целевого фонда для дополнительных утвержденных мероприятий в рамках Конвенции и протоколов к ней на двухлетний период </w:t>
      </w:r>
      <w:r w:rsidR="00C7468A" w:rsidRPr="00C7468A">
        <w:rPr>
          <w:rStyle w:val="normaltextrun"/>
          <w:color w:val="000000"/>
        </w:rPr>
        <w:t xml:space="preserve">2025–2026 </w:t>
      </w:r>
      <w:r w:rsidRPr="00C7468A">
        <w:rPr>
          <w:rStyle w:val="normaltextrun"/>
          <w:color w:val="000000"/>
        </w:rPr>
        <w:t>годов. По состоянию на 31 мая 2026 года секретариат получил взносы на дополнительные утвержденные мероприятия на общую сумму 7 918 486 долл. США.</w:t>
      </w:r>
    </w:p>
    <w:p w14:paraId="687B2372" w14:textId="71BB7FFE" w:rsidR="00AC0DC6" w:rsidRPr="00C7468A" w:rsidRDefault="00F00DAE" w:rsidP="00440131">
      <w:pPr>
        <w:pStyle w:val="CBDH2"/>
        <w:tabs>
          <w:tab w:val="left" w:pos="990"/>
        </w:tabs>
        <w:ind w:hanging="657"/>
        <w:jc w:val="left"/>
      </w:pPr>
      <w:r w:rsidRPr="00C7468A">
        <w:t>D.</w:t>
      </w:r>
      <w:r w:rsidRPr="00C7468A">
        <w:tab/>
        <w:t>Специальный добровольный целевой фонд для содействия участию Сторон в процессе осуществления Конвенции</w:t>
      </w:r>
    </w:p>
    <w:p w14:paraId="595ED2E9" w14:textId="71BD057D" w:rsidR="00620D85" w:rsidRPr="00C7468A" w:rsidRDefault="00620D85" w:rsidP="00440131">
      <w:pPr>
        <w:pStyle w:val="CBDNormalNumber"/>
        <w:rPr>
          <w:rFonts w:eastAsia="Times New Roman"/>
        </w:rPr>
      </w:pPr>
      <w:r w:rsidRPr="00C7468A">
        <w:rPr>
          <w:rStyle w:val="normaltextrun"/>
        </w:rPr>
        <w:t>В своем решении </w:t>
      </w:r>
      <w:hyperlink r:id="rId23" w:history="1">
        <w:r w:rsidRPr="00C7468A">
          <w:rPr>
            <w:rStyle w:val="Hyperlink"/>
          </w:rPr>
          <w:t>16/28</w:t>
        </w:r>
      </w:hyperlink>
      <w:r w:rsidRPr="00C7468A">
        <w:rPr>
          <w:rStyle w:val="normaltextrun"/>
        </w:rPr>
        <w:t xml:space="preserve"> Конференция Сторон признала смету финансирования в размере 7 894 300 долл. США для Специального добровольного целевого фонда для содействия участию Сторон в процессе осуществления Конвенции на двухлетний период </w:t>
      </w:r>
      <w:r w:rsidR="00C7468A" w:rsidRPr="00C7468A">
        <w:rPr>
          <w:rStyle w:val="normaltextrun"/>
        </w:rPr>
        <w:t xml:space="preserve">2025–2026 </w:t>
      </w:r>
      <w:r w:rsidRPr="00C7468A">
        <w:rPr>
          <w:rStyle w:val="normaltextrun"/>
        </w:rPr>
        <w:t>годов. По состоянию на 31 мая 2026 года секретариат получил взносы в данный целевой фонд на общую сумму 2 178 459 долл. США.</w:t>
      </w:r>
    </w:p>
    <w:p w14:paraId="25CE2C28" w14:textId="1571E0D5" w:rsidR="00620D85" w:rsidRPr="00C7468A" w:rsidRDefault="00620D85" w:rsidP="00440131">
      <w:pPr>
        <w:pStyle w:val="CBDNormalNumber"/>
      </w:pPr>
      <w:r w:rsidRPr="00C7468A">
        <w:rPr>
          <w:rStyle w:val="normaltextrun"/>
        </w:rPr>
        <w:t>По состоянию на 31 мая 2026 года секретариат израсходовал в 2025 году 1 277 734 долл. США на участие 352 делегатов из развивающихся стран в 27-ом совещании Вспомогательного органа по научным, техническим и технологическим консультациям, 6-ом совещании Вспомогательного органа по осуществлению, возобновленных вторых частях 16-го совещания Конференции Сторон Конвенции, 11-ом совещании Конференции Сторон, выступающей в качестве совещания Сторон Картахенского протокола, и 5-ом совещании Конференции Сторон, выступающей в качестве совещания Сторон Нагойского протокола, и 1-м совещании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0744239D" w14:textId="73B0DC3F" w:rsidR="00F00DAE" w:rsidRPr="00C7468A" w:rsidRDefault="00F00DAE" w:rsidP="2080ABF3">
      <w:pPr>
        <w:pStyle w:val="CBDH2"/>
        <w:tabs>
          <w:tab w:val="left" w:pos="990"/>
        </w:tabs>
      </w:pPr>
      <w:r w:rsidRPr="00C7468A">
        <w:lastRenderedPageBreak/>
        <w:t>E.</w:t>
      </w:r>
      <w:r w:rsidRPr="00C7468A">
        <w:tab/>
        <w:t>Специальный добровольный целевой фонд для содействия участию коренных народов и местных общин</w:t>
      </w:r>
    </w:p>
    <w:p w14:paraId="7CDE06A1" w14:textId="310183EB" w:rsidR="00E03C00" w:rsidRPr="00C7468A" w:rsidRDefault="00E03C00" w:rsidP="00440131">
      <w:pPr>
        <w:pStyle w:val="CBDNormalNumber"/>
        <w:rPr>
          <w:rFonts w:eastAsia="Times New Roman"/>
        </w:rPr>
      </w:pPr>
      <w:r w:rsidRPr="00C7468A">
        <w:rPr>
          <w:rStyle w:val="normaltextrun"/>
        </w:rPr>
        <w:t>В своем решении </w:t>
      </w:r>
      <w:hyperlink r:id="rId24" w:history="1">
        <w:r w:rsidRPr="00C7468A">
          <w:rPr>
            <w:rStyle w:val="Hyperlink"/>
          </w:rPr>
          <w:t>16/28</w:t>
        </w:r>
      </w:hyperlink>
      <w:r w:rsidRPr="00C7468A">
        <w:rPr>
          <w:rStyle w:val="normaltextrun"/>
        </w:rPr>
        <w:t xml:space="preserve"> Конференция Сторон признала смету финансирования в размере 317 000 долл. США для Специального добровольного целевого фонда для содействия участию коренных народов и местных общин на двухлетний период </w:t>
      </w:r>
      <w:r w:rsidR="00C7468A" w:rsidRPr="00C7468A">
        <w:rPr>
          <w:rStyle w:val="normaltextrun"/>
        </w:rPr>
        <w:t xml:space="preserve">2025–2026 </w:t>
      </w:r>
      <w:r w:rsidRPr="00C7468A">
        <w:rPr>
          <w:rStyle w:val="normaltextrun"/>
        </w:rPr>
        <w:t>годов. По состоянию на 31 мая 2026 года секретариат получил взносы на общую сумму 258 357 долл. США.</w:t>
      </w:r>
    </w:p>
    <w:p w14:paraId="6CB15C7A" w14:textId="36D53CAA" w:rsidR="00E03C00" w:rsidRPr="00C7468A" w:rsidRDefault="7BD48914" w:rsidP="00440131">
      <w:pPr>
        <w:pStyle w:val="CBDNormalNumber"/>
        <w:rPr>
          <w:rStyle w:val="normaltextrun"/>
          <w:i/>
          <w:iCs/>
        </w:rPr>
      </w:pPr>
      <w:r w:rsidRPr="00C7468A">
        <w:rPr>
          <w:rStyle w:val="normaltextrun"/>
        </w:rPr>
        <w:t xml:space="preserve">По состоянию на 31 мая 2026 года секретариат потратил в общей сложности 88 523 долл. США на финансирование поездок участников из числа коренных народов и местных общин для участия в 27-ом совещании Вспомогательного органа по научным, техническим и технологическим консультациям, 6-ом совещании Вспомогательного органа по осуществлению, возобновленных вторых частях 16-го совещания Конференции Сторон Конвенции, 11-ом совещании Конференции Сторон, выступающей в качестве совещания Сторон Картахенского протокола, и 5-ом совещании Конференции Сторон, выступающей в качестве совещания Сторон Нагойского протокола, и 1-м совещании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Ожидается, что секретариат использует оставшуюся сумму в размере 169 834 долл. США до конца двухлетнего периода </w:t>
      </w:r>
      <w:r w:rsidR="0083021E" w:rsidRPr="00C7468A">
        <w:rPr>
          <w:rStyle w:val="normaltextrun"/>
        </w:rPr>
        <w:t xml:space="preserve">2025–2026 </w:t>
      </w:r>
      <w:r w:rsidRPr="00C7468A">
        <w:rPr>
          <w:rStyle w:val="normaltextrun"/>
        </w:rPr>
        <w:t>годов.</w:t>
      </w:r>
    </w:p>
    <w:p w14:paraId="388B531D" w14:textId="7A66C81D" w:rsidR="007C4951" w:rsidRPr="00C7468A" w:rsidRDefault="00A111D1" w:rsidP="00A111D1">
      <w:pPr>
        <w:pStyle w:val="CBDH1"/>
        <w:rPr>
          <w:bCs/>
        </w:rPr>
      </w:pPr>
      <w:r w:rsidRPr="00C7468A">
        <w:t>III.</w:t>
      </w:r>
      <w:r w:rsidRPr="00C7468A">
        <w:tab/>
      </w:r>
      <w:r w:rsidRPr="00C7468A">
        <w:rPr>
          <w:bCs/>
        </w:rPr>
        <w:t>Другие административные вопросы</w:t>
      </w:r>
    </w:p>
    <w:p w14:paraId="55707796" w14:textId="233F55AD" w:rsidR="00CA7C53" w:rsidRPr="00C7468A" w:rsidRDefault="00CA7C53" w:rsidP="00440131">
      <w:pPr>
        <w:pStyle w:val="CBDH2"/>
      </w:pPr>
      <w:r w:rsidRPr="00C7468A">
        <w:t xml:space="preserve">A. </w:t>
      </w:r>
      <w:r w:rsidRPr="00C7468A">
        <w:tab/>
        <w:t>Персонал</w:t>
      </w:r>
    </w:p>
    <w:p w14:paraId="7835DF25" w14:textId="22E12EC4" w:rsidR="00CA7C53" w:rsidRPr="00C7468A" w:rsidRDefault="00CA7C53" w:rsidP="00CF4362">
      <w:pPr>
        <w:pStyle w:val="Para1"/>
        <w:numPr>
          <w:ilvl w:val="0"/>
          <w:numId w:val="28"/>
        </w:numPr>
        <w:tabs>
          <w:tab w:val="clear" w:pos="720"/>
        </w:tabs>
        <w:ind w:left="540" w:firstLine="0"/>
      </w:pPr>
      <w:r w:rsidRPr="00C7468A">
        <w:t>В своем решении </w:t>
      </w:r>
      <w:hyperlink r:id="rId25" w:history="1">
        <w:r w:rsidRPr="00C7468A">
          <w:rPr>
            <w:rStyle w:val="Hyperlink"/>
          </w:rPr>
          <w:t>16/28</w:t>
        </w:r>
      </w:hyperlink>
      <w:r w:rsidR="000E7EE5">
        <w:t xml:space="preserve"> </w:t>
      </w:r>
      <w:r w:rsidRPr="00C7468A">
        <w:t xml:space="preserve">Конференция Сторон утвердила таблицу с изложением потребностей секретариата в персонале на двухлетний период </w:t>
      </w:r>
      <w:r w:rsidR="00C7468A" w:rsidRPr="00C7468A">
        <w:t xml:space="preserve">2025–2026 </w:t>
      </w:r>
      <w:r w:rsidRPr="00C7468A">
        <w:t xml:space="preserve">годов, предусматривающую 56 должностей категории специалистов и выше и 31 должность категории общего обслуживания. По состоянию на 31 мая 2026 года в штате насчитывается девять вакантных должностей категории специалистов и выше и пять вакантных должностей категории общего обслуживания. Соответствующие процедуры набора сотрудников находятся на различных этапах. Ожидается, что все вакантные должности будут заполнены к концу 2026 года. </w:t>
      </w:r>
    </w:p>
    <w:p w14:paraId="45BE9393" w14:textId="32BC9E1B" w:rsidR="00CA7C53" w:rsidRPr="00C7468A" w:rsidRDefault="1739BEF3" w:rsidP="00440131">
      <w:pPr>
        <w:pStyle w:val="Para1"/>
        <w:numPr>
          <w:ilvl w:val="0"/>
          <w:numId w:val="28"/>
        </w:numPr>
        <w:tabs>
          <w:tab w:val="clear" w:pos="720"/>
        </w:tabs>
        <w:ind w:left="540" w:firstLine="0"/>
      </w:pPr>
      <w:r w:rsidRPr="00C7468A">
        <w:t>Помимо должностей, финансируемых из комплексного основного бюджета, в Отделе администрации, финансов и административного обслуживания совещаний имеется 18 должностей (4 должности категории специалистов и выше и 14 должностей категории общего обслуживания), финансируемых из целевого фонда ЮНЕП для накладных расходов, 5 должностей, финансируемых из Японского фонда биоразнообразия (3 должности категории специалистов и выше, включая младшего сотрудника категории специалистов, финансируемого Японией, и 2 должности категории общего обслуживания). Кроме того, имеется 2 должности категории специалистов, финансируемые за счет добровольных взносов Европейского союза и Норвегии, и 2 должности, финансируемые Республикой Корея в рамках инициативы «БиоМост» (1 должность категории специалистов и выше и 1 – категории общего обслуживания). Франция и Республика Корея напрямую финансируют двух прикомандированных профильных экспертов.</w:t>
      </w:r>
    </w:p>
    <w:p w14:paraId="3B304F23" w14:textId="3CCD15B3" w:rsidR="00CA7C53" w:rsidRPr="00C7468A" w:rsidRDefault="1739BEF3" w:rsidP="00440131">
      <w:pPr>
        <w:pStyle w:val="Para1"/>
        <w:numPr>
          <w:ilvl w:val="0"/>
          <w:numId w:val="28"/>
        </w:numPr>
        <w:tabs>
          <w:tab w:val="clear" w:pos="720"/>
        </w:tabs>
        <w:ind w:left="540" w:firstLine="0"/>
      </w:pPr>
      <w:r w:rsidRPr="00C7468A">
        <w:t>Кроме того, четыре младших сотрудника категории специалистов, финансируемых правительством Италии (1), Японии (1), Республики Корея (1) и правительством Великобритании и Северной Ирландии (1), в настоящее время оказывают секретариату поддержку в выполнении программы работы. Ожидается, что до конца декабря 2026 года к ним присоединятся ещё два младших сотрудника категории специалистов, направляемых соответственно Китаем и Германией.</w:t>
      </w:r>
    </w:p>
    <w:p w14:paraId="4758B84C" w14:textId="309F83DA" w:rsidR="00CA7C53" w:rsidRPr="00C7468A" w:rsidRDefault="1739BEF3" w:rsidP="00440131">
      <w:pPr>
        <w:pStyle w:val="Para1"/>
        <w:numPr>
          <w:ilvl w:val="0"/>
          <w:numId w:val="28"/>
        </w:numPr>
        <w:tabs>
          <w:tab w:val="clear" w:pos="720"/>
        </w:tabs>
        <w:ind w:left="540" w:firstLine="0"/>
      </w:pPr>
      <w:r w:rsidRPr="00C7468A">
        <w:t xml:space="preserve">По состоянию на 31 мая 2026 года секретариат в течение двухлетнего периода воспользовался услугами приблизительно 72 консультантов и индивидуальных подрядчиков, </w:t>
      </w:r>
      <w:r w:rsidRPr="00C7468A">
        <w:lastRenderedPageBreak/>
        <w:t>финансируемых в основном за счет добровольных взносов, в качестве дополнительных кадровых ресурсов для осуществления программы работы и удовлетворения краткосрочных потребностей в персонале.</w:t>
      </w:r>
    </w:p>
    <w:p w14:paraId="0DDDF550" w14:textId="6055322C" w:rsidR="00C43244" w:rsidRPr="00C7468A" w:rsidRDefault="00C43244" w:rsidP="00440131">
      <w:pPr>
        <w:pStyle w:val="CBDH2"/>
      </w:pPr>
      <w:r w:rsidRPr="00C7468A">
        <w:t xml:space="preserve">B. </w:t>
      </w:r>
      <w:r w:rsidRPr="00C7468A">
        <w:tab/>
        <w:t>Бюджетирование, ориентированное на результаты</w:t>
      </w:r>
    </w:p>
    <w:p w14:paraId="7E1EC4FE" w14:textId="485960FA" w:rsidR="00C71696" w:rsidRPr="00C7468A" w:rsidRDefault="00C71696" w:rsidP="00440131">
      <w:pPr>
        <w:pStyle w:val="Para1"/>
        <w:numPr>
          <w:ilvl w:val="0"/>
          <w:numId w:val="28"/>
        </w:numPr>
        <w:tabs>
          <w:tab w:val="clear" w:pos="720"/>
        </w:tabs>
        <w:ind w:left="540" w:firstLine="0"/>
      </w:pPr>
      <w:r w:rsidRPr="00C7468A">
        <w:t>В ответ на поручение Конференции Сторон, изложенное в ее решении </w:t>
      </w:r>
      <w:hyperlink r:id="rId26" w:history="1">
        <w:r w:rsidRPr="00C7468A">
          <w:rPr>
            <w:rStyle w:val="Hyperlink"/>
          </w:rPr>
          <w:t>14/37</w:t>
        </w:r>
      </w:hyperlink>
      <w:r w:rsidRPr="00C7468A">
        <w:t xml:space="preserve"> и в соответствии с рекомендациями аудиторов секретариат разработал систему программирования и бюджетирования своей деятельности, ориентированную на результаты. Эта система постепенно внедряется с начала 2023 года с целью полностью ввести ее в действие в течение двухлетнего периода </w:t>
      </w:r>
      <w:r w:rsidR="00C7468A" w:rsidRPr="00C7468A">
        <w:t xml:space="preserve">2025–2026 </w:t>
      </w:r>
      <w:r w:rsidRPr="00C7468A">
        <w:t>годов. Она будет обновляться на регулярной основе, в частности после проведения крупных совещаний с тем, чтобы обеспечить согласование и корректировку планирования на основе решений Конференции Сторон Конвенции и Конференции Сторон, выступающей в качестве совещания Сторон протоколов. Ожидается, что эти системы послужат для секретариата руководством при определении потребностей в ресурсах и позволят лучше оптимизировать использование добровольных фондов для достижения ожидаемых результатов.</w:t>
      </w:r>
    </w:p>
    <w:p w14:paraId="7D784C0A" w14:textId="3B01F0DF" w:rsidR="00C71696" w:rsidRPr="00C7468A" w:rsidRDefault="00C71696" w:rsidP="00440131">
      <w:pPr>
        <w:pStyle w:val="Para1"/>
        <w:numPr>
          <w:ilvl w:val="0"/>
          <w:numId w:val="28"/>
        </w:numPr>
        <w:tabs>
          <w:tab w:val="clear" w:pos="720"/>
        </w:tabs>
        <w:ind w:left="540" w:firstLine="0"/>
      </w:pPr>
      <w:r w:rsidRPr="00C7468A">
        <w:t xml:space="preserve">Секретариат начал использовать систему, ориентированную на результаты, для обеспечения оптимального осуществления своей деятельности и использования добровольных фондов. Эта система также позволит секретариату эффективно проводить мониторинг своей деятельности и отчитываться о результатах. </w:t>
      </w:r>
    </w:p>
    <w:p w14:paraId="074A1572" w14:textId="1337D3E0" w:rsidR="00C43244" w:rsidRPr="00C7468A" w:rsidRDefault="00C43244" w:rsidP="00440131">
      <w:pPr>
        <w:pStyle w:val="CBDH2"/>
      </w:pPr>
      <w:r w:rsidRPr="00C7468A">
        <w:t>C.</w:t>
      </w:r>
      <w:r w:rsidRPr="00C7468A">
        <w:tab/>
        <w:t>Невыполненные рекомендации по итогам аудита</w:t>
      </w:r>
    </w:p>
    <w:p w14:paraId="63BBBEAE" w14:textId="67566C0B" w:rsidR="00C71696" w:rsidRPr="00C7468A" w:rsidRDefault="00C71696" w:rsidP="00440131">
      <w:pPr>
        <w:pStyle w:val="Para1"/>
        <w:numPr>
          <w:ilvl w:val="0"/>
          <w:numId w:val="28"/>
        </w:numPr>
        <w:tabs>
          <w:tab w:val="clear" w:pos="720"/>
        </w:tabs>
        <w:ind w:left="540" w:firstLine="0"/>
      </w:pPr>
      <w:r w:rsidRPr="00C7468A">
        <w:t xml:space="preserve">За последние пять лет было проведено три аудита, посвященных работе секретариата. За первым аудитом, проведенным Управлением служб внутреннего надзора в июле 2019 года, последовали еще два, выполненные Советом аудиторов в январе 2020 года и в октябре 2021 года соответственно. По состоянию на 31 мая 2026 года были выполнены и закрыты все рекомендации, вынесенные по итогам аудитов, за исключением </w:t>
      </w:r>
      <w:r w:rsidR="0083021E" w:rsidRPr="00C7468A">
        <w:t>рекомендации, содержащейся</w:t>
      </w:r>
      <w:r w:rsidRPr="00C7468A">
        <w:rPr>
          <w:snapToGrid/>
          <w:szCs w:val="22"/>
        </w:rPr>
        <w:t xml:space="preserve"> в </w:t>
      </w:r>
      <w:r w:rsidRPr="00C7468A">
        <w:t>пункте </w:t>
      </w:r>
      <w:r w:rsidRPr="00C7468A">
        <w:rPr>
          <w:snapToGrid/>
          <w:szCs w:val="22"/>
        </w:rPr>
        <w:t xml:space="preserve">78 </w:t>
      </w:r>
      <w:r w:rsidRPr="00C7468A">
        <w:t>д</w:t>
      </w:r>
      <w:r w:rsidRPr="00C7468A">
        <w:rPr>
          <w:snapToGrid/>
          <w:szCs w:val="22"/>
        </w:rPr>
        <w:t>оклада Совета аудиторов за</w:t>
      </w:r>
      <w:r w:rsidRPr="00C7468A">
        <w:t xml:space="preserve"> </w:t>
      </w:r>
      <w:r w:rsidRPr="00C7468A">
        <w:rPr>
          <w:snapToGrid/>
          <w:szCs w:val="22"/>
        </w:rPr>
        <w:t>2021</w:t>
      </w:r>
      <w:r w:rsidR="00AA6129" w:rsidRPr="00C7468A">
        <w:rPr>
          <w:rStyle w:val="FootnoteReference"/>
        </w:rPr>
        <w:footnoteReference w:id="8"/>
      </w:r>
      <w:r w:rsidR="0083021E">
        <w:rPr>
          <w:snapToGrid/>
          <w:szCs w:val="22"/>
        </w:rPr>
        <w:t>,</w:t>
      </w:r>
      <w:r w:rsidRPr="00C7468A">
        <w:t xml:space="preserve"> год и касающейся закрытых грантов. В своем последнем докладе, представленном аудиторам, секретариат сообщил о достигнутом прогрессе в выполнении данной рекомендации и просил считать ее закрытой.</w:t>
      </w:r>
    </w:p>
    <w:p w14:paraId="0879F275" w14:textId="7E02862D" w:rsidR="00C71696" w:rsidRPr="00C7468A" w:rsidRDefault="139053FA" w:rsidP="00440131">
      <w:pPr>
        <w:pStyle w:val="Para1"/>
        <w:numPr>
          <w:ilvl w:val="0"/>
          <w:numId w:val="28"/>
        </w:numPr>
        <w:tabs>
          <w:tab w:val="clear" w:pos="720"/>
        </w:tabs>
        <w:ind w:left="540" w:firstLine="0"/>
      </w:pPr>
      <w:r w:rsidRPr="00C7468A">
        <w:t>Что касается создания стратегии мобилизации ресурсов и разработки политики и механизма оценки, секретариат обозначил в качестве приоритетной задачу создания системы управления, ориентированной на результаты, которая обеспечит ориентиры в текущем процессе подготовки и управления программой работы секретариата, планируемом к завершению в 2026 году. Система управления, ориентированная на результаты, рассматривается как необходимый этап, предшествующий разработке стратегии мобилизации ресурсов и политики и механизма оценки. Принимая во внимание отсутствие собственного потенциала, секретариат планирует обеспечить финансирование для привлечения специалистов в области стратегий мобилизации ресурсов и политики оценки с тем, чтобы выполнить эти рекомендации к декабрю 2026 года.</w:t>
      </w:r>
    </w:p>
    <w:p w14:paraId="46C37A0B" w14:textId="3C645C83" w:rsidR="0067657C" w:rsidRPr="00C7468A" w:rsidRDefault="0067657C" w:rsidP="00440131">
      <w:pPr>
        <w:pStyle w:val="Para1"/>
        <w:numPr>
          <w:ilvl w:val="0"/>
          <w:numId w:val="28"/>
        </w:numPr>
        <w:tabs>
          <w:tab w:val="clear" w:pos="720"/>
        </w:tabs>
        <w:ind w:left="540" w:firstLine="0"/>
      </w:pPr>
      <w:r w:rsidRPr="00C7468A">
        <w:t xml:space="preserve">Дополнительная информация о выполнении невыполненных рекомендаций по итогам аудита содержится в документе </w:t>
      </w:r>
      <w:hyperlink r:id="rId27" w:history="1">
        <w:r w:rsidRPr="00C7468A">
          <w:rPr>
            <w:rStyle w:val="Hyperlink"/>
          </w:rPr>
          <w:t>CBD/SBI/7/14/Add.1-CBD/COP/17/4/Add.3</w:t>
        </w:r>
      </w:hyperlink>
      <w:r w:rsidRPr="00C7468A">
        <w:t>.</w:t>
      </w:r>
    </w:p>
    <w:p w14:paraId="58CA2240" w14:textId="2C38BED9" w:rsidR="0072239A" w:rsidRPr="00C7468A" w:rsidRDefault="00D23EC8" w:rsidP="00440131">
      <w:pPr>
        <w:pStyle w:val="CBDH2"/>
      </w:pPr>
      <w:r w:rsidRPr="00C7468A">
        <w:t>D.</w:t>
      </w:r>
      <w:r w:rsidRPr="00C7468A">
        <w:tab/>
        <w:t>Функциональный обзор</w:t>
      </w:r>
    </w:p>
    <w:p w14:paraId="4786EDFD" w14:textId="789503AE" w:rsidR="00962801" w:rsidRPr="00C7468A" w:rsidRDefault="005538A6" w:rsidP="0029796C">
      <w:pPr>
        <w:pStyle w:val="CBDNormalNumber"/>
        <w:numPr>
          <w:ilvl w:val="0"/>
          <w:numId w:val="0"/>
        </w:numPr>
        <w:tabs>
          <w:tab w:val="left" w:pos="1440"/>
        </w:tabs>
        <w:ind w:left="540"/>
      </w:pPr>
      <w:r w:rsidRPr="00C7468A">
        <w:rPr>
          <w:snapToGrid w:val="0"/>
        </w:rPr>
        <w:t>41</w:t>
      </w:r>
      <w:r w:rsidRPr="00C7468A">
        <w:rPr>
          <w:snapToGrid w:val="0"/>
          <w:szCs w:val="18"/>
        </w:rPr>
        <w:t>.</w:t>
      </w:r>
      <w:r w:rsidRPr="00C7468A">
        <w:tab/>
      </w:r>
      <w:r w:rsidRPr="00C7468A">
        <w:rPr>
          <w:snapToGrid w:val="0"/>
        </w:rPr>
        <w:t>В соответствии с поручениями Конференции Сторон, изложенными в пункте 35 решения </w:t>
      </w:r>
      <w:hyperlink r:id="rId28" w:history="1">
        <w:r w:rsidRPr="00C7468A">
          <w:rPr>
            <w:rStyle w:val="Hyperlink"/>
            <w:snapToGrid w:val="0"/>
          </w:rPr>
          <w:t>15/34</w:t>
        </w:r>
      </w:hyperlink>
      <w:r w:rsidRPr="00C7468A">
        <w:rPr>
          <w:snapToGrid w:val="0"/>
        </w:rPr>
        <w:t xml:space="preserve"> и пункте 11 решения </w:t>
      </w:r>
      <w:hyperlink r:id="rId29" w:history="1">
        <w:r w:rsidRPr="00C7468A">
          <w:rPr>
            <w:rStyle w:val="Hyperlink"/>
            <w:snapToGrid w:val="0"/>
          </w:rPr>
          <w:t>16/28</w:t>
        </w:r>
      </w:hyperlink>
      <w:r w:rsidRPr="00C7468A">
        <w:rPr>
          <w:snapToGrid w:val="0"/>
        </w:rPr>
        <w:t>, Секретариат организовал проведение внешнего углубленного функционального обзора своей структуры.</w:t>
      </w:r>
      <w:r w:rsidRPr="00C7468A">
        <w:t xml:space="preserve"> </w:t>
      </w:r>
      <w:r w:rsidRPr="00C7468A">
        <w:rPr>
          <w:snapToGrid w:val="0"/>
        </w:rPr>
        <w:t xml:space="preserve">Функциональный обзор был проведен Группой консультантов по вопросам управления Программы развития Организации Объединенных Наций. </w:t>
      </w:r>
    </w:p>
    <w:p w14:paraId="6B90875E" w14:textId="58E78324" w:rsidR="00962801" w:rsidRPr="00C7468A" w:rsidRDefault="7BFD5AA8" w:rsidP="0029796C">
      <w:pPr>
        <w:pStyle w:val="CBDNormalNumber"/>
        <w:numPr>
          <w:ilvl w:val="0"/>
          <w:numId w:val="0"/>
        </w:numPr>
        <w:tabs>
          <w:tab w:val="left" w:pos="1440"/>
        </w:tabs>
        <w:ind w:left="540"/>
      </w:pPr>
      <w:r w:rsidRPr="00C7468A">
        <w:rPr>
          <w:snapToGrid w:val="0"/>
        </w:rPr>
        <w:lastRenderedPageBreak/>
        <w:t>42.</w:t>
      </w:r>
      <w:r w:rsidRPr="00C7468A">
        <w:tab/>
        <w:t xml:space="preserve">Вспомогательный орган на своем 6-м совещании рассмотрел данный вопрос и подготовил рекомендацию 6/9, приняв к сведению </w:t>
      </w:r>
      <w:r w:rsidRPr="00C7468A">
        <w:rPr>
          <w:snapToGrid w:val="0"/>
        </w:rPr>
        <w:t xml:space="preserve">общее резюме доклада о внешнем углубленном функциональном обзоре секретариата, содержащееся в приложении I к документу </w:t>
      </w:r>
      <w:hyperlink r:id="rId30" w:history="1">
        <w:r w:rsidRPr="00C7468A">
          <w:rPr>
            <w:rStyle w:val="Hyperlink"/>
            <w:u w:val="none"/>
          </w:rPr>
          <w:t>CBD/SBI/6/10</w:t>
        </w:r>
      </w:hyperlink>
      <w:r w:rsidRPr="00C7468A">
        <w:rPr>
          <w:snapToGrid w:val="0"/>
        </w:rPr>
        <w:t xml:space="preserve">. Полный текст доклада об этом функциональном обзоре был представлен в документе </w:t>
      </w:r>
      <w:hyperlink r:id="rId31" w:history="1">
        <w:r w:rsidRPr="00C7468A">
          <w:rPr>
            <w:rStyle w:val="Hyperlink"/>
            <w:snapToGrid w:val="0"/>
          </w:rPr>
          <w:t>CBD</w:t>
        </w:r>
        <w:r w:rsidRPr="00C7468A">
          <w:rPr>
            <w:rStyle w:val="Hyperlink"/>
          </w:rPr>
          <w:t>/</w:t>
        </w:r>
        <w:r w:rsidRPr="00C7468A">
          <w:rPr>
            <w:rStyle w:val="Hyperlink"/>
            <w:snapToGrid w:val="0"/>
          </w:rPr>
          <w:t>SBI</w:t>
        </w:r>
        <w:r w:rsidRPr="00C7468A">
          <w:rPr>
            <w:rStyle w:val="Hyperlink"/>
          </w:rPr>
          <w:t>/6/</w:t>
        </w:r>
        <w:r w:rsidRPr="00C7468A">
          <w:rPr>
            <w:rStyle w:val="Hyperlink"/>
            <w:snapToGrid w:val="0"/>
          </w:rPr>
          <w:t>INF</w:t>
        </w:r>
        <w:r w:rsidRPr="00C7468A">
          <w:rPr>
            <w:rStyle w:val="Hyperlink"/>
          </w:rPr>
          <w:t>/12</w:t>
        </w:r>
      </w:hyperlink>
      <w:r w:rsidRPr="00C7468A">
        <w:rPr>
          <w:snapToGrid w:val="0"/>
        </w:rPr>
        <w:t xml:space="preserve">. </w:t>
      </w:r>
    </w:p>
    <w:p w14:paraId="0FCB9751" w14:textId="4179EA2F" w:rsidR="008A1499" w:rsidRPr="00C7468A" w:rsidRDefault="00453CD1" w:rsidP="7497CBEE">
      <w:pPr>
        <w:pStyle w:val="CBDAnnex"/>
        <w:tabs>
          <w:tab w:val="left" w:pos="1440"/>
        </w:tabs>
        <w:ind w:left="540"/>
        <w:jc w:val="both"/>
        <w:rPr>
          <w:b w:val="0"/>
          <w:bCs/>
          <w:sz w:val="22"/>
          <w:szCs w:val="18"/>
        </w:rPr>
      </w:pPr>
      <w:r w:rsidRPr="00C7468A">
        <w:rPr>
          <w:b w:val="0"/>
          <w:snapToGrid w:val="0"/>
          <w:sz w:val="22"/>
        </w:rPr>
        <w:t>43.</w:t>
      </w:r>
      <w:r w:rsidRPr="00C7468A">
        <w:tab/>
      </w:r>
      <w:r w:rsidRPr="00C7468A">
        <w:rPr>
          <w:b w:val="0"/>
          <w:snapToGrid w:val="0"/>
          <w:sz w:val="22"/>
        </w:rPr>
        <w:t xml:space="preserve">Секретариат подготовил доклад о ходе функционального обзора секретариата, содержащийся в документе </w:t>
      </w:r>
      <w:hyperlink r:id="rId32" w:history="1">
        <w:r w:rsidRPr="00C7468A">
          <w:rPr>
            <w:rStyle w:val="Hyperlink"/>
            <w:b w:val="0"/>
            <w:snapToGrid w:val="0"/>
            <w:sz w:val="22"/>
          </w:rPr>
          <w:t>CBD/SBI/7/15/Add.1-CBD/COP/17/4/Add.4</w:t>
        </w:r>
      </w:hyperlink>
      <w:r w:rsidRPr="00C7468A">
        <w:rPr>
          <w:b w:val="0"/>
          <w:snapToGrid w:val="0"/>
          <w:sz w:val="22"/>
        </w:rPr>
        <w:t xml:space="preserve">, в целях информирования Сторон о ходе функционального обзора после 6-го совещания Вспомогательного органа, в период с марта по май 2026 года, в частности в отношении мер, перечисленных в пункте 3 рекомендации 6/9, включая информацию о бюджетных последствиях мер, предложенных в рамках функционального обзора. </w:t>
      </w:r>
    </w:p>
    <w:p w14:paraId="1078C802" w14:textId="67D820D3" w:rsidR="00A111D1" w:rsidRPr="003E265B" w:rsidRDefault="002210A5" w:rsidP="00440131">
      <w:pPr>
        <w:pStyle w:val="Para1"/>
        <w:numPr>
          <w:ilvl w:val="0"/>
          <w:numId w:val="0"/>
        </w:numPr>
        <w:ind w:left="567"/>
        <w:jc w:val="center"/>
      </w:pPr>
      <w:r w:rsidRPr="00C7468A">
        <w:t>__________</w:t>
      </w:r>
    </w:p>
    <w:sectPr w:rsidR="00A111D1" w:rsidRPr="003E265B" w:rsidSect="00440131">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C503C" w14:textId="77777777" w:rsidR="001A0A83" w:rsidRPr="00866063" w:rsidRDefault="001A0A83" w:rsidP="00CF1848">
      <w:r w:rsidRPr="00866063">
        <w:separator/>
      </w:r>
    </w:p>
  </w:endnote>
  <w:endnote w:type="continuationSeparator" w:id="0">
    <w:p w14:paraId="0C23FD3C" w14:textId="77777777" w:rsidR="001A0A83" w:rsidRPr="00866063" w:rsidRDefault="001A0A8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87D91BF"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3152CDB" w14:textId="77777777" w:rsidR="00D75CA6" w:rsidRPr="00866063" w:rsidRDefault="00D75CA6" w:rsidP="00CB112A">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EB463" w14:textId="77777777" w:rsidR="001A0A83" w:rsidRPr="00866063" w:rsidRDefault="001A0A83" w:rsidP="00CF1848">
      <w:r w:rsidRPr="00866063">
        <w:separator/>
      </w:r>
    </w:p>
  </w:footnote>
  <w:footnote w:type="continuationSeparator" w:id="0">
    <w:p w14:paraId="70667BC7" w14:textId="77777777" w:rsidR="001A0A83" w:rsidRPr="00866063" w:rsidRDefault="001A0A83" w:rsidP="00CF1848">
      <w:r w:rsidRPr="00866063">
        <w:continuationSeparator/>
      </w:r>
    </w:p>
  </w:footnote>
  <w:footnote w:id="1">
    <w:p w14:paraId="5CE81DAA" w14:textId="0D8B842E" w:rsidR="009C7B8F" w:rsidRPr="00C7468A" w:rsidRDefault="00F02A86" w:rsidP="009C7B8F">
      <w:pPr>
        <w:pStyle w:val="FootnoteText"/>
        <w:rPr>
          <w:lang w:val="en-CA"/>
        </w:rPr>
      </w:pPr>
      <w:r w:rsidRPr="00C7468A">
        <w:rPr>
          <w:lang w:val="en-CA"/>
        </w:rPr>
        <w:t xml:space="preserve">* </w:t>
      </w:r>
      <w:hyperlink r:id="rId1" w:history="1">
        <w:r w:rsidRPr="00C7468A">
          <w:rPr>
            <w:rStyle w:val="Hyperlink"/>
            <w:lang w:val="en-CA"/>
          </w:rPr>
          <w:t>CBD/SBI/7/1</w:t>
        </w:r>
      </w:hyperlink>
      <w:r w:rsidRPr="00C7468A">
        <w:rPr>
          <w:lang w:val="en-CA"/>
        </w:rPr>
        <w:t>.</w:t>
      </w:r>
    </w:p>
  </w:footnote>
  <w:footnote w:id="2">
    <w:p w14:paraId="4FC6DEEB" w14:textId="41071951" w:rsidR="009C7B8F" w:rsidRPr="00C7468A" w:rsidRDefault="009C7B8F" w:rsidP="009C7B8F">
      <w:pPr>
        <w:pStyle w:val="FootnoteText"/>
        <w:rPr>
          <w:lang w:val="en-CA"/>
        </w:rPr>
      </w:pPr>
      <w:r w:rsidRPr="00C7468A">
        <w:rPr>
          <w:rStyle w:val="FootnoteReference"/>
          <w:lang w:val="en-CA"/>
        </w:rPr>
        <w:t>**</w:t>
      </w:r>
      <w:r w:rsidRPr="00C7468A">
        <w:rPr>
          <w:lang w:val="en-CA"/>
        </w:rPr>
        <w:t xml:space="preserve"> </w:t>
      </w:r>
      <w:hyperlink r:id="rId2" w:history="1">
        <w:r w:rsidRPr="00C7468A">
          <w:rPr>
            <w:rStyle w:val="Hyperlink"/>
            <w:lang w:val="en-CA"/>
          </w:rPr>
          <w:t>CBD/COP/17/1/Rev.1</w:t>
        </w:r>
      </w:hyperlink>
      <w:r w:rsidRPr="00C7468A">
        <w:rPr>
          <w:lang w:val="en-CA"/>
        </w:rPr>
        <w:t>.</w:t>
      </w:r>
    </w:p>
  </w:footnote>
  <w:footnote w:id="3">
    <w:p w14:paraId="1B62C73F" w14:textId="73B02A16" w:rsidR="009C7B8F" w:rsidRPr="00C7468A" w:rsidRDefault="009C7B8F" w:rsidP="009C7B8F">
      <w:pPr>
        <w:pStyle w:val="FootnoteText"/>
        <w:rPr>
          <w:lang w:val="en-CA"/>
        </w:rPr>
      </w:pPr>
      <w:r w:rsidRPr="00C7468A">
        <w:rPr>
          <w:rStyle w:val="FootnoteReference"/>
          <w:lang w:val="en-CA"/>
        </w:rPr>
        <w:t>***</w:t>
      </w:r>
      <w:r w:rsidRPr="00C7468A">
        <w:rPr>
          <w:lang w:val="en-CA"/>
        </w:rPr>
        <w:t xml:space="preserve"> </w:t>
      </w:r>
      <w:hyperlink r:id="rId3" w:history="1">
        <w:r w:rsidRPr="00C7468A">
          <w:rPr>
            <w:rStyle w:val="Hyperlink"/>
            <w:lang w:val="en-CA"/>
          </w:rPr>
          <w:t>CBD/CP/MOP/12/1</w:t>
        </w:r>
      </w:hyperlink>
      <w:r w:rsidRPr="00C7468A">
        <w:rPr>
          <w:lang w:val="en-CA"/>
        </w:rPr>
        <w:t>.</w:t>
      </w:r>
    </w:p>
  </w:footnote>
  <w:footnote w:id="4">
    <w:p w14:paraId="3782889D" w14:textId="1BFA5600" w:rsidR="009C7B8F" w:rsidRPr="00C7468A" w:rsidRDefault="009C7B8F" w:rsidP="009C7B8F">
      <w:pPr>
        <w:pStyle w:val="FootnoteText"/>
        <w:rPr>
          <w:lang w:val="en-CA"/>
        </w:rPr>
      </w:pPr>
      <w:r w:rsidRPr="00C7468A">
        <w:rPr>
          <w:rStyle w:val="FootnoteReference"/>
          <w:lang w:val="en-CA"/>
        </w:rPr>
        <w:t>****</w:t>
      </w:r>
      <w:r w:rsidRPr="00C7468A">
        <w:rPr>
          <w:lang w:val="en-CA"/>
        </w:rPr>
        <w:t xml:space="preserve"> </w:t>
      </w:r>
      <w:hyperlink r:id="rId4" w:history="1">
        <w:r w:rsidRPr="00C7468A">
          <w:rPr>
            <w:rStyle w:val="Hyperlink"/>
            <w:lang w:val="en-CA"/>
          </w:rPr>
          <w:t>CBD/NP/MOP/6/1</w:t>
        </w:r>
      </w:hyperlink>
      <w:r w:rsidRPr="00C7468A">
        <w:rPr>
          <w:lang w:val="en-CA"/>
        </w:rPr>
        <w:t>.</w:t>
      </w:r>
    </w:p>
  </w:footnote>
  <w:footnote w:id="5">
    <w:p w14:paraId="781904B5" w14:textId="0FF3CD02" w:rsidR="00532C40" w:rsidRPr="00440131" w:rsidRDefault="00532C40">
      <w:pPr>
        <w:pStyle w:val="FootnoteText"/>
      </w:pPr>
      <w:r>
        <w:rPr>
          <w:rStyle w:val="FootnoteReference"/>
        </w:rPr>
        <w:t>†</w:t>
      </w:r>
      <w:r>
        <w:t xml:space="preserve"> Настоящий документ издается без официального редактирования.</w:t>
      </w:r>
    </w:p>
  </w:footnote>
  <w:footnote w:id="6">
    <w:p w14:paraId="1B43FC27" w14:textId="60705B5D" w:rsidR="004F7C74" w:rsidRPr="00440131" w:rsidRDefault="004F7C74">
      <w:pPr>
        <w:pStyle w:val="FootnoteText"/>
      </w:pPr>
      <w:r>
        <w:rPr>
          <w:rStyle w:val="FootnoteReference"/>
        </w:rPr>
        <w:footnoteRef/>
      </w:r>
      <w:r>
        <w:t xml:space="preserve"> </w:t>
      </w:r>
      <w:hyperlink r:id="rId5">
        <w:r>
          <w:rPr>
            <w:rStyle w:val="Hyperlink"/>
          </w:rPr>
          <w:t>CBD/SBI/6/10.</w:t>
        </w:r>
      </w:hyperlink>
    </w:p>
  </w:footnote>
  <w:footnote w:id="7">
    <w:p w14:paraId="03C50FA4" w14:textId="7A939B7E" w:rsidR="001B3B54" w:rsidRPr="00D20349" w:rsidRDefault="001B3B54" w:rsidP="001B3B54">
      <w:pPr>
        <w:pStyle w:val="FootnoteText"/>
      </w:pPr>
      <w:r>
        <w:rPr>
          <w:rStyle w:val="FootnoteReference"/>
        </w:rPr>
        <w:footnoteRef/>
      </w:r>
      <w:r>
        <w:t xml:space="preserve"> Вторая возобновленная сессия 16-го совещания Конференции Сторон, состоявшаяся в Риме в 2025 году, 1-е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состоявшееся в Панаме в 2025 году, и 6-е совещание</w:t>
      </w:r>
      <w:r w:rsidR="00C7468A" w:rsidRPr="00C7468A">
        <w:t xml:space="preserve"> </w:t>
      </w:r>
      <w:r>
        <w:t>Вспомогательного органа по осуществлению, состоявшееся в Риме в 2026 году.</w:t>
      </w:r>
    </w:p>
  </w:footnote>
  <w:footnote w:id="8">
    <w:p w14:paraId="4B76D813" w14:textId="76152F09" w:rsidR="00AA6129" w:rsidRDefault="00AA6129">
      <w:pPr>
        <w:pStyle w:val="FootnoteText"/>
      </w:pPr>
      <w:r>
        <w:rPr>
          <w:rStyle w:val="FootnoteReference"/>
        </w:rPr>
        <w:footnoteRef/>
      </w:r>
      <w:r>
        <w:t xml:space="preserve"> A/77/5/Add.7.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6FA007" w14:textId="451E010A" w:rsidR="00534681" w:rsidRPr="00866063" w:rsidRDefault="009C3FC8" w:rsidP="007C4951">
        <w:pPr>
          <w:pStyle w:val="Header"/>
          <w:spacing w:after="240"/>
          <w:rPr>
            <w:szCs w:val="20"/>
          </w:rPr>
        </w:pPr>
        <w:r w:rsidRPr="009C3FC8">
          <w:rPr>
            <w:szCs w:val="20"/>
          </w:rPr>
          <w:t>CBD/SBI/7/14-CBD/COP/17/3-CBD/CP/MOP/12/4-CBD/NP/MOP/6/4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Content>
      <w:p w14:paraId="0A317FCF" w14:textId="2B1AAB16" w:rsidR="009505C9" w:rsidRPr="00866063" w:rsidRDefault="009C3FC8" w:rsidP="007C4951">
        <w:pPr>
          <w:pStyle w:val="Header"/>
          <w:spacing w:after="240"/>
          <w:jc w:val="right"/>
        </w:pPr>
        <w:r>
          <w:t>CBD/SBI/7/14-CBD/COP/17/3-CBD/CP/MOP/12/4-CBD/NP/MOP/6/4</w:t>
        </w:r>
      </w:p>
    </w:sdtContent>
  </w:sdt>
</w:hdr>
</file>

<file path=word/intelligence2.xml><?xml version="1.0" encoding="utf-8"?>
<int2:intelligence xmlns:int2="http://schemas.microsoft.com/office/intelligence/2020/intelligence" xmlns:oel="http://schemas.microsoft.com/office/2019/extlst">
  <int2:observations>
    <int2:textHash int2:hashCode="6HlNd//X5elTua" int2:id="K95Zkg16">
      <int2:state int2:value="Rejected" int2:type="spell"/>
    </int2:textHash>
    <int2:textHash int2:hashCode="c+hB4if5bBCinG" int2:id="OLhjXbMr">
      <int2:state int2:value="Rejected" int2:type="spell"/>
    </int2:textHash>
    <int2:textHash int2:hashCode="nFY4Nt3Fmkc+u8" int2:id="fPZ4OzhF">
      <int2:state int2:value="Rejected" int2:type="spell"/>
    </int2:textHash>
    <int2:textHash int2:hashCode="Hw5JyNsliGoZEX" int2:id="jVRjBkw1">
      <int2:state int2:value="Rejected" int2:type="spell"/>
    </int2:textHash>
    <int2:textHash int2:hashCode="1p0MAGQCfU9lYg" int2:id="k2F5n1J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AE8"/>
    <w:multiLevelType w:val="multilevel"/>
    <w:tmpl w:val="2D9C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76B7B"/>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0590A"/>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4611AF"/>
    <w:multiLevelType w:val="multilevel"/>
    <w:tmpl w:val="3A72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4A1F14"/>
    <w:multiLevelType w:val="multilevel"/>
    <w:tmpl w:val="CE4E03C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EA2D93"/>
    <w:multiLevelType w:val="multilevel"/>
    <w:tmpl w:val="561CC61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8A519C"/>
    <w:multiLevelType w:val="multilevel"/>
    <w:tmpl w:val="4512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9F3D00"/>
    <w:multiLevelType w:val="multilevel"/>
    <w:tmpl w:val="CD20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3E7000"/>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533469"/>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314EA9"/>
    <w:multiLevelType w:val="multilevel"/>
    <w:tmpl w:val="F278713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2A4318"/>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1D7982"/>
    <w:multiLevelType w:val="multilevel"/>
    <w:tmpl w:val="9CAE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5F307B"/>
    <w:multiLevelType w:val="multilevel"/>
    <w:tmpl w:val="109A44A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C3123B"/>
    <w:multiLevelType w:val="multilevel"/>
    <w:tmpl w:val="2B18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4F49FD"/>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116E1"/>
    <w:multiLevelType w:val="multilevel"/>
    <w:tmpl w:val="F416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1501EF"/>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6E4A8A"/>
    <w:multiLevelType w:val="multilevel"/>
    <w:tmpl w:val="8FEA8F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DD7041C"/>
    <w:multiLevelType w:val="hybridMultilevel"/>
    <w:tmpl w:val="85BE4202"/>
    <w:lvl w:ilvl="0" w:tplc="D562D0F4">
      <w:start w:val="1"/>
      <w:numFmt w:val="lowerLetter"/>
      <w:lvlText w:val="(%1)"/>
      <w:lvlJc w:val="left"/>
      <w:pPr>
        <w:ind w:left="927" w:hanging="360"/>
      </w:pPr>
    </w:lvl>
    <w:lvl w:ilvl="1" w:tplc="C7940422">
      <w:start w:val="1"/>
      <w:numFmt w:val="lowerLetter"/>
      <w:lvlText w:val="%2."/>
      <w:lvlJc w:val="left"/>
      <w:pPr>
        <w:ind w:left="1647" w:hanging="360"/>
      </w:pPr>
    </w:lvl>
    <w:lvl w:ilvl="2" w:tplc="C3F0561C">
      <w:start w:val="1"/>
      <w:numFmt w:val="lowerRoman"/>
      <w:lvlText w:val="%3."/>
      <w:lvlJc w:val="right"/>
      <w:pPr>
        <w:ind w:left="2367" w:hanging="180"/>
      </w:pPr>
    </w:lvl>
    <w:lvl w:ilvl="3" w:tplc="C96A825A">
      <w:start w:val="1"/>
      <w:numFmt w:val="decimal"/>
      <w:lvlText w:val="%4."/>
      <w:lvlJc w:val="left"/>
      <w:pPr>
        <w:ind w:left="3087" w:hanging="360"/>
      </w:pPr>
    </w:lvl>
    <w:lvl w:ilvl="4" w:tplc="2BACF106">
      <w:start w:val="1"/>
      <w:numFmt w:val="lowerLetter"/>
      <w:lvlText w:val="%5."/>
      <w:lvlJc w:val="left"/>
      <w:pPr>
        <w:ind w:left="3807" w:hanging="360"/>
      </w:pPr>
    </w:lvl>
    <w:lvl w:ilvl="5" w:tplc="265E4F1E">
      <w:start w:val="1"/>
      <w:numFmt w:val="lowerRoman"/>
      <w:lvlText w:val="%6."/>
      <w:lvlJc w:val="right"/>
      <w:pPr>
        <w:ind w:left="4527" w:hanging="180"/>
      </w:pPr>
    </w:lvl>
    <w:lvl w:ilvl="6" w:tplc="B5B2F4AC">
      <w:start w:val="1"/>
      <w:numFmt w:val="decimal"/>
      <w:lvlText w:val="%7."/>
      <w:lvlJc w:val="left"/>
      <w:pPr>
        <w:ind w:left="5247" w:hanging="360"/>
      </w:pPr>
    </w:lvl>
    <w:lvl w:ilvl="7" w:tplc="0B8EA6CE">
      <w:start w:val="1"/>
      <w:numFmt w:val="lowerLetter"/>
      <w:lvlText w:val="%8."/>
      <w:lvlJc w:val="left"/>
      <w:pPr>
        <w:ind w:left="5967" w:hanging="360"/>
      </w:pPr>
    </w:lvl>
    <w:lvl w:ilvl="8" w:tplc="9998E24A">
      <w:start w:val="1"/>
      <w:numFmt w:val="lowerRoman"/>
      <w:lvlText w:val="%9."/>
      <w:lvlJc w:val="right"/>
      <w:pPr>
        <w:ind w:left="6687" w:hanging="180"/>
      </w:p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D60C87"/>
    <w:multiLevelType w:val="multilevel"/>
    <w:tmpl w:val="6F825B6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896178"/>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DD51FB"/>
    <w:multiLevelType w:val="multilevel"/>
    <w:tmpl w:val="ACF8177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B022ED"/>
    <w:multiLevelType w:val="multilevel"/>
    <w:tmpl w:val="4E0CAB4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5436C7"/>
    <w:multiLevelType w:val="multilevel"/>
    <w:tmpl w:val="5DE0C28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6715C3"/>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5E122810"/>
    <w:multiLevelType w:val="multilevel"/>
    <w:tmpl w:val="45AC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4E63A5"/>
    <w:multiLevelType w:val="multilevel"/>
    <w:tmpl w:val="DFAA12D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EB6789"/>
    <w:multiLevelType w:val="multilevel"/>
    <w:tmpl w:val="958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83453F"/>
    <w:multiLevelType w:val="multilevel"/>
    <w:tmpl w:val="ACF8177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A6B35BF"/>
    <w:multiLevelType w:val="multilevel"/>
    <w:tmpl w:val="33B2A9A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FA1C65"/>
    <w:multiLevelType w:val="multilevel"/>
    <w:tmpl w:val="0434A42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3985739">
    <w:abstractNumId w:val="21"/>
  </w:num>
  <w:num w:numId="2" w16cid:durableId="830828777">
    <w:abstractNumId w:val="22"/>
  </w:num>
  <w:num w:numId="3" w16cid:durableId="1858829">
    <w:abstractNumId w:val="17"/>
  </w:num>
  <w:num w:numId="4" w16cid:durableId="1333221471">
    <w:abstractNumId w:val="34"/>
  </w:num>
  <w:num w:numId="5" w16cid:durableId="1072390599">
    <w:abstractNumId w:val="36"/>
  </w:num>
  <w:num w:numId="6" w16cid:durableId="960385107">
    <w:abstractNumId w:val="20"/>
  </w:num>
  <w:num w:numId="7" w16cid:durableId="893932166">
    <w:abstractNumId w:val="33"/>
  </w:num>
  <w:num w:numId="8" w16cid:durableId="323945383">
    <w:abstractNumId w:val="29"/>
  </w:num>
  <w:num w:numId="9" w16cid:durableId="1318264103">
    <w:abstractNumId w:val="30"/>
  </w:num>
  <w:num w:numId="10" w16cid:durableId="723023974">
    <w:abstractNumId w:val="3"/>
  </w:num>
  <w:num w:numId="11" w16cid:durableId="1279752305">
    <w:abstractNumId w:val="14"/>
  </w:num>
  <w:num w:numId="12" w16cid:durableId="768737553">
    <w:abstractNumId w:val="32"/>
  </w:num>
  <w:num w:numId="13" w16cid:durableId="1547832458">
    <w:abstractNumId w:val="7"/>
  </w:num>
  <w:num w:numId="14" w16cid:durableId="1377850853">
    <w:abstractNumId w:val="12"/>
  </w:num>
  <w:num w:numId="15" w16cid:durableId="1304627828">
    <w:abstractNumId w:val="0"/>
  </w:num>
  <w:num w:numId="16" w16cid:durableId="1177160814">
    <w:abstractNumId w:val="16"/>
  </w:num>
  <w:num w:numId="17" w16cid:durableId="964653830">
    <w:abstractNumId w:val="6"/>
  </w:num>
  <w:num w:numId="18" w16cid:durableId="347559551">
    <w:abstractNumId w:val="23"/>
  </w:num>
  <w:num w:numId="19" w16cid:durableId="1147281334">
    <w:abstractNumId w:val="27"/>
  </w:num>
  <w:num w:numId="20" w16cid:durableId="902448211">
    <w:abstractNumId w:val="19"/>
  </w:num>
  <w:num w:numId="21" w16cid:durableId="1012339864">
    <w:abstractNumId w:val="4"/>
  </w:num>
  <w:num w:numId="22" w16cid:durableId="1267272033">
    <w:abstractNumId w:val="13"/>
  </w:num>
  <w:num w:numId="23" w16cid:durableId="1072968927">
    <w:abstractNumId w:val="5"/>
  </w:num>
  <w:num w:numId="24" w16cid:durableId="819420783">
    <w:abstractNumId w:val="38"/>
  </w:num>
  <w:num w:numId="25" w16cid:durableId="13506192">
    <w:abstractNumId w:val="10"/>
  </w:num>
  <w:num w:numId="26" w16cid:durableId="984747958">
    <w:abstractNumId w:val="26"/>
  </w:num>
  <w:num w:numId="27" w16cid:durableId="865631605">
    <w:abstractNumId w:val="31"/>
  </w:num>
  <w:num w:numId="28" w16cid:durableId="182595086">
    <w:abstractNumId w:val="18"/>
  </w:num>
  <w:num w:numId="29" w16cid:durableId="1551452963">
    <w:abstractNumId w:val="37"/>
  </w:num>
  <w:num w:numId="30" w16cid:durableId="2053531393">
    <w:abstractNumId w:val="11"/>
  </w:num>
  <w:num w:numId="31" w16cid:durableId="629436019">
    <w:abstractNumId w:val="15"/>
  </w:num>
  <w:num w:numId="32" w16cid:durableId="397824792">
    <w:abstractNumId w:val="28"/>
  </w:num>
  <w:num w:numId="33" w16cid:durableId="174074477">
    <w:abstractNumId w:val="2"/>
  </w:num>
  <w:num w:numId="34" w16cid:durableId="81920689">
    <w:abstractNumId w:val="24"/>
  </w:num>
  <w:num w:numId="35" w16cid:durableId="686298985">
    <w:abstractNumId w:val="1"/>
  </w:num>
  <w:num w:numId="36" w16cid:durableId="1670937414">
    <w:abstractNumId w:val="25"/>
  </w:num>
  <w:num w:numId="37" w16cid:durableId="936862715">
    <w:abstractNumId w:val="35"/>
  </w:num>
  <w:num w:numId="38" w16cid:durableId="1199317941">
    <w:abstractNumId w:val="9"/>
  </w:num>
  <w:num w:numId="39" w16cid:durableId="2085178711">
    <w:abstractNumId w:val="8"/>
  </w:num>
  <w:num w:numId="40" w16cid:durableId="19817683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92487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6781254">
    <w:abstractNumId w:val="29"/>
  </w:num>
  <w:num w:numId="43" w16cid:durableId="550580665">
    <w:abstractNumId w:val="22"/>
  </w:num>
  <w:num w:numId="44" w16cid:durableId="1469929726">
    <w:abstractNumId w:val="22"/>
  </w:num>
  <w:num w:numId="45" w16cid:durableId="776019789">
    <w:abstractNumId w:val="22"/>
  </w:num>
  <w:num w:numId="46" w16cid:durableId="621883597">
    <w:abstractNumId w:val="22"/>
  </w:num>
  <w:num w:numId="47" w16cid:durableId="1438335158">
    <w:abstractNumId w:val="22"/>
  </w:num>
  <w:num w:numId="48" w16cid:durableId="1652173042">
    <w:abstractNumId w:val="22"/>
  </w:num>
  <w:num w:numId="49" w16cid:durableId="894045348">
    <w:abstractNumId w:val="22"/>
  </w:num>
  <w:num w:numId="50" w16cid:durableId="1857307761">
    <w:abstractNumId w:val="22"/>
  </w:num>
  <w:num w:numId="51" w16cid:durableId="384184836">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4BC"/>
    <w:rsid w:val="00012C71"/>
    <w:rsid w:val="000148D1"/>
    <w:rsid w:val="000238E2"/>
    <w:rsid w:val="000248CB"/>
    <w:rsid w:val="0002530A"/>
    <w:rsid w:val="00026A77"/>
    <w:rsid w:val="00027508"/>
    <w:rsid w:val="00030227"/>
    <w:rsid w:val="00034006"/>
    <w:rsid w:val="00035A70"/>
    <w:rsid w:val="00042AD8"/>
    <w:rsid w:val="000504A0"/>
    <w:rsid w:val="000554B0"/>
    <w:rsid w:val="00063801"/>
    <w:rsid w:val="0006725E"/>
    <w:rsid w:val="0007171B"/>
    <w:rsid w:val="00074C36"/>
    <w:rsid w:val="00077FCF"/>
    <w:rsid w:val="00081548"/>
    <w:rsid w:val="00082418"/>
    <w:rsid w:val="0008650F"/>
    <w:rsid w:val="000872D3"/>
    <w:rsid w:val="000A0DFF"/>
    <w:rsid w:val="000A293F"/>
    <w:rsid w:val="000A4A16"/>
    <w:rsid w:val="000C4971"/>
    <w:rsid w:val="000D0F68"/>
    <w:rsid w:val="000D25F3"/>
    <w:rsid w:val="000D26E6"/>
    <w:rsid w:val="000D2A86"/>
    <w:rsid w:val="000E0733"/>
    <w:rsid w:val="000E16CA"/>
    <w:rsid w:val="000E364C"/>
    <w:rsid w:val="000E673A"/>
    <w:rsid w:val="000E7B33"/>
    <w:rsid w:val="000E7C6F"/>
    <w:rsid w:val="000E7EE5"/>
    <w:rsid w:val="000F554D"/>
    <w:rsid w:val="000F6945"/>
    <w:rsid w:val="000F73BF"/>
    <w:rsid w:val="000F74F5"/>
    <w:rsid w:val="000F78FC"/>
    <w:rsid w:val="001011AD"/>
    <w:rsid w:val="00105372"/>
    <w:rsid w:val="001054A6"/>
    <w:rsid w:val="00106238"/>
    <w:rsid w:val="001078A1"/>
    <w:rsid w:val="001110B8"/>
    <w:rsid w:val="001111C4"/>
    <w:rsid w:val="0011339B"/>
    <w:rsid w:val="00117484"/>
    <w:rsid w:val="00120B4B"/>
    <w:rsid w:val="0012110F"/>
    <w:rsid w:val="001312AD"/>
    <w:rsid w:val="00131E7A"/>
    <w:rsid w:val="00132E77"/>
    <w:rsid w:val="0013424B"/>
    <w:rsid w:val="00134846"/>
    <w:rsid w:val="00140CBD"/>
    <w:rsid w:val="001445CE"/>
    <w:rsid w:val="00162F9B"/>
    <w:rsid w:val="00163EA8"/>
    <w:rsid w:val="00164E45"/>
    <w:rsid w:val="0016508B"/>
    <w:rsid w:val="001724A7"/>
    <w:rsid w:val="00172AF6"/>
    <w:rsid w:val="00176CEE"/>
    <w:rsid w:val="00177FD3"/>
    <w:rsid w:val="001812C8"/>
    <w:rsid w:val="0018608D"/>
    <w:rsid w:val="00186DD8"/>
    <w:rsid w:val="00193A11"/>
    <w:rsid w:val="00194B41"/>
    <w:rsid w:val="001A0A83"/>
    <w:rsid w:val="001A35EC"/>
    <w:rsid w:val="001A4B18"/>
    <w:rsid w:val="001A5B2D"/>
    <w:rsid w:val="001B13FE"/>
    <w:rsid w:val="001B3B54"/>
    <w:rsid w:val="001D17C4"/>
    <w:rsid w:val="001D23F7"/>
    <w:rsid w:val="001E4682"/>
    <w:rsid w:val="001E6C08"/>
    <w:rsid w:val="001F32C8"/>
    <w:rsid w:val="00206E55"/>
    <w:rsid w:val="002210A5"/>
    <w:rsid w:val="0022421C"/>
    <w:rsid w:val="00225585"/>
    <w:rsid w:val="00231A0B"/>
    <w:rsid w:val="00233CD3"/>
    <w:rsid w:val="002370F5"/>
    <w:rsid w:val="002406A1"/>
    <w:rsid w:val="00242906"/>
    <w:rsid w:val="00242C9A"/>
    <w:rsid w:val="0025215D"/>
    <w:rsid w:val="00252CCC"/>
    <w:rsid w:val="002536A4"/>
    <w:rsid w:val="00257EBB"/>
    <w:rsid w:val="0026098E"/>
    <w:rsid w:val="0026635C"/>
    <w:rsid w:val="00272076"/>
    <w:rsid w:val="002723C7"/>
    <w:rsid w:val="00275673"/>
    <w:rsid w:val="002769D1"/>
    <w:rsid w:val="0028398D"/>
    <w:rsid w:val="00285231"/>
    <w:rsid w:val="00291436"/>
    <w:rsid w:val="0029796C"/>
    <w:rsid w:val="002A428B"/>
    <w:rsid w:val="002B13E1"/>
    <w:rsid w:val="002B4624"/>
    <w:rsid w:val="002C14FF"/>
    <w:rsid w:val="002C2291"/>
    <w:rsid w:val="002C2D24"/>
    <w:rsid w:val="002D1FE4"/>
    <w:rsid w:val="002D6AC6"/>
    <w:rsid w:val="002D7C75"/>
    <w:rsid w:val="002E3F07"/>
    <w:rsid w:val="002E7A67"/>
    <w:rsid w:val="002F0572"/>
    <w:rsid w:val="002F5D98"/>
    <w:rsid w:val="003008FE"/>
    <w:rsid w:val="0030169D"/>
    <w:rsid w:val="003060EB"/>
    <w:rsid w:val="003106EF"/>
    <w:rsid w:val="003111CD"/>
    <w:rsid w:val="003153EB"/>
    <w:rsid w:val="00316C63"/>
    <w:rsid w:val="00320064"/>
    <w:rsid w:val="00321985"/>
    <w:rsid w:val="00321BE9"/>
    <w:rsid w:val="003231F5"/>
    <w:rsid w:val="00323C88"/>
    <w:rsid w:val="00326ED1"/>
    <w:rsid w:val="003337F1"/>
    <w:rsid w:val="00344C27"/>
    <w:rsid w:val="00351205"/>
    <w:rsid w:val="00360D50"/>
    <w:rsid w:val="00363BB4"/>
    <w:rsid w:val="0036679A"/>
    <w:rsid w:val="0037217A"/>
    <w:rsid w:val="00372F74"/>
    <w:rsid w:val="00377010"/>
    <w:rsid w:val="00381266"/>
    <w:rsid w:val="003817B6"/>
    <w:rsid w:val="003860F3"/>
    <w:rsid w:val="00387CD3"/>
    <w:rsid w:val="0039130C"/>
    <w:rsid w:val="00393083"/>
    <w:rsid w:val="00396750"/>
    <w:rsid w:val="003A0711"/>
    <w:rsid w:val="003A2D06"/>
    <w:rsid w:val="003A68A6"/>
    <w:rsid w:val="003B0678"/>
    <w:rsid w:val="003C3C3F"/>
    <w:rsid w:val="003E265B"/>
    <w:rsid w:val="003E40C9"/>
    <w:rsid w:val="003E49E8"/>
    <w:rsid w:val="003F4652"/>
    <w:rsid w:val="003F5C8D"/>
    <w:rsid w:val="003F6EC1"/>
    <w:rsid w:val="003F7224"/>
    <w:rsid w:val="00406E92"/>
    <w:rsid w:val="00410176"/>
    <w:rsid w:val="00417720"/>
    <w:rsid w:val="00427C19"/>
    <w:rsid w:val="00427D21"/>
    <w:rsid w:val="00440131"/>
    <w:rsid w:val="00443281"/>
    <w:rsid w:val="00446ADE"/>
    <w:rsid w:val="00447F4A"/>
    <w:rsid w:val="00451C2F"/>
    <w:rsid w:val="0045383B"/>
    <w:rsid w:val="00453CD1"/>
    <w:rsid w:val="00454242"/>
    <w:rsid w:val="00455AF2"/>
    <w:rsid w:val="00456F67"/>
    <w:rsid w:val="004570F4"/>
    <w:rsid w:val="004626E0"/>
    <w:rsid w:val="004644C2"/>
    <w:rsid w:val="004665BE"/>
    <w:rsid w:val="00467F9C"/>
    <w:rsid w:val="00470EE1"/>
    <w:rsid w:val="00471C2D"/>
    <w:rsid w:val="004727A1"/>
    <w:rsid w:val="00484032"/>
    <w:rsid w:val="004857DA"/>
    <w:rsid w:val="00485B03"/>
    <w:rsid w:val="00493A0A"/>
    <w:rsid w:val="004A08FA"/>
    <w:rsid w:val="004A33CA"/>
    <w:rsid w:val="004A5BD3"/>
    <w:rsid w:val="004B34E8"/>
    <w:rsid w:val="004B7582"/>
    <w:rsid w:val="004C7335"/>
    <w:rsid w:val="004D02D3"/>
    <w:rsid w:val="004D1480"/>
    <w:rsid w:val="004D22ED"/>
    <w:rsid w:val="004D79C0"/>
    <w:rsid w:val="004F69F3"/>
    <w:rsid w:val="004F7C74"/>
    <w:rsid w:val="00504787"/>
    <w:rsid w:val="0051006C"/>
    <w:rsid w:val="0051228C"/>
    <w:rsid w:val="00515899"/>
    <w:rsid w:val="00515C39"/>
    <w:rsid w:val="00522770"/>
    <w:rsid w:val="00524D8C"/>
    <w:rsid w:val="00524EFE"/>
    <w:rsid w:val="0052679A"/>
    <w:rsid w:val="00532C40"/>
    <w:rsid w:val="005343B1"/>
    <w:rsid w:val="00534681"/>
    <w:rsid w:val="00535FD1"/>
    <w:rsid w:val="00540BDC"/>
    <w:rsid w:val="00544D19"/>
    <w:rsid w:val="00550913"/>
    <w:rsid w:val="0055141C"/>
    <w:rsid w:val="005538A6"/>
    <w:rsid w:val="00555D81"/>
    <w:rsid w:val="00556605"/>
    <w:rsid w:val="0056068E"/>
    <w:rsid w:val="00563442"/>
    <w:rsid w:val="0056348E"/>
    <w:rsid w:val="00565B42"/>
    <w:rsid w:val="00565FEA"/>
    <w:rsid w:val="00581085"/>
    <w:rsid w:val="005A0508"/>
    <w:rsid w:val="005B35E2"/>
    <w:rsid w:val="005B7002"/>
    <w:rsid w:val="005C1BBA"/>
    <w:rsid w:val="005C4CE6"/>
    <w:rsid w:val="005C6616"/>
    <w:rsid w:val="005D72DA"/>
    <w:rsid w:val="005E39F4"/>
    <w:rsid w:val="005F2009"/>
    <w:rsid w:val="005F5C1F"/>
    <w:rsid w:val="00605966"/>
    <w:rsid w:val="00607FEB"/>
    <w:rsid w:val="0061132D"/>
    <w:rsid w:val="006122BA"/>
    <w:rsid w:val="00612A4E"/>
    <w:rsid w:val="00613E0F"/>
    <w:rsid w:val="00620D85"/>
    <w:rsid w:val="006254E7"/>
    <w:rsid w:val="00634243"/>
    <w:rsid w:val="0063639E"/>
    <w:rsid w:val="006478BF"/>
    <w:rsid w:val="00650279"/>
    <w:rsid w:val="00650AB2"/>
    <w:rsid w:val="00660B19"/>
    <w:rsid w:val="00665647"/>
    <w:rsid w:val="00667825"/>
    <w:rsid w:val="0067657C"/>
    <w:rsid w:val="00680AB0"/>
    <w:rsid w:val="0068746E"/>
    <w:rsid w:val="006938A2"/>
    <w:rsid w:val="006A0E32"/>
    <w:rsid w:val="006A300E"/>
    <w:rsid w:val="006A73C1"/>
    <w:rsid w:val="006B13EE"/>
    <w:rsid w:val="006B2290"/>
    <w:rsid w:val="006B3801"/>
    <w:rsid w:val="006C4058"/>
    <w:rsid w:val="006C4A75"/>
    <w:rsid w:val="006D25E0"/>
    <w:rsid w:val="006D438F"/>
    <w:rsid w:val="006D5F90"/>
    <w:rsid w:val="006E0AB1"/>
    <w:rsid w:val="006F2B9D"/>
    <w:rsid w:val="006F4F60"/>
    <w:rsid w:val="007011ED"/>
    <w:rsid w:val="00702D70"/>
    <w:rsid w:val="00714499"/>
    <w:rsid w:val="00714D52"/>
    <w:rsid w:val="00717D88"/>
    <w:rsid w:val="0072239A"/>
    <w:rsid w:val="00723CEA"/>
    <w:rsid w:val="00726A43"/>
    <w:rsid w:val="00727EF4"/>
    <w:rsid w:val="00735CDD"/>
    <w:rsid w:val="00744555"/>
    <w:rsid w:val="00745BE7"/>
    <w:rsid w:val="00752555"/>
    <w:rsid w:val="007556B1"/>
    <w:rsid w:val="00770727"/>
    <w:rsid w:val="00772C64"/>
    <w:rsid w:val="007738C8"/>
    <w:rsid w:val="007745B3"/>
    <w:rsid w:val="00776BBC"/>
    <w:rsid w:val="00781EC6"/>
    <w:rsid w:val="00783CE5"/>
    <w:rsid w:val="00786056"/>
    <w:rsid w:val="00786C19"/>
    <w:rsid w:val="00787265"/>
    <w:rsid w:val="00793F25"/>
    <w:rsid w:val="007942D3"/>
    <w:rsid w:val="007A013F"/>
    <w:rsid w:val="007A1A37"/>
    <w:rsid w:val="007A59C7"/>
    <w:rsid w:val="007A6942"/>
    <w:rsid w:val="007A7039"/>
    <w:rsid w:val="007A7675"/>
    <w:rsid w:val="007A7ABD"/>
    <w:rsid w:val="007B080E"/>
    <w:rsid w:val="007B2099"/>
    <w:rsid w:val="007B6C09"/>
    <w:rsid w:val="007B6EB4"/>
    <w:rsid w:val="007B7709"/>
    <w:rsid w:val="007B7741"/>
    <w:rsid w:val="007C244A"/>
    <w:rsid w:val="007C41D0"/>
    <w:rsid w:val="007C4951"/>
    <w:rsid w:val="007C4E70"/>
    <w:rsid w:val="007C7FF3"/>
    <w:rsid w:val="007D021B"/>
    <w:rsid w:val="007D2D67"/>
    <w:rsid w:val="007D7556"/>
    <w:rsid w:val="007E09DA"/>
    <w:rsid w:val="007E0F8A"/>
    <w:rsid w:val="007E23E9"/>
    <w:rsid w:val="007E7223"/>
    <w:rsid w:val="007E7E7D"/>
    <w:rsid w:val="007F675E"/>
    <w:rsid w:val="007F718D"/>
    <w:rsid w:val="00801FAD"/>
    <w:rsid w:val="00811167"/>
    <w:rsid w:val="00813B08"/>
    <w:rsid w:val="00814011"/>
    <w:rsid w:val="008178B6"/>
    <w:rsid w:val="00822565"/>
    <w:rsid w:val="00825540"/>
    <w:rsid w:val="0083021E"/>
    <w:rsid w:val="00832368"/>
    <w:rsid w:val="00834769"/>
    <w:rsid w:val="00846ACF"/>
    <w:rsid w:val="0084744E"/>
    <w:rsid w:val="00851D43"/>
    <w:rsid w:val="00852DEE"/>
    <w:rsid w:val="008611BD"/>
    <w:rsid w:val="0086378E"/>
    <w:rsid w:val="00865B74"/>
    <w:rsid w:val="00866063"/>
    <w:rsid w:val="008743B7"/>
    <w:rsid w:val="00877545"/>
    <w:rsid w:val="008875C7"/>
    <w:rsid w:val="00887EB0"/>
    <w:rsid w:val="00893F81"/>
    <w:rsid w:val="008974F0"/>
    <w:rsid w:val="008A1499"/>
    <w:rsid w:val="008A3979"/>
    <w:rsid w:val="008B012A"/>
    <w:rsid w:val="008B0B04"/>
    <w:rsid w:val="008B31E7"/>
    <w:rsid w:val="008B516A"/>
    <w:rsid w:val="008C22E8"/>
    <w:rsid w:val="008C5F97"/>
    <w:rsid w:val="008C68B1"/>
    <w:rsid w:val="008C76B3"/>
    <w:rsid w:val="008E268C"/>
    <w:rsid w:val="008E36E7"/>
    <w:rsid w:val="008E738F"/>
    <w:rsid w:val="008F029E"/>
    <w:rsid w:val="008F23D4"/>
    <w:rsid w:val="009011A8"/>
    <w:rsid w:val="009016D9"/>
    <w:rsid w:val="0090257B"/>
    <w:rsid w:val="009037F0"/>
    <w:rsid w:val="00903EB8"/>
    <w:rsid w:val="00906E17"/>
    <w:rsid w:val="0090704E"/>
    <w:rsid w:val="00921F04"/>
    <w:rsid w:val="00930BA1"/>
    <w:rsid w:val="0093169E"/>
    <w:rsid w:val="009378E8"/>
    <w:rsid w:val="00942BFF"/>
    <w:rsid w:val="0094623C"/>
    <w:rsid w:val="009505C9"/>
    <w:rsid w:val="00950752"/>
    <w:rsid w:val="00960562"/>
    <w:rsid w:val="00962801"/>
    <w:rsid w:val="00963E2A"/>
    <w:rsid w:val="00966424"/>
    <w:rsid w:val="00966648"/>
    <w:rsid w:val="00981655"/>
    <w:rsid w:val="009956BD"/>
    <w:rsid w:val="0099625B"/>
    <w:rsid w:val="009B154D"/>
    <w:rsid w:val="009B5CD2"/>
    <w:rsid w:val="009C2DE6"/>
    <w:rsid w:val="009C3FC8"/>
    <w:rsid w:val="009C5078"/>
    <w:rsid w:val="009C7B8F"/>
    <w:rsid w:val="009D390F"/>
    <w:rsid w:val="009D4106"/>
    <w:rsid w:val="009D6087"/>
    <w:rsid w:val="009D6682"/>
    <w:rsid w:val="009E6817"/>
    <w:rsid w:val="009E7E8E"/>
    <w:rsid w:val="009F0207"/>
    <w:rsid w:val="009F16B3"/>
    <w:rsid w:val="009F1721"/>
    <w:rsid w:val="00A0224C"/>
    <w:rsid w:val="00A111D1"/>
    <w:rsid w:val="00A147B1"/>
    <w:rsid w:val="00A14C7E"/>
    <w:rsid w:val="00A246FF"/>
    <w:rsid w:val="00A35EC9"/>
    <w:rsid w:val="00A525CF"/>
    <w:rsid w:val="00A547D4"/>
    <w:rsid w:val="00A556AC"/>
    <w:rsid w:val="00A57E5A"/>
    <w:rsid w:val="00A61C30"/>
    <w:rsid w:val="00A74A28"/>
    <w:rsid w:val="00A76EF1"/>
    <w:rsid w:val="00A803CA"/>
    <w:rsid w:val="00A826A3"/>
    <w:rsid w:val="00A83651"/>
    <w:rsid w:val="00A83CD2"/>
    <w:rsid w:val="00A92AA5"/>
    <w:rsid w:val="00A95DD5"/>
    <w:rsid w:val="00AA6129"/>
    <w:rsid w:val="00AA6F92"/>
    <w:rsid w:val="00AB6934"/>
    <w:rsid w:val="00AC0DC6"/>
    <w:rsid w:val="00AC7266"/>
    <w:rsid w:val="00AD6C66"/>
    <w:rsid w:val="00AE376F"/>
    <w:rsid w:val="00AE3C9C"/>
    <w:rsid w:val="00AF3649"/>
    <w:rsid w:val="00AF42DE"/>
    <w:rsid w:val="00AF46BE"/>
    <w:rsid w:val="00AF7C22"/>
    <w:rsid w:val="00B01C9B"/>
    <w:rsid w:val="00B114C8"/>
    <w:rsid w:val="00B16A3C"/>
    <w:rsid w:val="00B23D6F"/>
    <w:rsid w:val="00B30F3F"/>
    <w:rsid w:val="00B311B1"/>
    <w:rsid w:val="00B3369F"/>
    <w:rsid w:val="00B40750"/>
    <w:rsid w:val="00B41677"/>
    <w:rsid w:val="00B42194"/>
    <w:rsid w:val="00B423DC"/>
    <w:rsid w:val="00B452A8"/>
    <w:rsid w:val="00B47D38"/>
    <w:rsid w:val="00B51FD2"/>
    <w:rsid w:val="00B52895"/>
    <w:rsid w:val="00B560F6"/>
    <w:rsid w:val="00B61B85"/>
    <w:rsid w:val="00B679BD"/>
    <w:rsid w:val="00B67DFE"/>
    <w:rsid w:val="00B80BF5"/>
    <w:rsid w:val="00B82367"/>
    <w:rsid w:val="00B82A45"/>
    <w:rsid w:val="00B94E6C"/>
    <w:rsid w:val="00BA33A8"/>
    <w:rsid w:val="00BA4678"/>
    <w:rsid w:val="00BA559A"/>
    <w:rsid w:val="00BB0FC8"/>
    <w:rsid w:val="00BB4606"/>
    <w:rsid w:val="00BB6855"/>
    <w:rsid w:val="00BB7F95"/>
    <w:rsid w:val="00BC09E3"/>
    <w:rsid w:val="00BC0ED8"/>
    <w:rsid w:val="00BC4036"/>
    <w:rsid w:val="00BC7A87"/>
    <w:rsid w:val="00BD43F2"/>
    <w:rsid w:val="00BD44BC"/>
    <w:rsid w:val="00BD4BA6"/>
    <w:rsid w:val="00BD6DBA"/>
    <w:rsid w:val="00BF61A7"/>
    <w:rsid w:val="00BF7B16"/>
    <w:rsid w:val="00C06FAB"/>
    <w:rsid w:val="00C16663"/>
    <w:rsid w:val="00C16917"/>
    <w:rsid w:val="00C17A23"/>
    <w:rsid w:val="00C23D2F"/>
    <w:rsid w:val="00C250C0"/>
    <w:rsid w:val="00C3153C"/>
    <w:rsid w:val="00C33F27"/>
    <w:rsid w:val="00C41AD8"/>
    <w:rsid w:val="00C41CAB"/>
    <w:rsid w:val="00C425DF"/>
    <w:rsid w:val="00C43244"/>
    <w:rsid w:val="00C4348A"/>
    <w:rsid w:val="00C443BD"/>
    <w:rsid w:val="00C448E7"/>
    <w:rsid w:val="00C451C5"/>
    <w:rsid w:val="00C50D72"/>
    <w:rsid w:val="00C5613B"/>
    <w:rsid w:val="00C6032B"/>
    <w:rsid w:val="00C71696"/>
    <w:rsid w:val="00C7468A"/>
    <w:rsid w:val="00C75AA0"/>
    <w:rsid w:val="00C8093B"/>
    <w:rsid w:val="00C900D8"/>
    <w:rsid w:val="00C9161D"/>
    <w:rsid w:val="00C964C4"/>
    <w:rsid w:val="00CA0C1D"/>
    <w:rsid w:val="00CA7C53"/>
    <w:rsid w:val="00CB0209"/>
    <w:rsid w:val="00CB112A"/>
    <w:rsid w:val="00CC10F0"/>
    <w:rsid w:val="00CC315E"/>
    <w:rsid w:val="00CC3224"/>
    <w:rsid w:val="00CC5A73"/>
    <w:rsid w:val="00CC7FBB"/>
    <w:rsid w:val="00CD139E"/>
    <w:rsid w:val="00CD783D"/>
    <w:rsid w:val="00CE1E8D"/>
    <w:rsid w:val="00CE224F"/>
    <w:rsid w:val="00CE2551"/>
    <w:rsid w:val="00CF1848"/>
    <w:rsid w:val="00CF4018"/>
    <w:rsid w:val="00CF4362"/>
    <w:rsid w:val="00D0372E"/>
    <w:rsid w:val="00D07A34"/>
    <w:rsid w:val="00D12044"/>
    <w:rsid w:val="00D13FCC"/>
    <w:rsid w:val="00D152BB"/>
    <w:rsid w:val="00D170D9"/>
    <w:rsid w:val="00D200E4"/>
    <w:rsid w:val="00D23EC8"/>
    <w:rsid w:val="00D27126"/>
    <w:rsid w:val="00D3035D"/>
    <w:rsid w:val="00D320AF"/>
    <w:rsid w:val="00D33EFC"/>
    <w:rsid w:val="00D359F0"/>
    <w:rsid w:val="00D40DBC"/>
    <w:rsid w:val="00D42758"/>
    <w:rsid w:val="00D51B53"/>
    <w:rsid w:val="00D569E6"/>
    <w:rsid w:val="00D61C85"/>
    <w:rsid w:val="00D66E14"/>
    <w:rsid w:val="00D744A5"/>
    <w:rsid w:val="00D75CA6"/>
    <w:rsid w:val="00D76A18"/>
    <w:rsid w:val="00D77135"/>
    <w:rsid w:val="00D80849"/>
    <w:rsid w:val="00D8139F"/>
    <w:rsid w:val="00D82E8F"/>
    <w:rsid w:val="00D8501A"/>
    <w:rsid w:val="00D85667"/>
    <w:rsid w:val="00D925D9"/>
    <w:rsid w:val="00D931C0"/>
    <w:rsid w:val="00D94C7C"/>
    <w:rsid w:val="00D96E88"/>
    <w:rsid w:val="00DA0F60"/>
    <w:rsid w:val="00DA5E26"/>
    <w:rsid w:val="00DB32D3"/>
    <w:rsid w:val="00DB54C3"/>
    <w:rsid w:val="00DB5D9E"/>
    <w:rsid w:val="00DB5E0F"/>
    <w:rsid w:val="00DC5A11"/>
    <w:rsid w:val="00DC6FC3"/>
    <w:rsid w:val="00DC760C"/>
    <w:rsid w:val="00DD118C"/>
    <w:rsid w:val="00DD1E60"/>
    <w:rsid w:val="00DE3A2A"/>
    <w:rsid w:val="00DE41EE"/>
    <w:rsid w:val="00DE4759"/>
    <w:rsid w:val="00DE765C"/>
    <w:rsid w:val="00DF0E6F"/>
    <w:rsid w:val="00DF14DB"/>
    <w:rsid w:val="00E03C00"/>
    <w:rsid w:val="00E11EF3"/>
    <w:rsid w:val="00E13C2A"/>
    <w:rsid w:val="00E14A23"/>
    <w:rsid w:val="00E21A5D"/>
    <w:rsid w:val="00E235FD"/>
    <w:rsid w:val="00E348D0"/>
    <w:rsid w:val="00E34C9E"/>
    <w:rsid w:val="00E4076A"/>
    <w:rsid w:val="00E42A25"/>
    <w:rsid w:val="00E44339"/>
    <w:rsid w:val="00E44BAD"/>
    <w:rsid w:val="00E45D51"/>
    <w:rsid w:val="00E50315"/>
    <w:rsid w:val="00E55EF0"/>
    <w:rsid w:val="00E66235"/>
    <w:rsid w:val="00E73ADC"/>
    <w:rsid w:val="00E82F1D"/>
    <w:rsid w:val="00E839AD"/>
    <w:rsid w:val="00E83C24"/>
    <w:rsid w:val="00E83DA7"/>
    <w:rsid w:val="00E924F2"/>
    <w:rsid w:val="00E9318D"/>
    <w:rsid w:val="00E93F3E"/>
    <w:rsid w:val="00E95EF6"/>
    <w:rsid w:val="00E969B6"/>
    <w:rsid w:val="00E96A80"/>
    <w:rsid w:val="00EA1368"/>
    <w:rsid w:val="00EB1588"/>
    <w:rsid w:val="00EB3B45"/>
    <w:rsid w:val="00EB542E"/>
    <w:rsid w:val="00EC7272"/>
    <w:rsid w:val="00ED06F4"/>
    <w:rsid w:val="00ED1C67"/>
    <w:rsid w:val="00ED6CDC"/>
    <w:rsid w:val="00EE1A97"/>
    <w:rsid w:val="00EE567D"/>
    <w:rsid w:val="00EF007D"/>
    <w:rsid w:val="00EF444C"/>
    <w:rsid w:val="00EF53C4"/>
    <w:rsid w:val="00EF5B53"/>
    <w:rsid w:val="00F00DAE"/>
    <w:rsid w:val="00F02662"/>
    <w:rsid w:val="00F02A86"/>
    <w:rsid w:val="00F03760"/>
    <w:rsid w:val="00F03E61"/>
    <w:rsid w:val="00F063AF"/>
    <w:rsid w:val="00F063C2"/>
    <w:rsid w:val="00F10E3A"/>
    <w:rsid w:val="00F10EB6"/>
    <w:rsid w:val="00F11203"/>
    <w:rsid w:val="00F143A2"/>
    <w:rsid w:val="00F210E7"/>
    <w:rsid w:val="00F249A1"/>
    <w:rsid w:val="00F33764"/>
    <w:rsid w:val="00F357FB"/>
    <w:rsid w:val="00F35BB4"/>
    <w:rsid w:val="00F360E5"/>
    <w:rsid w:val="00F37657"/>
    <w:rsid w:val="00F42FAB"/>
    <w:rsid w:val="00F45B26"/>
    <w:rsid w:val="00F5246B"/>
    <w:rsid w:val="00F53193"/>
    <w:rsid w:val="00F5357E"/>
    <w:rsid w:val="00F6133A"/>
    <w:rsid w:val="00F6586C"/>
    <w:rsid w:val="00F65B5E"/>
    <w:rsid w:val="00F70CCB"/>
    <w:rsid w:val="00F9038B"/>
    <w:rsid w:val="00F94774"/>
    <w:rsid w:val="00F97B3F"/>
    <w:rsid w:val="00FA0F37"/>
    <w:rsid w:val="00FA663B"/>
    <w:rsid w:val="00FB4207"/>
    <w:rsid w:val="00FB5EF3"/>
    <w:rsid w:val="00FB6391"/>
    <w:rsid w:val="00FC0548"/>
    <w:rsid w:val="00FC3A5A"/>
    <w:rsid w:val="00FC53DB"/>
    <w:rsid w:val="00FD17FC"/>
    <w:rsid w:val="00FD29CC"/>
    <w:rsid w:val="00FD5FFD"/>
    <w:rsid w:val="015B2FA8"/>
    <w:rsid w:val="01F516B2"/>
    <w:rsid w:val="02C23D5C"/>
    <w:rsid w:val="031102E7"/>
    <w:rsid w:val="03414D10"/>
    <w:rsid w:val="054A3BF1"/>
    <w:rsid w:val="0569D571"/>
    <w:rsid w:val="057D1065"/>
    <w:rsid w:val="062622E8"/>
    <w:rsid w:val="09428AC2"/>
    <w:rsid w:val="09E08320"/>
    <w:rsid w:val="0A12E7A7"/>
    <w:rsid w:val="0A510DD1"/>
    <w:rsid w:val="0AE64EA5"/>
    <w:rsid w:val="0B334F41"/>
    <w:rsid w:val="0C1016F2"/>
    <w:rsid w:val="0C2922ED"/>
    <w:rsid w:val="0C630A6E"/>
    <w:rsid w:val="0CE2214C"/>
    <w:rsid w:val="0CE4237D"/>
    <w:rsid w:val="0DFDA32A"/>
    <w:rsid w:val="0E21F297"/>
    <w:rsid w:val="0E516E63"/>
    <w:rsid w:val="0EE251D4"/>
    <w:rsid w:val="0F813963"/>
    <w:rsid w:val="0F9D50EE"/>
    <w:rsid w:val="1043287E"/>
    <w:rsid w:val="10D21FE6"/>
    <w:rsid w:val="113E92F1"/>
    <w:rsid w:val="11A1FD9D"/>
    <w:rsid w:val="12A9799C"/>
    <w:rsid w:val="12D3017D"/>
    <w:rsid w:val="12FEDF3A"/>
    <w:rsid w:val="1389FC31"/>
    <w:rsid w:val="139053FA"/>
    <w:rsid w:val="13DA249F"/>
    <w:rsid w:val="14F757D8"/>
    <w:rsid w:val="15CE5A08"/>
    <w:rsid w:val="1682D5B9"/>
    <w:rsid w:val="1739BEF3"/>
    <w:rsid w:val="17514A8A"/>
    <w:rsid w:val="17EEDD5F"/>
    <w:rsid w:val="1889FE0B"/>
    <w:rsid w:val="189B9400"/>
    <w:rsid w:val="1A4D4525"/>
    <w:rsid w:val="1B2ADD5E"/>
    <w:rsid w:val="1B6C77CD"/>
    <w:rsid w:val="1C203FEB"/>
    <w:rsid w:val="1CC0C67E"/>
    <w:rsid w:val="1D541839"/>
    <w:rsid w:val="1D5F7610"/>
    <w:rsid w:val="1D93D67F"/>
    <w:rsid w:val="1F7CBA6D"/>
    <w:rsid w:val="1F9B268F"/>
    <w:rsid w:val="1FB535F6"/>
    <w:rsid w:val="2064DD93"/>
    <w:rsid w:val="207A3B5D"/>
    <w:rsid w:val="2080462C"/>
    <w:rsid w:val="2080ABF3"/>
    <w:rsid w:val="20B202C8"/>
    <w:rsid w:val="21DAE825"/>
    <w:rsid w:val="220ECB09"/>
    <w:rsid w:val="22F397B3"/>
    <w:rsid w:val="250580A9"/>
    <w:rsid w:val="25830CE9"/>
    <w:rsid w:val="266C1CC8"/>
    <w:rsid w:val="277ADA37"/>
    <w:rsid w:val="27F43F0C"/>
    <w:rsid w:val="28761DDB"/>
    <w:rsid w:val="294A1D63"/>
    <w:rsid w:val="29509DDC"/>
    <w:rsid w:val="29D07EF3"/>
    <w:rsid w:val="2A0C21EB"/>
    <w:rsid w:val="2A3C18D7"/>
    <w:rsid w:val="2A895581"/>
    <w:rsid w:val="2B4599C2"/>
    <w:rsid w:val="2BAFF3C0"/>
    <w:rsid w:val="2C022A15"/>
    <w:rsid w:val="2C115141"/>
    <w:rsid w:val="2D14B7B8"/>
    <w:rsid w:val="2E2864F1"/>
    <w:rsid w:val="2E36DB68"/>
    <w:rsid w:val="2EA4CF1C"/>
    <w:rsid w:val="2EB98086"/>
    <w:rsid w:val="307683CD"/>
    <w:rsid w:val="30DDA5E1"/>
    <w:rsid w:val="31B5A2D6"/>
    <w:rsid w:val="3203A947"/>
    <w:rsid w:val="3273CA76"/>
    <w:rsid w:val="3341D2BD"/>
    <w:rsid w:val="335A363C"/>
    <w:rsid w:val="3367AB37"/>
    <w:rsid w:val="338F1080"/>
    <w:rsid w:val="34AD3CB4"/>
    <w:rsid w:val="34C183CC"/>
    <w:rsid w:val="34CA3076"/>
    <w:rsid w:val="35048CBF"/>
    <w:rsid w:val="35365195"/>
    <w:rsid w:val="36091F9C"/>
    <w:rsid w:val="39D296BE"/>
    <w:rsid w:val="3A238844"/>
    <w:rsid w:val="3A2FAEB3"/>
    <w:rsid w:val="3A34D4B6"/>
    <w:rsid w:val="3A38E417"/>
    <w:rsid w:val="3AC511FE"/>
    <w:rsid w:val="3B65744D"/>
    <w:rsid w:val="3BEDAB71"/>
    <w:rsid w:val="3CD4F904"/>
    <w:rsid w:val="3CD52135"/>
    <w:rsid w:val="3D0B2980"/>
    <w:rsid w:val="3D140A42"/>
    <w:rsid w:val="3DCD0692"/>
    <w:rsid w:val="3E40A0E1"/>
    <w:rsid w:val="3EFEB623"/>
    <w:rsid w:val="403A7052"/>
    <w:rsid w:val="415B4EE3"/>
    <w:rsid w:val="41855F1B"/>
    <w:rsid w:val="41CB2D26"/>
    <w:rsid w:val="425E6CCC"/>
    <w:rsid w:val="42733BA0"/>
    <w:rsid w:val="4278B5D8"/>
    <w:rsid w:val="432C7D5F"/>
    <w:rsid w:val="43783ACE"/>
    <w:rsid w:val="449C5CD8"/>
    <w:rsid w:val="4673DD3E"/>
    <w:rsid w:val="46781BA4"/>
    <w:rsid w:val="46EA4E04"/>
    <w:rsid w:val="47C9D8B5"/>
    <w:rsid w:val="47FF465E"/>
    <w:rsid w:val="48417EE5"/>
    <w:rsid w:val="48AA825D"/>
    <w:rsid w:val="490D05A6"/>
    <w:rsid w:val="49522C86"/>
    <w:rsid w:val="4A09DE0B"/>
    <w:rsid w:val="4A22138F"/>
    <w:rsid w:val="4AA90660"/>
    <w:rsid w:val="4B32DFED"/>
    <w:rsid w:val="4B4E3794"/>
    <w:rsid w:val="4C640087"/>
    <w:rsid w:val="4D40C56C"/>
    <w:rsid w:val="4DB6E9E7"/>
    <w:rsid w:val="4DCE218A"/>
    <w:rsid w:val="4DD1DB1F"/>
    <w:rsid w:val="4DFC66F0"/>
    <w:rsid w:val="4E08F73E"/>
    <w:rsid w:val="4E2B9DF4"/>
    <w:rsid w:val="4F9D62EC"/>
    <w:rsid w:val="4FC7D5E6"/>
    <w:rsid w:val="50AAE3D9"/>
    <w:rsid w:val="50F4A216"/>
    <w:rsid w:val="5117110B"/>
    <w:rsid w:val="51A88939"/>
    <w:rsid w:val="525E8CC0"/>
    <w:rsid w:val="528192D8"/>
    <w:rsid w:val="5389517E"/>
    <w:rsid w:val="549EC945"/>
    <w:rsid w:val="5517FA05"/>
    <w:rsid w:val="555B441D"/>
    <w:rsid w:val="556CF1FA"/>
    <w:rsid w:val="5591804A"/>
    <w:rsid w:val="55B2CB42"/>
    <w:rsid w:val="55B6E4B7"/>
    <w:rsid w:val="55EACB24"/>
    <w:rsid w:val="56FD37FC"/>
    <w:rsid w:val="58251660"/>
    <w:rsid w:val="58AF0B7B"/>
    <w:rsid w:val="58B3C024"/>
    <w:rsid w:val="594914B1"/>
    <w:rsid w:val="598A480A"/>
    <w:rsid w:val="5A1D01CE"/>
    <w:rsid w:val="5B1D5782"/>
    <w:rsid w:val="5B60A43E"/>
    <w:rsid w:val="5BF7CF0E"/>
    <w:rsid w:val="5C396ACE"/>
    <w:rsid w:val="5C74F9B2"/>
    <w:rsid w:val="5D17526C"/>
    <w:rsid w:val="5D45A2E9"/>
    <w:rsid w:val="5D577CF8"/>
    <w:rsid w:val="5D813F19"/>
    <w:rsid w:val="5EB4A53A"/>
    <w:rsid w:val="5F683058"/>
    <w:rsid w:val="5FDCE974"/>
    <w:rsid w:val="60FE1123"/>
    <w:rsid w:val="61667905"/>
    <w:rsid w:val="61A4EBB9"/>
    <w:rsid w:val="61CABE20"/>
    <w:rsid w:val="61F14027"/>
    <w:rsid w:val="6214AB84"/>
    <w:rsid w:val="635196D2"/>
    <w:rsid w:val="636B9E07"/>
    <w:rsid w:val="63C96652"/>
    <w:rsid w:val="644B30EC"/>
    <w:rsid w:val="66053882"/>
    <w:rsid w:val="6668795D"/>
    <w:rsid w:val="66708360"/>
    <w:rsid w:val="677D3C0F"/>
    <w:rsid w:val="681DF1DD"/>
    <w:rsid w:val="68246F97"/>
    <w:rsid w:val="684B3A67"/>
    <w:rsid w:val="6887B3E0"/>
    <w:rsid w:val="6891C3DB"/>
    <w:rsid w:val="69911143"/>
    <w:rsid w:val="6A81AA77"/>
    <w:rsid w:val="6B5AC77D"/>
    <w:rsid w:val="6CE3263B"/>
    <w:rsid w:val="6D282BC6"/>
    <w:rsid w:val="6D32760A"/>
    <w:rsid w:val="6D8C0F12"/>
    <w:rsid w:val="6E374A4C"/>
    <w:rsid w:val="6E6EEB81"/>
    <w:rsid w:val="6ED59538"/>
    <w:rsid w:val="6FBFFF5C"/>
    <w:rsid w:val="6FD44F51"/>
    <w:rsid w:val="70D9C2F7"/>
    <w:rsid w:val="70FFE5AE"/>
    <w:rsid w:val="72E71F72"/>
    <w:rsid w:val="73576E4D"/>
    <w:rsid w:val="7497CBEE"/>
    <w:rsid w:val="76158DEC"/>
    <w:rsid w:val="76F6DD58"/>
    <w:rsid w:val="7702FADA"/>
    <w:rsid w:val="771172B6"/>
    <w:rsid w:val="77F2CCAC"/>
    <w:rsid w:val="7835686A"/>
    <w:rsid w:val="78931A54"/>
    <w:rsid w:val="79FF13D7"/>
    <w:rsid w:val="7A0257F9"/>
    <w:rsid w:val="7A307F7E"/>
    <w:rsid w:val="7A30B97F"/>
    <w:rsid w:val="7A3388E5"/>
    <w:rsid w:val="7A497E6E"/>
    <w:rsid w:val="7A6E2A9D"/>
    <w:rsid w:val="7AF88754"/>
    <w:rsid w:val="7B345BFF"/>
    <w:rsid w:val="7B783B54"/>
    <w:rsid w:val="7B7F19F9"/>
    <w:rsid w:val="7B8D8E0E"/>
    <w:rsid w:val="7BD48914"/>
    <w:rsid w:val="7BF84FB5"/>
    <w:rsid w:val="7BFD5AA8"/>
    <w:rsid w:val="7C524FAE"/>
    <w:rsid w:val="7CC86DAD"/>
    <w:rsid w:val="7D103107"/>
    <w:rsid w:val="7D33680F"/>
    <w:rsid w:val="7DA4C10C"/>
    <w:rsid w:val="7DB7E7FE"/>
    <w:rsid w:val="7DDE058F"/>
    <w:rsid w:val="7E54B13A"/>
    <w:rsid w:val="7EB4FF39"/>
    <w:rsid w:val="7F37ECAE"/>
    <w:rsid w:val="7F8F8A1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11628"/>
  <w15:docId w15:val="{C5FC7903-4AF8-419C-933D-D8030F4C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866063"/>
    <w:rPr>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66063"/>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8"/>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6"/>
      </w:numPr>
    </w:pPr>
  </w:style>
  <w:style w:type="numbering" w:customStyle="1" w:styleId="CBDHeadings">
    <w:name w:val="CBD_Headings"/>
    <w:basedOn w:val="ListCBD"/>
    <w:uiPriority w:val="99"/>
    <w:rsid w:val="00866063"/>
    <w:pPr>
      <w:numPr>
        <w:numId w:val="7"/>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graph">
    <w:name w:val="paragraph"/>
    <w:basedOn w:val="Normal"/>
    <w:rsid w:val="003F6EC1"/>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normaltextrun">
    <w:name w:val="normaltextrun"/>
    <w:basedOn w:val="DefaultParagraphFont"/>
    <w:rsid w:val="003F6EC1"/>
  </w:style>
  <w:style w:type="character" w:customStyle="1" w:styleId="scxw207255067">
    <w:name w:val="scxw207255067"/>
    <w:basedOn w:val="DefaultParagraphFont"/>
    <w:rsid w:val="003F6EC1"/>
  </w:style>
  <w:style w:type="character" w:customStyle="1" w:styleId="eop">
    <w:name w:val="eop"/>
    <w:basedOn w:val="DefaultParagraphFont"/>
    <w:rsid w:val="003F6EC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D1E60"/>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np-mop-05/np-mop-05-dec-12-ru.pdf" TargetMode="External"/><Relationship Id="rId26" Type="http://schemas.openxmlformats.org/officeDocument/2006/relationships/hyperlink" Target="https://www.cbd.int/doc/decisions/cop-14/cop-14-dec-37-ru.pdf" TargetMode="External"/><Relationship Id="rId39" Type="http://schemas.openxmlformats.org/officeDocument/2006/relationships/theme" Target="theme/theme1.xml"/><Relationship Id="rId21" Type="http://schemas.openxmlformats.org/officeDocument/2006/relationships/hyperlink" Target="https://www.cbd.int/doc/decisions/cop-16/cop-16-dec-28-ru.pdf"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p-mop-11/cp-mop-11-dec-11-ru.pdf" TargetMode="External"/><Relationship Id="rId25" Type="http://schemas.openxmlformats.org/officeDocument/2006/relationships/hyperlink" Target="https://www.cbd.int/doc/decisions/cop-16/cop-16-dec-28-ru.pdf"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6/cop-16-dec-28-ru.pdf" TargetMode="External"/><Relationship Id="rId20" Type="http://schemas.openxmlformats.org/officeDocument/2006/relationships/hyperlink" Target="https://www.cbd.int/doc/decisions/cop-16/cop-16-dec-28-ru.pdf" TargetMode="External"/><Relationship Id="rId29" Type="http://schemas.openxmlformats.org/officeDocument/2006/relationships/hyperlink" Target="https://www.cbd.int/doc/decisions/cop-16/cop-16-dec-28-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8-ru.pdf" TargetMode="External"/><Relationship Id="rId32" Type="http://schemas.openxmlformats.org/officeDocument/2006/relationships/hyperlink" Target="https://www.cbd.int/doc/c/0cc8/d73b/62b9b9b01cd3169ef10060f7/sbi-07-15-add1-ru.pdf" TargetMode="Externa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oc/decisions/cop-16/cop-16-dec-28-ru.pdf" TargetMode="External"/><Relationship Id="rId23" Type="http://schemas.openxmlformats.org/officeDocument/2006/relationships/hyperlink" Target="https://www.cbd.int/doc/decisions/cop-16/cop-16-dec-28-ru.pdf" TargetMode="External"/><Relationship Id="rId28" Type="http://schemas.openxmlformats.org/officeDocument/2006/relationships/hyperlink" Target="https://www.cbd.int/doc/decisions/cop-15/cop-15-dec-34-ru.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6/cop-16-dec-28-ru.pdf" TargetMode="External"/><Relationship Id="rId31" Type="http://schemas.openxmlformats.org/officeDocument/2006/relationships/hyperlink" Target="https://www.cbd.int/documents/CBD/SBI/6/INF/1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28-ru.pdf" TargetMode="External"/><Relationship Id="rId27" Type="http://schemas.openxmlformats.org/officeDocument/2006/relationships/hyperlink" Target="https://www.cbd.int/doc/c/4937/98b7/179ec7826210213554794631/sbi-07-14-add1-ru.pdf" TargetMode="External"/><Relationship Id="rId30" Type="http://schemas.openxmlformats.org/officeDocument/2006/relationships/hyperlink" Target="https://www.cbd.int/doc/c/0e83/932a/de7f477ea6273fa1acc8c128/sbi-06-10-ru.pdf"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196/38de/49fa974e03a44a7835b747dd/cp-mop-12-01-ru.pdf" TargetMode="External"/><Relationship Id="rId2" Type="http://schemas.openxmlformats.org/officeDocument/2006/relationships/hyperlink" Target="https://www.cbd.int/doc/c/eed5/bb17/c83733c6642e39413bf23885/cop-17-01-rev1-ru.pdf" TargetMode="External"/><Relationship Id="rId1" Type="http://schemas.openxmlformats.org/officeDocument/2006/relationships/hyperlink" Target="https://www.cbd.int/doc/c/8a14/684c/029cf7bc96eb6405bf8252df/sbi-07-01-ru.pdf" TargetMode="External"/><Relationship Id="rId5" Type="http://schemas.openxmlformats.org/officeDocument/2006/relationships/hyperlink" Target="https://www.cbd.int/doc/c/0e83/932a/de7f477ea6273fa1acc8c128/sbi-06-10-ru.pdf" TargetMode="External"/><Relationship Id="rId4" Type="http://schemas.openxmlformats.org/officeDocument/2006/relationships/hyperlink" Target="https://www.cbd.int/doc/c/404b/1d27/1f7db32f5c7c8f9e4fcf06ef/np-mop-06-0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sbi-0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30D00C199F4F7295DEF710CB577B8B"/>
        <w:category>
          <w:name w:val="General"/>
          <w:gallery w:val="placeholder"/>
        </w:category>
        <w:types>
          <w:type w:val="bbPlcHdr"/>
        </w:types>
        <w:behaviors>
          <w:behavior w:val="content"/>
        </w:behaviors>
        <w:guid w:val="{AF837FE0-919B-4988-9CC8-84DA66CEEDBD}"/>
      </w:docPartPr>
      <w:docPartBody>
        <w:p w:rsidR="00E75F7B" w:rsidRDefault="00E75F7B">
          <w:pPr>
            <w:pStyle w:val="3330D00C199F4F7295DEF710CB577B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7B"/>
    <w:rsid w:val="00031B07"/>
    <w:rsid w:val="001111C4"/>
    <w:rsid w:val="0017767A"/>
    <w:rsid w:val="001B668E"/>
    <w:rsid w:val="00252CCC"/>
    <w:rsid w:val="0028707B"/>
    <w:rsid w:val="002F2E10"/>
    <w:rsid w:val="00306CA3"/>
    <w:rsid w:val="003209A6"/>
    <w:rsid w:val="00323C88"/>
    <w:rsid w:val="0036679A"/>
    <w:rsid w:val="00413795"/>
    <w:rsid w:val="004665BE"/>
    <w:rsid w:val="00471C2D"/>
    <w:rsid w:val="00494C45"/>
    <w:rsid w:val="004D41CA"/>
    <w:rsid w:val="004F013A"/>
    <w:rsid w:val="00544D19"/>
    <w:rsid w:val="00613E0F"/>
    <w:rsid w:val="006B13EE"/>
    <w:rsid w:val="006E3CE0"/>
    <w:rsid w:val="00770727"/>
    <w:rsid w:val="00786C19"/>
    <w:rsid w:val="007A7039"/>
    <w:rsid w:val="007D7556"/>
    <w:rsid w:val="008906FD"/>
    <w:rsid w:val="00893B50"/>
    <w:rsid w:val="008C76B3"/>
    <w:rsid w:val="00963E2A"/>
    <w:rsid w:val="00973D8A"/>
    <w:rsid w:val="00A43C06"/>
    <w:rsid w:val="00A43D12"/>
    <w:rsid w:val="00A57E5A"/>
    <w:rsid w:val="00A74A28"/>
    <w:rsid w:val="00B40750"/>
    <w:rsid w:val="00B74C90"/>
    <w:rsid w:val="00BF7B16"/>
    <w:rsid w:val="00CD139E"/>
    <w:rsid w:val="00D41FE4"/>
    <w:rsid w:val="00E14A23"/>
    <w:rsid w:val="00E412C2"/>
    <w:rsid w:val="00E75F7B"/>
    <w:rsid w:val="00EB2955"/>
    <w:rsid w:val="00F06648"/>
    <w:rsid w:val="00F623A0"/>
    <w:rsid w:val="00F65B5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330D00C199F4F7295DEF710CB577B8B">
    <w:name w:val="3330D00C199F4F7295DEF710CB577B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032C542E-0846-4ECA-A0DF-20348BF5C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(1).dotm</Template>
  <TotalTime>61</TotalTime>
  <Pages>11</Pages>
  <Words>4677</Words>
  <Characters>26663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Administration of the Convention and its Protocols for the biennium 2025–2026</vt:lpstr>
    </vt:vector>
  </TitlesOfParts>
  <Company>SCBD</Company>
  <LinksUpToDate>false</LinksUpToDate>
  <CharactersWithSpaces>31278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Административное обеспечение Конвенции и протоколов к ней на двухлетний период 2025–2026 годов</dc:title>
  <dc:subject>CBD/SBI/7/14-CBD/COP/17/3-CBD/CP/MOP/12/4-CBD/NP/MOP/6/4</dc:subject>
  <dc:creator>Nada Matta</dc:creator>
  <cp:keywords>Convention on Biological Diversity</cp:keywords>
  <cp:lastModifiedBy>Mariko Nishi</cp:lastModifiedBy>
  <cp:revision>11</cp:revision>
  <cp:lastPrinted>2020-01-21T19:56:00Z</cp:lastPrinted>
  <dcterms:created xsi:type="dcterms:W3CDTF">2026-07-14T20:57:00Z</dcterms:created>
  <dcterms:modified xsi:type="dcterms:W3CDTF">2026-07-20T20:55:00Z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