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0"/>
        <w:gridCol w:w="4090"/>
      </w:tblGrid>
      <w:tr w:rsidR="00207A6E" w:rsidRPr="005348BB" w:rsidTr="00540797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07A6E" w:rsidRPr="005348BB" w:rsidRDefault="00207A6E" w:rsidP="00540797">
            <w:pPr>
              <w:rPr>
                <w:kern w:val="22"/>
              </w:rPr>
            </w:pPr>
            <w:r w:rsidRPr="005348BB">
              <w:rPr>
                <w:noProof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07A6E" w:rsidRPr="005348BB" w:rsidRDefault="00385C67" w:rsidP="00385C67">
            <w:pPr>
              <w:rPr>
                <w:kern w:val="22"/>
              </w:rPr>
            </w:pPr>
            <w:r w:rsidRPr="005348BB">
              <w:rPr>
                <w:noProof/>
                <w:lang w:val="fr-FR" w:eastAsia="fr-FR"/>
              </w:rPr>
              <w:drawing>
                <wp:inline distT="0" distB="0" distL="0" distR="0">
                  <wp:extent cx="352425" cy="385989"/>
                  <wp:effectExtent l="1905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5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07A6E" w:rsidRPr="005348BB" w:rsidRDefault="00385C67" w:rsidP="00540797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proofErr w:type="spellStart"/>
            <w:r w:rsidRPr="005348BB">
              <w:rPr>
                <w:rFonts w:ascii="Arial" w:hAnsi="Arial"/>
                <w:b/>
                <w:sz w:val="32"/>
                <w:szCs w:val="32"/>
              </w:rPr>
              <w:t>CBD</w:t>
            </w:r>
            <w:proofErr w:type="spellEnd"/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/>
      </w:tblPr>
      <w:tblGrid>
        <w:gridCol w:w="6227"/>
        <w:gridCol w:w="1144"/>
        <w:gridCol w:w="2977"/>
      </w:tblGrid>
      <w:tr w:rsidR="00F16F02" w:rsidRPr="005348BB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5348BB" w:rsidRDefault="00F16F02">
            <w:pPr>
              <w:rPr>
                <w:snapToGrid w:val="0"/>
                <w:kern w:val="22"/>
              </w:rPr>
            </w:pPr>
          </w:p>
          <w:p w:rsidR="00F16F02" w:rsidRPr="005348BB" w:rsidRDefault="00385C67" w:rsidP="00736BC2">
            <w:pPr>
              <w:rPr>
                <w:snapToGrid w:val="0"/>
                <w:kern w:val="22"/>
              </w:rPr>
            </w:pPr>
            <w:r w:rsidRPr="005348BB">
              <w:rPr>
                <w:noProof/>
                <w:sz w:val="32"/>
                <w:lang w:val="fr-FR" w:eastAsia="fr-FR"/>
              </w:rPr>
              <w:drawing>
                <wp:inline distT="0" distB="0" distL="0" distR="0">
                  <wp:extent cx="2619375" cy="1133475"/>
                  <wp:effectExtent l="1905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F02" w:rsidRPr="005348BB" w:rsidRDefault="00F16F02">
            <w:pPr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5348BB" w:rsidRDefault="00F16F02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5348BB" w:rsidRDefault="00F16F02" w:rsidP="00B271A0">
            <w:pPr>
              <w:ind w:left="63"/>
              <w:rPr>
                <w:snapToGrid w:val="0"/>
                <w:kern w:val="22"/>
                <w:szCs w:val="22"/>
              </w:rPr>
            </w:pPr>
            <w:proofErr w:type="spellStart"/>
            <w:r w:rsidRPr="005348BB">
              <w:rPr>
                <w:snapToGrid w:val="0"/>
                <w:szCs w:val="22"/>
              </w:rPr>
              <w:t>Distr</w:t>
            </w:r>
            <w:proofErr w:type="spellEnd"/>
            <w:r w:rsidRPr="005348BB">
              <w:rPr>
                <w:snapToGrid w:val="0"/>
                <w:szCs w:val="22"/>
              </w:rPr>
              <w:t>.</w:t>
            </w:r>
          </w:p>
          <w:p w:rsidR="00F16F02" w:rsidRPr="005348BB" w:rsidRDefault="00B85ECC" w:rsidP="00B271A0">
            <w:pPr>
              <w:ind w:left="63"/>
              <w:rPr>
                <w:snapToGrid w:val="0"/>
                <w:kern w:val="22"/>
                <w:szCs w:val="22"/>
              </w:rPr>
            </w:pPr>
            <w:proofErr w:type="spellStart"/>
            <w:r w:rsidRPr="005348BB">
              <w:rPr>
                <w:snapToGrid w:val="0"/>
                <w:kern w:val="22"/>
                <w:szCs w:val="22"/>
              </w:rPr>
              <w:t>GENERAL</w:t>
            </w:r>
            <w:proofErr w:type="spellEnd"/>
          </w:p>
          <w:p w:rsidR="00F16F02" w:rsidRPr="005348BB" w:rsidRDefault="00F16F02" w:rsidP="00B271A0">
            <w:pPr>
              <w:ind w:left="63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snapToGrid w:val="0"/>
                <w:kern w:val="22"/>
                <w:szCs w:val="22"/>
              </w:rPr>
              <w:alias w:val="Название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F16F02" w:rsidRPr="005348BB" w:rsidRDefault="00A85291" w:rsidP="002E773E">
                <w:pPr>
                  <w:ind w:left="63"/>
                  <w:rPr>
                    <w:snapToGrid w:val="0"/>
                    <w:kern w:val="22"/>
                    <w:szCs w:val="22"/>
                  </w:rPr>
                </w:pPr>
                <w:proofErr w:type="spellStart"/>
                <w:r w:rsidRPr="005348BB">
                  <w:rPr>
                    <w:snapToGrid w:val="0"/>
                    <w:kern w:val="22"/>
                    <w:szCs w:val="22"/>
                    <w:lang w:val="en-US"/>
                  </w:rPr>
                  <w:t>CBD</w:t>
                </w:r>
                <w:proofErr w:type="spellEnd"/>
                <w:r w:rsidRPr="005348BB">
                  <w:rPr>
                    <w:snapToGrid w:val="0"/>
                    <w:kern w:val="22"/>
                    <w:szCs w:val="22"/>
                    <w:lang w:val="en-US"/>
                  </w:rPr>
                  <w:t>/</w:t>
                </w:r>
                <w:proofErr w:type="spellStart"/>
                <w:r w:rsidRPr="005348BB">
                  <w:rPr>
                    <w:snapToGrid w:val="0"/>
                    <w:kern w:val="22"/>
                    <w:szCs w:val="22"/>
                    <w:lang w:val="en-US"/>
                  </w:rPr>
                  <w:t>SBSTTA</w:t>
                </w:r>
                <w:proofErr w:type="spellEnd"/>
                <w:r w:rsidRPr="005348BB">
                  <w:rPr>
                    <w:snapToGrid w:val="0"/>
                    <w:kern w:val="22"/>
                    <w:szCs w:val="22"/>
                    <w:lang w:val="en-US"/>
                  </w:rPr>
                  <w:t>/22/</w:t>
                </w:r>
                <w:r w:rsidR="00D2308E" w:rsidRPr="005348BB">
                  <w:rPr>
                    <w:snapToGrid w:val="0"/>
                    <w:kern w:val="22"/>
                    <w:szCs w:val="22"/>
                    <w:lang w:val="en-US"/>
                  </w:rPr>
                  <w:t>5</w:t>
                </w:r>
              </w:p>
            </w:sdtContent>
          </w:sdt>
          <w:p w:rsidR="00C757EF" w:rsidRPr="005348BB" w:rsidRDefault="00C757EF" w:rsidP="00C757E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</w:rPr>
            </w:pPr>
            <w:r w:rsidRPr="005348BB">
              <w:rPr>
                <w:snapToGrid w:val="0"/>
                <w:kern w:val="22"/>
                <w:szCs w:val="22"/>
              </w:rPr>
              <w:t xml:space="preserve">24 </w:t>
            </w:r>
            <w:proofErr w:type="spellStart"/>
            <w:r w:rsidRPr="005348BB">
              <w:rPr>
                <w:snapToGrid w:val="0"/>
                <w:kern w:val="22"/>
                <w:szCs w:val="22"/>
              </w:rPr>
              <w:t>April</w:t>
            </w:r>
            <w:proofErr w:type="spellEnd"/>
            <w:r w:rsidRPr="005348BB">
              <w:rPr>
                <w:snapToGrid w:val="0"/>
                <w:kern w:val="22"/>
                <w:szCs w:val="22"/>
              </w:rPr>
              <w:t xml:space="preserve"> 2018</w:t>
            </w:r>
          </w:p>
          <w:p w:rsidR="00F16F02" w:rsidRPr="005348BB" w:rsidRDefault="00F16F02" w:rsidP="00B271A0">
            <w:pPr>
              <w:ind w:left="63"/>
              <w:rPr>
                <w:snapToGrid w:val="0"/>
                <w:kern w:val="22"/>
                <w:szCs w:val="22"/>
              </w:rPr>
            </w:pPr>
          </w:p>
          <w:p w:rsidR="00F16F02" w:rsidRPr="005348BB" w:rsidRDefault="00F16F02" w:rsidP="00B271A0">
            <w:pPr>
              <w:ind w:left="63"/>
              <w:rPr>
                <w:snapToGrid w:val="0"/>
                <w:color w:val="FF0000"/>
                <w:kern w:val="22"/>
                <w:szCs w:val="22"/>
                <w:u w:val="single"/>
              </w:rPr>
            </w:pPr>
            <w:proofErr w:type="spellStart"/>
            <w:r w:rsidRPr="005348BB">
              <w:rPr>
                <w:snapToGrid w:val="0"/>
                <w:szCs w:val="22"/>
              </w:rPr>
              <w:t>RUSSIAN</w:t>
            </w:r>
            <w:proofErr w:type="spellEnd"/>
            <w:r w:rsidRPr="005348BB">
              <w:rPr>
                <w:snapToGrid w:val="0"/>
                <w:szCs w:val="22"/>
              </w:rPr>
              <w:t xml:space="preserve"> </w:t>
            </w:r>
            <w:r w:rsidR="004E6123" w:rsidRPr="005348BB">
              <w:rPr>
                <w:snapToGrid w:val="0"/>
                <w:szCs w:val="22"/>
              </w:rPr>
              <w:br/>
            </w:r>
            <w:proofErr w:type="spellStart"/>
            <w:r w:rsidRPr="005348BB">
              <w:rPr>
                <w:snapToGrid w:val="0"/>
                <w:szCs w:val="22"/>
              </w:rPr>
              <w:t>ORIGINAL</w:t>
            </w:r>
            <w:proofErr w:type="spellEnd"/>
            <w:r w:rsidRPr="005348BB">
              <w:rPr>
                <w:snapToGrid w:val="0"/>
                <w:szCs w:val="22"/>
              </w:rPr>
              <w:t>:</w:t>
            </w:r>
            <w:r w:rsidR="004E6123" w:rsidRPr="005348BB">
              <w:rPr>
                <w:snapToGrid w:val="0"/>
                <w:szCs w:val="22"/>
              </w:rPr>
              <w:t xml:space="preserve"> </w:t>
            </w:r>
            <w:proofErr w:type="spellStart"/>
            <w:r w:rsidRPr="005348BB">
              <w:rPr>
                <w:snapToGrid w:val="0"/>
                <w:szCs w:val="22"/>
              </w:rPr>
              <w:t>ENGLISH</w:t>
            </w:r>
            <w:proofErr w:type="spellEnd"/>
          </w:p>
        </w:tc>
      </w:tr>
    </w:tbl>
    <w:bookmarkStart w:id="0" w:name="Meeting"/>
    <w:p w:rsidR="00CA6B87" w:rsidRPr="005348BB" w:rsidRDefault="000074DD" w:rsidP="00B85ECC">
      <w:pPr>
        <w:pStyle w:val="meetingname"/>
        <w:ind w:right="4398"/>
        <w:rPr>
          <w:kern w:val="22"/>
          <w:szCs w:val="22"/>
        </w:rPr>
      </w:pPr>
      <w:sdt>
        <w:sdtPr>
          <w:rPr>
            <w:rFonts w:eastAsia="Times New Roman" w:cs="Angsana New"/>
            <w:caps w:val="0"/>
            <w:snapToGrid/>
            <w:szCs w:val="22"/>
          </w:rPr>
          <w:alias w:val="Заседание"/>
          <w:tag w:val="Meeting"/>
          <w:id w:val="1412045910"/>
          <w:placeholder>
            <w:docPart w:val="DefaultPlaceholder_1082065158"/>
          </w:placeholder>
          <w:text/>
        </w:sdtPr>
        <w:sdtContent>
          <w:r w:rsidR="00B85ECC" w:rsidRPr="005348BB">
            <w:rPr>
              <w:rFonts w:eastAsia="Times New Roman" w:cs="Angsana New"/>
              <w:caps w:val="0"/>
              <w:snapToGrid/>
              <w:szCs w:val="22"/>
            </w:rPr>
            <w:t>ВСПОМОГАТЕЛЬНЫЙ ОРГАН ПО НАУЧНЫМ,</w:t>
          </w:r>
          <w:r w:rsidR="00A54020">
            <w:rPr>
              <w:rFonts w:eastAsia="Times New Roman" w:cs="Angsana New"/>
              <w:caps w:val="0"/>
              <w:snapToGrid/>
              <w:szCs w:val="22"/>
            </w:rPr>
            <w:t xml:space="preserve"> </w:t>
          </w:r>
          <w:r w:rsidR="00B85ECC" w:rsidRPr="005348BB">
            <w:rPr>
              <w:rFonts w:eastAsia="Times New Roman" w:cs="Angsana New"/>
              <w:caps w:val="0"/>
              <w:snapToGrid/>
              <w:szCs w:val="22"/>
            </w:rPr>
            <w:t>ТЕХНИЧЕСКИМ И ТЕХНОЛОГИЧЕСКИМ</w:t>
          </w:r>
          <w:r w:rsidR="00A54020">
            <w:rPr>
              <w:rFonts w:eastAsia="Times New Roman" w:cs="Angsana New"/>
              <w:caps w:val="0"/>
              <w:snapToGrid/>
              <w:szCs w:val="22"/>
            </w:rPr>
            <w:t xml:space="preserve"> </w:t>
          </w:r>
          <w:r w:rsidR="00B85ECC" w:rsidRPr="005348BB">
            <w:rPr>
              <w:rFonts w:eastAsia="Times New Roman" w:cs="Angsana New"/>
              <w:caps w:val="0"/>
              <w:snapToGrid/>
              <w:szCs w:val="22"/>
            </w:rPr>
            <w:t xml:space="preserve"> КОНСУЛЬТАЦИЯМ </w:t>
          </w:r>
        </w:sdtContent>
      </w:sdt>
      <w:bookmarkEnd w:id="0"/>
    </w:p>
    <w:p w:rsidR="00D51069" w:rsidRPr="005348BB" w:rsidRDefault="00D51069" w:rsidP="00CA6B87">
      <w:pPr>
        <w:rPr>
          <w:snapToGrid w:val="0"/>
          <w:kern w:val="22"/>
          <w:szCs w:val="22"/>
        </w:rPr>
      </w:pPr>
      <w:r w:rsidRPr="005348BB">
        <w:rPr>
          <w:snapToGrid w:val="0"/>
          <w:szCs w:val="22"/>
        </w:rPr>
        <w:t>Двадцать второе совещание</w:t>
      </w:r>
    </w:p>
    <w:p w:rsidR="00CA6B87" w:rsidRPr="005348BB" w:rsidRDefault="00D51069" w:rsidP="00CA6B87">
      <w:pPr>
        <w:rPr>
          <w:snapToGrid w:val="0"/>
          <w:kern w:val="22"/>
          <w:szCs w:val="22"/>
        </w:rPr>
      </w:pPr>
      <w:r w:rsidRPr="005348BB">
        <w:rPr>
          <w:snapToGrid w:val="0"/>
          <w:szCs w:val="22"/>
        </w:rPr>
        <w:t>Монреаль, Канада, 2-7 июля 2018 года</w:t>
      </w:r>
    </w:p>
    <w:p w:rsidR="00CA6B87" w:rsidRPr="005348BB" w:rsidRDefault="00D51069" w:rsidP="00CA6B87">
      <w:pPr>
        <w:rPr>
          <w:snapToGrid w:val="0"/>
          <w:kern w:val="22"/>
          <w:szCs w:val="22"/>
        </w:rPr>
      </w:pPr>
      <w:r w:rsidRPr="005348BB">
        <w:rPr>
          <w:snapToGrid w:val="0"/>
          <w:szCs w:val="22"/>
        </w:rPr>
        <w:t>Пункт 6 предварительной повестки дня</w:t>
      </w:r>
      <w:r w:rsidR="00A54020" w:rsidRPr="00A54020">
        <w:rPr>
          <w:snapToGrid w:val="0"/>
          <w:szCs w:val="22"/>
          <w:u w:val="single"/>
        </w:rPr>
        <w:footnoteReference w:customMarkFollows="1" w:id="1"/>
        <w:t>*</w:t>
      </w:r>
    </w:p>
    <w:p w:rsidR="007A1EAF" w:rsidRPr="005348BB" w:rsidRDefault="000074DD" w:rsidP="00540797">
      <w:pPr>
        <w:pStyle w:val="Titre2"/>
        <w:rPr>
          <w:b w:val="0"/>
          <w:i/>
          <w:kern w:val="22"/>
        </w:rPr>
      </w:pPr>
      <w:sdt>
        <w:sdtPr>
          <w:rPr>
            <w:szCs w:val="22"/>
          </w:rPr>
          <w:alias w:val="Название"/>
          <w:tag w:val=""/>
          <w:id w:val="301582339"/>
          <w:placeholder>
            <w:docPart w:val="E2A78A82B6B54AE69E0D25B6DBD8BA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85C67" w:rsidRPr="005348BB">
            <w:rPr>
              <w:szCs w:val="22"/>
            </w:rPr>
            <w:t>ОБНОВЛЕННАЯ НАУЧНАЯ ОЦЕНКА ХОДА РАБОТЫ В ОБЛАСТИ ВЫПОЛНЕНИЯ ЦЕЛЕВЫХ ЗАДАЧ ПО СОХРАНЕНИЮ И УСТОЙЧИВОМУ ИСПОЛЬЗОВАНИЮ БИОРАЗНООБРАЗИЯ, ПРИНЯТЫХ В АЙТИ, И ВАРИАНТЫ УСКОРЕНИЯ ХОДА РАБОТЫ</w:t>
          </w:r>
        </w:sdtContent>
      </w:sdt>
    </w:p>
    <w:p w:rsidR="00540797" w:rsidRPr="005348BB" w:rsidRDefault="00C85EA4" w:rsidP="00540797">
      <w:pPr>
        <w:pStyle w:val="Titre2"/>
        <w:rPr>
          <w:b w:val="0"/>
          <w:i/>
          <w:kern w:val="22"/>
        </w:rPr>
      </w:pPr>
      <w:r w:rsidRPr="005348BB">
        <w:rPr>
          <w:b w:val="0"/>
          <w:i/>
        </w:rPr>
        <w:t>Записка Исполнительного секретаря</w:t>
      </w:r>
    </w:p>
    <w:p w:rsidR="00540797" w:rsidRPr="005348BB" w:rsidRDefault="00540797" w:rsidP="006127AA">
      <w:pPr>
        <w:pStyle w:val="Titre1"/>
        <w:rPr>
          <w:kern w:val="22"/>
        </w:rPr>
      </w:pPr>
      <w:r w:rsidRPr="005348BB">
        <w:t>История вопроса</w:t>
      </w:r>
    </w:p>
    <w:p w:rsidR="00540797" w:rsidRPr="005348BB" w:rsidRDefault="00540797" w:rsidP="00027F74">
      <w:pPr>
        <w:pStyle w:val="StylePara1HeadingsCSTimesNewRoman"/>
        <w:rPr>
          <w:kern w:val="22"/>
        </w:rPr>
      </w:pPr>
      <w:proofErr w:type="gramStart"/>
      <w:r w:rsidRPr="005348BB">
        <w:t xml:space="preserve">В решении </w:t>
      </w:r>
      <w:hyperlink r:id="rId11" w:history="1">
        <w:proofErr w:type="spellStart"/>
        <w:r w:rsidRPr="005348BB">
          <w:rPr>
            <w:rStyle w:val="Lienhypertexte"/>
          </w:rPr>
          <w:t>XII</w:t>
        </w:r>
        <w:proofErr w:type="spellEnd"/>
        <w:r w:rsidRPr="005348BB">
          <w:rPr>
            <w:rStyle w:val="Lienhypertexte"/>
          </w:rPr>
          <w:t>/1</w:t>
        </w:r>
      </w:hyperlink>
      <w:r w:rsidRPr="005348BB">
        <w:t xml:space="preserve"> Конференция Сторон приветствовала выпуск четвертого издания Глобальной перспективы в области биоразнообразия и признала наличие обнадеживающего прогресса на пути осуществления некоторых элементов большинства </w:t>
      </w:r>
      <w:hyperlink r:id="rId12" w:history="1">
        <w:r w:rsidRPr="005348BB">
          <w:rPr>
            <w:rStyle w:val="Lienhypertexte"/>
          </w:rPr>
          <w:t>целевых задач по сохранению и устойчивому использованию биоразнообразия, принятых в Айти</w:t>
        </w:r>
      </w:hyperlink>
      <w:r w:rsidRPr="005348BB">
        <w:t>, но что в большинстве случаев этого прогресса будет недостаточно для выполнения целевых задач, если не будут приняты дальнейшие срочные и эффективные меры для</w:t>
      </w:r>
      <w:proofErr w:type="gramEnd"/>
      <w:r w:rsidRPr="005348BB">
        <w:t xml:space="preserve"> сокращения нагрузок </w:t>
      </w:r>
      <w:proofErr w:type="gramStart"/>
      <w:r w:rsidRPr="005348BB">
        <w:t>на</w:t>
      </w:r>
      <w:proofErr w:type="gramEnd"/>
      <w:r w:rsidRPr="005348BB">
        <w:t xml:space="preserve"> биоразнообразие и предотвращения его постоянного истощения.</w:t>
      </w:r>
    </w:p>
    <w:p w:rsidR="00540797" w:rsidRPr="005348BB" w:rsidRDefault="00540797" w:rsidP="00027F74">
      <w:pPr>
        <w:pStyle w:val="StylePara1HeadingsCSTimesNewRoman"/>
        <w:rPr>
          <w:kern w:val="22"/>
        </w:rPr>
      </w:pPr>
      <w:r w:rsidRPr="005348BB">
        <w:t>В решени</w:t>
      </w:r>
      <w:r w:rsidR="005348BB">
        <w:t>и</w:t>
      </w:r>
      <w:r w:rsidRPr="005348BB">
        <w:t xml:space="preserve"> </w:t>
      </w:r>
      <w:hyperlink r:id="rId13" w:history="1">
        <w:proofErr w:type="spellStart"/>
        <w:r w:rsidRPr="005348BB">
          <w:rPr>
            <w:rStyle w:val="Lienhypertexte"/>
          </w:rPr>
          <w:t>XIII</w:t>
        </w:r>
        <w:proofErr w:type="spellEnd"/>
        <w:r w:rsidRPr="005348BB">
          <w:rPr>
            <w:rStyle w:val="Lienhypertexte"/>
          </w:rPr>
          <w:t>/30</w:t>
        </w:r>
      </w:hyperlink>
      <w:r w:rsidRPr="005348BB">
        <w:t xml:space="preserve"> Конференция Сторон поручила Исполнительному секретарю при условии наличия ресурсов подготовить в сотрудничестве с членами Партнерства по индикаторам биоразнообразия и другими соответствующими партнерами для рассмотрения Вспомогательным органом по научным, техническим и технологическим консультациям на одном из совещаний, проводимых в период до 14-го совещания Конференции Сторон, обновленные научные оценки результатов осуществления целевых задач по сохранению и устойчивому использованию биоразнообразия, </w:t>
      </w:r>
      <w:proofErr w:type="gramStart"/>
      <w:r w:rsidRPr="005348BB">
        <w:t>принятых</w:t>
      </w:r>
      <w:proofErr w:type="gramEnd"/>
      <w:r w:rsidRPr="005348BB">
        <w:t xml:space="preserve"> в Айти, обращая в частности внимание на те целевые задачи, по которым достигнут наименьший прогресс, и используя сообразно обстоятельствам имеющиеся данные и индикаторы, приведенные в приложении к решению </w:t>
      </w:r>
      <w:hyperlink r:id="rId14" w:history="1">
        <w:proofErr w:type="spellStart"/>
        <w:r w:rsidRPr="005348BB">
          <w:rPr>
            <w:rStyle w:val="Lienhypertexte"/>
          </w:rPr>
          <w:t>XIII</w:t>
        </w:r>
        <w:proofErr w:type="spellEnd"/>
        <w:r w:rsidRPr="005348BB">
          <w:rPr>
            <w:rStyle w:val="Lienhypertexte"/>
          </w:rPr>
          <w:t>/28</w:t>
        </w:r>
      </w:hyperlink>
      <w:r w:rsidRPr="005348BB">
        <w:t xml:space="preserve">, а также другие источники информации, использовавшиеся для подготовки четвертого издания </w:t>
      </w:r>
      <w:r w:rsidRPr="005348BB">
        <w:rPr>
          <w:iCs/>
        </w:rPr>
        <w:t>Глобальной перспективы в области биоразнообразия.</w:t>
      </w:r>
      <w:r w:rsidRPr="005348BB">
        <w:t xml:space="preserve"> В этом же решение Исполнительному секретарю было поручено разработать варианты ускорения прогресса в выполнении тех целевых задач, по которым, как </w:t>
      </w:r>
      <w:proofErr w:type="gramStart"/>
      <w:r w:rsidRPr="005348BB">
        <w:t>выявлено, достигнут</w:t>
      </w:r>
      <w:proofErr w:type="gramEnd"/>
      <w:r w:rsidRPr="005348BB">
        <w:t xml:space="preserve"> наименьший прогресс. </w:t>
      </w:r>
    </w:p>
    <w:p w:rsidR="00197F1D" w:rsidRPr="005348BB" w:rsidRDefault="00197F1D" w:rsidP="00027F74">
      <w:pPr>
        <w:pStyle w:val="StylePara1HeadingsCSTimesNewRoman"/>
        <w:rPr>
          <w:kern w:val="22"/>
        </w:rPr>
      </w:pPr>
      <w:r w:rsidRPr="005348BB">
        <w:t>На шестой сессии Межправительственная научно-политическая платформа</w:t>
      </w:r>
      <w:r w:rsidR="006F09EB" w:rsidRPr="005348BB">
        <w:t xml:space="preserve"> </w:t>
      </w:r>
      <w:r w:rsidR="001B6DB6" w:rsidRPr="005348BB">
        <w:t>по биоразнообразию и экосистемным услугам</w:t>
      </w:r>
      <w:r w:rsidRPr="005348BB">
        <w:t xml:space="preserve"> </w:t>
      </w:r>
      <w:r w:rsidR="00CF7C83" w:rsidRPr="005348BB">
        <w:t xml:space="preserve">(МПБЭУ) </w:t>
      </w:r>
      <w:r w:rsidRPr="005348BB">
        <w:t>утвердила</w:t>
      </w:r>
      <w:r w:rsidR="004E6123" w:rsidRPr="005348BB">
        <w:t xml:space="preserve"> </w:t>
      </w:r>
      <w:r w:rsidRPr="005348BB">
        <w:t xml:space="preserve">резюме для директивных органов, посвященные региональным и субрегиональным оценкам по вопросам биоразнообразия и экосистемных услуг для Африки, Северной и Южной Америки, Азии и Тихого океана, Европы и Центральной Азии, и приняла отдельные главы этих оценок и их исполнительные резюме. Кроме </w:t>
      </w:r>
      <w:r w:rsidRPr="005348BB">
        <w:lastRenderedPageBreak/>
        <w:t xml:space="preserve">того, участники сессии утвердили резюме для директивных органов оценки деградации и восстановления земель. В соответствии с процедурами, изложенными в решении </w:t>
      </w:r>
      <w:hyperlink r:id="rId15" w:history="1">
        <w:proofErr w:type="spellStart"/>
        <w:r w:rsidRPr="005348BB">
          <w:rPr>
            <w:rStyle w:val="Lienhypertexte"/>
          </w:rPr>
          <w:t>XII</w:t>
        </w:r>
        <w:proofErr w:type="spellEnd"/>
        <w:r w:rsidRPr="005348BB">
          <w:rPr>
            <w:rStyle w:val="Lienhypertexte"/>
          </w:rPr>
          <w:t>/25</w:t>
        </w:r>
      </w:hyperlink>
      <w:r w:rsidRPr="005348BB">
        <w:t>, Вспомогательному органу по научным, техническим и технологическим консультациям предлагается изучить эти оценки на предмет актуальности их результатов для работы в рамках Конвенции и для подготовки в соответствующих случаях рекомендаций для Конференции Сторон.</w:t>
      </w:r>
    </w:p>
    <w:p w:rsidR="002D1453" w:rsidRPr="005348BB" w:rsidRDefault="00540797" w:rsidP="00027F74">
      <w:pPr>
        <w:pStyle w:val="StylePara1HeadingsCSTimesNewRoman"/>
        <w:rPr>
          <w:kern w:val="22"/>
        </w:rPr>
      </w:pPr>
      <w:r w:rsidRPr="005348BB">
        <w:t>В разделе I</w:t>
      </w:r>
      <w:r w:rsidR="00CF7C83" w:rsidRPr="005348BB">
        <w:t xml:space="preserve"> настоящего документа</w:t>
      </w:r>
      <w:r w:rsidRPr="005348BB">
        <w:t xml:space="preserve"> представлена обновленная научная информация, касающаяся прогресса на пути осуществления</w:t>
      </w:r>
      <w:r w:rsidR="004E6123" w:rsidRPr="005348BB">
        <w:t xml:space="preserve"> </w:t>
      </w:r>
      <w:r w:rsidRPr="005348BB">
        <w:t xml:space="preserve">целевых задач по сохранению и устойчивому использованию биоразнообразия, принятых в Айти. Раздел состоит из четырех подразделов, в которых приводится краткий обзор информации из научной литературы, информации, касающейся индикаторов, информации из региональных оценок МПБЭУ и информации из тематической оценки МПБЭУ о деградации земель. В разделе II представлены возможные варианты ускорения прогресса на пути осуществления целевых задач по сохранению и устойчивому использованию биоразнообразия, принятых в Айти, а в разделе </w:t>
      </w:r>
      <w:r w:rsidR="00CF7C83" w:rsidRPr="005348BB">
        <w:rPr>
          <w:lang w:val="fr-FR"/>
        </w:rPr>
        <w:t>III</w:t>
      </w:r>
      <w:r w:rsidRPr="005348BB">
        <w:t xml:space="preserve"> содержится проект рекомендации для рассмотрения Вспомогательным органом по научным, техническим и технологическим консультациям. Информация об индикаторах, по которым с 2014 года стали поступать обновленные данные, содержится в приложении I, а краткий обзор вариантов ускорения прогресса на пути </w:t>
      </w:r>
      <w:r w:rsidR="002C5426" w:rsidRPr="005348BB">
        <w:t>выполнения</w:t>
      </w:r>
      <w:r w:rsidRPr="005348BB">
        <w:t xml:space="preserve"> целевых задач по сохранению и устойчивому использованию биоразнообразия, принятых в Айти, содержится в приложении II. </w:t>
      </w:r>
    </w:p>
    <w:p w:rsidR="007A1EAF" w:rsidRPr="005348BB" w:rsidRDefault="007A1EAF" w:rsidP="00027F74">
      <w:pPr>
        <w:pStyle w:val="StylePara1HeadingsCSTimesNewRoman"/>
        <w:rPr>
          <w:kern w:val="22"/>
        </w:rPr>
      </w:pPr>
      <w:r w:rsidRPr="005348BB">
        <w:t>В дополнение к настояще</w:t>
      </w:r>
      <w:r w:rsidR="00CF7C83" w:rsidRPr="005348BB">
        <w:t>му документу</w:t>
      </w:r>
      <w:r w:rsidRPr="005348BB">
        <w:t xml:space="preserve"> прилагается информационный документ</w:t>
      </w:r>
      <w:r w:rsidR="004024B0" w:rsidRPr="005348BB">
        <w:rPr>
          <w:vertAlign w:val="superscript"/>
          <w:lang w:val="en-GB"/>
        </w:rPr>
        <w:footnoteReference w:id="2"/>
      </w:r>
      <w:r w:rsidRPr="005348BB">
        <w:t>, в котором приводится подробная информация о научной информации, включая справочные документы, которые были рассмотрены для подготовки настояще</w:t>
      </w:r>
      <w:r w:rsidR="00CF7C83" w:rsidRPr="005348BB">
        <w:t>го документа</w:t>
      </w:r>
      <w:r w:rsidRPr="005348BB">
        <w:t>. Кроме того, второму совещанию Вспомогательного органа по осуществлению</w:t>
      </w:r>
      <w:r w:rsidRPr="005348BB">
        <w:rPr>
          <w:rStyle w:val="Appelnotedebasdep"/>
          <w:rFonts w:cstheme="majorBidi"/>
          <w:kern w:val="22"/>
          <w:szCs w:val="22"/>
        </w:rPr>
        <w:footnoteReference w:id="3"/>
      </w:r>
      <w:r w:rsidR="004E6123" w:rsidRPr="005348BB">
        <w:t xml:space="preserve"> </w:t>
      </w:r>
      <w:r w:rsidRPr="005348BB">
        <w:t xml:space="preserve">была предоставлена информация о ходе осуществления целевых задач по сохранению и устойчивому использованию биоразнообразия, принятых в Айти, подготовленная на основе пятых национальных докладов и национальных стратегий и планов действий по сохранению биоразнообразия. Помимо этого, в ответ на рекомендацию </w:t>
      </w:r>
      <w:hyperlink r:id="rId16" w:history="1">
        <w:proofErr w:type="spellStart"/>
        <w:r w:rsidRPr="005348BB">
          <w:rPr>
            <w:rStyle w:val="Lienhypertexte"/>
          </w:rPr>
          <w:t>XXI</w:t>
        </w:r>
        <w:proofErr w:type="spellEnd"/>
        <w:r w:rsidRPr="005348BB">
          <w:rPr>
            <w:rStyle w:val="Lienhypertexte"/>
          </w:rPr>
          <w:t>/1</w:t>
        </w:r>
      </w:hyperlink>
      <w:r w:rsidRPr="005348BB">
        <w:t xml:space="preserve"> б</w:t>
      </w:r>
      <w:r w:rsidR="00CF7C83" w:rsidRPr="005348BB">
        <w:t>удут</w:t>
      </w:r>
      <w:r w:rsidRPr="005348BB">
        <w:t xml:space="preserve"> пересмотрены и </w:t>
      </w:r>
      <w:r w:rsidR="00CF7C83" w:rsidRPr="005348BB">
        <w:t>переизданы</w:t>
      </w:r>
      <w:r w:rsidRPr="005348BB">
        <w:t xml:space="preserve"> четыре информационных документа, касающихся сценариев для Концепции в области биоразнообразия на период до 2050 года, первоначально подготовленные для 21-го совещания </w:t>
      </w:r>
      <w:r w:rsidR="00CF7C83" w:rsidRPr="005348BB">
        <w:t>Вспомогательного органа</w:t>
      </w:r>
      <w:r w:rsidRPr="005348BB">
        <w:rPr>
          <w:rStyle w:val="Appelnotedebasdep"/>
          <w:rFonts w:cstheme="majorBidi"/>
          <w:kern w:val="22"/>
          <w:szCs w:val="22"/>
        </w:rPr>
        <w:footnoteReference w:id="4"/>
      </w:r>
      <w:r w:rsidR="00B259DC" w:rsidRPr="005348BB">
        <w:t>.</w:t>
      </w:r>
      <w:r w:rsidRPr="005348BB">
        <w:t xml:space="preserve"> Кроме того, в соответствии с пунктами 6 и 7 той же рекомендации </w:t>
      </w:r>
      <w:hyperlink r:id="rId17" w:history="1">
        <w:r w:rsidRPr="005348BB">
          <w:rPr>
            <w:rStyle w:val="Lienhypertexte"/>
          </w:rPr>
          <w:t>Кембриджской природоохранной инициативой</w:t>
        </w:r>
      </w:hyperlink>
      <w:r w:rsidRPr="005348BB">
        <w:t xml:space="preserve"> был организован семинар, направленный на углубление понимания требований, предъявляемых к </w:t>
      </w:r>
      <w:proofErr w:type="spellStart"/>
      <w:r w:rsidRPr="005348BB">
        <w:t>фактологической</w:t>
      </w:r>
      <w:proofErr w:type="spellEnd"/>
      <w:r w:rsidRPr="005348BB">
        <w:t xml:space="preserve"> базе, которая послужит основой для разработки возможной глобальной рамочной программы в области</w:t>
      </w:r>
      <w:r w:rsidR="004E6123" w:rsidRPr="005348BB">
        <w:t xml:space="preserve"> </w:t>
      </w:r>
      <w:r w:rsidRPr="005348BB">
        <w:t>биоразнообразия на период после 2020 года. Результаты данного семинара представлены в виде информационного документа</w:t>
      </w:r>
      <w:r w:rsidR="004024B0" w:rsidRPr="005348BB">
        <w:rPr>
          <w:vertAlign w:val="superscript"/>
          <w:lang w:val="en-GB"/>
        </w:rPr>
        <w:footnoteReference w:id="5"/>
      </w:r>
      <w:r w:rsidRPr="005348BB">
        <w:t>.</w:t>
      </w:r>
    </w:p>
    <w:p w:rsidR="00540797" w:rsidRPr="005348BB" w:rsidRDefault="00B564D7" w:rsidP="006127AA">
      <w:pPr>
        <w:pStyle w:val="Titre1"/>
        <w:rPr>
          <w:kern w:val="22"/>
        </w:rPr>
      </w:pPr>
      <w:r w:rsidRPr="005348BB">
        <w:t xml:space="preserve">I. </w:t>
      </w:r>
      <w:r w:rsidRPr="005348BB">
        <w:tab/>
        <w:t>Обновленная научная информация</w:t>
      </w:r>
    </w:p>
    <w:p w:rsidR="00D4440A" w:rsidRPr="005348BB" w:rsidRDefault="00D4440A" w:rsidP="00972993">
      <w:pPr>
        <w:pStyle w:val="Titre2"/>
        <w:numPr>
          <w:ilvl w:val="0"/>
          <w:numId w:val="46"/>
        </w:numPr>
        <w:rPr>
          <w:snapToGrid w:val="0"/>
          <w:kern w:val="22"/>
        </w:rPr>
      </w:pPr>
      <w:r w:rsidRPr="005348BB">
        <w:rPr>
          <w:snapToGrid w:val="0"/>
        </w:rPr>
        <w:t>Краткий обзор информации из научной литературы</w:t>
      </w:r>
    </w:p>
    <w:p w:rsidR="00E92C82" w:rsidRPr="005348BB" w:rsidRDefault="00D4440A" w:rsidP="00027F74">
      <w:pPr>
        <w:pStyle w:val="StylePara1HeadingsCSTimesNewRoman"/>
        <w:rPr>
          <w:kern w:val="22"/>
        </w:rPr>
      </w:pPr>
      <w:r w:rsidRPr="005348BB">
        <w:t>Научная литература в основном из рецензируемых журналов, опубликованных в период с 2014 года (год выпуска четвертого издания Глобальной перспе</w:t>
      </w:r>
      <w:r w:rsidR="00CF7C83" w:rsidRPr="005348BB">
        <w:t>ктивы в области биоразнообразия)</w:t>
      </w:r>
      <w:r w:rsidRPr="005348BB">
        <w:t xml:space="preserve"> по 2018 год была рассмотрена с целью подготовки обновленной оценки прогресса на пути выполнения целевых задач по сохранению и устойчивому использованию биоразнообразия, принятых в Айти. Рассмотренная в этой оценке научная литература приводится в </w:t>
      </w:r>
      <w:r w:rsidRPr="005348BB">
        <w:lastRenderedPageBreak/>
        <w:t xml:space="preserve">информационном документе </w:t>
      </w:r>
      <w:proofErr w:type="spellStart"/>
      <w:r w:rsidRPr="005348BB">
        <w:t>CBD</w:t>
      </w:r>
      <w:proofErr w:type="spellEnd"/>
      <w:r w:rsidRPr="005348BB">
        <w:t>/</w:t>
      </w:r>
      <w:proofErr w:type="spellStart"/>
      <w:r w:rsidRPr="005348BB">
        <w:t>SBSTTA</w:t>
      </w:r>
      <w:proofErr w:type="spellEnd"/>
      <w:r w:rsidRPr="005348BB">
        <w:t>/22/</w:t>
      </w:r>
      <w:proofErr w:type="spellStart"/>
      <w:r w:rsidRPr="005348BB">
        <w:t>INF</w:t>
      </w:r>
      <w:proofErr w:type="spellEnd"/>
      <w:r w:rsidRPr="005348BB">
        <w:t xml:space="preserve">/10 для каждой </w:t>
      </w:r>
      <w:r w:rsidR="005348BB">
        <w:t xml:space="preserve">из </w:t>
      </w:r>
      <w:r w:rsidRPr="005348BB">
        <w:t>целев</w:t>
      </w:r>
      <w:r w:rsidR="005348BB">
        <w:t xml:space="preserve">ых </w:t>
      </w:r>
      <w:r w:rsidRPr="005348BB">
        <w:t>задач по сохранению и устойчивому использованию биоразнообразия, принятых в Айти.</w:t>
      </w:r>
    </w:p>
    <w:p w:rsidR="00DF6515" w:rsidRPr="005348BB" w:rsidRDefault="00DF6515" w:rsidP="00027F74">
      <w:pPr>
        <w:pStyle w:val="StylePara1HeadingsCSTimesNewRoman"/>
        <w:rPr>
          <w:kern w:val="22"/>
        </w:rPr>
      </w:pPr>
      <w:r w:rsidRPr="005348BB">
        <w:t xml:space="preserve">Для ряда целевых задач в области биоразнообразия, принятых в Айти, было </w:t>
      </w:r>
      <w:proofErr w:type="gramStart"/>
      <w:r w:rsidRPr="005348BB">
        <w:t>получено сравнительно мало</w:t>
      </w:r>
      <w:proofErr w:type="gramEnd"/>
      <w:r w:rsidRPr="005348BB">
        <w:t xml:space="preserve"> информации на глобальном уровне, однако в последние четыре года объем информации увеличился. Это</w:t>
      </w:r>
      <w:r w:rsidR="005348BB">
        <w:t>,</w:t>
      </w:r>
      <w:r w:rsidRPr="005348BB">
        <w:t xml:space="preserve"> в частности</w:t>
      </w:r>
      <w:r w:rsidR="005348BB">
        <w:t>,</w:t>
      </w:r>
      <w:r w:rsidRPr="005348BB">
        <w:t xml:space="preserve"> касается целевых задач, связанных с социально-экономическими проблемами, как например целевые задачи 1, 2, 3 и 18. Этот пробел указывает на необходимость более широкого использования социальных наук при оценке прогресса в выполнени</w:t>
      </w:r>
      <w:r w:rsidR="005348BB">
        <w:t>и</w:t>
      </w:r>
      <w:r w:rsidRPr="005348BB">
        <w:t xml:space="preserve"> целевых задач по сохранению и устойчивому использованию биоразнообразия, принятых в Айти. Кроме того,</w:t>
      </w:r>
      <w:r w:rsidR="004E6123" w:rsidRPr="005348BB">
        <w:t xml:space="preserve"> </w:t>
      </w:r>
      <w:r w:rsidRPr="005348BB">
        <w:t xml:space="preserve">в научных изданиях было </w:t>
      </w:r>
      <w:proofErr w:type="gramStart"/>
      <w:r w:rsidRPr="005348BB">
        <w:t>опубликовано сравнительно мало</w:t>
      </w:r>
      <w:proofErr w:type="gramEnd"/>
      <w:r w:rsidRPr="005348BB">
        <w:t xml:space="preserve"> информации в отношении целевых задач 16, 17 и 20. Эти целевые задачи будут дополнительно рассмотрены наряду с целевой</w:t>
      </w:r>
      <w:r w:rsidR="004E6123" w:rsidRPr="005348BB">
        <w:t xml:space="preserve"> </w:t>
      </w:r>
      <w:r w:rsidRPr="005348BB">
        <w:t>задачей 3 в ходе второго совещания Вспомогательного органа по осуществлению.</w:t>
      </w:r>
    </w:p>
    <w:p w:rsidR="00D1411A" w:rsidRPr="005348BB" w:rsidRDefault="00DF6515" w:rsidP="00027F74">
      <w:pPr>
        <w:pStyle w:val="StylePara1HeadingsCSTimesNewRoman"/>
        <w:rPr>
          <w:kern w:val="22"/>
        </w:rPr>
      </w:pPr>
      <w:r w:rsidRPr="005348BB">
        <w:t xml:space="preserve">В 2014 году в рамках </w:t>
      </w:r>
      <w:r w:rsidR="00CF7C83" w:rsidRPr="005348BB">
        <w:t>четвертого издания Глобальной перспективы в области биоразнообразия</w:t>
      </w:r>
      <w:r w:rsidRPr="005348BB">
        <w:t xml:space="preserve"> была проведена среднесрочная оценка результатов выполнения целевых задач по сохранению и устойчивому использованию биоразнообразия, принятых в Айти. В ней был сделан вывод о том, что за исключением целевой задачи 16 по Нагойскому протоколу ни одна целевая задача</w:t>
      </w:r>
      <w:r w:rsidR="004E6123" w:rsidRPr="005348BB">
        <w:t xml:space="preserve"> </w:t>
      </w:r>
      <w:r w:rsidRPr="005348BB">
        <w:t xml:space="preserve">не была полностью выполнена. В отношении семи целевых задач (1, 7, 11, 17, 18, 19 и 20) </w:t>
      </w:r>
      <w:proofErr w:type="gramStart"/>
      <w:r w:rsidRPr="005348BB">
        <w:t>был</w:t>
      </w:r>
      <w:proofErr w:type="gramEnd"/>
      <w:r w:rsidRPr="005348BB">
        <w:t xml:space="preserve"> достигнут определенный прогресс как минимум по одному элементу, однако не такими темпами, которые бы позволили выполн</w:t>
      </w:r>
      <w:r w:rsidR="002C5426" w:rsidRPr="005348BB">
        <w:t>ить их в полном объеме</w:t>
      </w:r>
      <w:r w:rsidRPr="005348BB">
        <w:t>. В отношении семи целевых задач (2, 3, 4, 6, 9, 13 и 15) не было достигнуто никакого прогресса</w:t>
      </w:r>
      <w:r w:rsidR="009909A1">
        <w:t>,</w:t>
      </w:r>
      <w:r w:rsidRPr="005348BB">
        <w:t xml:space="preserve"> по меньшей мере</w:t>
      </w:r>
      <w:r w:rsidR="009909A1">
        <w:t>,</w:t>
      </w:r>
      <w:r w:rsidRPr="005348BB">
        <w:t xml:space="preserve"> по одному элементу, а в пяти целевых задачах (5, 8, 10, 12 и 14) был отмечен</w:t>
      </w:r>
      <w:r w:rsidR="009909A1">
        <w:t>,</w:t>
      </w:r>
      <w:r w:rsidRPr="005348BB">
        <w:t xml:space="preserve"> </w:t>
      </w:r>
      <w:r w:rsidR="009909A1">
        <w:t>как минимум,</w:t>
      </w:r>
      <w:r w:rsidRPr="005348BB">
        <w:t xml:space="preserve"> один элемент, который отклонился от выполнения цели.</w:t>
      </w:r>
      <w:r w:rsidR="004E6123" w:rsidRPr="005348BB">
        <w:t xml:space="preserve"> </w:t>
      </w:r>
    </w:p>
    <w:p w:rsidR="00153D15" w:rsidRPr="005348BB" w:rsidRDefault="00344E86" w:rsidP="00027F74">
      <w:pPr>
        <w:pStyle w:val="StylePara1HeadingsCSTimesNewRoman"/>
        <w:rPr>
          <w:kern w:val="22"/>
        </w:rPr>
      </w:pPr>
      <w:r w:rsidRPr="005348BB">
        <w:t xml:space="preserve">В информации, почерпнутой из научной литературы, не содержится каких-либо сведений об общих изменениях в оценке прогресса на пути выполнения целевых задач в области биоразнообразия, принятых в Айти, представленной в </w:t>
      </w:r>
      <w:r w:rsidR="00F0557B" w:rsidRPr="005348BB">
        <w:t>четвертом издании Глобальной перспективы в области биоразнообразия</w:t>
      </w:r>
      <w:r w:rsidRPr="005348BB">
        <w:t>.</w:t>
      </w:r>
      <w:r w:rsidR="004E6123" w:rsidRPr="005348BB">
        <w:t xml:space="preserve"> </w:t>
      </w:r>
      <w:r w:rsidRPr="005348BB">
        <w:t xml:space="preserve">Однако в этой информации также отмечается, что </w:t>
      </w:r>
      <w:proofErr w:type="gramStart"/>
      <w:r w:rsidRPr="005348BB">
        <w:t>был</w:t>
      </w:r>
      <w:proofErr w:type="gramEnd"/>
      <w:r w:rsidRPr="005348BB">
        <w:t xml:space="preserve"> достигнут определенный прогресс, например, в отношении восстановления различных типов экосистем, улучшения управления рыбным промыслом, замедления темпов утраты лесов и регламентирования использования пластиковых пакетов. Кроме того, был опубликован ряд исследований, которые свидетельствуют об ухудшении ситуации по некоторым аспектам биоразнообразия, включая предоставление определенных видов экосистемных услуг, исчезновение видов и темпы утраты некоторых типов мест обитания. Аналогичным образом, ряд исследований, посвященных сценариям и моделям утраты биоразнообразия, свидетельствуют о том, что в случае сохранения инерционных сценариев процесс утраты биоразнообразия будет продолжаться в обозримом будущем. </w:t>
      </w:r>
    </w:p>
    <w:p w:rsidR="005304CF" w:rsidRPr="005348BB" w:rsidRDefault="00344E86" w:rsidP="00027F74">
      <w:pPr>
        <w:pStyle w:val="StylePara1HeadingsCSTimesNewRoman"/>
        <w:rPr>
          <w:kern w:val="22"/>
        </w:rPr>
      </w:pPr>
      <w:r w:rsidRPr="005348BB">
        <w:t>В целом современная научн</w:t>
      </w:r>
      <w:r w:rsidR="00A02321" w:rsidRPr="005348BB">
        <w:t xml:space="preserve">ая литература свидетельствует об актуальности </w:t>
      </w:r>
      <w:r w:rsidRPr="005348BB">
        <w:t>сделанны</w:t>
      </w:r>
      <w:r w:rsidR="00A02321" w:rsidRPr="005348BB">
        <w:t>х</w:t>
      </w:r>
      <w:r w:rsidRPr="005348BB">
        <w:t xml:space="preserve"> в </w:t>
      </w:r>
      <w:r w:rsidR="00F0557B" w:rsidRPr="005348BB">
        <w:t>четвертом издании Глобальной перспективы в области биоразнообразия</w:t>
      </w:r>
      <w:r w:rsidRPr="005348BB">
        <w:t xml:space="preserve"> вывод</w:t>
      </w:r>
      <w:r w:rsidR="00A02321" w:rsidRPr="005348BB">
        <w:t>ов</w:t>
      </w:r>
      <w:r w:rsidRPr="005348BB">
        <w:t xml:space="preserve"> о том, что для выполнения к 2020 году целевых задач </w:t>
      </w:r>
      <w:r w:rsidR="00A02321" w:rsidRPr="005348BB">
        <w:t xml:space="preserve">в области </w:t>
      </w:r>
      <w:r w:rsidRPr="005348BB">
        <w:t>биоразнообразия, принятых в Айти, нынешний прогресс будет недостаточным,</w:t>
      </w:r>
      <w:r w:rsidR="004E6123" w:rsidRPr="005348BB">
        <w:t xml:space="preserve"> </w:t>
      </w:r>
      <w:r w:rsidRPr="005348BB">
        <w:t xml:space="preserve">и что для реализации </w:t>
      </w:r>
      <w:hyperlink r:id="rId18" w:history="1">
        <w:r w:rsidRPr="005348BB">
          <w:rPr>
            <w:rStyle w:val="Lienhypertexte"/>
          </w:rPr>
          <w:t>Стратегического плана в области</w:t>
        </w:r>
        <w:r w:rsidR="004E6123" w:rsidRPr="005348BB">
          <w:rPr>
            <w:rStyle w:val="Lienhypertexte"/>
          </w:rPr>
          <w:t xml:space="preserve"> </w:t>
        </w:r>
        <w:r w:rsidRPr="005348BB">
          <w:rPr>
            <w:rStyle w:val="Lienhypertexte"/>
          </w:rPr>
          <w:t>сохранения и устойчивого использования биоразнообразия на 2011-2020 годы</w:t>
        </w:r>
      </w:hyperlink>
      <w:r w:rsidRPr="005348BB">
        <w:t xml:space="preserve"> необходи</w:t>
      </w:r>
      <w:r w:rsidR="00A02321" w:rsidRPr="005348BB">
        <w:t>мо принятие дополнительных мер</w:t>
      </w:r>
      <w:r w:rsidRPr="005348BB">
        <w:t xml:space="preserve">. В научной литературе также указывается, что содержащаяся в </w:t>
      </w:r>
      <w:r w:rsidR="00F0557B" w:rsidRPr="005348BB">
        <w:t>четвертом</w:t>
      </w:r>
      <w:r w:rsidR="00257083" w:rsidRPr="005348BB">
        <w:t xml:space="preserve"> издании Глобальной перспективы</w:t>
      </w:r>
      <w:r w:rsidR="00F0557B" w:rsidRPr="005348BB">
        <w:t xml:space="preserve"> </w:t>
      </w:r>
      <w:r w:rsidRPr="005348BB">
        <w:t xml:space="preserve">оценка прогресса на пути выполнения целевых задач по сохранению и устойчивому использованию биоразнообразия, принятых в Айти, сохраняет свою актуальность. Эти выводы соответствуют результатам оценки и анализа информации, содержащимся в пятых национальных докладах и национальных стратегиях и планах действий в области биоразнообразия, которые были разработаны, обновлены или пересмотрены после принятия Стратегического плана в области биоразнообразия на 2011-2020 годы. </w:t>
      </w:r>
    </w:p>
    <w:p w:rsidR="00540797" w:rsidRPr="005348BB" w:rsidRDefault="005304CF" w:rsidP="00027F74">
      <w:pPr>
        <w:pStyle w:val="StylePara1HeadingsCSTimesNewRoman"/>
        <w:rPr>
          <w:kern w:val="22"/>
        </w:rPr>
      </w:pPr>
      <w:r w:rsidRPr="005348BB">
        <w:t>Между принятием мер и</w:t>
      </w:r>
      <w:r w:rsidR="004E6123" w:rsidRPr="005348BB">
        <w:t xml:space="preserve"> </w:t>
      </w:r>
      <w:r w:rsidRPr="005348BB">
        <w:t xml:space="preserve">появлением заметных изменений в биологических, социально-экономических и политических системах зачастую возникают задержки. Кроме того, задержки наблюдаются между моментом сбора информации и моментом публикации этой информации. К </w:t>
      </w:r>
      <w:r w:rsidRPr="005348BB">
        <w:lastRenderedPageBreak/>
        <w:t xml:space="preserve">примеру, хотя в настоящем обзоре основное внимание уделяется исследованиям, опубликованным после 2014 года, многие комплекты данных и информация, на которых основаны эти публикации, были собраны до этого периода. </w:t>
      </w:r>
    </w:p>
    <w:p w:rsidR="00D4440A" w:rsidRPr="005348BB" w:rsidRDefault="00540797" w:rsidP="00972993">
      <w:pPr>
        <w:pStyle w:val="Titre2"/>
        <w:numPr>
          <w:ilvl w:val="0"/>
          <w:numId w:val="46"/>
        </w:numPr>
        <w:rPr>
          <w:snapToGrid w:val="0"/>
          <w:kern w:val="22"/>
        </w:rPr>
      </w:pPr>
      <w:r w:rsidRPr="005348BB">
        <w:rPr>
          <w:snapToGrid w:val="0"/>
        </w:rPr>
        <w:t>Краткий обзор информации по индикаторам</w:t>
      </w:r>
    </w:p>
    <w:p w:rsidR="00C40969" w:rsidRPr="005348BB" w:rsidRDefault="003B2BAA" w:rsidP="00D54698">
      <w:pPr>
        <w:pStyle w:val="Para1"/>
        <w:tabs>
          <w:tab w:val="clear" w:pos="360"/>
        </w:tabs>
        <w:rPr>
          <w:kern w:val="22"/>
        </w:rPr>
      </w:pPr>
      <w:r w:rsidRPr="005348BB">
        <w:t xml:space="preserve">В четвертом издании Глобальной перспективы в области биоразнообразия использовалось 55 индикаторов. В отношении 29 индикаторов были получены дополнительные данные после публикации </w:t>
      </w:r>
      <w:r w:rsidR="00F0557B" w:rsidRPr="005348BB">
        <w:t>четвертого издания Глобальной перспективы</w:t>
      </w:r>
      <w:r w:rsidRPr="005348BB">
        <w:t xml:space="preserve">. Кроме того, для оценки прогресса на пути выполнения целевых задач по сохранению и устойчивому использованию биоразнообразия, принятых в Айти, было выявлено еще 17 индикаторов, которые не использовались в </w:t>
      </w:r>
      <w:r w:rsidR="00F0557B" w:rsidRPr="005348BB">
        <w:t>четвертом издании Глобальной перспективы в области биоразнообразия</w:t>
      </w:r>
      <w:r w:rsidRPr="005348BB">
        <w:t xml:space="preserve"> (см. Приложение I). Из этих 46 индикаторов</w:t>
      </w:r>
      <w:r w:rsidR="004024B0" w:rsidRPr="005348BB">
        <w:rPr>
          <w:vertAlign w:val="superscript"/>
          <w:lang w:val="en-GB"/>
        </w:rPr>
        <w:footnoteReference w:id="6"/>
      </w:r>
      <w:r w:rsidR="004024B0" w:rsidRPr="005348BB">
        <w:rPr>
          <w:lang w:val="en-GB"/>
        </w:rPr>
        <w:t xml:space="preserve"> </w:t>
      </w:r>
      <w:r w:rsidRPr="005348BB">
        <w:t xml:space="preserve">19 свидетельствуют о тенденциях, которые можно считать положительными для биоразнообразия, а один индикатор </w:t>
      </w:r>
      <w:r w:rsidR="00304E5D" w:rsidRPr="005348BB">
        <w:t>–</w:t>
      </w:r>
      <w:r w:rsidRPr="005348BB">
        <w:t xml:space="preserve"> о</w:t>
      </w:r>
      <w:r w:rsidR="00304E5D" w:rsidRPr="005348BB">
        <w:t xml:space="preserve"> </w:t>
      </w:r>
      <w:r w:rsidRPr="005348BB">
        <w:t xml:space="preserve">неопределенной тенденции. Остальные индикаторы свидетельствовали об отрицательных последствиях. Все 19 индикаторов, отражающих положительные тенденции, связаны с мерами, предпринимаемыми Сторонами для сохранения и устойчивого использования биоразнообразия. Двадцать шесть индикаторов, отражающих отрицательные тенденции для биоразнообразия, связаны с состоянием биоразнообразия, с оказываемым на него давлением и представляемыми им выгодами. Кроме того, общие тенденции в отношении индикаторов, которые </w:t>
      </w:r>
      <w:proofErr w:type="gramStart"/>
      <w:r w:rsidRPr="005348BB">
        <w:t xml:space="preserve">использовались в </w:t>
      </w:r>
      <w:r w:rsidR="00F0557B" w:rsidRPr="005348BB">
        <w:t>четвертом издании</w:t>
      </w:r>
      <w:r w:rsidRPr="005348BB">
        <w:t xml:space="preserve"> и в отношении которых поступила</w:t>
      </w:r>
      <w:proofErr w:type="gramEnd"/>
      <w:r w:rsidRPr="005348BB">
        <w:t xml:space="preserve"> обновленная информация, не претерпели изменений. В соответствии с данной информацией и как сообщалось ранее в </w:t>
      </w:r>
      <w:r w:rsidR="00304E5D" w:rsidRPr="005348BB">
        <w:t xml:space="preserve">четвертом издании Глобальной перспективы, </w:t>
      </w:r>
      <w:r w:rsidRPr="005348BB">
        <w:t xml:space="preserve">несмотря на активизацию мер реагирования в связи с утратой биоразнообразия, его состояние продолжает ухудшаться. </w:t>
      </w:r>
    </w:p>
    <w:p w:rsidR="00540797" w:rsidRPr="005348BB" w:rsidRDefault="00540797" w:rsidP="00972993">
      <w:pPr>
        <w:pStyle w:val="Titre2"/>
        <w:numPr>
          <w:ilvl w:val="0"/>
          <w:numId w:val="46"/>
        </w:numPr>
        <w:rPr>
          <w:snapToGrid w:val="0"/>
          <w:kern w:val="22"/>
        </w:rPr>
      </w:pPr>
      <w:r w:rsidRPr="005348BB">
        <w:rPr>
          <w:snapToGrid w:val="0"/>
        </w:rPr>
        <w:t xml:space="preserve">Краткий обзор информации из региональных оценок МПБЭУ </w:t>
      </w:r>
    </w:p>
    <w:p w:rsidR="00844BB5" w:rsidRPr="005348BB" w:rsidRDefault="00844BB5" w:rsidP="00027F74">
      <w:pPr>
        <w:pStyle w:val="StylePara1HeadingsCSTimesNewRoman"/>
        <w:rPr>
          <w:kern w:val="22"/>
        </w:rPr>
      </w:pPr>
      <w:r w:rsidRPr="005348BB">
        <w:t>На шестой сессии Межправительственная научно-политическая платформа утвердила резюме для директивных органов, посвященные региональным и субрегиональным оценкам по вопросам биоразнообразия и экосистемных услуг для Африки, Северной и Южной Америки, Азии и Тихого океана и Европы и Центральной Азии, и приняла главы этих оценок и их исполнительн</w:t>
      </w:r>
      <w:r w:rsidR="004024B0" w:rsidRPr="005348BB">
        <w:t>ые</w:t>
      </w:r>
      <w:r w:rsidRPr="005348BB">
        <w:t xml:space="preserve"> резюме</w:t>
      </w:r>
      <w:r w:rsidR="004024B0" w:rsidRPr="005348BB">
        <w:rPr>
          <w:vertAlign w:val="superscript"/>
          <w:lang w:val="en-GB"/>
        </w:rPr>
        <w:footnoteReference w:id="7"/>
      </w:r>
      <w:r w:rsidRPr="005348BB">
        <w:t>.</w:t>
      </w:r>
      <w:r w:rsidR="004E6123" w:rsidRPr="005348BB">
        <w:t xml:space="preserve"> </w:t>
      </w:r>
      <w:r w:rsidRPr="005348BB">
        <w:t xml:space="preserve">В ключевых тезисах оценки выделяются различные проблемы, имеющие актуальное значение для осуществления Стратегического плана в области сохранения и устойчивого использования биоразнообразия на 2011-2020 годы, потенциальной разработки глобальной рамочной программы в области биоразнообразия на период после 2020 года и осуществления Конвенции о биологическом разнообразии в целом. </w:t>
      </w:r>
    </w:p>
    <w:p w:rsidR="00844BB5" w:rsidRPr="005348BB" w:rsidRDefault="00844BB5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 xml:space="preserve">Во всех оценках подчеркивается важное значение биоразнообразия для благополучия человека и устойчивого развития и отмечается, что каждый регион обладает </w:t>
      </w:r>
      <w:proofErr w:type="gramStart"/>
      <w:r w:rsidRPr="005348BB">
        <w:t>уникальным</w:t>
      </w:r>
      <w:proofErr w:type="gramEnd"/>
      <w:r w:rsidRPr="005348BB">
        <w:t xml:space="preserve"> биоразнообразием.</w:t>
      </w:r>
      <w:r w:rsidR="004E6123" w:rsidRPr="005348BB">
        <w:t xml:space="preserve"> </w:t>
      </w:r>
      <w:r w:rsidRPr="005348BB">
        <w:t>Однако все оценки также указывают на то, что состояние биоразнообразия продолжает ухудшаться, несмотря на определенный прогресс, достигнутый в конкретных экосистемах или отдельных зонах.</w:t>
      </w:r>
      <w:r w:rsidR="004E6123" w:rsidRPr="005348BB">
        <w:t xml:space="preserve"> </w:t>
      </w:r>
      <w:r w:rsidRPr="005348BB">
        <w:t xml:space="preserve">Сокращение биоразнообразия влечет за собой сокращение объема экосистемных услуг и в этой связи должно рассматриваться как угроза устойчивому развитию и благосостоянию человека. </w:t>
      </w:r>
    </w:p>
    <w:p w:rsidR="00DA1081" w:rsidRPr="005348BB" w:rsidRDefault="00844BB5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>В оценках отмечается, что в регионах продолжает возрастать нагрузка на биоразнообразие.</w:t>
      </w:r>
      <w:r w:rsidR="004E6123" w:rsidRPr="005348BB">
        <w:t xml:space="preserve"> </w:t>
      </w:r>
      <w:r w:rsidRPr="005348BB">
        <w:t>Основными факторами нагрузки на биоразнообразие по-прежнему остаются изменение мест обитания, изменение климата, инвазивные чужеродные виды, загрязнение окружающей среды и нерациональное использование; однако относительное значение этих факторов варьируется в зависимости от региона. В большинстве регионов отмечается, что, как предполагается, в будущем основную нагрузку на биоразнообразие будет создавать изменение климата.</w:t>
      </w:r>
      <w:r w:rsidR="004E6123" w:rsidRPr="005348BB">
        <w:t xml:space="preserve"> </w:t>
      </w:r>
      <w:r w:rsidRPr="005348BB">
        <w:t>На эти прямые факторы влияют такие аспекты, как рост численности населения, урбанизация, социально-</w:t>
      </w:r>
      <w:r w:rsidRPr="005348BB">
        <w:lastRenderedPageBreak/>
        <w:t>политическое и культурное давление (косвенные факторы).</w:t>
      </w:r>
      <w:r w:rsidR="004E6123" w:rsidRPr="005348BB">
        <w:t xml:space="preserve"> </w:t>
      </w:r>
      <w:r w:rsidRPr="005348BB">
        <w:t>Кроме того, в оценках отмечается, что прямые факторы утраты биоразнообразия часто взаимодействуют между собой, а также с косвенными факторами, усиливая их общее пагубное воздействие.</w:t>
      </w:r>
      <w:r w:rsidR="004E6123" w:rsidRPr="005348BB">
        <w:t xml:space="preserve"> </w:t>
      </w:r>
    </w:p>
    <w:p w:rsidR="00DA1081" w:rsidRPr="005348BB" w:rsidRDefault="00844BB5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>Отмечается, что во всех регионах принимаются меры по сохранению и устойчивому использованию биоразнообразия.</w:t>
      </w:r>
      <w:r w:rsidR="004E6123" w:rsidRPr="005348BB">
        <w:t xml:space="preserve"> </w:t>
      </w:r>
      <w:r w:rsidRPr="005348BB">
        <w:t>Вместе с тем этих мер по большей части недостаточно.</w:t>
      </w:r>
      <w:r w:rsidR="004E6123" w:rsidRPr="005348BB">
        <w:t xml:space="preserve"> </w:t>
      </w:r>
      <w:r w:rsidRPr="005348BB">
        <w:t xml:space="preserve">Кроме того, подчеркивается, что, несмотря на разработку различных </w:t>
      </w:r>
      <w:proofErr w:type="gramStart"/>
      <w:r w:rsidRPr="005348BB">
        <w:t>планов</w:t>
      </w:r>
      <w:proofErr w:type="gramEnd"/>
      <w:r w:rsidRPr="005348BB">
        <w:t xml:space="preserve"> и стратегий по сохранению и устойчивому использованию биоразнообразия, они, как правило, не воплощаются в конкретные действия.</w:t>
      </w:r>
      <w:r w:rsidR="004E6123" w:rsidRPr="005348BB">
        <w:t xml:space="preserve"> </w:t>
      </w:r>
    </w:p>
    <w:p w:rsidR="00DA1081" w:rsidRPr="005348BB" w:rsidRDefault="00844BB5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>В ходе региональных оценок были выявлены различные меры, которые могут быть приняты для улучшения состояния и тенденций в области биоразнообразия.</w:t>
      </w:r>
      <w:r w:rsidR="004E6123" w:rsidRPr="005348BB">
        <w:t xml:space="preserve"> </w:t>
      </w:r>
      <w:r w:rsidRPr="005348BB">
        <w:t>Можно выделить несколько типов выявленных мер, включая законодательные, нормативные, стимулирующие и правовые.</w:t>
      </w:r>
      <w:r w:rsidR="004E6123" w:rsidRPr="005348BB">
        <w:t xml:space="preserve"> </w:t>
      </w:r>
      <w:r w:rsidRPr="005348BB">
        <w:t>Вместе с тем было также отмечено, что принимаемые меры потребуют компромиссного выбора между различными приоритетами общества и будет необходимо обеспечить соответствующий баланс.</w:t>
      </w:r>
      <w:r w:rsidR="004E6123" w:rsidRPr="005348BB">
        <w:t xml:space="preserve"> </w:t>
      </w:r>
      <w:r w:rsidRPr="005348BB">
        <w:t>Кроме того, некоторые из этих компромиссов могут охватывать различные временные масштабы.</w:t>
      </w:r>
      <w:r w:rsidR="004E6123" w:rsidRPr="005348BB">
        <w:t xml:space="preserve"> </w:t>
      </w:r>
      <w:r w:rsidRPr="005348BB">
        <w:t xml:space="preserve">В этой связи необходимо уделять больше внимания вопросам, касающимся </w:t>
      </w:r>
      <w:r w:rsidR="00CF2E69">
        <w:t>воздействия</w:t>
      </w:r>
      <w:r w:rsidRPr="005348BB">
        <w:t xml:space="preserve"> политических стратегий и их побочным последствиям.</w:t>
      </w:r>
      <w:r w:rsidR="004E6123" w:rsidRPr="005348BB">
        <w:t xml:space="preserve"> </w:t>
      </w:r>
      <w:r w:rsidRPr="005348BB">
        <w:t xml:space="preserve">Кроме того, выявленные меры носят общий характер и должны быть адаптированы к конкретным национальным условиям и масштабам, с </w:t>
      </w:r>
      <w:proofErr w:type="gramStart"/>
      <w:r w:rsidRPr="005348BB">
        <w:t>тем</w:t>
      </w:r>
      <w:proofErr w:type="gramEnd"/>
      <w:r w:rsidRPr="005348BB">
        <w:t xml:space="preserve"> чтобы обеспечить их эффективное осуществление.</w:t>
      </w:r>
      <w:r w:rsidR="004E6123" w:rsidRPr="005348BB">
        <w:t xml:space="preserve"> </w:t>
      </w:r>
      <w:r w:rsidRPr="005348BB">
        <w:t>В целом выявленные в резюме меры указывают на необходимость фундаментальных преобразований принятых в обществе моделей взаимодействия с биоразнообразием и управления этим взаимодействием.</w:t>
      </w:r>
    </w:p>
    <w:p w:rsidR="00DA1081" w:rsidRPr="005348BB" w:rsidRDefault="00844BB5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>По итогам четырех оценок был сформулирован вывод о необходимости создания систем управления, позволяющих решать вопросы в области биоразнообразия на согласованной основе. Отмечается также потребность в более эффективной интеграции или актуализации тематики биоразнообразия во все сектора деятельности общества. В оценках были определены средства для решения этих задач, которые включают в себя</w:t>
      </w:r>
      <w:r w:rsidR="008C3B43" w:rsidRPr="005348BB">
        <w:t xml:space="preserve">: </w:t>
      </w:r>
      <w:r w:rsidR="008C3B43" w:rsidRPr="005348BB">
        <w:rPr>
          <w:lang w:val="fr-FR"/>
        </w:rPr>
        <w:t>a)</w:t>
      </w:r>
      <w:r w:rsidRPr="005348BB">
        <w:t xml:space="preserve"> более широкое использование основанных на всеобщем участии подходов к управлению</w:t>
      </w:r>
      <w:r w:rsidR="008C3B43" w:rsidRPr="005348BB">
        <w:rPr>
          <w:lang w:val="fr-FR"/>
        </w:rPr>
        <w:t>; b)</w:t>
      </w:r>
      <w:r w:rsidRPr="005348BB">
        <w:t xml:space="preserve"> наращивание потенциала субъектов деятельности с тем, чтобы они могли конструктивно участвовать в процессе принятия решений</w:t>
      </w:r>
      <w:r w:rsidR="008C3B43" w:rsidRPr="005348BB">
        <w:rPr>
          <w:lang w:val="fr-FR"/>
        </w:rPr>
        <w:t>; c)</w:t>
      </w:r>
      <w:r w:rsidRPr="005348BB">
        <w:t xml:space="preserve"> повышение уровня информированности по вопросам биоразнообразия посредством эффективной коммуникации и образования</w:t>
      </w:r>
      <w:r w:rsidR="008C3B43" w:rsidRPr="005348BB">
        <w:rPr>
          <w:lang w:val="fr-FR"/>
        </w:rPr>
        <w:t>; d)</w:t>
      </w:r>
      <w:r w:rsidRPr="005348BB">
        <w:t xml:space="preserve"> укрепление научно-исследовательской деятельности и мониторинга в области биоразнообразия</w:t>
      </w:r>
      <w:r w:rsidR="008C3B43" w:rsidRPr="005348BB">
        <w:rPr>
          <w:lang w:val="fr-FR"/>
        </w:rPr>
        <w:t xml:space="preserve"> </w:t>
      </w:r>
      <w:r w:rsidR="008C3B43" w:rsidRPr="005348BB">
        <w:t xml:space="preserve">и </w:t>
      </w:r>
      <w:r w:rsidR="008C3B43" w:rsidRPr="005348BB">
        <w:rPr>
          <w:lang w:val="fr-FR"/>
        </w:rPr>
        <w:t>e)</w:t>
      </w:r>
      <w:r w:rsidRPr="005348BB">
        <w:t xml:space="preserve"> расширение доступа к финансовым ресурсам и технологиям.</w:t>
      </w:r>
      <w:r w:rsidR="004E6123" w:rsidRPr="005348BB">
        <w:t xml:space="preserve"> </w:t>
      </w:r>
      <w:r w:rsidRPr="005348BB">
        <w:t xml:space="preserve">Однако в оценках также отмечается, что не существует единого подхода к управлению и что оно должно быть адаптировано к национальному контексту. </w:t>
      </w:r>
    </w:p>
    <w:p w:rsidR="00DA1081" w:rsidRPr="005348BB" w:rsidRDefault="00844BB5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>В ходе региональных оценок также изучались различные сценарии, определяющие возможные пути развития.</w:t>
      </w:r>
      <w:r w:rsidR="004E6123" w:rsidRPr="005348BB">
        <w:t xml:space="preserve"> </w:t>
      </w:r>
      <w:r w:rsidRPr="005348BB">
        <w:t xml:space="preserve">Пути, предполагающие принятие решений в области биоразнообразия на </w:t>
      </w:r>
      <w:proofErr w:type="spellStart"/>
      <w:r w:rsidRPr="005348BB">
        <w:t>проактивной</w:t>
      </w:r>
      <w:proofErr w:type="spellEnd"/>
      <w:r w:rsidRPr="005348BB">
        <w:t xml:space="preserve"> основе с использованием комплексных подходов, позволили достичь </w:t>
      </w:r>
      <w:proofErr w:type="gramStart"/>
      <w:r w:rsidRPr="005348BB">
        <w:t>более положительных</w:t>
      </w:r>
      <w:proofErr w:type="gramEnd"/>
      <w:r w:rsidRPr="005348BB">
        <w:t xml:space="preserve"> результатов, нежели направления развития, в рамках которых эти принципы не применялись.</w:t>
      </w:r>
      <w:r w:rsidR="004E6123" w:rsidRPr="005348BB">
        <w:t xml:space="preserve"> </w:t>
      </w:r>
      <w:r w:rsidRPr="005348BB">
        <w:t>Кроме того, рассмотренные в оценках пути указывают на то, что для достижения желаемых преобразований потребуется сочетание различных стратегий, включающих в себя правовые, нормативные, экономические и социальные меры.</w:t>
      </w:r>
      <w:r w:rsidR="004E6123" w:rsidRPr="005348BB">
        <w:t xml:space="preserve"> </w:t>
      </w:r>
      <w:r w:rsidRPr="005348BB">
        <w:t>В наиболее эффективных сценариях с точки зрения сохранения и устойчивого использования биоразнообразия особое внимание уделяется учету проблематики биоразнообразия в траектории развития на субнациональном и местном уровнях, а также долгосрочным социальным преобразованиям или изменению моделей поведения посредством образования, обмена знаниями и принятия решений на основе широкого участия.</w:t>
      </w:r>
      <w:r w:rsidR="004E6123" w:rsidRPr="005348BB">
        <w:t xml:space="preserve"> </w:t>
      </w:r>
    </w:p>
    <w:p w:rsidR="00DA1081" w:rsidRPr="005348BB" w:rsidRDefault="00844BB5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>В ходе региональных оценок был выявлен ряд информационных пробелов, которые в случае их устранения позволят расширить возможности в области оценки биоразнообразия, а также принимать более эффективные меры по его сохранению и устойчивому использованию.</w:t>
      </w:r>
      <w:r w:rsidR="004E6123" w:rsidRPr="005348BB">
        <w:t xml:space="preserve"> </w:t>
      </w:r>
      <w:r w:rsidRPr="005348BB">
        <w:t xml:space="preserve">К числу выявленных пробелов относится информация о воздействии утраты биоразнообразия на качество жизни людей и экосистемные услуги, нематериальное значение биоразнообразия, </w:t>
      </w:r>
      <w:r w:rsidRPr="005348BB">
        <w:lastRenderedPageBreak/>
        <w:t>взаимосвязь между косвенными и прямыми факторами утраты биоразнообразия, информация о вкладе коренных народов и местных общин в сохранение биоразнообразия и дополнительная информация о</w:t>
      </w:r>
      <w:r w:rsidR="009909A1">
        <w:t>б</w:t>
      </w:r>
      <w:r w:rsidRPr="005348BB">
        <w:t xml:space="preserve"> эффективных методах актуализации тематики биоразнообразия.</w:t>
      </w:r>
      <w:r w:rsidR="004E6123" w:rsidRPr="005348BB">
        <w:t xml:space="preserve"> </w:t>
      </w:r>
      <w:r w:rsidRPr="005348BB">
        <w:t>В некоторых региональных оценках также отмечалась необходимость получения актуальной информации с более четкой географической привязкой и потребность в данных о конкретных экосистемах, например о</w:t>
      </w:r>
      <w:r w:rsidR="009909A1">
        <w:t>б</w:t>
      </w:r>
      <w:r w:rsidRPr="005348BB">
        <w:t xml:space="preserve"> экосистемах, связанных с морской средой.</w:t>
      </w:r>
      <w:r w:rsidR="004E6123" w:rsidRPr="005348BB">
        <w:t xml:space="preserve"> </w:t>
      </w:r>
      <w:r w:rsidRPr="005348BB">
        <w:t>Кроме того, в оценке для Африки отмечалось, что ограниченные данные по Африке представляют собой сложность.</w:t>
      </w:r>
      <w:r w:rsidR="004E6123" w:rsidRPr="005348BB">
        <w:t xml:space="preserve"> </w:t>
      </w:r>
    </w:p>
    <w:p w:rsidR="00DA1081" w:rsidRPr="005348BB" w:rsidRDefault="00844BB5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 xml:space="preserve">В частности, применительно к сценариям и моделированию отмечалась потребность в </w:t>
      </w:r>
      <w:proofErr w:type="gramStart"/>
      <w:r w:rsidRPr="005348BB">
        <w:t>более комплексных</w:t>
      </w:r>
      <w:proofErr w:type="gramEnd"/>
      <w:r w:rsidRPr="005348BB">
        <w:t xml:space="preserve"> сценариях, а также необходимость более точной количественной оценки существующих потенциальных направлений развития.</w:t>
      </w:r>
      <w:r w:rsidR="004E6123" w:rsidRPr="005348BB">
        <w:t xml:space="preserve"> </w:t>
      </w:r>
      <w:r w:rsidRPr="005348BB">
        <w:t>Помимо этого, подчеркивалась необходимость разработки сценариев, учитывающих многочисленные прямые и косвенные факторы утраты биоразнообразия и лучше отражающих экосистемные услуги.</w:t>
      </w:r>
      <w:r w:rsidR="00A54020">
        <w:t xml:space="preserve"> </w:t>
      </w:r>
      <w:r w:rsidRPr="005348BB">
        <w:t>Кроме того, отмечалась потребность в сценариях, которые могут быть адаптированы к конкретным национальным и региональным условиям.</w:t>
      </w:r>
    </w:p>
    <w:p w:rsidR="00844BB5" w:rsidRPr="005348BB" w:rsidRDefault="00844BB5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>Ключевые тезисы резюме для директивных органов, посвященных региональным и субрегиональным оценкам по вопросам биоразнообразия и экосистемных услуг для Африки, Северной и Южной Америки, Азии и Тихого океана и Европы и Центральной Азии, согласуются с заключением четвертого издания Глобальной перспективы в области биоразнообразия, последними дискуссиями в рамках Конвенции о биологическом разнообразии и фактами из новейших научных публикациях о прогрессе в деле выполнения целевых задач по сохранению и устойчивому использованию биоразнообразия, принятых в Айти, обозначенных выше.</w:t>
      </w:r>
      <w:r w:rsidR="004E6123" w:rsidRPr="005348BB">
        <w:t xml:space="preserve"> </w:t>
      </w:r>
      <w:r w:rsidRPr="005348BB">
        <w:t>Они дополнительно подтверждают, что нагрузка на биоразнообразие возрастает, что его состояние ухудшается и, несмотря на принимаемые меры, их еще недостаточно для того, чтобы предотвратить утрату биоразнообразия.</w:t>
      </w:r>
      <w:r w:rsidR="004E6123" w:rsidRPr="005348BB">
        <w:t xml:space="preserve"> </w:t>
      </w:r>
      <w:r w:rsidRPr="005348BB">
        <w:t xml:space="preserve">Кроме того, несмотря на региональные различия, нынешние тенденции в области биоразнообразия </w:t>
      </w:r>
      <w:r w:rsidR="009D366B" w:rsidRPr="005348BB">
        <w:t xml:space="preserve">во всех регионах </w:t>
      </w:r>
      <w:r w:rsidRPr="005348BB">
        <w:t>ставят под угрозу перспективы долгосрочной устойчивости и практически исключают возможность выполнение целевых задач по сохранению и устойчивому использованию биоразнообразия, принятых в Айти, если мы продолжим движение по заданной траектории.</w:t>
      </w:r>
      <w:r w:rsidR="004E6123" w:rsidRPr="005348BB">
        <w:t xml:space="preserve"> </w:t>
      </w:r>
      <w:r w:rsidRPr="005348BB">
        <w:t>В резюме региональных оценок также подчеркивается необходимость более эффективного учета в национальных мероприятиях таких глобальных обязательств, как целевые задачи по сохранению и устойчивому использованию биоразнообразия, принятые в Айти, а также интеграции тематики биоразнообразия во все сектора.</w:t>
      </w:r>
      <w:r w:rsidR="004E6123" w:rsidRPr="005348BB">
        <w:t xml:space="preserve"> </w:t>
      </w:r>
      <w:r w:rsidRPr="005348BB">
        <w:t xml:space="preserve">Замечания о том, что существует несколько путей, обеспечивающих сохранение и устойчивое использование биоразнообразия наряду с достижением других целей общества, что потребуется сочетание различных политических мер и что мероприятия и меры должны быть адаптированы к национальным условиям и приоритетам, также согласуются с выводами </w:t>
      </w:r>
      <w:r w:rsidR="009D366B" w:rsidRPr="005348BB">
        <w:t>Вспомогательного органа</w:t>
      </w:r>
      <w:r w:rsidRPr="005348BB">
        <w:t xml:space="preserve">, содержащимися в его рекомендации </w:t>
      </w:r>
      <w:proofErr w:type="spellStart"/>
      <w:r w:rsidRPr="005348BB">
        <w:t>XXI</w:t>
      </w:r>
      <w:proofErr w:type="spellEnd"/>
      <w:r w:rsidRPr="005348BB">
        <w:t>/1.</w:t>
      </w:r>
      <w:r w:rsidR="004E6123" w:rsidRPr="005348BB">
        <w:t xml:space="preserve"> </w:t>
      </w:r>
    </w:p>
    <w:p w:rsidR="00540797" w:rsidRPr="005348BB" w:rsidRDefault="00655FB4" w:rsidP="00972993">
      <w:pPr>
        <w:pStyle w:val="Titre2"/>
        <w:rPr>
          <w:snapToGrid w:val="0"/>
          <w:kern w:val="22"/>
        </w:rPr>
      </w:pPr>
      <w:r w:rsidRPr="005348BB">
        <w:rPr>
          <w:snapToGrid w:val="0"/>
        </w:rPr>
        <w:t>D.</w:t>
      </w:r>
      <w:r w:rsidRPr="005348BB">
        <w:rPr>
          <w:snapToGrid w:val="0"/>
        </w:rPr>
        <w:tab/>
        <w:t>Краткий обзор информации о деградации земель</w:t>
      </w:r>
    </w:p>
    <w:p w:rsidR="00507602" w:rsidRPr="005348BB" w:rsidRDefault="008E57F4" w:rsidP="00655FB4">
      <w:pPr>
        <w:pStyle w:val="Para1"/>
        <w:tabs>
          <w:tab w:val="clear" w:pos="360"/>
        </w:tabs>
        <w:rPr>
          <w:kern w:val="22"/>
        </w:rPr>
      </w:pPr>
      <w:r w:rsidRPr="005348BB">
        <w:t xml:space="preserve">На шестой сессии </w:t>
      </w:r>
      <w:r w:rsidR="009D366B" w:rsidRPr="005348BB">
        <w:t xml:space="preserve">МПБЭУ </w:t>
      </w:r>
      <w:r w:rsidRPr="005348BB">
        <w:t>утвердила резюме для директивных органов тематической оценки деградации и восстановления земель</w:t>
      </w:r>
      <w:r w:rsidRPr="005348BB">
        <w:rPr>
          <w:kern w:val="22"/>
          <w:vertAlign w:val="superscript"/>
        </w:rPr>
        <w:footnoteReference w:id="8"/>
      </w:r>
      <w:r w:rsidRPr="005348BB">
        <w:t>, а также главы оценки и ее исполнительное резюме. По итогам оценки были сформулированы следующие выводы</w:t>
      </w:r>
      <w:r w:rsidR="00396EA8" w:rsidRPr="005348BB">
        <w:rPr>
          <w:vertAlign w:val="superscript"/>
          <w:lang w:val="en-GB"/>
        </w:rPr>
        <w:footnoteReference w:id="9"/>
      </w:r>
      <w:r w:rsidRPr="005348BB">
        <w:t xml:space="preserve">: 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kern w:val="22"/>
        </w:rPr>
      </w:pPr>
      <w:r w:rsidRPr="005348BB">
        <w:t>деградация земель является повсеместным, системным явлением: оно встречается во всех частях суши и может принимать различные формы. Борьба с деградацией земель и восстановление деградированных земель являются одним из неотложных приоритетов в деле охраны биоразнообразия и экосистемных услуг, жизненно необходимых всем формам жизни на Земле, и в целях обеспечения благополучия человека;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lastRenderedPageBreak/>
        <w:t>в настоящее время деградация поверхностного слоя Земли вследствие деятельности человека отрицательно сказывается на благополучии как минимум 3,2 млрд. человек, подталкивает планету к шестому массовому исчезновению видов, а ущерб от нее, выраженный в потерянном биоразнообразии и утраченных экосистемных услугах, составляет более 10 процентов годового глобального валового продукта;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инвестирование в меры по недопущению деградации земель и восстановление деградированных земель разумны с экономической точки зрения; выгоды, как правило, намного превышают затраты;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своевременные меры по предупреждению, уменьшению и обращению вспять деградации земель могут обеспечить повышение продовольственной и водной безопасности, внести существенный вклад в смягчение последствий изменения климата и адаптацию к нему, а также могут способствовать предотвращению конфликтов и миграции;</w:t>
      </w:r>
      <w:r w:rsidRPr="005348BB">
        <w:rPr>
          <w:rFonts w:asciiTheme="majorBidi" w:hAnsiTheme="majorBidi"/>
          <w:szCs w:val="22"/>
        </w:rPr>
        <w:t xml:space="preserve"> 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предупреждение, сокращение и обращение вспять деградации земель необходимо для достижения целей в области устойчивого развития, содержащихся в Повестке дня на период до 2030 года;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kern w:val="22"/>
        </w:rPr>
      </w:pPr>
      <w:r w:rsidRPr="005348BB">
        <w:t xml:space="preserve">Если не будут приняты неотложные и согласованные меры, деградация земель будет ухудшаться в условиях роста населения, беспрецедентного потребления, все более </w:t>
      </w:r>
      <w:proofErr w:type="spellStart"/>
      <w:r w:rsidRPr="005348BB">
        <w:t>глобализированной</w:t>
      </w:r>
      <w:proofErr w:type="spellEnd"/>
      <w:r w:rsidRPr="005348BB">
        <w:t xml:space="preserve"> экономики и изменения климата; 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серьезной преградой для принятия мер является отсутствие осведомленности о деградации земель как проблеме;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высокий уровень потребления в более развитых странах в сочетании с ростом потребления в развивающихся странах и странах с формирующейся экономикой являются доминирующими факторами, приводящими к деградации земель во всем мире;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последствия потребительского выбора для развития деградации земель во всем мире редко являются заметными ввиду удаленности потребителей от производителей;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институциональные, политические и управленческие меры по борьбе с деградацией земель часто носят пассивный и фрагментарный характер и принимаются без учета первопричин деградации;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деградация земель – это один из основных компонентов изменения климата, при этом само изменение климата может усугубить последствия деградации земель и сократить возможности использования некоторых решений в целях предупреждения, уменьшения и обращения вспять деградации земель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наиболее обширным глобальным прямым фактором деградации земель являются быстрое расширение пахотных и пастбищных площадей и их истощительное использование;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kern w:val="22"/>
        </w:rPr>
      </w:pPr>
      <w:r w:rsidRPr="005348BB">
        <w:t xml:space="preserve">со временем применять известные и апробированные методы борьбы с деградацией земель и, тем самым, преобразовывать жизнь миллионов людей по всей планете, станет сложнее и </w:t>
      </w:r>
      <w:proofErr w:type="spellStart"/>
      <w:r w:rsidRPr="005348BB">
        <w:t>затратнее</w:t>
      </w:r>
      <w:proofErr w:type="spellEnd"/>
      <w:r w:rsidRPr="005348BB">
        <w:t>. Для предотвращения необратимой деградации земель и ускорения осуществления мер по восстановлению необходимо в срочном порядке кардинально изменить характер усилий;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существующие многосторонние природоохранные соглашения создают беспрецедентную по масштабу и перспективному охвату платформу для принятия мер по предупреждению и уменьшению деградации земель и их восстановлению;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необходима более актуальная, надежная и доступная информация, которая позволит директивным органам, землеустроителям и покупателям товаров добиваться более бережливого управления земельными ресурсами и повышать устойчивость использования природных ресурсов в долгосрочной перспективе;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 xml:space="preserve">для предотвращения, уменьшения и обращения вспять деградации земель необходимы скоординированные политические программы, направленные на параллельное </w:t>
      </w:r>
      <w:r w:rsidRPr="005348BB">
        <w:lastRenderedPageBreak/>
        <w:t>стимулирование более устойчивого производства и практики более устойчивого потребления наземных сырьевых товаров;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чтобы предотвратить, уменьшить и обратить вспять деградацию земель, необходимо искоренить порочные стимулы, способствующие деградации, и разработать положительные стимулы, способствующие освоению устойчивых методов управления земельными ресурсами;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 xml:space="preserve">для предотвращения, уменьшения и обращения вспять деградации земель необходимы </w:t>
      </w:r>
      <w:proofErr w:type="spellStart"/>
      <w:r w:rsidRPr="005348BB">
        <w:t>общеландшафтные</w:t>
      </w:r>
      <w:proofErr w:type="spellEnd"/>
      <w:r w:rsidRPr="005348BB">
        <w:t xml:space="preserve"> подходы, предусматривающие разработку на основе наилучших имеющихся знаний и опыта программ в области сельскохозяйственной, лесной, энергетической, водной и инфраструктурной деятельности;</w:t>
      </w:r>
    </w:p>
    <w:p w:rsidR="00507602" w:rsidRPr="005348BB" w:rsidRDefault="00507602" w:rsidP="00972993">
      <w:pPr>
        <w:pStyle w:val="Para3"/>
        <w:numPr>
          <w:ilvl w:val="2"/>
          <w:numId w:val="47"/>
        </w:numPr>
        <w:tabs>
          <w:tab w:val="clear" w:pos="1440"/>
          <w:tab w:val="clear" w:pos="1980"/>
        </w:tabs>
        <w:ind w:left="0" w:firstLine="709"/>
        <w:rPr>
          <w:rFonts w:asciiTheme="majorBidi" w:hAnsiTheme="majorBidi" w:cstheme="majorBidi"/>
          <w:kern w:val="22"/>
          <w:szCs w:val="22"/>
        </w:rPr>
      </w:pPr>
      <w:r w:rsidRPr="005348BB">
        <w:t>меры по уменьшению экологического воздействия урбанизации не только призваны решать проблемы, связанные с деградацией земель в городских районах, но и могут значительно улучшить качество жизни в городах, одновременно способствуя смягчению последствий изменения климата и адаптации к ним.</w:t>
      </w:r>
    </w:p>
    <w:p w:rsidR="00A61246" w:rsidRPr="005348BB" w:rsidRDefault="00907134" w:rsidP="00027F74">
      <w:pPr>
        <w:pStyle w:val="StylePara1HeadingsCSTimesNewRoman"/>
        <w:rPr>
          <w:kern w:val="22"/>
        </w:rPr>
      </w:pPr>
      <w:proofErr w:type="gramStart"/>
      <w:r w:rsidRPr="005348BB">
        <w:t xml:space="preserve">Основные выводы оценки дополнительно подтверждают безотлагательный характер и важное значение решения проблемы деградации земель, а также мотивацию, лежащую в основе таких инициатив, как </w:t>
      </w:r>
      <w:proofErr w:type="spellStart"/>
      <w:r w:rsidRPr="005348BB">
        <w:t>Хайдарабадский</w:t>
      </w:r>
      <w:proofErr w:type="spellEnd"/>
      <w:r w:rsidRPr="005348BB">
        <w:t xml:space="preserve"> призыв к согласованным усилиям по восстановлению экосистем</w:t>
      </w:r>
      <w:r w:rsidR="00E80107" w:rsidRPr="005348BB">
        <w:rPr>
          <w:rStyle w:val="Appelnotedebasdep"/>
          <w:rFonts w:cstheme="majorBidi"/>
          <w:kern w:val="22"/>
          <w:szCs w:val="22"/>
        </w:rPr>
        <w:footnoteReference w:id="10"/>
      </w:r>
      <w:r w:rsidRPr="005348BB">
        <w:t xml:space="preserve"> и Боннская перспектива</w:t>
      </w:r>
      <w:r w:rsidR="00E80107" w:rsidRPr="005348BB">
        <w:rPr>
          <w:rStyle w:val="Appelnotedebasdep"/>
          <w:rFonts w:cstheme="majorBidi"/>
          <w:kern w:val="22"/>
          <w:szCs w:val="22"/>
        </w:rPr>
        <w:footnoteReference w:id="11"/>
      </w:r>
      <w:r w:rsidRPr="005348BB">
        <w:t xml:space="preserve">. Они также подчеркивают важность осуществления краткосрочного плана действий по восстановлению экосистем, принятого Конференцией Сторон в решении </w:t>
      </w:r>
      <w:hyperlink r:id="rId19" w:history="1">
        <w:proofErr w:type="spellStart"/>
        <w:r w:rsidRPr="005348BB">
          <w:rPr>
            <w:rStyle w:val="Lienhypertexte"/>
          </w:rPr>
          <w:t>XIII</w:t>
        </w:r>
        <w:proofErr w:type="spellEnd"/>
        <w:r w:rsidRPr="005348BB">
          <w:rPr>
            <w:rStyle w:val="Lienhypertexte"/>
          </w:rPr>
          <w:t>/5</w:t>
        </w:r>
      </w:hyperlink>
      <w:r w:rsidRPr="005348BB">
        <w:t>.</w:t>
      </w:r>
      <w:proofErr w:type="gramEnd"/>
    </w:p>
    <w:p w:rsidR="006204CC" w:rsidRPr="005348BB" w:rsidRDefault="006204CC" w:rsidP="006127AA">
      <w:pPr>
        <w:pStyle w:val="Titre1"/>
        <w:rPr>
          <w:kern w:val="22"/>
        </w:rPr>
      </w:pPr>
      <w:r w:rsidRPr="005348BB">
        <w:t xml:space="preserve">II. </w:t>
      </w:r>
      <w:r w:rsidRPr="005348BB">
        <w:tab/>
        <w:t>Возможные варианты ускорения прогресса</w:t>
      </w:r>
    </w:p>
    <w:p w:rsidR="001C3205" w:rsidRPr="005348BB" w:rsidRDefault="00D4797F" w:rsidP="00027F74">
      <w:pPr>
        <w:pStyle w:val="StylePara1HeadingsCSTimesNewRoman"/>
        <w:rPr>
          <w:kern w:val="22"/>
        </w:rPr>
      </w:pPr>
      <w:r w:rsidRPr="005348BB">
        <w:t xml:space="preserve">В четвертом издании </w:t>
      </w:r>
      <w:r w:rsidRPr="005348BB">
        <w:rPr>
          <w:iCs/>
        </w:rPr>
        <w:t>Глобальной перспективы в области биоразнообразия</w:t>
      </w:r>
      <w:r w:rsidRPr="005348BB">
        <w:rPr>
          <w:i/>
          <w:iCs/>
        </w:rPr>
        <w:t>,</w:t>
      </w:r>
      <w:r w:rsidRPr="005348BB">
        <w:t xml:space="preserve"> общие выводы которой были приняты к сведению Конференцией Сторон в решении </w:t>
      </w:r>
      <w:proofErr w:type="spellStart"/>
      <w:r w:rsidRPr="005348BB">
        <w:t>XII</w:t>
      </w:r>
      <w:proofErr w:type="spellEnd"/>
      <w:r w:rsidRPr="005348BB">
        <w:t xml:space="preserve">/1, был выявлен ряд возможных мер, направленных на ускорение прогресса на пути выполнения целевых задач по сохранению и устойчивому использованию биоразнообразия, принятых в Айти. </w:t>
      </w:r>
      <w:r w:rsidR="004F7948" w:rsidRPr="005348BB">
        <w:t>Научная информация, рассмотренная после публикации четвертого издания</w:t>
      </w:r>
      <w:r w:rsidR="004F7948" w:rsidRPr="005348BB">
        <w:rPr>
          <w:lang w:val="fr-FR"/>
        </w:rPr>
        <w:t xml:space="preserve"> </w:t>
      </w:r>
      <w:r w:rsidR="004F7948" w:rsidRPr="005348BB">
        <w:t>Глобальной перспективы, и региональные и тематические оценки МПБЭУ свидетельствуют о том, что эти действия сохраняют свою актуальность, и предоставляют необходимые данные в отношении того, каким образом эти действия могут быть реализованы.</w:t>
      </w:r>
      <w:r w:rsidRPr="005348BB">
        <w:t xml:space="preserve"> Ниже приводятся возможные варианты ускорения прогресса на пути выполнения целевых задач по сохранению и устойчивому использованию биоразнообразия, принятых в Айти. Для этих вариантов были определены наиболее актуальные целевые задачи</w:t>
      </w:r>
      <w:r w:rsidR="004E6123" w:rsidRPr="005348BB">
        <w:t xml:space="preserve"> </w:t>
      </w:r>
      <w:r w:rsidRPr="005348BB">
        <w:t>в области биоразнообразия, принятые в Айти. Однако во многих случаях эти варианты носят межсекторальный характер и будут способствовать достижению многочисленных целевых задач в области биоразнообразия, принятых в Айти. Краткий обзор вариантов ускорения прогресса на пути выполнения целевых задач в области сохранения и устойчивого использования биоразнообразия, принятых в Айти, подготовленный по результатам этих оценок и исследований, содержится в приложении II.</w:t>
      </w:r>
    </w:p>
    <w:p w:rsidR="001C3205" w:rsidRPr="005348BB" w:rsidRDefault="001C3205" w:rsidP="00027F74">
      <w:pPr>
        <w:pStyle w:val="StylePara1HeadingsCSTimesNewRoman"/>
        <w:rPr>
          <w:kern w:val="22"/>
        </w:rPr>
      </w:pPr>
      <w:r w:rsidRPr="005348BB">
        <w:t xml:space="preserve">Представленные в научной литературе меры указывают на необходимость изменения отношения общества к вопросам биоразнообразия, к его оценке и учету в процессе принятия решений. В ней также указывается на необходимость внесения изменений в процесс подготовки и осуществления мер по решению проблемы утраты биоразнообразия и сбалансированности различных общественных приоритетов. Иными словами, в целом литературе отмечается необходимость внесения изменений в процесс взаимодействия общества с биоразнообразием. </w:t>
      </w:r>
    </w:p>
    <w:p w:rsidR="001C3205" w:rsidRPr="005348BB" w:rsidRDefault="001C3205" w:rsidP="00027F74">
      <w:pPr>
        <w:pStyle w:val="StylePara1HeadingsCSTimesNewRoman"/>
        <w:rPr>
          <w:kern w:val="22"/>
        </w:rPr>
      </w:pPr>
      <w:r w:rsidRPr="005348BB">
        <w:t xml:space="preserve">Необходимость повышения уровня информированности о важности и о состоянии биоразнообразия отмечалась во многих рассмотренных журнальных статьях. В некоторых статьях этот аспект был определен в качестве общей проблемы, в то время как в других были выявлены </w:t>
      </w:r>
      <w:r w:rsidRPr="005348BB">
        <w:lastRenderedPageBreak/>
        <w:t xml:space="preserve">конкретные средства повышения уровня информированности, например путем использования игр или предоставления людям возможностей для структурированного изучения биоразнообразия (целевая задача 1 в области биоразнообразия, принятая в Айти). В других статьях были выявлены конкретные вопросы, требующие решения, такие как информированность о роли генетических ресурсов в адаптации к изменению климата. Необходимость изменения поведения отдельных лиц, общин, деловых кругов и правительств также была определена в качестве условия эффективного сохранения и устойчивого использования биоразнообразия. </w:t>
      </w:r>
    </w:p>
    <w:p w:rsidR="005C3F77" w:rsidRPr="005348BB" w:rsidRDefault="008F09C3" w:rsidP="00027F74">
      <w:pPr>
        <w:pStyle w:val="StylePara1HeadingsCSTimesNewRoman"/>
        <w:rPr>
          <w:color w:val="000000" w:themeColor="text1"/>
          <w:kern w:val="22"/>
        </w:rPr>
      </w:pPr>
      <w:r w:rsidRPr="005348BB">
        <w:t>В ряде исследований указывается на важность методов пространственного планирования в области сохранения и рационального использования биоразнообразия (целевая задача 2, принятая в Айти, а также целевые задачи 5, 11 и 15).</w:t>
      </w:r>
      <w:r w:rsidRPr="005348BB">
        <w:rPr>
          <w:color w:val="000000" w:themeColor="text1"/>
        </w:rPr>
        <w:t xml:space="preserve"> В частности, как для мониторинга изменений в биоразнообразии, так и для принятия обоснованных решений</w:t>
      </w:r>
      <w:r w:rsidR="004E6123" w:rsidRPr="005348BB">
        <w:rPr>
          <w:color w:val="000000" w:themeColor="text1"/>
        </w:rPr>
        <w:t xml:space="preserve"> </w:t>
      </w:r>
      <w:r w:rsidRPr="005348BB">
        <w:rPr>
          <w:color w:val="000000" w:themeColor="text1"/>
        </w:rPr>
        <w:t xml:space="preserve">отмечалось использование дистанционных наблюдений и географических информационных систем (целевая задача 19). Было отмечено </w:t>
      </w:r>
      <w:proofErr w:type="gramStart"/>
      <w:r w:rsidRPr="005348BB">
        <w:rPr>
          <w:color w:val="000000" w:themeColor="text1"/>
        </w:rPr>
        <w:t>важное значение</w:t>
      </w:r>
      <w:proofErr w:type="gramEnd"/>
      <w:r w:rsidRPr="005348BB">
        <w:rPr>
          <w:color w:val="000000" w:themeColor="text1"/>
        </w:rPr>
        <w:t xml:space="preserve"> пространственного планирования для обеспечения сбалансированности возможных компромиссов, связанных с сельскохозяйственным землепользованием и более эффективным проектированием охраняемых районов в целях преодоления последствий изменения климата (охраняемые районы от воздействия климата). Кроме того, в литературе отмечается более широкое применение эколого-экономического учета в качестве средства содействия принятию более обоснованных решений (целевая задача 2).</w:t>
      </w:r>
      <w:r w:rsidR="00A54020">
        <w:rPr>
          <w:color w:val="000000" w:themeColor="text1"/>
          <w:shd w:val="clear" w:color="auto" w:fill="FFFFFF"/>
        </w:rPr>
        <w:t xml:space="preserve"> </w:t>
      </w:r>
    </w:p>
    <w:p w:rsidR="001C6802" w:rsidRPr="005348BB" w:rsidRDefault="001C6802" w:rsidP="00027F74">
      <w:pPr>
        <w:pStyle w:val="StylePara1HeadingsCSTimesNewRoman"/>
        <w:rPr>
          <w:kern w:val="22"/>
        </w:rPr>
      </w:pPr>
      <w:r w:rsidRPr="005348BB">
        <w:t>В нескольких публикациях была отмечена необходимость оптимизации управления биоразнообразием в качестве средства улучшения состояния биоразнообразия. Несмотря на существование целого ряда вариантов управления, стратегий и методов руководства, необходимо применять согласованные подходы, учитывающие различные компромиссы и помогающие сбалансировать конкурирующие потребности (целевая задача 2, принятая в Айти). Была отмечена важность многостороннего и многоуровневого адаптивного управления, которое в частности способствует интеграции знаний коренного и местного населения в процессы управления (целевая задача 18). Кроме того, во многих источниках информации, рассмотренных при подготовке настояще</w:t>
      </w:r>
      <w:r w:rsidR="004F7948" w:rsidRPr="005348BB">
        <w:t>го документа</w:t>
      </w:r>
      <w:r w:rsidRPr="005348BB">
        <w:t>, подчеркивается, что для улучшения состояния и тенденций в области биоразнообразия необходимо принятие мер по включению тематики биоразнообразия в процесс</w:t>
      </w:r>
      <w:r w:rsidR="004F7948" w:rsidRPr="005348BB">
        <w:t>ы</w:t>
      </w:r>
      <w:r w:rsidRPr="005348BB">
        <w:t xml:space="preserve"> национального планирования, политику в области развития и во все соответствующие экономические и социальные секторы. В частности,</w:t>
      </w:r>
      <w:r w:rsidR="004E6123" w:rsidRPr="005348BB">
        <w:t xml:space="preserve"> </w:t>
      </w:r>
      <w:r w:rsidRPr="005348BB">
        <w:t>в научной литературе в качестве возможных мер для ускорения прогресса на пути выполнения целевых задач в области биоразнообразия, принятых в Айти, отмечается необходимость проведения более активной работы с мелкими землевладельцами в целях применения более эффективной и благоприятной для биоразнообразия практики (целевая задача 7), совершенствования управления рыбным промыслом (целевая задача 6) и создания или дальнейшего развития институциональной основы и потенциала для управления генетическими ресурсами животных (целевая задача 13). Была также отмечена возможная роль законодательства, например, в отношении регламентации использования пластиковых пакетов (целевая задача 8).</w:t>
      </w:r>
      <w:r w:rsidR="004E6123" w:rsidRPr="005348BB">
        <w:t xml:space="preserve"> </w:t>
      </w:r>
    </w:p>
    <w:p w:rsidR="001C6802" w:rsidRPr="005348BB" w:rsidRDefault="001C6802" w:rsidP="00027F74">
      <w:pPr>
        <w:pStyle w:val="StylePara1HeadingsCSTimesNewRoman"/>
        <w:rPr>
          <w:kern w:val="22"/>
        </w:rPr>
      </w:pPr>
      <w:r w:rsidRPr="005348BB">
        <w:t xml:space="preserve">Необходимо также уделять больше внимания прямому и косвенному воздействию политики. При принятии политических мер необходимо учитывать причинно-следственные связи и последствия для отдаленных районов и экосистем. Аналогичным образом, необходимо принимать меры для более эффективного учета последствий политических </w:t>
      </w:r>
      <w:proofErr w:type="gramStart"/>
      <w:r w:rsidRPr="005348BB">
        <w:t>решений</w:t>
      </w:r>
      <w:proofErr w:type="gramEnd"/>
      <w:r w:rsidRPr="005348BB">
        <w:t xml:space="preserve"> как в пределах, так и за пределами национальных границ (целевая задача 4). В качестве возможн</w:t>
      </w:r>
      <w:r w:rsidR="00CF6FA1" w:rsidRPr="005348BB">
        <w:t>ой</w:t>
      </w:r>
      <w:r w:rsidRPr="005348BB">
        <w:t xml:space="preserve"> мер</w:t>
      </w:r>
      <w:r w:rsidR="00CF6FA1" w:rsidRPr="005348BB">
        <w:t>ы</w:t>
      </w:r>
      <w:r w:rsidRPr="005348BB">
        <w:t xml:space="preserve"> по ускорению прогресса на национальном уровне был</w:t>
      </w:r>
      <w:r w:rsidR="00CF6FA1" w:rsidRPr="005348BB">
        <w:t>о</w:t>
      </w:r>
      <w:r w:rsidRPr="005348BB">
        <w:t xml:space="preserve"> назван</w:t>
      </w:r>
      <w:r w:rsidR="00CF6FA1" w:rsidRPr="005348BB">
        <w:t xml:space="preserve">о </w:t>
      </w:r>
      <w:r w:rsidRPr="005348BB">
        <w:t>возможно</w:t>
      </w:r>
      <w:r w:rsidR="00CF6FA1" w:rsidRPr="005348BB">
        <w:t>е</w:t>
      </w:r>
      <w:r w:rsidRPr="005348BB">
        <w:t xml:space="preserve"> </w:t>
      </w:r>
      <w:r w:rsidR="00CF6FA1" w:rsidRPr="005348BB">
        <w:t xml:space="preserve">взаимовыгодное </w:t>
      </w:r>
      <w:r w:rsidRPr="005348BB">
        <w:t>взаимодействи</w:t>
      </w:r>
      <w:r w:rsidR="00CF6FA1" w:rsidRPr="005348BB">
        <w:t>е при о</w:t>
      </w:r>
      <w:r w:rsidRPr="005348BB">
        <w:t>существлении двусторонних и многост</w:t>
      </w:r>
      <w:r w:rsidR="004F7948" w:rsidRPr="005348BB">
        <w:t xml:space="preserve">оронних соглашений, протоколов </w:t>
      </w:r>
      <w:r w:rsidRPr="005348BB">
        <w:t xml:space="preserve">и других международных и региональных инициатив, таких как </w:t>
      </w:r>
      <w:hyperlink r:id="rId20" w:history="1">
        <w:r w:rsidRPr="005348BB">
          <w:rPr>
            <w:rStyle w:val="Lienhypertexte"/>
          </w:rPr>
          <w:t xml:space="preserve">Повестка дня </w:t>
        </w:r>
        <w:r w:rsidR="004F7948" w:rsidRPr="005348BB">
          <w:rPr>
            <w:rStyle w:val="Lienhypertexte"/>
          </w:rPr>
          <w:t xml:space="preserve">в области устойчивого развития </w:t>
        </w:r>
        <w:r w:rsidRPr="005348BB">
          <w:rPr>
            <w:rStyle w:val="Lienhypertexte"/>
          </w:rPr>
          <w:t>на период до 20</w:t>
        </w:r>
        <w:r w:rsidR="004F7948" w:rsidRPr="005348BB">
          <w:rPr>
            <w:rStyle w:val="Lienhypertexte"/>
          </w:rPr>
          <w:t>30</w:t>
        </w:r>
        <w:r w:rsidRPr="005348BB">
          <w:rPr>
            <w:rStyle w:val="Lienhypertexte"/>
          </w:rPr>
          <w:t xml:space="preserve"> года</w:t>
        </w:r>
      </w:hyperlink>
      <w:r w:rsidR="00CF6FA1" w:rsidRPr="005348BB">
        <w:t>.</w:t>
      </w:r>
    </w:p>
    <w:p w:rsidR="001C6802" w:rsidRPr="005348BB" w:rsidRDefault="001C6802" w:rsidP="00027F74">
      <w:pPr>
        <w:pStyle w:val="StylePara1HeadingsCSTimesNewRoman"/>
        <w:rPr>
          <w:kern w:val="22"/>
        </w:rPr>
      </w:pPr>
      <w:r w:rsidRPr="005348BB">
        <w:t xml:space="preserve">В качестве одной из возможных мер ускорения прогресса в деле сохранения и устойчивого использования биоразнообразия была названа необходимость укрепления сотрудничества и партнерства по вопросам биоразнообразия на различных уровнях. Например, было отмечено </w:t>
      </w:r>
      <w:proofErr w:type="gramStart"/>
      <w:r w:rsidRPr="005348BB">
        <w:t>важное значение</w:t>
      </w:r>
      <w:proofErr w:type="gramEnd"/>
      <w:r w:rsidRPr="005348BB">
        <w:t xml:space="preserve"> регионального сотрудничества</w:t>
      </w:r>
      <w:r w:rsidR="009909A1">
        <w:t>,</w:t>
      </w:r>
      <w:r w:rsidRPr="005348BB">
        <w:t xml:space="preserve"> как при разработке, так и при осуществлении </w:t>
      </w:r>
      <w:r w:rsidRPr="005348BB">
        <w:lastRenderedPageBreak/>
        <w:t>трансграничных природоохранных инициатив (целевая задача 11). Аналогичным образом, партнерские связи с коренными народами и местными общинами, неправительственными организациями, частным сектором и отдельными лицами были определены в качестве средства объединения ресурсов и знаний, а также более эффективного и действенного осуществления Конвенции (целевые задачи 19 и 20). В отношении коренных народов и местных общин была выявлена необходимость внедрения более эффективных механизмов для их участия, а также принятия мер по поощрению и более оптимальному использованию охраняемых районов, находящихся под управлением коренных народов и местных общин (целевые задачи 11 и 18).</w:t>
      </w:r>
    </w:p>
    <w:p w:rsidR="001C6802" w:rsidRPr="005348BB" w:rsidRDefault="001C6802" w:rsidP="00027F74">
      <w:pPr>
        <w:pStyle w:val="StylePara1HeadingsCSTimesNewRoman"/>
        <w:rPr>
          <w:kern w:val="22"/>
        </w:rPr>
      </w:pPr>
      <w:r w:rsidRPr="005348BB">
        <w:t>В литературе также рассматрива</w:t>
      </w:r>
      <w:r w:rsidR="00806339" w:rsidRPr="005348BB">
        <w:t>лось</w:t>
      </w:r>
      <w:r w:rsidRPr="005348BB">
        <w:t xml:space="preserve"> использование различных ориентированных на природу решений текущих проблем. Например, использование естественных полос земли в сельскохозяйственных системах, удаление небольших участков сельскохозяйственных земель из производства, расширение использования разнообразия растений и увеличение разнообразия опылителей в экосистемах представляют собой возможные средства повышения продуктивности сельского хозяйства экологически безопасным способом (целевые задачи 7, 13 и 14). Кроме того, использование естественной регенерации было определено в качестве экономически эффективной меры для восстановления экосистем (целевая задача 15). Комплексные экосистемные подходы к решению других проблем были также рекомендованы в рамках различных механизмов, включая Парижское соглашение об изменении климата</w:t>
      </w:r>
      <w:r w:rsidR="00D853B9" w:rsidRPr="005348BB">
        <w:rPr>
          <w:vertAlign w:val="superscript"/>
          <w:lang w:val="en-GB"/>
        </w:rPr>
        <w:footnoteReference w:id="12"/>
      </w:r>
      <w:r w:rsidRPr="005348BB">
        <w:t xml:space="preserve">, </w:t>
      </w:r>
      <w:hyperlink r:id="rId21" w:history="1">
        <w:r w:rsidRPr="005348BB">
          <w:rPr>
            <w:rStyle w:val="Lienhypertexte"/>
          </w:rPr>
          <w:t>Сендайскую рамочную программу по снижению риска бедствий на 2015-2030 годы</w:t>
        </w:r>
      </w:hyperlink>
      <w:r w:rsidRPr="005348BB">
        <w:t xml:space="preserve"> и цели в области устойчивого развития.</w:t>
      </w:r>
    </w:p>
    <w:p w:rsidR="001C3205" w:rsidRPr="005348BB" w:rsidRDefault="001C3205" w:rsidP="00027F74">
      <w:pPr>
        <w:pStyle w:val="StylePara1HeadingsCSTimesNewRoman"/>
        <w:rPr>
          <w:kern w:val="22"/>
        </w:rPr>
      </w:pPr>
      <w:r w:rsidRPr="005348BB">
        <w:t xml:space="preserve">Во многих публикациях была также отмечена важность проведения эффективного мониторинга (целевая задача 19). В некоторых изданиях мониторинг был назван в качестве общей необходимости, в то время как в других публикациях были выявлены более специфические меры контроля. К примеру, в отношении рыболовства в решениях руководства отмечалась необходимость применения более полного учета всех его форм, включая мелкомасштабный, кустарный, незаконный, незарегистрированный и нерегулируемый рыбный промысел (целевая задача 6). В отношении наземной окружающей среды была выявлена необходимость более эффективного мониторинга генетического разнообразия, в частности дикорастущих растений, родственных сельскохозяйственным культурам (целевая задача 13). Дополнительные потребности, связанные с мониторингом инвазивных чужеродных видов, включают принятие мер по подготовке и/или диверсификации списков видов при отсутствии информации в отношении некоторых видов, активизацию усилий по выявлению путей вторичного вторжения и выявление районов, подвергающихся высокому риску инвазии (целевая задача 9). Аналогичным образом, в литературе были также изучены различные схемы установления приоритетов и анализа рисков в отношении инвазивных чужеродных видов. Применение таких методов позволит принимать более эффективные и целенаправленные меры для устранения такого прямого давления на биоразнообразие. Кроме того, в литературе все чаще приводятся данные о потенциальной ценности различных методов </w:t>
      </w:r>
      <w:proofErr w:type="spellStart"/>
      <w:r w:rsidRPr="005348BB">
        <w:t>секвенирования</w:t>
      </w:r>
      <w:proofErr w:type="spellEnd"/>
      <w:r w:rsidRPr="005348BB">
        <w:t xml:space="preserve"> ДНК для более эффективного выявления, мониторинга и систематизирования биор</w:t>
      </w:r>
      <w:r w:rsidR="009477EE" w:rsidRPr="005348BB">
        <w:t>азнообразия (целевая задача 19</w:t>
      </w:r>
      <w:r w:rsidRPr="005348BB">
        <w:t xml:space="preserve">). Данные методы, развивающиеся быстрыми темпами, становятся все более доступными и находят применение для многих целевых задач в области биоразнообразия, принятых в Айти. В целом было отмечено, что расширение мониторинга различных аспектов биоразнообразия позволит принимать более обоснованные решения и применять адаптивное управление. </w:t>
      </w:r>
    </w:p>
    <w:p w:rsidR="001C6802" w:rsidRPr="005348BB" w:rsidRDefault="001C6802" w:rsidP="00027F74">
      <w:pPr>
        <w:pStyle w:val="StylePara1HeadingsCSTimesNewRoman"/>
        <w:rPr>
          <w:kern w:val="22"/>
        </w:rPr>
      </w:pPr>
      <w:r w:rsidRPr="005348BB">
        <w:t xml:space="preserve">В ряде исследований было рассмотрено, каким образом более эффективное использование ресурсов в производственных системах может привести к положительным </w:t>
      </w:r>
      <w:r w:rsidR="00806339" w:rsidRPr="005348BB">
        <w:t>последствиям</w:t>
      </w:r>
      <w:r w:rsidRPr="005348BB">
        <w:t xml:space="preserve"> для биоразнообразия. Так</w:t>
      </w:r>
      <w:r w:rsidR="00277AE2" w:rsidRPr="005348BB">
        <w:t>,</w:t>
      </w:r>
      <w:r w:rsidRPr="005348BB">
        <w:t xml:space="preserve"> например, было установлено, что целенаправленное использование или применение таких сельскохозяйственных ресурсов, как вода, удобрения и пестициды, в зависимости от рассматриваемой культуры, повышает эффективность сельскохозяйственных систем. Аналогичным образом, использование питательных веществ, которые накапливались в </w:t>
      </w:r>
      <w:r w:rsidRPr="005348BB">
        <w:lastRenderedPageBreak/>
        <w:t xml:space="preserve">почве с течением времени, вместо применения дополнительных питательных веществ, оказалось эффективным методом, наряду с использованием надлежащих грунтовых покрытий и стимулированием использования различных культур с более низкими потребностями в питательных веществах. В отношении водной среды было установлено, что применение оптимальных сроков введения продуктов питания для аквакультурных систем, сбор урожая в соответствии с приливами и использование интегрированной </w:t>
      </w:r>
      <w:proofErr w:type="spellStart"/>
      <w:r w:rsidRPr="005348BB">
        <w:t>мультитрофической</w:t>
      </w:r>
      <w:proofErr w:type="spellEnd"/>
      <w:r w:rsidRPr="005348BB">
        <w:t xml:space="preserve"> аквакультуры способствуют повышению эффективности использования ресурсов (целевые задачи 7 и 8). </w:t>
      </w:r>
    </w:p>
    <w:p w:rsidR="001C6802" w:rsidRPr="005348BB" w:rsidRDefault="001C6802" w:rsidP="00027F74">
      <w:pPr>
        <w:pStyle w:val="StylePara1HeadingsCSTimesNewRoman"/>
        <w:rPr>
          <w:kern w:val="22"/>
        </w:rPr>
      </w:pPr>
      <w:r w:rsidRPr="005348BB">
        <w:t>Необходимость поощрения проведения исследований в области биоразнообразия являлось общей темой большинства публикаций, рассматриваемых в настояще</w:t>
      </w:r>
      <w:r w:rsidR="009477EE" w:rsidRPr="005348BB">
        <w:t>м документе</w:t>
      </w:r>
      <w:r w:rsidRPr="005348BB">
        <w:t xml:space="preserve">. Было отмечено общее отсутствие информации, касающейся социально-экономических проблем в области биоразнообразия, и путей их эффективного решения (целевая задача 19). В частности, была отмечена необходимость проведения дополнительных исследований по вопросам культуры и по вопросам, связанным с потребностями женщин, а также бедных и уязвимых слоев населения (целевая задача 14). Кроме того, отмечалось важное значение механизмов для более эффективного обмена результатами исследований (целевая задача 19). </w:t>
      </w:r>
    </w:p>
    <w:p w:rsidR="003A4B18" w:rsidRPr="005348BB" w:rsidRDefault="0056486D" w:rsidP="00027F74">
      <w:pPr>
        <w:pStyle w:val="StylePara1HeadingsCSTimesNewRoman"/>
        <w:rPr>
          <w:b/>
          <w:kern w:val="22"/>
        </w:rPr>
      </w:pPr>
      <w:r w:rsidRPr="005348BB">
        <w:t xml:space="preserve">Во многих статьях были указаны различные препятствия или проблемы, которые необходимо решить в целях содействия принятию соответствующих мер. Например, расходы на сертификацию были идентифицированы в качестве препятствия на пути внедрения экологически чистого сельского хозяйства и сертификации лесного хозяйства и рыболовства в качестве устойчивого промысла (целевая задача 7). Финансовые </w:t>
      </w:r>
      <w:r w:rsidR="00806339" w:rsidRPr="005348BB">
        <w:t>барьеры</w:t>
      </w:r>
      <w:r w:rsidRPr="005348BB">
        <w:t xml:space="preserve"> при внедрении более эффективных технологий или подходов, например в сельском хозяйстве, были также определены в качестве препятствия на пути внедрения устойчивой практики (целевая задача 20). Выявленные потребности в целом аналогичны или дополняют потребности, определенные Вспомогательным органом в его рекомендации </w:t>
      </w:r>
      <w:hyperlink r:id="rId22" w:history="1">
        <w:proofErr w:type="spellStart"/>
        <w:r w:rsidRPr="005348BB">
          <w:rPr>
            <w:rStyle w:val="Lienhypertexte"/>
          </w:rPr>
          <w:t>XVII</w:t>
        </w:r>
        <w:proofErr w:type="spellEnd"/>
        <w:r w:rsidRPr="005348BB">
          <w:rPr>
            <w:rStyle w:val="Lienhypertexte"/>
          </w:rPr>
          <w:t>/1</w:t>
        </w:r>
      </w:hyperlink>
      <w:r w:rsidRPr="005348BB">
        <w:t xml:space="preserve">, и впоследствии приняты к сведению Конференцией Сторон в решении </w:t>
      </w:r>
      <w:proofErr w:type="spellStart"/>
      <w:r w:rsidRPr="005348BB">
        <w:t>XII</w:t>
      </w:r>
      <w:proofErr w:type="spellEnd"/>
      <w:r w:rsidRPr="005348BB">
        <w:t>/1. Удовлетворение этих потребностей будет способствовать принятию надлежащих мер.</w:t>
      </w:r>
    </w:p>
    <w:p w:rsidR="00F63D9D" w:rsidRPr="005348BB" w:rsidRDefault="00F63D9D" w:rsidP="006127AA">
      <w:pPr>
        <w:pStyle w:val="Titre1"/>
        <w:rPr>
          <w:kern w:val="22"/>
        </w:rPr>
      </w:pPr>
      <w:r w:rsidRPr="005348BB">
        <w:t>I</w:t>
      </w:r>
      <w:r w:rsidR="00C94219" w:rsidRPr="005348BB">
        <w:rPr>
          <w:lang w:val="fr-FR"/>
        </w:rPr>
        <w:t>II</w:t>
      </w:r>
      <w:r w:rsidRPr="005348BB">
        <w:t>.</w:t>
      </w:r>
      <w:r w:rsidRPr="005348BB">
        <w:tab/>
        <w:t>Заключение</w:t>
      </w:r>
    </w:p>
    <w:p w:rsidR="00864BCD" w:rsidRPr="005348BB" w:rsidRDefault="006857DC" w:rsidP="00027F74">
      <w:pPr>
        <w:pStyle w:val="StylePara1HeadingsCSTimesNewRoman"/>
        <w:rPr>
          <w:kern w:val="22"/>
        </w:rPr>
      </w:pPr>
      <w:r w:rsidRPr="005348BB">
        <w:t xml:space="preserve">Рассмотренная научная литература и индикаторы, а также региональные оценки и оценки деградации земель МПБЭУ служат дополнительным свидетельством продолжающегося ухудшения состояния биоразнообразия в глобальном масштабе. В них также названы различные последствия этого ухудшения для благополучия человека. Все источники информации подтверждают необходимость принятия срочных и эффективных мер </w:t>
      </w:r>
      <w:r w:rsidR="00806339" w:rsidRPr="005348BB">
        <w:t>для</w:t>
      </w:r>
      <w:r w:rsidRPr="005348BB">
        <w:t xml:space="preserve"> сокращени</w:t>
      </w:r>
      <w:r w:rsidR="00806339" w:rsidRPr="005348BB">
        <w:t>я</w:t>
      </w:r>
      <w:r w:rsidRPr="005348BB">
        <w:t xml:space="preserve"> темпов утраты биоразнообразия. В частности, необходимость устранения основных причин утраты биоразнообразия, более широкого учета тематики биоразнообразия и принятие во внимание прямых и косвенных последствий политических решений были определены в качестве важных </w:t>
      </w:r>
      <w:r w:rsidR="005348BB">
        <w:t>задач</w:t>
      </w:r>
      <w:r w:rsidRPr="005348BB">
        <w:t xml:space="preserve">, требующих решения. Кроме того, в качестве решений были названы необходимость дальнейшего повышения уровня информированности о важности биоразнообразия и изменения моделей поведения, потребность в более широком использовании пространственного планирования, </w:t>
      </w:r>
      <w:r w:rsidR="0056574E" w:rsidRPr="005348BB">
        <w:t>оптимизаци</w:t>
      </w:r>
      <w:r w:rsidR="005348BB">
        <w:t>я</w:t>
      </w:r>
      <w:r w:rsidRPr="005348BB">
        <w:t xml:space="preserve"> управлени</w:t>
      </w:r>
      <w:r w:rsidR="0056574E" w:rsidRPr="005348BB">
        <w:t>я</w:t>
      </w:r>
      <w:r w:rsidRPr="005348BB">
        <w:t xml:space="preserve"> биоразнообрази</w:t>
      </w:r>
      <w:r w:rsidR="0056574E" w:rsidRPr="005348BB">
        <w:t>ем</w:t>
      </w:r>
      <w:r w:rsidRPr="005348BB">
        <w:t>, расширение сотрудничества и партнерства, проведение более эффективного мониторинга, стимулирование ориентированных на природу решений различных социальных проблем, расширение научных исследований и более эффективное использование ресурсов. Кроме того, отмечается, что многие проблемы в области биоразнообразия взаимосвязаны и что для обеспечения позитивных изменений потребуется применение согласованных подходов. В целом различные источники информации указывают на необходимость кардинально пересмотреть отношение общества к биоразнообразию и модели взаимодействия с ним.</w:t>
      </w:r>
    </w:p>
    <w:p w:rsidR="00F63D9D" w:rsidRPr="005348BB" w:rsidRDefault="006811D6" w:rsidP="00027F74">
      <w:pPr>
        <w:pStyle w:val="StylePara1HeadingsCSTimesNewRoman"/>
        <w:rPr>
          <w:kern w:val="22"/>
        </w:rPr>
      </w:pPr>
      <w:r w:rsidRPr="005348BB">
        <w:t>Конкретные действия, необходимые для осуществления Стратегического плана в</w:t>
      </w:r>
      <w:r w:rsidR="004E6123" w:rsidRPr="005348BB">
        <w:t xml:space="preserve"> </w:t>
      </w:r>
      <w:r w:rsidRPr="005348BB">
        <w:t xml:space="preserve">области сохранения и устойчивого использования биоразнообразия на 2011-2020 годы и для улучшения прогресса в выполнении целевых задач по сохранению и устойчивому использованию биоразнообразия, принятых в Айти, будут варьироваться в зависимости от национальных условий </w:t>
      </w:r>
      <w:r w:rsidRPr="005348BB">
        <w:lastRenderedPageBreak/>
        <w:t xml:space="preserve">и приоритетов. Таким образом, представленную в научной литературе информацию необходимо будет пересмотреть и адаптировать к национальным условиям для принятия обоснованных решений о том, какие меры следует принять на национальном уровне для содействия выполнению целевых задач по сохранению и устойчивому использованию биоразнообразия, принятых в Айти. Оба эти пункта в прошлом были рассмотрены Конференцией Сторон в решении </w:t>
      </w:r>
      <w:proofErr w:type="spellStart"/>
      <w:r w:rsidRPr="005348BB">
        <w:t>XII</w:t>
      </w:r>
      <w:proofErr w:type="spellEnd"/>
      <w:r w:rsidRPr="005348BB">
        <w:t>/1.</w:t>
      </w:r>
    </w:p>
    <w:p w:rsidR="00540797" w:rsidRPr="005348BB" w:rsidRDefault="00C94219" w:rsidP="006127AA">
      <w:pPr>
        <w:pStyle w:val="Titre1"/>
        <w:rPr>
          <w:kern w:val="22"/>
        </w:rPr>
      </w:pPr>
      <w:r w:rsidRPr="005348BB">
        <w:rPr>
          <w:lang w:val="fr-FR"/>
        </w:rPr>
        <w:t>I</w:t>
      </w:r>
      <w:r w:rsidR="006127AA" w:rsidRPr="005348BB">
        <w:t>V.</w:t>
      </w:r>
      <w:r w:rsidR="004E6123" w:rsidRPr="005348BB">
        <w:t xml:space="preserve"> </w:t>
      </w:r>
      <w:r w:rsidR="006127AA" w:rsidRPr="005348BB">
        <w:t>Проект рекомендации</w:t>
      </w:r>
    </w:p>
    <w:p w:rsidR="001278B8" w:rsidRPr="005348BB" w:rsidRDefault="001278B8" w:rsidP="006127AA">
      <w:pPr>
        <w:pStyle w:val="Para1"/>
        <w:tabs>
          <w:tab w:val="clear" w:pos="360"/>
        </w:tabs>
        <w:rPr>
          <w:kern w:val="22"/>
        </w:rPr>
      </w:pPr>
      <w:r w:rsidRPr="005348BB">
        <w:t>Вспомогательный орган по научным, техническим и технологическим консультациям, возможно, пожелает принять рекомендацию в соответствии с приводимым ниже текстом:</w:t>
      </w:r>
    </w:p>
    <w:p w:rsidR="00CD271B" w:rsidRPr="005348BB" w:rsidRDefault="00DA1081" w:rsidP="006127AA">
      <w:pPr>
        <w:ind w:firstLine="709"/>
        <w:rPr>
          <w:i/>
          <w:iCs/>
          <w:kern w:val="22"/>
        </w:rPr>
      </w:pPr>
      <w:r w:rsidRPr="005348BB">
        <w:rPr>
          <w:i/>
          <w:iCs/>
        </w:rPr>
        <w:t>Вспомогательный орган по научным, техническим и технологическим консультациям</w:t>
      </w:r>
    </w:p>
    <w:p w:rsidR="000B16DF" w:rsidRPr="005348BB" w:rsidRDefault="001C6F85" w:rsidP="006127AA">
      <w:pPr>
        <w:pStyle w:val="Paragraphedeliste"/>
        <w:numPr>
          <w:ilvl w:val="0"/>
          <w:numId w:val="6"/>
        </w:numPr>
        <w:spacing w:before="120" w:after="120"/>
        <w:ind w:left="0" w:firstLine="709"/>
        <w:contextualSpacing w:val="0"/>
        <w:rPr>
          <w:iCs/>
          <w:kern w:val="22"/>
        </w:rPr>
      </w:pPr>
      <w:r w:rsidRPr="005348BB">
        <w:rPr>
          <w:i/>
          <w:iCs/>
        </w:rPr>
        <w:t>приветствует</w:t>
      </w:r>
      <w:r w:rsidRPr="005348BB">
        <w:t xml:space="preserve"> региональные оценки по вопросам биоразнообразия и экосистемных услуг для Африки, Северной и Южной Америки, Азии и Тихого океана, Европы и Центральной Азии, а также тематическую оценку деградации земель Межправительственной научно-политической платформы по биоразнообразию и экосистемным услугам;</w:t>
      </w:r>
      <w:r w:rsidR="004E6123" w:rsidRPr="005348BB">
        <w:t xml:space="preserve"> </w:t>
      </w:r>
    </w:p>
    <w:p w:rsidR="00085328" w:rsidRPr="005348BB" w:rsidRDefault="00E85A48" w:rsidP="006127AA">
      <w:pPr>
        <w:pStyle w:val="Paragraphedeliste"/>
        <w:numPr>
          <w:ilvl w:val="0"/>
          <w:numId w:val="6"/>
        </w:numPr>
        <w:spacing w:before="120" w:after="120"/>
        <w:ind w:left="0" w:firstLine="709"/>
        <w:contextualSpacing w:val="0"/>
        <w:rPr>
          <w:iCs/>
          <w:kern w:val="22"/>
        </w:rPr>
      </w:pPr>
      <w:r w:rsidRPr="005348BB">
        <w:rPr>
          <w:i/>
          <w:iCs/>
        </w:rPr>
        <w:t>при</w:t>
      </w:r>
      <w:r w:rsidR="006C42C7" w:rsidRPr="005348BB">
        <w:rPr>
          <w:i/>
          <w:iCs/>
        </w:rPr>
        <w:t>нимает к сведению</w:t>
      </w:r>
      <w:r w:rsidRPr="005348BB">
        <w:t xml:space="preserve"> обзор обновленной научной информации, включая возможные варианты ускорения прогресса выполнения целевых задач по сохранению и устойчивому использованию биоразнообразия, принятых в Айти; </w:t>
      </w:r>
    </w:p>
    <w:p w:rsidR="00085328" w:rsidRPr="005348BB" w:rsidRDefault="00085328" w:rsidP="006127AA">
      <w:pPr>
        <w:pStyle w:val="Paragraphedeliste"/>
        <w:numPr>
          <w:ilvl w:val="0"/>
          <w:numId w:val="6"/>
        </w:numPr>
        <w:spacing w:before="120" w:after="120"/>
        <w:ind w:left="0" w:firstLine="709"/>
        <w:contextualSpacing w:val="0"/>
        <w:rPr>
          <w:i/>
          <w:kern w:val="22"/>
        </w:rPr>
      </w:pPr>
      <w:r w:rsidRPr="005348BB">
        <w:rPr>
          <w:i/>
        </w:rPr>
        <w:t>поручает</w:t>
      </w:r>
      <w:r w:rsidRPr="005348BB">
        <w:t xml:space="preserve"> Исполнительному секретарю рассмотреть региональные оценки по вопросам биоразнообразия и экосистемных услуг для Африки, Северной и Южной Америки, Азии и Тихого океана, Европы и Центральной Азии,</w:t>
      </w:r>
      <w:r w:rsidR="004E6123" w:rsidRPr="005348BB">
        <w:t xml:space="preserve"> </w:t>
      </w:r>
      <w:r w:rsidRPr="005348BB">
        <w:t xml:space="preserve">тематическую оценку деградации земель </w:t>
      </w:r>
      <w:r w:rsidRPr="005348BB">
        <w:rPr>
          <w:rFonts w:asciiTheme="majorBidi" w:hAnsiTheme="majorBidi"/>
          <w:szCs w:val="22"/>
        </w:rPr>
        <w:t>Межправительственной научно-политической платформы по биоразнообразию и экосистемным услугам</w:t>
      </w:r>
      <w:r w:rsidR="0091402B" w:rsidRPr="005348BB">
        <w:rPr>
          <w:rFonts w:asciiTheme="majorBidi" w:hAnsiTheme="majorBidi"/>
          <w:szCs w:val="22"/>
        </w:rPr>
        <w:t xml:space="preserve"> и другую актуальную информацию, включающую</w:t>
      </w:r>
      <w:r w:rsidRPr="005348BB">
        <w:t xml:space="preserve"> обновленную научную оценку прогресса </w:t>
      </w:r>
      <w:r w:rsidR="0091402B" w:rsidRPr="005348BB">
        <w:t>на пути вып</w:t>
      </w:r>
      <w:r w:rsidRPr="005348BB">
        <w:t xml:space="preserve">олнения целевых задач по сохранению и устойчивому использованию биоразнообразия, принятых в Айти, при подготовке документации, связанной с глобальной рамочной программой в области биоразнообразия на период после 2020 года, и пятого издания </w:t>
      </w:r>
      <w:r w:rsidRPr="005348BB">
        <w:rPr>
          <w:iCs/>
        </w:rPr>
        <w:t>Глобальной перспективы в области биоразнообразия</w:t>
      </w:r>
      <w:r w:rsidRPr="005348BB">
        <w:t xml:space="preserve">; </w:t>
      </w:r>
    </w:p>
    <w:p w:rsidR="00085328" w:rsidRPr="005348BB" w:rsidRDefault="00085328" w:rsidP="006127AA">
      <w:pPr>
        <w:pStyle w:val="Paragraphedeliste"/>
        <w:numPr>
          <w:ilvl w:val="0"/>
          <w:numId w:val="6"/>
        </w:numPr>
        <w:spacing w:before="120" w:after="120"/>
        <w:ind w:left="0" w:firstLine="709"/>
        <w:contextualSpacing w:val="0"/>
        <w:rPr>
          <w:i/>
          <w:kern w:val="22"/>
        </w:rPr>
      </w:pPr>
      <w:r w:rsidRPr="005348BB">
        <w:rPr>
          <w:i/>
          <w:iCs/>
        </w:rPr>
        <w:t xml:space="preserve">рекомендует, </w:t>
      </w:r>
      <w:r w:rsidRPr="005348BB">
        <w:t xml:space="preserve">чтобы Конференция Сторон </w:t>
      </w:r>
      <w:r w:rsidR="00A0518B" w:rsidRPr="005348BB">
        <w:t xml:space="preserve">на своей 14-й сессии </w:t>
      </w:r>
      <w:r w:rsidRPr="005348BB">
        <w:t xml:space="preserve">приняла решение в соответствии с приводимым ниже текстом: </w:t>
      </w:r>
    </w:p>
    <w:p w:rsidR="00085328" w:rsidRPr="005348BB" w:rsidRDefault="00085328" w:rsidP="006127AA">
      <w:pPr>
        <w:tabs>
          <w:tab w:val="left" w:pos="1985"/>
        </w:tabs>
        <w:spacing w:before="120" w:after="120"/>
        <w:ind w:left="720" w:firstLine="698"/>
        <w:rPr>
          <w:i/>
          <w:iCs/>
          <w:kern w:val="22"/>
        </w:rPr>
      </w:pPr>
      <w:r w:rsidRPr="005348BB">
        <w:rPr>
          <w:i/>
          <w:iCs/>
        </w:rPr>
        <w:t>Конференция Сторон</w:t>
      </w:r>
      <w:r w:rsidR="00213698" w:rsidRPr="005348BB">
        <w:rPr>
          <w:i/>
          <w:iCs/>
        </w:rPr>
        <w:t>,</w:t>
      </w:r>
    </w:p>
    <w:p w:rsidR="00A0518B" w:rsidRPr="005348BB" w:rsidRDefault="00A0518B" w:rsidP="00A0518B">
      <w:pPr>
        <w:pStyle w:val="Paragraphedeliste"/>
        <w:tabs>
          <w:tab w:val="left" w:pos="1985"/>
        </w:tabs>
        <w:spacing w:before="120" w:after="120"/>
        <w:ind w:left="851" w:firstLine="567"/>
        <w:contextualSpacing w:val="0"/>
        <w:rPr>
          <w:iCs/>
          <w:kern w:val="22"/>
        </w:rPr>
      </w:pPr>
      <w:r w:rsidRPr="005348BB">
        <w:rPr>
          <w:i/>
          <w:iCs/>
          <w:kern w:val="22"/>
        </w:rPr>
        <w:t xml:space="preserve">ссылаясь </w:t>
      </w:r>
      <w:r w:rsidRPr="005348BB">
        <w:rPr>
          <w:iCs/>
          <w:kern w:val="22"/>
        </w:rPr>
        <w:t xml:space="preserve">на решение </w:t>
      </w:r>
      <w:hyperlink r:id="rId23" w:history="1">
        <w:proofErr w:type="spellStart"/>
        <w:r w:rsidRPr="005348BB">
          <w:rPr>
            <w:rStyle w:val="Lienhypertexte"/>
            <w:iCs/>
            <w:kern w:val="22"/>
          </w:rPr>
          <w:t>XIII</w:t>
        </w:r>
        <w:proofErr w:type="spellEnd"/>
        <w:r w:rsidRPr="005348BB">
          <w:rPr>
            <w:rStyle w:val="Lienhypertexte"/>
            <w:iCs/>
            <w:kern w:val="22"/>
          </w:rPr>
          <w:t>/28,</w:t>
        </w:r>
      </w:hyperlink>
      <w:r w:rsidRPr="005348BB">
        <w:rPr>
          <w:iCs/>
          <w:kern w:val="22"/>
        </w:rPr>
        <w:t xml:space="preserve"> в котором Конференция Сторон постановила, что перечень индикаторов для Стратегического плана в области сохранения и устойчивого использования биоразнообразия на 2011-2020 годы должен быть пересмотрен,</w:t>
      </w:r>
    </w:p>
    <w:p w:rsidR="00A0518B" w:rsidRPr="005348BB" w:rsidRDefault="00A0518B" w:rsidP="006127AA">
      <w:pPr>
        <w:pStyle w:val="Paragraphedeliste"/>
        <w:numPr>
          <w:ilvl w:val="0"/>
          <w:numId w:val="43"/>
        </w:numPr>
        <w:tabs>
          <w:tab w:val="left" w:pos="1985"/>
        </w:tabs>
        <w:spacing w:before="120" w:after="120"/>
        <w:ind w:left="720" w:firstLine="698"/>
        <w:contextualSpacing w:val="0"/>
        <w:rPr>
          <w:iCs/>
          <w:kern w:val="22"/>
        </w:rPr>
      </w:pPr>
      <w:r w:rsidRPr="005348BB">
        <w:rPr>
          <w:i/>
          <w:iCs/>
          <w:kern w:val="22"/>
        </w:rPr>
        <w:t>принимает к сведению</w:t>
      </w:r>
      <w:r w:rsidRPr="005348BB">
        <w:rPr>
          <w:iCs/>
          <w:kern w:val="22"/>
        </w:rPr>
        <w:t xml:space="preserve"> дополнительные выявленные индикаторы и индикаторы с обновленными данными и </w:t>
      </w:r>
      <w:r w:rsidRPr="005348BB">
        <w:rPr>
          <w:i/>
          <w:iCs/>
          <w:kern w:val="22"/>
        </w:rPr>
        <w:t>призывает</w:t>
      </w:r>
      <w:r w:rsidRPr="005348BB">
        <w:rPr>
          <w:iCs/>
          <w:kern w:val="22"/>
        </w:rPr>
        <w:t xml:space="preserve"> Стороны, другие правительства, соответствующие организации, коренные народы и местные общины, а также другие субъекты деятельности использовать их в соответствующих случаях;</w:t>
      </w:r>
    </w:p>
    <w:p w:rsidR="00085328" w:rsidRPr="005348BB" w:rsidRDefault="001C6F85" w:rsidP="006127AA">
      <w:pPr>
        <w:pStyle w:val="Paragraphedeliste"/>
        <w:numPr>
          <w:ilvl w:val="0"/>
          <w:numId w:val="43"/>
        </w:numPr>
        <w:tabs>
          <w:tab w:val="left" w:pos="1985"/>
        </w:tabs>
        <w:spacing w:before="120" w:after="120"/>
        <w:ind w:left="720" w:firstLine="698"/>
        <w:contextualSpacing w:val="0"/>
        <w:rPr>
          <w:iCs/>
          <w:kern w:val="22"/>
        </w:rPr>
      </w:pPr>
      <w:r w:rsidRPr="005348BB">
        <w:rPr>
          <w:i/>
        </w:rPr>
        <w:t>призывает</w:t>
      </w:r>
      <w:r w:rsidRPr="005348BB">
        <w:t xml:space="preserve"> Стороны и предлагает другим правительствам и соответствующим организациям использовать региональные и тематические оценки </w:t>
      </w:r>
      <w:r w:rsidRPr="005348BB">
        <w:rPr>
          <w:rFonts w:asciiTheme="majorBidi" w:hAnsiTheme="majorBidi"/>
          <w:szCs w:val="22"/>
        </w:rPr>
        <w:t>Межправительственной научно-политической платформы по биоразнообразию и экосистемным услугам, в</w:t>
      </w:r>
      <w:r w:rsidRPr="005348BB">
        <w:t xml:space="preserve"> том числе путем их использования для обоснования своих действий на национальном уровне и подготовки дополнительных национальных, </w:t>
      </w:r>
      <w:proofErr w:type="spellStart"/>
      <w:r w:rsidRPr="005348BB">
        <w:t>субнациональных</w:t>
      </w:r>
      <w:proofErr w:type="spellEnd"/>
      <w:r w:rsidRPr="005348BB">
        <w:t xml:space="preserve"> или тематических оценок по вопросам биоразнообразия и экосистемных услуг; </w:t>
      </w:r>
    </w:p>
    <w:p w:rsidR="00085328" w:rsidRPr="005348BB" w:rsidRDefault="00085328" w:rsidP="006127AA">
      <w:pPr>
        <w:pStyle w:val="Paragraphedeliste"/>
        <w:numPr>
          <w:ilvl w:val="0"/>
          <w:numId w:val="43"/>
        </w:numPr>
        <w:tabs>
          <w:tab w:val="left" w:pos="1985"/>
        </w:tabs>
        <w:spacing w:before="120" w:after="120"/>
        <w:ind w:left="720" w:firstLine="698"/>
        <w:contextualSpacing w:val="0"/>
        <w:rPr>
          <w:iCs/>
          <w:kern w:val="22"/>
        </w:rPr>
      </w:pPr>
      <w:r w:rsidRPr="005348BB">
        <w:rPr>
          <w:i/>
        </w:rPr>
        <w:t>призывает</w:t>
      </w:r>
      <w:r w:rsidRPr="005348BB">
        <w:t xml:space="preserve"> Стороны и другие правительства использовать возможные варианты ускорения прогресса на пути выполнения целевых задач по сохранению и устойчивому использованию биоразнообразия, принятых в Айти, как указано в разделе II и приложении II записки Исполнительного секретаря об обновленной научной оценке </w:t>
      </w:r>
      <w:r w:rsidRPr="005348BB">
        <w:lastRenderedPageBreak/>
        <w:t xml:space="preserve">прогресса в отношении отдельных целевых задач по сохранению и устойчивому использованию биоразнообразия, принятых в Айти, </w:t>
      </w:r>
      <w:r w:rsidR="009869BB" w:rsidRPr="005348BB">
        <w:t>и вариантов ускорения прогресса</w:t>
      </w:r>
      <w:r w:rsidR="00C03D30" w:rsidRPr="005348BB">
        <w:rPr>
          <w:iCs/>
          <w:vertAlign w:val="superscript"/>
          <w:lang w:val="en-GB"/>
        </w:rPr>
        <w:footnoteReference w:id="13"/>
      </w:r>
      <w:r w:rsidRPr="005348BB">
        <w:t xml:space="preserve">; </w:t>
      </w:r>
    </w:p>
    <w:p w:rsidR="00085328" w:rsidRPr="005348BB" w:rsidRDefault="0091402B" w:rsidP="006127AA">
      <w:pPr>
        <w:pStyle w:val="Paragraphedeliste"/>
        <w:numPr>
          <w:ilvl w:val="0"/>
          <w:numId w:val="43"/>
        </w:numPr>
        <w:tabs>
          <w:tab w:val="left" w:pos="1985"/>
        </w:tabs>
        <w:spacing w:before="120" w:after="120"/>
        <w:ind w:left="720" w:firstLine="698"/>
        <w:contextualSpacing w:val="0"/>
        <w:rPr>
          <w:kern w:val="22"/>
        </w:rPr>
      </w:pPr>
      <w:r w:rsidRPr="005348BB">
        <w:rPr>
          <w:i/>
        </w:rPr>
        <w:t>призывает</w:t>
      </w:r>
      <w:r w:rsidR="00C21052" w:rsidRPr="005348BB">
        <w:t xml:space="preserve"> Сторон</w:t>
      </w:r>
      <w:r w:rsidRPr="005348BB">
        <w:t>ы</w:t>
      </w:r>
      <w:r w:rsidR="00C21052" w:rsidRPr="005348BB">
        <w:t>, други</w:t>
      </w:r>
      <w:r w:rsidRPr="005348BB">
        <w:t>е</w:t>
      </w:r>
      <w:r w:rsidR="00C21052" w:rsidRPr="005348BB">
        <w:t xml:space="preserve"> правительства, соответствующи</w:t>
      </w:r>
      <w:r w:rsidRPr="005348BB">
        <w:t>е</w:t>
      </w:r>
      <w:r w:rsidR="00C21052" w:rsidRPr="005348BB">
        <w:t xml:space="preserve"> организаци</w:t>
      </w:r>
      <w:r w:rsidRPr="005348BB">
        <w:t>и</w:t>
      </w:r>
      <w:r w:rsidR="00C21052" w:rsidRPr="005348BB">
        <w:t>, коренны</w:t>
      </w:r>
      <w:r w:rsidRPr="005348BB">
        <w:t>е</w:t>
      </w:r>
      <w:r w:rsidR="00C21052" w:rsidRPr="005348BB">
        <w:t xml:space="preserve"> народ</w:t>
      </w:r>
      <w:r w:rsidRPr="005348BB">
        <w:t>ы</w:t>
      </w:r>
      <w:r w:rsidR="00C21052" w:rsidRPr="005348BB">
        <w:t xml:space="preserve"> и местны</w:t>
      </w:r>
      <w:r w:rsidRPr="005348BB">
        <w:t>е</w:t>
      </w:r>
      <w:r w:rsidR="00C21052" w:rsidRPr="005348BB">
        <w:t xml:space="preserve"> общин</w:t>
      </w:r>
      <w:r w:rsidRPr="005348BB">
        <w:t>ы</w:t>
      </w:r>
      <w:r w:rsidR="00C21052" w:rsidRPr="005348BB">
        <w:t>, а также други</w:t>
      </w:r>
      <w:r w:rsidRPr="005348BB">
        <w:t>е</w:t>
      </w:r>
      <w:r w:rsidR="00C21052" w:rsidRPr="005348BB">
        <w:t xml:space="preserve"> субъект</w:t>
      </w:r>
      <w:r w:rsidRPr="005348BB">
        <w:t>ы</w:t>
      </w:r>
      <w:r w:rsidR="00C21052" w:rsidRPr="005348BB">
        <w:t xml:space="preserve"> деятельности поделиться своим опытом в отношении эффективных мер по осуществлению Стратегического плана в области сохранения и устойчивого использования биоразнообразия на 2011-2020 годы, в том числе путем распространения </w:t>
      </w:r>
      <w:r w:rsidRPr="005348BB">
        <w:t xml:space="preserve">такой </w:t>
      </w:r>
      <w:r w:rsidR="00C21052" w:rsidRPr="005348BB">
        <w:t>информации в рамк</w:t>
      </w:r>
      <w:r w:rsidR="002D6B99" w:rsidRPr="005348BB">
        <w:t>ах шестых национальных докладов.</w:t>
      </w:r>
    </w:p>
    <w:p w:rsidR="00085328" w:rsidRPr="005348BB" w:rsidRDefault="00085328" w:rsidP="002D6B99">
      <w:pPr>
        <w:tabs>
          <w:tab w:val="left" w:pos="1985"/>
        </w:tabs>
        <w:spacing w:before="120" w:after="120"/>
        <w:ind w:left="720"/>
        <w:rPr>
          <w:kern w:val="22"/>
        </w:rPr>
      </w:pPr>
    </w:p>
    <w:p w:rsidR="008547FC" w:rsidRPr="005348BB" w:rsidRDefault="008547FC" w:rsidP="006127AA">
      <w:pPr>
        <w:pStyle w:val="Paragraphedeliste"/>
        <w:spacing w:before="120" w:after="120"/>
        <w:ind w:left="360"/>
        <w:contextualSpacing w:val="0"/>
        <w:rPr>
          <w:i/>
          <w:iCs/>
          <w:kern w:val="22"/>
          <w:u w:val="single"/>
        </w:rPr>
      </w:pPr>
      <w:r w:rsidRPr="005348BB">
        <w:br w:type="page"/>
      </w:r>
    </w:p>
    <w:p w:rsidR="00BD7295" w:rsidRPr="005348BB" w:rsidRDefault="00CE21E7" w:rsidP="00CE21E7">
      <w:pPr>
        <w:jc w:val="center"/>
        <w:rPr>
          <w:i/>
          <w:iCs/>
          <w:kern w:val="22"/>
        </w:rPr>
      </w:pPr>
      <w:r w:rsidRPr="005348BB">
        <w:rPr>
          <w:i/>
          <w:iCs/>
        </w:rPr>
        <w:lastRenderedPageBreak/>
        <w:t>Приложение I</w:t>
      </w:r>
    </w:p>
    <w:p w:rsidR="0075431F" w:rsidRPr="005348BB" w:rsidRDefault="0075431F" w:rsidP="00972993">
      <w:pPr>
        <w:pStyle w:val="HEADING"/>
        <w:rPr>
          <w:kern w:val="22"/>
        </w:rPr>
      </w:pPr>
      <w:r w:rsidRPr="005348BB">
        <w:t>Обновленная информация по индикаторам</w:t>
      </w:r>
    </w:p>
    <w:p w:rsidR="008547FC" w:rsidRPr="005348BB" w:rsidRDefault="00723FD9" w:rsidP="006127AA">
      <w:pPr>
        <w:pStyle w:val="Para1"/>
        <w:numPr>
          <w:ilvl w:val="0"/>
          <w:numId w:val="44"/>
        </w:numPr>
        <w:tabs>
          <w:tab w:val="clear" w:pos="360"/>
        </w:tabs>
        <w:rPr>
          <w:kern w:val="22"/>
        </w:rPr>
      </w:pPr>
      <w:r w:rsidRPr="005348BB">
        <w:t>В четвертом издании Глобальной перспективы в области биоразнообразия было использовано в общей сложности 55 индикаторов для оценки прогресса на пути выполнения целевых задач по сохранению и устойчивому использованию биоразнообразия, принятых в Айти. С 2014 года 29 индикаторов пополнились дополнительными данными. Кроме того,</w:t>
      </w:r>
      <w:r w:rsidR="004E6123" w:rsidRPr="005348BB">
        <w:t xml:space="preserve"> </w:t>
      </w:r>
      <w:r w:rsidRPr="005348BB">
        <w:t xml:space="preserve">для оценки прогресса на пути выполнения целевых задач по сохранению и устойчивому использованию биоразнообразия, принятых в Айти, было выявлено еще 17 индикаторов, которые не использовались в </w:t>
      </w:r>
      <w:r w:rsidR="00C03D30" w:rsidRPr="005348BB">
        <w:t>четвертом издании Глобальной перспективы</w:t>
      </w:r>
      <w:r w:rsidR="00E1020F" w:rsidRPr="005348BB">
        <w:rPr>
          <w:vertAlign w:val="superscript"/>
          <w:lang w:val="en-GB"/>
        </w:rPr>
        <w:footnoteReference w:id="14"/>
      </w:r>
      <w:r w:rsidRPr="005348BB">
        <w:t xml:space="preserve">. В приведенной ниже таблице представлены тенденции в отношении 46 обновленных и новых индикаторов. </w:t>
      </w:r>
    </w:p>
    <w:p w:rsidR="008547FC" w:rsidRPr="005348BB" w:rsidRDefault="00C03D30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 xml:space="preserve">Данные </w:t>
      </w:r>
      <w:r w:rsidR="009D1EE8" w:rsidRPr="005348BB">
        <w:t>тенденции относятся только к тенденциям</w:t>
      </w:r>
      <w:r w:rsidRPr="005348BB">
        <w:t>, указанным</w:t>
      </w:r>
      <w:r w:rsidR="009D1EE8" w:rsidRPr="005348BB">
        <w:t xml:space="preserve"> в рамках индикаторов</w:t>
      </w:r>
      <w:r w:rsidRPr="005348BB">
        <w:t>,</w:t>
      </w:r>
      <w:r w:rsidR="009D1EE8" w:rsidRPr="005348BB">
        <w:t xml:space="preserve"> и не представляют собой оценку прогресса в выполнении самих целей по сохранению и устойчивому использованию биоразнообразия, принятых в Айти. </w:t>
      </w:r>
    </w:p>
    <w:p w:rsidR="005B41D5" w:rsidRPr="005348BB" w:rsidRDefault="005B41D5" w:rsidP="00027F74">
      <w:pPr>
        <w:pStyle w:val="StylePara1HeadingsCSTimesNewRoman"/>
        <w:rPr>
          <w:rFonts w:cstheme="majorBidi"/>
          <w:kern w:val="22"/>
          <w:szCs w:val="22"/>
        </w:rPr>
      </w:pPr>
      <w:r w:rsidRPr="005348BB">
        <w:t>Оценка прогресса на пути выполнения целевых задач по сохранению и устойчивому использованию биоразнообразия, принятых в Айти, содержащаяся в четвертом издании Глобальной перспективы в области биоразнообразия, основывалась на информации, содержащейся в пятых национальных докладах, национальных стратегиях и планах действий в области биоразнообразия, научной литературе и других докладах, экстраполяциях на базе индикаторов и сценариях, разработанных на основе моделей.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1170"/>
        <w:gridCol w:w="1170"/>
        <w:gridCol w:w="1410"/>
        <w:gridCol w:w="1410"/>
        <w:gridCol w:w="1410"/>
      </w:tblGrid>
      <w:tr w:rsidR="00DF311C" w:rsidRPr="005348BB" w:rsidTr="00554DA5">
        <w:trPr>
          <w:trHeight w:val="300"/>
          <w:tblHeader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9B2E1A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bCs/>
                <w:i/>
                <w:color w:val="000000"/>
                <w:szCs w:val="20"/>
              </w:rPr>
              <w:t>Индикатор</w:t>
            </w:r>
            <w:r w:rsidR="00E1020F" w:rsidRPr="005348BB">
              <w:rPr>
                <w:rFonts w:asciiTheme="majorBidi" w:hAnsiTheme="majorBidi"/>
                <w:bCs/>
                <w:i/>
                <w:color w:val="000000"/>
                <w:szCs w:val="20"/>
                <w:vertAlign w:val="superscript"/>
                <w:lang w:val="en-GB"/>
              </w:rPr>
              <w:footnoteReference w:id="15"/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739">
            <w:pPr>
              <w:ind w:left="-63" w:right="-117"/>
              <w:jc w:val="center"/>
              <w:rPr>
                <w:rFonts w:asciiTheme="majorBidi" w:hAnsiTheme="majorBidi" w:cstheme="majorBidi"/>
                <w:bCs/>
                <w:i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bCs/>
                <w:i/>
                <w:color w:val="000000"/>
                <w:sz w:val="20"/>
                <w:szCs w:val="20"/>
              </w:rPr>
              <w:t>Наиболее актуальная целевая задача, принятая в Айти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739">
            <w:pPr>
              <w:ind w:left="-99" w:right="-81"/>
              <w:jc w:val="center"/>
              <w:rPr>
                <w:rFonts w:asciiTheme="majorBidi" w:hAnsiTheme="majorBidi" w:cstheme="majorBidi"/>
                <w:bCs/>
                <w:i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bCs/>
                <w:i/>
                <w:color w:val="000000"/>
                <w:sz w:val="20"/>
                <w:szCs w:val="20"/>
              </w:rPr>
              <w:t>Тип индикатора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bCs/>
                <w:i/>
                <w:color w:val="000000"/>
                <w:sz w:val="20"/>
                <w:szCs w:val="20"/>
              </w:rPr>
              <w:t xml:space="preserve">Период времени, </w:t>
            </w:r>
            <w:proofErr w:type="spellStart"/>
            <w:proofErr w:type="gramStart"/>
            <w:r w:rsidRPr="005348BB">
              <w:rPr>
                <w:rFonts w:asciiTheme="majorBidi" w:hAnsiTheme="majorBidi"/>
                <w:bCs/>
                <w:i/>
                <w:color w:val="000000"/>
                <w:sz w:val="20"/>
                <w:szCs w:val="20"/>
              </w:rPr>
              <w:t>охватывае</w:t>
            </w:r>
            <w:r w:rsidR="00EF6739" w:rsidRPr="005348BB">
              <w:rPr>
                <w:rFonts w:asciiTheme="majorBidi" w:hAnsiTheme="majorBidi"/>
                <w:bCs/>
                <w:i/>
                <w:color w:val="000000"/>
                <w:sz w:val="20"/>
                <w:szCs w:val="20"/>
              </w:rPr>
              <w:t>-</w:t>
            </w:r>
            <w:r w:rsidRPr="005348BB">
              <w:rPr>
                <w:rFonts w:asciiTheme="majorBidi" w:hAnsiTheme="majorBidi"/>
                <w:bCs/>
                <w:i/>
                <w:color w:val="000000"/>
                <w:sz w:val="20"/>
                <w:szCs w:val="20"/>
              </w:rPr>
              <w:t>мый</w:t>
            </w:r>
            <w:proofErr w:type="spellEnd"/>
            <w:proofErr w:type="gramEnd"/>
            <w:r w:rsidRPr="005348BB">
              <w:rPr>
                <w:rFonts w:asciiTheme="majorBidi" w:hAnsiTheme="majorBidi"/>
                <w:bCs/>
                <w:i/>
                <w:color w:val="000000"/>
                <w:sz w:val="20"/>
                <w:szCs w:val="20"/>
              </w:rPr>
              <w:t xml:space="preserve"> данными индикатора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739">
            <w:pPr>
              <w:ind w:left="-127" w:right="-96"/>
              <w:jc w:val="center"/>
              <w:rPr>
                <w:rFonts w:asciiTheme="majorBidi" w:hAnsiTheme="majorBidi" w:cstheme="majorBidi"/>
                <w:bCs/>
                <w:i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bCs/>
                <w:i/>
                <w:sz w:val="20"/>
                <w:szCs w:val="20"/>
              </w:rPr>
              <w:t xml:space="preserve">Индикаторная тенденция, о которой сообщается в </w:t>
            </w:r>
            <w:r w:rsidR="00EF6739" w:rsidRPr="005348BB">
              <w:rPr>
                <w:rFonts w:asciiTheme="majorBidi" w:hAnsiTheme="majorBidi"/>
                <w:bCs/>
                <w:i/>
                <w:sz w:val="20"/>
                <w:szCs w:val="20"/>
              </w:rPr>
              <w:t xml:space="preserve">четвертом издании Глобальной перспективы </w:t>
            </w:r>
            <w:r w:rsidR="00EF6739" w:rsidRPr="005348BB">
              <w:rPr>
                <w:rFonts w:asciiTheme="majorBidi" w:hAnsiTheme="majorBidi"/>
                <w:bCs/>
                <w:i/>
                <w:sz w:val="20"/>
                <w:szCs w:val="20"/>
              </w:rPr>
              <w:br/>
            </w:r>
            <w:r w:rsidRPr="005348BB">
              <w:rPr>
                <w:rFonts w:asciiTheme="majorBidi" w:hAnsiTheme="majorBidi"/>
                <w:bCs/>
                <w:i/>
                <w:sz w:val="20"/>
                <w:szCs w:val="20"/>
              </w:rPr>
              <w:t>в 2014 г.</w:t>
            </w:r>
            <w:r w:rsidRPr="005348BB">
              <w:rPr>
                <w:rStyle w:val="Appelnotedebasdep"/>
                <w:rFonts w:asciiTheme="majorBidi" w:hAnsiTheme="majorBidi" w:cstheme="majorBidi"/>
                <w:bCs/>
                <w:i/>
                <w:kern w:val="22"/>
                <w:szCs w:val="20"/>
              </w:rPr>
              <w:footnoteReference w:id="16"/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9B18A5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bCs/>
                <w:i/>
                <w:color w:val="000000"/>
                <w:sz w:val="20"/>
                <w:szCs w:val="20"/>
              </w:rPr>
              <w:t xml:space="preserve">Текущая тенденция в рамках индикатора 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Барометр биоразнообразия (% </w:t>
            </w:r>
            <w:proofErr w:type="gramStart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слышали о биоразнообразии)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2009-2016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Барометр биоразнообразия (% </w:t>
            </w:r>
            <w:proofErr w:type="gramStart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дали правильное определение биоразнообразия)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2009-2016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Интерес к биоразнообразию в сети (доля поиска в </w:t>
            </w:r>
            <w:proofErr w:type="spellStart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Google</w:t>
            </w:r>
            <w:proofErr w:type="spellEnd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2004-2016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42288B" w:rsidP="0042288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Доля</w:t>
            </w:r>
            <w:r w:rsidR="00DF311C"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стран, являющихся Сторонами </w:t>
            </w:r>
            <w:proofErr w:type="spellStart"/>
            <w:r w:rsidR="00DF311C"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СИТЕС</w:t>
            </w:r>
            <w:proofErr w:type="spellEnd"/>
            <w:r w:rsidR="00DF311C"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категории 1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1994-2016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Красного списка (виды международной торговли)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1988-2016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Красного списка (воздействие использования)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1986-2016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Экологический след 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lastRenderedPageBreak/>
              <w:t>(количество Земель, необходимых для поддержки человеческого общества)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1961-2012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lastRenderedPageBreak/>
              <w:t>Площадь утраты лесного покрова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2001-2016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тенденций в области водно-болотных угодий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1970-2015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Красного списка (лесные виды)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1988-2016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диких птиц (специализированные виды)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1968-2014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42288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Сертификация</w:t>
            </w:r>
            <w:r w:rsidR="004E6123"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рыболовн</w:t>
            </w:r>
            <w:r w:rsidR="0042288B"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ого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</w:t>
            </w:r>
            <w:r w:rsidR="0042288B"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промысла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Морским попечительским советом (тонны)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1999-2016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42288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Доля </w:t>
            </w:r>
            <w:r w:rsidR="0042288B"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рыбных запасов, находящихся 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в безопасных биологических пределах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1974-2013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Трофический индекс для морских экосистем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1960-2014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42288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Красного списка (воздействие рыбн</w:t>
            </w:r>
            <w:r w:rsidR="0042288B"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ого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промысл</w:t>
            </w:r>
            <w:r w:rsidR="0042288B"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а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1988-2016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Баланс потребления азота*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1961-2011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42288B" w:rsidP="0042288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</w:t>
            </w:r>
            <w:r w:rsidR="00DF311C"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ельскохозяйственны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е площади, занятые под </w:t>
            </w:r>
            <w:r w:rsidR="00DF311C"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биологически чист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ым</w:t>
            </w:r>
            <w:r w:rsidR="00DF311C"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производств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1999-2014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по диким птицам (обитающим на сельскохозяйственных угодьях)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1980-2014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4B196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Площади рационально используемых лесов: общая сертификация лесов </w:t>
            </w:r>
            <w:proofErr w:type="spellStart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ЛПС</w:t>
            </w:r>
            <w:proofErr w:type="spellEnd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ПОСЛ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2000-2016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4B196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Использование пестицидов 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2000-2011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Красного списка (воздействие загрязнения)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1988-2016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Красного списка (воздействие инвазивных чужеродных видов)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1988-2016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Доля живого кораллового покрова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1972-2016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42288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Индекс климатического воздействия </w:t>
            </w:r>
            <w:r w:rsidR="0042288B"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на 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птиц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1980-2010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4B196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Площадь мангровых лесов*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2000-2014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4B196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lastRenderedPageBreak/>
              <w:t>Баланс массы ледников*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1957-2015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4B196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Средняя протяженность полярного морского льда*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1979-2015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Процент морских и прибрежных площадей, входящих в состав охраняемых районов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1990-2016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Доля наземных площадей,</w:t>
            </w:r>
            <w:r w:rsidR="004E6123"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входящих в состав охраняемых районов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1990-2016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Доля ключевых районов для сохранения биоразнообразия,</w:t>
            </w:r>
            <w:r w:rsidR="004E6123"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входящих в состав охраняемых районов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1980-2017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</w:t>
            </w:r>
            <w:r w:rsidR="004E6123"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Красного списка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1994-2016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живой планеты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1970-2012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42288B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Число генетических ресурсов растений для производства продовольствия и сельского хозяйства, </w:t>
            </w:r>
            <w:r w:rsidR="0042288B"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хранящихся на объектах 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1995-2016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Красного списка (дикие родственные виды сельскохозяйственных и одомашненных видов)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Выгода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1988-2016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Процентное изменение местного богатства видов*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1970-2014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Неопределенный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Красного списка (опылители)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Выгода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1988-2016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Сокращение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Индекс Красного списка (виды, используемые для производства продовольствия и в медицине)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Выгода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1986-2017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Сокращение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Доля сельского населения мира, имеющего доступ к улучшенным водным ресурсам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1990-2015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Доля стран, ратифицировавших Нагойский протокол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2011-2017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Доля стран с </w:t>
            </w:r>
            <w:proofErr w:type="gramStart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пересмотренными</w:t>
            </w:r>
            <w:proofErr w:type="gramEnd"/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 НСПДСБ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2010-2017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Число опубликованных документов по биоразнообразию*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1980-2016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 xml:space="preserve">Число записей о распространенности видов в </w:t>
            </w: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lastRenderedPageBreak/>
              <w:t>Глобальном информационном фонде по биоразнообразию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2003-2016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lastRenderedPageBreak/>
              <w:t>Информационный индекс о состоянии видов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1980-2014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Доля известных видов, включенных в оценку Красного списка МСОП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2000-2017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Официальная помощь в целях развития, предоставляемая в поддержку реализации целей К</w:t>
            </w:r>
            <w:r w:rsidR="00FC1AF8"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онвенции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2006-2015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  <w:tr w:rsidR="00DF311C" w:rsidRPr="005348BB" w:rsidTr="00DF311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left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Финансирование, предоставляемое Глобальным экологическим фондом</w:t>
            </w:r>
          </w:p>
        </w:tc>
        <w:tc>
          <w:tcPr>
            <w:tcW w:w="117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410" w:type="dxa"/>
            <w:vAlign w:val="center"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1991-2016 гг.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sz w:val="20"/>
                <w:szCs w:val="20"/>
              </w:rPr>
              <w:t>Увеличение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F311C" w:rsidRPr="005348BB" w:rsidRDefault="00DF311C" w:rsidP="00EF6314">
            <w:pPr>
              <w:jc w:val="center"/>
              <w:rPr>
                <w:rFonts w:asciiTheme="majorBidi" w:hAnsiTheme="majorBidi" w:cstheme="majorBidi"/>
                <w:color w:val="000000"/>
                <w:kern w:val="22"/>
                <w:sz w:val="20"/>
                <w:szCs w:val="20"/>
              </w:rPr>
            </w:pPr>
            <w:r w:rsidRPr="005348BB">
              <w:rPr>
                <w:rFonts w:asciiTheme="majorBidi" w:hAnsiTheme="majorBidi"/>
                <w:color w:val="000000"/>
                <w:sz w:val="20"/>
                <w:szCs w:val="20"/>
              </w:rPr>
              <w:t>Увеличение</w:t>
            </w:r>
          </w:p>
        </w:tc>
      </w:tr>
    </w:tbl>
    <w:p w:rsidR="004B196B" w:rsidRPr="005348BB" w:rsidRDefault="004B196B" w:rsidP="00B21067">
      <w:pPr>
        <w:spacing w:before="120" w:after="120"/>
        <w:jc w:val="center"/>
        <w:rPr>
          <w:snapToGrid w:val="0"/>
          <w:kern w:val="22"/>
          <w:szCs w:val="22"/>
        </w:rPr>
      </w:pPr>
    </w:p>
    <w:p w:rsidR="004B196B" w:rsidRPr="005348BB" w:rsidRDefault="004B196B">
      <w:pPr>
        <w:jc w:val="left"/>
        <w:rPr>
          <w:snapToGrid w:val="0"/>
          <w:kern w:val="22"/>
          <w:szCs w:val="22"/>
        </w:rPr>
      </w:pPr>
      <w:r w:rsidRPr="005348BB">
        <w:br w:type="page"/>
      </w:r>
    </w:p>
    <w:p w:rsidR="004E6078" w:rsidRPr="005348BB" w:rsidRDefault="004E6078" w:rsidP="00B21067">
      <w:pPr>
        <w:spacing w:before="120" w:after="120"/>
        <w:jc w:val="center"/>
        <w:rPr>
          <w:rFonts w:asciiTheme="majorBidi" w:hAnsiTheme="majorBidi" w:cstheme="majorBidi"/>
          <w:i/>
          <w:iCs/>
          <w:kern w:val="22"/>
          <w:szCs w:val="22"/>
        </w:rPr>
      </w:pPr>
      <w:r w:rsidRPr="005348BB">
        <w:rPr>
          <w:rFonts w:asciiTheme="majorBidi" w:hAnsiTheme="majorBidi"/>
          <w:i/>
          <w:iCs/>
          <w:szCs w:val="22"/>
        </w:rPr>
        <w:lastRenderedPageBreak/>
        <w:t>Приложение II</w:t>
      </w:r>
    </w:p>
    <w:p w:rsidR="00C06A72" w:rsidRPr="005348BB" w:rsidRDefault="00C06A72" w:rsidP="006127AA">
      <w:pPr>
        <w:pStyle w:val="HEADING"/>
        <w:rPr>
          <w:snapToGrid w:val="0"/>
          <w:kern w:val="22"/>
        </w:rPr>
      </w:pPr>
      <w:r w:rsidRPr="005348BB">
        <w:rPr>
          <w:snapToGrid w:val="0"/>
        </w:rPr>
        <w:t>Возможные варианты ускорения прогресса на пути выполнения целевых задач по сохранению и устойчивому использованию биоразнообразия, принятых в Айти</w:t>
      </w:r>
    </w:p>
    <w:p w:rsidR="008547FC" w:rsidRPr="005348BB" w:rsidRDefault="00C06A72" w:rsidP="00972993">
      <w:pPr>
        <w:pStyle w:val="Para1"/>
        <w:numPr>
          <w:ilvl w:val="0"/>
          <w:numId w:val="45"/>
        </w:numPr>
        <w:tabs>
          <w:tab w:val="clear" w:pos="360"/>
        </w:tabs>
        <w:rPr>
          <w:kern w:val="22"/>
        </w:rPr>
      </w:pPr>
      <w:r w:rsidRPr="005348BB">
        <w:t>В настоящем приложении содержится информация о возможных мерах, которые могут быть приняты в зависимости от национальных условий и приоритетов, для содействия выполнени</w:t>
      </w:r>
      <w:r w:rsidR="005348BB">
        <w:t>ю</w:t>
      </w:r>
      <w:r w:rsidRPr="005348BB">
        <w:t xml:space="preserve"> целевых задач по сохранению и устойчивому использованию биоразнообразия, принятых в Айти. </w:t>
      </w:r>
    </w:p>
    <w:p w:rsidR="005E7CFF" w:rsidRPr="005348BB" w:rsidRDefault="00C06A72" w:rsidP="00027F74">
      <w:pPr>
        <w:pStyle w:val="StylePara1HeadingsCSTimesNewRoman"/>
        <w:rPr>
          <w:kern w:val="22"/>
        </w:rPr>
      </w:pPr>
      <w:r w:rsidRPr="005348BB">
        <w:t xml:space="preserve">Возможные действия, основанные на </w:t>
      </w:r>
      <w:r w:rsidR="0037430D" w:rsidRPr="005348BB">
        <w:t>результат</w:t>
      </w:r>
      <w:r w:rsidR="005348BB">
        <w:t>а</w:t>
      </w:r>
      <w:r w:rsidR="0037430D" w:rsidRPr="005348BB">
        <w:t>х</w:t>
      </w:r>
      <w:r w:rsidRPr="005348BB">
        <w:t xml:space="preserve"> региональных и тематических оценок МПБЭУ, </w:t>
      </w:r>
      <w:r w:rsidR="007B1456" w:rsidRPr="005348BB">
        <w:t>а также</w:t>
      </w:r>
      <w:r w:rsidRPr="005348BB">
        <w:t xml:space="preserve"> выводах, представленных в научной литературе</w:t>
      </w:r>
      <w:r w:rsidR="00A0534F" w:rsidRPr="005348BB">
        <w:rPr>
          <w:vertAlign w:val="superscript"/>
          <w:lang w:val="en-GB"/>
        </w:rPr>
        <w:footnoteReference w:id="17"/>
      </w:r>
      <w:r w:rsidRPr="005348BB">
        <w:t xml:space="preserve">, включают в себя: </w:t>
      </w:r>
    </w:p>
    <w:p w:rsidR="00715581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rFonts w:cstheme="majorBidi"/>
          <w:kern w:val="22"/>
          <w:szCs w:val="22"/>
        </w:rPr>
      </w:pPr>
      <w:r w:rsidRPr="005348BB">
        <w:t>р</w:t>
      </w:r>
      <w:r w:rsidR="00715581" w:rsidRPr="005348BB">
        <w:t xml:space="preserve">асширение доступа к информации о биоразнообразии, включая поощрение исследований в области биоразнообразия, более широкое использование социальных наук, разработка наборов данных, которые могут быть дезагрегированы для различных экосистем и географических масштабов, содействие проведению исследований по вопросам культуры и по вопросам, связанным с потребностями женщин, бедных и уязвимых слоев населения, а также разработка и поощрение механизмов для более эффективного обмена информацией о биоразнообразии; </w:t>
      </w:r>
    </w:p>
    <w:p w:rsidR="00F62C45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у</w:t>
      </w:r>
      <w:r w:rsidR="009B18A5" w:rsidRPr="005348BB">
        <w:t>лучшение интеграции или актуализации тематики биоразнообразия во все</w:t>
      </w:r>
      <w:r w:rsidR="005348BB">
        <w:t>х</w:t>
      </w:r>
      <w:r w:rsidR="009B18A5" w:rsidRPr="005348BB">
        <w:t xml:space="preserve"> сектора</w:t>
      </w:r>
      <w:r w:rsidR="005348BB">
        <w:t>х</w:t>
      </w:r>
      <w:r w:rsidR="009B18A5" w:rsidRPr="005348BB">
        <w:t xml:space="preserve"> деятельности общества в целях более эффективного учета взаимовлияния политических стратегий и их побочных последствий </w:t>
      </w:r>
      <w:r w:rsidR="005348BB">
        <w:t>в интересах</w:t>
      </w:r>
      <w:r w:rsidR="009B18A5" w:rsidRPr="005348BB">
        <w:t xml:space="preserve"> процесса принятия политических решений и их более широкого воздействия; </w:t>
      </w:r>
    </w:p>
    <w:p w:rsidR="005B6DC6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п</w:t>
      </w:r>
      <w:r w:rsidR="00F75CD3" w:rsidRPr="005348BB">
        <w:t xml:space="preserve">оощрение и развитие систем управления, позволяющих решать вопросы в области биоразнообразия на более согласованной основе и более эффективно учитывать глобальные обязательства в области биоразнообразия, в том числе путем улучшения интеграции знаний коренного и местного населения в процессы управления и более эффективного учета возможного взаимодействия </w:t>
      </w:r>
      <w:r w:rsidRPr="005348BB">
        <w:t>при</w:t>
      </w:r>
      <w:r w:rsidR="00F75CD3" w:rsidRPr="005348BB">
        <w:t xml:space="preserve"> осуществлении двусторонних и многосторонних соглашений, реализации целей в области устойчивого развития и других международных и региональных инициатив на национальном уровне;</w:t>
      </w:r>
    </w:p>
    <w:p w:rsidR="004C4E37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п</w:t>
      </w:r>
      <w:r w:rsidR="008E0AD6" w:rsidRPr="005348BB">
        <w:t xml:space="preserve">оощрение использования основанных на всеобщем участии подходов к управлению биоразнообразием, в том числе </w:t>
      </w:r>
      <w:r w:rsidR="005348BB">
        <w:t>посредством</w:t>
      </w:r>
      <w:r w:rsidR="008E0AD6" w:rsidRPr="005348BB">
        <w:t xml:space="preserve"> наращивание потенциала субъектов деятельности с тем, чтобы они могли конструктивно участвовать в процессе принятия решений, </w:t>
      </w:r>
      <w:r w:rsidRPr="005348BB">
        <w:t xml:space="preserve">путем </w:t>
      </w:r>
      <w:r w:rsidR="008E0AD6" w:rsidRPr="005348BB">
        <w:t>проведени</w:t>
      </w:r>
      <w:r w:rsidRPr="005348BB">
        <w:t>я</w:t>
      </w:r>
      <w:r w:rsidR="008E0AD6" w:rsidRPr="005348BB">
        <w:t xml:space="preserve"> более активной работы с мелкими землевладельцами в целях применения более эффективной и благоприятной для биоразнообразия практики, а также путем расширения сотрудничества и партнерства с коренными народами и местными общинами, неправительственными организациями, частным сектором и отдельными лицами;</w:t>
      </w:r>
    </w:p>
    <w:p w:rsidR="00F75CD3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п</w:t>
      </w:r>
      <w:r w:rsidR="008E0AD6" w:rsidRPr="005348BB">
        <w:t xml:space="preserve">овышение уровня информированности по вопросам биоразнообразия посредством эффективной коммуникации и образования, а также принятия мер по изменению моделей поведения; </w:t>
      </w:r>
    </w:p>
    <w:p w:rsidR="008E0AD6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у</w:t>
      </w:r>
      <w:r w:rsidR="008E0AD6" w:rsidRPr="005348BB">
        <w:t>силение мониторинга биоразнообразия, в том числе за счет более широкого использования дистанционных наблюдений и географических информационных систем;</w:t>
      </w:r>
    </w:p>
    <w:p w:rsidR="008E0AD6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р</w:t>
      </w:r>
      <w:r w:rsidR="008E0AD6" w:rsidRPr="005348BB">
        <w:t>асширение доступа к финансовым и технологическим ресурсам в целях сохранения и устойчивого использования биоразнообразия;</w:t>
      </w:r>
    </w:p>
    <w:p w:rsidR="00F62C45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lastRenderedPageBreak/>
        <w:t>с</w:t>
      </w:r>
      <w:r w:rsidR="004E6078" w:rsidRPr="005348BB">
        <w:t xml:space="preserve">одействие использованию и разработке сценариев, учитывающих аспекты биоразнообразия наряду с другими социальными целями, включая сокращение масштабов нищеты и голода, смягчение последствий изменения климата и адаптацию к ним, а также многочисленные прямые и косвенные факторы утраты биоразнообразия, и лучше отражающих экосистемные услуги; </w:t>
      </w:r>
    </w:p>
    <w:p w:rsidR="00F62C45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п</w:t>
      </w:r>
      <w:r w:rsidR="004E2C83" w:rsidRPr="005348BB">
        <w:t xml:space="preserve">оощрение действий, направленных на устранение основных причин утраты биоразнообразия и способствующих достижению многочисленных целевых задач по сохранению и устойчивому использованию биоразнообразия, принятых в Айти; </w:t>
      </w:r>
    </w:p>
    <w:p w:rsidR="004C4E37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с</w:t>
      </w:r>
      <w:r w:rsidR="00FB0D1D" w:rsidRPr="005348BB">
        <w:t>одействие более широкому применению эколого-экономического учета;</w:t>
      </w:r>
    </w:p>
    <w:p w:rsidR="00F62C45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у</w:t>
      </w:r>
      <w:r w:rsidR="00F62C45" w:rsidRPr="005348BB">
        <w:t>лучшение учета последствий потребительского выбора на биоразнообразие и содействие более эффективному использованию ресурсов в производственных системах;</w:t>
      </w:r>
    </w:p>
    <w:p w:rsidR="005B6DC6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и</w:t>
      </w:r>
      <w:r w:rsidR="00F62C45" w:rsidRPr="005348BB">
        <w:t xml:space="preserve">скоренение порочных стимулов, способствующих деградации биоразнообразия, и разработка положительных стимулов, способствующих освоению устойчивых методов управления земельными ресурсами; </w:t>
      </w:r>
    </w:p>
    <w:p w:rsidR="005B6DC6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п</w:t>
      </w:r>
      <w:r w:rsidR="00FB0D1D" w:rsidRPr="005348BB">
        <w:t>оощрение более широкого использования методов пространственного планирования в области сохранения и рационального использования биоразнообразия;</w:t>
      </w:r>
    </w:p>
    <w:p w:rsidR="004E2C83" w:rsidRPr="005348BB" w:rsidRDefault="007B1456" w:rsidP="00972993">
      <w:pPr>
        <w:pStyle w:val="StylePara1HeadingsCSTimesNewRoman"/>
        <w:numPr>
          <w:ilvl w:val="0"/>
          <w:numId w:val="48"/>
        </w:numPr>
        <w:ind w:firstLine="709"/>
        <w:rPr>
          <w:kern w:val="22"/>
        </w:rPr>
      </w:pPr>
      <w:r w:rsidRPr="005348BB">
        <w:t>стимулирование применения</w:t>
      </w:r>
      <w:r w:rsidR="00715581" w:rsidRPr="005348BB">
        <w:t xml:space="preserve"> ориентированных на природу решений, таких как естественное восстановление, увеличение разнообразия опылителей, включение естественных участков земли в сельскохозяйственные системы, и других комплексных экосистемных подходов для решения социальных проблем.</w:t>
      </w:r>
    </w:p>
    <w:p w:rsidR="004E6078" w:rsidRPr="00D00599" w:rsidRDefault="004E6078" w:rsidP="00B21067">
      <w:pPr>
        <w:pStyle w:val="Paragraphedeliste"/>
        <w:spacing w:before="120" w:after="120"/>
        <w:jc w:val="center"/>
        <w:rPr>
          <w:snapToGrid w:val="0"/>
          <w:kern w:val="22"/>
          <w:szCs w:val="22"/>
        </w:rPr>
      </w:pPr>
      <w:r w:rsidRPr="005348BB">
        <w:rPr>
          <w:snapToGrid w:val="0"/>
          <w:szCs w:val="22"/>
        </w:rPr>
        <w:t>----------</w:t>
      </w:r>
    </w:p>
    <w:sectPr w:rsidR="004E6078" w:rsidRPr="00D00599" w:rsidSect="00CA1572">
      <w:headerReference w:type="even" r:id="rId24"/>
      <w:headerReference w:type="default" r:id="rId25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35" w:rsidRDefault="00295E35">
      <w:r>
        <w:separator/>
      </w:r>
    </w:p>
  </w:endnote>
  <w:endnote w:type="continuationSeparator" w:id="0">
    <w:p w:rsidR="00295E35" w:rsidRDefault="0029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35" w:rsidRDefault="00295E35">
      <w:r>
        <w:separator/>
      </w:r>
    </w:p>
  </w:footnote>
  <w:footnote w:type="continuationSeparator" w:id="0">
    <w:p w:rsidR="00295E35" w:rsidRDefault="00295E35">
      <w:r>
        <w:continuationSeparator/>
      </w:r>
    </w:p>
  </w:footnote>
  <w:footnote w:id="1">
    <w:p w:rsidR="00A54020" w:rsidRPr="0068290F" w:rsidRDefault="00A54020" w:rsidP="00A54020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  <w:lang w:val="en-US"/>
        </w:rPr>
      </w:pPr>
      <w:r w:rsidRPr="0068290F">
        <w:rPr>
          <w:rStyle w:val="Appelnotedebasdep"/>
          <w:kern w:val="18"/>
          <w:szCs w:val="18"/>
        </w:rPr>
        <w:t>*</w:t>
      </w:r>
      <w:r w:rsidRPr="0068290F">
        <w:rPr>
          <w:kern w:val="18"/>
          <w:szCs w:val="18"/>
        </w:rPr>
        <w:t xml:space="preserve"> </w:t>
      </w:r>
      <w:hyperlink r:id="rId1" w:history="1">
        <w:proofErr w:type="spellStart"/>
        <w:r w:rsidRPr="0068290F">
          <w:rPr>
            <w:rStyle w:val="Lienhypertexte"/>
            <w:kern w:val="18"/>
            <w:szCs w:val="18"/>
          </w:rPr>
          <w:t>CBD</w:t>
        </w:r>
        <w:proofErr w:type="spellEnd"/>
        <w:r w:rsidRPr="0068290F">
          <w:rPr>
            <w:rStyle w:val="Lienhypertexte"/>
            <w:kern w:val="18"/>
            <w:szCs w:val="18"/>
          </w:rPr>
          <w:t>/</w:t>
        </w:r>
        <w:proofErr w:type="spellStart"/>
        <w:r w:rsidRPr="0068290F">
          <w:rPr>
            <w:rStyle w:val="Lienhypertexte"/>
            <w:kern w:val="18"/>
            <w:szCs w:val="18"/>
            <w:lang w:val="en-US"/>
          </w:rPr>
          <w:t>SBS</w:t>
        </w:r>
        <w:r w:rsidRPr="0068290F">
          <w:rPr>
            <w:rStyle w:val="Lienhypertexte"/>
            <w:kern w:val="18"/>
            <w:szCs w:val="18"/>
            <w:lang w:val="en-US"/>
          </w:rPr>
          <w:t>T</w:t>
        </w:r>
        <w:r w:rsidRPr="0068290F">
          <w:rPr>
            <w:rStyle w:val="Lienhypertexte"/>
            <w:kern w:val="18"/>
            <w:szCs w:val="18"/>
            <w:lang w:val="en-US"/>
          </w:rPr>
          <w:t>TA</w:t>
        </w:r>
        <w:proofErr w:type="spellEnd"/>
        <w:r w:rsidRPr="0068290F">
          <w:rPr>
            <w:rStyle w:val="Lienhypertexte"/>
            <w:kern w:val="18"/>
            <w:szCs w:val="18"/>
            <w:lang w:val="en-US"/>
          </w:rPr>
          <w:t>/22/1</w:t>
        </w:r>
      </w:hyperlink>
      <w:r w:rsidRPr="0068290F">
        <w:rPr>
          <w:kern w:val="18"/>
          <w:szCs w:val="18"/>
          <w:lang w:val="en-US"/>
        </w:rPr>
        <w:t>.</w:t>
      </w:r>
    </w:p>
  </w:footnote>
  <w:footnote w:id="2">
    <w:p w:rsidR="00C94219" w:rsidRPr="00DF6515" w:rsidRDefault="00C94219" w:rsidP="00CF7C83">
      <w:pPr>
        <w:pStyle w:val="Notedebasdepage"/>
        <w:spacing w:after="0"/>
        <w:ind w:firstLine="0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277C97">
        <w:t>CBD</w:t>
      </w:r>
      <w:proofErr w:type="spellEnd"/>
      <w:r w:rsidRPr="00277C97">
        <w:t>/</w:t>
      </w:r>
      <w:proofErr w:type="spellStart"/>
      <w:r w:rsidRPr="00277C97">
        <w:rPr>
          <w:lang w:val="en-US"/>
        </w:rPr>
        <w:t>SBSTTA</w:t>
      </w:r>
      <w:proofErr w:type="spellEnd"/>
      <w:r w:rsidRPr="00277C97">
        <w:rPr>
          <w:lang w:val="en-US"/>
        </w:rPr>
        <w:t>/22/INF/10</w:t>
      </w:r>
      <w:r>
        <w:rPr>
          <w:lang w:val="en-US"/>
        </w:rPr>
        <w:t>.</w:t>
      </w:r>
    </w:p>
  </w:footnote>
  <w:footnote w:id="3">
    <w:p w:rsidR="00C94219" w:rsidRPr="00D1411A" w:rsidRDefault="00C94219" w:rsidP="00CF7C83">
      <w:pPr>
        <w:pStyle w:val="Notedebasdepage"/>
        <w:spacing w:after="0"/>
        <w:ind w:firstLine="0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CBD</w:t>
      </w:r>
      <w:proofErr w:type="spellEnd"/>
      <w:r>
        <w:t>/</w:t>
      </w:r>
      <w:proofErr w:type="spellStart"/>
      <w:r>
        <w:t>SBI</w:t>
      </w:r>
      <w:proofErr w:type="spellEnd"/>
      <w:r>
        <w:t>/2/2 и его два добавления.</w:t>
      </w:r>
    </w:p>
  </w:footnote>
  <w:footnote w:id="4">
    <w:p w:rsidR="00C94219" w:rsidRPr="00C16F80" w:rsidRDefault="00C94219" w:rsidP="00CF7C83">
      <w:pPr>
        <w:pStyle w:val="Notedebasdepage"/>
        <w:spacing w:after="0"/>
        <w:ind w:firstLine="0"/>
      </w:pPr>
      <w:r>
        <w:rPr>
          <w:rStyle w:val="Appelnotedebasdep"/>
        </w:rPr>
        <w:footnoteRef/>
      </w:r>
      <w:r>
        <w:t xml:space="preserve"> Пересмотренные информационные документы представлены в следующих документах: </w:t>
      </w:r>
      <w:r w:rsidRPr="00CF7C83">
        <w:rPr>
          <w:lang w:val="en-GB"/>
        </w:rPr>
        <w:t>Summary of the shared socioeconomic pathways (</w:t>
      </w:r>
      <w:proofErr w:type="spellStart"/>
      <w:r w:rsidRPr="00CF7C83">
        <w:rPr>
          <w:lang w:val="en-GB"/>
        </w:rPr>
        <w:t>CBD</w:t>
      </w:r>
      <w:proofErr w:type="spellEnd"/>
      <w:r w:rsidRPr="00CF7C83">
        <w:rPr>
          <w:lang w:val="en-GB"/>
        </w:rPr>
        <w:t>/</w:t>
      </w:r>
      <w:proofErr w:type="spellStart"/>
      <w:r w:rsidRPr="00CF7C83">
        <w:rPr>
          <w:lang w:val="en-GB"/>
        </w:rPr>
        <w:t>SBSTTA</w:t>
      </w:r>
      <w:proofErr w:type="spellEnd"/>
      <w:r w:rsidRPr="00CF7C83">
        <w:rPr>
          <w:lang w:val="en-GB"/>
        </w:rPr>
        <w:t>/21/INF/2/Rev.2), Use of biodiversity scenarios at local, national and regional scales (</w:t>
      </w:r>
      <w:proofErr w:type="spellStart"/>
      <w:r w:rsidRPr="00CF7C83">
        <w:rPr>
          <w:lang w:val="en-GB"/>
        </w:rPr>
        <w:t>CBD</w:t>
      </w:r>
      <w:proofErr w:type="spellEnd"/>
      <w:r w:rsidRPr="00CF7C83">
        <w:rPr>
          <w:lang w:val="en-GB"/>
        </w:rPr>
        <w:t>/</w:t>
      </w:r>
      <w:proofErr w:type="spellStart"/>
      <w:r w:rsidRPr="00CF7C83">
        <w:rPr>
          <w:lang w:val="en-GB"/>
        </w:rPr>
        <w:t>SBSTTA</w:t>
      </w:r>
      <w:proofErr w:type="spellEnd"/>
      <w:r w:rsidRPr="00CF7C83">
        <w:rPr>
          <w:lang w:val="en-GB"/>
        </w:rPr>
        <w:t>/21/INF/3/Rev.1), Summary of th</w:t>
      </w:r>
      <w:r>
        <w:rPr>
          <w:lang w:val="en-GB"/>
        </w:rPr>
        <w:t>e shared socioeconomic pathways</w:t>
      </w:r>
      <w:r w:rsidRPr="00CF7C83">
        <w:rPr>
          <w:lang w:val="en-GB"/>
        </w:rPr>
        <w:t xml:space="preserve"> (</w:t>
      </w:r>
      <w:proofErr w:type="spellStart"/>
      <w:r w:rsidRPr="00CF7C83">
        <w:rPr>
          <w:lang w:val="en-GB"/>
        </w:rPr>
        <w:t>CBD</w:t>
      </w:r>
      <w:proofErr w:type="spellEnd"/>
      <w:r w:rsidRPr="00CF7C83">
        <w:rPr>
          <w:lang w:val="en-GB"/>
        </w:rPr>
        <w:t>/</w:t>
      </w:r>
      <w:proofErr w:type="spellStart"/>
      <w:r w:rsidRPr="00CF7C83">
        <w:rPr>
          <w:lang w:val="en-GB"/>
        </w:rPr>
        <w:t>SBSTTA</w:t>
      </w:r>
      <w:proofErr w:type="spellEnd"/>
      <w:r w:rsidRPr="00CF7C83">
        <w:rPr>
          <w:lang w:val="en-GB"/>
        </w:rPr>
        <w:t xml:space="preserve">/21/INF/4/Rev.1), </w:t>
      </w:r>
      <w:proofErr w:type="spellStart"/>
      <w:r w:rsidRPr="00CF7C83">
        <w:rPr>
          <w:lang w:val="en-GB"/>
        </w:rPr>
        <w:t>Multiscale</w:t>
      </w:r>
      <w:proofErr w:type="spellEnd"/>
      <w:r w:rsidRPr="00CF7C83">
        <w:rPr>
          <w:lang w:val="en-GB"/>
        </w:rPr>
        <w:t>, cross-</w:t>
      </w:r>
      <w:proofErr w:type="spellStart"/>
      <w:r w:rsidRPr="00CF7C83">
        <w:rPr>
          <w:lang w:val="en-GB"/>
        </w:rPr>
        <w:t>sectoral</w:t>
      </w:r>
      <w:proofErr w:type="spellEnd"/>
      <w:r w:rsidRPr="00CF7C83">
        <w:rPr>
          <w:lang w:val="en-GB"/>
        </w:rPr>
        <w:t xml:space="preserve"> scenarios for nature futures: the positive visions for biodiversity, ecosystem services, and human well-being (</w:t>
      </w:r>
      <w:proofErr w:type="spellStart"/>
      <w:r w:rsidRPr="00CF7C83">
        <w:rPr>
          <w:lang w:val="en-GB"/>
        </w:rPr>
        <w:t>CBD</w:t>
      </w:r>
      <w:proofErr w:type="spellEnd"/>
      <w:r w:rsidRPr="00CF7C83">
        <w:rPr>
          <w:lang w:val="en-GB"/>
        </w:rPr>
        <w:t>/</w:t>
      </w:r>
      <w:proofErr w:type="spellStart"/>
      <w:r w:rsidRPr="00CF7C83">
        <w:rPr>
          <w:lang w:val="en-GB"/>
        </w:rPr>
        <w:t>SBSTTA</w:t>
      </w:r>
      <w:proofErr w:type="spellEnd"/>
      <w:r w:rsidRPr="00CF7C83">
        <w:rPr>
          <w:lang w:val="en-GB"/>
        </w:rPr>
        <w:t>/21/INF/18/Rev.1).</w:t>
      </w:r>
    </w:p>
  </w:footnote>
  <w:footnote w:id="5">
    <w:p w:rsidR="00C94219" w:rsidRPr="0038672D" w:rsidRDefault="00C94219" w:rsidP="004024B0">
      <w:pPr>
        <w:pStyle w:val="Notedebasdepage"/>
        <w:ind w:firstLine="0"/>
      </w:pPr>
      <w:r w:rsidRPr="007A1EAF">
        <w:rPr>
          <w:rStyle w:val="Appelnotedebasdep"/>
        </w:rPr>
        <w:footnoteRef/>
      </w:r>
      <w:r w:rsidRPr="007A1EAF">
        <w:t xml:space="preserve"> </w:t>
      </w:r>
      <w:proofErr w:type="spellStart"/>
      <w:r w:rsidRPr="007A1EAF">
        <w:t>CBD</w:t>
      </w:r>
      <w:proofErr w:type="spellEnd"/>
      <w:r w:rsidRPr="007A1EAF">
        <w:t>/</w:t>
      </w:r>
      <w:proofErr w:type="spellStart"/>
      <w:r w:rsidRPr="007A1EAF">
        <w:t>SBSTTA</w:t>
      </w:r>
      <w:proofErr w:type="spellEnd"/>
      <w:r w:rsidRPr="007A1EAF">
        <w:t>/22/</w:t>
      </w:r>
      <w:proofErr w:type="spellStart"/>
      <w:r w:rsidRPr="007A1EAF">
        <w:t>INF</w:t>
      </w:r>
      <w:proofErr w:type="spellEnd"/>
      <w:r>
        <w:t>/</w:t>
      </w:r>
      <w:r w:rsidRPr="007A1EAF">
        <w:t>10</w:t>
      </w:r>
      <w:r>
        <w:t>.</w:t>
      </w:r>
    </w:p>
  </w:footnote>
  <w:footnote w:id="6">
    <w:p w:rsidR="00C94219" w:rsidRPr="001B4B01" w:rsidRDefault="00C94219" w:rsidP="004024B0">
      <w:pPr>
        <w:pStyle w:val="Notedebasdepage"/>
        <w:ind w:firstLine="0"/>
        <w:rPr>
          <w:lang w:val="en-US"/>
        </w:rPr>
      </w:pPr>
      <w:r>
        <w:rPr>
          <w:rStyle w:val="Appelnotedebasdep"/>
        </w:rPr>
        <w:footnoteRef/>
      </w:r>
      <w:r w:rsidRPr="004024B0">
        <w:rPr>
          <w:rFonts w:asciiTheme="majorBidi" w:hAnsiTheme="majorBidi" w:cstheme="majorBidi"/>
          <w:szCs w:val="22"/>
        </w:rPr>
        <w:t xml:space="preserve"> Семь из этих индикаторов в настоящее время не включены в перечень индикаторов, которые приветствовала Конференция Сторон в решении </w:t>
      </w:r>
      <w:proofErr w:type="spellStart"/>
      <w:r w:rsidRPr="004024B0">
        <w:rPr>
          <w:rFonts w:asciiTheme="majorBidi" w:hAnsiTheme="majorBidi" w:cstheme="majorBidi"/>
          <w:szCs w:val="22"/>
        </w:rPr>
        <w:t>XIII</w:t>
      </w:r>
      <w:proofErr w:type="spellEnd"/>
      <w:r w:rsidRPr="004024B0">
        <w:rPr>
          <w:rFonts w:asciiTheme="majorBidi" w:hAnsiTheme="majorBidi" w:cstheme="majorBidi"/>
          <w:szCs w:val="22"/>
        </w:rPr>
        <w:t>/28.</w:t>
      </w:r>
    </w:p>
  </w:footnote>
  <w:footnote w:id="7">
    <w:p w:rsidR="00C94219" w:rsidRPr="00E80107" w:rsidRDefault="00C94219" w:rsidP="004024B0">
      <w:pPr>
        <w:pStyle w:val="Notedebasdepage"/>
        <w:ind w:firstLine="0"/>
        <w:rPr>
          <w:lang w:val="en-US"/>
        </w:rPr>
      </w:pPr>
      <w:r>
        <w:rPr>
          <w:rStyle w:val="Appelnotedebasdep"/>
        </w:rPr>
        <w:footnoteRef/>
      </w:r>
      <w:r>
        <w:t xml:space="preserve"> См.</w:t>
      </w:r>
      <w:r w:rsidRPr="001B4B01">
        <w:rPr>
          <w:rFonts w:asciiTheme="majorBidi" w:hAnsiTheme="majorBidi" w:cstheme="majorBidi"/>
          <w:szCs w:val="22"/>
        </w:rPr>
        <w:t xml:space="preserve"> </w:t>
      </w:r>
      <w:hyperlink r:id="rId2" w:history="1">
        <w:r w:rsidRPr="007218A3">
          <w:rPr>
            <w:rStyle w:val="Lienhypertexte"/>
            <w:rFonts w:asciiTheme="majorBidi" w:hAnsiTheme="majorBidi" w:cstheme="majorBidi"/>
            <w:szCs w:val="22"/>
          </w:rPr>
          <w:t>https://www.ipbes.net/outcomes</w:t>
        </w:r>
      </w:hyperlink>
    </w:p>
  </w:footnote>
  <w:footnote w:id="8">
    <w:p w:rsidR="00C94219" w:rsidRPr="008E57F4" w:rsidRDefault="00C94219" w:rsidP="00396EA8">
      <w:pPr>
        <w:pStyle w:val="Notedebasdepage"/>
        <w:spacing w:after="0"/>
        <w:ind w:firstLine="0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Bidi" w:hAnsiTheme="majorBidi"/>
          <w:szCs w:val="22"/>
        </w:rPr>
        <w:t xml:space="preserve">См. </w:t>
      </w:r>
      <w:hyperlink r:id="rId3" w:history="1">
        <w:r>
          <w:rPr>
            <w:rStyle w:val="Lienhypertexte"/>
            <w:rFonts w:asciiTheme="majorBidi" w:hAnsiTheme="majorBidi"/>
            <w:szCs w:val="22"/>
          </w:rPr>
          <w:t>https://www.ipbes.net/outcomes</w:t>
        </w:r>
      </w:hyperlink>
    </w:p>
  </w:footnote>
  <w:footnote w:id="9">
    <w:p w:rsidR="00C94219" w:rsidRPr="0038672D" w:rsidRDefault="00C94219" w:rsidP="00396EA8">
      <w:pPr>
        <w:pStyle w:val="Notedebasdepage"/>
        <w:spacing w:after="0"/>
        <w:ind w:firstLine="0"/>
      </w:pPr>
      <w:r>
        <w:rPr>
          <w:rStyle w:val="Appelnotedebasdep"/>
        </w:rPr>
        <w:footnoteRef/>
      </w:r>
      <w:r>
        <w:t xml:space="preserve"> Ж</w:t>
      </w:r>
      <w:r w:rsidRPr="00396EA8">
        <w:t xml:space="preserve">ирным шрифтом </w:t>
      </w:r>
      <w:r>
        <w:t>в</w:t>
      </w:r>
      <w:r w:rsidRPr="00396EA8">
        <w:t xml:space="preserve">ыделены </w:t>
      </w:r>
      <w:r>
        <w:t>основные</w:t>
      </w:r>
      <w:r w:rsidRPr="00396EA8">
        <w:t xml:space="preserve"> идеи, содержащиеся в неотредактированном предварительном варианте резюме для директивных органов тематической оценки МПБЭУ деградации и восстановлени</w:t>
      </w:r>
      <w:r>
        <w:t>я</w:t>
      </w:r>
      <w:r w:rsidRPr="00396EA8">
        <w:t xml:space="preserve"> земель</w:t>
      </w:r>
      <w:r>
        <w:t xml:space="preserve"> </w:t>
      </w:r>
      <w:r w:rsidRPr="00694E72">
        <w:rPr>
          <w:snapToGrid w:val="0"/>
          <w:kern w:val="18"/>
          <w:szCs w:val="18"/>
        </w:rPr>
        <w:t>(</w:t>
      </w:r>
      <w:hyperlink r:id="rId4" w:history="1">
        <w:proofErr w:type="spellStart"/>
        <w:r w:rsidRPr="00694E72">
          <w:rPr>
            <w:rStyle w:val="Lienhypertexte"/>
            <w:snapToGrid w:val="0"/>
            <w:kern w:val="18"/>
            <w:szCs w:val="18"/>
          </w:rPr>
          <w:t>IPBES</w:t>
        </w:r>
        <w:proofErr w:type="spellEnd"/>
        <w:r w:rsidRPr="00694E72">
          <w:rPr>
            <w:rStyle w:val="Lienhypertexte"/>
            <w:snapToGrid w:val="0"/>
            <w:kern w:val="18"/>
            <w:szCs w:val="18"/>
          </w:rPr>
          <w:t>/6/15/Add.5</w:t>
        </w:r>
      </w:hyperlink>
      <w:r w:rsidRPr="00694E72">
        <w:rPr>
          <w:snapToGrid w:val="0"/>
          <w:kern w:val="18"/>
          <w:szCs w:val="18"/>
        </w:rPr>
        <w:t>)</w:t>
      </w:r>
      <w:r w:rsidRPr="00396EA8">
        <w:t>.</w:t>
      </w:r>
      <w:r>
        <w:t xml:space="preserve"> </w:t>
      </w:r>
    </w:p>
  </w:footnote>
  <w:footnote w:id="10">
    <w:p w:rsidR="00C94219" w:rsidRPr="00E80107" w:rsidRDefault="00C94219" w:rsidP="00396EA8">
      <w:pPr>
        <w:pStyle w:val="Notedebasdepage"/>
        <w:spacing w:after="0"/>
        <w:ind w:firstLine="0"/>
      </w:pPr>
      <w:r>
        <w:rPr>
          <w:rStyle w:val="Appelnotedebasdep"/>
        </w:rPr>
        <w:footnoteRef/>
      </w:r>
      <w:r>
        <w:t xml:space="preserve"> См. </w:t>
      </w:r>
      <w:hyperlink r:id="rId5" w:history="1">
        <w:r>
          <w:rPr>
            <w:rStyle w:val="Lienhypertexte"/>
          </w:rPr>
          <w:t>https://www.cbd.int/doc/restoration/Hyderabad-call-restoration-en.pdf</w:t>
        </w:r>
      </w:hyperlink>
      <w:r>
        <w:t xml:space="preserve"> </w:t>
      </w:r>
    </w:p>
  </w:footnote>
  <w:footnote w:id="11">
    <w:p w:rsidR="00C94219" w:rsidRPr="00E80107" w:rsidRDefault="00C94219" w:rsidP="00396EA8">
      <w:pPr>
        <w:pStyle w:val="Notedebasdepage"/>
        <w:spacing w:after="0"/>
        <w:ind w:firstLine="0"/>
      </w:pPr>
      <w:r>
        <w:rPr>
          <w:rStyle w:val="Appelnotedebasdep"/>
        </w:rPr>
        <w:footnoteRef/>
      </w:r>
      <w:r>
        <w:t xml:space="preserve"> См. </w:t>
      </w:r>
      <w:hyperlink r:id="rId6" w:history="1">
        <w:r>
          <w:rPr>
            <w:rStyle w:val="Lienhypertexte"/>
          </w:rPr>
          <w:t>http://www.bonnchallenge.org/content/challenge</w:t>
        </w:r>
      </w:hyperlink>
      <w:r>
        <w:t xml:space="preserve"> </w:t>
      </w:r>
    </w:p>
  </w:footnote>
  <w:footnote w:id="12">
    <w:p w:rsidR="00C94219" w:rsidRPr="00675559" w:rsidRDefault="00C94219" w:rsidP="00D853B9">
      <w:pPr>
        <w:pStyle w:val="Notedebasdepage"/>
        <w:ind w:firstLine="0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D853B9">
        <w:t xml:space="preserve">Принято в рамках Рамочной конвенции Организации Объединенных Наций об изменении климата (Сборник договоров Организации Объединенных Наций, </w:t>
      </w:r>
      <w:proofErr w:type="spellStart"/>
      <w:r w:rsidRPr="00D853B9">
        <w:t>рег</w:t>
      </w:r>
      <w:proofErr w:type="spellEnd"/>
      <w:r w:rsidRPr="00D853B9">
        <w:t>.</w:t>
      </w:r>
      <w:proofErr w:type="gramEnd"/>
      <w:r w:rsidRPr="00D853B9">
        <w:t xml:space="preserve"> № </w:t>
      </w:r>
      <w:proofErr w:type="gramStart"/>
      <w:r w:rsidRPr="00D853B9">
        <w:t>I-54113).</w:t>
      </w:r>
      <w:proofErr w:type="gramEnd"/>
    </w:p>
  </w:footnote>
  <w:footnote w:id="13">
    <w:p w:rsidR="00C03D30" w:rsidRDefault="00C03D30" w:rsidP="00C03D30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en-US"/>
        </w:rPr>
      </w:pPr>
      <w:r w:rsidRPr="00694E72">
        <w:rPr>
          <w:rStyle w:val="Appelnotedebasdep"/>
          <w:snapToGrid w:val="0"/>
          <w:kern w:val="18"/>
          <w:sz w:val="18"/>
          <w:szCs w:val="18"/>
        </w:rPr>
        <w:footnoteRef/>
      </w:r>
      <w:r w:rsidRPr="00694E72">
        <w:rPr>
          <w:snapToGrid w:val="0"/>
          <w:kern w:val="18"/>
          <w:szCs w:val="18"/>
        </w:rPr>
        <w:t xml:space="preserve"> </w:t>
      </w:r>
      <w:proofErr w:type="spellStart"/>
      <w:r w:rsidRPr="00694E72">
        <w:rPr>
          <w:iCs/>
          <w:snapToGrid w:val="0"/>
          <w:kern w:val="18"/>
          <w:szCs w:val="18"/>
        </w:rPr>
        <w:t>CBD</w:t>
      </w:r>
      <w:proofErr w:type="spellEnd"/>
      <w:r w:rsidRPr="00694E72">
        <w:rPr>
          <w:iCs/>
          <w:snapToGrid w:val="0"/>
          <w:kern w:val="18"/>
          <w:szCs w:val="18"/>
        </w:rPr>
        <w:t>/</w:t>
      </w:r>
      <w:proofErr w:type="spellStart"/>
      <w:r w:rsidRPr="00694E72">
        <w:rPr>
          <w:iCs/>
          <w:snapToGrid w:val="0"/>
          <w:kern w:val="18"/>
          <w:szCs w:val="18"/>
        </w:rPr>
        <w:t>SBSTTA</w:t>
      </w:r>
      <w:proofErr w:type="spellEnd"/>
      <w:r w:rsidRPr="00694E72">
        <w:rPr>
          <w:iCs/>
          <w:snapToGrid w:val="0"/>
          <w:kern w:val="18"/>
          <w:szCs w:val="18"/>
        </w:rPr>
        <w:t>/22/5.</w:t>
      </w:r>
    </w:p>
  </w:footnote>
  <w:footnote w:id="14">
    <w:p w:rsidR="00C94219" w:rsidRPr="00E651A9" w:rsidRDefault="00C94219" w:rsidP="0042288B">
      <w:pPr>
        <w:pStyle w:val="Notedebasdepage"/>
        <w:keepLines w:val="0"/>
        <w:widowControl w:val="0"/>
        <w:spacing w:after="0"/>
        <w:ind w:firstLine="0"/>
      </w:pPr>
      <w:r>
        <w:rPr>
          <w:rStyle w:val="Appelnotedebasdep"/>
        </w:rPr>
        <w:footnoteRef/>
      </w:r>
      <w:r>
        <w:t xml:space="preserve"> </w:t>
      </w:r>
      <w:r w:rsidRPr="00E1020F">
        <w:t>Обновленная информация об индикаторе была предоставлена</w:t>
      </w:r>
      <w:r>
        <w:t xml:space="preserve"> </w:t>
      </w:r>
      <w:r w:rsidRPr="00E1020F">
        <w:t>Партнерство</w:t>
      </w:r>
      <w:r>
        <w:t>м</w:t>
      </w:r>
      <w:r w:rsidRPr="00E1020F">
        <w:t xml:space="preserve"> по индикаторам биоразнообразия.</w:t>
      </w:r>
    </w:p>
  </w:footnote>
  <w:footnote w:id="15">
    <w:p w:rsidR="00C94219" w:rsidRPr="004B196B" w:rsidRDefault="00C94219" w:rsidP="0042288B">
      <w:pPr>
        <w:pStyle w:val="Notedebasdepage"/>
        <w:keepLines w:val="0"/>
        <w:widowControl w:val="0"/>
        <w:spacing w:after="0"/>
        <w:ind w:firstLine="0"/>
      </w:pPr>
      <w:r>
        <w:rPr>
          <w:rStyle w:val="Appelnotedebasdep"/>
        </w:rPr>
        <w:footnoteRef/>
      </w:r>
      <w:r>
        <w:t xml:space="preserve"> О</w:t>
      </w:r>
      <w:r w:rsidRPr="00E1020F">
        <w:t>тмеченные</w:t>
      </w:r>
      <w:r w:rsidR="00554DA5">
        <w:t xml:space="preserve"> звездочкой</w:t>
      </w:r>
      <w:proofErr w:type="gramStart"/>
      <w:r w:rsidR="00554DA5">
        <w:t xml:space="preserve"> (</w:t>
      </w:r>
      <w:r w:rsidRPr="00E1020F">
        <w:t>*</w:t>
      </w:r>
      <w:r w:rsidR="00554DA5">
        <w:t>)</w:t>
      </w:r>
      <w:r w:rsidRPr="00E1020F">
        <w:t xml:space="preserve"> </w:t>
      </w:r>
      <w:proofErr w:type="gramEnd"/>
      <w:r w:rsidRPr="00E1020F">
        <w:t xml:space="preserve">индикаторы не были включены в перечень индикаторов, которые приветствовала Конференция Сторон в решении </w:t>
      </w:r>
      <w:proofErr w:type="spellStart"/>
      <w:r w:rsidRPr="00E1020F">
        <w:t>XIII</w:t>
      </w:r>
      <w:proofErr w:type="spellEnd"/>
      <w:r w:rsidRPr="00E1020F">
        <w:t>/28.</w:t>
      </w:r>
    </w:p>
  </w:footnote>
  <w:footnote w:id="16">
    <w:p w:rsidR="00C94219" w:rsidRPr="009D1EE8" w:rsidRDefault="00C94219" w:rsidP="0042288B">
      <w:pPr>
        <w:pStyle w:val="Notedebasdepage"/>
        <w:keepLines w:val="0"/>
        <w:widowControl w:val="0"/>
        <w:spacing w:after="0"/>
        <w:ind w:firstLine="0"/>
      </w:pPr>
      <w:r>
        <w:rPr>
          <w:rStyle w:val="Appelnotedebasdep"/>
        </w:rPr>
        <w:footnoteRef/>
      </w:r>
      <w:r>
        <w:t xml:space="preserve"> Для показателей, отсутствовавших на момент подготовки </w:t>
      </w:r>
      <w:r w:rsidR="00554DA5">
        <w:t>четвертого издания Глобальной перспективы в области биоразнообразия</w:t>
      </w:r>
      <w:r>
        <w:t>, используется термин «отсутствует».</w:t>
      </w:r>
    </w:p>
  </w:footnote>
  <w:footnote w:id="17">
    <w:p w:rsidR="00C94219" w:rsidRPr="00E51420" w:rsidRDefault="00C94219" w:rsidP="00A0534F">
      <w:pPr>
        <w:pStyle w:val="Notedebasdepage"/>
        <w:spacing w:after="0"/>
        <w:ind w:firstLine="0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A0534F">
        <w:t xml:space="preserve">Меры, приведенные в настоящей записке, следует рассматривать в соответствии с руководящими указаниями, уже разработанными Конференцией Сторон, включая решение </w:t>
      </w:r>
      <w:proofErr w:type="spellStart"/>
      <w:r w:rsidRPr="00A0534F">
        <w:t>X</w:t>
      </w:r>
      <w:proofErr w:type="spellEnd"/>
      <w:r w:rsidRPr="00A0534F">
        <w:t>/2 о Стратегическом плане в области сохранения и устойчивого использования биоразнообразия на 2011-2020 годы и его техническое обоснование (</w:t>
      </w:r>
      <w:proofErr w:type="spellStart"/>
      <w:r w:rsidRPr="00A0534F">
        <w:t>UNEP</w:t>
      </w:r>
      <w:proofErr w:type="spellEnd"/>
      <w:r w:rsidRPr="00A0534F">
        <w:t>/</w:t>
      </w:r>
      <w:proofErr w:type="spellStart"/>
      <w:r w:rsidRPr="00A0534F">
        <w:t>CBD</w:t>
      </w:r>
      <w:proofErr w:type="spellEnd"/>
      <w:r w:rsidRPr="00A0534F">
        <w:t>/</w:t>
      </w:r>
      <w:proofErr w:type="spellStart"/>
      <w:r w:rsidRPr="00A0534F">
        <w:t>COP</w:t>
      </w:r>
      <w:proofErr w:type="spellEnd"/>
      <w:r w:rsidRPr="00A0534F">
        <w:t xml:space="preserve">/27/Add.1), а также потребностями, связанными с осуществлением, выявленными Конференцией Сторон в рекомендации </w:t>
      </w:r>
      <w:proofErr w:type="spellStart"/>
      <w:r w:rsidRPr="00A0534F">
        <w:t>XII</w:t>
      </w:r>
      <w:proofErr w:type="spellEnd"/>
      <w:r w:rsidRPr="00A0534F">
        <w:t>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Предмет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C94219" w:rsidRDefault="00C94219" w:rsidP="005440A6">
        <w:pPr>
          <w:pStyle w:val="En-tte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  <w:lang w:val="en-US"/>
          </w:rPr>
          <w:t>CBD/SBSTTA/22/5</w:t>
        </w:r>
      </w:p>
    </w:sdtContent>
  </w:sdt>
  <w:p w:rsidR="00C94219" w:rsidRPr="005440A6" w:rsidRDefault="00C94219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  <w:r>
      <w:t xml:space="preserve">Страница </w:t>
    </w:r>
    <w:fldSimple w:instr=" PAGE   \* MERGEFORMAT ">
      <w:r w:rsidR="00A54020">
        <w:rPr>
          <w:noProof/>
        </w:rPr>
        <w:t>2</w:t>
      </w:r>
    </w:fldSimple>
  </w:p>
  <w:p w:rsidR="00C94219" w:rsidRPr="005440A6" w:rsidRDefault="00C94219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Предмет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C94219" w:rsidRPr="005440A6" w:rsidRDefault="00C94219" w:rsidP="00BE45DE">
        <w:pPr>
          <w:pStyle w:val="En-tte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  <w:lang w:val="en-US"/>
          </w:rPr>
          <w:t>CBD/SBSTTA/22/5</w:t>
        </w:r>
      </w:p>
    </w:sdtContent>
  </w:sdt>
  <w:p w:rsidR="00C94219" w:rsidRPr="005440A6" w:rsidRDefault="00C94219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  <w:r w:rsidRPr="00B85ECC">
      <w:t xml:space="preserve">Страница </w:t>
    </w:r>
    <w:fldSimple w:instr=" PAGE   \* MERGEFORMAT ">
      <w:r w:rsidR="00A54020">
        <w:rPr>
          <w:noProof/>
        </w:rPr>
        <w:t>19</w:t>
      </w:r>
    </w:fldSimple>
  </w:p>
  <w:p w:rsidR="00C94219" w:rsidRPr="005440A6" w:rsidRDefault="00C94219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AE3"/>
    <w:multiLevelType w:val="hybridMultilevel"/>
    <w:tmpl w:val="798EDEBE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E924F1"/>
    <w:multiLevelType w:val="multilevel"/>
    <w:tmpl w:val="E7C2B2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270010B"/>
    <w:multiLevelType w:val="hybridMultilevel"/>
    <w:tmpl w:val="6BC4B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4C4"/>
    <w:multiLevelType w:val="hybridMultilevel"/>
    <w:tmpl w:val="9566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6C4C"/>
    <w:multiLevelType w:val="hybridMultilevel"/>
    <w:tmpl w:val="D3142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8586A"/>
    <w:multiLevelType w:val="hybridMultilevel"/>
    <w:tmpl w:val="8FDC6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6132566"/>
    <w:multiLevelType w:val="hybridMultilevel"/>
    <w:tmpl w:val="D3142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04FA6"/>
    <w:multiLevelType w:val="hybridMultilevel"/>
    <w:tmpl w:val="D3142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847943"/>
    <w:multiLevelType w:val="hybridMultilevel"/>
    <w:tmpl w:val="BAAABA86"/>
    <w:lvl w:ilvl="0" w:tplc="6034005A">
      <w:start w:val="1"/>
      <w:numFmt w:val="decimal"/>
      <w:lvlText w:val="%1."/>
      <w:lvlJc w:val="left"/>
      <w:pPr>
        <w:ind w:left="1211" w:hanging="360"/>
      </w:pPr>
      <w:rPr>
        <w:i w:val="0"/>
        <w:iCs/>
      </w:rPr>
    </w:lvl>
    <w:lvl w:ilvl="1" w:tplc="B70CC24E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00CE"/>
    <w:multiLevelType w:val="hybridMultilevel"/>
    <w:tmpl w:val="7FFA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0442B4"/>
    <w:multiLevelType w:val="multilevel"/>
    <w:tmpl w:val="D200D92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6D3C59"/>
    <w:multiLevelType w:val="multilevel"/>
    <w:tmpl w:val="65BEACD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BDD4DE2"/>
    <w:multiLevelType w:val="hybridMultilevel"/>
    <w:tmpl w:val="296C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07A9F"/>
    <w:multiLevelType w:val="hybridMultilevel"/>
    <w:tmpl w:val="219A9B10"/>
    <w:lvl w:ilvl="0" w:tplc="6034005A">
      <w:start w:val="1"/>
      <w:numFmt w:val="decimal"/>
      <w:lvlText w:val="%1."/>
      <w:lvlJc w:val="left"/>
      <w:pPr>
        <w:ind w:left="1211" w:hanging="360"/>
      </w:pPr>
      <w:rPr>
        <w:i w:val="0"/>
        <w:iCs/>
      </w:rPr>
    </w:lvl>
    <w:lvl w:ilvl="1" w:tplc="B70CC24E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1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0"/>
  </w:num>
  <w:num w:numId="33">
    <w:abstractNumId w:val="1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"/>
  </w:num>
  <w:num w:numId="37">
    <w:abstractNumId w:val="13"/>
  </w:num>
  <w:num w:numId="38">
    <w:abstractNumId w:val="13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1"/>
  </w:num>
  <w:num w:numId="48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5B3B"/>
    <w:rsid w:val="00002947"/>
    <w:rsid w:val="00006882"/>
    <w:rsid w:val="000074DD"/>
    <w:rsid w:val="000125C2"/>
    <w:rsid w:val="00016A8F"/>
    <w:rsid w:val="000219AC"/>
    <w:rsid w:val="00027F74"/>
    <w:rsid w:val="00031D24"/>
    <w:rsid w:val="00037873"/>
    <w:rsid w:val="00054381"/>
    <w:rsid w:val="0005644B"/>
    <w:rsid w:val="0006411B"/>
    <w:rsid w:val="00064ED7"/>
    <w:rsid w:val="000711E1"/>
    <w:rsid w:val="000714BA"/>
    <w:rsid w:val="00073708"/>
    <w:rsid w:val="00085328"/>
    <w:rsid w:val="00091416"/>
    <w:rsid w:val="000A003C"/>
    <w:rsid w:val="000A35ED"/>
    <w:rsid w:val="000A520A"/>
    <w:rsid w:val="000B16DF"/>
    <w:rsid w:val="000B36FF"/>
    <w:rsid w:val="000B5E4C"/>
    <w:rsid w:val="000B6DD4"/>
    <w:rsid w:val="000C0555"/>
    <w:rsid w:val="000D67F9"/>
    <w:rsid w:val="000E637D"/>
    <w:rsid w:val="000E6470"/>
    <w:rsid w:val="000E7E6A"/>
    <w:rsid w:val="000F17C7"/>
    <w:rsid w:val="000F52B2"/>
    <w:rsid w:val="000F5723"/>
    <w:rsid w:val="000F63AB"/>
    <w:rsid w:val="000F6E73"/>
    <w:rsid w:val="00106129"/>
    <w:rsid w:val="0011093A"/>
    <w:rsid w:val="00112375"/>
    <w:rsid w:val="00116AB8"/>
    <w:rsid w:val="0012214B"/>
    <w:rsid w:val="001278B8"/>
    <w:rsid w:val="00147D77"/>
    <w:rsid w:val="00153D15"/>
    <w:rsid w:val="0015655D"/>
    <w:rsid w:val="00162CFD"/>
    <w:rsid w:val="00166367"/>
    <w:rsid w:val="00166A15"/>
    <w:rsid w:val="00174F7A"/>
    <w:rsid w:val="001812D3"/>
    <w:rsid w:val="00192E06"/>
    <w:rsid w:val="00197F1D"/>
    <w:rsid w:val="001A5072"/>
    <w:rsid w:val="001A693A"/>
    <w:rsid w:val="001B3A4E"/>
    <w:rsid w:val="001B4B01"/>
    <w:rsid w:val="001B6DB6"/>
    <w:rsid w:val="001C3205"/>
    <w:rsid w:val="001C3352"/>
    <w:rsid w:val="001C6802"/>
    <w:rsid w:val="001C6F85"/>
    <w:rsid w:val="001D1175"/>
    <w:rsid w:val="001E0331"/>
    <w:rsid w:val="001E5D72"/>
    <w:rsid w:val="001F6379"/>
    <w:rsid w:val="002024A4"/>
    <w:rsid w:val="00204415"/>
    <w:rsid w:val="00207A6E"/>
    <w:rsid w:val="00213698"/>
    <w:rsid w:val="002144A9"/>
    <w:rsid w:val="00221410"/>
    <w:rsid w:val="002214CD"/>
    <w:rsid w:val="00222952"/>
    <w:rsid w:val="00223512"/>
    <w:rsid w:val="00224B92"/>
    <w:rsid w:val="00226182"/>
    <w:rsid w:val="002268EF"/>
    <w:rsid w:val="002322DF"/>
    <w:rsid w:val="002357E1"/>
    <w:rsid w:val="002367F4"/>
    <w:rsid w:val="002473DF"/>
    <w:rsid w:val="00252897"/>
    <w:rsid w:val="00256090"/>
    <w:rsid w:val="00257083"/>
    <w:rsid w:val="00265131"/>
    <w:rsid w:val="00276075"/>
    <w:rsid w:val="002763CA"/>
    <w:rsid w:val="00277AE2"/>
    <w:rsid w:val="00277C97"/>
    <w:rsid w:val="0028462B"/>
    <w:rsid w:val="0028558E"/>
    <w:rsid w:val="00290BBD"/>
    <w:rsid w:val="00291944"/>
    <w:rsid w:val="00295E35"/>
    <w:rsid w:val="002B0942"/>
    <w:rsid w:val="002C4BDB"/>
    <w:rsid w:val="002C5426"/>
    <w:rsid w:val="002D0F48"/>
    <w:rsid w:val="002D1453"/>
    <w:rsid w:val="002D31C2"/>
    <w:rsid w:val="002D6B99"/>
    <w:rsid w:val="002E773E"/>
    <w:rsid w:val="002F582B"/>
    <w:rsid w:val="00304287"/>
    <w:rsid w:val="00304E5D"/>
    <w:rsid w:val="00312428"/>
    <w:rsid w:val="003210FF"/>
    <w:rsid w:val="00325DE3"/>
    <w:rsid w:val="003348BE"/>
    <w:rsid w:val="00336766"/>
    <w:rsid w:val="0034118B"/>
    <w:rsid w:val="00344E86"/>
    <w:rsid w:val="00357F75"/>
    <w:rsid w:val="00362AB0"/>
    <w:rsid w:val="0036531D"/>
    <w:rsid w:val="0037430D"/>
    <w:rsid w:val="00385C67"/>
    <w:rsid w:val="0038672D"/>
    <w:rsid w:val="00396EA8"/>
    <w:rsid w:val="003A46B5"/>
    <w:rsid w:val="003A4B18"/>
    <w:rsid w:val="003B10B9"/>
    <w:rsid w:val="003B2BAA"/>
    <w:rsid w:val="003B461D"/>
    <w:rsid w:val="003C113F"/>
    <w:rsid w:val="003D7DED"/>
    <w:rsid w:val="003E00B0"/>
    <w:rsid w:val="003E2DAE"/>
    <w:rsid w:val="003E3329"/>
    <w:rsid w:val="003E5673"/>
    <w:rsid w:val="003F10C3"/>
    <w:rsid w:val="003F6E44"/>
    <w:rsid w:val="00401713"/>
    <w:rsid w:val="00401ADC"/>
    <w:rsid w:val="004024B0"/>
    <w:rsid w:val="0040430D"/>
    <w:rsid w:val="00406BC6"/>
    <w:rsid w:val="0042288B"/>
    <w:rsid w:val="00427C70"/>
    <w:rsid w:val="004327F7"/>
    <w:rsid w:val="004409E3"/>
    <w:rsid w:val="00442AE6"/>
    <w:rsid w:val="0044424E"/>
    <w:rsid w:val="004448C7"/>
    <w:rsid w:val="00453E63"/>
    <w:rsid w:val="00465671"/>
    <w:rsid w:val="00471113"/>
    <w:rsid w:val="00486A7D"/>
    <w:rsid w:val="004B196B"/>
    <w:rsid w:val="004B597A"/>
    <w:rsid w:val="004C20F9"/>
    <w:rsid w:val="004C418A"/>
    <w:rsid w:val="004C4E37"/>
    <w:rsid w:val="004C7D6B"/>
    <w:rsid w:val="004E2C83"/>
    <w:rsid w:val="004E6078"/>
    <w:rsid w:val="004E6123"/>
    <w:rsid w:val="004E7848"/>
    <w:rsid w:val="004E7893"/>
    <w:rsid w:val="004F503C"/>
    <w:rsid w:val="004F7948"/>
    <w:rsid w:val="004F7BDC"/>
    <w:rsid w:val="00500530"/>
    <w:rsid w:val="005032C9"/>
    <w:rsid w:val="00507602"/>
    <w:rsid w:val="00516C26"/>
    <w:rsid w:val="005304CF"/>
    <w:rsid w:val="005348BB"/>
    <w:rsid w:val="0053695C"/>
    <w:rsid w:val="00540276"/>
    <w:rsid w:val="00540797"/>
    <w:rsid w:val="005440A6"/>
    <w:rsid w:val="00554DA5"/>
    <w:rsid w:val="00561403"/>
    <w:rsid w:val="0056486D"/>
    <w:rsid w:val="0056574E"/>
    <w:rsid w:val="00574797"/>
    <w:rsid w:val="00582567"/>
    <w:rsid w:val="005830AC"/>
    <w:rsid w:val="005864A8"/>
    <w:rsid w:val="00593C8A"/>
    <w:rsid w:val="005955D2"/>
    <w:rsid w:val="005A4284"/>
    <w:rsid w:val="005B1E34"/>
    <w:rsid w:val="005B41D5"/>
    <w:rsid w:val="005B6DC6"/>
    <w:rsid w:val="005C09E7"/>
    <w:rsid w:val="005C3F77"/>
    <w:rsid w:val="005C5BFE"/>
    <w:rsid w:val="005D139C"/>
    <w:rsid w:val="005E7CFF"/>
    <w:rsid w:val="005F4C74"/>
    <w:rsid w:val="0061216B"/>
    <w:rsid w:val="006127AA"/>
    <w:rsid w:val="00612D06"/>
    <w:rsid w:val="006204CC"/>
    <w:rsid w:val="006260D5"/>
    <w:rsid w:val="00630867"/>
    <w:rsid w:val="006366D4"/>
    <w:rsid w:val="00642297"/>
    <w:rsid w:val="006507F2"/>
    <w:rsid w:val="00655FB4"/>
    <w:rsid w:val="00672E55"/>
    <w:rsid w:val="00675559"/>
    <w:rsid w:val="006811D6"/>
    <w:rsid w:val="00683B9A"/>
    <w:rsid w:val="00684503"/>
    <w:rsid w:val="006857DC"/>
    <w:rsid w:val="00690847"/>
    <w:rsid w:val="00695800"/>
    <w:rsid w:val="00696333"/>
    <w:rsid w:val="006B074E"/>
    <w:rsid w:val="006B2BD5"/>
    <w:rsid w:val="006C42C7"/>
    <w:rsid w:val="006D0E3D"/>
    <w:rsid w:val="006D785B"/>
    <w:rsid w:val="006F09EB"/>
    <w:rsid w:val="006F284C"/>
    <w:rsid w:val="006F7227"/>
    <w:rsid w:val="00702366"/>
    <w:rsid w:val="00715581"/>
    <w:rsid w:val="007163BC"/>
    <w:rsid w:val="007173D3"/>
    <w:rsid w:val="007218A3"/>
    <w:rsid w:val="00723FD9"/>
    <w:rsid w:val="00730AE3"/>
    <w:rsid w:val="0073286E"/>
    <w:rsid w:val="00735E62"/>
    <w:rsid w:val="00736BC2"/>
    <w:rsid w:val="00737AD9"/>
    <w:rsid w:val="007414C0"/>
    <w:rsid w:val="00747E45"/>
    <w:rsid w:val="0075431F"/>
    <w:rsid w:val="00781A80"/>
    <w:rsid w:val="0079325E"/>
    <w:rsid w:val="007945D5"/>
    <w:rsid w:val="007A1EAF"/>
    <w:rsid w:val="007B1456"/>
    <w:rsid w:val="007B1587"/>
    <w:rsid w:val="007B4220"/>
    <w:rsid w:val="007C5285"/>
    <w:rsid w:val="007C633B"/>
    <w:rsid w:val="007D3182"/>
    <w:rsid w:val="007D354F"/>
    <w:rsid w:val="007D456F"/>
    <w:rsid w:val="007E3903"/>
    <w:rsid w:val="008057B2"/>
    <w:rsid w:val="00806339"/>
    <w:rsid w:val="0080736D"/>
    <w:rsid w:val="00825524"/>
    <w:rsid w:val="0083211E"/>
    <w:rsid w:val="00840464"/>
    <w:rsid w:val="00844BB5"/>
    <w:rsid w:val="00847801"/>
    <w:rsid w:val="00853227"/>
    <w:rsid w:val="008547FC"/>
    <w:rsid w:val="00864BCD"/>
    <w:rsid w:val="00865878"/>
    <w:rsid w:val="008707FF"/>
    <w:rsid w:val="00870D40"/>
    <w:rsid w:val="0088112B"/>
    <w:rsid w:val="00892F57"/>
    <w:rsid w:val="00895A34"/>
    <w:rsid w:val="008C013C"/>
    <w:rsid w:val="008C1E35"/>
    <w:rsid w:val="008C3B43"/>
    <w:rsid w:val="008D5AA2"/>
    <w:rsid w:val="008E0AD6"/>
    <w:rsid w:val="008E57F4"/>
    <w:rsid w:val="008E5F84"/>
    <w:rsid w:val="008E7500"/>
    <w:rsid w:val="008F09C3"/>
    <w:rsid w:val="008F3B26"/>
    <w:rsid w:val="00901E2D"/>
    <w:rsid w:val="009020A4"/>
    <w:rsid w:val="009067F8"/>
    <w:rsid w:val="00907134"/>
    <w:rsid w:val="00907962"/>
    <w:rsid w:val="0091402B"/>
    <w:rsid w:val="0091709C"/>
    <w:rsid w:val="009201AD"/>
    <w:rsid w:val="00922EAD"/>
    <w:rsid w:val="0092794B"/>
    <w:rsid w:val="00930CE7"/>
    <w:rsid w:val="0093192D"/>
    <w:rsid w:val="00932F23"/>
    <w:rsid w:val="00937BAC"/>
    <w:rsid w:val="00947584"/>
    <w:rsid w:val="009477EE"/>
    <w:rsid w:val="00953856"/>
    <w:rsid w:val="009554D5"/>
    <w:rsid w:val="00966F3E"/>
    <w:rsid w:val="00972993"/>
    <w:rsid w:val="00984082"/>
    <w:rsid w:val="009869BB"/>
    <w:rsid w:val="009909A1"/>
    <w:rsid w:val="00997684"/>
    <w:rsid w:val="009A46E7"/>
    <w:rsid w:val="009B0A20"/>
    <w:rsid w:val="009B18A5"/>
    <w:rsid w:val="009B2E1A"/>
    <w:rsid w:val="009B3D1C"/>
    <w:rsid w:val="009B5E1D"/>
    <w:rsid w:val="009C4699"/>
    <w:rsid w:val="009D1EE8"/>
    <w:rsid w:val="009D2F92"/>
    <w:rsid w:val="009D366B"/>
    <w:rsid w:val="009D5D8D"/>
    <w:rsid w:val="009E0C8B"/>
    <w:rsid w:val="009E2B79"/>
    <w:rsid w:val="009E3B3A"/>
    <w:rsid w:val="009F43F8"/>
    <w:rsid w:val="00A02321"/>
    <w:rsid w:val="00A0518B"/>
    <w:rsid w:val="00A0534F"/>
    <w:rsid w:val="00A10051"/>
    <w:rsid w:val="00A12B33"/>
    <w:rsid w:val="00A20F36"/>
    <w:rsid w:val="00A26601"/>
    <w:rsid w:val="00A30DAD"/>
    <w:rsid w:val="00A33352"/>
    <w:rsid w:val="00A52EBF"/>
    <w:rsid w:val="00A54020"/>
    <w:rsid w:val="00A56847"/>
    <w:rsid w:val="00A61246"/>
    <w:rsid w:val="00A85291"/>
    <w:rsid w:val="00AA014E"/>
    <w:rsid w:val="00AB07C1"/>
    <w:rsid w:val="00AB1BDF"/>
    <w:rsid w:val="00AB49D8"/>
    <w:rsid w:val="00AB582D"/>
    <w:rsid w:val="00AC1E69"/>
    <w:rsid w:val="00AC485E"/>
    <w:rsid w:val="00AD5572"/>
    <w:rsid w:val="00AD7CD2"/>
    <w:rsid w:val="00AE1319"/>
    <w:rsid w:val="00B007F1"/>
    <w:rsid w:val="00B029CE"/>
    <w:rsid w:val="00B12E4C"/>
    <w:rsid w:val="00B13245"/>
    <w:rsid w:val="00B21067"/>
    <w:rsid w:val="00B259DC"/>
    <w:rsid w:val="00B271A0"/>
    <w:rsid w:val="00B308A7"/>
    <w:rsid w:val="00B3299A"/>
    <w:rsid w:val="00B45EAD"/>
    <w:rsid w:val="00B516B6"/>
    <w:rsid w:val="00B564D7"/>
    <w:rsid w:val="00B56B11"/>
    <w:rsid w:val="00B5744A"/>
    <w:rsid w:val="00B6695D"/>
    <w:rsid w:val="00B67240"/>
    <w:rsid w:val="00B679A7"/>
    <w:rsid w:val="00B82C85"/>
    <w:rsid w:val="00B85ECC"/>
    <w:rsid w:val="00B85F9B"/>
    <w:rsid w:val="00B92CA7"/>
    <w:rsid w:val="00B95239"/>
    <w:rsid w:val="00B95E0F"/>
    <w:rsid w:val="00BA1498"/>
    <w:rsid w:val="00BA3233"/>
    <w:rsid w:val="00BA7119"/>
    <w:rsid w:val="00BB42CE"/>
    <w:rsid w:val="00BB653E"/>
    <w:rsid w:val="00BD1C88"/>
    <w:rsid w:val="00BD7295"/>
    <w:rsid w:val="00BE37A4"/>
    <w:rsid w:val="00BE45DE"/>
    <w:rsid w:val="00BE764F"/>
    <w:rsid w:val="00C03D30"/>
    <w:rsid w:val="00C05456"/>
    <w:rsid w:val="00C06A3B"/>
    <w:rsid w:val="00C06A72"/>
    <w:rsid w:val="00C076A9"/>
    <w:rsid w:val="00C15BBB"/>
    <w:rsid w:val="00C21052"/>
    <w:rsid w:val="00C31FC0"/>
    <w:rsid w:val="00C37FF1"/>
    <w:rsid w:val="00C40969"/>
    <w:rsid w:val="00C507CD"/>
    <w:rsid w:val="00C62330"/>
    <w:rsid w:val="00C757EF"/>
    <w:rsid w:val="00C77548"/>
    <w:rsid w:val="00C85EA4"/>
    <w:rsid w:val="00C877AD"/>
    <w:rsid w:val="00C912FE"/>
    <w:rsid w:val="00C91352"/>
    <w:rsid w:val="00C94219"/>
    <w:rsid w:val="00C94BEB"/>
    <w:rsid w:val="00CA1572"/>
    <w:rsid w:val="00CA6B87"/>
    <w:rsid w:val="00CC2031"/>
    <w:rsid w:val="00CC56A6"/>
    <w:rsid w:val="00CD271B"/>
    <w:rsid w:val="00CE1D6B"/>
    <w:rsid w:val="00CE21E7"/>
    <w:rsid w:val="00CE51C3"/>
    <w:rsid w:val="00CF2E69"/>
    <w:rsid w:val="00CF339D"/>
    <w:rsid w:val="00CF4F69"/>
    <w:rsid w:val="00CF6FA1"/>
    <w:rsid w:val="00CF7820"/>
    <w:rsid w:val="00CF7C83"/>
    <w:rsid w:val="00D00599"/>
    <w:rsid w:val="00D10879"/>
    <w:rsid w:val="00D1411A"/>
    <w:rsid w:val="00D15589"/>
    <w:rsid w:val="00D17425"/>
    <w:rsid w:val="00D22AE8"/>
    <w:rsid w:val="00D2308E"/>
    <w:rsid w:val="00D27695"/>
    <w:rsid w:val="00D3575C"/>
    <w:rsid w:val="00D36959"/>
    <w:rsid w:val="00D432AD"/>
    <w:rsid w:val="00D44393"/>
    <w:rsid w:val="00D4440A"/>
    <w:rsid w:val="00D44ACC"/>
    <w:rsid w:val="00D44F95"/>
    <w:rsid w:val="00D46CF5"/>
    <w:rsid w:val="00D4797F"/>
    <w:rsid w:val="00D51069"/>
    <w:rsid w:val="00D54698"/>
    <w:rsid w:val="00D73C73"/>
    <w:rsid w:val="00D77FDC"/>
    <w:rsid w:val="00D8110F"/>
    <w:rsid w:val="00D81568"/>
    <w:rsid w:val="00D853B9"/>
    <w:rsid w:val="00D9537D"/>
    <w:rsid w:val="00D9593A"/>
    <w:rsid w:val="00DA1081"/>
    <w:rsid w:val="00DC2C46"/>
    <w:rsid w:val="00DD52CC"/>
    <w:rsid w:val="00DE308B"/>
    <w:rsid w:val="00DF11ED"/>
    <w:rsid w:val="00DF1C44"/>
    <w:rsid w:val="00DF311C"/>
    <w:rsid w:val="00DF6515"/>
    <w:rsid w:val="00E00656"/>
    <w:rsid w:val="00E05B48"/>
    <w:rsid w:val="00E1020F"/>
    <w:rsid w:val="00E14902"/>
    <w:rsid w:val="00E37A7A"/>
    <w:rsid w:val="00E47630"/>
    <w:rsid w:val="00E51420"/>
    <w:rsid w:val="00E55688"/>
    <w:rsid w:val="00E55B3B"/>
    <w:rsid w:val="00E55E91"/>
    <w:rsid w:val="00E62C21"/>
    <w:rsid w:val="00E63305"/>
    <w:rsid w:val="00E651A9"/>
    <w:rsid w:val="00E73562"/>
    <w:rsid w:val="00E80107"/>
    <w:rsid w:val="00E85A48"/>
    <w:rsid w:val="00E8732E"/>
    <w:rsid w:val="00E920F6"/>
    <w:rsid w:val="00E92C82"/>
    <w:rsid w:val="00EA7525"/>
    <w:rsid w:val="00EC0891"/>
    <w:rsid w:val="00EC2441"/>
    <w:rsid w:val="00EC5C46"/>
    <w:rsid w:val="00ED3D55"/>
    <w:rsid w:val="00ED3E8B"/>
    <w:rsid w:val="00EE47D0"/>
    <w:rsid w:val="00EE51DB"/>
    <w:rsid w:val="00EF6314"/>
    <w:rsid w:val="00EF6739"/>
    <w:rsid w:val="00F0557B"/>
    <w:rsid w:val="00F13DC0"/>
    <w:rsid w:val="00F14485"/>
    <w:rsid w:val="00F16F02"/>
    <w:rsid w:val="00F26A60"/>
    <w:rsid w:val="00F465B6"/>
    <w:rsid w:val="00F50EC1"/>
    <w:rsid w:val="00F53C42"/>
    <w:rsid w:val="00F62C45"/>
    <w:rsid w:val="00F63D9D"/>
    <w:rsid w:val="00F64CB9"/>
    <w:rsid w:val="00F67181"/>
    <w:rsid w:val="00F7067E"/>
    <w:rsid w:val="00F75CD3"/>
    <w:rsid w:val="00F77628"/>
    <w:rsid w:val="00F838DD"/>
    <w:rsid w:val="00F9163E"/>
    <w:rsid w:val="00FB0D1D"/>
    <w:rsid w:val="00FB3B70"/>
    <w:rsid w:val="00FC1AF8"/>
    <w:rsid w:val="00FC6159"/>
    <w:rsid w:val="00FD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 w:qFormat="1"/>
    <w:lsdException w:name="annotation text" w:uiPriority="0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</w:rPr>
  </w:style>
  <w:style w:type="paragraph" w:styleId="Titre1">
    <w:name w:val="heading 1"/>
    <w:basedOn w:val="Normal"/>
    <w:next w:val="Titre2"/>
    <w:qFormat/>
    <w:rsid w:val="0080736D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rsid w:val="0080736D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80736D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rsid w:val="0080736D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qFormat/>
    <w:rsid w:val="0080736D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80736D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80736D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80736D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736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0736D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qFormat/>
    <w:rsid w:val="0080736D"/>
    <w:pPr>
      <w:keepLines/>
      <w:spacing w:after="60"/>
      <w:ind w:firstLine="720"/>
    </w:pPr>
    <w:rPr>
      <w:sz w:val="18"/>
    </w:rPr>
  </w:style>
  <w:style w:type="paragraph" w:styleId="Corpsdetexte">
    <w:name w:val="Body Text"/>
    <w:aliases w:val=" Car,Car"/>
    <w:basedOn w:val="Normal"/>
    <w:link w:val="CorpsdetexteCar"/>
    <w:rsid w:val="0080736D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ecommentaire">
    <w:name w:val="annotation reference"/>
    <w:semiHidden/>
    <w:rsid w:val="0080736D"/>
    <w:rPr>
      <w:sz w:val="16"/>
    </w:rPr>
  </w:style>
  <w:style w:type="paragraph" w:styleId="Commentaire">
    <w:name w:val="annotation text"/>
    <w:basedOn w:val="Normal"/>
    <w:link w:val="CommentaireCar"/>
    <w:semiHidden/>
    <w:rsid w:val="0080736D"/>
    <w:pPr>
      <w:spacing w:after="120" w:line="240" w:lineRule="exact"/>
    </w:p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276075"/>
    <w:rPr>
      <w:sz w:val="22"/>
      <w:u w:val="none"/>
      <w:vertAlign w:val="superscript"/>
    </w:rPr>
  </w:style>
  <w:style w:type="paragraph" w:styleId="Retraitcorpsdetexte">
    <w:name w:val="Body Text Indent"/>
    <w:basedOn w:val="Normal"/>
    <w:rsid w:val="0080736D"/>
    <w:pPr>
      <w:spacing w:before="120" w:after="120"/>
      <w:ind w:left="1440" w:hanging="720"/>
      <w:jc w:val="left"/>
    </w:pPr>
  </w:style>
  <w:style w:type="character" w:styleId="Numrodepage">
    <w:name w:val="page number"/>
    <w:rsid w:val="0080736D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80736D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80736D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80736D"/>
    <w:pPr>
      <w:ind w:left="170" w:right="3119" w:hanging="170"/>
      <w:jc w:val="left"/>
    </w:pPr>
  </w:style>
  <w:style w:type="paragraph" w:customStyle="1" w:styleId="Para3">
    <w:name w:val="Para3"/>
    <w:basedOn w:val="Normal"/>
    <w:rsid w:val="0080736D"/>
    <w:p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80736D"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rsid w:val="0080736D"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rsid w:val="0080736D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80736D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80736D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80736D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80736D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80736D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80736D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80736D"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visit">
    <w:name w:val="FollowedHyperlink"/>
    <w:rsid w:val="0080736D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rsid w:val="0080736D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Appeldenotedefin">
    <w:name w:val="endnote reference"/>
    <w:semiHidden/>
    <w:rsid w:val="0080736D"/>
    <w:rPr>
      <w:vertAlign w:val="superscript"/>
    </w:rPr>
  </w:style>
  <w:style w:type="paragraph" w:styleId="Notedefin">
    <w:name w:val="endnote text"/>
    <w:basedOn w:val="Normal"/>
    <w:semiHidden/>
    <w:rsid w:val="0080736D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rsid w:val="0080736D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80736D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rsid w:val="0080736D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rsid w:val="0080736D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406BC6"/>
    <w:rPr>
      <w:sz w:val="18"/>
      <w:szCs w:val="24"/>
      <w:lang w:val="ru-RU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D9537D"/>
    <w:rPr>
      <w:sz w:val="22"/>
      <w:szCs w:val="24"/>
      <w:lang w:val="ru-RU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ru-RU"/>
    </w:rPr>
  </w:style>
  <w:style w:type="paragraph" w:styleId="Rvision">
    <w:name w:val="Revision"/>
    <w:hidden/>
    <w:uiPriority w:val="99"/>
    <w:semiHidden/>
    <w:rsid w:val="00D9537D"/>
    <w:rPr>
      <w:sz w:val="22"/>
      <w:szCs w:val="24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dutableau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440A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4F7BDC"/>
    <w:rPr>
      <w:b/>
      <w:bCs/>
    </w:rPr>
  </w:style>
  <w:style w:type="paragraph" w:customStyle="1" w:styleId="Default">
    <w:name w:val="Default"/>
    <w:rsid w:val="00F53C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sdetexteCar">
    <w:name w:val="Corps de texte Car"/>
    <w:aliases w:val=" Car Car,Car Car"/>
    <w:link w:val="Corpsdetexte"/>
    <w:rsid w:val="001278B8"/>
    <w:rPr>
      <w:iCs/>
      <w:sz w:val="22"/>
      <w:szCs w:val="24"/>
      <w:lang w:val="ru-RU"/>
    </w:rPr>
  </w:style>
  <w:style w:type="paragraph" w:customStyle="1" w:styleId="Para1-Annex">
    <w:name w:val="Para1-Annex"/>
    <w:basedOn w:val="Normal"/>
    <w:rsid w:val="00C06A72"/>
    <w:pPr>
      <w:numPr>
        <w:numId w:val="34"/>
      </w:numPr>
      <w:spacing w:before="120" w:after="120"/>
    </w:pPr>
  </w:style>
  <w:style w:type="character" w:customStyle="1" w:styleId="Para1Char">
    <w:name w:val="Para1 Char"/>
    <w:link w:val="Para1"/>
    <w:rsid w:val="00C06A72"/>
    <w:rPr>
      <w:snapToGrid w:val="0"/>
      <w:sz w:val="22"/>
      <w:szCs w:val="18"/>
      <w:lang w:val="ru-RU"/>
    </w:rPr>
  </w:style>
  <w:style w:type="paragraph" w:customStyle="1" w:styleId="StylePara1HeadingsCSTimesNewRoman">
    <w:name w:val="Style Para1 + +Headings CS (Times New Roman)"/>
    <w:basedOn w:val="Para1"/>
    <w:rsid w:val="00027F74"/>
    <w:pPr>
      <w:tabs>
        <w:tab w:val="clear" w:pos="360"/>
      </w:tabs>
    </w:pPr>
    <w:rPr>
      <w:rFonts w:asciiTheme="majorBidi" w:hAnsiTheme="majorBid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27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cop-13/cop-13-dec-30-ru.pdf" TargetMode="External"/><Relationship Id="rId18" Type="http://schemas.openxmlformats.org/officeDocument/2006/relationships/hyperlink" Target="https://www.cbd.int/doc/decisions/cop-10/cop-10-dec-02-ru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reventionweb.net/files/resolutions/N151671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bd.int/sp/targets/" TargetMode="External"/><Relationship Id="rId17" Type="http://schemas.openxmlformats.org/officeDocument/2006/relationships/hyperlink" Target="http://www.cambridgeconservation.org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recommendations/sbstta-21/sbstta-21-rec-01-ru.pdf" TargetMode="External"/><Relationship Id="rId20" Type="http://schemas.openxmlformats.org/officeDocument/2006/relationships/hyperlink" Target="http://www.un.org/ga/search/view_doc.asp?symbol=A/RES/70/1&amp;referer=/english/&amp;Lang=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2/cop-12-dec-01-ru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bd.int/doc/decisions/cop-12/cop-12-dec-25-ru.pdf" TargetMode="External"/><Relationship Id="rId23" Type="http://schemas.openxmlformats.org/officeDocument/2006/relationships/hyperlink" Target="https://www.cbd.int/doc/decisions/cop-13/cop-13-dec-28-ru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cbd.int/doc/decisions/cop-13/cop-13-dec-05-ru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bd.int/doc/decisions/cop-13/cop-13-dec-28-ru.pdf" TargetMode="External"/><Relationship Id="rId22" Type="http://schemas.openxmlformats.org/officeDocument/2006/relationships/hyperlink" Target="https://www.cbd.int/doc/recommendations/sbstta-17/sbstta-17-rec-01-en.pdf" TargetMode="External"/><Relationship Id="rId27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bes.net/outcomes" TargetMode="External"/><Relationship Id="rId2" Type="http://schemas.openxmlformats.org/officeDocument/2006/relationships/hyperlink" Target="https://www.ipbes.net/outcomes" TargetMode="External"/><Relationship Id="rId1" Type="http://schemas.openxmlformats.org/officeDocument/2006/relationships/hyperlink" Target="https://www.cbd.int/doc/meetings/sbstta/sbstta-22/official/sbstta-22-01-ru.pdf" TargetMode="External"/><Relationship Id="rId6" Type="http://schemas.openxmlformats.org/officeDocument/2006/relationships/hyperlink" Target="http://www.bonnchallenge.org/content/challenge" TargetMode="External"/><Relationship Id="rId5" Type="http://schemas.openxmlformats.org/officeDocument/2006/relationships/hyperlink" Target="https://www.cbd.int/doc/restoration/Hyderabad-call-restoration-en.pdf" TargetMode="External"/><Relationship Id="rId4" Type="http://schemas.openxmlformats.org/officeDocument/2006/relationships/hyperlink" Target="https://www.ipbes.net/sites/default/files/downloads/ipbes-6-15-add-5_spm_ldr_advanc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Textedelespacerserv"/>
            </w:rPr>
            <w:t>Click here to enter text.</w:t>
          </w:r>
        </w:p>
      </w:docPartBody>
    </w:docPart>
    <w:docPart>
      <w:docPartPr>
        <w:name w:val="E2A78A82B6B54AE69E0D25B6DBD8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1F1A-12D7-4F82-AC19-0BD2185BFA24}"/>
      </w:docPartPr>
      <w:docPartBody>
        <w:p w:rsidR="00526B8F" w:rsidRDefault="00526B8F" w:rsidP="00526B8F">
          <w:pPr>
            <w:pStyle w:val="E2A78A82B6B54AE69E0D25B6DBD8BA5C"/>
          </w:pPr>
          <w:r w:rsidRPr="00B903A7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hyphenationZone w:val="425"/>
  <w:characterSpacingControl w:val="doNotCompress"/>
  <w:compat>
    <w:useFELayout/>
  </w:compat>
  <w:rsids>
    <w:rsidRoot w:val="001B29AF"/>
    <w:rsid w:val="00015BC6"/>
    <w:rsid w:val="00030FBB"/>
    <w:rsid w:val="00092F6E"/>
    <w:rsid w:val="000D5434"/>
    <w:rsid w:val="00193E91"/>
    <w:rsid w:val="001B29AF"/>
    <w:rsid w:val="001E14E2"/>
    <w:rsid w:val="001F05B2"/>
    <w:rsid w:val="00204239"/>
    <w:rsid w:val="003349D7"/>
    <w:rsid w:val="0037757D"/>
    <w:rsid w:val="00384E9E"/>
    <w:rsid w:val="003A4786"/>
    <w:rsid w:val="00410703"/>
    <w:rsid w:val="0046157B"/>
    <w:rsid w:val="004A69EC"/>
    <w:rsid w:val="004B579F"/>
    <w:rsid w:val="004C1CF2"/>
    <w:rsid w:val="004D0728"/>
    <w:rsid w:val="00526B8F"/>
    <w:rsid w:val="0054691F"/>
    <w:rsid w:val="006A6745"/>
    <w:rsid w:val="00711BD3"/>
    <w:rsid w:val="00755AA2"/>
    <w:rsid w:val="007E501A"/>
    <w:rsid w:val="0083264A"/>
    <w:rsid w:val="008841D9"/>
    <w:rsid w:val="009107F6"/>
    <w:rsid w:val="00934195"/>
    <w:rsid w:val="00973BA1"/>
    <w:rsid w:val="00A27574"/>
    <w:rsid w:val="00B04CB5"/>
    <w:rsid w:val="00B36C7B"/>
    <w:rsid w:val="00BB2CFE"/>
    <w:rsid w:val="00C07DCD"/>
    <w:rsid w:val="00CA38E7"/>
    <w:rsid w:val="00CC371E"/>
    <w:rsid w:val="00CD2E41"/>
    <w:rsid w:val="00CD3563"/>
    <w:rsid w:val="00CF288C"/>
    <w:rsid w:val="00D06136"/>
    <w:rsid w:val="00D42F79"/>
    <w:rsid w:val="00D5481D"/>
    <w:rsid w:val="00D9150E"/>
    <w:rsid w:val="00D92634"/>
    <w:rsid w:val="00EC17B5"/>
    <w:rsid w:val="00F4384F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526B8F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070D0498495D400D87DB6F0140BAA664">
    <w:name w:val="070D0498495D400D87DB6F0140BAA664"/>
    <w:rsid w:val="00D9150E"/>
  </w:style>
  <w:style w:type="paragraph" w:customStyle="1" w:styleId="E2A78A82B6B54AE69E0D25B6DBD8BA5C">
    <w:name w:val="E2A78A82B6B54AE69E0D25B6DBD8BA5C"/>
    <w:rsid w:val="00526B8F"/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14FDF-44B5-4F2B-9E5E-934E7872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19</Pages>
  <Words>8651</Words>
  <Characters>47586</Characters>
  <Application>Microsoft Office Word</Application>
  <DocSecurity>0</DocSecurity>
  <Lines>396</Lines>
  <Paragraphs>112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ОБНОВЛЕННАЯ НАУЧНАЯ ОЦЕНКА ХОДА РАБОТЫ В ОБЛАСТИ ВЫПОЛНЕНИЯ ЦЕЛЕВЫХ ЗАДАЧ ПО СОХРАНЕНИЮ И УСТОЙЧИВОМУ ИСПОЛЬЗОВАНИЮ БИОРАЗНООБРАЗИЯ, ПРИНЯТЫХ В АЙТИ, И ВАРИАНТЫ УСКОРЕНИЯ ХОДА РАБОТЫ</vt:lpstr>
      <vt:lpstr>UPDATED SCIENTIFIC ASSESSMENT OF PROGRESS TOWARDS SELECTED AICHI BIODIVERSITY TARGETS AND OPTIONS TO ACCELERATE PROGRESS</vt:lpstr>
    </vt:vector>
  </TitlesOfParts>
  <Company>Biodiversity</Company>
  <LinksUpToDate>false</LinksUpToDate>
  <CharactersWithSpaces>56125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ОБНОВЛЕННАЯ НАУЧНАЯ ОЦЕНКА ХОДА РАБОТЫ В ОБЛАСТИ ВЫПОЛНЕНИЯ ЦЕЛЕВЫХ ЗАДАЧ ПО СОХРАНЕНИЮ И УСТОЙЧИВОМУ ИСПОЛЬЗОВАНИЮ БИОРАЗНООБРАЗИЯ, ПРИНЯТЫХ В АЙТИ, И ВАРИАНТЫ УСКОРЕНИЯ ХОДА РАБОТЫ</dc:title>
  <dc:subject>CBD/SBSTTA/22/5</dc:subject>
  <dc:creator>SCBD</dc:creator>
  <cp:lastModifiedBy>Bureau</cp:lastModifiedBy>
  <cp:revision>8</cp:revision>
  <cp:lastPrinted>2018-04-26T14:42:00Z</cp:lastPrinted>
  <dcterms:created xsi:type="dcterms:W3CDTF">2018-05-04T19:09:00Z</dcterms:created>
  <dcterms:modified xsi:type="dcterms:W3CDTF">2018-05-06T18:14:00Z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ВСПОМОГАТЕЛЬНЫЙ ОРГАН ПО НАУЧНЫМ, ТЕХНИЧЕСКИМ И ТЕХНОЛОГИЧЕСКИМ  КОНСУЛЬТАЦИЯМ </vt:lpwstr>
  </property>
</Properties>
</file>