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60228" w:rsidRPr="00F76BAE" w14:paraId="7F3C0FAB" w14:textId="77777777" w:rsidTr="00BA5E96">
        <w:trPr>
          <w:trHeight w:val="844"/>
        </w:trPr>
        <w:tc>
          <w:tcPr>
            <w:tcW w:w="976" w:type="dxa"/>
            <w:tcBorders>
              <w:bottom w:val="single" w:sz="12" w:space="0" w:color="auto"/>
            </w:tcBorders>
          </w:tcPr>
          <w:p w14:paraId="2198152E" w14:textId="77777777" w:rsidR="00860228" w:rsidRPr="00F76BAE" w:rsidRDefault="00860228" w:rsidP="00F76BAE">
            <w:pPr>
              <w:keepNext/>
              <w:suppressLineNumbers/>
              <w:suppressAutoHyphens/>
              <w:rPr>
                <w:kern w:val="22"/>
              </w:rPr>
            </w:pPr>
            <w:bookmarkStart w:id="0" w:name="_Hlk43184510"/>
            <w:r w:rsidRPr="00F76BAE">
              <w:rPr>
                <w:noProof/>
                <w:kern w:val="22"/>
              </w:rPr>
              <w:drawing>
                <wp:anchor distT="0" distB="0" distL="114300" distR="114300" simplePos="0" relativeHeight="251658752" behindDoc="0" locked="0" layoutInCell="1" allowOverlap="1" wp14:anchorId="3E32125A" wp14:editId="21F6CAA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2715A01" w14:textId="77777777" w:rsidR="00860228" w:rsidRPr="00F76BAE" w:rsidRDefault="00860228" w:rsidP="00F76BAE">
            <w:pPr>
              <w:keepNext/>
              <w:suppressLineNumbers/>
              <w:suppressAutoHyphens/>
              <w:rPr>
                <w:kern w:val="22"/>
              </w:rPr>
            </w:pPr>
            <w:r w:rsidRPr="00F76BAE">
              <w:rPr>
                <w:noProof/>
              </w:rPr>
              <w:drawing>
                <wp:anchor distT="0" distB="0" distL="114300" distR="114300" simplePos="0" relativeHeight="251657728" behindDoc="0" locked="0" layoutInCell="1" allowOverlap="1" wp14:anchorId="13C95F35" wp14:editId="2F56355E">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196BF77" w14:textId="77777777" w:rsidR="00860228" w:rsidRPr="00F76BAE" w:rsidRDefault="00860228" w:rsidP="00F76BAE">
            <w:pPr>
              <w:keepNext/>
              <w:suppressLineNumbers/>
              <w:suppressAutoHyphens/>
              <w:jc w:val="right"/>
              <w:rPr>
                <w:rFonts w:ascii="Arial" w:hAnsi="Arial" w:cs="Arial"/>
                <w:b/>
                <w:kern w:val="22"/>
                <w:sz w:val="32"/>
                <w:szCs w:val="32"/>
              </w:rPr>
            </w:pPr>
            <w:r w:rsidRPr="00F76BAE">
              <w:rPr>
                <w:rFonts w:ascii="Arial" w:hAnsi="Arial" w:cs="Arial"/>
                <w:b/>
                <w:kern w:val="22"/>
                <w:sz w:val="32"/>
                <w:szCs w:val="32"/>
              </w:rPr>
              <w:t>CBD</w:t>
            </w:r>
          </w:p>
        </w:tc>
      </w:tr>
    </w:tbl>
    <w:tbl>
      <w:tblPr>
        <w:tblW w:w="10207" w:type="dxa"/>
        <w:tblInd w:w="-318" w:type="dxa"/>
        <w:tblLook w:val="04A0" w:firstRow="1" w:lastRow="0" w:firstColumn="1" w:lastColumn="0" w:noHBand="0" w:noVBand="1"/>
      </w:tblPr>
      <w:tblGrid>
        <w:gridCol w:w="6117"/>
        <w:gridCol w:w="4090"/>
      </w:tblGrid>
      <w:tr w:rsidR="004F6661" w:rsidRPr="00F76BAE" w14:paraId="6F793A41" w14:textId="77777777" w:rsidTr="007A1072">
        <w:tc>
          <w:tcPr>
            <w:tcW w:w="6117" w:type="dxa"/>
            <w:tcBorders>
              <w:top w:val="single" w:sz="12" w:space="0" w:color="auto"/>
              <w:bottom w:val="single" w:sz="36" w:space="0" w:color="auto"/>
            </w:tcBorders>
            <w:vAlign w:val="center"/>
          </w:tcPr>
          <w:p w14:paraId="42DFA955" w14:textId="77777777" w:rsidR="004F6661" w:rsidRPr="00F76BAE" w:rsidRDefault="004F6661" w:rsidP="00F76BAE">
            <w:pPr>
              <w:suppressLineNumbers/>
              <w:suppressAutoHyphens/>
              <w:rPr>
                <w:kern w:val="22"/>
              </w:rPr>
            </w:pPr>
            <w:r w:rsidRPr="00F76BAE">
              <w:rPr>
                <w:noProof/>
                <w:kern w:val="22"/>
                <w:lang w:eastAsia="zh-CN"/>
              </w:rPr>
              <w:drawing>
                <wp:inline distT="0" distB="0" distL="0" distR="0" wp14:anchorId="1D36AEEA" wp14:editId="55E0F78F">
                  <wp:extent cx="2887853" cy="1080000"/>
                  <wp:effectExtent l="0" t="0" r="8255" b="12700"/>
                  <wp:docPr id="7" name="Picture 7"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700802" w14:textId="77777777" w:rsidR="004F6661" w:rsidRPr="00F76BAE" w:rsidRDefault="004F6661" w:rsidP="00F76BAE">
            <w:pPr>
              <w:suppressLineNumbers/>
              <w:suppressAutoHyphens/>
              <w:ind w:left="1321"/>
              <w:jc w:val="left"/>
              <w:rPr>
                <w:snapToGrid w:val="0"/>
                <w:kern w:val="22"/>
                <w:szCs w:val="22"/>
              </w:rPr>
            </w:pPr>
            <w:r w:rsidRPr="00F76BAE">
              <w:rPr>
                <w:snapToGrid w:val="0"/>
                <w:kern w:val="22"/>
                <w:szCs w:val="22"/>
              </w:rPr>
              <w:t>Distr.</w:t>
            </w:r>
          </w:p>
          <w:p w14:paraId="79EFFE4E" w14:textId="77777777" w:rsidR="004F6661" w:rsidRPr="00F76BAE" w:rsidRDefault="004F6661" w:rsidP="00F76BAE">
            <w:pPr>
              <w:suppressLineNumbers/>
              <w:suppressAutoHyphens/>
              <w:ind w:left="1321"/>
              <w:jc w:val="left"/>
              <w:rPr>
                <w:snapToGrid w:val="0"/>
                <w:kern w:val="22"/>
                <w:szCs w:val="22"/>
              </w:rPr>
            </w:pPr>
            <w:r w:rsidRPr="00F76BAE">
              <w:rPr>
                <w:snapToGrid w:val="0"/>
                <w:kern w:val="22"/>
                <w:szCs w:val="22"/>
              </w:rPr>
              <w:t>GENERAL</w:t>
            </w:r>
          </w:p>
          <w:p w14:paraId="06FBDE6A" w14:textId="77777777" w:rsidR="004F6661" w:rsidRPr="00F76BAE" w:rsidRDefault="004F6661" w:rsidP="00F76BAE">
            <w:pPr>
              <w:suppressLineNumbers/>
              <w:suppressAutoHyphens/>
              <w:ind w:left="1321"/>
              <w:jc w:val="left"/>
              <w:rPr>
                <w:snapToGrid w:val="0"/>
                <w:kern w:val="22"/>
                <w:szCs w:val="22"/>
              </w:rPr>
            </w:pPr>
          </w:p>
          <w:p w14:paraId="07904787" w14:textId="77777777" w:rsidR="004F6661" w:rsidRPr="00F76BAE" w:rsidRDefault="004F6661" w:rsidP="00F76BAE">
            <w:pPr>
              <w:suppressLineNumbers/>
              <w:suppressAutoHyphens/>
              <w:ind w:left="1321"/>
              <w:jc w:val="left"/>
              <w:rPr>
                <w:snapToGrid w:val="0"/>
                <w:kern w:val="22"/>
                <w:szCs w:val="22"/>
              </w:rPr>
            </w:pPr>
            <w:r w:rsidRPr="00F76BAE">
              <w:rPr>
                <w:snapToGrid w:val="0"/>
                <w:kern w:val="22"/>
                <w:szCs w:val="22"/>
              </w:rPr>
              <w:t>CBD/SBI/3/15</w:t>
            </w:r>
          </w:p>
          <w:p w14:paraId="4514B04D" w14:textId="7F49F0B3" w:rsidR="004F6661" w:rsidRPr="00F76BAE" w:rsidRDefault="008F5EF1" w:rsidP="00F76BAE">
            <w:pPr>
              <w:suppressLineNumbers/>
              <w:suppressAutoHyphens/>
              <w:ind w:left="1321"/>
              <w:jc w:val="left"/>
              <w:rPr>
                <w:snapToGrid w:val="0"/>
                <w:kern w:val="22"/>
                <w:szCs w:val="22"/>
              </w:rPr>
            </w:pPr>
            <w:r w:rsidRPr="00F76BAE">
              <w:rPr>
                <w:snapToGrid w:val="0"/>
                <w:kern w:val="22"/>
                <w:szCs w:val="22"/>
              </w:rPr>
              <w:t>13</w:t>
            </w:r>
            <w:r w:rsidR="00E346A8" w:rsidRPr="00F76BAE">
              <w:rPr>
                <w:snapToGrid w:val="0"/>
                <w:kern w:val="22"/>
                <w:szCs w:val="22"/>
              </w:rPr>
              <w:t xml:space="preserve"> </w:t>
            </w:r>
            <w:r w:rsidRPr="00F76BAE">
              <w:rPr>
                <w:snapToGrid w:val="0"/>
                <w:kern w:val="22"/>
                <w:szCs w:val="22"/>
              </w:rPr>
              <w:t>July</w:t>
            </w:r>
            <w:r w:rsidR="004F6661" w:rsidRPr="00F76BAE">
              <w:rPr>
                <w:snapToGrid w:val="0"/>
                <w:kern w:val="22"/>
                <w:szCs w:val="22"/>
              </w:rPr>
              <w:t xml:space="preserve"> 2020</w:t>
            </w:r>
          </w:p>
          <w:p w14:paraId="45BC64E5" w14:textId="77777777" w:rsidR="004F6661" w:rsidRPr="00F76BAE" w:rsidRDefault="004F6661" w:rsidP="00F76BAE">
            <w:pPr>
              <w:suppressLineNumbers/>
              <w:suppressAutoHyphens/>
              <w:ind w:left="1321"/>
              <w:jc w:val="left"/>
              <w:rPr>
                <w:snapToGrid w:val="0"/>
                <w:kern w:val="22"/>
                <w:szCs w:val="22"/>
              </w:rPr>
            </w:pPr>
          </w:p>
          <w:p w14:paraId="677786BF" w14:textId="14F2F4DF" w:rsidR="004F6661" w:rsidRPr="00F76BAE" w:rsidRDefault="004F6661" w:rsidP="00F76BAE">
            <w:pPr>
              <w:suppressLineNumbers/>
              <w:suppressAutoHyphens/>
              <w:ind w:left="1321"/>
              <w:jc w:val="left"/>
              <w:rPr>
                <w:kern w:val="22"/>
                <w:szCs w:val="22"/>
              </w:rPr>
            </w:pPr>
            <w:r w:rsidRPr="00F76BAE">
              <w:rPr>
                <w:snapToGrid w:val="0"/>
                <w:kern w:val="22"/>
                <w:szCs w:val="22"/>
              </w:rPr>
              <w:t>ORIGINAL: ENGLISH</w:t>
            </w:r>
          </w:p>
        </w:tc>
      </w:tr>
    </w:tbl>
    <w:p w14:paraId="18BCCCE5" w14:textId="77777777" w:rsidR="004F6661" w:rsidRPr="00F76BAE" w:rsidRDefault="004F6661" w:rsidP="00C50A3D">
      <w:pPr>
        <w:pStyle w:val="meetingname"/>
        <w:suppressLineNumbers/>
        <w:suppressAutoHyphens/>
        <w:ind w:left="0" w:right="4398" w:firstLine="0"/>
        <w:rPr>
          <w:kern w:val="22"/>
        </w:rPr>
      </w:pPr>
      <w:bookmarkStart w:id="1" w:name="Meeting"/>
      <w:r w:rsidRPr="00F76BAE">
        <w:rPr>
          <w:kern w:val="22"/>
        </w:rPr>
        <w:t>SUBSIDIARY BODY ON IMPLEMENTATION</w:t>
      </w:r>
      <w:bookmarkEnd w:id="1"/>
    </w:p>
    <w:p w14:paraId="1E0D3BA5" w14:textId="77777777" w:rsidR="004F6661" w:rsidRPr="00F76BAE" w:rsidRDefault="004F6661" w:rsidP="00C50A3D">
      <w:pPr>
        <w:suppressLineNumbers/>
        <w:suppressAutoHyphens/>
        <w:rPr>
          <w:snapToGrid w:val="0"/>
          <w:kern w:val="22"/>
          <w:szCs w:val="22"/>
          <w:lang w:eastAsia="nb-NO"/>
        </w:rPr>
      </w:pPr>
      <w:r w:rsidRPr="00F76BAE">
        <w:rPr>
          <w:snapToGrid w:val="0"/>
          <w:kern w:val="22"/>
          <w:szCs w:val="22"/>
          <w:lang w:eastAsia="nb-NO"/>
        </w:rPr>
        <w:t>Third meeting</w:t>
      </w:r>
    </w:p>
    <w:p w14:paraId="7CB5E33B" w14:textId="31AD50AD" w:rsidR="004F6661" w:rsidRPr="00F76BAE" w:rsidRDefault="00A934BD">
      <w:pPr>
        <w:suppressLineNumbers/>
        <w:suppressAutoHyphens/>
        <w:rPr>
          <w:snapToGrid w:val="0"/>
          <w:kern w:val="22"/>
          <w:szCs w:val="22"/>
          <w:lang w:eastAsia="nb-NO"/>
        </w:rPr>
      </w:pPr>
      <w:r>
        <w:rPr>
          <w:snapToGrid w:val="0"/>
          <w:kern w:val="22"/>
          <w:szCs w:val="22"/>
          <w:lang w:eastAsia="nb-NO"/>
        </w:rPr>
        <w:t>Venue and dates to be confirmed</w:t>
      </w:r>
      <w:bookmarkStart w:id="2" w:name="_GoBack"/>
      <w:bookmarkEnd w:id="2"/>
    </w:p>
    <w:p w14:paraId="68DB5AC6" w14:textId="77777777" w:rsidR="004F6661" w:rsidRPr="00F76BAE" w:rsidRDefault="004F6661">
      <w:pPr>
        <w:pStyle w:val="Header"/>
        <w:suppressLineNumbers/>
        <w:tabs>
          <w:tab w:val="clear" w:pos="4320"/>
          <w:tab w:val="clear" w:pos="8640"/>
        </w:tabs>
        <w:suppressAutoHyphens/>
        <w:rPr>
          <w:snapToGrid w:val="0"/>
          <w:kern w:val="22"/>
          <w:szCs w:val="22"/>
        </w:rPr>
      </w:pPr>
      <w:r w:rsidRPr="00F76BAE">
        <w:rPr>
          <w:snapToGrid w:val="0"/>
          <w:kern w:val="22"/>
          <w:szCs w:val="22"/>
        </w:rPr>
        <w:t>Item 13 of the provisional agenda</w:t>
      </w:r>
      <w:r w:rsidRPr="00F76BAE">
        <w:rPr>
          <w:rStyle w:val="FootnoteReference"/>
          <w:snapToGrid w:val="0"/>
          <w:kern w:val="22"/>
          <w:szCs w:val="22"/>
        </w:rPr>
        <w:footnoteReference w:customMarkFollows="1" w:id="1"/>
        <w:t>*</w:t>
      </w:r>
    </w:p>
    <w:sdt>
      <w:sdtPr>
        <w:rPr>
          <w:rStyle w:val="Heading1Char"/>
          <w:kern w:val="22"/>
          <w:szCs w:val="22"/>
        </w:rPr>
        <w:alias w:val="Title"/>
        <w:tag w:val=""/>
        <w:id w:val="319313258"/>
        <w:placeholder>
          <w:docPart w:val="865BE9D4B85142FCAE80FA3359CF226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42364003" w14:textId="4B616E90" w:rsidR="004F6661" w:rsidRPr="00F76BAE" w:rsidRDefault="00072E2C" w:rsidP="00F76BAE">
          <w:pPr>
            <w:suppressLineNumbers/>
            <w:suppressAutoHyphens/>
            <w:spacing w:before="240" w:after="120"/>
            <w:jc w:val="center"/>
            <w:rPr>
              <w:rStyle w:val="Heading1Char"/>
              <w:kern w:val="22"/>
              <w:szCs w:val="22"/>
            </w:rPr>
          </w:pPr>
          <w:r w:rsidRPr="00F76BAE">
            <w:rPr>
              <w:rStyle w:val="Heading1Char"/>
              <w:kern w:val="22"/>
              <w:szCs w:val="22"/>
            </w:rPr>
            <w:t>Global multilateral benefit-sharing mechanism (Article 10) of the Nagoya Protocol</w:t>
          </w:r>
        </w:p>
      </w:sdtContent>
    </w:sdt>
    <w:p w14:paraId="36428403" w14:textId="77777777" w:rsidR="004F6661" w:rsidRPr="00F76BAE" w:rsidRDefault="004F6661" w:rsidP="00F76BAE">
      <w:pPr>
        <w:pStyle w:val="Heading3"/>
        <w:suppressLineNumbers/>
        <w:suppressAutoHyphens/>
        <w:rPr>
          <w:kern w:val="22"/>
          <w:szCs w:val="22"/>
        </w:rPr>
      </w:pPr>
      <w:bookmarkStart w:id="3" w:name="_Toc503433358"/>
      <w:bookmarkStart w:id="4" w:name="_Toc26277618"/>
      <w:r w:rsidRPr="00F76BAE">
        <w:rPr>
          <w:kern w:val="22"/>
          <w:szCs w:val="22"/>
        </w:rPr>
        <w:t>Note by the Executive Secretary</w:t>
      </w:r>
      <w:bookmarkEnd w:id="3"/>
      <w:bookmarkEnd w:id="4"/>
    </w:p>
    <w:p w14:paraId="30CF4786" w14:textId="77777777" w:rsidR="004F6661" w:rsidRPr="00F76BAE" w:rsidRDefault="004F6661" w:rsidP="00F76BAE">
      <w:pPr>
        <w:pStyle w:val="Heading1longmultiline"/>
        <w:numPr>
          <w:ilvl w:val="0"/>
          <w:numId w:val="13"/>
        </w:numPr>
        <w:suppressLineNumbers/>
        <w:tabs>
          <w:tab w:val="clear" w:pos="720"/>
          <w:tab w:val="left" w:pos="284"/>
        </w:tabs>
        <w:suppressAutoHyphens/>
        <w:spacing w:before="120"/>
        <w:ind w:left="0" w:firstLine="0"/>
        <w:jc w:val="center"/>
        <w:rPr>
          <w:kern w:val="22"/>
          <w:szCs w:val="22"/>
        </w:rPr>
      </w:pPr>
      <w:bookmarkStart w:id="5" w:name="_Toc26277619"/>
      <w:r w:rsidRPr="00F76BAE">
        <w:rPr>
          <w:kern w:val="22"/>
          <w:szCs w:val="22"/>
        </w:rPr>
        <w:t>Introduction</w:t>
      </w:r>
      <w:bookmarkEnd w:id="5"/>
    </w:p>
    <w:p w14:paraId="1AF7B0C1" w14:textId="76AAB774"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 xml:space="preserve">Article 10 of the </w:t>
      </w:r>
      <w:bookmarkEnd w:id="0"/>
      <w:r w:rsidRPr="00F76BAE">
        <w:rPr>
          <w:kern w:val="22"/>
          <w:szCs w:val="22"/>
        </w:rPr>
        <w:t xml:space="preserve">Nagoya Protocol on Access to Genetic Resources and the Fair and Equitable Sharing of Benefits Arising from their Utilization </w:t>
      </w:r>
      <w:r w:rsidR="00AE011F" w:rsidRPr="00F76BAE">
        <w:rPr>
          <w:kern w:val="22"/>
          <w:szCs w:val="22"/>
        </w:rPr>
        <w:t>reads</w:t>
      </w:r>
      <w:r w:rsidRPr="00F76BAE">
        <w:rPr>
          <w:kern w:val="22"/>
          <w:szCs w:val="22"/>
        </w:rPr>
        <w:t xml:space="preserve"> as follows:</w:t>
      </w:r>
    </w:p>
    <w:p w14:paraId="2B44A41F" w14:textId="77777777" w:rsidR="004F6661" w:rsidRPr="00F76BAE" w:rsidRDefault="004F6661" w:rsidP="00F76BAE">
      <w:pPr>
        <w:pStyle w:val="Para1"/>
        <w:suppressLineNumbers/>
        <w:suppressAutoHyphens/>
        <w:ind w:left="720"/>
        <w:rPr>
          <w:snapToGrid/>
          <w:kern w:val="22"/>
          <w:szCs w:val="22"/>
        </w:rPr>
      </w:pPr>
      <w:r w:rsidRPr="00F76BAE">
        <w:rPr>
          <w:snapToGrid/>
          <w:kern w:val="22"/>
          <w:szCs w:val="22"/>
        </w:rPr>
        <w:t xml:space="preserve">Parties shall consider the need for and modalities of a global multilateral benefit-sharing mechanism to address </w:t>
      </w:r>
      <w:bookmarkStart w:id="6" w:name="_Hlk43283175"/>
      <w:r w:rsidRPr="00F76BAE">
        <w:rPr>
          <w:snapToGrid/>
          <w:kern w:val="22"/>
          <w:szCs w:val="22"/>
        </w:rPr>
        <w:t>the fair and equitable sharing of benefits derived from the utilization of genetic resources and traditional knowledge associated with genetic resources that occur in transboundary situations or for which it is not possible to grant or obtain prior informed consent</w:t>
      </w:r>
      <w:bookmarkEnd w:id="6"/>
      <w:r w:rsidRPr="00F76BAE">
        <w:rPr>
          <w:snapToGrid/>
          <w:kern w:val="22"/>
          <w:szCs w:val="22"/>
        </w:rPr>
        <w:t>. The benefits shared by users of genetic resources and traditional knowledge associated with genetic resources through this mechanism shall be used to support the conservation of biological diversity and the sustainable use of its components globally.</w:t>
      </w:r>
    </w:p>
    <w:p w14:paraId="03590219" w14:textId="6213783A"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 xml:space="preserve">The Conference of the Parties serving as the meeting of the Parties to the Nagoya Protocol on Access and Benefit-Sharing </w:t>
      </w:r>
      <w:r w:rsidR="0070104C" w:rsidRPr="00F76BAE">
        <w:rPr>
          <w:kern w:val="22"/>
          <w:szCs w:val="22"/>
        </w:rPr>
        <w:t xml:space="preserve">considered </w:t>
      </w:r>
      <w:r w:rsidR="0070104C" w:rsidRPr="00F76BAE">
        <w:rPr>
          <w:snapToGrid/>
          <w:kern w:val="22"/>
          <w:szCs w:val="22"/>
        </w:rPr>
        <w:t>the need for and modalities of a global multilateral benefit-sharing mechanism (Article 10) at its first, second and third meetings</w:t>
      </w:r>
      <w:r w:rsidR="003A44B4" w:rsidRPr="00F76BAE">
        <w:rPr>
          <w:snapToGrid/>
          <w:kern w:val="22"/>
          <w:szCs w:val="22"/>
        </w:rPr>
        <w:t>,</w:t>
      </w:r>
      <w:r w:rsidR="0070104C" w:rsidRPr="00F76BAE">
        <w:rPr>
          <w:snapToGrid/>
          <w:kern w:val="22"/>
          <w:szCs w:val="22"/>
        </w:rPr>
        <w:t xml:space="preserve"> adopting decisions </w:t>
      </w:r>
      <w:hyperlink r:id="rId15" w:history="1">
        <w:r w:rsidR="00CB77C4" w:rsidRPr="00F76BAE">
          <w:rPr>
            <w:rStyle w:val="Hyperlink"/>
            <w:snapToGrid/>
            <w:kern w:val="22"/>
            <w:szCs w:val="22"/>
          </w:rPr>
          <w:t>NP-</w:t>
        </w:r>
        <w:r w:rsidR="00CB77C4" w:rsidRPr="00F76BAE">
          <w:rPr>
            <w:rStyle w:val="Hyperlink"/>
            <w:kern w:val="22"/>
            <w:szCs w:val="22"/>
          </w:rPr>
          <w:t>1/10</w:t>
        </w:r>
      </w:hyperlink>
      <w:r w:rsidR="0070104C" w:rsidRPr="00F76BAE">
        <w:rPr>
          <w:kern w:val="22"/>
          <w:szCs w:val="22"/>
        </w:rPr>
        <w:t xml:space="preserve">, </w:t>
      </w:r>
      <w:hyperlink r:id="rId16" w:history="1">
        <w:r w:rsidR="004711BE" w:rsidRPr="00F76BAE">
          <w:rPr>
            <w:rStyle w:val="Hyperlink"/>
            <w:kern w:val="22"/>
            <w:szCs w:val="22"/>
          </w:rPr>
          <w:t>NP-2/10</w:t>
        </w:r>
      </w:hyperlink>
      <w:r w:rsidR="0070104C" w:rsidRPr="00F76BAE">
        <w:rPr>
          <w:kern w:val="22"/>
          <w:szCs w:val="22"/>
        </w:rPr>
        <w:t xml:space="preserve"> and </w:t>
      </w:r>
      <w:hyperlink r:id="rId17" w:history="1">
        <w:r w:rsidR="008A2AA4" w:rsidRPr="00F76BAE">
          <w:rPr>
            <w:rStyle w:val="Hyperlink"/>
            <w:kern w:val="22"/>
            <w:szCs w:val="22"/>
          </w:rPr>
          <w:t>NP</w:t>
        </w:r>
        <w:r w:rsidR="008A2AA4" w:rsidRPr="00F76BAE">
          <w:rPr>
            <w:rStyle w:val="Hyperlink"/>
            <w:kern w:val="22"/>
            <w:szCs w:val="22"/>
          </w:rPr>
          <w:noBreakHyphen/>
          <w:t>3/13</w:t>
        </w:r>
      </w:hyperlink>
      <w:r w:rsidR="0070104C" w:rsidRPr="00F76BAE">
        <w:rPr>
          <w:kern w:val="22"/>
          <w:szCs w:val="22"/>
        </w:rPr>
        <w:t>, respectively. In</w:t>
      </w:r>
      <w:r w:rsidRPr="00F76BAE">
        <w:rPr>
          <w:kern w:val="22"/>
          <w:szCs w:val="22"/>
        </w:rPr>
        <w:t xml:space="preserve"> decision </w:t>
      </w:r>
      <w:hyperlink r:id="rId18" w:history="1">
        <w:r w:rsidRPr="00F76BAE">
          <w:rPr>
            <w:kern w:val="22"/>
            <w:szCs w:val="22"/>
          </w:rPr>
          <w:t>NP-3/13</w:t>
        </w:r>
      </w:hyperlink>
      <w:r w:rsidR="0070104C" w:rsidRPr="00F76BAE">
        <w:rPr>
          <w:kern w:val="22"/>
          <w:szCs w:val="22"/>
        </w:rPr>
        <w:t>, t</w:t>
      </w:r>
      <w:r w:rsidR="00AE011F" w:rsidRPr="00F76BAE">
        <w:rPr>
          <w:kern w:val="22"/>
          <w:szCs w:val="22"/>
        </w:rPr>
        <w:t>he Parties</w:t>
      </w:r>
      <w:r w:rsidRPr="00F76BAE">
        <w:rPr>
          <w:kern w:val="22"/>
          <w:szCs w:val="22"/>
        </w:rPr>
        <w:t xml:space="preserve"> considered that more information on specific cases of genetic resources and traditional knowledge associated with genetic resources that occur in transboundary situations or for which it is not possible to grant or obtain prior informed consent accompanied by an explanation as to why such cases cannot be covered under the bilateral approach as well as options for addressing those cases, including through a global multilateral benefit-sharing mechanism, would assist in </w:t>
      </w:r>
      <w:r w:rsidR="00AE011F" w:rsidRPr="00F76BAE">
        <w:rPr>
          <w:kern w:val="22"/>
          <w:szCs w:val="22"/>
        </w:rPr>
        <w:t xml:space="preserve">the </w:t>
      </w:r>
      <w:r w:rsidRPr="00F76BAE">
        <w:rPr>
          <w:kern w:val="22"/>
          <w:szCs w:val="22"/>
        </w:rPr>
        <w:t>consideration of Article 10.</w:t>
      </w:r>
    </w:p>
    <w:p w14:paraId="08B21B7A" w14:textId="1FF82BD4"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To assist this consideration, the meeting of the Parties to the Protocol invited Parties, other Governments, indigenous peoples and local communities, relevant stakeholders and organizations to submit to the Executive Secretary information on</w:t>
      </w:r>
      <w:r w:rsidR="00AE011F" w:rsidRPr="00F76BAE">
        <w:rPr>
          <w:kern w:val="22"/>
          <w:szCs w:val="22"/>
        </w:rPr>
        <w:t>:</w:t>
      </w:r>
      <w:r w:rsidRPr="00F76BAE">
        <w:rPr>
          <w:kern w:val="22"/>
          <w:szCs w:val="22"/>
        </w:rPr>
        <w:t xml:space="preserve"> (a) specific cases which may support the need for a global multilateral benefit-sharing mechanism that are not covered under the bilateral approach, accompanied by an explanation as to why such cases cannot be covered under the bilateral approach set out in the Nagoya Protocol; and (b) options for possible modalities for addressing those cases, including through a global multilateral benefit-sharing mechanism (decision NP-3/13, para</w:t>
      </w:r>
      <w:r w:rsidR="00E3326E" w:rsidRPr="00F76BAE">
        <w:rPr>
          <w:kern w:val="22"/>
          <w:szCs w:val="22"/>
        </w:rPr>
        <w:t>.</w:t>
      </w:r>
      <w:r w:rsidR="007C5D32" w:rsidRPr="00F76BAE">
        <w:rPr>
          <w:kern w:val="22"/>
          <w:szCs w:val="22"/>
        </w:rPr>
        <w:t> </w:t>
      </w:r>
      <w:r w:rsidRPr="00F76BAE">
        <w:rPr>
          <w:kern w:val="22"/>
          <w:szCs w:val="22"/>
        </w:rPr>
        <w:t>4).</w:t>
      </w:r>
    </w:p>
    <w:p w14:paraId="33D4D91C" w14:textId="7D0033CD"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snapToGrid/>
          <w:kern w:val="22"/>
          <w:szCs w:val="22"/>
        </w:rPr>
        <w:t xml:space="preserve">The </w:t>
      </w:r>
      <w:r w:rsidR="00F25C9A" w:rsidRPr="00F76BAE">
        <w:rPr>
          <w:kern w:val="22"/>
          <w:szCs w:val="22"/>
        </w:rPr>
        <w:t xml:space="preserve">Conference of the Parties serving as the </w:t>
      </w:r>
      <w:r w:rsidRPr="00F76BAE">
        <w:rPr>
          <w:snapToGrid/>
          <w:kern w:val="22"/>
          <w:szCs w:val="22"/>
        </w:rPr>
        <w:t>meeting of the Parties to the Protocol requested the Executive Secretary to compile and synthesiz</w:t>
      </w:r>
      <w:r w:rsidR="001C5C23" w:rsidRPr="00F76BAE">
        <w:rPr>
          <w:snapToGrid/>
          <w:kern w:val="22"/>
          <w:szCs w:val="22"/>
        </w:rPr>
        <w:t>e</w:t>
      </w:r>
      <w:r w:rsidRPr="00F76BAE">
        <w:rPr>
          <w:snapToGrid/>
          <w:kern w:val="22"/>
          <w:szCs w:val="22"/>
        </w:rPr>
        <w:t xml:space="preserve"> the information received (decision NP-3/13, para</w:t>
      </w:r>
      <w:r w:rsidR="00F778AD" w:rsidRPr="00F76BAE">
        <w:rPr>
          <w:snapToGrid/>
          <w:kern w:val="22"/>
          <w:szCs w:val="22"/>
        </w:rPr>
        <w:t>.</w:t>
      </w:r>
      <w:r w:rsidR="007C5D32" w:rsidRPr="00F76BAE">
        <w:rPr>
          <w:snapToGrid/>
          <w:kern w:val="22"/>
          <w:szCs w:val="22"/>
        </w:rPr>
        <w:t> </w:t>
      </w:r>
      <w:r w:rsidRPr="00F76BAE">
        <w:rPr>
          <w:snapToGrid/>
          <w:kern w:val="22"/>
          <w:szCs w:val="22"/>
        </w:rPr>
        <w:t>5).</w:t>
      </w:r>
    </w:p>
    <w:p w14:paraId="0799CD15" w14:textId="0BD03A49"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snapToGrid/>
          <w:kern w:val="22"/>
          <w:szCs w:val="22"/>
        </w:rPr>
        <w:t xml:space="preserve">By notification 2019-024 of 25 February 2019, the Executive Secretary invited the submission of information pursuant to decision </w:t>
      </w:r>
      <w:r w:rsidR="00AF17C6" w:rsidRPr="00F76BAE">
        <w:rPr>
          <w:snapToGrid/>
          <w:kern w:val="22"/>
          <w:szCs w:val="22"/>
        </w:rPr>
        <w:t>NP-</w:t>
      </w:r>
      <w:r w:rsidRPr="00F76BAE">
        <w:rPr>
          <w:snapToGrid/>
          <w:kern w:val="22"/>
          <w:szCs w:val="22"/>
        </w:rPr>
        <w:t xml:space="preserve">3/13. The deadline for the submission was extended by notification 2019-059 of 15 July 2019. Information was received from six Parties to the Nagoya Protocol: Belarus, </w:t>
      </w:r>
      <w:r w:rsidRPr="00F76BAE">
        <w:rPr>
          <w:snapToGrid/>
          <w:kern w:val="22"/>
          <w:szCs w:val="22"/>
        </w:rPr>
        <w:lastRenderedPageBreak/>
        <w:t>Ethiopia, Guinea-Bissau, India, Madagascar and Mexico. Information was also received from three non</w:t>
      </w:r>
      <w:r w:rsidR="005C3407" w:rsidRPr="00F76BAE">
        <w:rPr>
          <w:snapToGrid/>
          <w:kern w:val="22"/>
          <w:szCs w:val="22"/>
        </w:rPr>
        <w:noBreakHyphen/>
      </w:r>
      <w:r w:rsidRPr="00F76BAE">
        <w:rPr>
          <w:snapToGrid/>
          <w:kern w:val="22"/>
          <w:szCs w:val="22"/>
        </w:rPr>
        <w:t xml:space="preserve">Parties to the Protocol: Australia, Iran </w:t>
      </w:r>
      <w:r w:rsidR="004F68BE" w:rsidRPr="00F76BAE">
        <w:rPr>
          <w:snapToGrid/>
          <w:kern w:val="22"/>
          <w:szCs w:val="22"/>
        </w:rPr>
        <w:t xml:space="preserve">(Islamic Republic of) </w:t>
      </w:r>
      <w:r w:rsidRPr="00F76BAE">
        <w:rPr>
          <w:snapToGrid/>
          <w:kern w:val="22"/>
          <w:szCs w:val="22"/>
        </w:rPr>
        <w:t>and Nigeria. In addition, submissions were received from four organizations and stakeholders: African Union, International Treaty for Plant Genetic Resources for Food and Agriculture (International Treaty),</w:t>
      </w:r>
      <w:r w:rsidRPr="00F76BAE">
        <w:rPr>
          <w:kern w:val="22"/>
          <w:szCs w:val="22"/>
        </w:rPr>
        <w:t xml:space="preserve"> </w:t>
      </w:r>
      <w:r w:rsidR="00A20C66" w:rsidRPr="00F76BAE">
        <w:rPr>
          <w:kern w:val="22"/>
          <w:szCs w:val="22"/>
        </w:rPr>
        <w:t>Researchers from Kerala Agricultural University and Ashoka Trust for Research in Ecology and the Environment (“Researchers” hereinafter)</w:t>
      </w:r>
      <w:r w:rsidR="00CC7439" w:rsidRPr="00F76BAE">
        <w:rPr>
          <w:kern w:val="22"/>
          <w:szCs w:val="22"/>
        </w:rPr>
        <w:t xml:space="preserve"> </w:t>
      </w:r>
      <w:r w:rsidRPr="00F76BAE">
        <w:rPr>
          <w:snapToGrid/>
          <w:kern w:val="22"/>
          <w:szCs w:val="22"/>
        </w:rPr>
        <w:t xml:space="preserve">and the Peruvian Society </w:t>
      </w:r>
      <w:r w:rsidR="00634CFA" w:rsidRPr="00F76BAE">
        <w:rPr>
          <w:snapToGrid/>
          <w:kern w:val="22"/>
          <w:szCs w:val="22"/>
        </w:rPr>
        <w:t xml:space="preserve">for </w:t>
      </w:r>
      <w:r w:rsidRPr="00F76BAE">
        <w:rPr>
          <w:snapToGrid/>
          <w:kern w:val="22"/>
          <w:szCs w:val="22"/>
        </w:rPr>
        <w:t>Environmental Law (SPDA). The full text of all submissions has been made available online.</w:t>
      </w:r>
      <w:r w:rsidRPr="00F76BAE">
        <w:rPr>
          <w:kern w:val="22"/>
          <w:szCs w:val="22"/>
          <w:vertAlign w:val="superscript"/>
        </w:rPr>
        <w:footnoteReference w:id="2"/>
      </w:r>
    </w:p>
    <w:p w14:paraId="325D642A" w14:textId="33D5CEC1"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bookmarkStart w:id="7" w:name="_Ref48827108"/>
      <w:r w:rsidRPr="00F76BAE">
        <w:rPr>
          <w:snapToGrid/>
          <w:kern w:val="22"/>
          <w:szCs w:val="22"/>
        </w:rPr>
        <w:t>In decision NP-3/13, the Executive Secretary was also requested to commission a peer-reviewed study to identify specific cases of genetic resources and traditional knowledge associated with genetic resources that occur in transboundary situations or for which it is not possible to grant or obtain prior informed consent (para</w:t>
      </w:r>
      <w:r w:rsidR="0042600D" w:rsidRPr="00F76BAE">
        <w:rPr>
          <w:snapToGrid/>
          <w:kern w:val="22"/>
          <w:szCs w:val="22"/>
        </w:rPr>
        <w:t>.</w:t>
      </w:r>
      <w:r w:rsidRPr="00F76BAE">
        <w:rPr>
          <w:snapToGrid/>
          <w:kern w:val="22"/>
          <w:szCs w:val="22"/>
        </w:rPr>
        <w:t xml:space="preserve"> 5(a)). The peer-reviewed study</w:t>
      </w:r>
      <w:r w:rsidR="00DD0F17" w:rsidRPr="00F76BAE">
        <w:rPr>
          <w:snapToGrid/>
          <w:kern w:val="22"/>
          <w:szCs w:val="22"/>
        </w:rPr>
        <w:t>,</w:t>
      </w:r>
      <w:r w:rsidRPr="00F76BAE">
        <w:rPr>
          <w:snapToGrid/>
          <w:kern w:val="22"/>
          <w:szCs w:val="22"/>
        </w:rPr>
        <w:t xml:space="preserve"> </w:t>
      </w:r>
      <w:r w:rsidR="00DD0F17" w:rsidRPr="00F76BAE">
        <w:rPr>
          <w:snapToGrid/>
          <w:kern w:val="22"/>
          <w:szCs w:val="22"/>
        </w:rPr>
        <w:t xml:space="preserve">made possible with the financial support of Belgium, the European Union and South Africa, </w:t>
      </w:r>
      <w:r w:rsidRPr="00F76BAE">
        <w:rPr>
          <w:snapToGrid/>
          <w:kern w:val="22"/>
          <w:szCs w:val="22"/>
        </w:rPr>
        <w:t xml:space="preserve">has been </w:t>
      </w:r>
      <w:r w:rsidR="005D56B4" w:rsidRPr="00F76BAE">
        <w:rPr>
          <w:snapToGrid/>
          <w:kern w:val="22"/>
          <w:szCs w:val="22"/>
        </w:rPr>
        <w:t>issued</w:t>
      </w:r>
      <w:r w:rsidR="00C267CB" w:rsidRPr="00F76BAE">
        <w:rPr>
          <w:snapToGrid/>
          <w:kern w:val="22"/>
          <w:szCs w:val="22"/>
        </w:rPr>
        <w:t xml:space="preserve"> for the third meeting of the Subsidiary </w:t>
      </w:r>
      <w:r w:rsidR="00422942" w:rsidRPr="00F76BAE">
        <w:rPr>
          <w:snapToGrid/>
          <w:kern w:val="22"/>
          <w:szCs w:val="22"/>
        </w:rPr>
        <w:t xml:space="preserve">on Implementation </w:t>
      </w:r>
      <w:r w:rsidR="00C267CB" w:rsidRPr="00F76BAE">
        <w:rPr>
          <w:snapToGrid/>
          <w:kern w:val="22"/>
          <w:szCs w:val="22"/>
        </w:rPr>
        <w:t>(</w:t>
      </w:r>
      <w:r w:rsidRPr="00F76BAE">
        <w:rPr>
          <w:snapToGrid/>
          <w:kern w:val="22"/>
          <w:szCs w:val="22"/>
        </w:rPr>
        <w:t>CBD/SBI/3/15/Add</w:t>
      </w:r>
      <w:r w:rsidR="00A15119" w:rsidRPr="00F76BAE">
        <w:rPr>
          <w:snapToGrid/>
          <w:kern w:val="22"/>
          <w:szCs w:val="22"/>
        </w:rPr>
        <w:t>.</w:t>
      </w:r>
      <w:r w:rsidR="00537347" w:rsidRPr="00F76BAE">
        <w:rPr>
          <w:snapToGrid/>
          <w:kern w:val="22"/>
          <w:szCs w:val="22"/>
        </w:rPr>
        <w:t>1</w:t>
      </w:r>
      <w:r w:rsidR="00C267CB" w:rsidRPr="00F76BAE">
        <w:rPr>
          <w:snapToGrid/>
          <w:kern w:val="22"/>
          <w:szCs w:val="22"/>
        </w:rPr>
        <w:t>)</w:t>
      </w:r>
      <w:r w:rsidRPr="00F76BAE">
        <w:rPr>
          <w:snapToGrid/>
          <w:kern w:val="22"/>
          <w:szCs w:val="22"/>
        </w:rPr>
        <w:t>.</w:t>
      </w:r>
      <w:bookmarkEnd w:id="7"/>
    </w:p>
    <w:p w14:paraId="72F93268" w14:textId="02782A93" w:rsidR="00A04050" w:rsidRPr="00F76BAE" w:rsidRDefault="00A04050"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The Parties to the Protocol requested the Subsidiary Body on Implementation to consider the study and synthesis with a view to identifying: (a) specific cases, if any, that cannot be addressed through the bilateral approach; and (b) if identified, options for addressing these cases, including a possible global multilateral benefit-sharing mechanism, and make a recommendation to the Conference of the Parties serving as the meeting of the Parties to the Nagoya Protocol at its fourth meeting</w:t>
      </w:r>
      <w:r w:rsidR="008F6207" w:rsidRPr="00F76BAE">
        <w:rPr>
          <w:kern w:val="22"/>
          <w:szCs w:val="22"/>
        </w:rPr>
        <w:t>.</w:t>
      </w:r>
    </w:p>
    <w:p w14:paraId="43D86850" w14:textId="1526C8AB" w:rsidR="004F6661" w:rsidRPr="00F76BAE" w:rsidRDefault="00A04050" w:rsidP="00F76BAE">
      <w:pPr>
        <w:pStyle w:val="Para1"/>
        <w:numPr>
          <w:ilvl w:val="0"/>
          <w:numId w:val="2"/>
        </w:numPr>
        <w:suppressLineNumbers/>
        <w:tabs>
          <w:tab w:val="clear" w:pos="360"/>
          <w:tab w:val="left" w:pos="720"/>
        </w:tabs>
        <w:suppressAutoHyphens/>
        <w:spacing w:before="0"/>
        <w:rPr>
          <w:snapToGrid/>
          <w:kern w:val="22"/>
          <w:szCs w:val="22"/>
        </w:rPr>
      </w:pPr>
      <w:r w:rsidRPr="00F76BAE">
        <w:rPr>
          <w:snapToGrid/>
          <w:kern w:val="22"/>
          <w:szCs w:val="22"/>
        </w:rPr>
        <w:t xml:space="preserve">Accordingly, </w:t>
      </w:r>
      <w:r w:rsidR="003B472C" w:rsidRPr="00F76BAE">
        <w:rPr>
          <w:snapToGrid/>
          <w:kern w:val="22"/>
          <w:szCs w:val="22"/>
        </w:rPr>
        <w:t>s</w:t>
      </w:r>
      <w:r w:rsidR="004F6661" w:rsidRPr="00F76BAE">
        <w:rPr>
          <w:snapToGrid/>
          <w:kern w:val="22"/>
          <w:szCs w:val="22"/>
        </w:rPr>
        <w:t xml:space="preserve">ection II </w:t>
      </w:r>
      <w:r w:rsidR="005B0299" w:rsidRPr="00F76BAE">
        <w:rPr>
          <w:snapToGrid/>
          <w:kern w:val="22"/>
          <w:szCs w:val="22"/>
        </w:rPr>
        <w:t>below</w:t>
      </w:r>
      <w:r w:rsidR="004F6661" w:rsidRPr="00F76BAE">
        <w:rPr>
          <w:snapToGrid/>
          <w:kern w:val="22"/>
          <w:szCs w:val="22"/>
        </w:rPr>
        <w:t xml:space="preserve"> synthesizes the information submitted </w:t>
      </w:r>
      <w:r w:rsidR="00537347" w:rsidRPr="00F76BAE">
        <w:rPr>
          <w:snapToGrid/>
          <w:kern w:val="22"/>
          <w:szCs w:val="22"/>
        </w:rPr>
        <w:t xml:space="preserve">pursuant </w:t>
      </w:r>
      <w:r w:rsidR="004F6661" w:rsidRPr="00F76BAE">
        <w:rPr>
          <w:snapToGrid/>
          <w:kern w:val="22"/>
          <w:szCs w:val="22"/>
        </w:rPr>
        <w:t>to decision</w:t>
      </w:r>
      <w:r w:rsidR="00D01CC0" w:rsidRPr="00F76BAE">
        <w:rPr>
          <w:snapToGrid/>
          <w:kern w:val="22"/>
          <w:szCs w:val="22"/>
        </w:rPr>
        <w:t xml:space="preserve"> NP-</w:t>
      </w:r>
      <w:r w:rsidR="004F6661" w:rsidRPr="00F76BAE">
        <w:rPr>
          <w:snapToGrid/>
          <w:kern w:val="22"/>
          <w:szCs w:val="22"/>
        </w:rPr>
        <w:t>3/13, paragraph 4</w:t>
      </w:r>
      <w:r w:rsidR="00537347" w:rsidRPr="00F76BAE">
        <w:rPr>
          <w:snapToGrid/>
          <w:kern w:val="22"/>
          <w:szCs w:val="22"/>
        </w:rPr>
        <w:t xml:space="preserve">, and </w:t>
      </w:r>
      <w:r w:rsidR="004F6661" w:rsidRPr="00F76BAE">
        <w:rPr>
          <w:snapToGrid/>
          <w:kern w:val="22"/>
          <w:szCs w:val="22"/>
        </w:rPr>
        <w:t xml:space="preserve">section III </w:t>
      </w:r>
      <w:r w:rsidR="00422942" w:rsidRPr="00F76BAE">
        <w:rPr>
          <w:snapToGrid/>
          <w:kern w:val="22"/>
          <w:szCs w:val="22"/>
        </w:rPr>
        <w:t xml:space="preserve">below </w:t>
      </w:r>
      <w:r w:rsidR="00537347" w:rsidRPr="00F76BAE">
        <w:rPr>
          <w:snapToGrid/>
          <w:kern w:val="22"/>
          <w:szCs w:val="22"/>
        </w:rPr>
        <w:t xml:space="preserve">suggests some elements of </w:t>
      </w:r>
      <w:r w:rsidR="00422942" w:rsidRPr="00F76BAE">
        <w:rPr>
          <w:snapToGrid/>
          <w:kern w:val="22"/>
          <w:szCs w:val="22"/>
        </w:rPr>
        <w:t xml:space="preserve">a </w:t>
      </w:r>
      <w:r w:rsidR="00537347" w:rsidRPr="00F76BAE">
        <w:rPr>
          <w:snapToGrid/>
          <w:kern w:val="22"/>
          <w:szCs w:val="22"/>
        </w:rPr>
        <w:t>recommendation for consideration by</w:t>
      </w:r>
      <w:r w:rsidR="004F6661" w:rsidRPr="00F76BAE">
        <w:rPr>
          <w:snapToGrid/>
          <w:kern w:val="22"/>
          <w:szCs w:val="22"/>
        </w:rPr>
        <w:t xml:space="preserve"> the Subsidiary Body on Implementation</w:t>
      </w:r>
      <w:r w:rsidRPr="00F76BAE">
        <w:rPr>
          <w:snapToGrid/>
          <w:kern w:val="22"/>
          <w:szCs w:val="22"/>
        </w:rPr>
        <w:t>, taking also into account the study referred to in paragraph</w:t>
      </w:r>
      <w:r w:rsidR="009629FE" w:rsidRPr="00F76BAE">
        <w:rPr>
          <w:snapToGrid/>
          <w:kern w:val="22"/>
          <w:szCs w:val="22"/>
        </w:rPr>
        <w:t> </w:t>
      </w:r>
      <w:r w:rsidR="009629FE" w:rsidRPr="00F76BAE">
        <w:rPr>
          <w:snapToGrid/>
          <w:kern w:val="22"/>
          <w:szCs w:val="22"/>
        </w:rPr>
        <w:fldChar w:fldCharType="begin"/>
      </w:r>
      <w:r w:rsidR="009629FE" w:rsidRPr="00F76BAE">
        <w:rPr>
          <w:snapToGrid/>
          <w:kern w:val="22"/>
          <w:szCs w:val="22"/>
        </w:rPr>
        <w:instrText xml:space="preserve"> REF _Ref48827108 \r \h </w:instrText>
      </w:r>
      <w:r w:rsidR="00F76BAE">
        <w:rPr>
          <w:snapToGrid/>
          <w:kern w:val="22"/>
          <w:szCs w:val="22"/>
        </w:rPr>
        <w:instrText xml:space="preserve"> \* MERGEFORMAT </w:instrText>
      </w:r>
      <w:r w:rsidR="009629FE" w:rsidRPr="00F76BAE">
        <w:rPr>
          <w:snapToGrid/>
          <w:kern w:val="22"/>
          <w:szCs w:val="22"/>
        </w:rPr>
      </w:r>
      <w:r w:rsidR="009629FE" w:rsidRPr="00F76BAE">
        <w:rPr>
          <w:snapToGrid/>
          <w:kern w:val="22"/>
          <w:szCs w:val="22"/>
        </w:rPr>
        <w:fldChar w:fldCharType="separate"/>
      </w:r>
      <w:r w:rsidR="009629FE" w:rsidRPr="00F76BAE">
        <w:rPr>
          <w:snapToGrid/>
          <w:kern w:val="22"/>
          <w:szCs w:val="22"/>
        </w:rPr>
        <w:t>6</w:t>
      </w:r>
      <w:r w:rsidR="009629FE" w:rsidRPr="00F76BAE">
        <w:rPr>
          <w:snapToGrid/>
          <w:kern w:val="22"/>
          <w:szCs w:val="22"/>
        </w:rPr>
        <w:fldChar w:fldCharType="end"/>
      </w:r>
      <w:r w:rsidRPr="00F76BAE">
        <w:rPr>
          <w:snapToGrid/>
          <w:kern w:val="22"/>
          <w:szCs w:val="22"/>
        </w:rPr>
        <w:t xml:space="preserve"> above</w:t>
      </w:r>
      <w:r w:rsidR="00537347" w:rsidRPr="00F76BAE">
        <w:rPr>
          <w:snapToGrid/>
          <w:kern w:val="22"/>
          <w:szCs w:val="22"/>
        </w:rPr>
        <w:t>.</w:t>
      </w:r>
    </w:p>
    <w:p w14:paraId="6026A2B9" w14:textId="46733998" w:rsidR="004F6661" w:rsidRPr="00F76BAE" w:rsidRDefault="00BF4BCA" w:rsidP="00F76BAE">
      <w:pPr>
        <w:pStyle w:val="Heading1longmultiline"/>
        <w:numPr>
          <w:ilvl w:val="0"/>
          <w:numId w:val="13"/>
        </w:numPr>
        <w:suppressLineNumbers/>
        <w:tabs>
          <w:tab w:val="clear" w:pos="720"/>
          <w:tab w:val="left" w:pos="426"/>
        </w:tabs>
        <w:suppressAutoHyphens/>
        <w:spacing w:before="120"/>
        <w:ind w:left="0" w:firstLine="0"/>
        <w:jc w:val="center"/>
        <w:rPr>
          <w:kern w:val="22"/>
          <w:szCs w:val="22"/>
        </w:rPr>
      </w:pPr>
      <w:bookmarkStart w:id="8" w:name="_Toc26277620"/>
      <w:r w:rsidRPr="00F76BAE">
        <w:rPr>
          <w:kern w:val="22"/>
          <w:szCs w:val="22"/>
        </w:rPr>
        <w:t>Synthesis of views and information</w:t>
      </w:r>
      <w:bookmarkStart w:id="9" w:name="START"/>
      <w:bookmarkEnd w:id="8"/>
      <w:bookmarkEnd w:id="9"/>
    </w:p>
    <w:p w14:paraId="453D6EFF" w14:textId="78D9B6D2" w:rsidR="004F6661"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Th</w:t>
      </w:r>
      <w:r w:rsidR="00A04050" w:rsidRPr="00F76BAE">
        <w:rPr>
          <w:snapToGrid/>
          <w:kern w:val="22"/>
          <w:szCs w:val="22"/>
        </w:rPr>
        <w:t>e</w:t>
      </w:r>
      <w:r w:rsidRPr="00F76BAE">
        <w:rPr>
          <w:snapToGrid/>
          <w:kern w:val="22"/>
          <w:szCs w:val="22"/>
        </w:rPr>
        <w:t xml:space="preserve"> s</w:t>
      </w:r>
      <w:r w:rsidR="00A04050" w:rsidRPr="00F76BAE">
        <w:rPr>
          <w:snapToGrid/>
          <w:kern w:val="22"/>
          <w:szCs w:val="22"/>
        </w:rPr>
        <w:t xml:space="preserve">ynthesis </w:t>
      </w:r>
      <w:r w:rsidR="006B2828" w:rsidRPr="00F76BAE">
        <w:rPr>
          <w:snapToGrid/>
          <w:kern w:val="22"/>
          <w:szCs w:val="22"/>
        </w:rPr>
        <w:t>consists of</w:t>
      </w:r>
      <w:r w:rsidRPr="00F76BAE">
        <w:rPr>
          <w:snapToGrid/>
          <w:kern w:val="22"/>
          <w:szCs w:val="22"/>
        </w:rPr>
        <w:t xml:space="preserve"> four subsections</w:t>
      </w:r>
      <w:r w:rsidR="00A04050" w:rsidRPr="00F76BAE">
        <w:rPr>
          <w:snapToGrid/>
          <w:kern w:val="22"/>
          <w:szCs w:val="22"/>
        </w:rPr>
        <w:t xml:space="preserve">: </w:t>
      </w:r>
      <w:r w:rsidR="005D1ACE" w:rsidRPr="00F76BAE">
        <w:rPr>
          <w:snapToGrid/>
          <w:kern w:val="22"/>
          <w:szCs w:val="22"/>
        </w:rPr>
        <w:t>(</w:t>
      </w:r>
      <w:r w:rsidR="0003044B" w:rsidRPr="00F76BAE">
        <w:rPr>
          <w:snapToGrid/>
          <w:kern w:val="22"/>
          <w:szCs w:val="22"/>
        </w:rPr>
        <w:t>a</w:t>
      </w:r>
      <w:r w:rsidR="005D1ACE" w:rsidRPr="00F76BAE">
        <w:rPr>
          <w:snapToGrid/>
          <w:kern w:val="22"/>
          <w:szCs w:val="22"/>
        </w:rPr>
        <w:t>)</w:t>
      </w:r>
      <w:r w:rsidRPr="00F76BAE">
        <w:rPr>
          <w:snapToGrid/>
          <w:kern w:val="22"/>
          <w:szCs w:val="22"/>
        </w:rPr>
        <w:t xml:space="preserve"> general views on the need for a global multilateral benefit-sharing mechanism, including advantages and disadvantages; </w:t>
      </w:r>
      <w:r w:rsidR="00236419" w:rsidRPr="00F76BAE">
        <w:rPr>
          <w:snapToGrid/>
          <w:kern w:val="22"/>
          <w:szCs w:val="22"/>
        </w:rPr>
        <w:t>(</w:t>
      </w:r>
      <w:r w:rsidR="0003044B" w:rsidRPr="00F76BAE">
        <w:rPr>
          <w:snapToGrid/>
          <w:kern w:val="22"/>
          <w:szCs w:val="22"/>
        </w:rPr>
        <w:t>b</w:t>
      </w:r>
      <w:r w:rsidR="00236419" w:rsidRPr="00F76BAE">
        <w:rPr>
          <w:snapToGrid/>
          <w:kern w:val="22"/>
          <w:szCs w:val="22"/>
        </w:rPr>
        <w:t>)</w:t>
      </w:r>
      <w:r w:rsidRPr="00F76BAE">
        <w:rPr>
          <w:snapToGrid/>
          <w:kern w:val="22"/>
          <w:szCs w:val="22"/>
        </w:rPr>
        <w:t xml:space="preserve"> specific cases which may support the need for a global multilateral benefit-sharing mechanism that are not covered under the bilateral approach</w:t>
      </w:r>
      <w:r w:rsidR="00D20DEC" w:rsidRPr="00F76BAE">
        <w:rPr>
          <w:snapToGrid/>
          <w:kern w:val="22"/>
          <w:szCs w:val="22"/>
        </w:rPr>
        <w:t>,</w:t>
      </w:r>
      <w:r w:rsidR="00D20DEC" w:rsidRPr="00F76BAE">
        <w:t xml:space="preserve"> </w:t>
      </w:r>
      <w:r w:rsidR="00D20DEC" w:rsidRPr="00F76BAE">
        <w:rPr>
          <w:snapToGrid/>
          <w:kern w:val="22"/>
          <w:szCs w:val="22"/>
        </w:rPr>
        <w:t>accompanied by an explanation as to why such cases cannot be covered under the bilateral approach set out in the Nagoya Protocol</w:t>
      </w:r>
      <w:r w:rsidRPr="00F76BAE">
        <w:rPr>
          <w:snapToGrid/>
          <w:kern w:val="22"/>
          <w:szCs w:val="22"/>
        </w:rPr>
        <w:t xml:space="preserve">; </w:t>
      </w:r>
      <w:r w:rsidR="00236419" w:rsidRPr="00F76BAE">
        <w:rPr>
          <w:snapToGrid/>
          <w:kern w:val="22"/>
          <w:szCs w:val="22"/>
        </w:rPr>
        <w:t>(</w:t>
      </w:r>
      <w:r w:rsidR="0003044B" w:rsidRPr="00F76BAE">
        <w:rPr>
          <w:snapToGrid/>
          <w:kern w:val="22"/>
          <w:szCs w:val="22"/>
        </w:rPr>
        <w:t>c</w:t>
      </w:r>
      <w:r w:rsidR="00236419" w:rsidRPr="00F76BAE">
        <w:rPr>
          <w:snapToGrid/>
          <w:kern w:val="22"/>
          <w:szCs w:val="22"/>
        </w:rPr>
        <w:t>)</w:t>
      </w:r>
      <w:r w:rsidRPr="00F76BAE">
        <w:rPr>
          <w:snapToGrid/>
          <w:kern w:val="22"/>
          <w:szCs w:val="22"/>
        </w:rPr>
        <w:t xml:space="preserve"> options for possible modalities for addressing those cases, including through a global multilateral benefit-sharing mechanism; and </w:t>
      </w:r>
      <w:r w:rsidR="00322924" w:rsidRPr="00F76BAE">
        <w:rPr>
          <w:snapToGrid/>
          <w:kern w:val="22"/>
          <w:szCs w:val="22"/>
        </w:rPr>
        <w:t>(</w:t>
      </w:r>
      <w:r w:rsidR="0003044B" w:rsidRPr="00F76BAE">
        <w:rPr>
          <w:snapToGrid/>
          <w:kern w:val="22"/>
          <w:szCs w:val="22"/>
        </w:rPr>
        <w:t>d</w:t>
      </w:r>
      <w:r w:rsidR="00322924" w:rsidRPr="00F76BAE">
        <w:rPr>
          <w:snapToGrid/>
          <w:kern w:val="22"/>
          <w:szCs w:val="22"/>
        </w:rPr>
        <w:t>) </w:t>
      </w:r>
      <w:r w:rsidRPr="00F76BAE">
        <w:rPr>
          <w:snapToGrid/>
          <w:kern w:val="22"/>
          <w:szCs w:val="22"/>
        </w:rPr>
        <w:t>additional relevant information received</w:t>
      </w:r>
      <w:r w:rsidR="00A04050" w:rsidRPr="00F76BAE">
        <w:rPr>
          <w:snapToGrid/>
          <w:kern w:val="22"/>
          <w:szCs w:val="22"/>
        </w:rPr>
        <w:t xml:space="preserve"> through the submissions</w:t>
      </w:r>
      <w:r w:rsidRPr="00F76BAE">
        <w:rPr>
          <w:snapToGrid/>
          <w:kern w:val="22"/>
          <w:szCs w:val="22"/>
        </w:rPr>
        <w:t>.</w:t>
      </w:r>
    </w:p>
    <w:p w14:paraId="0C845177" w14:textId="77777777" w:rsidR="00C91AEF" w:rsidRPr="00F76BAE" w:rsidRDefault="00C91AEF" w:rsidP="00F76BAE">
      <w:pPr>
        <w:pStyle w:val="Heading2"/>
        <w:numPr>
          <w:ilvl w:val="0"/>
          <w:numId w:val="12"/>
        </w:numPr>
        <w:suppressLineNumbers/>
        <w:tabs>
          <w:tab w:val="clear" w:pos="720"/>
        </w:tabs>
        <w:suppressAutoHyphens/>
        <w:ind w:left="1260" w:hanging="540"/>
        <w:jc w:val="left"/>
        <w:rPr>
          <w:i w:val="0"/>
          <w:kern w:val="22"/>
          <w:szCs w:val="22"/>
        </w:rPr>
      </w:pPr>
      <w:r w:rsidRPr="00F76BAE">
        <w:rPr>
          <w:i w:val="0"/>
          <w:kern w:val="22"/>
          <w:szCs w:val="22"/>
        </w:rPr>
        <w:t>General views on the need for a global multilateral benefit-sharing mechanism, including advantages and disadvantages</w:t>
      </w:r>
    </w:p>
    <w:p w14:paraId="45534F6A" w14:textId="2A786405" w:rsidR="004F6661"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 xml:space="preserve">Some Parties and non-Parties </w:t>
      </w:r>
      <w:r w:rsidR="0078052D" w:rsidRPr="00F76BAE">
        <w:rPr>
          <w:snapToGrid/>
          <w:kern w:val="22"/>
          <w:szCs w:val="22"/>
        </w:rPr>
        <w:t>indicate</w:t>
      </w:r>
      <w:r w:rsidR="004904B9" w:rsidRPr="00F76BAE">
        <w:rPr>
          <w:snapToGrid/>
          <w:kern w:val="22"/>
          <w:szCs w:val="22"/>
        </w:rPr>
        <w:t>d</w:t>
      </w:r>
      <w:r w:rsidR="0078052D" w:rsidRPr="00F76BAE">
        <w:rPr>
          <w:snapToGrid/>
          <w:kern w:val="22"/>
          <w:szCs w:val="22"/>
        </w:rPr>
        <w:t xml:space="preserve"> </w:t>
      </w:r>
      <w:r w:rsidRPr="00F76BAE">
        <w:rPr>
          <w:snapToGrid/>
          <w:kern w:val="22"/>
          <w:szCs w:val="22"/>
        </w:rPr>
        <w:t>that</w:t>
      </w:r>
      <w:r w:rsidR="004F7ED7" w:rsidRPr="00F76BAE">
        <w:rPr>
          <w:snapToGrid/>
          <w:kern w:val="22"/>
          <w:szCs w:val="22"/>
        </w:rPr>
        <w:t>,</w:t>
      </w:r>
      <w:r w:rsidRPr="00F76BAE">
        <w:rPr>
          <w:snapToGrid/>
          <w:kern w:val="22"/>
          <w:szCs w:val="22"/>
        </w:rPr>
        <w:t xml:space="preserve"> </w:t>
      </w:r>
      <w:r w:rsidR="00565EFA" w:rsidRPr="00F76BAE">
        <w:rPr>
          <w:snapToGrid/>
          <w:kern w:val="22"/>
          <w:szCs w:val="22"/>
        </w:rPr>
        <w:t>thus far</w:t>
      </w:r>
      <w:r w:rsidR="004F7ED7" w:rsidRPr="00F76BAE">
        <w:rPr>
          <w:snapToGrid/>
          <w:kern w:val="22"/>
          <w:szCs w:val="22"/>
        </w:rPr>
        <w:t>,</w:t>
      </w:r>
      <w:r w:rsidRPr="00F76BAE">
        <w:rPr>
          <w:snapToGrid/>
          <w:kern w:val="22"/>
          <w:szCs w:val="22"/>
        </w:rPr>
        <w:t xml:space="preserve"> they </w:t>
      </w:r>
      <w:r w:rsidR="00565EFA" w:rsidRPr="00F76BAE">
        <w:rPr>
          <w:snapToGrid/>
          <w:kern w:val="22"/>
          <w:szCs w:val="22"/>
        </w:rPr>
        <w:t>ha</w:t>
      </w:r>
      <w:r w:rsidR="004904B9" w:rsidRPr="00F76BAE">
        <w:rPr>
          <w:snapToGrid/>
          <w:kern w:val="22"/>
          <w:szCs w:val="22"/>
        </w:rPr>
        <w:t>d</w:t>
      </w:r>
      <w:r w:rsidR="00565EFA" w:rsidRPr="00F76BAE">
        <w:rPr>
          <w:snapToGrid/>
          <w:kern w:val="22"/>
          <w:szCs w:val="22"/>
        </w:rPr>
        <w:t xml:space="preserve"> </w:t>
      </w:r>
      <w:r w:rsidRPr="00F76BAE">
        <w:rPr>
          <w:snapToGrid/>
          <w:kern w:val="22"/>
          <w:szCs w:val="22"/>
        </w:rPr>
        <w:t xml:space="preserve">not </w:t>
      </w:r>
      <w:r w:rsidR="00565EFA" w:rsidRPr="00F76BAE">
        <w:rPr>
          <w:snapToGrid/>
          <w:kern w:val="22"/>
          <w:szCs w:val="22"/>
        </w:rPr>
        <w:t xml:space="preserve">encountered </w:t>
      </w:r>
      <w:r w:rsidRPr="00F76BAE">
        <w:rPr>
          <w:snapToGrid/>
          <w:kern w:val="22"/>
          <w:szCs w:val="22"/>
        </w:rPr>
        <w:t>any obstacles to the bilateral approach</w:t>
      </w:r>
      <w:r w:rsidR="00FB466B" w:rsidRPr="00F76BAE">
        <w:rPr>
          <w:snapToGrid/>
          <w:kern w:val="22"/>
          <w:szCs w:val="22"/>
        </w:rPr>
        <w:t>,</w:t>
      </w:r>
      <w:r w:rsidRPr="00F76BAE">
        <w:rPr>
          <w:kern w:val="22"/>
          <w:szCs w:val="22"/>
          <w:vertAlign w:val="superscript"/>
        </w:rPr>
        <w:footnoteReference w:id="3"/>
      </w:r>
      <w:r w:rsidRPr="00F76BAE">
        <w:rPr>
          <w:snapToGrid/>
          <w:kern w:val="22"/>
          <w:szCs w:val="22"/>
        </w:rPr>
        <w:t xml:space="preserve"> </w:t>
      </w:r>
      <w:r w:rsidR="00D46FD9" w:rsidRPr="00F76BAE">
        <w:rPr>
          <w:snapToGrid/>
          <w:kern w:val="22"/>
          <w:szCs w:val="22"/>
        </w:rPr>
        <w:t xml:space="preserve">that they </w:t>
      </w:r>
      <w:r w:rsidR="004904B9" w:rsidRPr="00F76BAE">
        <w:rPr>
          <w:snapToGrid/>
          <w:kern w:val="22"/>
          <w:szCs w:val="22"/>
        </w:rPr>
        <w:t xml:space="preserve">had </w:t>
      </w:r>
      <w:r w:rsidRPr="00F76BAE">
        <w:rPr>
          <w:snapToGrid/>
          <w:kern w:val="22"/>
          <w:szCs w:val="22"/>
        </w:rPr>
        <w:t xml:space="preserve">so far not come across any situation </w:t>
      </w:r>
      <w:r w:rsidR="00180719" w:rsidRPr="00F76BAE">
        <w:rPr>
          <w:snapToGrid/>
          <w:kern w:val="22"/>
          <w:szCs w:val="22"/>
        </w:rPr>
        <w:t xml:space="preserve">in which </w:t>
      </w:r>
      <w:r w:rsidRPr="00F76BAE">
        <w:rPr>
          <w:snapToGrid/>
          <w:kern w:val="22"/>
          <w:szCs w:val="22"/>
        </w:rPr>
        <w:t>prior informed consent could not be obtained for a biological resource</w:t>
      </w:r>
      <w:r w:rsidR="00FB466B" w:rsidRPr="00F76BAE">
        <w:rPr>
          <w:snapToGrid/>
          <w:kern w:val="22"/>
          <w:szCs w:val="22"/>
        </w:rPr>
        <w:t>,</w:t>
      </w:r>
      <w:r w:rsidRPr="00F76BAE">
        <w:rPr>
          <w:snapToGrid/>
          <w:kern w:val="22"/>
          <w:szCs w:val="22"/>
          <w:vertAlign w:val="superscript"/>
        </w:rPr>
        <w:footnoteReference w:id="4"/>
      </w:r>
      <w:r w:rsidRPr="00F76BAE">
        <w:rPr>
          <w:snapToGrid/>
          <w:kern w:val="22"/>
          <w:szCs w:val="22"/>
        </w:rPr>
        <w:t xml:space="preserve"> or </w:t>
      </w:r>
      <w:r w:rsidR="00D46FD9" w:rsidRPr="00F76BAE">
        <w:rPr>
          <w:snapToGrid/>
          <w:kern w:val="22"/>
          <w:szCs w:val="22"/>
        </w:rPr>
        <w:t xml:space="preserve">that they </w:t>
      </w:r>
      <w:r w:rsidR="00F427D6" w:rsidRPr="00F76BAE">
        <w:rPr>
          <w:snapToGrid/>
          <w:kern w:val="22"/>
          <w:szCs w:val="22"/>
        </w:rPr>
        <w:t xml:space="preserve">had </w:t>
      </w:r>
      <w:r w:rsidRPr="00F76BAE">
        <w:rPr>
          <w:snapToGrid/>
          <w:kern w:val="22"/>
          <w:szCs w:val="22"/>
        </w:rPr>
        <w:t>never faced the need to apply a multilateral mechanism for benefit-sharing between providers and users of genetic resources</w:t>
      </w:r>
      <w:r w:rsidR="00261377" w:rsidRPr="00F76BAE">
        <w:rPr>
          <w:snapToGrid/>
          <w:kern w:val="22"/>
          <w:szCs w:val="22"/>
        </w:rPr>
        <w:t>.</w:t>
      </w:r>
      <w:r w:rsidRPr="00F76BAE">
        <w:rPr>
          <w:kern w:val="22"/>
          <w:szCs w:val="22"/>
          <w:vertAlign w:val="superscript"/>
        </w:rPr>
        <w:footnoteReference w:id="5"/>
      </w:r>
      <w:r w:rsidRPr="00F76BAE">
        <w:rPr>
          <w:snapToGrid/>
          <w:kern w:val="22"/>
          <w:szCs w:val="22"/>
          <w:vertAlign w:val="superscript"/>
        </w:rPr>
        <w:t>.</w:t>
      </w:r>
      <w:r w:rsidRPr="00F76BAE">
        <w:rPr>
          <w:snapToGrid/>
          <w:kern w:val="22"/>
          <w:szCs w:val="22"/>
        </w:rPr>
        <w:t xml:space="preserve"> In that regard, two Parties and one non-Party</w:t>
      </w:r>
      <w:r w:rsidRPr="00F76BAE">
        <w:rPr>
          <w:kern w:val="22"/>
          <w:szCs w:val="22"/>
          <w:vertAlign w:val="superscript"/>
        </w:rPr>
        <w:footnoteReference w:id="6"/>
      </w:r>
      <w:r w:rsidRPr="00F76BAE">
        <w:rPr>
          <w:snapToGrid/>
          <w:kern w:val="22"/>
          <w:szCs w:val="22"/>
        </w:rPr>
        <w:t xml:space="preserve"> reported that they were using mutually agreed terms or material transfer agreements to manage access and benefit-sharing of genetic resources under the bilateral system.</w:t>
      </w:r>
    </w:p>
    <w:p w14:paraId="281A7591" w14:textId="21EFC19B" w:rsidR="004F6661" w:rsidRPr="00F76BAE" w:rsidRDefault="000379C4" w:rsidP="00F76BAE">
      <w:pPr>
        <w:pStyle w:val="Para1"/>
        <w:numPr>
          <w:ilvl w:val="0"/>
          <w:numId w:val="2"/>
        </w:numPr>
        <w:suppressLineNumbers/>
        <w:tabs>
          <w:tab w:val="clear" w:pos="360"/>
          <w:tab w:val="num" w:pos="709"/>
        </w:tabs>
        <w:suppressAutoHyphens/>
        <w:spacing w:before="0"/>
        <w:rPr>
          <w:kern w:val="22"/>
          <w:szCs w:val="22"/>
        </w:rPr>
      </w:pPr>
      <w:r w:rsidRPr="00F76BAE">
        <w:rPr>
          <w:snapToGrid/>
          <w:kern w:val="22"/>
          <w:szCs w:val="22"/>
        </w:rPr>
        <w:t>One</w:t>
      </w:r>
      <w:r w:rsidR="004F6661" w:rsidRPr="00F76BAE">
        <w:rPr>
          <w:snapToGrid/>
          <w:kern w:val="22"/>
          <w:szCs w:val="22"/>
        </w:rPr>
        <w:t xml:space="preserve"> Party</w:t>
      </w:r>
      <w:r w:rsidR="004F6661" w:rsidRPr="00F76BAE">
        <w:rPr>
          <w:rStyle w:val="FootnoteReference"/>
          <w:snapToGrid/>
          <w:kern w:val="22"/>
          <w:szCs w:val="22"/>
        </w:rPr>
        <w:footnoteReference w:id="7"/>
      </w:r>
      <w:r w:rsidR="004F6661" w:rsidRPr="00F76BAE">
        <w:rPr>
          <w:snapToGrid/>
          <w:kern w:val="22"/>
          <w:szCs w:val="22"/>
        </w:rPr>
        <w:t xml:space="preserve"> stated that </w:t>
      </w:r>
      <w:r w:rsidR="004F6661" w:rsidRPr="00F76BAE">
        <w:rPr>
          <w:kern w:val="22"/>
          <w:szCs w:val="22"/>
        </w:rPr>
        <w:t xml:space="preserve">the mere occurrence of genetic resources and associated traditional knowledge in transboundary situations </w:t>
      </w:r>
      <w:r w:rsidR="002A729C" w:rsidRPr="00F76BAE">
        <w:rPr>
          <w:kern w:val="22"/>
          <w:szCs w:val="22"/>
        </w:rPr>
        <w:t xml:space="preserve">did </w:t>
      </w:r>
      <w:r w:rsidR="004F6661" w:rsidRPr="00F76BAE">
        <w:rPr>
          <w:kern w:val="22"/>
          <w:szCs w:val="22"/>
        </w:rPr>
        <w:t xml:space="preserve">not support the need for a </w:t>
      </w:r>
      <w:r w:rsidR="004F6661" w:rsidRPr="00F76BAE">
        <w:rPr>
          <w:snapToGrid/>
          <w:kern w:val="22"/>
          <w:szCs w:val="22"/>
        </w:rPr>
        <w:t xml:space="preserve">global multilateral benefit-sharing mechanism. </w:t>
      </w:r>
      <w:r w:rsidR="00D46FD9" w:rsidRPr="00F76BAE">
        <w:rPr>
          <w:snapToGrid/>
          <w:kern w:val="22"/>
          <w:szCs w:val="22"/>
        </w:rPr>
        <w:t xml:space="preserve">It </w:t>
      </w:r>
      <w:r w:rsidR="002369F9" w:rsidRPr="00F76BAE">
        <w:rPr>
          <w:snapToGrid/>
          <w:kern w:val="22"/>
          <w:szCs w:val="22"/>
        </w:rPr>
        <w:t xml:space="preserve">also </w:t>
      </w:r>
      <w:r w:rsidR="00D46FD9" w:rsidRPr="00F76BAE">
        <w:rPr>
          <w:snapToGrid/>
          <w:kern w:val="22"/>
          <w:szCs w:val="22"/>
        </w:rPr>
        <w:t xml:space="preserve">stated </w:t>
      </w:r>
      <w:r w:rsidR="004F6661" w:rsidRPr="00F76BAE">
        <w:rPr>
          <w:snapToGrid/>
          <w:kern w:val="22"/>
          <w:szCs w:val="22"/>
        </w:rPr>
        <w:t>that</w:t>
      </w:r>
      <w:r w:rsidR="002369F9" w:rsidRPr="00F76BAE">
        <w:rPr>
          <w:snapToGrid/>
          <w:kern w:val="22"/>
          <w:szCs w:val="22"/>
        </w:rPr>
        <w:t>,</w:t>
      </w:r>
      <w:r w:rsidR="004F6661" w:rsidRPr="00F76BAE">
        <w:rPr>
          <w:snapToGrid/>
          <w:kern w:val="22"/>
          <w:szCs w:val="22"/>
        </w:rPr>
        <w:t xml:space="preserve"> even if genetic resources </w:t>
      </w:r>
      <w:r w:rsidR="00B3409F" w:rsidRPr="00F76BAE">
        <w:rPr>
          <w:snapToGrid/>
          <w:kern w:val="22"/>
          <w:szCs w:val="22"/>
        </w:rPr>
        <w:t xml:space="preserve">were to be </w:t>
      </w:r>
      <w:r w:rsidR="004F6661" w:rsidRPr="00F76BAE">
        <w:rPr>
          <w:snapToGrid/>
          <w:kern w:val="22"/>
          <w:szCs w:val="22"/>
        </w:rPr>
        <w:t xml:space="preserve">found </w:t>
      </w:r>
      <w:r w:rsidR="004F6661" w:rsidRPr="00F76BAE">
        <w:rPr>
          <w:i/>
          <w:iCs/>
          <w:snapToGrid/>
          <w:kern w:val="22"/>
          <w:szCs w:val="22"/>
        </w:rPr>
        <w:t>in situ</w:t>
      </w:r>
      <w:r w:rsidR="004F6661" w:rsidRPr="00F76BAE">
        <w:rPr>
          <w:snapToGrid/>
          <w:kern w:val="22"/>
          <w:szCs w:val="22"/>
        </w:rPr>
        <w:t xml:space="preserve"> </w:t>
      </w:r>
      <w:r w:rsidR="004F6661" w:rsidRPr="00F76BAE">
        <w:rPr>
          <w:kern w:val="22"/>
          <w:szCs w:val="22"/>
        </w:rPr>
        <w:t xml:space="preserve">within the territory of two or more </w:t>
      </w:r>
      <w:r w:rsidR="004F6661" w:rsidRPr="00F76BAE">
        <w:rPr>
          <w:kern w:val="22"/>
          <w:szCs w:val="22"/>
        </w:rPr>
        <w:lastRenderedPageBreak/>
        <w:t>countries,</w:t>
      </w:r>
      <w:r w:rsidR="004F6661" w:rsidRPr="00F76BAE">
        <w:rPr>
          <w:snapToGrid/>
          <w:kern w:val="22"/>
          <w:szCs w:val="22"/>
        </w:rPr>
        <w:t xml:space="preserve"> the default mechanism for</w:t>
      </w:r>
      <w:r w:rsidR="004F6661" w:rsidRPr="00F76BAE">
        <w:rPr>
          <w:kern w:val="22"/>
          <w:szCs w:val="22"/>
        </w:rPr>
        <w:t xml:space="preserve"> </w:t>
      </w:r>
      <w:r w:rsidR="004F6661" w:rsidRPr="00F76BAE">
        <w:rPr>
          <w:snapToGrid/>
          <w:kern w:val="22"/>
          <w:szCs w:val="22"/>
        </w:rPr>
        <w:t>benefit-sharing should be the bilateral approach by cooperation among those countries.</w:t>
      </w:r>
    </w:p>
    <w:p w14:paraId="1A1D1046" w14:textId="43974998" w:rsidR="004F6661" w:rsidRPr="00F76BAE" w:rsidRDefault="00D46FD9" w:rsidP="00F76BAE">
      <w:pPr>
        <w:pStyle w:val="Para1"/>
        <w:numPr>
          <w:ilvl w:val="0"/>
          <w:numId w:val="2"/>
        </w:numPr>
        <w:suppressLineNumbers/>
        <w:tabs>
          <w:tab w:val="clear" w:pos="360"/>
          <w:tab w:val="num" w:pos="709"/>
        </w:tabs>
        <w:suppressAutoHyphens/>
        <w:spacing w:before="0"/>
        <w:rPr>
          <w:snapToGrid/>
          <w:kern w:val="22"/>
          <w:szCs w:val="22"/>
        </w:rPr>
      </w:pPr>
      <w:r w:rsidRPr="00F76BAE">
        <w:rPr>
          <w:kern w:val="22"/>
          <w:szCs w:val="22"/>
        </w:rPr>
        <w:t xml:space="preserve">A </w:t>
      </w:r>
      <w:r w:rsidR="004F6661" w:rsidRPr="00F76BAE">
        <w:rPr>
          <w:snapToGrid/>
          <w:kern w:val="22"/>
          <w:szCs w:val="22"/>
        </w:rPr>
        <w:t>non-Party</w:t>
      </w:r>
      <w:r w:rsidR="004F6661" w:rsidRPr="00F76BAE">
        <w:rPr>
          <w:rStyle w:val="FootnoteReference"/>
          <w:kern w:val="22"/>
          <w:szCs w:val="22"/>
        </w:rPr>
        <w:footnoteReference w:id="8"/>
      </w:r>
      <w:r w:rsidR="004F6661" w:rsidRPr="00F76BAE">
        <w:rPr>
          <w:snapToGrid/>
          <w:kern w:val="22"/>
          <w:szCs w:val="22"/>
        </w:rPr>
        <w:t xml:space="preserve"> expressed concern </w:t>
      </w:r>
      <w:r w:rsidR="008D574B" w:rsidRPr="00F76BAE">
        <w:rPr>
          <w:snapToGrid/>
          <w:kern w:val="22"/>
          <w:szCs w:val="22"/>
        </w:rPr>
        <w:t xml:space="preserve">at </w:t>
      </w:r>
      <w:r w:rsidR="004F6661" w:rsidRPr="00F76BAE">
        <w:rPr>
          <w:snapToGrid/>
          <w:kern w:val="22"/>
          <w:szCs w:val="22"/>
        </w:rPr>
        <w:t xml:space="preserve">the implementation of a </w:t>
      </w:r>
      <w:r w:rsidR="004F6661" w:rsidRPr="00F76BAE">
        <w:rPr>
          <w:kern w:val="22"/>
          <w:szCs w:val="22"/>
        </w:rPr>
        <w:t>potential global multilateral benefit</w:t>
      </w:r>
      <w:r w:rsidR="00A50D97" w:rsidRPr="00F76BAE">
        <w:rPr>
          <w:kern w:val="22"/>
          <w:szCs w:val="22"/>
        </w:rPr>
        <w:noBreakHyphen/>
      </w:r>
      <w:r w:rsidR="004F6661" w:rsidRPr="00F76BAE">
        <w:rPr>
          <w:kern w:val="22"/>
          <w:szCs w:val="22"/>
        </w:rPr>
        <w:t>sharing mechanism</w:t>
      </w:r>
      <w:r w:rsidR="00FC11A1" w:rsidRPr="00F76BAE">
        <w:rPr>
          <w:kern w:val="22"/>
          <w:szCs w:val="22"/>
        </w:rPr>
        <w:t>,</w:t>
      </w:r>
      <w:r w:rsidR="004F6661" w:rsidRPr="00F76BAE">
        <w:rPr>
          <w:kern w:val="22"/>
          <w:szCs w:val="22"/>
        </w:rPr>
        <w:t xml:space="preserve"> </w:t>
      </w:r>
      <w:r w:rsidR="00FC11A1" w:rsidRPr="00F76BAE">
        <w:rPr>
          <w:kern w:val="22"/>
          <w:szCs w:val="22"/>
        </w:rPr>
        <w:t>which, i</w:t>
      </w:r>
      <w:r w:rsidR="004F6661" w:rsidRPr="00F76BAE">
        <w:rPr>
          <w:kern w:val="22"/>
          <w:szCs w:val="22"/>
        </w:rPr>
        <w:t xml:space="preserve">n </w:t>
      </w:r>
      <w:r w:rsidRPr="00F76BAE">
        <w:rPr>
          <w:kern w:val="22"/>
          <w:szCs w:val="22"/>
        </w:rPr>
        <w:t xml:space="preserve">its </w:t>
      </w:r>
      <w:r w:rsidR="004F6661" w:rsidRPr="00F76BAE">
        <w:rPr>
          <w:kern w:val="22"/>
          <w:szCs w:val="22"/>
        </w:rPr>
        <w:t xml:space="preserve">view, would cut across the bilateral model of the Nagoya Protocol and dispense with the relationship established between users and providers. </w:t>
      </w:r>
      <w:r w:rsidR="00BD4894" w:rsidRPr="00F76BAE">
        <w:rPr>
          <w:kern w:val="22"/>
          <w:szCs w:val="22"/>
        </w:rPr>
        <w:t xml:space="preserve">A </w:t>
      </w:r>
      <w:r w:rsidR="004F6661" w:rsidRPr="00F76BAE">
        <w:rPr>
          <w:kern w:val="22"/>
          <w:szCs w:val="22"/>
        </w:rPr>
        <w:t xml:space="preserve">requirement for all Parties to adopt such an approach regardless of national circumstance would undermine the ability of countries with a sovereign right </w:t>
      </w:r>
      <w:r w:rsidR="007725FC" w:rsidRPr="00F76BAE">
        <w:rPr>
          <w:kern w:val="22"/>
          <w:szCs w:val="22"/>
        </w:rPr>
        <w:t>over</w:t>
      </w:r>
      <w:r w:rsidR="004F6661" w:rsidRPr="00F76BAE">
        <w:rPr>
          <w:kern w:val="22"/>
          <w:szCs w:val="22"/>
        </w:rPr>
        <w:t xml:space="preserve"> a resource to choose which genetic resources would be included and in what situation.</w:t>
      </w:r>
    </w:p>
    <w:p w14:paraId="680603AD" w14:textId="77DC3E6A" w:rsidR="004F6661" w:rsidRPr="00F76BAE" w:rsidRDefault="007725FC"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T</w:t>
      </w:r>
      <w:r w:rsidR="004F6661" w:rsidRPr="00F76BAE">
        <w:rPr>
          <w:snapToGrid/>
          <w:kern w:val="22"/>
          <w:szCs w:val="22"/>
        </w:rPr>
        <w:t>he same non-Party</w:t>
      </w:r>
      <w:r w:rsidR="004F6661" w:rsidRPr="00F76BAE">
        <w:rPr>
          <w:rStyle w:val="FootnoteReference"/>
          <w:snapToGrid/>
          <w:kern w:val="22"/>
          <w:szCs w:val="22"/>
        </w:rPr>
        <w:footnoteReference w:id="9"/>
      </w:r>
      <w:r w:rsidR="004F6661" w:rsidRPr="00F76BAE">
        <w:rPr>
          <w:snapToGrid/>
          <w:kern w:val="22"/>
          <w:szCs w:val="22"/>
        </w:rPr>
        <w:t xml:space="preserve"> noted </w:t>
      </w:r>
      <w:r w:rsidR="00D840EB" w:rsidRPr="00F76BAE">
        <w:rPr>
          <w:snapToGrid/>
          <w:kern w:val="22"/>
          <w:szCs w:val="22"/>
        </w:rPr>
        <w:t>the existence of</w:t>
      </w:r>
      <w:r w:rsidR="004F6661" w:rsidRPr="00F76BAE">
        <w:rPr>
          <w:snapToGrid/>
          <w:kern w:val="22"/>
          <w:szCs w:val="22"/>
        </w:rPr>
        <w:t xml:space="preserve"> some scenarios which could potentially benefit from a multilateral benefit-sharing mechanism but that these examples </w:t>
      </w:r>
      <w:r w:rsidR="00BD4894" w:rsidRPr="00F76BAE">
        <w:rPr>
          <w:snapToGrid/>
          <w:kern w:val="22"/>
          <w:szCs w:val="22"/>
        </w:rPr>
        <w:t xml:space="preserve">would not </w:t>
      </w:r>
      <w:r w:rsidR="004F6661" w:rsidRPr="00F76BAE">
        <w:rPr>
          <w:snapToGrid/>
          <w:kern w:val="22"/>
          <w:szCs w:val="22"/>
        </w:rPr>
        <w:t xml:space="preserve">warrant the continued investigation of a global mechanism by the </w:t>
      </w:r>
      <w:r w:rsidRPr="00F76BAE">
        <w:rPr>
          <w:snapToGrid/>
          <w:kern w:val="22"/>
          <w:szCs w:val="22"/>
        </w:rPr>
        <w:t>Protocol</w:t>
      </w:r>
      <w:r w:rsidR="004F6661" w:rsidRPr="00F76BAE">
        <w:rPr>
          <w:snapToGrid/>
          <w:kern w:val="22"/>
          <w:szCs w:val="22"/>
        </w:rPr>
        <w:t xml:space="preserve"> at this point in time as other options for addressing these scenarios exist or are being explored, such as the recognition of specialized international access and benefit-sharing instruments as outlined in Article 4 of the Protocol.</w:t>
      </w:r>
      <w:r w:rsidR="004F6661" w:rsidRPr="00F76BAE">
        <w:rPr>
          <w:rStyle w:val="FootnoteReference"/>
          <w:snapToGrid/>
          <w:kern w:val="22"/>
          <w:szCs w:val="22"/>
        </w:rPr>
        <w:footnoteReference w:id="10"/>
      </w:r>
    </w:p>
    <w:p w14:paraId="49C7F12B" w14:textId="5753681C" w:rsidR="004F6661" w:rsidRPr="00F76BAE" w:rsidRDefault="007725FC"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T</w:t>
      </w:r>
      <w:r w:rsidR="004F6661" w:rsidRPr="00F76BAE">
        <w:rPr>
          <w:snapToGrid/>
          <w:kern w:val="22"/>
          <w:szCs w:val="22"/>
        </w:rPr>
        <w:t>wo Parties</w:t>
      </w:r>
      <w:r w:rsidR="004F6661" w:rsidRPr="00F76BAE">
        <w:rPr>
          <w:rStyle w:val="FootnoteReference"/>
          <w:snapToGrid/>
          <w:kern w:val="22"/>
          <w:szCs w:val="22"/>
        </w:rPr>
        <w:footnoteReference w:id="11"/>
      </w:r>
      <w:r w:rsidR="004F6661" w:rsidRPr="00F76BAE">
        <w:rPr>
          <w:snapToGrid/>
          <w:kern w:val="22"/>
          <w:szCs w:val="22"/>
        </w:rPr>
        <w:t xml:space="preserve"> emphasize</w:t>
      </w:r>
      <w:r w:rsidR="00830CDC" w:rsidRPr="00F76BAE">
        <w:rPr>
          <w:snapToGrid/>
          <w:kern w:val="22"/>
          <w:szCs w:val="22"/>
        </w:rPr>
        <w:t>d</w:t>
      </w:r>
      <w:r w:rsidR="004F6661" w:rsidRPr="00F76BAE">
        <w:rPr>
          <w:snapToGrid/>
          <w:kern w:val="22"/>
          <w:szCs w:val="22"/>
        </w:rPr>
        <w:t xml:space="preserve"> the need to continue studying and holding consultations on the need and implementation of a global multilateral benefit-sharing mechanism.</w:t>
      </w:r>
    </w:p>
    <w:p w14:paraId="23DCAD0C" w14:textId="5E825F6C" w:rsidR="001C5C23" w:rsidRPr="00F76BAE" w:rsidRDefault="001C5C23"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In their submissions</w:t>
      </w:r>
      <w:r w:rsidRPr="00F76BAE">
        <w:rPr>
          <w:rStyle w:val="FootnoteReference"/>
          <w:snapToGrid/>
          <w:kern w:val="22"/>
          <w:szCs w:val="22"/>
        </w:rPr>
        <w:footnoteReference w:id="12"/>
      </w:r>
      <w:r w:rsidRPr="00F76BAE">
        <w:rPr>
          <w:snapToGrid/>
          <w:kern w:val="22"/>
          <w:szCs w:val="22"/>
        </w:rPr>
        <w:t xml:space="preserve"> several Parties to the Nagoya Protocol, organizations and stakeholders highlight the need for a global multilateral benefit-sharing mechanism and share their views on </w:t>
      </w:r>
      <w:r w:rsidR="00F73018" w:rsidRPr="00F76BAE">
        <w:rPr>
          <w:snapToGrid/>
          <w:kern w:val="22"/>
          <w:szCs w:val="22"/>
        </w:rPr>
        <w:t xml:space="preserve">the </w:t>
      </w:r>
      <w:r w:rsidRPr="00F76BAE">
        <w:rPr>
          <w:snapToGrid/>
          <w:kern w:val="22"/>
          <w:szCs w:val="22"/>
        </w:rPr>
        <w:t>advantages of such a mechanism.</w:t>
      </w:r>
    </w:p>
    <w:p w14:paraId="28B61C0F" w14:textId="3B8775C1" w:rsidR="00230923" w:rsidRPr="00F76BAE" w:rsidRDefault="00230923"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One organization</w:t>
      </w:r>
      <w:r w:rsidRPr="00F76BAE">
        <w:rPr>
          <w:rStyle w:val="FootnoteReference"/>
          <w:snapToGrid/>
          <w:kern w:val="22"/>
          <w:szCs w:val="22"/>
        </w:rPr>
        <w:footnoteReference w:id="13"/>
      </w:r>
      <w:r w:rsidRPr="00F76BAE">
        <w:rPr>
          <w:snapToGrid/>
          <w:kern w:val="22"/>
          <w:szCs w:val="22"/>
        </w:rPr>
        <w:t xml:space="preserve"> expressed the view that establishing a global multilateral benefit-sharing mechanism could:</w:t>
      </w:r>
    </w:p>
    <w:p w14:paraId="6D5F3DF1" w14:textId="77777777" w:rsidR="00230923" w:rsidRPr="00F76BAE" w:rsidRDefault="00230923" w:rsidP="00F76BAE">
      <w:pPr>
        <w:pStyle w:val="Para1"/>
        <w:numPr>
          <w:ilvl w:val="0"/>
          <w:numId w:val="14"/>
        </w:numPr>
        <w:suppressLineNumbers/>
        <w:suppressAutoHyphens/>
        <w:spacing w:before="0"/>
        <w:ind w:left="0" w:firstLine="720"/>
        <w:rPr>
          <w:kern w:val="22"/>
          <w:szCs w:val="22"/>
        </w:rPr>
      </w:pPr>
      <w:r w:rsidRPr="00F76BAE">
        <w:rPr>
          <w:kern w:val="22"/>
          <w:szCs w:val="22"/>
        </w:rPr>
        <w:t>Help ensure that benefits derived from the utilization of genetic resources occurring outside the usual bilateral access and benefit-sharing model contribute to achieving the first two objectives of the Convention;</w:t>
      </w:r>
    </w:p>
    <w:p w14:paraId="79D8463A" w14:textId="4A939A89" w:rsidR="00230923" w:rsidRPr="00F76BAE" w:rsidRDefault="00230923" w:rsidP="00F76BAE">
      <w:pPr>
        <w:pStyle w:val="Para1"/>
        <w:numPr>
          <w:ilvl w:val="0"/>
          <w:numId w:val="14"/>
        </w:numPr>
        <w:suppressLineNumbers/>
        <w:suppressAutoHyphens/>
        <w:spacing w:before="0"/>
        <w:ind w:left="0" w:firstLine="720"/>
        <w:rPr>
          <w:kern w:val="22"/>
          <w:szCs w:val="22"/>
        </w:rPr>
      </w:pPr>
      <w:r w:rsidRPr="00F76BAE">
        <w:rPr>
          <w:kern w:val="22"/>
          <w:szCs w:val="22"/>
        </w:rPr>
        <w:t>Assist Parties in discharging their obligation under Article 9 of the Protocol, i.e. to encourage users and providers to direct benefits arising from the utilization of genetic resources towards conservation of biological diversity and the sustainable use of its components;</w:t>
      </w:r>
    </w:p>
    <w:p w14:paraId="790B0CB0" w14:textId="1B9C4D9E" w:rsidR="00230923" w:rsidRPr="00F76BAE" w:rsidRDefault="00230923" w:rsidP="00F76BAE">
      <w:pPr>
        <w:pStyle w:val="Para1"/>
        <w:numPr>
          <w:ilvl w:val="0"/>
          <w:numId w:val="14"/>
        </w:numPr>
        <w:suppressLineNumbers/>
        <w:suppressAutoHyphens/>
        <w:spacing w:before="0"/>
        <w:ind w:left="0" w:firstLine="720"/>
        <w:rPr>
          <w:kern w:val="22"/>
          <w:szCs w:val="22"/>
        </w:rPr>
      </w:pPr>
      <w:r w:rsidRPr="00F76BAE">
        <w:rPr>
          <w:kern w:val="22"/>
          <w:szCs w:val="22"/>
        </w:rPr>
        <w:t>Assist Parties in discharging (some of) their obligations under Article 11 of the Protocol at a reasonable transaction cost and without needing to deal with every instance on a case-by-case basis;</w:t>
      </w:r>
    </w:p>
    <w:p w14:paraId="37F2B240" w14:textId="565A63B0" w:rsidR="00230923" w:rsidRPr="00F76BAE" w:rsidRDefault="00230923" w:rsidP="00F76BAE">
      <w:pPr>
        <w:pStyle w:val="Para1"/>
        <w:numPr>
          <w:ilvl w:val="0"/>
          <w:numId w:val="14"/>
        </w:numPr>
        <w:suppressLineNumbers/>
        <w:suppressAutoHyphens/>
        <w:spacing w:before="0"/>
        <w:ind w:left="0" w:firstLine="720"/>
        <w:rPr>
          <w:kern w:val="22"/>
          <w:szCs w:val="22"/>
        </w:rPr>
      </w:pPr>
      <w:r w:rsidRPr="00F76BAE">
        <w:rPr>
          <w:kern w:val="22"/>
          <w:szCs w:val="22"/>
        </w:rPr>
        <w:t>Provide users with increased legal certainty about the utilization of genetic resources, especially those that must be accessed from a wide range of providers and/or sources;</w:t>
      </w:r>
    </w:p>
    <w:p w14:paraId="7CEB2C7C" w14:textId="64AF471A" w:rsidR="00230923" w:rsidRPr="00F76BAE" w:rsidRDefault="00230923" w:rsidP="00F76BAE">
      <w:pPr>
        <w:pStyle w:val="Para1"/>
        <w:numPr>
          <w:ilvl w:val="0"/>
          <w:numId w:val="14"/>
        </w:numPr>
        <w:suppressLineNumbers/>
        <w:suppressAutoHyphens/>
        <w:spacing w:before="0"/>
        <w:ind w:left="0" w:firstLine="720"/>
        <w:rPr>
          <w:snapToGrid/>
          <w:kern w:val="22"/>
          <w:szCs w:val="22"/>
        </w:rPr>
      </w:pPr>
      <w:r w:rsidRPr="00F76BAE">
        <w:rPr>
          <w:kern w:val="22"/>
          <w:szCs w:val="22"/>
        </w:rPr>
        <w:t>Serve as a conduit for benefit-sharing by users who are not under any contractual obligation to share but nevertheless want to support conservation and sustainable use.</w:t>
      </w:r>
    </w:p>
    <w:p w14:paraId="2EE11F72" w14:textId="0A8F03EA" w:rsidR="00230923" w:rsidRPr="00F76BAE" w:rsidRDefault="00230923"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 xml:space="preserve">It </w:t>
      </w:r>
      <w:r w:rsidR="001C5C23" w:rsidRPr="00F76BAE">
        <w:rPr>
          <w:snapToGrid/>
          <w:kern w:val="22"/>
          <w:szCs w:val="22"/>
        </w:rPr>
        <w:t xml:space="preserve">was </w:t>
      </w:r>
      <w:r w:rsidRPr="00F76BAE">
        <w:rPr>
          <w:snapToGrid/>
          <w:kern w:val="22"/>
          <w:szCs w:val="22"/>
        </w:rPr>
        <w:t>noted that a multilateral benefit-sharing mechanism would facilitate the transboundary exchange of genetic resources through the development of an open access system for genetic resources, where</w:t>
      </w:r>
      <w:r w:rsidR="00953118" w:rsidRPr="00F76BAE">
        <w:rPr>
          <w:snapToGrid/>
          <w:kern w:val="22"/>
          <w:szCs w:val="22"/>
        </w:rPr>
        <w:t>by</w:t>
      </w:r>
      <w:r w:rsidRPr="00F76BAE">
        <w:rPr>
          <w:snapToGrid/>
          <w:kern w:val="22"/>
          <w:szCs w:val="22"/>
        </w:rPr>
        <w:t xml:space="preserve"> materials could be accessed easily while sharing of benefit</w:t>
      </w:r>
      <w:r w:rsidR="00953118" w:rsidRPr="00F76BAE">
        <w:rPr>
          <w:snapToGrid/>
          <w:kern w:val="22"/>
          <w:szCs w:val="22"/>
        </w:rPr>
        <w:t>s</w:t>
      </w:r>
      <w:r w:rsidRPr="00F76BAE">
        <w:rPr>
          <w:snapToGrid/>
          <w:kern w:val="22"/>
          <w:szCs w:val="22"/>
        </w:rPr>
        <w:t xml:space="preserve"> </w:t>
      </w:r>
      <w:r w:rsidR="00953118" w:rsidRPr="00F76BAE">
        <w:rPr>
          <w:snapToGrid/>
          <w:kern w:val="22"/>
          <w:szCs w:val="22"/>
        </w:rPr>
        <w:t xml:space="preserve">would </w:t>
      </w:r>
      <w:r w:rsidRPr="00F76BAE">
        <w:rPr>
          <w:snapToGrid/>
          <w:kern w:val="22"/>
          <w:szCs w:val="22"/>
        </w:rPr>
        <w:t>be ensured.</w:t>
      </w:r>
      <w:r w:rsidRPr="00F76BAE">
        <w:rPr>
          <w:rStyle w:val="FootnoteReference"/>
          <w:snapToGrid/>
          <w:kern w:val="22"/>
          <w:szCs w:val="22"/>
        </w:rPr>
        <w:footnoteReference w:id="14"/>
      </w:r>
    </w:p>
    <w:p w14:paraId="77B4BB73" w14:textId="030CA1DE" w:rsidR="007725FC" w:rsidRPr="00F76BAE" w:rsidRDefault="004F6661" w:rsidP="00F76BAE">
      <w:pPr>
        <w:pStyle w:val="ListParagraph"/>
        <w:keepNext/>
        <w:keepLines/>
        <w:numPr>
          <w:ilvl w:val="0"/>
          <w:numId w:val="12"/>
        </w:numPr>
        <w:suppressLineNumbers/>
        <w:suppressAutoHyphens/>
        <w:spacing w:before="120" w:after="120" w:line="240" w:lineRule="auto"/>
        <w:ind w:left="986" w:hanging="357"/>
        <w:outlineLvl w:val="1"/>
        <w:rPr>
          <w:rFonts w:ascii="Times New Roman" w:hAnsi="Times New Roman"/>
          <w:b/>
          <w:kern w:val="22"/>
          <w:lang w:val="en-GB"/>
        </w:rPr>
      </w:pPr>
      <w:r w:rsidRPr="00F76BAE">
        <w:rPr>
          <w:rFonts w:ascii="Times New Roman" w:hAnsi="Times New Roman"/>
          <w:b/>
          <w:kern w:val="22"/>
          <w:lang w:val="en-GB"/>
        </w:rPr>
        <w:lastRenderedPageBreak/>
        <w:t>Specific cases which may support the need for a global multilateral benefit-sharing mechanism that are not covered under the bilateral approach, accompanied by an explanation as to why such cases cannot be covered under the bilateral approach set out in the Nagoya Protocol</w:t>
      </w:r>
    </w:p>
    <w:p w14:paraId="6D403347" w14:textId="30AA235B" w:rsidR="007725FC"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Several Parties and one organization</w:t>
      </w:r>
      <w:r w:rsidRPr="00F76BAE">
        <w:rPr>
          <w:rStyle w:val="FootnoteReference"/>
          <w:snapToGrid/>
          <w:kern w:val="22"/>
          <w:szCs w:val="22"/>
        </w:rPr>
        <w:footnoteReference w:id="15"/>
      </w:r>
      <w:r w:rsidRPr="00F76BAE">
        <w:rPr>
          <w:snapToGrid/>
          <w:kern w:val="22"/>
          <w:szCs w:val="22"/>
        </w:rPr>
        <w:t xml:space="preserve"> identified specific cases which </w:t>
      </w:r>
      <w:r w:rsidR="004904B9" w:rsidRPr="00F76BAE">
        <w:rPr>
          <w:snapToGrid/>
          <w:kern w:val="22"/>
          <w:szCs w:val="22"/>
        </w:rPr>
        <w:t xml:space="preserve">could </w:t>
      </w:r>
      <w:r w:rsidRPr="00F76BAE">
        <w:rPr>
          <w:snapToGrid/>
          <w:kern w:val="22"/>
          <w:szCs w:val="22"/>
        </w:rPr>
        <w:t xml:space="preserve">support the need for a global multilateral benefit-sharing mechanism </w:t>
      </w:r>
      <w:r w:rsidR="004904B9" w:rsidRPr="00F76BAE">
        <w:rPr>
          <w:snapToGrid/>
          <w:kern w:val="22"/>
          <w:szCs w:val="22"/>
        </w:rPr>
        <w:t xml:space="preserve">and which </w:t>
      </w:r>
      <w:r w:rsidRPr="00F76BAE">
        <w:rPr>
          <w:snapToGrid/>
          <w:kern w:val="22"/>
          <w:szCs w:val="22"/>
        </w:rPr>
        <w:t>are not covered under the bilateral approach set out in the Nagoya Protocol and some provided an explanation as to why such cases cannot be covered under the bilateral approach.</w:t>
      </w:r>
    </w:p>
    <w:p w14:paraId="284017A3" w14:textId="4F1BE1D0" w:rsidR="004F6661"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 xml:space="preserve">The cases and explanations </w:t>
      </w:r>
      <w:r w:rsidR="005C02BC" w:rsidRPr="00F76BAE">
        <w:rPr>
          <w:snapToGrid/>
          <w:kern w:val="22"/>
          <w:szCs w:val="22"/>
        </w:rPr>
        <w:t xml:space="preserve">shown below </w:t>
      </w:r>
      <w:r w:rsidRPr="00F76BAE">
        <w:rPr>
          <w:snapToGrid/>
          <w:kern w:val="22"/>
          <w:szCs w:val="22"/>
        </w:rPr>
        <w:t xml:space="preserve">were </w:t>
      </w:r>
      <w:r w:rsidR="007725FC" w:rsidRPr="00F76BAE">
        <w:rPr>
          <w:snapToGrid/>
          <w:kern w:val="22"/>
          <w:szCs w:val="22"/>
        </w:rPr>
        <w:t>submitted</w:t>
      </w:r>
      <w:r w:rsidR="005C02BC" w:rsidRPr="00F76BAE">
        <w:rPr>
          <w:snapToGrid/>
          <w:kern w:val="22"/>
          <w:szCs w:val="22"/>
        </w:rPr>
        <w:t>.</w:t>
      </w:r>
    </w:p>
    <w:p w14:paraId="3DD784C2" w14:textId="6AA4EF2A" w:rsidR="004F6661" w:rsidRPr="00F76BAE" w:rsidRDefault="00976A52" w:rsidP="00F76BAE">
      <w:pPr>
        <w:pStyle w:val="Heading3"/>
        <w:suppressLineNumbers/>
        <w:tabs>
          <w:tab w:val="left" w:pos="284"/>
        </w:tabs>
        <w:suppressAutoHyphens/>
        <w:rPr>
          <w:i w:val="0"/>
          <w:iCs w:val="0"/>
          <w:kern w:val="22"/>
          <w:szCs w:val="22"/>
        </w:rPr>
      </w:pPr>
      <w:r w:rsidRPr="00F76BAE">
        <w:rPr>
          <w:kern w:val="22"/>
          <w:szCs w:val="22"/>
        </w:rPr>
        <w:t>1.</w:t>
      </w:r>
      <w:r w:rsidRPr="00F76BAE">
        <w:rPr>
          <w:kern w:val="22"/>
          <w:szCs w:val="22"/>
        </w:rPr>
        <w:tab/>
      </w:r>
      <w:r w:rsidR="004F6661" w:rsidRPr="00F76BAE">
        <w:rPr>
          <w:kern w:val="22"/>
          <w:szCs w:val="22"/>
        </w:rPr>
        <w:t>Specific cases related to genetic resources</w:t>
      </w:r>
    </w:p>
    <w:p w14:paraId="100CD754" w14:textId="26CE415C" w:rsidR="004F6661"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bookmarkStart w:id="10" w:name="_Ref50471951"/>
      <w:r w:rsidRPr="00F76BAE">
        <w:rPr>
          <w:snapToGrid/>
          <w:kern w:val="22"/>
          <w:szCs w:val="22"/>
        </w:rPr>
        <w:t>Countries sharing the same ecosystem or species, genetic resources located across national boundaries, organisms in rivers or other waters shared by more than one country;</w:t>
      </w:r>
      <w:r w:rsidRPr="00D046CD">
        <w:rPr>
          <w:vertAlign w:val="superscript"/>
        </w:rPr>
        <w:footnoteReference w:id="16"/>
      </w:r>
      <w:r w:rsidRPr="00F76BAE">
        <w:rPr>
          <w:snapToGrid/>
          <w:kern w:val="22"/>
          <w:szCs w:val="22"/>
        </w:rPr>
        <w:t xml:space="preserve"> genetic resources held by indigenous peoples or local communities located in different countries.</w:t>
      </w:r>
      <w:r w:rsidRPr="00D046CD">
        <w:rPr>
          <w:vertAlign w:val="superscript"/>
        </w:rPr>
        <w:footnoteReference w:id="17"/>
      </w:r>
      <w:r w:rsidRPr="00F76BAE">
        <w:rPr>
          <w:snapToGrid/>
          <w:kern w:val="22"/>
          <w:szCs w:val="22"/>
        </w:rPr>
        <w:t xml:space="preserve"> One organization</w:t>
      </w:r>
      <w:r w:rsidRPr="00D046CD">
        <w:rPr>
          <w:vertAlign w:val="superscript"/>
        </w:rPr>
        <w:footnoteReference w:id="18"/>
      </w:r>
      <w:r w:rsidRPr="00F76BAE">
        <w:rPr>
          <w:snapToGrid/>
          <w:kern w:val="22"/>
          <w:szCs w:val="22"/>
        </w:rPr>
        <w:t xml:space="preserve"> specified that</w:t>
      </w:r>
      <w:r w:rsidR="00A26636" w:rsidRPr="00F76BAE">
        <w:rPr>
          <w:snapToGrid/>
          <w:kern w:val="22"/>
          <w:szCs w:val="22"/>
        </w:rPr>
        <w:t>,</w:t>
      </w:r>
      <w:r w:rsidRPr="00F76BAE">
        <w:rPr>
          <w:snapToGrid/>
          <w:kern w:val="22"/>
          <w:szCs w:val="22"/>
        </w:rPr>
        <w:t xml:space="preserve"> in most of these situations</w:t>
      </w:r>
      <w:r w:rsidR="00A26636" w:rsidRPr="00F76BAE">
        <w:rPr>
          <w:snapToGrid/>
          <w:kern w:val="22"/>
          <w:szCs w:val="22"/>
        </w:rPr>
        <w:t>,</w:t>
      </w:r>
      <w:r w:rsidRPr="00F76BAE">
        <w:rPr>
          <w:snapToGrid/>
          <w:kern w:val="22"/>
          <w:szCs w:val="22"/>
        </w:rPr>
        <w:t xml:space="preserve"> it </w:t>
      </w:r>
      <w:r w:rsidR="00A26636" w:rsidRPr="00F76BAE">
        <w:rPr>
          <w:snapToGrid/>
          <w:kern w:val="22"/>
          <w:szCs w:val="22"/>
        </w:rPr>
        <w:t xml:space="preserve">was </w:t>
      </w:r>
      <w:r w:rsidRPr="00F76BAE">
        <w:rPr>
          <w:snapToGrid/>
          <w:kern w:val="22"/>
          <w:szCs w:val="22"/>
        </w:rPr>
        <w:t xml:space="preserve">impractical to obtain prior informed consent from and negotiate mutually agreed terms with all the actual and potential providers. Making an access and benefit-sharing agreement with only one provider would be </w:t>
      </w:r>
      <w:r w:rsidR="00A26636" w:rsidRPr="00F76BAE">
        <w:rPr>
          <w:snapToGrid/>
          <w:kern w:val="22"/>
          <w:szCs w:val="22"/>
        </w:rPr>
        <w:t xml:space="preserve">neither </w:t>
      </w:r>
      <w:r w:rsidRPr="00F76BAE">
        <w:rPr>
          <w:snapToGrid/>
          <w:kern w:val="22"/>
          <w:szCs w:val="22"/>
        </w:rPr>
        <w:t xml:space="preserve">fair nor equitable because such a bilateral agreement would fail to reward other custodians of the same resources, who then have to incur the costs of protecting the shared ecosystems, resources and knowledge without benefiting equitably. The organization also noted that Article 11 of the Nagoya Protocol provides that Parties shall endeavour to cooperate when the same genetic resources and/or associated traditional knowledge are found within their territories. Transboundary cooperation </w:t>
      </w:r>
      <w:r w:rsidR="00731B94" w:rsidRPr="00F76BAE">
        <w:rPr>
          <w:snapToGrid/>
          <w:kern w:val="22"/>
          <w:szCs w:val="22"/>
        </w:rPr>
        <w:t xml:space="preserve">might </w:t>
      </w:r>
      <w:r w:rsidRPr="00F76BAE">
        <w:rPr>
          <w:snapToGrid/>
          <w:kern w:val="22"/>
          <w:szCs w:val="22"/>
        </w:rPr>
        <w:t xml:space="preserve">be difficult for political or other reasons. Establishing a global multilateral benefit-sharing mechanism would assist Parties </w:t>
      </w:r>
      <w:r w:rsidR="00731B94" w:rsidRPr="00F76BAE">
        <w:rPr>
          <w:snapToGrid/>
          <w:kern w:val="22"/>
          <w:szCs w:val="22"/>
        </w:rPr>
        <w:t xml:space="preserve">in </w:t>
      </w:r>
      <w:r w:rsidRPr="00F76BAE">
        <w:rPr>
          <w:snapToGrid/>
          <w:kern w:val="22"/>
          <w:szCs w:val="22"/>
        </w:rPr>
        <w:t>discharg</w:t>
      </w:r>
      <w:r w:rsidR="00731B94" w:rsidRPr="00F76BAE">
        <w:rPr>
          <w:snapToGrid/>
          <w:kern w:val="22"/>
          <w:szCs w:val="22"/>
        </w:rPr>
        <w:t>ing</w:t>
      </w:r>
      <w:r w:rsidRPr="00F76BAE">
        <w:rPr>
          <w:snapToGrid/>
          <w:kern w:val="22"/>
          <w:szCs w:val="22"/>
        </w:rPr>
        <w:t xml:space="preserve"> (some of) their obligations under Article 11 at a reasonable transaction cost and without needing to deal with every instance on a case-by-case basis. The same organization further explained that the practical difficulties associated with trying to reach multiple access and benefit-sharing agreements with multiple rights holders in multiple jurisdictions means that applying the bilateral approach to such situations is likely to be prohibitively expensive and/or unfair</w:t>
      </w:r>
      <w:r w:rsidR="00AA5F81" w:rsidRPr="00F76BAE">
        <w:rPr>
          <w:snapToGrid/>
          <w:kern w:val="22"/>
          <w:szCs w:val="22"/>
        </w:rPr>
        <w:t>.</w:t>
      </w:r>
      <w:bookmarkEnd w:id="10"/>
    </w:p>
    <w:tbl>
      <w:tblPr>
        <w:tblStyle w:val="TableGrid"/>
        <w:tblW w:w="0" w:type="auto"/>
        <w:jc w:val="center"/>
        <w:tblLook w:val="04A0" w:firstRow="1" w:lastRow="0" w:firstColumn="1" w:lastColumn="0" w:noHBand="0" w:noVBand="1"/>
      </w:tblPr>
      <w:tblGrid>
        <w:gridCol w:w="9452"/>
      </w:tblGrid>
      <w:tr w:rsidR="00CF22FF" w:rsidRPr="00F76BAE" w14:paraId="165DCC3E" w14:textId="77777777" w:rsidTr="00F76BAE">
        <w:trPr>
          <w:jc w:val="center"/>
        </w:trPr>
        <w:tc>
          <w:tcPr>
            <w:tcW w:w="9472" w:type="dxa"/>
          </w:tcPr>
          <w:p w14:paraId="7EDA4389" w14:textId="51AE30AD" w:rsidR="00CF22FF" w:rsidRPr="00F76BAE" w:rsidRDefault="00CF22FF" w:rsidP="00F76BAE">
            <w:pPr>
              <w:pStyle w:val="Para1"/>
              <w:suppressLineNumbers/>
              <w:suppressAutoHyphens/>
              <w:spacing w:before="0"/>
              <w:rPr>
                <w:snapToGrid/>
                <w:kern w:val="22"/>
                <w:szCs w:val="22"/>
              </w:rPr>
            </w:pPr>
            <w:r w:rsidRPr="00F76BAE">
              <w:rPr>
                <w:snapToGrid/>
                <w:kern w:val="22"/>
                <w:szCs w:val="22"/>
              </w:rPr>
              <w:t>A real case example from South Africa:</w:t>
            </w:r>
            <w:r w:rsidRPr="00E10D4E">
              <w:rPr>
                <w:vertAlign w:val="superscript"/>
              </w:rPr>
              <w:footnoteReference w:id="19"/>
            </w:r>
            <w:r w:rsidR="00C66A6A" w:rsidRPr="00F76BAE">
              <w:rPr>
                <w:snapToGrid/>
                <w:kern w:val="22"/>
                <w:szCs w:val="22"/>
              </w:rPr>
              <w:t xml:space="preserve"> </w:t>
            </w:r>
            <w:r w:rsidRPr="00F76BAE">
              <w:rPr>
                <w:snapToGrid/>
                <w:kern w:val="22"/>
                <w:szCs w:val="22"/>
              </w:rPr>
              <w:t>A company based in the United States of America collects raw material from baobab trees in multiple African countries and produces a hydrolysed baobab product that it sells to customers in South Africa (which is also a baobab range State and provider). This very complex scenario would require a global multilateral benefit</w:t>
            </w:r>
            <w:r w:rsidRPr="00F76BAE">
              <w:rPr>
                <w:snapToGrid/>
                <w:kern w:val="22"/>
                <w:szCs w:val="22"/>
              </w:rPr>
              <w:noBreakHyphen/>
              <w:t>sharing mechanism to achieve fair and equitable benefit-sharing.</w:t>
            </w:r>
          </w:p>
        </w:tc>
      </w:tr>
    </w:tbl>
    <w:p w14:paraId="31F9D698" w14:textId="50524A91" w:rsidR="004F6661" w:rsidRPr="00F76BAE" w:rsidRDefault="004F6661" w:rsidP="00F76BAE">
      <w:pPr>
        <w:pStyle w:val="Para1"/>
        <w:numPr>
          <w:ilvl w:val="0"/>
          <w:numId w:val="2"/>
        </w:numPr>
        <w:suppressLineNumbers/>
        <w:tabs>
          <w:tab w:val="clear" w:pos="360"/>
          <w:tab w:val="num" w:pos="709"/>
        </w:tabs>
        <w:suppressAutoHyphens/>
        <w:rPr>
          <w:snapToGrid/>
          <w:kern w:val="22"/>
          <w:szCs w:val="22"/>
        </w:rPr>
      </w:pPr>
      <w:r w:rsidRPr="00F76BAE">
        <w:rPr>
          <w:i/>
          <w:iCs/>
          <w:snapToGrid/>
          <w:kern w:val="22"/>
          <w:szCs w:val="22"/>
        </w:rPr>
        <w:t>Countries sharing cosmopolitan organisms; genetic resources for food and agriculture with a high degree of global interdependence</w:t>
      </w:r>
      <w:r w:rsidR="005D3DB0" w:rsidRPr="00F76BAE">
        <w:rPr>
          <w:i/>
          <w:iCs/>
          <w:snapToGrid/>
          <w:kern w:val="22"/>
          <w:szCs w:val="22"/>
        </w:rPr>
        <w:t>,</w:t>
      </w:r>
      <w:r w:rsidRPr="00F76BAE">
        <w:rPr>
          <w:i/>
          <w:iCs/>
          <w:snapToGrid/>
          <w:kern w:val="22"/>
          <w:szCs w:val="22"/>
        </w:rPr>
        <w:t xml:space="preserve"> and utilization of genetic components shared by many genomes</w:t>
      </w:r>
      <w:r w:rsidRPr="00F76BAE">
        <w:rPr>
          <w:snapToGrid/>
          <w:kern w:val="22"/>
          <w:szCs w:val="22"/>
        </w:rPr>
        <w:t>.</w:t>
      </w:r>
      <w:r w:rsidRPr="00B1353A">
        <w:rPr>
          <w:vertAlign w:val="superscript"/>
        </w:rPr>
        <w:footnoteReference w:id="20"/>
      </w:r>
      <w:r w:rsidRPr="00F76BAE">
        <w:rPr>
          <w:snapToGrid/>
          <w:kern w:val="22"/>
          <w:szCs w:val="22"/>
        </w:rPr>
        <w:t xml:space="preserve"> The reasons identified </w:t>
      </w:r>
      <w:r w:rsidR="00247B63" w:rsidRPr="00F76BAE">
        <w:rPr>
          <w:snapToGrid/>
          <w:kern w:val="22"/>
          <w:szCs w:val="22"/>
        </w:rPr>
        <w:t xml:space="preserve">in </w:t>
      </w:r>
      <w:r w:rsidRPr="00F76BAE">
        <w:rPr>
          <w:snapToGrid/>
          <w:kern w:val="22"/>
          <w:szCs w:val="22"/>
        </w:rPr>
        <w:t xml:space="preserve">the submission as to why this specific case cannot be adequately covered by the bilateral approach are similar to those mentioned under </w:t>
      </w:r>
      <w:r w:rsidR="00A83F09" w:rsidRPr="00F76BAE">
        <w:rPr>
          <w:snapToGrid/>
          <w:kern w:val="22"/>
          <w:szCs w:val="22"/>
        </w:rPr>
        <w:t>paragraph</w:t>
      </w:r>
      <w:r w:rsidR="00F77F22" w:rsidRPr="00F76BAE">
        <w:rPr>
          <w:snapToGrid/>
          <w:kern w:val="22"/>
          <w:szCs w:val="22"/>
        </w:rPr>
        <w:t> </w:t>
      </w:r>
      <w:r w:rsidR="00F77F22" w:rsidRPr="00F76BAE">
        <w:rPr>
          <w:snapToGrid/>
          <w:kern w:val="22"/>
          <w:szCs w:val="22"/>
        </w:rPr>
        <w:fldChar w:fldCharType="begin"/>
      </w:r>
      <w:r w:rsidR="00F77F22" w:rsidRPr="00F76BAE">
        <w:rPr>
          <w:snapToGrid/>
          <w:kern w:val="22"/>
          <w:szCs w:val="22"/>
        </w:rPr>
        <w:instrText xml:space="preserve"> REF _Ref50471951 \r \h </w:instrText>
      </w:r>
      <w:r w:rsidR="00F76BAE">
        <w:rPr>
          <w:snapToGrid/>
          <w:kern w:val="22"/>
          <w:szCs w:val="22"/>
        </w:rPr>
        <w:instrText xml:space="preserve"> \* MERGEFORMAT </w:instrText>
      </w:r>
      <w:r w:rsidR="00F77F22" w:rsidRPr="00F76BAE">
        <w:rPr>
          <w:snapToGrid/>
          <w:kern w:val="22"/>
          <w:szCs w:val="22"/>
        </w:rPr>
      </w:r>
      <w:r w:rsidR="00F77F22" w:rsidRPr="00F76BAE">
        <w:rPr>
          <w:snapToGrid/>
          <w:kern w:val="22"/>
          <w:szCs w:val="22"/>
        </w:rPr>
        <w:fldChar w:fldCharType="separate"/>
      </w:r>
      <w:r w:rsidR="00F77F22" w:rsidRPr="00F76BAE">
        <w:rPr>
          <w:snapToGrid/>
          <w:kern w:val="22"/>
          <w:szCs w:val="22"/>
        </w:rPr>
        <w:t>20</w:t>
      </w:r>
      <w:r w:rsidR="00F77F22" w:rsidRPr="00F76BAE">
        <w:rPr>
          <w:snapToGrid/>
          <w:kern w:val="22"/>
          <w:szCs w:val="22"/>
        </w:rPr>
        <w:fldChar w:fldCharType="end"/>
      </w:r>
      <w:r w:rsidR="00F77F22" w:rsidRPr="00F76BAE">
        <w:rPr>
          <w:snapToGrid/>
          <w:kern w:val="22"/>
          <w:szCs w:val="22"/>
        </w:rPr>
        <w:t xml:space="preserve"> </w:t>
      </w:r>
      <w:r w:rsidR="00BF7B55" w:rsidRPr="00F76BAE">
        <w:rPr>
          <w:snapToGrid/>
          <w:kern w:val="22"/>
          <w:szCs w:val="22"/>
        </w:rPr>
        <w:t>above</w:t>
      </w:r>
      <w:r w:rsidR="00AA5F81" w:rsidRPr="00F76BAE">
        <w:rPr>
          <w:snapToGrid/>
          <w:kern w:val="22"/>
          <w:szCs w:val="22"/>
        </w:rPr>
        <w:t>.</w:t>
      </w:r>
    </w:p>
    <w:tbl>
      <w:tblPr>
        <w:tblStyle w:val="TableGrid"/>
        <w:tblW w:w="0" w:type="auto"/>
        <w:jc w:val="center"/>
        <w:tblLook w:val="04A0" w:firstRow="1" w:lastRow="0" w:firstColumn="1" w:lastColumn="0" w:noHBand="0" w:noVBand="1"/>
      </w:tblPr>
      <w:tblGrid>
        <w:gridCol w:w="9452"/>
      </w:tblGrid>
      <w:tr w:rsidR="00ED25C4" w:rsidRPr="00F76BAE" w14:paraId="0C18BCF2" w14:textId="77777777" w:rsidTr="00F76BAE">
        <w:trPr>
          <w:jc w:val="center"/>
        </w:trPr>
        <w:tc>
          <w:tcPr>
            <w:tcW w:w="9476" w:type="dxa"/>
          </w:tcPr>
          <w:p w14:paraId="2D896C9E" w14:textId="0F3229FC" w:rsidR="00ED25C4" w:rsidRPr="00F76BAE" w:rsidRDefault="00ED25C4" w:rsidP="00F76BAE">
            <w:pPr>
              <w:pStyle w:val="Para1"/>
              <w:suppressLineNumbers/>
              <w:suppressAutoHyphens/>
              <w:rPr>
                <w:snapToGrid/>
                <w:kern w:val="22"/>
                <w:szCs w:val="22"/>
              </w:rPr>
            </w:pPr>
            <w:r w:rsidRPr="00F76BAE">
              <w:rPr>
                <w:snapToGrid/>
                <w:kern w:val="22"/>
                <w:szCs w:val="22"/>
              </w:rPr>
              <w:t>A real case example provided:</w:t>
            </w:r>
            <w:r w:rsidRPr="00F76BAE">
              <w:rPr>
                <w:rStyle w:val="FootnoteReference"/>
                <w:snapToGrid/>
                <w:kern w:val="22"/>
                <w:szCs w:val="22"/>
              </w:rPr>
              <w:footnoteReference w:id="21"/>
            </w:r>
            <w:r w:rsidRPr="00F76BAE">
              <w:rPr>
                <w:snapToGrid/>
                <w:kern w:val="22"/>
                <w:szCs w:val="22"/>
              </w:rPr>
              <w:t xml:space="preserve"> A researcher based in the European Union contacted the Competent National Authority to collect samples of mosses that occur worldwide. Very small samples will be </w:t>
            </w:r>
            <w:r w:rsidRPr="00F76BAE">
              <w:rPr>
                <w:snapToGrid/>
                <w:kern w:val="22"/>
                <w:szCs w:val="22"/>
              </w:rPr>
              <w:lastRenderedPageBreak/>
              <w:t>collected from many different countries and the research work will be done using gene sequencing. If identical gene sequences found in a number of these samples are later used for commercial purposes, the benefit-sharing obligations should be discharged using a global multilateral benefit-sharing mechanism.</w:t>
            </w:r>
          </w:p>
        </w:tc>
      </w:tr>
    </w:tbl>
    <w:p w14:paraId="1853138D" w14:textId="211CE9A9" w:rsidR="004F6661" w:rsidRPr="00F76BAE" w:rsidRDefault="004F6661" w:rsidP="00F76BAE">
      <w:pPr>
        <w:pStyle w:val="Para1"/>
        <w:numPr>
          <w:ilvl w:val="0"/>
          <w:numId w:val="2"/>
        </w:numPr>
        <w:suppressLineNumbers/>
        <w:tabs>
          <w:tab w:val="clear" w:pos="360"/>
          <w:tab w:val="num" w:pos="709"/>
        </w:tabs>
        <w:suppressAutoHyphens/>
        <w:rPr>
          <w:snapToGrid/>
          <w:kern w:val="22"/>
          <w:szCs w:val="22"/>
        </w:rPr>
      </w:pPr>
      <w:r w:rsidRPr="00F76BAE">
        <w:rPr>
          <w:i/>
          <w:snapToGrid/>
          <w:kern w:val="22"/>
          <w:szCs w:val="22"/>
        </w:rPr>
        <w:lastRenderedPageBreak/>
        <w:t>Genetic resources in ex situ collections that are subject to access and utilization and/or of which the origin is unknown or untraceable</w:t>
      </w:r>
      <w:r w:rsidRPr="00F76BAE">
        <w:rPr>
          <w:snapToGrid/>
          <w:kern w:val="22"/>
          <w:szCs w:val="22"/>
        </w:rPr>
        <w:t>.</w:t>
      </w:r>
      <w:r w:rsidRPr="00F76BAE">
        <w:rPr>
          <w:rStyle w:val="FootnoteReference"/>
          <w:snapToGrid/>
          <w:kern w:val="22"/>
          <w:szCs w:val="22"/>
        </w:rPr>
        <w:footnoteReference w:id="22"/>
      </w:r>
      <w:r w:rsidRPr="00F76BAE">
        <w:rPr>
          <w:snapToGrid/>
          <w:kern w:val="22"/>
          <w:szCs w:val="22"/>
        </w:rPr>
        <w:t xml:space="preserve"> One organization</w:t>
      </w:r>
      <w:r w:rsidRPr="00F76BAE">
        <w:rPr>
          <w:rStyle w:val="FootnoteReference"/>
          <w:snapToGrid/>
          <w:kern w:val="22"/>
          <w:szCs w:val="22"/>
        </w:rPr>
        <w:footnoteReference w:id="23"/>
      </w:r>
      <w:r w:rsidRPr="00F76BAE">
        <w:rPr>
          <w:snapToGrid/>
          <w:kern w:val="22"/>
          <w:szCs w:val="22"/>
        </w:rPr>
        <w:t xml:space="preserve"> elaborated that ex situ collections can only provide legitimate access accompanied by fair and equitable benefit-sharing if they are able to identify the original provider country or community that should receive benefits. When the provider is unknown, the bilateral approach results in unfair and inequitable outcomes, creating disincentives to invest in research and development involving resources for which access and benefit-sharing requirements apply. The same submission</w:t>
      </w:r>
      <w:r w:rsidRPr="00F76BAE">
        <w:rPr>
          <w:rStyle w:val="FootnoteReference"/>
          <w:snapToGrid/>
          <w:kern w:val="22"/>
          <w:szCs w:val="22"/>
        </w:rPr>
        <w:footnoteReference w:id="24"/>
      </w:r>
      <w:r w:rsidRPr="00F76BAE">
        <w:rPr>
          <w:snapToGrid/>
          <w:kern w:val="22"/>
          <w:szCs w:val="22"/>
        </w:rPr>
        <w:t xml:space="preserve"> specified that numerous </w:t>
      </w:r>
      <w:r w:rsidRPr="00F76BAE">
        <w:rPr>
          <w:i/>
          <w:iCs/>
          <w:snapToGrid/>
          <w:kern w:val="22"/>
          <w:szCs w:val="22"/>
        </w:rPr>
        <w:t>ex</w:t>
      </w:r>
      <w:r w:rsidR="001425DF" w:rsidRPr="00F76BAE">
        <w:rPr>
          <w:i/>
          <w:iCs/>
          <w:snapToGrid/>
          <w:kern w:val="22"/>
          <w:szCs w:val="22"/>
        </w:rPr>
        <w:t> </w:t>
      </w:r>
      <w:r w:rsidRPr="00F76BAE">
        <w:rPr>
          <w:i/>
          <w:iCs/>
          <w:snapToGrid/>
          <w:kern w:val="22"/>
          <w:szCs w:val="22"/>
        </w:rPr>
        <w:t>situ</w:t>
      </w:r>
      <w:r w:rsidRPr="00F76BAE">
        <w:rPr>
          <w:snapToGrid/>
          <w:kern w:val="22"/>
          <w:szCs w:val="22"/>
        </w:rPr>
        <w:t xml:space="preserve"> collections hold information and specimens collected a long time ago, sometimes from several different countries, without proper records about the source or origin. A global multilateral benefit-sharing mechanism can help to ensure sharing of benefits from the commercial utilization of such information and specimens when the bilateral approach cannot be used</w:t>
      </w:r>
      <w:r w:rsidR="00AA5F81" w:rsidRPr="00F76BAE">
        <w:rPr>
          <w:snapToGrid/>
          <w:kern w:val="22"/>
          <w:szCs w:val="22"/>
        </w:rPr>
        <w:t>.</w:t>
      </w:r>
    </w:p>
    <w:tbl>
      <w:tblPr>
        <w:tblStyle w:val="TableGrid"/>
        <w:tblW w:w="0" w:type="auto"/>
        <w:jc w:val="center"/>
        <w:tblLook w:val="04A0" w:firstRow="1" w:lastRow="0" w:firstColumn="1" w:lastColumn="0" w:noHBand="0" w:noVBand="1"/>
      </w:tblPr>
      <w:tblGrid>
        <w:gridCol w:w="9351"/>
      </w:tblGrid>
      <w:tr w:rsidR="00AC06EE" w:rsidRPr="00F76BAE" w14:paraId="6265BC88" w14:textId="77777777" w:rsidTr="00F76BAE">
        <w:trPr>
          <w:jc w:val="center"/>
        </w:trPr>
        <w:tc>
          <w:tcPr>
            <w:tcW w:w="9351" w:type="dxa"/>
          </w:tcPr>
          <w:p w14:paraId="066817CD" w14:textId="023977BE" w:rsidR="00BB79A7" w:rsidRPr="00F76BAE" w:rsidRDefault="00BB79A7" w:rsidP="00F76BAE">
            <w:pPr>
              <w:pStyle w:val="Para1"/>
              <w:suppressLineNumbers/>
              <w:suppressAutoHyphens/>
              <w:ind w:left="32"/>
              <w:rPr>
                <w:snapToGrid/>
                <w:kern w:val="22"/>
                <w:szCs w:val="22"/>
              </w:rPr>
            </w:pPr>
            <w:r w:rsidRPr="00F76BAE">
              <w:rPr>
                <w:snapToGrid/>
                <w:kern w:val="22"/>
                <w:szCs w:val="22"/>
              </w:rPr>
              <w:t>A real case example provided:</w:t>
            </w:r>
            <w:r w:rsidRPr="00F76BAE">
              <w:rPr>
                <w:rStyle w:val="FootnoteReference"/>
                <w:snapToGrid/>
                <w:kern w:val="22"/>
                <w:szCs w:val="22"/>
              </w:rPr>
              <w:footnoteReference w:id="25"/>
            </w:r>
            <w:r w:rsidRPr="00F76BAE">
              <w:rPr>
                <w:snapToGrid/>
                <w:kern w:val="22"/>
                <w:szCs w:val="22"/>
              </w:rPr>
              <w:t xml:space="preserve"> The National Biological Resource Centre Culture Collection in Japan is a public culture collection for microorganisms. It is known that microorganisms possess similar characteristics even though they are sourced from multiple countries. </w:t>
            </w:r>
            <w:r w:rsidR="008A23D0" w:rsidRPr="00F76BAE">
              <w:rPr>
                <w:snapToGrid/>
                <w:kern w:val="22"/>
                <w:szCs w:val="22"/>
              </w:rPr>
              <w:t>B</w:t>
            </w:r>
            <w:r w:rsidRPr="00F76BAE">
              <w:rPr>
                <w:snapToGrid/>
                <w:kern w:val="22"/>
                <w:szCs w:val="22"/>
              </w:rPr>
              <w:t xml:space="preserve">acterial strains deposited </w:t>
            </w:r>
            <w:r w:rsidR="00C76DC8" w:rsidRPr="00F76BAE">
              <w:rPr>
                <w:snapToGrid/>
                <w:kern w:val="22"/>
                <w:szCs w:val="22"/>
              </w:rPr>
              <w:t xml:space="preserve">to </w:t>
            </w:r>
            <w:r w:rsidRPr="00F76BAE">
              <w:rPr>
                <w:snapToGrid/>
                <w:kern w:val="22"/>
                <w:szCs w:val="22"/>
              </w:rPr>
              <w:t>this public culture collection are distributed to third parties on request. In this situation</w:t>
            </w:r>
            <w:r w:rsidR="00C76DC8" w:rsidRPr="00F76BAE">
              <w:rPr>
                <w:snapToGrid/>
                <w:kern w:val="22"/>
                <w:szCs w:val="22"/>
              </w:rPr>
              <w:t>,</w:t>
            </w:r>
            <w:r w:rsidRPr="00F76BAE">
              <w:rPr>
                <w:snapToGrid/>
                <w:kern w:val="22"/>
                <w:szCs w:val="22"/>
              </w:rPr>
              <w:t xml:space="preserve"> there is currently no guarantee of benefit-sharing if the resources are accessed for commercial utilization. A global multilateral benefit-sharing mechanism would ensure that some benefits could be shared and used to support conservation and sustainable use.</w:t>
            </w:r>
          </w:p>
        </w:tc>
      </w:tr>
    </w:tbl>
    <w:p w14:paraId="17B1ADA0" w14:textId="71B35810" w:rsidR="004F6661" w:rsidRPr="00F76BAE" w:rsidRDefault="004F6661" w:rsidP="00F76BAE">
      <w:pPr>
        <w:pStyle w:val="Para1"/>
        <w:numPr>
          <w:ilvl w:val="0"/>
          <w:numId w:val="2"/>
        </w:numPr>
        <w:suppressLineNumbers/>
        <w:tabs>
          <w:tab w:val="clear" w:pos="360"/>
          <w:tab w:val="num" w:pos="709"/>
        </w:tabs>
        <w:suppressAutoHyphens/>
        <w:rPr>
          <w:snapToGrid/>
          <w:kern w:val="22"/>
          <w:szCs w:val="22"/>
        </w:rPr>
      </w:pPr>
      <w:r w:rsidRPr="00F76BAE">
        <w:rPr>
          <w:i/>
          <w:snapToGrid/>
          <w:kern w:val="22"/>
          <w:szCs w:val="22"/>
        </w:rPr>
        <w:t>Areas beyond national jurisdiction including the high seas, the deep seabed and Antarctica</w:t>
      </w:r>
      <w:r w:rsidRPr="00F76BAE">
        <w:rPr>
          <w:snapToGrid/>
          <w:kern w:val="22"/>
          <w:szCs w:val="22"/>
        </w:rPr>
        <w:t>.</w:t>
      </w:r>
      <w:r w:rsidRPr="00F76BAE">
        <w:rPr>
          <w:rStyle w:val="FootnoteReference"/>
          <w:snapToGrid/>
          <w:kern w:val="22"/>
          <w:szCs w:val="22"/>
        </w:rPr>
        <w:footnoteReference w:id="26"/>
      </w:r>
      <w:r w:rsidRPr="00F76BAE">
        <w:rPr>
          <w:snapToGrid/>
          <w:kern w:val="22"/>
          <w:szCs w:val="22"/>
        </w:rPr>
        <w:t xml:space="preserve"> One organization</w:t>
      </w:r>
      <w:r w:rsidRPr="00F76BAE">
        <w:rPr>
          <w:rStyle w:val="FootnoteReference"/>
          <w:snapToGrid/>
          <w:kern w:val="22"/>
          <w:szCs w:val="22"/>
        </w:rPr>
        <w:footnoteReference w:id="27"/>
      </w:r>
      <w:r w:rsidRPr="00F76BAE">
        <w:rPr>
          <w:snapToGrid/>
          <w:kern w:val="22"/>
          <w:szCs w:val="22"/>
        </w:rPr>
        <w:t xml:space="preserve"> explained that</w:t>
      </w:r>
      <w:r w:rsidR="00A56C06" w:rsidRPr="00F76BAE">
        <w:rPr>
          <w:snapToGrid/>
          <w:kern w:val="22"/>
          <w:szCs w:val="22"/>
        </w:rPr>
        <w:t>,</w:t>
      </w:r>
      <w:r w:rsidRPr="00F76BAE">
        <w:rPr>
          <w:snapToGrid/>
          <w:kern w:val="22"/>
          <w:szCs w:val="22"/>
        </w:rPr>
        <w:t xml:space="preserve"> in these areas</w:t>
      </w:r>
      <w:r w:rsidR="00A56C06" w:rsidRPr="00F76BAE">
        <w:rPr>
          <w:snapToGrid/>
          <w:kern w:val="22"/>
          <w:szCs w:val="22"/>
        </w:rPr>
        <w:t>,</w:t>
      </w:r>
      <w:r w:rsidRPr="00F76BAE">
        <w:rPr>
          <w:snapToGrid/>
          <w:kern w:val="22"/>
          <w:szCs w:val="22"/>
        </w:rPr>
        <w:t xml:space="preserve"> there is no sovereign right to grant prior informed consent. </w:t>
      </w:r>
      <w:r w:rsidRPr="00F76BAE">
        <w:rPr>
          <w:iCs/>
          <w:snapToGrid/>
          <w:kern w:val="22"/>
          <w:szCs w:val="22"/>
        </w:rPr>
        <w:t>Regardless</w:t>
      </w:r>
      <w:r w:rsidRPr="00F76BAE">
        <w:rPr>
          <w:snapToGrid/>
          <w:kern w:val="22"/>
          <w:szCs w:val="22"/>
        </w:rPr>
        <w:t xml:space="preserve"> of the eventual outcomes of ongoing negotiations about access and benefit</w:t>
      </w:r>
      <w:r w:rsidR="000D707B" w:rsidRPr="00F76BAE">
        <w:rPr>
          <w:snapToGrid/>
          <w:kern w:val="22"/>
          <w:szCs w:val="22"/>
        </w:rPr>
        <w:noBreakHyphen/>
      </w:r>
      <w:r w:rsidRPr="00F76BAE">
        <w:rPr>
          <w:snapToGrid/>
          <w:kern w:val="22"/>
          <w:szCs w:val="22"/>
        </w:rPr>
        <w:t>sharing rules for biodiversity beyond national jurisdiction, a bilateral approach cannot be applied here. The hypothesis is that if genetic resources from these areas can be used without any benefit-sharing obligations, they will tend to deter investments in research and development of resources accessed under the bilateral approach. The same submission suggested that including these areas in a global multilateral benefit</w:t>
      </w:r>
      <w:r w:rsidR="00DB5CE1" w:rsidRPr="00F76BAE">
        <w:rPr>
          <w:snapToGrid/>
          <w:kern w:val="22"/>
          <w:szCs w:val="22"/>
        </w:rPr>
        <w:noBreakHyphen/>
      </w:r>
      <w:r w:rsidRPr="00F76BAE">
        <w:rPr>
          <w:snapToGrid/>
          <w:kern w:val="22"/>
          <w:szCs w:val="22"/>
        </w:rPr>
        <w:t>sharing mechanism would be a cost-effective way to maximize conservation impact by lowering administrative costs</w:t>
      </w:r>
      <w:r w:rsidR="00AA5F81" w:rsidRPr="00F76BAE">
        <w:rPr>
          <w:snapToGrid/>
          <w:kern w:val="22"/>
          <w:szCs w:val="22"/>
        </w:rPr>
        <w:t>.</w:t>
      </w:r>
    </w:p>
    <w:p w14:paraId="165E8448" w14:textId="62170F7F" w:rsidR="004F6661" w:rsidRPr="00F76BAE" w:rsidRDefault="004F6661" w:rsidP="00F76BAE">
      <w:pPr>
        <w:pStyle w:val="Para1"/>
        <w:numPr>
          <w:ilvl w:val="0"/>
          <w:numId w:val="2"/>
        </w:numPr>
        <w:suppressLineNumbers/>
        <w:tabs>
          <w:tab w:val="clear" w:pos="360"/>
          <w:tab w:val="num" w:pos="709"/>
        </w:tabs>
        <w:suppressAutoHyphens/>
        <w:rPr>
          <w:snapToGrid/>
          <w:kern w:val="22"/>
          <w:szCs w:val="22"/>
        </w:rPr>
      </w:pPr>
      <w:r w:rsidRPr="00F76BAE">
        <w:rPr>
          <w:i/>
          <w:snapToGrid/>
          <w:kern w:val="22"/>
          <w:szCs w:val="22"/>
        </w:rPr>
        <w:t>Migratory species, including species that migrate from areas within national jurisdiction to areas beyond national jurisdiction</w:t>
      </w:r>
      <w:r w:rsidRPr="00F76BAE">
        <w:rPr>
          <w:snapToGrid/>
          <w:kern w:val="22"/>
          <w:szCs w:val="22"/>
        </w:rPr>
        <w:t>.</w:t>
      </w:r>
      <w:r w:rsidRPr="00F76BAE">
        <w:rPr>
          <w:rStyle w:val="FootnoteReference"/>
          <w:snapToGrid/>
          <w:kern w:val="22"/>
          <w:szCs w:val="22"/>
        </w:rPr>
        <w:footnoteReference w:id="28"/>
      </w:r>
      <w:r w:rsidRPr="00F76BAE">
        <w:rPr>
          <w:snapToGrid/>
          <w:kern w:val="22"/>
          <w:szCs w:val="22"/>
        </w:rPr>
        <w:t xml:space="preserve"> One organization</w:t>
      </w:r>
      <w:r w:rsidRPr="00F76BAE">
        <w:rPr>
          <w:rStyle w:val="FootnoteReference"/>
          <w:snapToGrid/>
          <w:kern w:val="22"/>
          <w:szCs w:val="22"/>
        </w:rPr>
        <w:footnoteReference w:id="29"/>
      </w:r>
      <w:r w:rsidRPr="00F76BAE">
        <w:rPr>
          <w:snapToGrid/>
          <w:kern w:val="22"/>
          <w:szCs w:val="22"/>
        </w:rPr>
        <w:t xml:space="preserve"> clarified </w:t>
      </w:r>
      <w:r w:rsidRPr="00F76BAE">
        <w:rPr>
          <w:iCs/>
          <w:snapToGrid/>
          <w:kern w:val="22"/>
          <w:szCs w:val="22"/>
        </w:rPr>
        <w:t>that</w:t>
      </w:r>
      <w:r w:rsidR="00BB61A5" w:rsidRPr="00F76BAE">
        <w:rPr>
          <w:iCs/>
          <w:snapToGrid/>
          <w:kern w:val="22"/>
          <w:szCs w:val="22"/>
        </w:rPr>
        <w:t>,</w:t>
      </w:r>
      <w:r w:rsidRPr="00F76BAE">
        <w:rPr>
          <w:snapToGrid/>
          <w:kern w:val="22"/>
          <w:szCs w:val="22"/>
        </w:rPr>
        <w:t xml:space="preserve"> in addition to the reasons provided under paragraph 24(a)</w:t>
      </w:r>
      <w:r w:rsidR="002453E0" w:rsidRPr="00F76BAE">
        <w:rPr>
          <w:snapToGrid/>
          <w:kern w:val="22"/>
          <w:szCs w:val="22"/>
        </w:rPr>
        <w:t xml:space="preserve"> of its submission</w:t>
      </w:r>
      <w:r w:rsidRPr="00F76BAE">
        <w:rPr>
          <w:snapToGrid/>
          <w:kern w:val="22"/>
          <w:szCs w:val="22"/>
        </w:rPr>
        <w:t>, the bilateral approach is particularly unsuitable for migratory species because the same population occurs under different jurisdictions, or none, at different times of the year</w:t>
      </w:r>
      <w:r w:rsidR="00AA5F81" w:rsidRPr="00F76BAE">
        <w:rPr>
          <w:snapToGrid/>
          <w:kern w:val="22"/>
          <w:szCs w:val="22"/>
        </w:rPr>
        <w:t>.</w:t>
      </w:r>
    </w:p>
    <w:p w14:paraId="430577A0" w14:textId="6EFB6E3A" w:rsidR="004F6661" w:rsidRPr="00F76BAE" w:rsidRDefault="004F6661" w:rsidP="00F76BAE">
      <w:pPr>
        <w:pStyle w:val="Para1"/>
        <w:numPr>
          <w:ilvl w:val="0"/>
          <w:numId w:val="2"/>
        </w:numPr>
        <w:suppressLineNumbers/>
        <w:tabs>
          <w:tab w:val="clear" w:pos="360"/>
          <w:tab w:val="num" w:pos="709"/>
        </w:tabs>
        <w:suppressAutoHyphens/>
        <w:rPr>
          <w:snapToGrid/>
          <w:kern w:val="22"/>
          <w:szCs w:val="22"/>
        </w:rPr>
      </w:pPr>
      <w:r w:rsidRPr="00F76BAE">
        <w:rPr>
          <w:i/>
          <w:snapToGrid/>
          <w:kern w:val="22"/>
          <w:szCs w:val="22"/>
        </w:rPr>
        <w:t>Genetic resources obtained from countries that do not require prior informed consent for access</w:t>
      </w:r>
      <w:r w:rsidRPr="00F76BAE">
        <w:rPr>
          <w:snapToGrid/>
          <w:kern w:val="22"/>
          <w:szCs w:val="22"/>
        </w:rPr>
        <w:t>, and therefore offer no opportunity to negotiate mutually agreed terms and share benefits.</w:t>
      </w:r>
      <w:r w:rsidRPr="00F76BAE">
        <w:rPr>
          <w:rStyle w:val="FootnoteReference"/>
          <w:snapToGrid/>
          <w:kern w:val="22"/>
          <w:szCs w:val="22"/>
        </w:rPr>
        <w:footnoteReference w:id="30"/>
      </w:r>
      <w:r w:rsidRPr="00F76BAE">
        <w:rPr>
          <w:snapToGrid/>
          <w:kern w:val="22"/>
          <w:szCs w:val="22"/>
        </w:rPr>
        <w:t xml:space="preserve"> According to the explanation of one organization</w:t>
      </w:r>
      <w:r w:rsidR="00F03632" w:rsidRPr="00F76BAE">
        <w:rPr>
          <w:snapToGrid/>
          <w:kern w:val="22"/>
          <w:szCs w:val="22"/>
        </w:rPr>
        <w:t>,</w:t>
      </w:r>
      <w:r w:rsidRPr="00F76BAE">
        <w:rPr>
          <w:rStyle w:val="FootnoteReference"/>
          <w:snapToGrid/>
          <w:kern w:val="22"/>
          <w:szCs w:val="22"/>
        </w:rPr>
        <w:footnoteReference w:id="31"/>
      </w:r>
      <w:r w:rsidRPr="00F76BAE">
        <w:rPr>
          <w:snapToGrid/>
          <w:kern w:val="22"/>
          <w:szCs w:val="22"/>
        </w:rPr>
        <w:t xml:space="preserve"> countries have sovereign rights to bypass the bilateral approach by providing access to their resources without any formal process for prior informed consent. Granting access </w:t>
      </w:r>
      <w:r w:rsidRPr="00F76BAE">
        <w:rPr>
          <w:snapToGrid/>
          <w:kern w:val="22"/>
          <w:szCs w:val="22"/>
        </w:rPr>
        <w:lastRenderedPageBreak/>
        <w:t xml:space="preserve">to genetic resources without </w:t>
      </w:r>
      <w:r w:rsidRPr="00F76BAE">
        <w:rPr>
          <w:iCs/>
          <w:snapToGrid/>
          <w:kern w:val="22"/>
          <w:szCs w:val="22"/>
        </w:rPr>
        <w:t>requiring</w:t>
      </w:r>
      <w:r w:rsidRPr="00F76BAE">
        <w:rPr>
          <w:snapToGrid/>
          <w:kern w:val="22"/>
          <w:szCs w:val="22"/>
        </w:rPr>
        <w:t xml:space="preserve"> any benefit-sharing serves as a disincentive for users to request access from countries that do require prior informed consent and mutually agreed terms. By providing this access to genetic resources, countries undermine </w:t>
      </w:r>
      <w:r w:rsidR="00C7003D" w:rsidRPr="00F76BAE">
        <w:rPr>
          <w:snapToGrid/>
          <w:kern w:val="22"/>
          <w:szCs w:val="22"/>
        </w:rPr>
        <w:t xml:space="preserve">not only </w:t>
      </w:r>
      <w:r w:rsidRPr="00F76BAE">
        <w:rPr>
          <w:snapToGrid/>
          <w:kern w:val="22"/>
          <w:szCs w:val="22"/>
        </w:rPr>
        <w:t>fair and equitable benefit-sharing but also sustainable use and conservation</w:t>
      </w:r>
      <w:r w:rsidR="00AA5F81" w:rsidRPr="00F76BAE">
        <w:rPr>
          <w:snapToGrid/>
          <w:kern w:val="22"/>
          <w:szCs w:val="22"/>
        </w:rPr>
        <w:t>.</w:t>
      </w:r>
    </w:p>
    <w:p w14:paraId="43CB1B2D" w14:textId="3EC0A194" w:rsidR="004F6661" w:rsidRPr="00F76BAE" w:rsidRDefault="004F6661" w:rsidP="00F76BAE">
      <w:pPr>
        <w:pStyle w:val="Para1"/>
        <w:numPr>
          <w:ilvl w:val="0"/>
          <w:numId w:val="2"/>
        </w:numPr>
        <w:suppressLineNumbers/>
        <w:tabs>
          <w:tab w:val="clear" w:pos="360"/>
          <w:tab w:val="num" w:pos="709"/>
        </w:tabs>
        <w:suppressAutoHyphens/>
        <w:rPr>
          <w:i/>
          <w:snapToGrid/>
          <w:kern w:val="22"/>
          <w:szCs w:val="22"/>
        </w:rPr>
      </w:pPr>
      <w:r w:rsidRPr="00F76BAE">
        <w:rPr>
          <w:i/>
          <w:snapToGrid/>
          <w:kern w:val="22"/>
          <w:szCs w:val="22"/>
        </w:rPr>
        <w:t>Genetic resources accessed before the entry into for</w:t>
      </w:r>
      <w:r w:rsidR="0061729F" w:rsidRPr="00F76BAE">
        <w:rPr>
          <w:i/>
          <w:snapToGrid/>
          <w:kern w:val="22"/>
          <w:szCs w:val="22"/>
        </w:rPr>
        <w:t>c</w:t>
      </w:r>
      <w:r w:rsidRPr="00F76BAE">
        <w:rPr>
          <w:i/>
          <w:snapToGrid/>
          <w:kern w:val="22"/>
          <w:szCs w:val="22"/>
        </w:rPr>
        <w:t>e of the Nagoya Protocol.</w:t>
      </w:r>
      <w:r w:rsidRPr="00F76BAE">
        <w:rPr>
          <w:iCs/>
          <w:snapToGrid/>
          <w:kern w:val="22"/>
          <w:szCs w:val="22"/>
        </w:rPr>
        <w:t xml:space="preserve"> One Party</w:t>
      </w:r>
      <w:r w:rsidRPr="00F76BAE">
        <w:rPr>
          <w:rStyle w:val="FootnoteReference"/>
          <w:iCs/>
          <w:snapToGrid/>
          <w:kern w:val="22"/>
          <w:szCs w:val="22"/>
        </w:rPr>
        <w:footnoteReference w:id="32"/>
      </w:r>
      <w:r w:rsidRPr="00F76BAE">
        <w:rPr>
          <w:iCs/>
          <w:snapToGrid/>
          <w:kern w:val="22"/>
          <w:szCs w:val="22"/>
        </w:rPr>
        <w:t xml:space="preserve"> suggested that potential provider countries identified for those specific cases may be considered under a global multilateral benefit-sharing mechanism</w:t>
      </w:r>
      <w:r w:rsidR="00AA5F81" w:rsidRPr="00F76BAE">
        <w:rPr>
          <w:iCs/>
          <w:snapToGrid/>
          <w:kern w:val="22"/>
          <w:szCs w:val="22"/>
        </w:rPr>
        <w:t>.</w:t>
      </w:r>
    </w:p>
    <w:p w14:paraId="61DE7652" w14:textId="7F038400" w:rsidR="004F6661" w:rsidRPr="00F76BAE" w:rsidRDefault="004F6661" w:rsidP="00F76BAE">
      <w:pPr>
        <w:pStyle w:val="Para1"/>
        <w:numPr>
          <w:ilvl w:val="0"/>
          <w:numId w:val="2"/>
        </w:numPr>
        <w:suppressLineNumbers/>
        <w:tabs>
          <w:tab w:val="clear" w:pos="360"/>
          <w:tab w:val="num" w:pos="709"/>
        </w:tabs>
        <w:suppressAutoHyphens/>
        <w:rPr>
          <w:snapToGrid/>
          <w:kern w:val="22"/>
          <w:szCs w:val="22"/>
        </w:rPr>
      </w:pPr>
      <w:r w:rsidRPr="00F76BAE">
        <w:rPr>
          <w:i/>
          <w:snapToGrid/>
          <w:kern w:val="22"/>
          <w:szCs w:val="22"/>
        </w:rPr>
        <w:t>Cases where no physical access is needed to obtain a genetic resource or its derivative</w:t>
      </w:r>
      <w:r w:rsidRPr="00F76BAE">
        <w:rPr>
          <w:snapToGrid/>
          <w:kern w:val="22"/>
          <w:szCs w:val="22"/>
        </w:rPr>
        <w:t xml:space="preserve"> (e.g. from databases or the synthetic production of biochemical components)</w:t>
      </w:r>
      <w:r w:rsidR="00FC4250" w:rsidRPr="00F76BAE">
        <w:rPr>
          <w:snapToGrid/>
          <w:kern w:val="22"/>
          <w:szCs w:val="22"/>
        </w:rPr>
        <w:t>.</w:t>
      </w:r>
      <w:r w:rsidRPr="00F76BAE">
        <w:rPr>
          <w:rStyle w:val="FootnoteReference"/>
          <w:snapToGrid/>
          <w:kern w:val="22"/>
          <w:szCs w:val="22"/>
        </w:rPr>
        <w:footnoteReference w:id="33"/>
      </w:r>
      <w:r w:rsidRPr="00F76BAE">
        <w:rPr>
          <w:snapToGrid/>
          <w:kern w:val="22"/>
          <w:szCs w:val="22"/>
        </w:rPr>
        <w:t xml:space="preserve"> The submission of one organization</w:t>
      </w:r>
      <w:r w:rsidRPr="00F76BAE">
        <w:rPr>
          <w:rStyle w:val="FootnoteReference"/>
          <w:snapToGrid/>
          <w:kern w:val="22"/>
          <w:szCs w:val="22"/>
        </w:rPr>
        <w:footnoteReference w:id="34"/>
      </w:r>
      <w:r w:rsidRPr="00F76BAE">
        <w:rPr>
          <w:snapToGrid/>
          <w:kern w:val="22"/>
          <w:szCs w:val="22"/>
        </w:rPr>
        <w:t xml:space="preserve"> noted that modern technology is </w:t>
      </w:r>
      <w:r w:rsidRPr="00F76BAE">
        <w:rPr>
          <w:iCs/>
          <w:snapToGrid/>
          <w:kern w:val="22"/>
          <w:szCs w:val="22"/>
        </w:rPr>
        <w:t>rapidly</w:t>
      </w:r>
      <w:r w:rsidRPr="00F76BAE">
        <w:rPr>
          <w:snapToGrid/>
          <w:kern w:val="22"/>
          <w:szCs w:val="22"/>
        </w:rPr>
        <w:t xml:space="preserve"> making it cheaper and easier to optimize genetic functions using only data and then order custom-made sequences from bio-foundries, bypassing bilateral access and benefit-sharing arrangements. Such synthetic products are nevertheless, at some level, “benefits arising from the utilization of genetic resources” and profits from this utilization can contribute to conservation and sustainable use, if shared fairly and equitably through a global multilateral benefit-sharing mechanism</w:t>
      </w:r>
      <w:r w:rsidR="00AA5F81" w:rsidRPr="00F76BAE">
        <w:rPr>
          <w:snapToGrid/>
          <w:kern w:val="22"/>
          <w:szCs w:val="22"/>
        </w:rPr>
        <w:t>.</w:t>
      </w:r>
    </w:p>
    <w:tbl>
      <w:tblPr>
        <w:tblStyle w:val="TableGrid"/>
        <w:tblW w:w="0" w:type="auto"/>
        <w:jc w:val="center"/>
        <w:tblLook w:val="04A0" w:firstRow="1" w:lastRow="0" w:firstColumn="1" w:lastColumn="0" w:noHBand="0" w:noVBand="1"/>
      </w:tblPr>
      <w:tblGrid>
        <w:gridCol w:w="9452"/>
      </w:tblGrid>
      <w:tr w:rsidR="00692CF6" w:rsidRPr="00F76BAE" w14:paraId="0C0AD4AB" w14:textId="77777777" w:rsidTr="00F76BAE">
        <w:trPr>
          <w:jc w:val="center"/>
        </w:trPr>
        <w:tc>
          <w:tcPr>
            <w:tcW w:w="9452" w:type="dxa"/>
          </w:tcPr>
          <w:p w14:paraId="0E2712D9" w14:textId="2CEFCA99" w:rsidR="00692CF6" w:rsidRPr="00D046CD" w:rsidRDefault="00AC06EE" w:rsidP="00F76BAE">
            <w:pPr>
              <w:pStyle w:val="Para1"/>
              <w:suppressLineNumbers/>
              <w:suppressAutoHyphens/>
              <w:rPr>
                <w:snapToGrid/>
                <w:spacing w:val="-4"/>
                <w:kern w:val="22"/>
                <w:szCs w:val="22"/>
              </w:rPr>
            </w:pPr>
            <w:r w:rsidRPr="00D046CD">
              <w:rPr>
                <w:snapToGrid/>
                <w:spacing w:val="-4"/>
                <w:kern w:val="22"/>
                <w:szCs w:val="22"/>
              </w:rPr>
              <w:t>A real case of the poison dart frog (</w:t>
            </w:r>
            <w:r w:rsidRPr="00D046CD">
              <w:rPr>
                <w:i/>
                <w:iCs/>
                <w:snapToGrid/>
                <w:spacing w:val="-4"/>
                <w:kern w:val="22"/>
                <w:szCs w:val="22"/>
              </w:rPr>
              <w:t>Epipedobates anthonyi</w:t>
            </w:r>
            <w:r w:rsidRPr="00D046CD">
              <w:rPr>
                <w:snapToGrid/>
                <w:spacing w:val="-4"/>
                <w:kern w:val="22"/>
                <w:szCs w:val="22"/>
              </w:rPr>
              <w:t>):</w:t>
            </w:r>
            <w:r w:rsidRPr="00D046CD">
              <w:rPr>
                <w:rStyle w:val="FootnoteReference"/>
                <w:snapToGrid/>
                <w:spacing w:val="-4"/>
                <w:kern w:val="22"/>
                <w:szCs w:val="22"/>
              </w:rPr>
              <w:footnoteReference w:id="35"/>
            </w:r>
            <w:r w:rsidRPr="00D046CD">
              <w:rPr>
                <w:snapToGrid/>
                <w:spacing w:val="-4"/>
                <w:kern w:val="22"/>
                <w:szCs w:val="22"/>
              </w:rPr>
              <w:t xml:space="preserve"> The species is endemic to Ecuador and Peru</w:t>
            </w:r>
            <w:r w:rsidR="00787D21" w:rsidRPr="00D046CD">
              <w:rPr>
                <w:snapToGrid/>
                <w:spacing w:val="-4"/>
                <w:kern w:val="22"/>
                <w:szCs w:val="22"/>
              </w:rPr>
              <w:t>.</w:t>
            </w:r>
            <w:r w:rsidRPr="00D046CD">
              <w:rPr>
                <w:snapToGrid/>
                <w:spacing w:val="-4"/>
                <w:kern w:val="22"/>
                <w:szCs w:val="22"/>
              </w:rPr>
              <w:t xml:space="preserve"> </w:t>
            </w:r>
            <w:r w:rsidR="00787D21" w:rsidRPr="00D046CD">
              <w:rPr>
                <w:snapToGrid/>
                <w:spacing w:val="-4"/>
                <w:kern w:val="22"/>
                <w:szCs w:val="22"/>
              </w:rPr>
              <w:t>H</w:t>
            </w:r>
            <w:r w:rsidRPr="00D046CD">
              <w:rPr>
                <w:snapToGrid/>
                <w:spacing w:val="-4"/>
                <w:kern w:val="22"/>
                <w:szCs w:val="22"/>
              </w:rPr>
              <w:t>owever</w:t>
            </w:r>
            <w:r w:rsidR="00787D21" w:rsidRPr="00D046CD">
              <w:rPr>
                <w:snapToGrid/>
                <w:spacing w:val="-4"/>
                <w:kern w:val="22"/>
                <w:szCs w:val="22"/>
              </w:rPr>
              <w:t>,</w:t>
            </w:r>
            <w:r w:rsidRPr="00D046CD">
              <w:rPr>
                <w:snapToGrid/>
                <w:spacing w:val="-4"/>
                <w:kern w:val="22"/>
                <w:szCs w:val="22"/>
              </w:rPr>
              <w:t xml:space="preserve"> the object of access for Abbott Laboratories was not biological matter but a molecular structure transmitted through print. That accessed information was not a sequence and </w:t>
            </w:r>
            <w:r w:rsidR="000119F7" w:rsidRPr="00D046CD">
              <w:rPr>
                <w:snapToGrid/>
                <w:spacing w:val="-4"/>
                <w:kern w:val="22"/>
                <w:szCs w:val="22"/>
              </w:rPr>
              <w:t xml:space="preserve">was </w:t>
            </w:r>
            <w:r w:rsidRPr="00D046CD">
              <w:rPr>
                <w:snapToGrid/>
                <w:spacing w:val="-4"/>
                <w:kern w:val="22"/>
                <w:szCs w:val="22"/>
              </w:rPr>
              <w:t>not even transmitted digitally.</w:t>
            </w:r>
          </w:p>
        </w:tc>
      </w:tr>
    </w:tbl>
    <w:p w14:paraId="50018F7A" w14:textId="4CF40712" w:rsidR="004F6661" w:rsidRPr="00F76BAE" w:rsidRDefault="004F6661" w:rsidP="00F76BAE">
      <w:pPr>
        <w:pStyle w:val="Para1"/>
        <w:numPr>
          <w:ilvl w:val="0"/>
          <w:numId w:val="2"/>
        </w:numPr>
        <w:suppressLineNumbers/>
        <w:tabs>
          <w:tab w:val="clear" w:pos="360"/>
          <w:tab w:val="num" w:pos="709"/>
        </w:tabs>
        <w:suppressAutoHyphens/>
        <w:rPr>
          <w:i/>
          <w:snapToGrid/>
          <w:kern w:val="22"/>
          <w:szCs w:val="22"/>
        </w:rPr>
      </w:pPr>
      <w:r w:rsidRPr="00F76BAE">
        <w:rPr>
          <w:i/>
          <w:snapToGrid/>
          <w:spacing w:val="-2"/>
          <w:kern w:val="22"/>
          <w:szCs w:val="22"/>
        </w:rPr>
        <w:t>Uses of digital sequence information on genetic resources</w:t>
      </w:r>
      <w:r w:rsidRPr="00F76BAE">
        <w:rPr>
          <w:rStyle w:val="FootnoteReference"/>
          <w:snapToGrid/>
          <w:spacing w:val="-2"/>
          <w:kern w:val="22"/>
          <w:szCs w:val="22"/>
        </w:rPr>
        <w:footnoteReference w:id="36"/>
      </w:r>
      <w:r w:rsidRPr="00F76BAE">
        <w:rPr>
          <w:snapToGrid/>
          <w:spacing w:val="-2"/>
          <w:kern w:val="22"/>
          <w:szCs w:val="22"/>
        </w:rPr>
        <w:t xml:space="preserve"> where it is impossible to grant or obtain prior informed consent, or tracking utilization and compliance with a bilateral access and benefit</w:t>
      </w:r>
      <w:r w:rsidR="005526E3" w:rsidRPr="00F76BAE">
        <w:rPr>
          <w:snapToGrid/>
          <w:spacing w:val="-2"/>
          <w:kern w:val="22"/>
          <w:szCs w:val="22"/>
        </w:rPr>
        <w:noBreakHyphen/>
      </w:r>
      <w:r w:rsidRPr="00F76BAE">
        <w:rPr>
          <w:snapToGrid/>
          <w:spacing w:val="-2"/>
          <w:kern w:val="22"/>
          <w:szCs w:val="22"/>
        </w:rPr>
        <w:t xml:space="preserve">sharing approach would present significant practical difficulties, for example when sequences and portions thereof have been obtained from large </w:t>
      </w:r>
      <w:r w:rsidRPr="00F76BAE">
        <w:rPr>
          <w:iCs/>
          <w:snapToGrid/>
          <w:spacing w:val="-2"/>
          <w:kern w:val="22"/>
          <w:szCs w:val="22"/>
        </w:rPr>
        <w:t>numbers</w:t>
      </w:r>
      <w:r w:rsidRPr="00F76BAE">
        <w:rPr>
          <w:snapToGrid/>
          <w:spacing w:val="-2"/>
          <w:kern w:val="22"/>
          <w:szCs w:val="22"/>
        </w:rPr>
        <w:t xml:space="preserve"> of organisms collected from different locations. The submission explained that utilization of digital sequence information obtained from resources accessed under the bilateral approach can be controlled through mutually agreed terms, albeit at the expense of restricting subsequent access to and use of the information by users not involved in the agreements (e.g. third-party researchers). One of the greatest advantages of freely available digital sequence information – that large shared data</w:t>
      </w:r>
      <w:r w:rsidR="008F7318" w:rsidRPr="00F76BAE">
        <w:rPr>
          <w:snapToGrid/>
          <w:spacing w:val="-2"/>
          <w:kern w:val="22"/>
          <w:szCs w:val="22"/>
        </w:rPr>
        <w:t xml:space="preserve"> </w:t>
      </w:r>
      <w:r w:rsidRPr="00F76BAE">
        <w:rPr>
          <w:snapToGrid/>
          <w:spacing w:val="-2"/>
          <w:kern w:val="22"/>
          <w:szCs w:val="22"/>
        </w:rPr>
        <w:t>sets provide a background against which to identify functional genetic components or discover useful mutations – is particularly vulnerable to bilateral control over access to digital sequence information, because of the practical difficulties associated with obtaining prior informed consent from a large number of providers</w:t>
      </w:r>
      <w:r w:rsidR="00AA5F81" w:rsidRPr="00F76BAE">
        <w:rPr>
          <w:snapToGrid/>
          <w:spacing w:val="-2"/>
          <w:kern w:val="22"/>
          <w:szCs w:val="22"/>
        </w:rPr>
        <w:t>.</w:t>
      </w:r>
    </w:p>
    <w:p w14:paraId="66EA087F" w14:textId="33F5018D" w:rsidR="004F6661" w:rsidRPr="00F76BAE" w:rsidRDefault="004F6661" w:rsidP="00F76BAE">
      <w:pPr>
        <w:pStyle w:val="Para1"/>
        <w:numPr>
          <w:ilvl w:val="0"/>
          <w:numId w:val="2"/>
        </w:numPr>
        <w:suppressLineNumbers/>
        <w:tabs>
          <w:tab w:val="clear" w:pos="360"/>
          <w:tab w:val="num" w:pos="709"/>
        </w:tabs>
        <w:suppressAutoHyphens/>
        <w:rPr>
          <w:snapToGrid/>
          <w:kern w:val="22"/>
          <w:szCs w:val="22"/>
        </w:rPr>
      </w:pPr>
      <w:r w:rsidRPr="00F76BAE">
        <w:rPr>
          <w:i/>
          <w:snapToGrid/>
          <w:kern w:val="22"/>
          <w:szCs w:val="22"/>
        </w:rPr>
        <w:t xml:space="preserve">Genetic resources </w:t>
      </w:r>
      <w:r w:rsidR="0071440D" w:rsidRPr="00F76BAE">
        <w:rPr>
          <w:i/>
          <w:snapToGrid/>
          <w:kern w:val="22"/>
          <w:szCs w:val="22"/>
        </w:rPr>
        <w:t xml:space="preserve">whose </w:t>
      </w:r>
      <w:r w:rsidRPr="00F76BAE">
        <w:rPr>
          <w:i/>
          <w:snapToGrid/>
          <w:kern w:val="22"/>
          <w:szCs w:val="22"/>
        </w:rPr>
        <w:t xml:space="preserve">country of origin cannot be identified after reasonable efforts. </w:t>
      </w:r>
      <w:r w:rsidRPr="00F76BAE">
        <w:rPr>
          <w:iCs/>
          <w:snapToGrid/>
          <w:kern w:val="22"/>
          <w:szCs w:val="22"/>
        </w:rPr>
        <w:t>In the view of one Party</w:t>
      </w:r>
      <w:r w:rsidR="00D24133" w:rsidRPr="00F76BAE">
        <w:rPr>
          <w:iCs/>
          <w:snapToGrid/>
          <w:kern w:val="22"/>
          <w:szCs w:val="22"/>
        </w:rPr>
        <w:t>,</w:t>
      </w:r>
      <w:r w:rsidRPr="00F76BAE">
        <w:rPr>
          <w:rStyle w:val="FootnoteReference"/>
          <w:iCs/>
          <w:snapToGrid/>
          <w:kern w:val="22"/>
          <w:szCs w:val="22"/>
        </w:rPr>
        <w:footnoteReference w:id="37"/>
      </w:r>
      <w:r w:rsidRPr="00F76BAE">
        <w:rPr>
          <w:iCs/>
          <w:snapToGrid/>
          <w:kern w:val="22"/>
          <w:szCs w:val="22"/>
        </w:rPr>
        <w:t xml:space="preserve"> the need for a global multilateral benefit-sharing mechanism would arise in situations where the countries of origin cannot be identified after reasonable efforts</w:t>
      </w:r>
      <w:r w:rsidR="00DD69FF" w:rsidRPr="00F76BAE">
        <w:rPr>
          <w:iCs/>
          <w:snapToGrid/>
          <w:kern w:val="22"/>
          <w:szCs w:val="22"/>
        </w:rPr>
        <w:t xml:space="preserve"> have been made</w:t>
      </w:r>
      <w:r w:rsidR="00AA5F81" w:rsidRPr="00F76BAE">
        <w:rPr>
          <w:iCs/>
          <w:snapToGrid/>
          <w:kern w:val="22"/>
          <w:szCs w:val="22"/>
        </w:rPr>
        <w:t>.</w:t>
      </w:r>
    </w:p>
    <w:tbl>
      <w:tblPr>
        <w:tblStyle w:val="TableGrid"/>
        <w:tblW w:w="0" w:type="auto"/>
        <w:jc w:val="center"/>
        <w:tblLook w:val="04A0" w:firstRow="1" w:lastRow="0" w:firstColumn="1" w:lastColumn="0" w:noHBand="0" w:noVBand="1"/>
      </w:tblPr>
      <w:tblGrid>
        <w:gridCol w:w="9320"/>
      </w:tblGrid>
      <w:tr w:rsidR="00E03BEE" w:rsidRPr="00F76BAE" w14:paraId="66CB7133" w14:textId="77777777" w:rsidTr="00F76BAE">
        <w:trPr>
          <w:jc w:val="center"/>
        </w:trPr>
        <w:tc>
          <w:tcPr>
            <w:tcW w:w="9320" w:type="dxa"/>
          </w:tcPr>
          <w:p w14:paraId="7D956187" w14:textId="594943D4" w:rsidR="00E03BEE" w:rsidRPr="00F76BAE" w:rsidRDefault="00E03BEE" w:rsidP="00F76BAE">
            <w:pPr>
              <w:pStyle w:val="Para1"/>
              <w:suppressLineNumbers/>
              <w:suppressAutoHyphens/>
              <w:rPr>
                <w:snapToGrid/>
                <w:kern w:val="22"/>
                <w:szCs w:val="22"/>
              </w:rPr>
            </w:pPr>
            <w:r w:rsidRPr="00F76BAE">
              <w:rPr>
                <w:snapToGrid/>
                <w:kern w:val="22"/>
                <w:szCs w:val="22"/>
              </w:rPr>
              <w:t>A real case example provided</w:t>
            </w:r>
            <w:r w:rsidR="009D4F43" w:rsidRPr="00F76BAE">
              <w:rPr>
                <w:snapToGrid/>
                <w:kern w:val="22"/>
                <w:szCs w:val="22"/>
              </w:rPr>
              <w:t>:</w:t>
            </w:r>
            <w:r w:rsidRPr="00F76BAE">
              <w:rPr>
                <w:rStyle w:val="FootnoteReference"/>
                <w:snapToGrid/>
                <w:kern w:val="22"/>
                <w:szCs w:val="22"/>
              </w:rPr>
              <w:footnoteReference w:id="38"/>
            </w:r>
            <w:r w:rsidRPr="00F76BAE">
              <w:rPr>
                <w:snapToGrid/>
                <w:kern w:val="22"/>
                <w:szCs w:val="22"/>
              </w:rPr>
              <w:t xml:space="preserve"> A germplasm company based in the European Union buys seeds from various countries for horticultural purposes. Once the plants are grown in the user country, some may originate from multiple countries, and once identical plants mature, they may be accessed from the user country for commercial utilization. In such a case</w:t>
            </w:r>
            <w:r w:rsidR="009B66FD" w:rsidRPr="00F76BAE">
              <w:rPr>
                <w:snapToGrid/>
                <w:kern w:val="22"/>
                <w:szCs w:val="22"/>
              </w:rPr>
              <w:t>,</w:t>
            </w:r>
            <w:r w:rsidRPr="00F76BAE">
              <w:rPr>
                <w:snapToGrid/>
                <w:kern w:val="22"/>
                <w:szCs w:val="22"/>
              </w:rPr>
              <w:t xml:space="preserve"> fair and equitable benefit-sharing requires a functional global multilateral benefit-sharing mechanism.</w:t>
            </w:r>
          </w:p>
        </w:tc>
      </w:tr>
    </w:tbl>
    <w:p w14:paraId="3F59878B" w14:textId="0681899A" w:rsidR="004F6661" w:rsidRPr="00F76BAE" w:rsidRDefault="009155E5" w:rsidP="00F76BAE">
      <w:pPr>
        <w:pStyle w:val="Heading3"/>
        <w:suppressLineNumbers/>
        <w:tabs>
          <w:tab w:val="left" w:pos="284"/>
        </w:tabs>
        <w:suppressAutoHyphens/>
        <w:rPr>
          <w:i w:val="0"/>
          <w:iCs w:val="0"/>
          <w:kern w:val="22"/>
          <w:szCs w:val="22"/>
        </w:rPr>
      </w:pPr>
      <w:r w:rsidRPr="00F76BAE">
        <w:rPr>
          <w:kern w:val="22"/>
          <w:szCs w:val="22"/>
        </w:rPr>
        <w:lastRenderedPageBreak/>
        <w:t>2.</w:t>
      </w:r>
      <w:r w:rsidRPr="00F76BAE">
        <w:rPr>
          <w:kern w:val="22"/>
          <w:szCs w:val="22"/>
        </w:rPr>
        <w:tab/>
      </w:r>
      <w:r w:rsidR="004F6661" w:rsidRPr="00F76BAE">
        <w:rPr>
          <w:kern w:val="22"/>
          <w:szCs w:val="22"/>
        </w:rPr>
        <w:t>Specific cases related to traditional knowledge associated with genetic resources</w:t>
      </w:r>
    </w:p>
    <w:p w14:paraId="68B1BB22" w14:textId="6ABC1266" w:rsidR="004F6661" w:rsidRPr="00F76BAE" w:rsidRDefault="004F6661" w:rsidP="00F76BAE">
      <w:pPr>
        <w:pStyle w:val="Para1"/>
        <w:numPr>
          <w:ilvl w:val="0"/>
          <w:numId w:val="2"/>
        </w:numPr>
        <w:suppressLineNumbers/>
        <w:tabs>
          <w:tab w:val="clear" w:pos="360"/>
          <w:tab w:val="num" w:pos="709"/>
        </w:tabs>
        <w:suppressAutoHyphens/>
        <w:rPr>
          <w:snapToGrid/>
          <w:spacing w:val="-2"/>
          <w:kern w:val="22"/>
          <w:szCs w:val="22"/>
        </w:rPr>
      </w:pPr>
      <w:r w:rsidRPr="00F76BAE">
        <w:rPr>
          <w:i/>
          <w:snapToGrid/>
          <w:spacing w:val="-2"/>
          <w:kern w:val="22"/>
          <w:szCs w:val="22"/>
        </w:rPr>
        <w:t>Associated traditional knowledge shared by indigenous peoples or local communities located in different countries</w:t>
      </w:r>
      <w:r w:rsidR="00ED657F" w:rsidRPr="00F76BAE">
        <w:rPr>
          <w:i/>
          <w:snapToGrid/>
          <w:spacing w:val="-2"/>
          <w:kern w:val="22"/>
          <w:szCs w:val="22"/>
        </w:rPr>
        <w:t>.</w:t>
      </w:r>
      <w:r w:rsidRPr="00F76BAE">
        <w:rPr>
          <w:rStyle w:val="FootnoteReference"/>
          <w:snapToGrid/>
          <w:spacing w:val="-2"/>
          <w:kern w:val="22"/>
          <w:szCs w:val="22"/>
        </w:rPr>
        <w:footnoteReference w:id="39"/>
      </w:r>
      <w:r w:rsidRPr="00F76BAE">
        <w:rPr>
          <w:snapToGrid/>
          <w:spacing w:val="-2"/>
          <w:kern w:val="22"/>
          <w:szCs w:val="22"/>
        </w:rPr>
        <w:t xml:space="preserve"> One organization</w:t>
      </w:r>
      <w:r w:rsidRPr="00F76BAE">
        <w:rPr>
          <w:rStyle w:val="FootnoteReference"/>
          <w:snapToGrid/>
          <w:spacing w:val="-2"/>
          <w:kern w:val="22"/>
          <w:szCs w:val="22"/>
        </w:rPr>
        <w:footnoteReference w:id="40"/>
      </w:r>
      <w:r w:rsidRPr="00F76BAE">
        <w:rPr>
          <w:snapToGrid/>
          <w:spacing w:val="-2"/>
          <w:kern w:val="22"/>
          <w:szCs w:val="22"/>
        </w:rPr>
        <w:t xml:space="preserve"> explained that the practical difficulties associated with trying to reach multiple access and benefit-sharing </w:t>
      </w:r>
      <w:r w:rsidRPr="00F76BAE">
        <w:rPr>
          <w:iCs/>
          <w:snapToGrid/>
          <w:spacing w:val="-2"/>
          <w:kern w:val="22"/>
          <w:szCs w:val="22"/>
        </w:rPr>
        <w:t>agreements</w:t>
      </w:r>
      <w:r w:rsidRPr="00F76BAE">
        <w:rPr>
          <w:snapToGrid/>
          <w:spacing w:val="-2"/>
          <w:kern w:val="22"/>
          <w:szCs w:val="22"/>
        </w:rPr>
        <w:t xml:space="preserve"> with multiple rights holders in multiple jurisdictions mean that applying the bilateral approach to such situations is likely to be prohibitively expensive and/or unfair</w:t>
      </w:r>
      <w:r w:rsidR="00AA5F81" w:rsidRPr="00F76BAE">
        <w:rPr>
          <w:snapToGrid/>
          <w:spacing w:val="-2"/>
          <w:kern w:val="22"/>
          <w:szCs w:val="22"/>
        </w:rPr>
        <w:t>.</w:t>
      </w:r>
    </w:p>
    <w:p w14:paraId="0564E6D0" w14:textId="3C1BDD2B" w:rsidR="004F6661" w:rsidRPr="00F76BAE" w:rsidRDefault="004F6661" w:rsidP="00F76BAE">
      <w:pPr>
        <w:pStyle w:val="Para1"/>
        <w:numPr>
          <w:ilvl w:val="0"/>
          <w:numId w:val="2"/>
        </w:numPr>
        <w:suppressLineNumbers/>
        <w:tabs>
          <w:tab w:val="clear" w:pos="360"/>
          <w:tab w:val="num" w:pos="709"/>
        </w:tabs>
        <w:suppressAutoHyphens/>
        <w:rPr>
          <w:kern w:val="22"/>
          <w:szCs w:val="22"/>
        </w:rPr>
      </w:pPr>
      <w:r w:rsidRPr="00F76BAE">
        <w:rPr>
          <w:i/>
          <w:snapToGrid/>
          <w:kern w:val="22"/>
          <w:szCs w:val="22"/>
        </w:rPr>
        <w:t>Publicly available traditional knowledge of unknown origin that is subject to access and utilization; widely dispersed traditional knowledge; situations where the original holders of traditional knowledge are no longer also the owners of the associated resources;</w:t>
      </w:r>
      <w:r w:rsidRPr="00F76BAE">
        <w:rPr>
          <w:rStyle w:val="FootnoteReference"/>
          <w:snapToGrid/>
          <w:kern w:val="22"/>
          <w:szCs w:val="22"/>
        </w:rPr>
        <w:footnoteReference w:id="41"/>
      </w:r>
      <w:r w:rsidRPr="00F76BAE">
        <w:rPr>
          <w:snapToGrid/>
          <w:kern w:val="22"/>
          <w:szCs w:val="22"/>
        </w:rPr>
        <w:t xml:space="preserve"> and </w:t>
      </w:r>
      <w:r w:rsidRPr="00F76BAE">
        <w:rPr>
          <w:i/>
          <w:snapToGrid/>
          <w:kern w:val="22"/>
          <w:szCs w:val="22"/>
        </w:rPr>
        <w:t>traditional knowledge in ex situ collections that are subject to access and utilization and of which the origin is unknown or untraceable</w:t>
      </w:r>
      <w:r w:rsidRPr="00F76BAE">
        <w:rPr>
          <w:snapToGrid/>
          <w:kern w:val="22"/>
          <w:szCs w:val="22"/>
        </w:rPr>
        <w:t>.</w:t>
      </w:r>
      <w:r w:rsidRPr="00F76BAE">
        <w:rPr>
          <w:rStyle w:val="FootnoteReference"/>
          <w:snapToGrid/>
          <w:kern w:val="22"/>
          <w:szCs w:val="22"/>
        </w:rPr>
        <w:footnoteReference w:id="42"/>
      </w:r>
      <w:r w:rsidRPr="00F76BAE">
        <w:rPr>
          <w:snapToGrid/>
          <w:kern w:val="22"/>
          <w:szCs w:val="22"/>
        </w:rPr>
        <w:t xml:space="preserve"> </w:t>
      </w:r>
      <w:r w:rsidR="00BF0AEE" w:rsidRPr="00F76BAE">
        <w:rPr>
          <w:snapToGrid/>
          <w:kern w:val="22"/>
          <w:szCs w:val="22"/>
        </w:rPr>
        <w:t>In its submission</w:t>
      </w:r>
      <w:r w:rsidR="00A144EA" w:rsidRPr="00F76BAE">
        <w:rPr>
          <w:snapToGrid/>
          <w:kern w:val="22"/>
          <w:szCs w:val="22"/>
        </w:rPr>
        <w:t>,</w:t>
      </w:r>
      <w:r w:rsidR="00BF0AEE" w:rsidRPr="00F76BAE">
        <w:rPr>
          <w:snapToGrid/>
          <w:kern w:val="22"/>
          <w:szCs w:val="22"/>
        </w:rPr>
        <w:t xml:space="preserve"> o</w:t>
      </w:r>
      <w:r w:rsidRPr="00F76BAE">
        <w:rPr>
          <w:snapToGrid/>
          <w:kern w:val="22"/>
          <w:szCs w:val="22"/>
        </w:rPr>
        <w:t>ne organization</w:t>
      </w:r>
      <w:r w:rsidRPr="00F76BAE">
        <w:rPr>
          <w:rStyle w:val="FootnoteReference"/>
          <w:snapToGrid/>
          <w:kern w:val="22"/>
          <w:szCs w:val="22"/>
        </w:rPr>
        <w:footnoteReference w:id="43"/>
      </w:r>
      <w:r w:rsidRPr="00F76BAE">
        <w:rPr>
          <w:snapToGrid/>
          <w:kern w:val="22"/>
          <w:szCs w:val="22"/>
        </w:rPr>
        <w:t xml:space="preserve"> </w:t>
      </w:r>
      <w:r w:rsidR="00B733C9" w:rsidRPr="00F76BAE">
        <w:rPr>
          <w:snapToGrid/>
          <w:kern w:val="22"/>
          <w:szCs w:val="22"/>
        </w:rPr>
        <w:t xml:space="preserve">indicated </w:t>
      </w:r>
      <w:r w:rsidRPr="00F76BAE">
        <w:rPr>
          <w:snapToGrid/>
          <w:kern w:val="22"/>
          <w:szCs w:val="22"/>
        </w:rPr>
        <w:t xml:space="preserve">that users of publicly available traditional knowledge of unknown origin have an unfair advantage if they are not obliged to share benefits. The bilateral approach is not applicable for this case as there are no rights </w:t>
      </w:r>
      <w:r w:rsidRPr="00F76BAE">
        <w:rPr>
          <w:iCs/>
          <w:snapToGrid/>
          <w:kern w:val="22"/>
          <w:szCs w:val="22"/>
        </w:rPr>
        <w:t>holders</w:t>
      </w:r>
      <w:r w:rsidRPr="00F76BAE">
        <w:rPr>
          <w:snapToGrid/>
          <w:kern w:val="22"/>
          <w:szCs w:val="22"/>
        </w:rPr>
        <w:t xml:space="preserve"> to provide prior informed consent and mutually agreed terms. For widely dispersed traditional knowledge, the reasons identified by the submission as to why this specific case cannot be adequately covered by the bilateral approach are similar to those mentioned under </w:t>
      </w:r>
      <w:r w:rsidR="002A29CD" w:rsidRPr="00F76BAE">
        <w:rPr>
          <w:snapToGrid/>
          <w:kern w:val="22"/>
          <w:szCs w:val="22"/>
        </w:rPr>
        <w:t>paragraph </w:t>
      </w:r>
      <w:r w:rsidR="002A29CD" w:rsidRPr="00F76BAE">
        <w:rPr>
          <w:snapToGrid/>
          <w:kern w:val="22"/>
          <w:szCs w:val="22"/>
        </w:rPr>
        <w:fldChar w:fldCharType="begin"/>
      </w:r>
      <w:r w:rsidR="002A29CD" w:rsidRPr="00F76BAE">
        <w:rPr>
          <w:snapToGrid/>
          <w:kern w:val="22"/>
          <w:szCs w:val="22"/>
        </w:rPr>
        <w:instrText xml:space="preserve"> REF _Ref50471951 \r \h </w:instrText>
      </w:r>
      <w:r w:rsidR="00F76BAE">
        <w:rPr>
          <w:snapToGrid/>
          <w:kern w:val="22"/>
          <w:szCs w:val="22"/>
        </w:rPr>
        <w:instrText xml:space="preserve"> \* MERGEFORMAT </w:instrText>
      </w:r>
      <w:r w:rsidR="002A29CD" w:rsidRPr="00F76BAE">
        <w:rPr>
          <w:snapToGrid/>
          <w:kern w:val="22"/>
          <w:szCs w:val="22"/>
        </w:rPr>
      </w:r>
      <w:r w:rsidR="002A29CD" w:rsidRPr="00F76BAE">
        <w:rPr>
          <w:snapToGrid/>
          <w:kern w:val="22"/>
          <w:szCs w:val="22"/>
        </w:rPr>
        <w:fldChar w:fldCharType="separate"/>
      </w:r>
      <w:r w:rsidR="002A29CD" w:rsidRPr="00F76BAE">
        <w:rPr>
          <w:snapToGrid/>
          <w:kern w:val="22"/>
          <w:szCs w:val="22"/>
        </w:rPr>
        <w:t>20</w:t>
      </w:r>
      <w:r w:rsidR="002A29CD" w:rsidRPr="00F76BAE">
        <w:rPr>
          <w:snapToGrid/>
          <w:kern w:val="22"/>
          <w:szCs w:val="22"/>
        </w:rPr>
        <w:fldChar w:fldCharType="end"/>
      </w:r>
      <w:r w:rsidR="003752AF" w:rsidRPr="00F76BAE">
        <w:rPr>
          <w:snapToGrid/>
          <w:kern w:val="22"/>
          <w:szCs w:val="22"/>
        </w:rPr>
        <w:t xml:space="preserve"> above</w:t>
      </w:r>
      <w:r w:rsidRPr="00F76BAE">
        <w:rPr>
          <w:snapToGrid/>
          <w:kern w:val="22"/>
          <w:szCs w:val="22"/>
        </w:rPr>
        <w:t>.</w:t>
      </w:r>
      <w:r w:rsidRPr="00F76BAE">
        <w:rPr>
          <w:iCs/>
          <w:snapToGrid/>
          <w:kern w:val="22"/>
          <w:szCs w:val="22"/>
        </w:rPr>
        <w:t xml:space="preserve"> With regard to traditional knowledge in </w:t>
      </w:r>
      <w:r w:rsidRPr="00F76BAE">
        <w:rPr>
          <w:snapToGrid/>
          <w:kern w:val="22"/>
          <w:szCs w:val="22"/>
        </w:rPr>
        <w:t>ex situ collections, the same organization</w:t>
      </w:r>
      <w:r w:rsidRPr="00F76BAE">
        <w:rPr>
          <w:rStyle w:val="FootnoteReference"/>
          <w:snapToGrid/>
          <w:kern w:val="22"/>
          <w:szCs w:val="22"/>
        </w:rPr>
        <w:footnoteReference w:id="44"/>
      </w:r>
      <w:r w:rsidRPr="00F76BAE">
        <w:rPr>
          <w:snapToGrid/>
          <w:kern w:val="22"/>
          <w:szCs w:val="22"/>
        </w:rPr>
        <w:t xml:space="preserve"> elaborated that </w:t>
      </w:r>
      <w:r w:rsidRPr="00095529">
        <w:rPr>
          <w:i/>
          <w:iCs/>
          <w:snapToGrid/>
          <w:kern w:val="22"/>
          <w:szCs w:val="22"/>
        </w:rPr>
        <w:t>ex situ</w:t>
      </w:r>
      <w:r w:rsidRPr="00F76BAE">
        <w:rPr>
          <w:snapToGrid/>
          <w:kern w:val="22"/>
          <w:szCs w:val="22"/>
        </w:rPr>
        <w:t xml:space="preserve"> collections can only provide legitimate access accompanied by fair and equitable benefit-sharing if they are able to identify the original provider country or community that should receive benefits. When the provider is unknown, the bilateral approach results in unfair and inequitable outcomes, creating disincentives to invest in research and development involving resources for which access and benefit-sharing requirements apply.</w:t>
      </w:r>
    </w:p>
    <w:p w14:paraId="0AF77CC7" w14:textId="77777777" w:rsidR="004F6661" w:rsidRPr="00F76BAE" w:rsidRDefault="004F6661" w:rsidP="00F76BAE">
      <w:pPr>
        <w:pStyle w:val="Heading2"/>
        <w:numPr>
          <w:ilvl w:val="0"/>
          <w:numId w:val="12"/>
        </w:numPr>
        <w:suppressLineNumbers/>
        <w:tabs>
          <w:tab w:val="clear" w:pos="720"/>
        </w:tabs>
        <w:suppressAutoHyphens/>
        <w:ind w:left="1260" w:hanging="540"/>
        <w:jc w:val="left"/>
        <w:rPr>
          <w:i w:val="0"/>
          <w:kern w:val="22"/>
          <w:szCs w:val="22"/>
        </w:rPr>
      </w:pPr>
      <w:r w:rsidRPr="00F76BAE">
        <w:rPr>
          <w:i w:val="0"/>
          <w:kern w:val="22"/>
          <w:szCs w:val="22"/>
        </w:rPr>
        <w:t>Options for possible modalities for addressing those cases, including through a global multilateral benefit-sharing mechanism</w:t>
      </w:r>
    </w:p>
    <w:p w14:paraId="537A8F25" w14:textId="77777777"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Regardless of the exact modalities that would eventually be agreed, one submission</w:t>
      </w:r>
      <w:r w:rsidRPr="00F76BAE">
        <w:rPr>
          <w:kern w:val="22"/>
          <w:szCs w:val="22"/>
          <w:vertAlign w:val="superscript"/>
        </w:rPr>
        <w:footnoteReference w:id="45"/>
      </w:r>
      <w:r w:rsidRPr="00F76BAE">
        <w:rPr>
          <w:kern w:val="22"/>
          <w:szCs w:val="22"/>
        </w:rPr>
        <w:t xml:space="preserve"> is of the view that a global multilateral benefit-sharing mechanism</w:t>
      </w:r>
      <w:r w:rsidRPr="00F76BAE">
        <w:rPr>
          <w:snapToGrid/>
          <w:kern w:val="22"/>
          <w:szCs w:val="22"/>
        </w:rPr>
        <w:t xml:space="preserve"> </w:t>
      </w:r>
      <w:r w:rsidRPr="00F76BAE">
        <w:rPr>
          <w:kern w:val="22"/>
          <w:szCs w:val="22"/>
        </w:rPr>
        <w:t>should, at a minimum:</w:t>
      </w:r>
    </w:p>
    <w:p w14:paraId="1FD268C4" w14:textId="77777777" w:rsidR="004F6661" w:rsidRPr="00F76BAE" w:rsidRDefault="004F6661" w:rsidP="00F76BAE">
      <w:pPr>
        <w:pStyle w:val="Para1"/>
        <w:numPr>
          <w:ilvl w:val="0"/>
          <w:numId w:val="18"/>
        </w:numPr>
        <w:suppressLineNumbers/>
        <w:tabs>
          <w:tab w:val="left" w:pos="720"/>
        </w:tabs>
        <w:suppressAutoHyphens/>
        <w:spacing w:before="60" w:after="60"/>
        <w:ind w:left="0" w:firstLine="720"/>
        <w:rPr>
          <w:kern w:val="22"/>
          <w:szCs w:val="22"/>
        </w:rPr>
      </w:pPr>
      <w:r w:rsidRPr="00F76BAE">
        <w:rPr>
          <w:kern w:val="22"/>
          <w:szCs w:val="22"/>
        </w:rPr>
        <w:t>Ensure that all users of genetic resources and associated traditional knowledge who generate monetary benefits contribute fairly and equitably to the conservation and sustainable use of biodiversity;</w:t>
      </w:r>
    </w:p>
    <w:p w14:paraId="6609F760" w14:textId="77777777" w:rsidR="004F6661" w:rsidRPr="00F76BAE" w:rsidRDefault="004F6661" w:rsidP="00F76BAE">
      <w:pPr>
        <w:pStyle w:val="Para1"/>
        <w:numPr>
          <w:ilvl w:val="0"/>
          <w:numId w:val="18"/>
        </w:numPr>
        <w:suppressLineNumbers/>
        <w:tabs>
          <w:tab w:val="left" w:pos="720"/>
        </w:tabs>
        <w:suppressAutoHyphens/>
        <w:spacing w:before="60" w:after="60"/>
        <w:ind w:left="0" w:firstLine="720"/>
        <w:rPr>
          <w:kern w:val="22"/>
          <w:szCs w:val="22"/>
        </w:rPr>
      </w:pPr>
      <w:r w:rsidRPr="00F76BAE">
        <w:rPr>
          <w:kern w:val="22"/>
          <w:szCs w:val="22"/>
        </w:rPr>
        <w:t>Not undermine the sovereign rights of States to regulate access to their resources;</w:t>
      </w:r>
    </w:p>
    <w:p w14:paraId="2764055A" w14:textId="77777777" w:rsidR="004F6661" w:rsidRPr="00F76BAE" w:rsidRDefault="004F6661" w:rsidP="00F76BAE">
      <w:pPr>
        <w:pStyle w:val="Para1"/>
        <w:numPr>
          <w:ilvl w:val="0"/>
          <w:numId w:val="18"/>
        </w:numPr>
        <w:suppressLineNumbers/>
        <w:tabs>
          <w:tab w:val="left" w:pos="720"/>
        </w:tabs>
        <w:suppressAutoHyphens/>
        <w:spacing w:before="60" w:after="60"/>
        <w:ind w:left="0" w:firstLine="720"/>
        <w:rPr>
          <w:kern w:val="22"/>
          <w:szCs w:val="22"/>
        </w:rPr>
      </w:pPr>
      <w:r w:rsidRPr="00F76BAE">
        <w:rPr>
          <w:kern w:val="22"/>
          <w:szCs w:val="22"/>
        </w:rPr>
        <w:t>Provide a clear, globally agreed and globally supervised channel for users to share benefits derived from resources accessed outside the default bilateral access and benefit-sharing approach established under the Convention and the Nagoya Protocol.</w:t>
      </w:r>
    </w:p>
    <w:p w14:paraId="432E219D" w14:textId="71F3AB13" w:rsidR="004F6661" w:rsidRPr="00F76BAE"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F76BAE">
        <w:rPr>
          <w:kern w:val="22"/>
          <w:szCs w:val="22"/>
        </w:rPr>
        <w:t>Several Parties and organizations</w:t>
      </w:r>
      <w:r w:rsidRPr="00F76BAE">
        <w:rPr>
          <w:rStyle w:val="FootnoteReference"/>
          <w:kern w:val="22"/>
          <w:szCs w:val="22"/>
        </w:rPr>
        <w:footnoteReference w:id="46"/>
      </w:r>
      <w:r w:rsidRPr="00F76BAE">
        <w:rPr>
          <w:kern w:val="22"/>
          <w:szCs w:val="22"/>
        </w:rPr>
        <w:t xml:space="preserve"> described options for possible modalities for addressing cases that are not covered under the bilateral approach set out in the Nagoya Protocol through a global multilateral benefit-sharing mechanism, as</w:t>
      </w:r>
      <w:r w:rsidR="007557C1" w:rsidRPr="00F76BAE">
        <w:rPr>
          <w:kern w:val="22"/>
          <w:szCs w:val="22"/>
        </w:rPr>
        <w:t xml:space="preserve"> described below.</w:t>
      </w:r>
    </w:p>
    <w:p w14:paraId="5BCC6EA8" w14:textId="20539E58" w:rsidR="004F6661" w:rsidRPr="00F76BAE" w:rsidRDefault="003B5EC8" w:rsidP="00F76BAE">
      <w:pPr>
        <w:pStyle w:val="Heading3"/>
        <w:suppressLineNumbers/>
        <w:suppressAutoHyphens/>
        <w:ind w:left="1418" w:hanging="709"/>
        <w:jc w:val="left"/>
        <w:rPr>
          <w:i w:val="0"/>
          <w:iCs w:val="0"/>
          <w:kern w:val="22"/>
          <w:szCs w:val="22"/>
        </w:rPr>
      </w:pPr>
      <w:r w:rsidRPr="00F76BAE">
        <w:rPr>
          <w:kern w:val="22"/>
          <w:szCs w:val="22"/>
        </w:rPr>
        <w:t>1.</w:t>
      </w:r>
      <w:r w:rsidRPr="00F76BAE">
        <w:rPr>
          <w:kern w:val="22"/>
          <w:szCs w:val="22"/>
        </w:rPr>
        <w:tab/>
      </w:r>
      <w:r w:rsidR="004F6661" w:rsidRPr="00F76BAE">
        <w:rPr>
          <w:kern w:val="22"/>
          <w:szCs w:val="22"/>
        </w:rPr>
        <w:t>Sources of funding and modalities of use of funds from a global multilateral benefit</w:t>
      </w:r>
      <w:r w:rsidRPr="00F76BAE">
        <w:rPr>
          <w:kern w:val="22"/>
          <w:szCs w:val="22"/>
        </w:rPr>
        <w:noBreakHyphen/>
      </w:r>
      <w:r w:rsidR="004F6661" w:rsidRPr="00F76BAE">
        <w:rPr>
          <w:kern w:val="22"/>
          <w:szCs w:val="22"/>
        </w:rPr>
        <w:t>sharing mechanism</w:t>
      </w:r>
    </w:p>
    <w:p w14:paraId="4CBE0F14" w14:textId="77777777" w:rsidR="004F6661" w:rsidRPr="00F76BAE"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F76BAE">
        <w:rPr>
          <w:kern w:val="22"/>
          <w:szCs w:val="22"/>
        </w:rPr>
        <w:t>The primary purpose of a global multilateral benefit-sharing mechanism could be to receive monetary benefits shared by users of genetic resources and associated traditional knowledge who have obtained access in situations where the bilateral approach cannot be used;</w:t>
      </w:r>
      <w:r w:rsidRPr="00F76BAE">
        <w:rPr>
          <w:rStyle w:val="FootnoteReference"/>
          <w:kern w:val="22"/>
          <w:szCs w:val="22"/>
        </w:rPr>
        <w:footnoteReference w:id="47"/>
      </w:r>
    </w:p>
    <w:p w14:paraId="32554942" w14:textId="4C813532" w:rsidR="004F6661" w:rsidRPr="00F76BAE"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F76BAE">
        <w:rPr>
          <w:kern w:val="22"/>
          <w:szCs w:val="22"/>
        </w:rPr>
        <w:lastRenderedPageBreak/>
        <w:t>A global multilateral benefit-sharing mechanism</w:t>
      </w:r>
      <w:r w:rsidRPr="00F76BAE">
        <w:rPr>
          <w:snapToGrid/>
          <w:kern w:val="22"/>
          <w:szCs w:val="22"/>
        </w:rPr>
        <w:t xml:space="preserve"> could be primarily funded by users of genetic resources and </w:t>
      </w:r>
      <w:r w:rsidRPr="00F76BAE">
        <w:rPr>
          <w:kern w:val="22"/>
          <w:szCs w:val="22"/>
        </w:rPr>
        <w:t>associated</w:t>
      </w:r>
      <w:r w:rsidRPr="00F76BAE">
        <w:rPr>
          <w:snapToGrid/>
          <w:kern w:val="22"/>
          <w:szCs w:val="22"/>
        </w:rPr>
        <w:t xml:space="preserve"> traditional knowledge </w:t>
      </w:r>
      <w:r w:rsidRPr="00F76BAE">
        <w:rPr>
          <w:kern w:val="22"/>
          <w:szCs w:val="22"/>
        </w:rPr>
        <w:t>in transboundary situations and where it is not possible to grant prior informed consent</w:t>
      </w:r>
      <w:r w:rsidR="00AA492E" w:rsidRPr="00F76BAE">
        <w:rPr>
          <w:kern w:val="22"/>
          <w:szCs w:val="22"/>
        </w:rPr>
        <w:t>,</w:t>
      </w:r>
      <w:r w:rsidRPr="00F76BAE">
        <w:rPr>
          <w:rStyle w:val="FootnoteReference"/>
          <w:kern w:val="22"/>
          <w:szCs w:val="22"/>
        </w:rPr>
        <w:footnoteReference w:id="48"/>
      </w:r>
      <w:r w:rsidRPr="00F76BAE">
        <w:rPr>
          <w:kern w:val="22"/>
          <w:szCs w:val="22"/>
        </w:rPr>
        <w:t xml:space="preserve"> </w:t>
      </w:r>
      <w:r w:rsidRPr="00F76BAE">
        <w:rPr>
          <w:snapToGrid/>
          <w:kern w:val="22"/>
          <w:szCs w:val="22"/>
        </w:rPr>
        <w:t xml:space="preserve">but should also be open for voluntary contributions from </w:t>
      </w:r>
      <w:r w:rsidR="008E28E5" w:rsidRPr="00F76BAE">
        <w:rPr>
          <w:snapToGrid/>
          <w:kern w:val="22"/>
          <w:szCs w:val="22"/>
        </w:rPr>
        <w:t>G</w:t>
      </w:r>
      <w:r w:rsidRPr="00F76BAE">
        <w:rPr>
          <w:snapToGrid/>
          <w:kern w:val="22"/>
          <w:szCs w:val="22"/>
        </w:rPr>
        <w:t>overnments, individuals, organizations and other sources;</w:t>
      </w:r>
      <w:r w:rsidRPr="00F76BAE">
        <w:rPr>
          <w:rStyle w:val="FootnoteReference"/>
          <w:snapToGrid/>
          <w:kern w:val="22"/>
          <w:szCs w:val="22"/>
        </w:rPr>
        <w:footnoteReference w:id="49"/>
      </w:r>
    </w:p>
    <w:p w14:paraId="0CE83E66" w14:textId="545C9604" w:rsidR="004F6661" w:rsidRPr="00F76BAE"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F76BAE">
        <w:rPr>
          <w:snapToGrid/>
          <w:kern w:val="22"/>
          <w:szCs w:val="22"/>
        </w:rPr>
        <w:t xml:space="preserve">Funds raised through a </w:t>
      </w:r>
      <w:r w:rsidRPr="00F76BAE">
        <w:rPr>
          <w:kern w:val="22"/>
          <w:szCs w:val="22"/>
        </w:rPr>
        <w:t xml:space="preserve">global multilateral benefit-sharing mechanism </w:t>
      </w:r>
      <w:r w:rsidR="004D0C68" w:rsidRPr="00F76BAE">
        <w:rPr>
          <w:snapToGrid/>
          <w:kern w:val="22"/>
          <w:szCs w:val="22"/>
        </w:rPr>
        <w:t xml:space="preserve">could </w:t>
      </w:r>
      <w:r w:rsidRPr="00F76BAE">
        <w:rPr>
          <w:snapToGrid/>
          <w:kern w:val="22"/>
          <w:szCs w:val="22"/>
        </w:rPr>
        <w:t xml:space="preserve">be used for </w:t>
      </w:r>
      <w:r w:rsidRPr="00F76BAE">
        <w:rPr>
          <w:kern w:val="22"/>
          <w:szCs w:val="22"/>
        </w:rPr>
        <w:t>local projects around the globe that enhance conservation and sustainable use of biodiversity</w:t>
      </w:r>
      <w:r w:rsidR="004D0C68" w:rsidRPr="00F76BAE">
        <w:rPr>
          <w:kern w:val="22"/>
          <w:szCs w:val="22"/>
        </w:rPr>
        <w:t>,</w:t>
      </w:r>
      <w:r w:rsidRPr="00F76BAE">
        <w:rPr>
          <w:rStyle w:val="FootnoteReference"/>
          <w:kern w:val="22"/>
          <w:szCs w:val="22"/>
        </w:rPr>
        <w:footnoteReference w:id="50"/>
      </w:r>
      <w:r w:rsidRPr="00F76BAE">
        <w:rPr>
          <w:snapToGrid/>
          <w:kern w:val="22"/>
          <w:szCs w:val="22"/>
        </w:rPr>
        <w:t xml:space="preserve"> to support global biodiversity priorities as identified by science</w:t>
      </w:r>
      <w:r w:rsidR="004D0C68" w:rsidRPr="00F76BAE">
        <w:rPr>
          <w:kern w:val="22"/>
          <w:szCs w:val="22"/>
        </w:rPr>
        <w:t>,</w:t>
      </w:r>
      <w:r w:rsidRPr="00F76BAE">
        <w:rPr>
          <w:rStyle w:val="FootnoteReference"/>
          <w:kern w:val="22"/>
          <w:szCs w:val="22"/>
        </w:rPr>
        <w:footnoteReference w:id="51"/>
      </w:r>
      <w:r w:rsidRPr="00F76BAE">
        <w:rPr>
          <w:kern w:val="22"/>
          <w:szCs w:val="22"/>
        </w:rPr>
        <w:t xml:space="preserve"> the implementation of the Aichi Biodiversity Targets,</w:t>
      </w:r>
      <w:r w:rsidRPr="00F76BAE">
        <w:rPr>
          <w:rStyle w:val="FootnoteReference"/>
          <w:kern w:val="22"/>
          <w:szCs w:val="22"/>
        </w:rPr>
        <w:footnoteReference w:id="52"/>
      </w:r>
      <w:r w:rsidRPr="00F76BAE">
        <w:rPr>
          <w:kern w:val="22"/>
          <w:szCs w:val="22"/>
        </w:rPr>
        <w:t xml:space="preserve"> capacity-building and technology transfer,</w:t>
      </w:r>
      <w:r w:rsidRPr="00F76BAE">
        <w:rPr>
          <w:rStyle w:val="FootnoteReference"/>
          <w:kern w:val="22"/>
          <w:szCs w:val="22"/>
        </w:rPr>
        <w:footnoteReference w:id="53"/>
      </w:r>
      <w:r w:rsidRPr="00F76BAE">
        <w:rPr>
          <w:kern w:val="22"/>
          <w:szCs w:val="22"/>
        </w:rPr>
        <w:t xml:space="preserve"> or the development of networks and exchanges between providers</w:t>
      </w:r>
      <w:r w:rsidR="00FF49F1" w:rsidRPr="00F76BAE">
        <w:rPr>
          <w:kern w:val="22"/>
          <w:szCs w:val="22"/>
        </w:rPr>
        <w:t>.</w:t>
      </w:r>
      <w:r w:rsidRPr="00F76BAE">
        <w:rPr>
          <w:rStyle w:val="FootnoteReference"/>
          <w:kern w:val="22"/>
          <w:szCs w:val="22"/>
        </w:rPr>
        <w:footnoteReference w:id="54"/>
      </w:r>
    </w:p>
    <w:p w14:paraId="44AE853A" w14:textId="075A7CB9" w:rsidR="004F6661" w:rsidRPr="00F76BAE"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F76BAE">
        <w:rPr>
          <w:kern w:val="22"/>
          <w:szCs w:val="22"/>
        </w:rPr>
        <w:t>Decisions on how to allocate and use the income of a global multilateral benefit-sharing mechanism</w:t>
      </w:r>
      <w:r w:rsidRPr="00F76BAE">
        <w:rPr>
          <w:snapToGrid/>
          <w:kern w:val="22"/>
          <w:szCs w:val="22"/>
        </w:rPr>
        <w:t xml:space="preserve"> </w:t>
      </w:r>
      <w:r w:rsidRPr="00F76BAE">
        <w:rPr>
          <w:kern w:val="22"/>
          <w:szCs w:val="22"/>
        </w:rPr>
        <w:t xml:space="preserve">could be </w:t>
      </w:r>
      <w:r w:rsidR="00485422" w:rsidRPr="00F76BAE">
        <w:rPr>
          <w:kern w:val="22"/>
          <w:szCs w:val="22"/>
        </w:rPr>
        <w:t>ar</w:t>
      </w:r>
      <w:r w:rsidR="000F45D1" w:rsidRPr="00F76BAE">
        <w:rPr>
          <w:kern w:val="22"/>
          <w:szCs w:val="22"/>
        </w:rPr>
        <w:t>rived at</w:t>
      </w:r>
      <w:r w:rsidR="00485422" w:rsidRPr="00F76BAE">
        <w:rPr>
          <w:kern w:val="22"/>
          <w:szCs w:val="22"/>
        </w:rPr>
        <w:t xml:space="preserve"> </w:t>
      </w:r>
      <w:r w:rsidRPr="00F76BAE">
        <w:rPr>
          <w:kern w:val="22"/>
          <w:szCs w:val="22"/>
        </w:rPr>
        <w:t xml:space="preserve">by an independent international governing body constituted according to the usual regionally balanced </w:t>
      </w:r>
      <w:r w:rsidR="00982DB8" w:rsidRPr="00F76BAE">
        <w:rPr>
          <w:kern w:val="22"/>
          <w:szCs w:val="22"/>
        </w:rPr>
        <w:t xml:space="preserve">United Nations </w:t>
      </w:r>
      <w:r w:rsidRPr="00F76BAE">
        <w:rPr>
          <w:kern w:val="22"/>
          <w:szCs w:val="22"/>
        </w:rPr>
        <w:t>formula</w:t>
      </w:r>
      <w:r w:rsidRPr="00F76BAE">
        <w:rPr>
          <w:rStyle w:val="FootnoteReference"/>
          <w:kern w:val="22"/>
          <w:szCs w:val="22"/>
        </w:rPr>
        <w:footnoteReference w:id="55"/>
      </w:r>
      <w:r w:rsidRPr="00F76BAE">
        <w:rPr>
          <w:kern w:val="22"/>
          <w:szCs w:val="22"/>
        </w:rPr>
        <w:t xml:space="preserve"> or by the Secretariat of the Convention</w:t>
      </w:r>
      <w:r w:rsidR="002C7AEB" w:rsidRPr="00F76BAE">
        <w:rPr>
          <w:kern w:val="22"/>
          <w:szCs w:val="22"/>
        </w:rPr>
        <w:t>.</w:t>
      </w:r>
      <w:r w:rsidRPr="00F76BAE">
        <w:rPr>
          <w:rStyle w:val="FootnoteReference"/>
          <w:kern w:val="22"/>
          <w:szCs w:val="22"/>
        </w:rPr>
        <w:footnoteReference w:id="56"/>
      </w:r>
      <w:r w:rsidRPr="00F76BAE">
        <w:rPr>
          <w:kern w:val="22"/>
          <w:szCs w:val="22"/>
        </w:rPr>
        <w:t xml:space="preserve"> One submission sees a potential role for independent scientific advice, possibly from the </w:t>
      </w:r>
      <w:r w:rsidR="0088379E" w:rsidRPr="00F76BAE">
        <w:rPr>
          <w:kern w:val="22"/>
          <w:szCs w:val="22"/>
        </w:rPr>
        <w:t>Intergovernmental Science-Policy Platform on Biodiversity and Ecosystem Services</w:t>
      </w:r>
      <w:r w:rsidRPr="00F76BAE">
        <w:rPr>
          <w:kern w:val="22"/>
          <w:szCs w:val="22"/>
        </w:rPr>
        <w:t>, to be provided to the governing body about global funding priorities to be supported</w:t>
      </w:r>
      <w:r w:rsidR="008274E1" w:rsidRPr="00F76BAE">
        <w:rPr>
          <w:kern w:val="22"/>
          <w:szCs w:val="22"/>
        </w:rPr>
        <w:t>.</w:t>
      </w:r>
      <w:r w:rsidRPr="00F76BAE">
        <w:rPr>
          <w:rStyle w:val="FootnoteReference"/>
          <w:kern w:val="22"/>
          <w:szCs w:val="22"/>
        </w:rPr>
        <w:footnoteReference w:id="57"/>
      </w:r>
    </w:p>
    <w:p w14:paraId="7639E86B" w14:textId="77777777" w:rsidR="004F6661" w:rsidRPr="00F76BAE"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F76BAE">
        <w:rPr>
          <w:snapToGrid/>
          <w:kern w:val="22"/>
          <w:szCs w:val="22"/>
        </w:rPr>
        <w:t xml:space="preserve">A </w:t>
      </w:r>
      <w:r w:rsidRPr="00F76BAE">
        <w:rPr>
          <w:kern w:val="22"/>
          <w:szCs w:val="22"/>
        </w:rPr>
        <w:t xml:space="preserve">global </w:t>
      </w:r>
      <w:r w:rsidRPr="00F76BAE">
        <w:rPr>
          <w:snapToGrid/>
          <w:kern w:val="22"/>
          <w:szCs w:val="22"/>
        </w:rPr>
        <w:t>multilateral</w:t>
      </w:r>
      <w:r w:rsidRPr="00F76BAE">
        <w:rPr>
          <w:kern w:val="22"/>
          <w:szCs w:val="22"/>
        </w:rPr>
        <w:t xml:space="preserve"> benefit-sharing mechanism could have mixed modalities for different categories of resources. Examples provided include:</w:t>
      </w:r>
    </w:p>
    <w:p w14:paraId="269655B9" w14:textId="356F8C17" w:rsidR="004F6661" w:rsidRPr="00F76BAE" w:rsidRDefault="004F6661" w:rsidP="00F76BAE">
      <w:pPr>
        <w:pStyle w:val="Para1"/>
        <w:numPr>
          <w:ilvl w:val="0"/>
          <w:numId w:val="29"/>
        </w:numPr>
        <w:suppressLineNumbers/>
        <w:tabs>
          <w:tab w:val="left" w:pos="720"/>
        </w:tabs>
        <w:suppressAutoHyphens/>
        <w:spacing w:before="0"/>
        <w:ind w:left="0" w:firstLine="720"/>
        <w:rPr>
          <w:kern w:val="22"/>
          <w:szCs w:val="22"/>
        </w:rPr>
      </w:pPr>
      <w:r w:rsidRPr="00F76BAE">
        <w:rPr>
          <w:kern w:val="22"/>
          <w:szCs w:val="22"/>
        </w:rPr>
        <w:t xml:space="preserve">The International Treaty, under which certain species are listed in an annex and </w:t>
      </w:r>
      <w:r w:rsidR="00872255" w:rsidRPr="00F76BAE">
        <w:rPr>
          <w:kern w:val="22"/>
          <w:szCs w:val="22"/>
        </w:rPr>
        <w:t>fall</w:t>
      </w:r>
      <w:r w:rsidRPr="00F76BAE">
        <w:rPr>
          <w:kern w:val="22"/>
          <w:szCs w:val="22"/>
        </w:rPr>
        <w:t xml:space="preserve"> under the global multilateral benefit-sharing mechanism, supported by a standardized benefit-sharing arrangement;</w:t>
      </w:r>
    </w:p>
    <w:p w14:paraId="70634FA1" w14:textId="3E15EDFC" w:rsidR="004F6661" w:rsidRPr="00F76BAE" w:rsidRDefault="004F6661" w:rsidP="00F76BAE">
      <w:pPr>
        <w:pStyle w:val="Para1"/>
        <w:numPr>
          <w:ilvl w:val="0"/>
          <w:numId w:val="29"/>
        </w:numPr>
        <w:suppressLineNumbers/>
        <w:tabs>
          <w:tab w:val="left" w:pos="720"/>
        </w:tabs>
        <w:suppressAutoHyphens/>
        <w:spacing w:before="0"/>
        <w:ind w:left="0" w:firstLine="720"/>
        <w:rPr>
          <w:kern w:val="22"/>
          <w:szCs w:val="22"/>
        </w:rPr>
      </w:pPr>
      <w:r w:rsidRPr="00F76BAE">
        <w:rPr>
          <w:kern w:val="22"/>
          <w:szCs w:val="22"/>
        </w:rPr>
        <w:t>Earmarking funds for particular regions or sectors, dividing benefits between a specific provider and the global multilateral benefit-sharing mechanism under certain circumstances, and establishing a clearing-house mechanism for the sharing of non-monetary benefits.</w:t>
      </w:r>
      <w:r w:rsidRPr="00F76BAE">
        <w:rPr>
          <w:rStyle w:val="FootnoteReference"/>
          <w:kern w:val="22"/>
          <w:szCs w:val="22"/>
        </w:rPr>
        <w:footnoteReference w:id="58"/>
      </w:r>
    </w:p>
    <w:p w14:paraId="2CF2C0E3" w14:textId="135E21C1" w:rsidR="004F6661" w:rsidRPr="00F76BAE" w:rsidRDefault="004F6661" w:rsidP="00F76BAE">
      <w:pPr>
        <w:pStyle w:val="Para1"/>
        <w:numPr>
          <w:ilvl w:val="0"/>
          <w:numId w:val="2"/>
        </w:numPr>
        <w:suppressLineNumbers/>
        <w:tabs>
          <w:tab w:val="clear" w:pos="360"/>
          <w:tab w:val="left" w:pos="720"/>
        </w:tabs>
        <w:suppressAutoHyphens/>
        <w:spacing w:before="0"/>
        <w:rPr>
          <w:snapToGrid/>
          <w:kern w:val="22"/>
          <w:szCs w:val="22"/>
        </w:rPr>
      </w:pPr>
      <w:r w:rsidRPr="00F76BAE">
        <w:rPr>
          <w:kern w:val="22"/>
          <w:szCs w:val="22"/>
        </w:rPr>
        <w:t>A global multilateral benefit-sharing mechanism</w:t>
      </w:r>
      <w:r w:rsidRPr="00F76BAE">
        <w:rPr>
          <w:snapToGrid/>
          <w:kern w:val="22"/>
          <w:szCs w:val="22"/>
        </w:rPr>
        <w:t xml:space="preserve"> with agreed standardized benefit-sharing modalities can lower the costs associated with negotiating mutually agreed terms, even under the bilateral system, by providing an internationally agreed benchmark</w:t>
      </w:r>
      <w:r w:rsidR="00717BA0" w:rsidRPr="00F76BAE">
        <w:rPr>
          <w:snapToGrid/>
          <w:kern w:val="22"/>
          <w:szCs w:val="22"/>
        </w:rPr>
        <w:t>.</w:t>
      </w:r>
      <w:r w:rsidRPr="00F76BAE">
        <w:rPr>
          <w:rStyle w:val="FootnoteReference"/>
          <w:snapToGrid/>
          <w:kern w:val="22"/>
          <w:szCs w:val="22"/>
        </w:rPr>
        <w:footnoteReference w:id="59"/>
      </w:r>
    </w:p>
    <w:p w14:paraId="77DE7F6E" w14:textId="09BD5F75" w:rsidR="004F6661" w:rsidRPr="00F76BAE" w:rsidRDefault="00A33321" w:rsidP="00F76BAE">
      <w:pPr>
        <w:pStyle w:val="Heading3"/>
        <w:suppressLineNumbers/>
        <w:suppressAutoHyphens/>
        <w:rPr>
          <w:kern w:val="22"/>
          <w:szCs w:val="22"/>
        </w:rPr>
      </w:pPr>
      <w:r w:rsidRPr="00F76BAE">
        <w:rPr>
          <w:i w:val="0"/>
          <w:iCs w:val="0"/>
          <w:kern w:val="22"/>
          <w:szCs w:val="22"/>
        </w:rPr>
        <w:t>2.</w:t>
      </w:r>
      <w:r w:rsidRPr="00F76BAE">
        <w:rPr>
          <w:kern w:val="22"/>
          <w:szCs w:val="22"/>
        </w:rPr>
        <w:tab/>
      </w:r>
      <w:r w:rsidR="004F6661" w:rsidRPr="00F76BAE">
        <w:rPr>
          <w:kern w:val="22"/>
          <w:szCs w:val="22"/>
        </w:rPr>
        <w:t>Institutional structure and arrangements for a global multilateral benefit-sharing mechanism</w:t>
      </w:r>
    </w:p>
    <w:p w14:paraId="2DCB9D4B" w14:textId="74C16973"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A global multilateral benefit-sharing mechanism is intended to supplement the bilateral system, not replace it, and its design must therefore respect national sovereignty</w:t>
      </w:r>
      <w:r w:rsidR="004A247E">
        <w:rPr>
          <w:kern w:val="22"/>
          <w:szCs w:val="22"/>
        </w:rPr>
        <w:t>.</w:t>
      </w:r>
      <w:r w:rsidRPr="004A247E">
        <w:rPr>
          <w:vertAlign w:val="superscript"/>
        </w:rPr>
        <w:footnoteReference w:id="60"/>
      </w:r>
    </w:p>
    <w:p w14:paraId="775E034F" w14:textId="0D8D4827"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A global multilateral benefit-sharing mechanism should preferably be established under the Convention</w:t>
      </w:r>
      <w:r w:rsidR="003840C5" w:rsidRPr="00F76BAE">
        <w:rPr>
          <w:kern w:val="22"/>
          <w:szCs w:val="22"/>
        </w:rPr>
        <w:t>,</w:t>
      </w:r>
      <w:r w:rsidRPr="004A247E">
        <w:rPr>
          <w:vertAlign w:val="superscript"/>
        </w:rPr>
        <w:footnoteReference w:id="61"/>
      </w:r>
      <w:r w:rsidRPr="00F76BAE">
        <w:rPr>
          <w:kern w:val="22"/>
          <w:szCs w:val="22"/>
        </w:rPr>
        <w:t xml:space="preserve"> </w:t>
      </w:r>
      <w:r w:rsidR="00627C84" w:rsidRPr="00F76BAE">
        <w:rPr>
          <w:kern w:val="22"/>
          <w:szCs w:val="22"/>
        </w:rPr>
        <w:t xml:space="preserve">rather than </w:t>
      </w:r>
      <w:r w:rsidRPr="00F76BAE">
        <w:rPr>
          <w:kern w:val="22"/>
          <w:szCs w:val="22"/>
        </w:rPr>
        <w:t xml:space="preserve">the Nagoya Protocol, and should be open to all providers and users of genetic </w:t>
      </w:r>
      <w:r w:rsidRPr="00F76BAE">
        <w:rPr>
          <w:kern w:val="22"/>
          <w:szCs w:val="22"/>
        </w:rPr>
        <w:lastRenderedPageBreak/>
        <w:t>resources and traditional knowledge associated with genetic resources, regardless of whether they are, or are under the jurisdiction of, Parties to the Convention and/or the Protocol</w:t>
      </w:r>
      <w:r w:rsidR="003C6C56">
        <w:rPr>
          <w:kern w:val="22"/>
          <w:szCs w:val="22"/>
        </w:rPr>
        <w:t>.</w:t>
      </w:r>
      <w:r w:rsidRPr="003C6C56">
        <w:rPr>
          <w:vertAlign w:val="superscript"/>
        </w:rPr>
        <w:footnoteReference w:id="62"/>
      </w:r>
    </w:p>
    <w:p w14:paraId="6CB1EF53" w14:textId="5EE0ECD9"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The institutional arrangement for administering a global multilateral benefit-sharing mechanism is envisaged to keep administrative costs as low as possible, so that most of the income can be directed towards supporting sustainable use and conservation of biodiversity</w:t>
      </w:r>
      <w:r w:rsidR="003C6C56">
        <w:rPr>
          <w:kern w:val="22"/>
          <w:szCs w:val="22"/>
        </w:rPr>
        <w:t>.</w:t>
      </w:r>
      <w:r w:rsidRPr="003C6C56">
        <w:rPr>
          <w:vertAlign w:val="superscript"/>
        </w:rPr>
        <w:footnoteReference w:id="63"/>
      </w:r>
    </w:p>
    <w:p w14:paraId="01372649" w14:textId="77777777"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t>Enforcement and compliance measures for a global multilateral benefit-sharing mechanism need to be elaborated. An appropriate checkpoint might be at the point of domestic market authorization, where users who have obtained access without concluding bilateral mutually agreed terms could be obliged to accept a benefit-sharing obligation in exchange for permission to sell their products in a particular market.</w:t>
      </w:r>
      <w:r w:rsidRPr="003C6C56">
        <w:rPr>
          <w:vertAlign w:val="superscript"/>
        </w:rPr>
        <w:footnoteReference w:id="64"/>
      </w:r>
    </w:p>
    <w:p w14:paraId="3BC47DFC" w14:textId="17A789A1" w:rsidR="004F6661" w:rsidRPr="00F76BAE" w:rsidRDefault="004F6661" w:rsidP="00F76BAE">
      <w:pPr>
        <w:pStyle w:val="Heading2"/>
        <w:numPr>
          <w:ilvl w:val="0"/>
          <w:numId w:val="12"/>
        </w:numPr>
        <w:suppressLineNumbers/>
        <w:tabs>
          <w:tab w:val="clear" w:pos="720"/>
          <w:tab w:val="left" w:pos="426"/>
        </w:tabs>
        <w:suppressAutoHyphens/>
        <w:ind w:left="0" w:firstLine="0"/>
        <w:rPr>
          <w:i w:val="0"/>
          <w:kern w:val="22"/>
          <w:szCs w:val="22"/>
        </w:rPr>
      </w:pPr>
      <w:r w:rsidRPr="00F76BAE">
        <w:rPr>
          <w:i w:val="0"/>
          <w:kern w:val="22"/>
          <w:szCs w:val="22"/>
        </w:rPr>
        <w:t xml:space="preserve">Additional relevant information submitted pursuant to decision </w:t>
      </w:r>
      <w:r w:rsidR="00540580" w:rsidRPr="00F76BAE">
        <w:rPr>
          <w:i w:val="0"/>
          <w:kern w:val="22"/>
          <w:szCs w:val="22"/>
        </w:rPr>
        <w:t>NP-</w:t>
      </w:r>
      <w:r w:rsidRPr="00F76BAE">
        <w:rPr>
          <w:i w:val="0"/>
          <w:kern w:val="22"/>
          <w:szCs w:val="22"/>
        </w:rPr>
        <w:t>3/13</w:t>
      </w:r>
    </w:p>
    <w:p w14:paraId="7C22009D" w14:textId="1D41A2F6" w:rsidR="004F6661"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In response to the invitation to submit information, the Secretariat of the International Treaty on Plant Genetic Resources for Food and Agriculture provided updates on activities and process</w:t>
      </w:r>
      <w:r w:rsidR="00632221" w:rsidRPr="00F76BAE">
        <w:rPr>
          <w:snapToGrid/>
          <w:kern w:val="22"/>
          <w:szCs w:val="22"/>
        </w:rPr>
        <w:t>es</w:t>
      </w:r>
      <w:r w:rsidRPr="00F76BAE">
        <w:rPr>
          <w:snapToGrid/>
          <w:kern w:val="22"/>
          <w:szCs w:val="22"/>
        </w:rPr>
        <w:t xml:space="preserve"> under the International Treaty that are of relevance to the ongoing consideration of Article 10 of the Nagoya Protocol by the Parties thereto and a global multilateral benefit-sharing mechanism.</w:t>
      </w:r>
    </w:p>
    <w:p w14:paraId="3F7E8B0F" w14:textId="34472AAF" w:rsidR="004F6661"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F76BAE">
        <w:rPr>
          <w:kern w:val="22"/>
          <w:szCs w:val="22"/>
        </w:rPr>
        <w:t xml:space="preserve">In 2013, the Governing Body of the International Treaty launched </w:t>
      </w:r>
      <w:r w:rsidR="00BA0FF5" w:rsidRPr="00F76BAE">
        <w:rPr>
          <w:kern w:val="22"/>
          <w:szCs w:val="22"/>
        </w:rPr>
        <w:t>a</w:t>
      </w:r>
      <w:r w:rsidRPr="00F76BAE">
        <w:rPr>
          <w:kern w:val="22"/>
          <w:szCs w:val="22"/>
        </w:rPr>
        <w:t xml:space="preserve"> process </w:t>
      </w:r>
      <w:r w:rsidR="00BA0FF5" w:rsidRPr="00F76BAE">
        <w:rPr>
          <w:kern w:val="22"/>
          <w:szCs w:val="22"/>
        </w:rPr>
        <w:t xml:space="preserve">to enhance the Multilateral System </w:t>
      </w:r>
      <w:r w:rsidRPr="00F76BAE">
        <w:rPr>
          <w:kern w:val="22"/>
          <w:szCs w:val="22"/>
        </w:rPr>
        <w:t>by establishing an Ad Hoc Open-ended Working Group, which is tasked, inter alia, with developing measures for the increase in user-based payments and contributions to the Benefit-Sharing Fund in a sustainable and predictable long-term manner. The Working Group considered, among other matters, revisions to the Standard Material Transfer Agreement as well as possible changes to the coverage of the Multilateral System. As countries’ interdependence in plant genetic resources represents one of the key arguments for the Multilateral System of the International Treaty, the basis for considering its enhancement includes a fully updated estimation of such interdependence, as provided in a recent study.</w:t>
      </w:r>
      <w:r w:rsidRPr="00F76BAE">
        <w:rPr>
          <w:rStyle w:val="FootnoteReference"/>
          <w:kern w:val="22"/>
          <w:szCs w:val="22"/>
        </w:rPr>
        <w:footnoteReference w:id="65"/>
      </w:r>
    </w:p>
    <w:p w14:paraId="74A99A62" w14:textId="23FE2324" w:rsidR="004F6661" w:rsidRPr="00F76BAE" w:rsidRDefault="004E5D63"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During</w:t>
      </w:r>
      <w:r w:rsidR="004F6661" w:rsidRPr="00F76BAE">
        <w:rPr>
          <w:snapToGrid/>
          <w:kern w:val="22"/>
          <w:szCs w:val="22"/>
        </w:rPr>
        <w:t xml:space="preserve"> the biennium 2018-2019, the Working Group considered, </w:t>
      </w:r>
      <w:r w:rsidR="00632110" w:rsidRPr="00F76BAE">
        <w:rPr>
          <w:snapToGrid/>
          <w:kern w:val="22"/>
          <w:szCs w:val="22"/>
        </w:rPr>
        <w:t>among other things</w:t>
      </w:r>
      <w:r w:rsidR="004F6661" w:rsidRPr="00F76BAE">
        <w:rPr>
          <w:snapToGrid/>
          <w:kern w:val="22"/>
          <w:szCs w:val="22"/>
        </w:rPr>
        <w:t xml:space="preserve">, criteria and options for the possible adaptation of coverage of the Multilateral System and supportive measures to facilitate the implementation of the possible expansion of the coverage of the Multilateral System. The Working Group considered a possible process to review: the status of ratifications to the amended Annex I of the International Treaty (i.e. crops and forages covered by the Multilateral System); the level of user-based income accruing to the Benefit-sharing Fund; and </w:t>
      </w:r>
      <w:r w:rsidR="00F97761" w:rsidRPr="00F76BAE">
        <w:rPr>
          <w:snapToGrid/>
          <w:kern w:val="22"/>
          <w:szCs w:val="22"/>
        </w:rPr>
        <w:t xml:space="preserve">the </w:t>
      </w:r>
      <w:r w:rsidR="004F6661" w:rsidRPr="00F76BAE">
        <w:rPr>
          <w:snapToGrid/>
          <w:kern w:val="22"/>
          <w:szCs w:val="22"/>
        </w:rPr>
        <w:t>availability of and access provided to material within the Multilateral System.</w:t>
      </w:r>
    </w:p>
    <w:p w14:paraId="120274F1" w14:textId="21B9DEBB" w:rsidR="00653BC8" w:rsidRPr="00F76BAE" w:rsidRDefault="004F6661" w:rsidP="00F76BAE">
      <w:pPr>
        <w:pStyle w:val="Para1"/>
        <w:numPr>
          <w:ilvl w:val="0"/>
          <w:numId w:val="2"/>
        </w:numPr>
        <w:suppressLineNumbers/>
        <w:tabs>
          <w:tab w:val="clear" w:pos="360"/>
          <w:tab w:val="num" w:pos="709"/>
        </w:tabs>
        <w:suppressAutoHyphens/>
        <w:spacing w:before="0"/>
        <w:rPr>
          <w:snapToGrid/>
          <w:kern w:val="22"/>
          <w:szCs w:val="22"/>
        </w:rPr>
      </w:pPr>
      <w:r w:rsidRPr="00F76BAE">
        <w:rPr>
          <w:snapToGrid/>
          <w:kern w:val="22"/>
          <w:szCs w:val="22"/>
        </w:rPr>
        <w:t xml:space="preserve">At its </w:t>
      </w:r>
      <w:r w:rsidR="00D52DB1" w:rsidRPr="00F76BAE">
        <w:rPr>
          <w:snapToGrid/>
          <w:kern w:val="22"/>
          <w:szCs w:val="22"/>
        </w:rPr>
        <w:t>e</w:t>
      </w:r>
      <w:r w:rsidRPr="00F76BAE">
        <w:rPr>
          <w:snapToGrid/>
          <w:kern w:val="22"/>
          <w:szCs w:val="22"/>
        </w:rPr>
        <w:t xml:space="preserve">ighth </w:t>
      </w:r>
      <w:r w:rsidR="00D52DB1" w:rsidRPr="00F76BAE">
        <w:rPr>
          <w:snapToGrid/>
          <w:kern w:val="22"/>
          <w:szCs w:val="22"/>
        </w:rPr>
        <w:t>s</w:t>
      </w:r>
      <w:r w:rsidRPr="00F76BAE">
        <w:rPr>
          <w:snapToGrid/>
          <w:kern w:val="22"/>
          <w:szCs w:val="22"/>
        </w:rPr>
        <w:t>ession</w:t>
      </w:r>
      <w:r w:rsidR="00D52DB1" w:rsidRPr="00F76BAE">
        <w:rPr>
          <w:snapToGrid/>
          <w:kern w:val="22"/>
          <w:szCs w:val="22"/>
        </w:rPr>
        <w:t>,</w:t>
      </w:r>
      <w:r w:rsidRPr="00F76BAE">
        <w:rPr>
          <w:snapToGrid/>
          <w:kern w:val="22"/>
          <w:szCs w:val="22"/>
        </w:rPr>
        <w:t xml:space="preserve"> </w:t>
      </w:r>
      <w:r w:rsidR="00D52DB1" w:rsidRPr="00F76BAE">
        <w:rPr>
          <w:snapToGrid/>
          <w:kern w:val="22"/>
          <w:szCs w:val="22"/>
        </w:rPr>
        <w:t>in</w:t>
      </w:r>
      <w:r w:rsidRPr="00F76BAE">
        <w:rPr>
          <w:snapToGrid/>
          <w:kern w:val="22"/>
          <w:szCs w:val="22"/>
        </w:rPr>
        <w:t xml:space="preserve"> November 2019, the Governing Body of the International Treaty </w:t>
      </w:r>
      <w:r w:rsidR="00693FB0" w:rsidRPr="00F76BAE">
        <w:rPr>
          <w:snapToGrid/>
          <w:kern w:val="22"/>
          <w:szCs w:val="22"/>
        </w:rPr>
        <w:t>was unable to</w:t>
      </w:r>
      <w:r w:rsidRPr="00F76BAE">
        <w:rPr>
          <w:snapToGrid/>
          <w:kern w:val="22"/>
          <w:szCs w:val="22"/>
        </w:rPr>
        <w:t xml:space="preserve"> reach consensus on the enhancement of the Multilateral System. It encouraged informal consultations among </w:t>
      </w:r>
      <w:r w:rsidR="00B078D6" w:rsidRPr="00F76BAE">
        <w:rPr>
          <w:snapToGrid/>
          <w:kern w:val="22"/>
          <w:szCs w:val="22"/>
        </w:rPr>
        <w:t>c</w:t>
      </w:r>
      <w:r w:rsidRPr="00F76BAE">
        <w:rPr>
          <w:snapToGrid/>
          <w:kern w:val="22"/>
          <w:szCs w:val="22"/>
        </w:rPr>
        <w:t xml:space="preserve">ontracting Parties and especially national consultations among sectors and relevant stakeholders. Some </w:t>
      </w:r>
      <w:r w:rsidR="00B078D6" w:rsidRPr="00F76BAE">
        <w:rPr>
          <w:snapToGrid/>
          <w:kern w:val="22"/>
          <w:szCs w:val="22"/>
        </w:rPr>
        <w:t>c</w:t>
      </w:r>
      <w:r w:rsidRPr="00F76BAE">
        <w:rPr>
          <w:snapToGrid/>
          <w:kern w:val="22"/>
          <w:szCs w:val="22"/>
        </w:rPr>
        <w:t xml:space="preserve">ontracting Parties wanted the Governing Body at its </w:t>
      </w:r>
      <w:r w:rsidR="000C7BBC" w:rsidRPr="00F76BAE">
        <w:rPr>
          <w:snapToGrid/>
          <w:kern w:val="22"/>
          <w:szCs w:val="22"/>
        </w:rPr>
        <w:t>n</w:t>
      </w:r>
      <w:r w:rsidRPr="00F76BAE">
        <w:rPr>
          <w:snapToGrid/>
          <w:kern w:val="22"/>
          <w:szCs w:val="22"/>
        </w:rPr>
        <w:t xml:space="preserve">inth </w:t>
      </w:r>
      <w:r w:rsidR="000C7BBC" w:rsidRPr="00F76BAE">
        <w:rPr>
          <w:snapToGrid/>
          <w:kern w:val="22"/>
          <w:szCs w:val="22"/>
        </w:rPr>
        <w:t>s</w:t>
      </w:r>
      <w:r w:rsidRPr="00F76BAE">
        <w:rPr>
          <w:snapToGrid/>
          <w:kern w:val="22"/>
          <w:szCs w:val="22"/>
        </w:rPr>
        <w:t>ession to consider how to carry out further work on the enhancement of the Multilateral System, noting the need to consider outcomes of relevant debates under the Convention on Biological Diversity.</w:t>
      </w:r>
    </w:p>
    <w:p w14:paraId="45555610" w14:textId="72A2767C" w:rsidR="004F6661" w:rsidRPr="00F76BAE" w:rsidRDefault="0090742D" w:rsidP="00F76BAE">
      <w:pPr>
        <w:pStyle w:val="Heading1longmultiline"/>
        <w:numPr>
          <w:ilvl w:val="0"/>
          <w:numId w:val="13"/>
        </w:numPr>
        <w:suppressLineNumbers/>
        <w:tabs>
          <w:tab w:val="clear" w:pos="720"/>
          <w:tab w:val="left" w:pos="426"/>
        </w:tabs>
        <w:suppressAutoHyphens/>
        <w:spacing w:before="120"/>
        <w:ind w:left="0" w:firstLine="0"/>
        <w:jc w:val="center"/>
        <w:rPr>
          <w:kern w:val="22"/>
          <w:szCs w:val="22"/>
        </w:rPr>
      </w:pPr>
      <w:r w:rsidRPr="00F76BAE">
        <w:rPr>
          <w:kern w:val="22"/>
          <w:szCs w:val="22"/>
        </w:rPr>
        <w:t xml:space="preserve">Suggested </w:t>
      </w:r>
      <w:r w:rsidR="005C74B0" w:rsidRPr="00F76BAE">
        <w:rPr>
          <w:kern w:val="22"/>
          <w:szCs w:val="22"/>
        </w:rPr>
        <w:t>e</w:t>
      </w:r>
      <w:r w:rsidRPr="00F76BAE">
        <w:rPr>
          <w:kern w:val="22"/>
          <w:szCs w:val="22"/>
        </w:rPr>
        <w:t xml:space="preserve">lements of </w:t>
      </w:r>
      <w:r w:rsidR="00BF4BCA" w:rsidRPr="00F76BAE">
        <w:rPr>
          <w:kern w:val="22"/>
          <w:szCs w:val="22"/>
        </w:rPr>
        <w:t xml:space="preserve">a </w:t>
      </w:r>
      <w:r w:rsidRPr="00F76BAE">
        <w:rPr>
          <w:kern w:val="22"/>
          <w:szCs w:val="22"/>
        </w:rPr>
        <w:t>recommendation</w:t>
      </w:r>
    </w:p>
    <w:p w14:paraId="75D38A76" w14:textId="3264A7B4" w:rsidR="004F6661" w:rsidRPr="00F76BAE" w:rsidRDefault="004F6661" w:rsidP="00F76BAE">
      <w:pPr>
        <w:pStyle w:val="Para1"/>
        <w:numPr>
          <w:ilvl w:val="0"/>
          <w:numId w:val="2"/>
        </w:numPr>
        <w:suppressLineNumbers/>
        <w:tabs>
          <w:tab w:val="clear" w:pos="360"/>
          <w:tab w:val="num" w:pos="709"/>
        </w:tabs>
        <w:suppressAutoHyphens/>
        <w:spacing w:before="0"/>
        <w:rPr>
          <w:kern w:val="22"/>
          <w:szCs w:val="22"/>
        </w:rPr>
      </w:pPr>
      <w:r w:rsidRPr="00F76BAE">
        <w:rPr>
          <w:kern w:val="22"/>
          <w:szCs w:val="22"/>
        </w:rPr>
        <w:t xml:space="preserve">The Subsidiary Body on Implementation may wish to consider the synthesis of views </w:t>
      </w:r>
      <w:r w:rsidR="0090742D" w:rsidRPr="00F76BAE">
        <w:rPr>
          <w:kern w:val="22"/>
          <w:szCs w:val="22"/>
        </w:rPr>
        <w:t>(section</w:t>
      </w:r>
      <w:r w:rsidR="00EA13E0" w:rsidRPr="00F76BAE">
        <w:rPr>
          <w:kern w:val="22"/>
          <w:szCs w:val="22"/>
        </w:rPr>
        <w:t> </w:t>
      </w:r>
      <w:r w:rsidR="0090742D" w:rsidRPr="00F76BAE">
        <w:rPr>
          <w:kern w:val="22"/>
          <w:szCs w:val="22"/>
        </w:rPr>
        <w:t xml:space="preserve">II </w:t>
      </w:r>
      <w:r w:rsidR="00EA13E0" w:rsidRPr="00F76BAE">
        <w:rPr>
          <w:kern w:val="22"/>
          <w:szCs w:val="22"/>
        </w:rPr>
        <w:t>above</w:t>
      </w:r>
      <w:r w:rsidR="0090742D" w:rsidRPr="00F76BAE">
        <w:rPr>
          <w:kern w:val="22"/>
          <w:szCs w:val="22"/>
        </w:rPr>
        <w:t xml:space="preserve">) </w:t>
      </w:r>
      <w:r w:rsidRPr="00F76BAE">
        <w:rPr>
          <w:kern w:val="22"/>
          <w:szCs w:val="22"/>
        </w:rPr>
        <w:t xml:space="preserve">and the </w:t>
      </w:r>
      <w:r w:rsidR="0090742D" w:rsidRPr="00F76BAE">
        <w:rPr>
          <w:kern w:val="22"/>
          <w:szCs w:val="22"/>
        </w:rPr>
        <w:t>peer</w:t>
      </w:r>
      <w:r w:rsidR="000C367C" w:rsidRPr="00F76BAE">
        <w:rPr>
          <w:kern w:val="22"/>
          <w:szCs w:val="22"/>
        </w:rPr>
        <w:t>-</w:t>
      </w:r>
      <w:r w:rsidR="0090742D" w:rsidRPr="00F76BAE">
        <w:rPr>
          <w:kern w:val="22"/>
          <w:szCs w:val="22"/>
        </w:rPr>
        <w:t xml:space="preserve">reviewed </w:t>
      </w:r>
      <w:r w:rsidRPr="00F76BAE">
        <w:rPr>
          <w:kern w:val="22"/>
          <w:szCs w:val="22"/>
        </w:rPr>
        <w:t xml:space="preserve">study commissioned pursuant to decision </w:t>
      </w:r>
      <w:r w:rsidR="000C367C" w:rsidRPr="00F76BAE">
        <w:rPr>
          <w:kern w:val="22"/>
          <w:szCs w:val="22"/>
        </w:rPr>
        <w:t>NP-</w:t>
      </w:r>
      <w:r w:rsidRPr="00F76BAE">
        <w:rPr>
          <w:kern w:val="22"/>
          <w:szCs w:val="22"/>
        </w:rPr>
        <w:t>3/13</w:t>
      </w:r>
      <w:r w:rsidR="0090742D" w:rsidRPr="00F76BAE">
        <w:rPr>
          <w:kern w:val="22"/>
          <w:szCs w:val="22"/>
        </w:rPr>
        <w:t xml:space="preserve"> (CBD/SBI/3/15/Add.1)</w:t>
      </w:r>
      <w:r w:rsidRPr="00F76BAE">
        <w:rPr>
          <w:kern w:val="22"/>
          <w:szCs w:val="22"/>
        </w:rPr>
        <w:t>, with a view to identifying (a) specific cases, if any, that cannot be addressed through the bilateral approach</w:t>
      </w:r>
      <w:r w:rsidR="001D25EC" w:rsidRPr="00F76BAE">
        <w:rPr>
          <w:kern w:val="22"/>
          <w:szCs w:val="22"/>
        </w:rPr>
        <w:t>,</w:t>
      </w:r>
      <w:r w:rsidRPr="00F76BAE">
        <w:rPr>
          <w:kern w:val="22"/>
          <w:szCs w:val="22"/>
        </w:rPr>
        <w:t xml:space="preserve"> and (b) if identified, options for addressing these cases, including a possible global multilateral benefit-sharing mechanism, and mak</w:t>
      </w:r>
      <w:r w:rsidR="001D25EC" w:rsidRPr="00F76BAE">
        <w:rPr>
          <w:kern w:val="22"/>
          <w:szCs w:val="22"/>
        </w:rPr>
        <w:t>ing</w:t>
      </w:r>
      <w:r w:rsidRPr="00F76BAE">
        <w:rPr>
          <w:kern w:val="22"/>
          <w:szCs w:val="22"/>
        </w:rPr>
        <w:t xml:space="preserve"> a recommendation to the Conference of the Parties serving as the meeting of the Parties to the Nagoya Protocol at its fourth meeting.</w:t>
      </w:r>
    </w:p>
    <w:p w14:paraId="4F73CB39" w14:textId="6DC031E8" w:rsidR="004F6661" w:rsidRPr="00F76BAE" w:rsidRDefault="004F6661" w:rsidP="00F76BAE">
      <w:pPr>
        <w:pStyle w:val="Para1"/>
        <w:numPr>
          <w:ilvl w:val="0"/>
          <w:numId w:val="2"/>
        </w:numPr>
        <w:suppressLineNumbers/>
        <w:tabs>
          <w:tab w:val="clear" w:pos="360"/>
          <w:tab w:val="left" w:pos="720"/>
        </w:tabs>
        <w:suppressAutoHyphens/>
        <w:spacing w:before="0"/>
        <w:rPr>
          <w:kern w:val="22"/>
          <w:szCs w:val="22"/>
        </w:rPr>
      </w:pPr>
      <w:r w:rsidRPr="00F76BAE">
        <w:rPr>
          <w:kern w:val="22"/>
          <w:szCs w:val="22"/>
        </w:rPr>
        <w:lastRenderedPageBreak/>
        <w:t>The Subsidiary Body on implementation may wish to recommend that the Conference of the Parties serving as the meeting of the Parties to the Nagoya Protocol adopt a decision along the following lines:</w:t>
      </w:r>
    </w:p>
    <w:p w14:paraId="28483B60" w14:textId="77777777" w:rsidR="004F6661" w:rsidRPr="00F76BAE" w:rsidRDefault="004F6661" w:rsidP="00F76BAE">
      <w:pPr>
        <w:pStyle w:val="Para1"/>
        <w:suppressLineNumbers/>
        <w:suppressAutoHyphens/>
        <w:kinsoku w:val="0"/>
        <w:overflowPunct w:val="0"/>
        <w:autoSpaceDE w:val="0"/>
        <w:autoSpaceDN w:val="0"/>
        <w:snapToGrid w:val="0"/>
        <w:spacing w:before="0"/>
        <w:ind w:firstLine="720"/>
        <w:rPr>
          <w:i/>
          <w:iCs/>
          <w:kern w:val="22"/>
          <w:szCs w:val="22"/>
        </w:rPr>
      </w:pPr>
      <w:r w:rsidRPr="00F76BAE">
        <w:rPr>
          <w:i/>
          <w:iCs/>
          <w:kern w:val="22"/>
          <w:szCs w:val="22"/>
        </w:rPr>
        <w:t>The Conference of the Parties serving as the meeting to the Parties to the Nagoya Protocol,</w:t>
      </w:r>
    </w:p>
    <w:p w14:paraId="761A9A67" w14:textId="5A827696" w:rsidR="004F6661" w:rsidRPr="00F76BAE" w:rsidRDefault="004F6661" w:rsidP="00F76BAE">
      <w:pPr>
        <w:pStyle w:val="Para1"/>
        <w:suppressLineNumbers/>
        <w:suppressAutoHyphens/>
        <w:kinsoku w:val="0"/>
        <w:overflowPunct w:val="0"/>
        <w:autoSpaceDE w:val="0"/>
        <w:autoSpaceDN w:val="0"/>
        <w:snapToGrid w:val="0"/>
        <w:spacing w:before="0"/>
        <w:ind w:firstLine="720"/>
        <w:rPr>
          <w:iCs/>
          <w:kern w:val="22"/>
          <w:szCs w:val="22"/>
        </w:rPr>
      </w:pPr>
      <w:r w:rsidRPr="00F76BAE">
        <w:rPr>
          <w:i/>
          <w:iCs/>
          <w:kern w:val="22"/>
          <w:szCs w:val="22"/>
        </w:rPr>
        <w:t xml:space="preserve">Recalling </w:t>
      </w:r>
      <w:r w:rsidRPr="00F76BAE">
        <w:rPr>
          <w:iCs/>
          <w:kern w:val="22"/>
          <w:szCs w:val="22"/>
        </w:rPr>
        <w:t xml:space="preserve">the sovereign rights of States over their </w:t>
      </w:r>
      <w:r w:rsidR="0090742D" w:rsidRPr="00F76BAE">
        <w:rPr>
          <w:iCs/>
          <w:kern w:val="22"/>
          <w:szCs w:val="22"/>
        </w:rPr>
        <w:t>natural</w:t>
      </w:r>
      <w:r w:rsidRPr="00F76BAE">
        <w:rPr>
          <w:iCs/>
          <w:kern w:val="22"/>
          <w:szCs w:val="22"/>
        </w:rPr>
        <w:t xml:space="preserve"> resources</w:t>
      </w:r>
      <w:r w:rsidR="0090742D" w:rsidRPr="00F76BAE">
        <w:rPr>
          <w:iCs/>
          <w:kern w:val="22"/>
          <w:szCs w:val="22"/>
        </w:rPr>
        <w:t xml:space="preserve"> and national </w:t>
      </w:r>
      <w:r w:rsidR="00D67B07" w:rsidRPr="00F76BAE">
        <w:rPr>
          <w:iCs/>
          <w:kern w:val="22"/>
          <w:szCs w:val="22"/>
        </w:rPr>
        <w:t>G</w:t>
      </w:r>
      <w:r w:rsidR="0090742D" w:rsidRPr="00F76BAE">
        <w:rPr>
          <w:iCs/>
          <w:kern w:val="22"/>
          <w:szCs w:val="22"/>
        </w:rPr>
        <w:t>overnments authority to determine access to genetic resources as recognized in Article 15, paragraph 1</w:t>
      </w:r>
      <w:r w:rsidR="00745EE4" w:rsidRPr="00F76BAE">
        <w:rPr>
          <w:iCs/>
          <w:kern w:val="22"/>
          <w:szCs w:val="22"/>
        </w:rPr>
        <w:t>,</w:t>
      </w:r>
      <w:r w:rsidR="0090742D" w:rsidRPr="00F76BAE">
        <w:rPr>
          <w:iCs/>
          <w:kern w:val="22"/>
          <w:szCs w:val="22"/>
        </w:rPr>
        <w:t xml:space="preserve"> of the Convention</w:t>
      </w:r>
      <w:r w:rsidRPr="00F76BAE">
        <w:rPr>
          <w:iCs/>
          <w:kern w:val="22"/>
          <w:szCs w:val="22"/>
        </w:rPr>
        <w:t>,</w:t>
      </w:r>
    </w:p>
    <w:p w14:paraId="6CF71270" w14:textId="5A0C3C4C" w:rsidR="001A7F04" w:rsidRPr="00F76BAE" w:rsidRDefault="004F6661"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F76BAE">
        <w:rPr>
          <w:i/>
          <w:iCs/>
          <w:kern w:val="22"/>
          <w:szCs w:val="22"/>
        </w:rPr>
        <w:t xml:space="preserve">Recalling </w:t>
      </w:r>
      <w:r w:rsidRPr="00F76BAE">
        <w:rPr>
          <w:i/>
          <w:kern w:val="22"/>
          <w:szCs w:val="22"/>
        </w:rPr>
        <w:t>also</w:t>
      </w:r>
      <w:r w:rsidR="008D41E8" w:rsidRPr="00F76BAE">
        <w:rPr>
          <w:iCs/>
          <w:kern w:val="22"/>
          <w:szCs w:val="22"/>
        </w:rPr>
        <w:t xml:space="preserve"> the</w:t>
      </w:r>
      <w:r w:rsidR="00AE1ECD" w:rsidRPr="00F76BAE">
        <w:rPr>
          <w:iCs/>
          <w:kern w:val="22"/>
          <w:szCs w:val="22"/>
        </w:rPr>
        <w:t xml:space="preserve"> recognition, as specified in the </w:t>
      </w:r>
      <w:r w:rsidR="007A1072" w:rsidRPr="00F76BAE">
        <w:rPr>
          <w:iCs/>
          <w:kern w:val="22"/>
          <w:szCs w:val="22"/>
        </w:rPr>
        <w:t>p</w:t>
      </w:r>
      <w:r w:rsidR="00AE1ECD" w:rsidRPr="00F76BAE">
        <w:rPr>
          <w:iCs/>
          <w:kern w:val="22"/>
          <w:szCs w:val="22"/>
        </w:rPr>
        <w:t xml:space="preserve">reamble </w:t>
      </w:r>
      <w:r w:rsidR="006D75F4" w:rsidRPr="00F76BAE">
        <w:rPr>
          <w:iCs/>
          <w:kern w:val="22"/>
          <w:szCs w:val="22"/>
        </w:rPr>
        <w:t xml:space="preserve">to </w:t>
      </w:r>
      <w:r w:rsidRPr="00F76BAE">
        <w:rPr>
          <w:iCs/>
          <w:kern w:val="22"/>
          <w:szCs w:val="22"/>
        </w:rPr>
        <w:t>the Nagoya Protocol,</w:t>
      </w:r>
      <w:r w:rsidR="008D41E8" w:rsidRPr="00F76BAE">
        <w:rPr>
          <w:iCs/>
          <w:kern w:val="22"/>
          <w:szCs w:val="22"/>
        </w:rPr>
        <w:t xml:space="preserve"> of the requirement for an innovative solution to address the fair and equitable sharing of benefits derived from the utilization of genetic resources and traditional knowledge associated with genetic resources that occur in transboundary situations or for which it is not possible to grant or obtain prior informed consent,</w:t>
      </w:r>
    </w:p>
    <w:p w14:paraId="56F7C437" w14:textId="2272075A" w:rsidR="008D41E8" w:rsidRPr="00F76BAE" w:rsidRDefault="001A7F04"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F76BAE">
        <w:rPr>
          <w:i/>
          <w:kern w:val="22"/>
          <w:szCs w:val="22"/>
        </w:rPr>
        <w:t>Recalling</w:t>
      </w:r>
      <w:r w:rsidRPr="00F76BAE">
        <w:rPr>
          <w:iCs/>
          <w:kern w:val="22"/>
          <w:szCs w:val="22"/>
        </w:rPr>
        <w:t xml:space="preserve"> </w:t>
      </w:r>
      <w:r w:rsidRPr="00F76BAE">
        <w:rPr>
          <w:i/>
          <w:kern w:val="22"/>
          <w:szCs w:val="22"/>
        </w:rPr>
        <w:t>further</w:t>
      </w:r>
      <w:r w:rsidRPr="00F76BAE">
        <w:rPr>
          <w:iCs/>
          <w:kern w:val="22"/>
          <w:szCs w:val="22"/>
        </w:rPr>
        <w:t xml:space="preserve"> Article 11 of the Nagoya Protocol</w:t>
      </w:r>
      <w:r w:rsidR="00E679F9" w:rsidRPr="00F76BAE">
        <w:rPr>
          <w:iCs/>
          <w:kern w:val="22"/>
          <w:szCs w:val="22"/>
        </w:rPr>
        <w:t>,</w:t>
      </w:r>
      <w:r w:rsidRPr="00F76BAE">
        <w:rPr>
          <w:iCs/>
          <w:kern w:val="22"/>
          <w:szCs w:val="22"/>
        </w:rPr>
        <w:t xml:space="preserve"> which </w:t>
      </w:r>
      <w:r w:rsidR="00ED07DF" w:rsidRPr="00F76BAE">
        <w:rPr>
          <w:iCs/>
          <w:kern w:val="22"/>
          <w:szCs w:val="22"/>
        </w:rPr>
        <w:t>requires Parties to endeavour to cooperate in instances where the same genetic resources are found in transboundary situations and where the same traditional knowledge associated with genetic resources are shared by one or more indigenous peoples and local communities in several Parties, with a view to implement</w:t>
      </w:r>
      <w:r w:rsidR="00271D50" w:rsidRPr="00F76BAE">
        <w:rPr>
          <w:iCs/>
          <w:kern w:val="22"/>
          <w:szCs w:val="22"/>
        </w:rPr>
        <w:t>ing</w:t>
      </w:r>
      <w:r w:rsidR="00ED07DF" w:rsidRPr="00F76BAE">
        <w:rPr>
          <w:iCs/>
          <w:kern w:val="22"/>
          <w:szCs w:val="22"/>
        </w:rPr>
        <w:t xml:space="preserve"> the Protocol,</w:t>
      </w:r>
    </w:p>
    <w:p w14:paraId="708AEDE3" w14:textId="79FCFC1E" w:rsidR="004F6661" w:rsidRPr="00F76BAE" w:rsidRDefault="003B1FF2" w:rsidP="00F76BAE">
      <w:pPr>
        <w:suppressLineNumbers/>
        <w:suppressAutoHyphens/>
        <w:spacing w:after="120"/>
        <w:ind w:firstLine="720"/>
        <w:rPr>
          <w:kern w:val="22"/>
          <w:szCs w:val="22"/>
        </w:rPr>
      </w:pPr>
      <w:r w:rsidRPr="00F76BAE">
        <w:rPr>
          <w:i/>
          <w:iCs/>
          <w:kern w:val="22"/>
          <w:szCs w:val="22"/>
        </w:rPr>
        <w:t>Recognizing</w:t>
      </w:r>
      <w:r w:rsidRPr="00F76BAE">
        <w:rPr>
          <w:kern w:val="22"/>
          <w:szCs w:val="22"/>
        </w:rPr>
        <w:t xml:space="preserve"> the negotiation process that is under</w:t>
      </w:r>
      <w:r w:rsidR="00824B8C" w:rsidRPr="00F76BAE">
        <w:rPr>
          <w:kern w:val="22"/>
          <w:szCs w:val="22"/>
        </w:rPr>
        <w:t xml:space="preserve"> </w:t>
      </w:r>
      <w:r w:rsidRPr="00F76BAE">
        <w:rPr>
          <w:kern w:val="22"/>
          <w:szCs w:val="22"/>
        </w:rPr>
        <w:t xml:space="preserve">way on an international </w:t>
      </w:r>
      <w:r w:rsidR="007A1072" w:rsidRPr="00F76BAE">
        <w:rPr>
          <w:kern w:val="22"/>
          <w:szCs w:val="22"/>
        </w:rPr>
        <w:t>legally binding instrument under the United Nations Convention on the Law of the Sea on the conservation and sustainable use of marine biological diversity of areas beyond national jurisdiction</w:t>
      </w:r>
      <w:r w:rsidRPr="00F76BAE">
        <w:rPr>
          <w:kern w:val="22"/>
          <w:szCs w:val="22"/>
        </w:rPr>
        <w:t xml:space="preserve">, which is also expected </w:t>
      </w:r>
      <w:r w:rsidR="004F6661" w:rsidRPr="00F76BAE">
        <w:rPr>
          <w:kern w:val="22"/>
          <w:szCs w:val="22"/>
        </w:rPr>
        <w:t>to address access and benefit-sharing arising from the utilization of genetic resources in areas beyond national jurisdiction,</w:t>
      </w:r>
    </w:p>
    <w:p w14:paraId="1CD50F49" w14:textId="5EC4CAF4" w:rsidR="004F6661" w:rsidRPr="00F76BAE" w:rsidRDefault="003B1FF2"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F76BAE">
        <w:rPr>
          <w:iCs/>
          <w:kern w:val="22"/>
          <w:szCs w:val="22"/>
        </w:rPr>
        <w:t>1</w:t>
      </w:r>
      <w:r w:rsidR="004F6661" w:rsidRPr="00F76BAE">
        <w:rPr>
          <w:iCs/>
          <w:kern w:val="22"/>
          <w:szCs w:val="22"/>
        </w:rPr>
        <w:t>.</w:t>
      </w:r>
      <w:r w:rsidR="004F6661" w:rsidRPr="00F76BAE">
        <w:rPr>
          <w:iCs/>
          <w:kern w:val="22"/>
          <w:szCs w:val="22"/>
        </w:rPr>
        <w:tab/>
      </w:r>
      <w:r w:rsidRPr="00F76BAE">
        <w:rPr>
          <w:i/>
          <w:kern w:val="22"/>
          <w:szCs w:val="22"/>
        </w:rPr>
        <w:t xml:space="preserve">Takes note </w:t>
      </w:r>
      <w:r w:rsidRPr="00F76BAE">
        <w:rPr>
          <w:iCs/>
          <w:kern w:val="22"/>
          <w:szCs w:val="22"/>
        </w:rPr>
        <w:t xml:space="preserve">of </w:t>
      </w:r>
      <w:r w:rsidR="004F6661" w:rsidRPr="00F76BAE">
        <w:rPr>
          <w:iCs/>
          <w:kern w:val="22"/>
          <w:szCs w:val="22"/>
        </w:rPr>
        <w:t xml:space="preserve">the </w:t>
      </w:r>
      <w:r w:rsidRPr="00F76BAE">
        <w:rPr>
          <w:iCs/>
          <w:kern w:val="22"/>
          <w:szCs w:val="22"/>
        </w:rPr>
        <w:t xml:space="preserve">submissions of </w:t>
      </w:r>
      <w:r w:rsidR="004F6661" w:rsidRPr="00F76BAE">
        <w:rPr>
          <w:iCs/>
          <w:kern w:val="22"/>
          <w:szCs w:val="22"/>
        </w:rPr>
        <w:t>views and information</w:t>
      </w:r>
      <w:r w:rsidR="001A7F04" w:rsidRPr="00F76BAE">
        <w:rPr>
          <w:iCs/>
          <w:kern w:val="22"/>
          <w:szCs w:val="22"/>
        </w:rPr>
        <w:t xml:space="preserve"> and</w:t>
      </w:r>
      <w:r w:rsidRPr="00F76BAE">
        <w:rPr>
          <w:iCs/>
          <w:kern w:val="22"/>
          <w:szCs w:val="22"/>
        </w:rPr>
        <w:t xml:space="preserve"> th</w:t>
      </w:r>
      <w:r w:rsidR="001A7F04" w:rsidRPr="00F76BAE">
        <w:rPr>
          <w:iCs/>
          <w:kern w:val="22"/>
          <w:szCs w:val="22"/>
        </w:rPr>
        <w:t>e peer</w:t>
      </w:r>
      <w:r w:rsidR="004333E7" w:rsidRPr="00F76BAE">
        <w:rPr>
          <w:iCs/>
          <w:kern w:val="22"/>
          <w:szCs w:val="22"/>
        </w:rPr>
        <w:t>-</w:t>
      </w:r>
      <w:r w:rsidR="001A7F04" w:rsidRPr="00F76BAE">
        <w:rPr>
          <w:iCs/>
          <w:kern w:val="22"/>
          <w:szCs w:val="22"/>
        </w:rPr>
        <w:t>reviewed</w:t>
      </w:r>
      <w:r w:rsidRPr="00F76BAE">
        <w:rPr>
          <w:iCs/>
          <w:kern w:val="22"/>
          <w:szCs w:val="22"/>
        </w:rPr>
        <w:t xml:space="preserve"> </w:t>
      </w:r>
      <w:r w:rsidR="004F6661" w:rsidRPr="00F76BAE">
        <w:rPr>
          <w:iCs/>
          <w:kern w:val="22"/>
          <w:szCs w:val="22"/>
        </w:rPr>
        <w:t xml:space="preserve">study commissioned </w:t>
      </w:r>
      <w:r w:rsidR="001A7F04" w:rsidRPr="00F76BAE">
        <w:rPr>
          <w:iCs/>
          <w:kern w:val="22"/>
          <w:szCs w:val="22"/>
        </w:rPr>
        <w:t xml:space="preserve">by the Executive Secretary </w:t>
      </w:r>
      <w:r w:rsidR="004F6661" w:rsidRPr="00F76BAE">
        <w:rPr>
          <w:iCs/>
          <w:kern w:val="22"/>
          <w:szCs w:val="22"/>
        </w:rPr>
        <w:t>to identify specific cases of genetic resources and traditional knowledge associated with genetic resources that occur in transboundary situations or for which it is not possible to grant or obtain prior informed consent;</w:t>
      </w:r>
    </w:p>
    <w:p w14:paraId="5F9AA9A5" w14:textId="0B90D613" w:rsidR="004F6661" w:rsidRPr="00F76BAE" w:rsidRDefault="001A7F04"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F76BAE">
        <w:rPr>
          <w:iCs/>
          <w:kern w:val="22"/>
          <w:szCs w:val="22"/>
        </w:rPr>
        <w:t>2</w:t>
      </w:r>
      <w:r w:rsidR="004F6661" w:rsidRPr="00F76BAE">
        <w:rPr>
          <w:iCs/>
          <w:kern w:val="22"/>
          <w:szCs w:val="22"/>
        </w:rPr>
        <w:t>.</w:t>
      </w:r>
      <w:r w:rsidR="004F6661" w:rsidRPr="00F76BAE">
        <w:rPr>
          <w:iCs/>
          <w:kern w:val="22"/>
          <w:szCs w:val="22"/>
        </w:rPr>
        <w:tab/>
      </w:r>
      <w:r w:rsidR="006F062F" w:rsidRPr="00F76BAE">
        <w:rPr>
          <w:i/>
          <w:kern w:val="22"/>
          <w:szCs w:val="22"/>
        </w:rPr>
        <w:t xml:space="preserve">Considers </w:t>
      </w:r>
      <w:r w:rsidR="009E781E" w:rsidRPr="00F76BAE">
        <w:rPr>
          <w:iCs/>
          <w:kern w:val="22"/>
          <w:szCs w:val="22"/>
        </w:rPr>
        <w:t xml:space="preserve">the cases identified in the submissions as well as </w:t>
      </w:r>
      <w:r w:rsidR="004F6661" w:rsidRPr="00F76BAE">
        <w:rPr>
          <w:iCs/>
          <w:kern w:val="22"/>
          <w:szCs w:val="22"/>
        </w:rPr>
        <w:t xml:space="preserve">the </w:t>
      </w:r>
      <w:r w:rsidR="009E781E" w:rsidRPr="00F76BAE">
        <w:rPr>
          <w:iCs/>
          <w:kern w:val="22"/>
          <w:szCs w:val="22"/>
        </w:rPr>
        <w:t xml:space="preserve">peer reviewed study </w:t>
      </w:r>
      <w:r w:rsidR="00627C84" w:rsidRPr="00F76BAE">
        <w:rPr>
          <w:iCs/>
          <w:kern w:val="22"/>
          <w:szCs w:val="22"/>
        </w:rPr>
        <w:t xml:space="preserve">instructive, and </w:t>
      </w:r>
      <w:r w:rsidR="00627C84" w:rsidRPr="00F76BAE">
        <w:rPr>
          <w:i/>
          <w:kern w:val="22"/>
          <w:szCs w:val="22"/>
        </w:rPr>
        <w:t>decides</w:t>
      </w:r>
      <w:r w:rsidR="00627C84" w:rsidRPr="00F76BAE">
        <w:rPr>
          <w:iCs/>
          <w:kern w:val="22"/>
          <w:szCs w:val="22"/>
        </w:rPr>
        <w:t xml:space="preserve"> to </w:t>
      </w:r>
      <w:r w:rsidR="007577F8" w:rsidRPr="00F76BAE">
        <w:rPr>
          <w:iCs/>
          <w:kern w:val="22"/>
          <w:szCs w:val="22"/>
        </w:rPr>
        <w:t xml:space="preserve">proceed to explore potential modalities of a </w:t>
      </w:r>
      <w:r w:rsidR="006F062F" w:rsidRPr="00F76BAE">
        <w:rPr>
          <w:iCs/>
          <w:kern w:val="22"/>
          <w:szCs w:val="22"/>
        </w:rPr>
        <w:t>global multilateral benefit-sharing mechanism;</w:t>
      </w:r>
    </w:p>
    <w:p w14:paraId="1316D259" w14:textId="4F61BC5E" w:rsidR="004F6661" w:rsidRPr="00F76BAE" w:rsidRDefault="006F062F"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F76BAE">
        <w:rPr>
          <w:iCs/>
          <w:kern w:val="22"/>
          <w:szCs w:val="22"/>
        </w:rPr>
        <w:t>3</w:t>
      </w:r>
      <w:r w:rsidR="004F6661" w:rsidRPr="00F76BAE">
        <w:rPr>
          <w:iCs/>
          <w:kern w:val="22"/>
          <w:szCs w:val="22"/>
        </w:rPr>
        <w:t>.</w:t>
      </w:r>
      <w:r w:rsidR="004F6661" w:rsidRPr="00F76BAE">
        <w:rPr>
          <w:iCs/>
          <w:kern w:val="22"/>
          <w:szCs w:val="22"/>
        </w:rPr>
        <w:tab/>
      </w:r>
      <w:r w:rsidR="004F6661" w:rsidRPr="00F76BAE">
        <w:rPr>
          <w:i/>
          <w:kern w:val="22"/>
          <w:szCs w:val="22"/>
        </w:rPr>
        <w:t>Invites</w:t>
      </w:r>
      <w:r w:rsidR="004F6661" w:rsidRPr="00F76BAE">
        <w:rPr>
          <w:iCs/>
          <w:kern w:val="22"/>
          <w:szCs w:val="22"/>
        </w:rPr>
        <w:t xml:space="preserve"> Parties, other Governments, indigenous peoples and local communities, relevant stakeholders and organizations to submit to the Executive Secretary views </w:t>
      </w:r>
      <w:r w:rsidR="00780C8A" w:rsidRPr="00F76BAE">
        <w:rPr>
          <w:iCs/>
          <w:kern w:val="22"/>
          <w:szCs w:val="22"/>
        </w:rPr>
        <w:t xml:space="preserve">and information </w:t>
      </w:r>
      <w:r w:rsidR="004F6661" w:rsidRPr="00F76BAE">
        <w:rPr>
          <w:iCs/>
          <w:kern w:val="22"/>
          <w:szCs w:val="22"/>
        </w:rPr>
        <w:t>on</w:t>
      </w:r>
      <w:r w:rsidRPr="00F76BAE">
        <w:rPr>
          <w:iCs/>
          <w:kern w:val="22"/>
          <w:szCs w:val="22"/>
        </w:rPr>
        <w:t xml:space="preserve"> possible modalities of </w:t>
      </w:r>
      <w:r w:rsidR="00780C8A" w:rsidRPr="00F76BAE">
        <w:rPr>
          <w:iCs/>
          <w:kern w:val="22"/>
          <w:szCs w:val="22"/>
        </w:rPr>
        <w:t xml:space="preserve">a multilateral benefit-sharing mechanism, including </w:t>
      </w:r>
      <w:r w:rsidR="00627C84" w:rsidRPr="00F76BAE">
        <w:rPr>
          <w:iCs/>
          <w:kern w:val="22"/>
          <w:szCs w:val="22"/>
        </w:rPr>
        <w:t xml:space="preserve">options for </w:t>
      </w:r>
      <w:r w:rsidR="004E70AD" w:rsidRPr="00F76BAE">
        <w:rPr>
          <w:iCs/>
          <w:kern w:val="22"/>
          <w:szCs w:val="22"/>
        </w:rPr>
        <w:t>mode</w:t>
      </w:r>
      <w:r w:rsidR="00791D26" w:rsidRPr="00F76BAE">
        <w:rPr>
          <w:iCs/>
          <w:kern w:val="22"/>
          <w:szCs w:val="22"/>
        </w:rPr>
        <w:t>s</w:t>
      </w:r>
      <w:r w:rsidR="004E70AD" w:rsidRPr="00F76BAE">
        <w:rPr>
          <w:iCs/>
          <w:kern w:val="22"/>
          <w:szCs w:val="22"/>
        </w:rPr>
        <w:t xml:space="preserve"> of </w:t>
      </w:r>
      <w:r w:rsidR="00627C84" w:rsidRPr="00F76BAE">
        <w:rPr>
          <w:iCs/>
          <w:kern w:val="22"/>
          <w:szCs w:val="22"/>
        </w:rPr>
        <w:t>participation</w:t>
      </w:r>
      <w:r w:rsidR="004E70AD" w:rsidRPr="00F76BAE">
        <w:rPr>
          <w:iCs/>
          <w:kern w:val="22"/>
          <w:szCs w:val="22"/>
        </w:rPr>
        <w:t xml:space="preserve">, sharing of benefits and governance as well as </w:t>
      </w:r>
      <w:r w:rsidR="00B946C7" w:rsidRPr="00F76BAE">
        <w:rPr>
          <w:iCs/>
          <w:kern w:val="22"/>
          <w:szCs w:val="22"/>
        </w:rPr>
        <w:t xml:space="preserve">options  for </w:t>
      </w:r>
      <w:r w:rsidR="00780C8A" w:rsidRPr="00F76BAE">
        <w:rPr>
          <w:iCs/>
          <w:kern w:val="22"/>
          <w:szCs w:val="22"/>
        </w:rPr>
        <w:t>cooperation</w:t>
      </w:r>
      <w:r w:rsidR="00452472" w:rsidRPr="00F76BAE">
        <w:rPr>
          <w:iCs/>
          <w:kern w:val="22"/>
          <w:szCs w:val="22"/>
        </w:rPr>
        <w:t xml:space="preserve"> to address instances described in Article 11 of the Nagoya Protocol;</w:t>
      </w:r>
    </w:p>
    <w:p w14:paraId="4982ACEA" w14:textId="4E714A3A" w:rsidR="006E4E5D" w:rsidRPr="00F76BAE" w:rsidRDefault="006E4E5D"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F76BAE">
        <w:rPr>
          <w:iCs/>
          <w:kern w:val="22"/>
          <w:szCs w:val="22"/>
        </w:rPr>
        <w:t>4</w:t>
      </w:r>
      <w:r w:rsidR="004F6661" w:rsidRPr="00F76BAE">
        <w:rPr>
          <w:iCs/>
          <w:kern w:val="22"/>
          <w:szCs w:val="22"/>
        </w:rPr>
        <w:t>.</w:t>
      </w:r>
      <w:r w:rsidR="004F6661" w:rsidRPr="00F76BAE">
        <w:rPr>
          <w:iCs/>
          <w:kern w:val="22"/>
          <w:szCs w:val="22"/>
        </w:rPr>
        <w:tab/>
      </w:r>
      <w:r w:rsidR="004F6661" w:rsidRPr="00F76BAE">
        <w:rPr>
          <w:i/>
          <w:kern w:val="22"/>
          <w:szCs w:val="22"/>
        </w:rPr>
        <w:t>Decides</w:t>
      </w:r>
      <w:r w:rsidR="004F6661" w:rsidRPr="00F76BAE">
        <w:rPr>
          <w:iCs/>
          <w:kern w:val="22"/>
          <w:szCs w:val="22"/>
        </w:rPr>
        <w:t xml:space="preserve"> to establish an </w:t>
      </w:r>
      <w:r w:rsidR="00C91AEF" w:rsidRPr="00F76BAE">
        <w:rPr>
          <w:iCs/>
          <w:kern w:val="22"/>
          <w:szCs w:val="22"/>
        </w:rPr>
        <w:t>a</w:t>
      </w:r>
      <w:r w:rsidRPr="00F76BAE">
        <w:rPr>
          <w:iCs/>
          <w:kern w:val="22"/>
          <w:szCs w:val="22"/>
        </w:rPr>
        <w:t xml:space="preserve">d </w:t>
      </w:r>
      <w:r w:rsidR="00C91AEF" w:rsidRPr="00F76BAE">
        <w:rPr>
          <w:iCs/>
          <w:kern w:val="22"/>
          <w:szCs w:val="22"/>
        </w:rPr>
        <w:t>h</w:t>
      </w:r>
      <w:r w:rsidRPr="00F76BAE">
        <w:rPr>
          <w:iCs/>
          <w:kern w:val="22"/>
          <w:szCs w:val="22"/>
        </w:rPr>
        <w:t xml:space="preserve">oc </w:t>
      </w:r>
      <w:r w:rsidR="00C91AEF" w:rsidRPr="00F76BAE">
        <w:rPr>
          <w:iCs/>
          <w:kern w:val="22"/>
          <w:szCs w:val="22"/>
        </w:rPr>
        <w:t>te</w:t>
      </w:r>
      <w:r w:rsidRPr="00F76BAE">
        <w:rPr>
          <w:iCs/>
          <w:kern w:val="22"/>
          <w:szCs w:val="22"/>
        </w:rPr>
        <w:t xml:space="preserve">chnical </w:t>
      </w:r>
      <w:r w:rsidR="00C91AEF" w:rsidRPr="00F76BAE">
        <w:rPr>
          <w:iCs/>
          <w:kern w:val="22"/>
          <w:szCs w:val="22"/>
        </w:rPr>
        <w:t>e</w:t>
      </w:r>
      <w:r w:rsidR="004F6661" w:rsidRPr="00F76BAE">
        <w:rPr>
          <w:iCs/>
          <w:kern w:val="22"/>
          <w:szCs w:val="22"/>
        </w:rPr>
        <w:t xml:space="preserve">xpert </w:t>
      </w:r>
      <w:r w:rsidR="00C91AEF" w:rsidRPr="00F76BAE">
        <w:rPr>
          <w:iCs/>
          <w:kern w:val="22"/>
          <w:szCs w:val="22"/>
        </w:rPr>
        <w:t>g</w:t>
      </w:r>
      <w:r w:rsidR="004F6661" w:rsidRPr="00F76BAE">
        <w:rPr>
          <w:iCs/>
          <w:kern w:val="22"/>
          <w:szCs w:val="22"/>
        </w:rPr>
        <w:t xml:space="preserve">roup, </w:t>
      </w:r>
      <w:r w:rsidRPr="00F76BAE">
        <w:rPr>
          <w:iCs/>
          <w:kern w:val="22"/>
          <w:szCs w:val="22"/>
        </w:rPr>
        <w:t xml:space="preserve">with </w:t>
      </w:r>
      <w:r w:rsidR="001B2E65" w:rsidRPr="00F76BAE">
        <w:rPr>
          <w:iCs/>
          <w:kern w:val="22"/>
          <w:szCs w:val="22"/>
        </w:rPr>
        <w:t xml:space="preserve">the </w:t>
      </w:r>
      <w:r w:rsidR="00A6109C" w:rsidRPr="00F76BAE">
        <w:rPr>
          <w:iCs/>
          <w:kern w:val="22"/>
          <w:szCs w:val="22"/>
        </w:rPr>
        <w:t xml:space="preserve">terms of reference </w:t>
      </w:r>
      <w:r w:rsidR="001B2E65" w:rsidRPr="00F76BAE">
        <w:rPr>
          <w:iCs/>
          <w:kern w:val="22"/>
          <w:szCs w:val="22"/>
        </w:rPr>
        <w:t xml:space="preserve">as set out </w:t>
      </w:r>
      <w:r w:rsidR="00A6109C" w:rsidRPr="00F76BAE">
        <w:rPr>
          <w:iCs/>
          <w:kern w:val="22"/>
          <w:szCs w:val="22"/>
        </w:rPr>
        <w:t xml:space="preserve">in the </w:t>
      </w:r>
      <w:r w:rsidR="00204495" w:rsidRPr="00F76BAE">
        <w:rPr>
          <w:iCs/>
          <w:kern w:val="22"/>
          <w:szCs w:val="22"/>
        </w:rPr>
        <w:t>a</w:t>
      </w:r>
      <w:r w:rsidR="00A6109C" w:rsidRPr="00F76BAE">
        <w:rPr>
          <w:iCs/>
          <w:kern w:val="22"/>
          <w:szCs w:val="22"/>
        </w:rPr>
        <w:t>nnex</w:t>
      </w:r>
      <w:r w:rsidR="001B2E65" w:rsidRPr="00F76BAE">
        <w:rPr>
          <w:iCs/>
          <w:kern w:val="22"/>
          <w:szCs w:val="22"/>
        </w:rPr>
        <w:t xml:space="preserve"> to </w:t>
      </w:r>
      <w:r w:rsidR="00776AB8" w:rsidRPr="00F76BAE">
        <w:rPr>
          <w:iCs/>
          <w:kern w:val="22"/>
          <w:szCs w:val="22"/>
        </w:rPr>
        <w:t xml:space="preserve">the present </w:t>
      </w:r>
      <w:r w:rsidR="001B2E65" w:rsidRPr="00F76BAE">
        <w:rPr>
          <w:iCs/>
          <w:kern w:val="22"/>
          <w:szCs w:val="22"/>
        </w:rPr>
        <w:t>decision</w:t>
      </w:r>
      <w:r w:rsidR="00A6109C" w:rsidRPr="00F76BAE">
        <w:rPr>
          <w:iCs/>
          <w:kern w:val="22"/>
          <w:szCs w:val="22"/>
        </w:rPr>
        <w:t>,</w:t>
      </w:r>
      <w:r w:rsidR="004F6661" w:rsidRPr="00F76BAE">
        <w:rPr>
          <w:iCs/>
          <w:kern w:val="22"/>
          <w:szCs w:val="22"/>
        </w:rPr>
        <w:t xml:space="preserve"> </w:t>
      </w:r>
      <w:r w:rsidRPr="00F76BAE">
        <w:rPr>
          <w:iCs/>
          <w:kern w:val="22"/>
          <w:szCs w:val="22"/>
        </w:rPr>
        <w:t xml:space="preserve">to consider possible modalities of multilateral benefit-sharing mechanism </w:t>
      </w:r>
      <w:r w:rsidR="00A6109C" w:rsidRPr="00F76BAE">
        <w:rPr>
          <w:iCs/>
          <w:kern w:val="22"/>
          <w:szCs w:val="22"/>
        </w:rPr>
        <w:t>further to</w:t>
      </w:r>
      <w:r w:rsidRPr="00F76BAE">
        <w:rPr>
          <w:iCs/>
          <w:kern w:val="22"/>
          <w:szCs w:val="22"/>
        </w:rPr>
        <w:t xml:space="preserve"> Article 10 of the Nagoya Protocol, and to submit its report to the Subsidiary Body on Implementation for its consideration at its fourth meeting;</w:t>
      </w:r>
    </w:p>
    <w:p w14:paraId="0F57C332" w14:textId="1783BC41" w:rsidR="00791D26" w:rsidRPr="00F76BAE" w:rsidRDefault="006E4E5D" w:rsidP="00F76BAE">
      <w:pPr>
        <w:pStyle w:val="Para1"/>
        <w:suppressLineNumbers/>
        <w:tabs>
          <w:tab w:val="left" w:pos="720"/>
        </w:tabs>
        <w:suppressAutoHyphens/>
        <w:kinsoku w:val="0"/>
        <w:overflowPunct w:val="0"/>
        <w:autoSpaceDE w:val="0"/>
        <w:autoSpaceDN w:val="0"/>
        <w:snapToGrid w:val="0"/>
        <w:spacing w:before="0"/>
        <w:ind w:firstLine="720"/>
        <w:rPr>
          <w:i/>
          <w:kern w:val="22"/>
          <w:szCs w:val="22"/>
        </w:rPr>
      </w:pPr>
      <w:r w:rsidRPr="00F76BAE">
        <w:rPr>
          <w:iCs/>
          <w:kern w:val="22"/>
          <w:szCs w:val="22"/>
        </w:rPr>
        <w:t>5.</w:t>
      </w:r>
      <w:r w:rsidRPr="00F76BAE">
        <w:rPr>
          <w:iCs/>
          <w:kern w:val="22"/>
          <w:szCs w:val="22"/>
        </w:rPr>
        <w:tab/>
      </w:r>
      <w:r w:rsidRPr="00F76BAE">
        <w:rPr>
          <w:i/>
          <w:kern w:val="22"/>
          <w:szCs w:val="22"/>
        </w:rPr>
        <w:t>Requests</w:t>
      </w:r>
      <w:r w:rsidRPr="00F76BAE">
        <w:rPr>
          <w:iCs/>
          <w:kern w:val="22"/>
          <w:szCs w:val="22"/>
        </w:rPr>
        <w:t xml:space="preserve"> the Subsidiary Body on Implementation </w:t>
      </w:r>
      <w:r w:rsidR="00452472" w:rsidRPr="00F76BAE">
        <w:rPr>
          <w:iCs/>
          <w:kern w:val="22"/>
          <w:szCs w:val="22"/>
        </w:rPr>
        <w:t xml:space="preserve">to consider the report of the </w:t>
      </w:r>
      <w:r w:rsidR="008160D1" w:rsidRPr="00F76BAE">
        <w:rPr>
          <w:iCs/>
          <w:kern w:val="22"/>
          <w:szCs w:val="22"/>
        </w:rPr>
        <w:t>a</w:t>
      </w:r>
      <w:r w:rsidR="00452472" w:rsidRPr="00F76BAE">
        <w:rPr>
          <w:iCs/>
          <w:kern w:val="22"/>
          <w:szCs w:val="22"/>
        </w:rPr>
        <w:t xml:space="preserve">d </w:t>
      </w:r>
      <w:r w:rsidR="008160D1" w:rsidRPr="00F76BAE">
        <w:rPr>
          <w:iCs/>
          <w:kern w:val="22"/>
          <w:szCs w:val="22"/>
        </w:rPr>
        <w:t>h</w:t>
      </w:r>
      <w:r w:rsidR="00452472" w:rsidRPr="00F76BAE">
        <w:rPr>
          <w:iCs/>
          <w:kern w:val="22"/>
          <w:szCs w:val="22"/>
        </w:rPr>
        <w:t xml:space="preserve">oc </w:t>
      </w:r>
      <w:r w:rsidR="008160D1" w:rsidRPr="00F76BAE">
        <w:rPr>
          <w:iCs/>
          <w:kern w:val="22"/>
          <w:szCs w:val="22"/>
        </w:rPr>
        <w:t>t</w:t>
      </w:r>
      <w:r w:rsidR="00452472" w:rsidRPr="00F76BAE">
        <w:rPr>
          <w:iCs/>
          <w:kern w:val="22"/>
          <w:szCs w:val="22"/>
        </w:rPr>
        <w:t xml:space="preserve">echnical </w:t>
      </w:r>
      <w:r w:rsidR="008160D1" w:rsidRPr="00F76BAE">
        <w:rPr>
          <w:iCs/>
          <w:kern w:val="22"/>
          <w:szCs w:val="22"/>
        </w:rPr>
        <w:t>e</w:t>
      </w:r>
      <w:r w:rsidR="00452472" w:rsidRPr="00F76BAE">
        <w:rPr>
          <w:iCs/>
          <w:kern w:val="22"/>
          <w:szCs w:val="22"/>
        </w:rPr>
        <w:t xml:space="preserve">xpert </w:t>
      </w:r>
      <w:r w:rsidR="008160D1" w:rsidRPr="00F76BAE">
        <w:rPr>
          <w:iCs/>
          <w:kern w:val="22"/>
          <w:szCs w:val="22"/>
        </w:rPr>
        <w:t>g</w:t>
      </w:r>
      <w:r w:rsidR="00452472" w:rsidRPr="00F76BAE">
        <w:rPr>
          <w:iCs/>
          <w:kern w:val="22"/>
          <w:szCs w:val="22"/>
        </w:rPr>
        <w:t>roup referred to in paragraph 4 above</w:t>
      </w:r>
      <w:r w:rsidR="00C91AEF" w:rsidRPr="00F76BAE">
        <w:rPr>
          <w:iCs/>
          <w:kern w:val="22"/>
          <w:szCs w:val="22"/>
        </w:rPr>
        <w:t xml:space="preserve"> </w:t>
      </w:r>
      <w:r w:rsidR="00452472" w:rsidRPr="00F76BAE">
        <w:rPr>
          <w:iCs/>
          <w:kern w:val="22"/>
          <w:szCs w:val="22"/>
        </w:rPr>
        <w:t>and make recommendation</w:t>
      </w:r>
      <w:r w:rsidR="00791D26" w:rsidRPr="00F76BAE">
        <w:rPr>
          <w:iCs/>
          <w:kern w:val="22"/>
          <w:szCs w:val="22"/>
        </w:rPr>
        <w:t>s</w:t>
      </w:r>
      <w:r w:rsidR="00452472" w:rsidRPr="00F76BAE">
        <w:rPr>
          <w:iCs/>
          <w:kern w:val="22"/>
          <w:szCs w:val="22"/>
        </w:rPr>
        <w:t xml:space="preserve"> to the Conference of the Parties serving as the meeting of the Parties to the Nagoya Protocol, for its consideration at its fifth meeting</w:t>
      </w:r>
      <w:r w:rsidR="00C769EC" w:rsidRPr="00F76BAE">
        <w:rPr>
          <w:iCs/>
          <w:kern w:val="22"/>
          <w:szCs w:val="22"/>
        </w:rPr>
        <w:t>;</w:t>
      </w:r>
    </w:p>
    <w:p w14:paraId="25CA9AB8" w14:textId="47204006" w:rsidR="00791D26" w:rsidRPr="00F76BAE" w:rsidRDefault="00791D26"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r w:rsidRPr="00F76BAE">
        <w:rPr>
          <w:iCs/>
          <w:kern w:val="22"/>
          <w:szCs w:val="22"/>
        </w:rPr>
        <w:t>6.</w:t>
      </w:r>
      <w:r w:rsidR="00563ECA" w:rsidRPr="00F76BAE">
        <w:rPr>
          <w:iCs/>
          <w:kern w:val="22"/>
          <w:szCs w:val="22"/>
        </w:rPr>
        <w:tab/>
      </w:r>
      <w:r w:rsidR="006E4E5D" w:rsidRPr="00F76BAE">
        <w:rPr>
          <w:i/>
          <w:kern w:val="22"/>
          <w:szCs w:val="22"/>
        </w:rPr>
        <w:t>Requests</w:t>
      </w:r>
      <w:r w:rsidR="006E4E5D" w:rsidRPr="00F76BAE">
        <w:rPr>
          <w:iCs/>
          <w:kern w:val="22"/>
          <w:szCs w:val="22"/>
        </w:rPr>
        <w:t xml:space="preserve"> the Executive Secretary</w:t>
      </w:r>
      <w:r w:rsidR="00A6109C" w:rsidRPr="00F76BAE">
        <w:rPr>
          <w:iCs/>
          <w:kern w:val="22"/>
          <w:szCs w:val="22"/>
        </w:rPr>
        <w:t xml:space="preserve"> to </w:t>
      </w:r>
      <w:r w:rsidRPr="00F76BAE">
        <w:rPr>
          <w:iCs/>
          <w:kern w:val="22"/>
          <w:szCs w:val="22"/>
        </w:rPr>
        <w:t>facilitate</w:t>
      </w:r>
      <w:r w:rsidR="00A6109C" w:rsidRPr="00F76BAE">
        <w:rPr>
          <w:iCs/>
          <w:kern w:val="22"/>
          <w:szCs w:val="22"/>
        </w:rPr>
        <w:t xml:space="preserve"> the work of the </w:t>
      </w:r>
      <w:r w:rsidR="00FA3D53" w:rsidRPr="00F76BAE">
        <w:rPr>
          <w:iCs/>
          <w:kern w:val="22"/>
          <w:szCs w:val="22"/>
        </w:rPr>
        <w:t>a</w:t>
      </w:r>
      <w:r w:rsidR="00A6109C" w:rsidRPr="00F76BAE">
        <w:rPr>
          <w:iCs/>
          <w:kern w:val="22"/>
          <w:szCs w:val="22"/>
        </w:rPr>
        <w:t xml:space="preserve">d </w:t>
      </w:r>
      <w:r w:rsidR="00FA3D53" w:rsidRPr="00F76BAE">
        <w:rPr>
          <w:iCs/>
          <w:kern w:val="22"/>
          <w:szCs w:val="22"/>
        </w:rPr>
        <w:t>h</w:t>
      </w:r>
      <w:r w:rsidR="00A6109C" w:rsidRPr="00F76BAE">
        <w:rPr>
          <w:iCs/>
          <w:kern w:val="22"/>
          <w:szCs w:val="22"/>
        </w:rPr>
        <w:t xml:space="preserve">oc </w:t>
      </w:r>
      <w:r w:rsidR="00FA3D53" w:rsidRPr="00F76BAE">
        <w:rPr>
          <w:iCs/>
          <w:kern w:val="22"/>
          <w:szCs w:val="22"/>
        </w:rPr>
        <w:t>t</w:t>
      </w:r>
      <w:r w:rsidR="00A6109C" w:rsidRPr="00F76BAE">
        <w:rPr>
          <w:iCs/>
          <w:kern w:val="22"/>
          <w:szCs w:val="22"/>
        </w:rPr>
        <w:t xml:space="preserve">echnical </w:t>
      </w:r>
      <w:r w:rsidR="00FA3D53" w:rsidRPr="00F76BAE">
        <w:rPr>
          <w:iCs/>
          <w:kern w:val="22"/>
          <w:szCs w:val="22"/>
        </w:rPr>
        <w:t>e</w:t>
      </w:r>
      <w:r w:rsidR="00A6109C" w:rsidRPr="00F76BAE">
        <w:rPr>
          <w:iCs/>
          <w:kern w:val="22"/>
          <w:szCs w:val="22"/>
        </w:rPr>
        <w:t xml:space="preserve">xpert </w:t>
      </w:r>
      <w:r w:rsidR="00FA3D53" w:rsidRPr="00F76BAE">
        <w:rPr>
          <w:iCs/>
          <w:kern w:val="22"/>
          <w:szCs w:val="22"/>
        </w:rPr>
        <w:t>g</w:t>
      </w:r>
      <w:r w:rsidR="00A6109C" w:rsidRPr="00F76BAE">
        <w:rPr>
          <w:iCs/>
          <w:kern w:val="22"/>
          <w:szCs w:val="22"/>
        </w:rPr>
        <w:t>roup referred to in paragraph 4 by</w:t>
      </w:r>
      <w:r w:rsidR="00C75239" w:rsidRPr="00F76BAE">
        <w:rPr>
          <w:iCs/>
          <w:kern w:val="22"/>
          <w:szCs w:val="22"/>
        </w:rPr>
        <w:t>, among other things</w:t>
      </w:r>
      <w:r w:rsidRPr="00F76BAE">
        <w:rPr>
          <w:iCs/>
          <w:kern w:val="22"/>
          <w:szCs w:val="22"/>
        </w:rPr>
        <w:t>:</w:t>
      </w:r>
    </w:p>
    <w:p w14:paraId="33CA0062" w14:textId="3B44F0E2" w:rsidR="00791D26" w:rsidRPr="00F76BAE" w:rsidRDefault="00435C16" w:rsidP="00F76BAE">
      <w:pPr>
        <w:pStyle w:val="Para1"/>
        <w:suppressLineNumbers/>
        <w:tabs>
          <w:tab w:val="left" w:pos="720"/>
        </w:tabs>
        <w:suppressAutoHyphens/>
        <w:kinsoku w:val="0"/>
        <w:overflowPunct w:val="0"/>
        <w:autoSpaceDE w:val="0"/>
        <w:autoSpaceDN w:val="0"/>
        <w:snapToGrid w:val="0"/>
        <w:spacing w:before="0"/>
        <w:ind w:firstLine="720"/>
        <w:rPr>
          <w:iCs/>
          <w:kern w:val="22"/>
          <w:szCs w:val="22"/>
        </w:rPr>
      </w:pPr>
      <w:bookmarkStart w:id="11" w:name="_Hlk44400819"/>
      <w:r w:rsidRPr="00F76BAE">
        <w:rPr>
          <w:iCs/>
          <w:kern w:val="22"/>
          <w:szCs w:val="22"/>
        </w:rPr>
        <w:t>(a)</w:t>
      </w:r>
      <w:r w:rsidR="00563ECA" w:rsidRPr="00F76BAE">
        <w:rPr>
          <w:iCs/>
          <w:kern w:val="22"/>
          <w:szCs w:val="22"/>
        </w:rPr>
        <w:tab/>
      </w:r>
      <w:r w:rsidR="00791D26" w:rsidRPr="00F76BAE">
        <w:rPr>
          <w:iCs/>
          <w:kern w:val="22"/>
          <w:szCs w:val="22"/>
        </w:rPr>
        <w:t>P</w:t>
      </w:r>
      <w:r w:rsidRPr="00F76BAE">
        <w:rPr>
          <w:iCs/>
          <w:kern w:val="22"/>
          <w:szCs w:val="22"/>
        </w:rPr>
        <w:t>reparing a synthesis of the views and information referred to in paragraph 3 above;</w:t>
      </w:r>
    </w:p>
    <w:bookmarkEnd w:id="11"/>
    <w:p w14:paraId="1D3431E2" w14:textId="40654316" w:rsidR="00C91AEF" w:rsidRPr="00F76BAE" w:rsidRDefault="00435C16" w:rsidP="00F76BAE">
      <w:pPr>
        <w:pStyle w:val="Para1"/>
        <w:suppressLineNumbers/>
        <w:tabs>
          <w:tab w:val="left" w:pos="720"/>
        </w:tabs>
        <w:suppressAutoHyphens/>
        <w:spacing w:before="0"/>
        <w:ind w:firstLine="720"/>
        <w:rPr>
          <w:iCs/>
          <w:kern w:val="22"/>
          <w:szCs w:val="22"/>
        </w:rPr>
      </w:pPr>
      <w:r w:rsidRPr="00F76BAE">
        <w:rPr>
          <w:iCs/>
          <w:kern w:val="22"/>
          <w:szCs w:val="22"/>
        </w:rPr>
        <w:t>(b)</w:t>
      </w:r>
      <w:r w:rsidR="00563ECA" w:rsidRPr="00F76BAE">
        <w:rPr>
          <w:iCs/>
          <w:kern w:val="22"/>
          <w:szCs w:val="22"/>
        </w:rPr>
        <w:tab/>
      </w:r>
      <w:r w:rsidR="00791D26" w:rsidRPr="00F76BAE">
        <w:rPr>
          <w:iCs/>
          <w:kern w:val="22"/>
          <w:szCs w:val="22"/>
        </w:rPr>
        <w:t>E</w:t>
      </w:r>
      <w:r w:rsidRPr="00F76BAE">
        <w:rPr>
          <w:iCs/>
          <w:kern w:val="22"/>
          <w:szCs w:val="22"/>
        </w:rPr>
        <w:t xml:space="preserve">stablishing an online forum </w:t>
      </w:r>
      <w:r w:rsidR="00791D26" w:rsidRPr="00F76BAE">
        <w:rPr>
          <w:iCs/>
          <w:kern w:val="22"/>
          <w:szCs w:val="22"/>
        </w:rPr>
        <w:t xml:space="preserve">to consider </w:t>
      </w:r>
      <w:r w:rsidRPr="00F76BAE">
        <w:rPr>
          <w:iCs/>
          <w:kern w:val="22"/>
          <w:szCs w:val="22"/>
        </w:rPr>
        <w:t xml:space="preserve">the </w:t>
      </w:r>
      <w:r w:rsidR="00D77E64" w:rsidRPr="00F76BAE">
        <w:rPr>
          <w:iCs/>
          <w:kern w:val="22"/>
          <w:szCs w:val="22"/>
        </w:rPr>
        <w:t xml:space="preserve">synthesis of the </w:t>
      </w:r>
      <w:r w:rsidRPr="00F76BAE">
        <w:rPr>
          <w:iCs/>
          <w:kern w:val="22"/>
          <w:szCs w:val="22"/>
        </w:rPr>
        <w:t xml:space="preserve">views and information </w:t>
      </w:r>
      <w:r w:rsidR="00D77E64" w:rsidRPr="00F76BAE">
        <w:rPr>
          <w:iCs/>
          <w:kern w:val="22"/>
          <w:szCs w:val="22"/>
        </w:rPr>
        <w:t>referred to above</w:t>
      </w:r>
      <w:r w:rsidR="00791D26" w:rsidRPr="00F76BAE">
        <w:rPr>
          <w:iCs/>
          <w:kern w:val="22"/>
          <w:szCs w:val="22"/>
        </w:rPr>
        <w:t>;</w:t>
      </w:r>
    </w:p>
    <w:p w14:paraId="19221E7A" w14:textId="07CB7EB5" w:rsidR="008A269F" w:rsidRPr="00F76BAE" w:rsidRDefault="00791D26" w:rsidP="00F76BAE">
      <w:pPr>
        <w:pStyle w:val="Para1"/>
        <w:suppressLineNumbers/>
        <w:tabs>
          <w:tab w:val="left" w:pos="720"/>
        </w:tabs>
        <w:suppressAutoHyphens/>
        <w:spacing w:before="0"/>
        <w:ind w:firstLine="720"/>
        <w:rPr>
          <w:iCs/>
          <w:kern w:val="22"/>
          <w:szCs w:val="22"/>
        </w:rPr>
      </w:pPr>
      <w:r w:rsidRPr="00F76BAE">
        <w:rPr>
          <w:kern w:val="22"/>
          <w:szCs w:val="22"/>
        </w:rPr>
        <w:t>(c)</w:t>
      </w:r>
      <w:r w:rsidR="00563ECA" w:rsidRPr="00F76BAE">
        <w:rPr>
          <w:kern w:val="22"/>
          <w:szCs w:val="22"/>
        </w:rPr>
        <w:tab/>
      </w:r>
      <w:r w:rsidR="00D77E64" w:rsidRPr="00F76BAE">
        <w:rPr>
          <w:kern w:val="22"/>
          <w:szCs w:val="22"/>
        </w:rPr>
        <w:t xml:space="preserve">Preparing a summary report on the </w:t>
      </w:r>
      <w:r w:rsidRPr="00F76BAE">
        <w:rPr>
          <w:kern w:val="22"/>
          <w:szCs w:val="22"/>
        </w:rPr>
        <w:t xml:space="preserve">outcomes of the online </w:t>
      </w:r>
      <w:r w:rsidR="00B96D4F" w:rsidRPr="00F76BAE">
        <w:rPr>
          <w:kern w:val="22"/>
          <w:szCs w:val="22"/>
        </w:rPr>
        <w:t xml:space="preserve">forum </w:t>
      </w:r>
      <w:r w:rsidR="00D77E64" w:rsidRPr="00F76BAE">
        <w:rPr>
          <w:kern w:val="22"/>
          <w:szCs w:val="22"/>
        </w:rPr>
        <w:t xml:space="preserve">and submitting it to </w:t>
      </w:r>
      <w:r w:rsidR="00B96D4F" w:rsidRPr="00F76BAE">
        <w:rPr>
          <w:kern w:val="22"/>
          <w:szCs w:val="22"/>
        </w:rPr>
        <w:t xml:space="preserve">the </w:t>
      </w:r>
      <w:r w:rsidR="006F36D2" w:rsidRPr="00F76BAE">
        <w:rPr>
          <w:kern w:val="22"/>
          <w:szCs w:val="22"/>
        </w:rPr>
        <w:t>a</w:t>
      </w:r>
      <w:r w:rsidR="00B96D4F" w:rsidRPr="00F76BAE">
        <w:rPr>
          <w:kern w:val="22"/>
          <w:szCs w:val="22"/>
        </w:rPr>
        <w:t>d</w:t>
      </w:r>
      <w:r w:rsidR="005D4132" w:rsidRPr="00F76BAE">
        <w:rPr>
          <w:kern w:val="22"/>
          <w:szCs w:val="22"/>
        </w:rPr>
        <w:t> </w:t>
      </w:r>
      <w:r w:rsidR="006F36D2" w:rsidRPr="00F76BAE">
        <w:rPr>
          <w:kern w:val="22"/>
          <w:szCs w:val="22"/>
        </w:rPr>
        <w:t>h</w:t>
      </w:r>
      <w:r w:rsidR="00B96D4F" w:rsidRPr="00F76BAE">
        <w:rPr>
          <w:kern w:val="22"/>
          <w:szCs w:val="22"/>
        </w:rPr>
        <w:t xml:space="preserve">oc </w:t>
      </w:r>
      <w:r w:rsidR="006F36D2" w:rsidRPr="00F76BAE">
        <w:rPr>
          <w:kern w:val="22"/>
          <w:szCs w:val="22"/>
        </w:rPr>
        <w:t>t</w:t>
      </w:r>
      <w:r w:rsidR="00B96D4F" w:rsidRPr="00F76BAE">
        <w:rPr>
          <w:kern w:val="22"/>
          <w:szCs w:val="22"/>
        </w:rPr>
        <w:t xml:space="preserve">echnical </w:t>
      </w:r>
      <w:r w:rsidR="006F36D2" w:rsidRPr="00F76BAE">
        <w:rPr>
          <w:kern w:val="22"/>
          <w:szCs w:val="22"/>
        </w:rPr>
        <w:t>e</w:t>
      </w:r>
      <w:r w:rsidR="00B96D4F" w:rsidRPr="00F76BAE">
        <w:rPr>
          <w:kern w:val="22"/>
          <w:szCs w:val="22"/>
        </w:rPr>
        <w:t xml:space="preserve">xpert </w:t>
      </w:r>
      <w:r w:rsidR="006F36D2" w:rsidRPr="00F76BAE">
        <w:rPr>
          <w:kern w:val="22"/>
          <w:szCs w:val="22"/>
        </w:rPr>
        <w:t>g</w:t>
      </w:r>
      <w:r w:rsidR="00B96D4F" w:rsidRPr="00F76BAE">
        <w:rPr>
          <w:kern w:val="22"/>
          <w:szCs w:val="22"/>
        </w:rPr>
        <w:t>roup</w:t>
      </w:r>
      <w:r w:rsidR="00D77E64" w:rsidRPr="00F76BAE">
        <w:rPr>
          <w:kern w:val="22"/>
          <w:szCs w:val="22"/>
        </w:rPr>
        <w:t>.</w:t>
      </w:r>
    </w:p>
    <w:p w14:paraId="760A18A7" w14:textId="24C8A5D2" w:rsidR="009B6C5D" w:rsidRPr="00F76BAE" w:rsidRDefault="009B6C5D" w:rsidP="00F76BAE">
      <w:pPr>
        <w:suppressLineNumbers/>
        <w:suppressAutoHyphens/>
        <w:jc w:val="left"/>
        <w:rPr>
          <w:iCs/>
          <w:snapToGrid w:val="0"/>
          <w:kern w:val="22"/>
          <w:szCs w:val="22"/>
        </w:rPr>
      </w:pPr>
    </w:p>
    <w:p w14:paraId="3C57DB43" w14:textId="01FA2FD8" w:rsidR="00A6109C" w:rsidRPr="00F76BAE" w:rsidRDefault="00A6109C" w:rsidP="00C50A3D">
      <w:pPr>
        <w:pStyle w:val="Para1"/>
        <w:suppressLineNumbers/>
        <w:tabs>
          <w:tab w:val="left" w:pos="720"/>
        </w:tabs>
        <w:suppressAutoHyphens/>
        <w:kinsoku w:val="0"/>
        <w:overflowPunct w:val="0"/>
        <w:autoSpaceDE w:val="0"/>
        <w:autoSpaceDN w:val="0"/>
        <w:snapToGrid w:val="0"/>
        <w:jc w:val="center"/>
        <w:rPr>
          <w:i/>
          <w:kern w:val="22"/>
          <w:szCs w:val="22"/>
        </w:rPr>
      </w:pPr>
      <w:r w:rsidRPr="00F76BAE">
        <w:rPr>
          <w:i/>
          <w:kern w:val="22"/>
          <w:szCs w:val="22"/>
        </w:rPr>
        <w:lastRenderedPageBreak/>
        <w:t>Annex</w:t>
      </w:r>
    </w:p>
    <w:p w14:paraId="1BB5E4D9" w14:textId="408E2861" w:rsidR="00C70F13" w:rsidRPr="00F76BAE" w:rsidRDefault="00A6109C" w:rsidP="00F76BAE">
      <w:pPr>
        <w:pStyle w:val="Heading1"/>
        <w:suppressLineNumbers/>
        <w:tabs>
          <w:tab w:val="clear" w:pos="720"/>
        </w:tabs>
        <w:suppressAutoHyphens/>
        <w:spacing w:before="120"/>
        <w:rPr>
          <w:iCs/>
          <w:kern w:val="22"/>
          <w:szCs w:val="22"/>
        </w:rPr>
      </w:pPr>
      <w:r w:rsidRPr="00F76BAE">
        <w:rPr>
          <w:kern w:val="22"/>
          <w:szCs w:val="22"/>
        </w:rPr>
        <w:t xml:space="preserve">Terms of </w:t>
      </w:r>
      <w:r w:rsidR="00550EA4" w:rsidRPr="00F76BAE">
        <w:rPr>
          <w:kern w:val="22"/>
          <w:szCs w:val="22"/>
        </w:rPr>
        <w:t>r</w:t>
      </w:r>
      <w:r w:rsidRPr="00F76BAE">
        <w:rPr>
          <w:kern w:val="22"/>
          <w:szCs w:val="22"/>
        </w:rPr>
        <w:t xml:space="preserve">eference of the </w:t>
      </w:r>
      <w:r w:rsidR="008A269F" w:rsidRPr="00F76BAE">
        <w:rPr>
          <w:kern w:val="22"/>
          <w:szCs w:val="22"/>
        </w:rPr>
        <w:t>A</w:t>
      </w:r>
      <w:r w:rsidRPr="00F76BAE">
        <w:rPr>
          <w:kern w:val="22"/>
          <w:szCs w:val="22"/>
        </w:rPr>
        <w:t xml:space="preserve">d </w:t>
      </w:r>
      <w:r w:rsidR="008A269F" w:rsidRPr="00F76BAE">
        <w:rPr>
          <w:kern w:val="22"/>
          <w:szCs w:val="22"/>
        </w:rPr>
        <w:t>H</w:t>
      </w:r>
      <w:r w:rsidRPr="00F76BAE">
        <w:rPr>
          <w:kern w:val="22"/>
          <w:szCs w:val="22"/>
        </w:rPr>
        <w:t xml:space="preserve">oc </w:t>
      </w:r>
      <w:r w:rsidR="008A269F" w:rsidRPr="00F76BAE">
        <w:rPr>
          <w:kern w:val="22"/>
          <w:szCs w:val="22"/>
        </w:rPr>
        <w:t>T</w:t>
      </w:r>
      <w:r w:rsidRPr="00F76BAE">
        <w:rPr>
          <w:kern w:val="22"/>
          <w:szCs w:val="22"/>
        </w:rPr>
        <w:t xml:space="preserve">echnical </w:t>
      </w:r>
      <w:r w:rsidR="008A269F" w:rsidRPr="00F76BAE">
        <w:rPr>
          <w:kern w:val="22"/>
          <w:szCs w:val="22"/>
        </w:rPr>
        <w:t>E</w:t>
      </w:r>
      <w:r w:rsidRPr="00F76BAE">
        <w:rPr>
          <w:kern w:val="22"/>
          <w:szCs w:val="22"/>
        </w:rPr>
        <w:t xml:space="preserve">xpert </w:t>
      </w:r>
      <w:r w:rsidR="008A269F" w:rsidRPr="00F76BAE">
        <w:rPr>
          <w:kern w:val="22"/>
          <w:szCs w:val="22"/>
        </w:rPr>
        <w:t>G</w:t>
      </w:r>
      <w:r w:rsidRPr="00F76BAE">
        <w:rPr>
          <w:kern w:val="22"/>
          <w:szCs w:val="22"/>
        </w:rPr>
        <w:t>roup on a Global Multilateral Benefit-Sharing Mechanism</w:t>
      </w:r>
    </w:p>
    <w:p w14:paraId="14B365C7" w14:textId="073F1905" w:rsidR="00D77E64" w:rsidRPr="00F76BAE" w:rsidRDefault="008A269F" w:rsidP="00C50A3D">
      <w:pPr>
        <w:pStyle w:val="Para1"/>
        <w:numPr>
          <w:ilvl w:val="0"/>
          <w:numId w:val="28"/>
        </w:numPr>
        <w:suppressLineNumbers/>
        <w:tabs>
          <w:tab w:val="clear" w:pos="360"/>
          <w:tab w:val="left" w:pos="720"/>
        </w:tabs>
        <w:suppressAutoHyphens/>
        <w:kinsoku w:val="0"/>
        <w:overflowPunct w:val="0"/>
        <w:autoSpaceDE w:val="0"/>
        <w:autoSpaceDN w:val="0"/>
        <w:snapToGrid w:val="0"/>
        <w:rPr>
          <w:iCs/>
          <w:kern w:val="22"/>
          <w:szCs w:val="22"/>
        </w:rPr>
      </w:pPr>
      <w:r w:rsidRPr="00F76BAE">
        <w:rPr>
          <w:iCs/>
          <w:kern w:val="22"/>
          <w:szCs w:val="22"/>
        </w:rPr>
        <w:t>The Ad Hoc Technical Expert Group s</w:t>
      </w:r>
      <w:r w:rsidR="00C70F13" w:rsidRPr="00F76BAE">
        <w:rPr>
          <w:iCs/>
          <w:kern w:val="22"/>
          <w:szCs w:val="22"/>
        </w:rPr>
        <w:t xml:space="preserve">hall </w:t>
      </w:r>
      <w:r w:rsidR="00D77E64" w:rsidRPr="00F76BAE">
        <w:rPr>
          <w:iCs/>
          <w:kern w:val="22"/>
          <w:szCs w:val="22"/>
        </w:rPr>
        <w:t>identify possible modalities of multilateral benefit-sharing mechanism, taking into account:</w:t>
      </w:r>
    </w:p>
    <w:p w14:paraId="1EDA183D" w14:textId="63C8FCAA" w:rsidR="008A269F" w:rsidRPr="00F76BAE" w:rsidRDefault="00D77E64">
      <w:pPr>
        <w:pStyle w:val="Para1"/>
        <w:suppressLineNumbers/>
        <w:tabs>
          <w:tab w:val="left" w:pos="720"/>
        </w:tabs>
        <w:suppressAutoHyphens/>
        <w:kinsoku w:val="0"/>
        <w:overflowPunct w:val="0"/>
        <w:autoSpaceDE w:val="0"/>
        <w:autoSpaceDN w:val="0"/>
        <w:snapToGrid w:val="0"/>
        <w:ind w:firstLine="709"/>
        <w:rPr>
          <w:iCs/>
          <w:kern w:val="22"/>
          <w:szCs w:val="22"/>
        </w:rPr>
      </w:pPr>
      <w:r w:rsidRPr="00F76BAE">
        <w:rPr>
          <w:iCs/>
          <w:kern w:val="22"/>
          <w:szCs w:val="22"/>
        </w:rPr>
        <w:t>(a)</w:t>
      </w:r>
      <w:r w:rsidR="008E4379" w:rsidRPr="00F76BAE">
        <w:rPr>
          <w:iCs/>
          <w:kern w:val="22"/>
          <w:szCs w:val="22"/>
        </w:rPr>
        <w:tab/>
      </w:r>
      <w:r w:rsidRPr="00F76BAE">
        <w:rPr>
          <w:iCs/>
          <w:kern w:val="22"/>
          <w:szCs w:val="22"/>
        </w:rPr>
        <w:t xml:space="preserve">The </w:t>
      </w:r>
      <w:r w:rsidR="00C70F13" w:rsidRPr="00F76BAE">
        <w:rPr>
          <w:iCs/>
          <w:kern w:val="22"/>
          <w:szCs w:val="22"/>
        </w:rPr>
        <w:t xml:space="preserve">outcomes </w:t>
      </w:r>
      <w:r w:rsidRPr="00F76BAE">
        <w:rPr>
          <w:iCs/>
          <w:kern w:val="22"/>
          <w:szCs w:val="22"/>
        </w:rPr>
        <w:t xml:space="preserve">of </w:t>
      </w:r>
      <w:r w:rsidR="008A269F" w:rsidRPr="00F76BAE">
        <w:rPr>
          <w:iCs/>
          <w:kern w:val="22"/>
          <w:szCs w:val="22"/>
        </w:rPr>
        <w:t>the online forum</w:t>
      </w:r>
      <w:r w:rsidRPr="00F76BAE">
        <w:rPr>
          <w:iCs/>
          <w:kern w:val="22"/>
          <w:szCs w:val="22"/>
        </w:rPr>
        <w:t>;</w:t>
      </w:r>
    </w:p>
    <w:p w14:paraId="75C0878D" w14:textId="6AD9589C" w:rsidR="00D77E64" w:rsidRPr="00F76BAE" w:rsidRDefault="00D77E64">
      <w:pPr>
        <w:pStyle w:val="Para1"/>
        <w:suppressLineNumbers/>
        <w:tabs>
          <w:tab w:val="left" w:pos="720"/>
        </w:tabs>
        <w:suppressAutoHyphens/>
        <w:kinsoku w:val="0"/>
        <w:overflowPunct w:val="0"/>
        <w:autoSpaceDE w:val="0"/>
        <w:autoSpaceDN w:val="0"/>
        <w:snapToGrid w:val="0"/>
        <w:ind w:firstLine="709"/>
        <w:rPr>
          <w:iCs/>
          <w:kern w:val="22"/>
          <w:szCs w:val="22"/>
        </w:rPr>
      </w:pPr>
      <w:r w:rsidRPr="00F76BAE">
        <w:rPr>
          <w:iCs/>
          <w:kern w:val="22"/>
          <w:szCs w:val="22"/>
        </w:rPr>
        <w:t>(b)</w:t>
      </w:r>
      <w:r w:rsidR="008E4379" w:rsidRPr="00F76BAE">
        <w:rPr>
          <w:iCs/>
          <w:kern w:val="22"/>
          <w:szCs w:val="22"/>
        </w:rPr>
        <w:tab/>
      </w:r>
      <w:r w:rsidR="00B937D6" w:rsidRPr="00F76BAE">
        <w:rPr>
          <w:iCs/>
          <w:kern w:val="22"/>
          <w:szCs w:val="22"/>
        </w:rPr>
        <w:t>The need to ensure that such modalities are supportive of the benefit-sharing approaches established under the Convention and the Nagoya Protocol and are complementary to other mechanisms under specialized international access and benefit-sharing instruments.</w:t>
      </w:r>
    </w:p>
    <w:p w14:paraId="2FCCB70D" w14:textId="28AFE8D5" w:rsidR="00C91AEF" w:rsidRPr="00F76BAE" w:rsidRDefault="00A072BB">
      <w:pPr>
        <w:pStyle w:val="Para1"/>
        <w:suppressLineNumbers/>
        <w:tabs>
          <w:tab w:val="left" w:pos="720"/>
        </w:tabs>
        <w:suppressAutoHyphens/>
        <w:kinsoku w:val="0"/>
        <w:overflowPunct w:val="0"/>
        <w:autoSpaceDE w:val="0"/>
        <w:autoSpaceDN w:val="0"/>
        <w:snapToGrid w:val="0"/>
        <w:rPr>
          <w:iCs/>
          <w:kern w:val="22"/>
          <w:szCs w:val="22"/>
        </w:rPr>
      </w:pPr>
      <w:r w:rsidRPr="00F76BAE">
        <w:rPr>
          <w:iCs/>
          <w:kern w:val="22"/>
          <w:szCs w:val="22"/>
        </w:rPr>
        <w:t>2.</w:t>
      </w:r>
      <w:r w:rsidRPr="00F76BAE">
        <w:rPr>
          <w:iCs/>
          <w:kern w:val="22"/>
          <w:szCs w:val="22"/>
        </w:rPr>
        <w:tab/>
      </w:r>
      <w:r w:rsidR="00B937D6" w:rsidRPr="00F76BAE">
        <w:rPr>
          <w:iCs/>
          <w:kern w:val="22"/>
          <w:szCs w:val="22"/>
        </w:rPr>
        <w:t>The Ad Hoc Technical Expert Group shall also i</w:t>
      </w:r>
      <w:r w:rsidR="0033341A" w:rsidRPr="00F76BAE">
        <w:rPr>
          <w:iCs/>
          <w:kern w:val="22"/>
          <w:szCs w:val="22"/>
        </w:rPr>
        <w:t xml:space="preserve">dentify </w:t>
      </w:r>
      <w:r w:rsidR="00B937D6" w:rsidRPr="00F76BAE">
        <w:rPr>
          <w:iCs/>
          <w:kern w:val="22"/>
          <w:szCs w:val="22"/>
        </w:rPr>
        <w:t xml:space="preserve">options for modes of participation in the mechanism, </w:t>
      </w:r>
      <w:r w:rsidRPr="00F76BAE">
        <w:rPr>
          <w:iCs/>
          <w:kern w:val="22"/>
          <w:szCs w:val="22"/>
        </w:rPr>
        <w:t>sharing of benefits and governance as well as options for cooperation to address instances described in Article 11 of the Nagoya Protocol.</w:t>
      </w:r>
    </w:p>
    <w:p w14:paraId="1C1A6C09" w14:textId="3F7A6EB0" w:rsidR="00A072BB" w:rsidRPr="00F76BAE" w:rsidRDefault="00C91AEF">
      <w:pPr>
        <w:pStyle w:val="Para1"/>
        <w:suppressLineNumbers/>
        <w:tabs>
          <w:tab w:val="left" w:pos="720"/>
        </w:tabs>
        <w:suppressAutoHyphens/>
        <w:kinsoku w:val="0"/>
        <w:overflowPunct w:val="0"/>
        <w:autoSpaceDE w:val="0"/>
        <w:autoSpaceDN w:val="0"/>
        <w:snapToGrid w:val="0"/>
        <w:rPr>
          <w:iCs/>
          <w:kern w:val="22"/>
          <w:szCs w:val="22"/>
        </w:rPr>
      </w:pPr>
      <w:r w:rsidRPr="00F76BAE">
        <w:rPr>
          <w:iCs/>
          <w:kern w:val="22"/>
          <w:szCs w:val="22"/>
        </w:rPr>
        <w:t>3.</w:t>
      </w:r>
      <w:r w:rsidRPr="00F76BAE">
        <w:rPr>
          <w:iCs/>
          <w:kern w:val="22"/>
          <w:szCs w:val="22"/>
        </w:rPr>
        <w:tab/>
      </w:r>
      <w:r w:rsidR="00A072BB" w:rsidRPr="00F76BAE">
        <w:rPr>
          <w:iCs/>
          <w:kern w:val="22"/>
          <w:szCs w:val="22"/>
        </w:rPr>
        <w:t>The Ad Hoc Technical Expert Group shall:</w:t>
      </w:r>
    </w:p>
    <w:p w14:paraId="5AF518C0" w14:textId="5CCE02F4" w:rsidR="00A072BB" w:rsidRPr="00F76BAE" w:rsidRDefault="00E15F44" w:rsidP="00F76BAE">
      <w:pPr>
        <w:pStyle w:val="Para1"/>
        <w:numPr>
          <w:ilvl w:val="1"/>
          <w:numId w:val="28"/>
        </w:numPr>
        <w:suppressLineNumbers/>
        <w:tabs>
          <w:tab w:val="clear" w:pos="1440"/>
        </w:tabs>
        <w:suppressAutoHyphens/>
        <w:kinsoku w:val="0"/>
        <w:overflowPunct w:val="0"/>
        <w:autoSpaceDE w:val="0"/>
        <w:autoSpaceDN w:val="0"/>
        <w:snapToGrid w:val="0"/>
        <w:rPr>
          <w:iCs/>
          <w:kern w:val="22"/>
          <w:szCs w:val="22"/>
        </w:rPr>
      </w:pPr>
      <w:r w:rsidRPr="00F76BAE">
        <w:rPr>
          <w:iCs/>
          <w:kern w:val="22"/>
          <w:szCs w:val="22"/>
        </w:rPr>
        <w:t>M</w:t>
      </w:r>
      <w:r w:rsidR="00A072BB" w:rsidRPr="00F76BAE">
        <w:rPr>
          <w:iCs/>
          <w:kern w:val="22"/>
          <w:szCs w:val="22"/>
        </w:rPr>
        <w:t xml:space="preserve">eet, subject to the availability of financial resources, </w:t>
      </w:r>
      <w:r w:rsidR="006B36BE" w:rsidRPr="00F76BAE">
        <w:rPr>
          <w:iCs/>
          <w:kern w:val="22"/>
          <w:szCs w:val="22"/>
        </w:rPr>
        <w:t xml:space="preserve">at least once </w:t>
      </w:r>
      <w:r w:rsidR="00A072BB" w:rsidRPr="00F76BAE">
        <w:rPr>
          <w:iCs/>
          <w:kern w:val="22"/>
          <w:szCs w:val="22"/>
        </w:rPr>
        <w:t>prior to the fourth meeting of the Subsidiary Body on Implementation;</w:t>
      </w:r>
    </w:p>
    <w:p w14:paraId="4A24CD12" w14:textId="59A13020" w:rsidR="00B946C7" w:rsidRPr="00F76BAE" w:rsidRDefault="00E15F44" w:rsidP="00F76BAE">
      <w:pPr>
        <w:pStyle w:val="Para1"/>
        <w:numPr>
          <w:ilvl w:val="1"/>
          <w:numId w:val="28"/>
        </w:numPr>
        <w:suppressLineNumbers/>
        <w:tabs>
          <w:tab w:val="clear" w:pos="1440"/>
        </w:tabs>
        <w:suppressAutoHyphens/>
        <w:kinsoku w:val="0"/>
        <w:overflowPunct w:val="0"/>
        <w:autoSpaceDE w:val="0"/>
        <w:autoSpaceDN w:val="0"/>
        <w:snapToGrid w:val="0"/>
        <w:rPr>
          <w:iCs/>
          <w:kern w:val="22"/>
          <w:szCs w:val="22"/>
        </w:rPr>
      </w:pPr>
      <w:r w:rsidRPr="00F76BAE">
        <w:rPr>
          <w:iCs/>
          <w:kern w:val="22"/>
          <w:szCs w:val="22"/>
        </w:rPr>
        <w:t>I</w:t>
      </w:r>
      <w:r w:rsidR="00A072BB" w:rsidRPr="00F76BAE">
        <w:rPr>
          <w:iCs/>
          <w:kern w:val="22"/>
          <w:szCs w:val="22"/>
        </w:rPr>
        <w:t>nclude experts selected on the basis of their expertise on the issues under consideration</w:t>
      </w:r>
      <w:r w:rsidR="002D7B3A" w:rsidRPr="00F76BAE">
        <w:rPr>
          <w:iCs/>
          <w:kern w:val="22"/>
          <w:szCs w:val="22"/>
        </w:rPr>
        <w:t>,</w:t>
      </w:r>
      <w:r w:rsidR="00A072BB" w:rsidRPr="00F76BAE">
        <w:rPr>
          <w:iCs/>
          <w:kern w:val="22"/>
          <w:szCs w:val="22"/>
        </w:rPr>
        <w:t xml:space="preserve"> and </w:t>
      </w:r>
      <w:r w:rsidR="002A3E21" w:rsidRPr="00F76BAE">
        <w:rPr>
          <w:iCs/>
          <w:kern w:val="22"/>
          <w:szCs w:val="22"/>
        </w:rPr>
        <w:t xml:space="preserve">participants representing </w:t>
      </w:r>
      <w:r w:rsidR="00A072BB" w:rsidRPr="00F76BAE">
        <w:rPr>
          <w:iCs/>
          <w:kern w:val="22"/>
          <w:szCs w:val="22"/>
        </w:rPr>
        <w:t>indigenous peoples and local communities</w:t>
      </w:r>
      <w:r w:rsidR="00B946C7" w:rsidRPr="00F76BAE">
        <w:rPr>
          <w:kern w:val="22"/>
          <w:szCs w:val="22"/>
        </w:rPr>
        <w:t>;</w:t>
      </w:r>
    </w:p>
    <w:p w14:paraId="4C854809" w14:textId="7F83F3D0" w:rsidR="00A6109C" w:rsidRPr="00F76BAE" w:rsidRDefault="00823756" w:rsidP="00F76BAE">
      <w:pPr>
        <w:pStyle w:val="Para1"/>
        <w:numPr>
          <w:ilvl w:val="1"/>
          <w:numId w:val="28"/>
        </w:numPr>
        <w:suppressLineNumbers/>
        <w:tabs>
          <w:tab w:val="clear" w:pos="1440"/>
        </w:tabs>
        <w:suppressAutoHyphens/>
        <w:kinsoku w:val="0"/>
        <w:overflowPunct w:val="0"/>
        <w:autoSpaceDE w:val="0"/>
        <w:autoSpaceDN w:val="0"/>
        <w:snapToGrid w:val="0"/>
        <w:rPr>
          <w:iCs/>
          <w:kern w:val="22"/>
          <w:szCs w:val="22"/>
        </w:rPr>
      </w:pPr>
      <w:r w:rsidRPr="00F76BAE">
        <w:rPr>
          <w:kern w:val="22"/>
          <w:szCs w:val="22"/>
        </w:rPr>
        <w:t>S</w:t>
      </w:r>
      <w:r w:rsidR="00B946C7" w:rsidRPr="00F76BAE">
        <w:rPr>
          <w:kern w:val="22"/>
          <w:szCs w:val="22"/>
        </w:rPr>
        <w:t xml:space="preserve">ubmit its outcomes for </w:t>
      </w:r>
      <w:r w:rsidR="00FA16E3" w:rsidRPr="00F76BAE">
        <w:rPr>
          <w:kern w:val="22"/>
          <w:szCs w:val="22"/>
        </w:rPr>
        <w:t>t</w:t>
      </w:r>
      <w:r w:rsidR="00B946C7" w:rsidRPr="00F76BAE">
        <w:rPr>
          <w:kern w:val="22"/>
          <w:szCs w:val="22"/>
        </w:rPr>
        <w:t xml:space="preserve">he Subsidiary Body </w:t>
      </w:r>
      <w:r w:rsidR="00A6109C" w:rsidRPr="00F76BAE">
        <w:rPr>
          <w:iCs/>
          <w:kern w:val="22"/>
          <w:szCs w:val="22"/>
        </w:rPr>
        <w:t>on Implementation for its consideration at its fourth meeting</w:t>
      </w:r>
      <w:r w:rsidR="001A6BD5" w:rsidRPr="00F76BAE">
        <w:rPr>
          <w:iCs/>
          <w:kern w:val="22"/>
          <w:szCs w:val="22"/>
        </w:rPr>
        <w:t>.</w:t>
      </w:r>
    </w:p>
    <w:p w14:paraId="096BC7F7" w14:textId="042D7ADC" w:rsidR="0033341A" w:rsidRPr="00F76BAE" w:rsidRDefault="002A3E21">
      <w:pPr>
        <w:pStyle w:val="Para1"/>
        <w:suppressLineNumbers/>
        <w:tabs>
          <w:tab w:val="left" w:pos="720"/>
        </w:tabs>
        <w:suppressAutoHyphens/>
        <w:kinsoku w:val="0"/>
        <w:overflowPunct w:val="0"/>
        <w:autoSpaceDE w:val="0"/>
        <w:autoSpaceDN w:val="0"/>
        <w:snapToGrid w:val="0"/>
        <w:rPr>
          <w:iCs/>
          <w:kern w:val="22"/>
          <w:szCs w:val="22"/>
        </w:rPr>
      </w:pPr>
      <w:r w:rsidRPr="00F76BAE">
        <w:rPr>
          <w:iCs/>
          <w:kern w:val="22"/>
          <w:szCs w:val="22"/>
        </w:rPr>
        <w:t>4.</w:t>
      </w:r>
      <w:r w:rsidRPr="00F76BAE">
        <w:rPr>
          <w:iCs/>
          <w:kern w:val="22"/>
          <w:szCs w:val="22"/>
        </w:rPr>
        <w:tab/>
      </w:r>
      <w:r w:rsidR="00F80447" w:rsidRPr="00F76BAE">
        <w:rPr>
          <w:iCs/>
          <w:kern w:val="22"/>
          <w:szCs w:val="22"/>
        </w:rPr>
        <w:t>The Ad Hoc Technical Expert Group</w:t>
      </w:r>
      <w:r w:rsidRPr="00F76BAE">
        <w:rPr>
          <w:iCs/>
          <w:kern w:val="22"/>
          <w:szCs w:val="22"/>
        </w:rPr>
        <w:t xml:space="preserve"> </w:t>
      </w:r>
      <w:r w:rsidR="00F80447" w:rsidRPr="00F76BAE">
        <w:rPr>
          <w:iCs/>
          <w:kern w:val="22"/>
          <w:szCs w:val="22"/>
        </w:rPr>
        <w:t xml:space="preserve">will be convened in accordance with the </w:t>
      </w:r>
      <w:r w:rsidRPr="00F76BAE">
        <w:rPr>
          <w:iCs/>
          <w:kern w:val="22"/>
          <w:szCs w:val="22"/>
        </w:rPr>
        <w:t xml:space="preserve">procedure specified in </w:t>
      </w:r>
      <w:r w:rsidR="003571E2" w:rsidRPr="00F76BAE">
        <w:rPr>
          <w:iCs/>
          <w:kern w:val="22"/>
          <w:szCs w:val="22"/>
        </w:rPr>
        <w:t xml:space="preserve">paragraph 4, section C of the annex to </w:t>
      </w:r>
      <w:r w:rsidRPr="00F76BAE">
        <w:rPr>
          <w:iCs/>
          <w:kern w:val="22"/>
          <w:szCs w:val="22"/>
        </w:rPr>
        <w:t xml:space="preserve">decision </w:t>
      </w:r>
      <w:hyperlink r:id="rId19" w:history="1">
        <w:r w:rsidRPr="00F76BAE">
          <w:rPr>
            <w:rStyle w:val="Hyperlink"/>
            <w:iCs/>
            <w:kern w:val="22"/>
            <w:szCs w:val="22"/>
          </w:rPr>
          <w:t>XIII/25</w:t>
        </w:r>
      </w:hyperlink>
      <w:r w:rsidR="00823756" w:rsidRPr="00F76BAE">
        <w:rPr>
          <w:iCs/>
          <w:kern w:val="22"/>
          <w:szCs w:val="22"/>
        </w:rPr>
        <w:t xml:space="preserve">, </w:t>
      </w:r>
      <w:r w:rsidRPr="00F76BAE">
        <w:rPr>
          <w:iCs/>
          <w:kern w:val="22"/>
          <w:szCs w:val="22"/>
        </w:rPr>
        <w:t xml:space="preserve">on the </w:t>
      </w:r>
      <w:r w:rsidR="0057284E" w:rsidRPr="00F76BAE">
        <w:rPr>
          <w:iCs/>
          <w:kern w:val="22"/>
          <w:szCs w:val="22"/>
        </w:rPr>
        <w:t>m</w:t>
      </w:r>
      <w:r w:rsidRPr="00F76BAE">
        <w:rPr>
          <w:iCs/>
          <w:kern w:val="22"/>
          <w:szCs w:val="22"/>
        </w:rPr>
        <w:t xml:space="preserve">odus </w:t>
      </w:r>
      <w:r w:rsidR="0057284E" w:rsidRPr="00F76BAE">
        <w:rPr>
          <w:iCs/>
          <w:kern w:val="22"/>
          <w:szCs w:val="22"/>
        </w:rPr>
        <w:t>o</w:t>
      </w:r>
      <w:r w:rsidR="006842A9" w:rsidRPr="00F76BAE">
        <w:rPr>
          <w:iCs/>
          <w:kern w:val="22"/>
          <w:szCs w:val="22"/>
        </w:rPr>
        <w:t xml:space="preserve">perandi </w:t>
      </w:r>
      <w:r w:rsidR="00F80447" w:rsidRPr="00F76BAE">
        <w:rPr>
          <w:iCs/>
          <w:kern w:val="22"/>
          <w:szCs w:val="22"/>
        </w:rPr>
        <w:t xml:space="preserve">of the Subsidiary Body on </w:t>
      </w:r>
      <w:r w:rsidR="006842A9" w:rsidRPr="00F76BAE">
        <w:rPr>
          <w:iCs/>
          <w:kern w:val="22"/>
          <w:szCs w:val="22"/>
        </w:rPr>
        <w:t>Implementation, which also applies, mutatis mutandis, for processes under the Nagoya Protocol</w:t>
      </w:r>
      <w:r w:rsidR="00F80447" w:rsidRPr="00F76BAE">
        <w:rPr>
          <w:iCs/>
          <w:kern w:val="22"/>
          <w:szCs w:val="22"/>
        </w:rPr>
        <w:t>.</w:t>
      </w:r>
    </w:p>
    <w:p w14:paraId="14B0FB3B" w14:textId="64A2B496" w:rsidR="00D01CC0" w:rsidRPr="00F76BAE" w:rsidRDefault="00D01CC0" w:rsidP="00F76BAE">
      <w:pPr>
        <w:pStyle w:val="Para1"/>
        <w:suppressLineNumbers/>
        <w:tabs>
          <w:tab w:val="left" w:pos="720"/>
        </w:tabs>
        <w:suppressAutoHyphens/>
        <w:kinsoku w:val="0"/>
        <w:overflowPunct w:val="0"/>
        <w:autoSpaceDE w:val="0"/>
        <w:autoSpaceDN w:val="0"/>
        <w:snapToGrid w:val="0"/>
        <w:spacing w:before="0" w:after="0"/>
        <w:rPr>
          <w:iCs/>
          <w:kern w:val="22"/>
          <w:szCs w:val="22"/>
        </w:rPr>
      </w:pPr>
    </w:p>
    <w:p w14:paraId="6A3031CE" w14:textId="530A155F" w:rsidR="00B3369F" w:rsidRPr="006C5F05" w:rsidRDefault="00BF5687" w:rsidP="00F76BAE">
      <w:pPr>
        <w:pStyle w:val="Para1"/>
        <w:suppressLineNumbers/>
        <w:tabs>
          <w:tab w:val="left" w:pos="720"/>
        </w:tabs>
        <w:suppressAutoHyphens/>
        <w:kinsoku w:val="0"/>
        <w:overflowPunct w:val="0"/>
        <w:autoSpaceDE w:val="0"/>
        <w:autoSpaceDN w:val="0"/>
        <w:snapToGrid w:val="0"/>
        <w:spacing w:before="0" w:after="0"/>
        <w:jc w:val="center"/>
        <w:rPr>
          <w:kern w:val="22"/>
          <w:szCs w:val="22"/>
        </w:rPr>
      </w:pPr>
      <w:r w:rsidRPr="00F76BAE">
        <w:rPr>
          <w:iCs/>
          <w:kern w:val="22"/>
          <w:szCs w:val="22"/>
        </w:rPr>
        <w:t>__________</w:t>
      </w:r>
    </w:p>
    <w:sectPr w:rsidR="00B3369F" w:rsidRPr="006C5F05" w:rsidSect="00270039">
      <w:headerReference w:type="even" r:id="rId20"/>
      <w:headerReference w:type="default" r:id="rId21"/>
      <w:footerReference w:type="even" r:id="rId22"/>
      <w:footerReference w:type="default" r:id="rId23"/>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C663" w16cex:dateUtc="2020-06-24T16:32:00Z"/>
  <w16cex:commentExtensible w16cex:durableId="229DC635" w16cex:dateUtc="2020-06-24T16:31:00Z"/>
  <w16cex:commentExtensible w16cex:durableId="229DE730" w16cex:dateUtc="2020-06-24T1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3976" w14:textId="77777777" w:rsidR="0019287A" w:rsidRDefault="0019287A" w:rsidP="00CF1848">
      <w:r>
        <w:separator/>
      </w:r>
    </w:p>
  </w:endnote>
  <w:endnote w:type="continuationSeparator" w:id="0">
    <w:p w14:paraId="50260064" w14:textId="77777777" w:rsidR="0019287A" w:rsidRDefault="0019287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8AA8" w14:textId="77777777" w:rsidR="00D51094" w:rsidRDefault="00D51094" w:rsidP="00F76BAE">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A7B7" w14:textId="77777777" w:rsidR="00D51094" w:rsidRDefault="00D51094" w:rsidP="00F76BA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53E0" w14:textId="77777777" w:rsidR="0019287A" w:rsidRDefault="0019287A" w:rsidP="00CF1848">
      <w:r>
        <w:separator/>
      </w:r>
    </w:p>
  </w:footnote>
  <w:footnote w:type="continuationSeparator" w:id="0">
    <w:p w14:paraId="25E78E9F" w14:textId="77777777" w:rsidR="0019287A" w:rsidRDefault="0019287A" w:rsidP="00CF1848">
      <w:r>
        <w:continuationSeparator/>
      </w:r>
    </w:p>
  </w:footnote>
  <w:footnote w:id="1">
    <w:p w14:paraId="151C5430"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t>*</w:t>
      </w:r>
      <w:r w:rsidRPr="00F76BAE">
        <w:rPr>
          <w:kern w:val="18"/>
          <w:szCs w:val="18"/>
        </w:rPr>
        <w:t>CBD/SBI/3/1.</w:t>
      </w:r>
    </w:p>
  </w:footnote>
  <w:footnote w:id="2">
    <w:p w14:paraId="7AD66CF5" w14:textId="77777777" w:rsidR="004F6661" w:rsidRPr="00F76BAE" w:rsidRDefault="004F6661" w:rsidP="00F76BAE">
      <w:pPr>
        <w:pStyle w:val="FootnoteText"/>
        <w:suppressLineNumbers/>
        <w:suppressAutoHyphens/>
        <w:kinsoku w:val="0"/>
        <w:overflowPunct w:val="0"/>
        <w:autoSpaceDE w:val="0"/>
        <w:autoSpaceDN w:val="0"/>
        <w:adjustRightInd w:val="0"/>
        <w:snapToGrid w:val="0"/>
        <w:ind w:firstLine="0"/>
        <w:jc w:val="left"/>
        <w:rPr>
          <w:kern w:val="18"/>
          <w:szCs w:val="18"/>
        </w:rPr>
      </w:pPr>
      <w:r w:rsidRPr="00F76BAE">
        <w:rPr>
          <w:rStyle w:val="FootnoteReference"/>
          <w:kern w:val="18"/>
          <w:sz w:val="18"/>
          <w:szCs w:val="18"/>
        </w:rPr>
        <w:footnoteRef/>
      </w:r>
      <w:r w:rsidRPr="00F76BAE">
        <w:rPr>
          <w:kern w:val="18"/>
          <w:szCs w:val="18"/>
        </w:rPr>
        <w:t xml:space="preserve"> </w:t>
      </w:r>
      <w:hyperlink r:id="rId1" w:history="1">
        <w:r w:rsidRPr="00F76BAE">
          <w:rPr>
            <w:rStyle w:val="Hyperlink"/>
            <w:kern w:val="18"/>
            <w:szCs w:val="18"/>
          </w:rPr>
          <w:t>https://www.cbd.int/abs/art10/2019-2020/submissions.shtml</w:t>
        </w:r>
      </w:hyperlink>
      <w:r w:rsidRPr="00F76BAE">
        <w:rPr>
          <w:kern w:val="18"/>
          <w:szCs w:val="18"/>
        </w:rPr>
        <w:t>.</w:t>
      </w:r>
    </w:p>
  </w:footnote>
  <w:footnote w:id="3">
    <w:p w14:paraId="15C389AA" w14:textId="743A69D4"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Iran</w:t>
      </w:r>
      <w:r w:rsidR="00934954" w:rsidRPr="00F76BAE">
        <w:rPr>
          <w:kern w:val="18"/>
          <w:szCs w:val="18"/>
        </w:rPr>
        <w:t xml:space="preserve"> (Islamic Republic of)</w:t>
      </w:r>
      <w:r w:rsidRPr="00F76BAE">
        <w:rPr>
          <w:kern w:val="18"/>
          <w:szCs w:val="18"/>
        </w:rPr>
        <w:t>.</w:t>
      </w:r>
    </w:p>
  </w:footnote>
  <w:footnote w:id="4">
    <w:p w14:paraId="09850A97"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India.</w:t>
      </w:r>
    </w:p>
  </w:footnote>
  <w:footnote w:id="5">
    <w:p w14:paraId="4FF3EF70" w14:textId="77777777"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Belarus.</w:t>
      </w:r>
    </w:p>
  </w:footnote>
  <w:footnote w:id="6">
    <w:p w14:paraId="5C357873" w14:textId="45811B5E"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Belarus, Iran</w:t>
      </w:r>
      <w:r w:rsidR="00934954" w:rsidRPr="00F76BAE">
        <w:rPr>
          <w:kern w:val="18"/>
          <w:szCs w:val="18"/>
          <w:lang w:val="es-419"/>
        </w:rPr>
        <w:t xml:space="preserve"> (Islamic Republic of)</w:t>
      </w:r>
      <w:r w:rsidRPr="00F76BAE">
        <w:rPr>
          <w:kern w:val="18"/>
          <w:szCs w:val="18"/>
          <w:lang w:val="es-419"/>
        </w:rPr>
        <w:t>, Mexico.</w:t>
      </w:r>
    </w:p>
  </w:footnote>
  <w:footnote w:id="7">
    <w:p w14:paraId="0A5AA8AD" w14:textId="77777777"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India.</w:t>
      </w:r>
    </w:p>
  </w:footnote>
  <w:footnote w:id="8">
    <w:p w14:paraId="5305A09B" w14:textId="77777777"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Australia.</w:t>
      </w:r>
    </w:p>
  </w:footnote>
  <w:footnote w:id="9">
    <w:p w14:paraId="19EF3726" w14:textId="77777777"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Australia.</w:t>
      </w:r>
    </w:p>
  </w:footnote>
  <w:footnote w:id="10">
    <w:p w14:paraId="0923624F"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Australia provided examples specific to human health, such as infectious organisms, including organisms that infect humans, animals and plants, which they consider an area where the coverage provided by the Nagoya Protocol could be considered lacking. Australia explained that this example would fall within the remit of the World Health Organization.</w:t>
      </w:r>
    </w:p>
  </w:footnote>
  <w:footnote w:id="11">
    <w:p w14:paraId="2D7F1856"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Belarus, Guinea-Bissau.</w:t>
      </w:r>
    </w:p>
  </w:footnote>
  <w:footnote w:id="12">
    <w:p w14:paraId="6182271A" w14:textId="6F83BB4D" w:rsidR="001C5C23" w:rsidRPr="00F76BAE" w:rsidRDefault="001C5C23"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Guinea-Bissau, Nigeria, SPDA Researchers</w:t>
      </w:r>
      <w:r w:rsidR="001E76CD">
        <w:rPr>
          <w:kern w:val="18"/>
          <w:szCs w:val="18"/>
        </w:rPr>
        <w:t>.</w:t>
      </w:r>
    </w:p>
  </w:footnote>
  <w:footnote w:id="13">
    <w:p w14:paraId="7E29BDD4" w14:textId="77777777" w:rsidR="00230923" w:rsidRPr="00F76BAE" w:rsidRDefault="00230923"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14">
    <w:p w14:paraId="226476B0" w14:textId="77777777" w:rsidR="00230923" w:rsidRPr="00F76BAE" w:rsidRDefault="00230923"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Researchers.</w:t>
      </w:r>
    </w:p>
  </w:footnote>
  <w:footnote w:id="15">
    <w:p w14:paraId="7FD57873"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India, Madagascar.</w:t>
      </w:r>
    </w:p>
  </w:footnote>
  <w:footnote w:id="16">
    <w:p w14:paraId="3B7AD27B"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Madagascar, SPDA.</w:t>
      </w:r>
    </w:p>
  </w:footnote>
  <w:footnote w:id="17">
    <w:p w14:paraId="71E99884"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Madagascar.</w:t>
      </w:r>
    </w:p>
  </w:footnote>
  <w:footnote w:id="18">
    <w:p w14:paraId="298CE602"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19">
    <w:p w14:paraId="11BDF9A2" w14:textId="77777777" w:rsidR="00CF22FF" w:rsidRPr="00F76BAE" w:rsidRDefault="00CF22FF"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20">
    <w:p w14:paraId="1E86982F"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21">
    <w:p w14:paraId="01361501" w14:textId="689B0BB0" w:rsidR="00ED25C4" w:rsidRPr="00F76BAE" w:rsidRDefault="00ED25C4"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The submission of the African Union also contains an </w:t>
      </w:r>
      <w:hyperlink r:id="rId2" w:history="1">
        <w:r w:rsidRPr="00F76BAE">
          <w:rPr>
            <w:rStyle w:val="Hyperlink"/>
            <w:kern w:val="18"/>
            <w:szCs w:val="18"/>
          </w:rPr>
          <w:t>annex</w:t>
        </w:r>
      </w:hyperlink>
      <w:r w:rsidRPr="00F76BAE">
        <w:rPr>
          <w:kern w:val="18"/>
          <w:szCs w:val="18"/>
        </w:rPr>
        <w:t xml:space="preserve"> listing examples extracted from documentation prepared for the second meeting of the Subsidiary Body on Implementation (</w:t>
      </w:r>
      <w:hyperlink r:id="rId3" w:history="1">
        <w:r w:rsidRPr="00F76BAE">
          <w:rPr>
            <w:rStyle w:val="Hyperlink"/>
            <w:kern w:val="18"/>
            <w:szCs w:val="18"/>
          </w:rPr>
          <w:t>CBD/SBI/2/5</w:t>
        </w:r>
      </w:hyperlink>
      <w:r w:rsidRPr="00F76BAE">
        <w:rPr>
          <w:kern w:val="18"/>
          <w:szCs w:val="18"/>
        </w:rPr>
        <w:t>) and from the fact-finding and scoping study on digital sequence information on genetic resources in the context of the Convention on Biological Diversity and the Nagoya Protocol commissioned by the Secretariat of the Convention (</w:t>
      </w:r>
      <w:hyperlink r:id="rId4" w:history="1">
        <w:r w:rsidRPr="00F76BAE">
          <w:rPr>
            <w:rStyle w:val="Hyperlink"/>
            <w:kern w:val="18"/>
            <w:szCs w:val="18"/>
          </w:rPr>
          <w:t>CBD/DSI/AHTEG/2018/1/3</w:t>
        </w:r>
      </w:hyperlink>
      <w:r w:rsidRPr="00F76BAE">
        <w:rPr>
          <w:kern w:val="18"/>
          <w:szCs w:val="18"/>
        </w:rPr>
        <w:t>).</w:t>
      </w:r>
    </w:p>
  </w:footnote>
  <w:footnote w:id="22">
    <w:p w14:paraId="1DD48BFC"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India.</w:t>
      </w:r>
    </w:p>
  </w:footnote>
  <w:footnote w:id="23">
    <w:p w14:paraId="7E0AF26C"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24">
    <w:p w14:paraId="05031C10"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25">
    <w:p w14:paraId="33ACFFCC" w14:textId="77777777" w:rsidR="00BB79A7" w:rsidRPr="00F76BAE" w:rsidRDefault="00BB79A7"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26">
    <w:p w14:paraId="4D416FBA"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w:t>
      </w:r>
    </w:p>
  </w:footnote>
  <w:footnote w:id="27">
    <w:p w14:paraId="626805AA"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28">
    <w:p w14:paraId="4BAE3575"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w:t>
      </w:r>
    </w:p>
  </w:footnote>
  <w:footnote w:id="29">
    <w:p w14:paraId="75459627"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30">
    <w:p w14:paraId="099E4F68"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India.</w:t>
      </w:r>
    </w:p>
  </w:footnote>
  <w:footnote w:id="31">
    <w:p w14:paraId="1958F85D"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32">
    <w:p w14:paraId="053CC861"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Madagascar.</w:t>
      </w:r>
    </w:p>
  </w:footnote>
  <w:footnote w:id="33">
    <w:p w14:paraId="07DFD462"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SPDA.</w:t>
      </w:r>
    </w:p>
  </w:footnote>
  <w:footnote w:id="34">
    <w:p w14:paraId="30E36E59"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35">
    <w:p w14:paraId="152AAEDC" w14:textId="77777777" w:rsidR="00AC06EE" w:rsidRPr="00F76BAE" w:rsidRDefault="00AC06EE"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SPDA.</w:t>
      </w:r>
    </w:p>
  </w:footnote>
  <w:footnote w:id="36">
    <w:p w14:paraId="30145EF9"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Madagascar, SPDA.</w:t>
      </w:r>
    </w:p>
  </w:footnote>
  <w:footnote w:id="37">
    <w:p w14:paraId="188C42A9"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India.</w:t>
      </w:r>
    </w:p>
  </w:footnote>
  <w:footnote w:id="38">
    <w:p w14:paraId="3313B92B" w14:textId="77777777" w:rsidR="00E03BEE" w:rsidRPr="00F76BAE" w:rsidRDefault="00E03BEE"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39">
    <w:p w14:paraId="31EC6C72"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Madagascar.</w:t>
      </w:r>
    </w:p>
  </w:footnote>
  <w:footnote w:id="40">
    <w:p w14:paraId="5609282E"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41">
    <w:p w14:paraId="38575397"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w:t>
      </w:r>
    </w:p>
  </w:footnote>
  <w:footnote w:id="42">
    <w:p w14:paraId="092E8A65"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India.</w:t>
      </w:r>
    </w:p>
  </w:footnote>
  <w:footnote w:id="43">
    <w:p w14:paraId="5980038E"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44">
    <w:p w14:paraId="1F1547A3"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45">
    <w:p w14:paraId="0E6A0505"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46">
    <w:p w14:paraId="144F4B43" w14:textId="77777777" w:rsidR="004F6661" w:rsidRPr="00F76BAE" w:rsidRDefault="004F6661" w:rsidP="00F76BAE">
      <w:pPr>
        <w:pStyle w:val="FootnoteText"/>
        <w:suppressLineNumbers/>
        <w:suppressAutoHyphens/>
        <w:kinsoku w:val="0"/>
        <w:overflowPunct w:val="0"/>
        <w:autoSpaceDE w:val="0"/>
        <w:autoSpaceDN w:val="0"/>
        <w:adjustRightInd w:val="0"/>
        <w:snapToGrid w:val="0"/>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Guinea-Bissau, Madagascar, Nigeria, SPDA.</w:t>
      </w:r>
    </w:p>
  </w:footnote>
  <w:footnote w:id="47">
    <w:p w14:paraId="410716E4"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48">
    <w:p w14:paraId="48060298"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w:t>
      </w:r>
    </w:p>
  </w:footnote>
  <w:footnote w:id="49">
    <w:p w14:paraId="299E4BED"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50">
    <w:p w14:paraId="38D37A3F"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 Madagascar, Nigeria.</w:t>
      </w:r>
    </w:p>
  </w:footnote>
  <w:footnote w:id="51">
    <w:p w14:paraId="240590BD" w14:textId="77777777" w:rsidR="004F6661" w:rsidRPr="00F76BAE" w:rsidRDefault="004F6661" w:rsidP="00F76BAE">
      <w:pPr>
        <w:pStyle w:val="FootnoteText"/>
        <w:suppressLineNumbers/>
        <w:suppressAutoHyphens/>
        <w:kinsoku w:val="0"/>
        <w:overflowPunct w:val="0"/>
        <w:autoSpaceDE w:val="0"/>
        <w:autoSpaceDN w:val="0"/>
        <w:adjustRightInd w:val="0"/>
        <w:snapToGrid w:val="0"/>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African Union.</w:t>
      </w:r>
    </w:p>
  </w:footnote>
  <w:footnote w:id="52">
    <w:p w14:paraId="048E71F0" w14:textId="77777777"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Guinea-Bissau.</w:t>
      </w:r>
    </w:p>
  </w:footnote>
  <w:footnote w:id="53">
    <w:p w14:paraId="67B5BE68" w14:textId="77777777"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Madagascar, Nigeria.</w:t>
      </w:r>
    </w:p>
  </w:footnote>
  <w:footnote w:id="54">
    <w:p w14:paraId="42567ACA" w14:textId="77777777" w:rsidR="004F6661" w:rsidRPr="00F76BAE" w:rsidRDefault="004F6661" w:rsidP="00F76BAE">
      <w:pPr>
        <w:pStyle w:val="FootnoteText"/>
        <w:suppressLineNumbers/>
        <w:suppressAutoHyphens/>
        <w:ind w:firstLine="0"/>
        <w:jc w:val="left"/>
        <w:rPr>
          <w:kern w:val="18"/>
          <w:szCs w:val="18"/>
          <w:lang w:val="es-419"/>
        </w:rPr>
      </w:pPr>
      <w:r w:rsidRPr="00F76BAE">
        <w:rPr>
          <w:rStyle w:val="FootnoteReference"/>
          <w:kern w:val="18"/>
          <w:sz w:val="18"/>
          <w:szCs w:val="18"/>
        </w:rPr>
        <w:footnoteRef/>
      </w:r>
      <w:r w:rsidRPr="00F76BAE">
        <w:rPr>
          <w:kern w:val="18"/>
          <w:szCs w:val="18"/>
          <w:lang w:val="es-419"/>
        </w:rPr>
        <w:t xml:space="preserve"> Madagascar.</w:t>
      </w:r>
    </w:p>
  </w:footnote>
  <w:footnote w:id="55">
    <w:p w14:paraId="0AB17D83"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56">
    <w:p w14:paraId="5628D42B"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Ethiopia.</w:t>
      </w:r>
    </w:p>
  </w:footnote>
  <w:footnote w:id="57">
    <w:p w14:paraId="77605DB2"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58">
    <w:p w14:paraId="46F75AF8"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59">
    <w:p w14:paraId="1A69A5C0"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60">
    <w:p w14:paraId="62087F6E" w14:textId="77777777" w:rsidR="004F6661" w:rsidRPr="00F76BAE" w:rsidRDefault="004F6661" w:rsidP="00F76BAE">
      <w:pPr>
        <w:pStyle w:val="FootnoteText"/>
        <w:suppressLineNumbers/>
        <w:suppressAutoHyphens/>
        <w:kinsoku w:val="0"/>
        <w:overflowPunct w:val="0"/>
        <w:autoSpaceDE w:val="0"/>
        <w:autoSpaceDN w:val="0"/>
        <w:adjustRightInd w:val="0"/>
        <w:snapToGrid w:val="0"/>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61">
    <w:p w14:paraId="7B0D8024"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 Ethiopia.</w:t>
      </w:r>
    </w:p>
  </w:footnote>
  <w:footnote w:id="62">
    <w:p w14:paraId="4FF9D578"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63">
    <w:p w14:paraId="3E7F481E"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64">
    <w:p w14:paraId="33FE737A" w14:textId="77777777" w:rsidR="004F6661"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African Union.</w:t>
      </w:r>
    </w:p>
  </w:footnote>
  <w:footnote w:id="65">
    <w:p w14:paraId="0F68A185" w14:textId="0063BC38" w:rsidR="00EA09AB" w:rsidRPr="00F76BAE" w:rsidRDefault="004F6661" w:rsidP="00F76BAE">
      <w:pPr>
        <w:pStyle w:val="FootnoteText"/>
        <w:suppressLineNumbers/>
        <w:suppressAutoHyphens/>
        <w:ind w:firstLine="0"/>
        <w:jc w:val="left"/>
        <w:rPr>
          <w:kern w:val="18"/>
          <w:szCs w:val="18"/>
        </w:rPr>
      </w:pPr>
      <w:r w:rsidRPr="00F76BAE">
        <w:rPr>
          <w:rStyle w:val="FootnoteReference"/>
          <w:kern w:val="18"/>
          <w:sz w:val="18"/>
          <w:szCs w:val="18"/>
        </w:rPr>
        <w:footnoteRef/>
      </w:r>
      <w:r w:rsidRPr="00F76BAE">
        <w:rPr>
          <w:kern w:val="18"/>
          <w:szCs w:val="18"/>
        </w:rPr>
        <w:t xml:space="preserve"> The study is available at: </w:t>
      </w:r>
      <w:hyperlink r:id="rId5" w:history="1">
        <w:r w:rsidR="00EA09AB" w:rsidRPr="00F76BAE">
          <w:rPr>
            <w:rStyle w:val="Hyperlink"/>
            <w:kern w:val="18"/>
            <w:szCs w:val="18"/>
          </w:rPr>
          <w:t>http://www.fao.org/3/a-bq533e.pdf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761496644"/>
      <w:placeholder>
        <w:docPart w:val="EF5BBC4FBC3140109EB912AA7838E437"/>
      </w:placeholder>
      <w:dataBinding w:prefixMappings="xmlns:ns0='http://purl.org/dc/elements/1.1/' xmlns:ns1='http://schemas.openxmlformats.org/package/2006/metadata/core-properties' " w:xpath="/ns1:coreProperties[1]/ns0:subject[1]" w:storeItemID="{6C3C8BC8-F283-45AE-878A-BAB7291924A1}"/>
      <w:text/>
    </w:sdtPr>
    <w:sdtEndPr/>
    <w:sdtContent>
      <w:p w14:paraId="236F0B34" w14:textId="641D3F6D" w:rsidR="00660CD3" w:rsidRPr="00F76BAE" w:rsidRDefault="00660CD3" w:rsidP="00F76BAE">
        <w:pPr>
          <w:pStyle w:val="Header"/>
          <w:keepLines/>
          <w:suppressLineNumbers/>
          <w:suppressAutoHyphens/>
          <w:ind w:right="4926"/>
          <w:jc w:val="left"/>
          <w:rPr>
            <w:noProof/>
          </w:rPr>
        </w:pPr>
        <w:r w:rsidRPr="00F76BAE">
          <w:rPr>
            <w:noProof/>
          </w:rPr>
          <w:t>CBD/SBI/3/15</w:t>
        </w:r>
      </w:p>
    </w:sdtContent>
  </w:sdt>
  <w:p w14:paraId="00E815CC" w14:textId="40893E95" w:rsidR="00660CD3" w:rsidRPr="00F76BAE" w:rsidRDefault="00660CD3" w:rsidP="00F76BAE">
    <w:pPr>
      <w:pStyle w:val="Header"/>
      <w:keepLines/>
      <w:suppressLineNumbers/>
      <w:suppressAutoHyphens/>
      <w:spacing w:after="240"/>
      <w:jc w:val="left"/>
      <w:rPr>
        <w:noProof/>
      </w:rPr>
    </w:pPr>
    <w:r w:rsidRPr="00F76BAE">
      <w:rPr>
        <w:noProof/>
      </w:rPr>
      <w:t xml:space="preserve">Page </w:t>
    </w:r>
    <w:r w:rsidRPr="00F76BAE">
      <w:rPr>
        <w:noProof/>
      </w:rPr>
      <w:fldChar w:fldCharType="begin"/>
    </w:r>
    <w:r w:rsidRPr="00F76BAE">
      <w:rPr>
        <w:noProof/>
      </w:rPr>
      <w:instrText xml:space="preserve"> PAGE   \* MERGEFORMAT </w:instrText>
    </w:r>
    <w:r w:rsidRPr="00F76BAE">
      <w:rPr>
        <w:noProof/>
      </w:rPr>
      <w:fldChar w:fldCharType="separate"/>
    </w:r>
    <w:r w:rsidRPr="00F76BAE">
      <w:rPr>
        <w:noProof/>
      </w:rPr>
      <w:t>20</w:t>
    </w:r>
    <w:r w:rsidRPr="00F76BA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457029158"/>
      <w:placeholder>
        <w:docPart w:val="F301A28B81EC4171891CF3FB1BECA934"/>
      </w:placeholder>
      <w:dataBinding w:prefixMappings="xmlns:ns0='http://purl.org/dc/elements/1.1/' xmlns:ns1='http://schemas.openxmlformats.org/package/2006/metadata/core-properties' " w:xpath="/ns1:coreProperties[1]/ns0:subject[1]" w:storeItemID="{6C3C8BC8-F283-45AE-878A-BAB7291924A1}"/>
      <w:text/>
    </w:sdtPr>
    <w:sdtEndPr/>
    <w:sdtContent>
      <w:p w14:paraId="1C2C78B0" w14:textId="02276AF1" w:rsidR="00660CD3" w:rsidRPr="00F76BAE" w:rsidRDefault="00660CD3" w:rsidP="00F76BAE">
        <w:pPr>
          <w:pStyle w:val="Header"/>
          <w:keepLines/>
          <w:suppressLineNumbers/>
          <w:tabs>
            <w:tab w:val="clear" w:pos="4320"/>
            <w:tab w:val="clear" w:pos="8640"/>
          </w:tabs>
          <w:suppressAutoHyphens/>
          <w:jc w:val="right"/>
          <w:rPr>
            <w:noProof/>
          </w:rPr>
        </w:pPr>
        <w:r w:rsidRPr="00F76BAE">
          <w:rPr>
            <w:noProof/>
          </w:rPr>
          <w:t>CBD/SBI/3/15</w:t>
        </w:r>
      </w:p>
    </w:sdtContent>
  </w:sdt>
  <w:p w14:paraId="444EC8E4" w14:textId="500D04C8" w:rsidR="00660CD3" w:rsidRPr="00F76BAE" w:rsidRDefault="00660CD3" w:rsidP="00F76BAE">
    <w:pPr>
      <w:pStyle w:val="Header"/>
      <w:keepLines/>
      <w:suppressLineNumbers/>
      <w:tabs>
        <w:tab w:val="clear" w:pos="4320"/>
        <w:tab w:val="clear" w:pos="8640"/>
      </w:tabs>
      <w:suppressAutoHyphens/>
      <w:spacing w:after="240"/>
      <w:jc w:val="right"/>
      <w:rPr>
        <w:noProof/>
      </w:rPr>
    </w:pPr>
    <w:r w:rsidRPr="00F76BAE">
      <w:rPr>
        <w:noProof/>
      </w:rPr>
      <w:t xml:space="preserve">Page </w:t>
    </w:r>
    <w:r w:rsidRPr="00F76BAE">
      <w:rPr>
        <w:noProof/>
      </w:rPr>
      <w:fldChar w:fldCharType="begin"/>
    </w:r>
    <w:r w:rsidRPr="00F76BAE">
      <w:rPr>
        <w:noProof/>
      </w:rPr>
      <w:instrText xml:space="preserve"> PAGE   \* MERGEFORMAT </w:instrText>
    </w:r>
    <w:r w:rsidRPr="00F76BAE">
      <w:rPr>
        <w:noProof/>
      </w:rPr>
      <w:fldChar w:fldCharType="separate"/>
    </w:r>
    <w:r w:rsidRPr="00F76BAE">
      <w:rPr>
        <w:noProof/>
      </w:rPr>
      <w:t>21</w:t>
    </w:r>
    <w:r w:rsidRPr="00F76BA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0322E"/>
    <w:multiLevelType w:val="multilevel"/>
    <w:tmpl w:val="B55653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1256A4"/>
    <w:multiLevelType w:val="multilevel"/>
    <w:tmpl w:val="A0B4ACDC"/>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val="0"/>
        <w:iCs/>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2D6D33"/>
    <w:multiLevelType w:val="hybridMultilevel"/>
    <w:tmpl w:val="0DA02CF4"/>
    <w:lvl w:ilvl="0" w:tplc="81981720">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577819"/>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3D5E11C3"/>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pStyle w:val="Heading2GTI"/>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A1704B"/>
    <w:multiLevelType w:val="hybridMultilevel"/>
    <w:tmpl w:val="8080222E"/>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442B4"/>
    <w:multiLevelType w:val="multilevel"/>
    <w:tmpl w:val="B55653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D84AB8"/>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1" w15:restartNumberingAfterBreak="0">
    <w:nsid w:val="6ABA1E82"/>
    <w:multiLevelType w:val="hybridMultilevel"/>
    <w:tmpl w:val="8E863EA2"/>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5216DE"/>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0401F"/>
    <w:multiLevelType w:val="hybridMultilevel"/>
    <w:tmpl w:val="6998563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5"/>
  </w:num>
  <w:num w:numId="5">
    <w:abstractNumId w:val="13"/>
  </w:num>
  <w:num w:numId="6">
    <w:abstractNumId w:val="3"/>
  </w:num>
  <w:num w:numId="7">
    <w:abstractNumId w:val="0"/>
  </w:num>
  <w:num w:numId="8">
    <w:abstractNumId w:val="20"/>
  </w:num>
  <w:num w:numId="9">
    <w:abstractNumId w:val="17"/>
  </w:num>
  <w:num w:numId="10">
    <w:abstractNumId w:val="9"/>
  </w:num>
  <w:num w:numId="11">
    <w:abstractNumId w:val="10"/>
  </w:num>
  <w:num w:numId="12">
    <w:abstractNumId w:val="4"/>
  </w:num>
  <w:num w:numId="13">
    <w:abstractNumId w:val="18"/>
  </w:num>
  <w:num w:numId="14">
    <w:abstractNumId w:val="23"/>
  </w:num>
  <w:num w:numId="15">
    <w:abstractNumId w:val="16"/>
  </w:num>
  <w:num w:numId="16">
    <w:abstractNumId w:val="6"/>
  </w:num>
  <w:num w:numId="17">
    <w:abstractNumId w:val="7"/>
  </w:num>
  <w:num w:numId="18">
    <w:abstractNumId w:val="22"/>
  </w:num>
  <w:num w:numId="19">
    <w:abstractNumId w:val="5"/>
  </w:num>
  <w:num w:numId="20">
    <w:abstractNumId w:val="15"/>
  </w:num>
  <w:num w:numId="21">
    <w:abstractNumId w:val="15"/>
  </w:num>
  <w:num w:numId="22">
    <w:abstractNumId w:val="11"/>
  </w:num>
  <w:num w:numId="23">
    <w:abstractNumId w:val="15"/>
  </w:num>
  <w:num w:numId="24">
    <w:abstractNumId w:val="19"/>
  </w:num>
  <w:num w:numId="25">
    <w:abstractNumId w:val="2"/>
  </w:num>
  <w:num w:numId="26">
    <w:abstractNumId w:val="15"/>
  </w:num>
  <w:num w:numId="27">
    <w:abstractNumId w:val="21"/>
  </w:num>
  <w:num w:numId="28">
    <w:abstractNumId w:val="1"/>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3B"/>
    <w:rsid w:val="00004029"/>
    <w:rsid w:val="00010073"/>
    <w:rsid w:val="000119F7"/>
    <w:rsid w:val="000156F2"/>
    <w:rsid w:val="000175A7"/>
    <w:rsid w:val="0002441F"/>
    <w:rsid w:val="00027D58"/>
    <w:rsid w:val="0003044B"/>
    <w:rsid w:val="00030A22"/>
    <w:rsid w:val="0003430D"/>
    <w:rsid w:val="000344C4"/>
    <w:rsid w:val="00034CBD"/>
    <w:rsid w:val="000379C4"/>
    <w:rsid w:val="00045510"/>
    <w:rsid w:val="000456FC"/>
    <w:rsid w:val="0005006A"/>
    <w:rsid w:val="0005223F"/>
    <w:rsid w:val="00056007"/>
    <w:rsid w:val="0005683A"/>
    <w:rsid w:val="0006347E"/>
    <w:rsid w:val="00072E2C"/>
    <w:rsid w:val="0008513D"/>
    <w:rsid w:val="00095529"/>
    <w:rsid w:val="000A129D"/>
    <w:rsid w:val="000A1B1B"/>
    <w:rsid w:val="000A6CB5"/>
    <w:rsid w:val="000A7B08"/>
    <w:rsid w:val="000B05B8"/>
    <w:rsid w:val="000B1D9B"/>
    <w:rsid w:val="000B1FA0"/>
    <w:rsid w:val="000B7E94"/>
    <w:rsid w:val="000C1021"/>
    <w:rsid w:val="000C1F9D"/>
    <w:rsid w:val="000C367C"/>
    <w:rsid w:val="000C4658"/>
    <w:rsid w:val="000C4AC3"/>
    <w:rsid w:val="000C6D0E"/>
    <w:rsid w:val="000C7BBC"/>
    <w:rsid w:val="000D707B"/>
    <w:rsid w:val="000E2BB9"/>
    <w:rsid w:val="000E7753"/>
    <w:rsid w:val="000F033A"/>
    <w:rsid w:val="000F45D1"/>
    <w:rsid w:val="000F5503"/>
    <w:rsid w:val="0010143B"/>
    <w:rsid w:val="001015EB"/>
    <w:rsid w:val="001019FC"/>
    <w:rsid w:val="0010311B"/>
    <w:rsid w:val="001037EE"/>
    <w:rsid w:val="00105372"/>
    <w:rsid w:val="001079CB"/>
    <w:rsid w:val="00114682"/>
    <w:rsid w:val="00116C7D"/>
    <w:rsid w:val="001216C7"/>
    <w:rsid w:val="001221D3"/>
    <w:rsid w:val="00131E7A"/>
    <w:rsid w:val="00140F27"/>
    <w:rsid w:val="001425DF"/>
    <w:rsid w:val="00144600"/>
    <w:rsid w:val="0014597A"/>
    <w:rsid w:val="0015048B"/>
    <w:rsid w:val="00154F3F"/>
    <w:rsid w:val="00162B94"/>
    <w:rsid w:val="00164A13"/>
    <w:rsid w:val="00167137"/>
    <w:rsid w:val="001739FB"/>
    <w:rsid w:val="00173E08"/>
    <w:rsid w:val="00175B5A"/>
    <w:rsid w:val="00177795"/>
    <w:rsid w:val="00180719"/>
    <w:rsid w:val="0018287F"/>
    <w:rsid w:val="00183350"/>
    <w:rsid w:val="001837A4"/>
    <w:rsid w:val="001852A2"/>
    <w:rsid w:val="0018600E"/>
    <w:rsid w:val="001870DF"/>
    <w:rsid w:val="00190410"/>
    <w:rsid w:val="0019198C"/>
    <w:rsid w:val="0019287A"/>
    <w:rsid w:val="001943A6"/>
    <w:rsid w:val="001A30D8"/>
    <w:rsid w:val="001A3322"/>
    <w:rsid w:val="001A383F"/>
    <w:rsid w:val="001A3AB2"/>
    <w:rsid w:val="001A6BD5"/>
    <w:rsid w:val="001A7B1B"/>
    <w:rsid w:val="001A7F04"/>
    <w:rsid w:val="001B2E65"/>
    <w:rsid w:val="001B6FB1"/>
    <w:rsid w:val="001C39AE"/>
    <w:rsid w:val="001C3A1B"/>
    <w:rsid w:val="001C400F"/>
    <w:rsid w:val="001C5C23"/>
    <w:rsid w:val="001D25EC"/>
    <w:rsid w:val="001D3534"/>
    <w:rsid w:val="001D4832"/>
    <w:rsid w:val="001D5A4E"/>
    <w:rsid w:val="001E4579"/>
    <w:rsid w:val="001E6096"/>
    <w:rsid w:val="001E76CD"/>
    <w:rsid w:val="001F64A9"/>
    <w:rsid w:val="00204495"/>
    <w:rsid w:val="0020600E"/>
    <w:rsid w:val="00213366"/>
    <w:rsid w:val="00214033"/>
    <w:rsid w:val="002161FF"/>
    <w:rsid w:val="0022281A"/>
    <w:rsid w:val="00230923"/>
    <w:rsid w:val="00231530"/>
    <w:rsid w:val="00236419"/>
    <w:rsid w:val="00236436"/>
    <w:rsid w:val="002369F9"/>
    <w:rsid w:val="00241068"/>
    <w:rsid w:val="0024242B"/>
    <w:rsid w:val="00242657"/>
    <w:rsid w:val="002453E0"/>
    <w:rsid w:val="00247B63"/>
    <w:rsid w:val="00252DDA"/>
    <w:rsid w:val="00253A3F"/>
    <w:rsid w:val="00253C54"/>
    <w:rsid w:val="00261377"/>
    <w:rsid w:val="002666AF"/>
    <w:rsid w:val="00270039"/>
    <w:rsid w:val="00271D50"/>
    <w:rsid w:val="002742D1"/>
    <w:rsid w:val="00280987"/>
    <w:rsid w:val="002832AF"/>
    <w:rsid w:val="0028730E"/>
    <w:rsid w:val="00293359"/>
    <w:rsid w:val="00293F95"/>
    <w:rsid w:val="00295E33"/>
    <w:rsid w:val="00295F5C"/>
    <w:rsid w:val="002A0CE4"/>
    <w:rsid w:val="002A119C"/>
    <w:rsid w:val="002A29CD"/>
    <w:rsid w:val="002A3764"/>
    <w:rsid w:val="002A3E21"/>
    <w:rsid w:val="002A729C"/>
    <w:rsid w:val="002B0516"/>
    <w:rsid w:val="002B30F4"/>
    <w:rsid w:val="002B4D91"/>
    <w:rsid w:val="002B4ECA"/>
    <w:rsid w:val="002B6442"/>
    <w:rsid w:val="002C0AB5"/>
    <w:rsid w:val="002C3326"/>
    <w:rsid w:val="002C7AEB"/>
    <w:rsid w:val="002D0E1B"/>
    <w:rsid w:val="002D2D3D"/>
    <w:rsid w:val="002D547F"/>
    <w:rsid w:val="002D7B3A"/>
    <w:rsid w:val="002E07DE"/>
    <w:rsid w:val="002E3867"/>
    <w:rsid w:val="002F4567"/>
    <w:rsid w:val="002F5EC9"/>
    <w:rsid w:val="0030417B"/>
    <w:rsid w:val="00304236"/>
    <w:rsid w:val="00310E7D"/>
    <w:rsid w:val="00322924"/>
    <w:rsid w:val="00323564"/>
    <w:rsid w:val="00332AFF"/>
    <w:rsid w:val="0033341A"/>
    <w:rsid w:val="00342CE7"/>
    <w:rsid w:val="00343359"/>
    <w:rsid w:val="00343FAA"/>
    <w:rsid w:val="003442C3"/>
    <w:rsid w:val="00353ED7"/>
    <w:rsid w:val="003564F9"/>
    <w:rsid w:val="003571E2"/>
    <w:rsid w:val="003576A3"/>
    <w:rsid w:val="0036397E"/>
    <w:rsid w:val="003646EE"/>
    <w:rsid w:val="00370BAC"/>
    <w:rsid w:val="00372CF8"/>
    <w:rsid w:val="00372F74"/>
    <w:rsid w:val="003752AF"/>
    <w:rsid w:val="003840C5"/>
    <w:rsid w:val="00387189"/>
    <w:rsid w:val="00390C1B"/>
    <w:rsid w:val="00393536"/>
    <w:rsid w:val="00395360"/>
    <w:rsid w:val="00396D2B"/>
    <w:rsid w:val="00397652"/>
    <w:rsid w:val="003A2E77"/>
    <w:rsid w:val="003A364C"/>
    <w:rsid w:val="003A44B4"/>
    <w:rsid w:val="003A6A38"/>
    <w:rsid w:val="003B1FF2"/>
    <w:rsid w:val="003B472C"/>
    <w:rsid w:val="003B5EC8"/>
    <w:rsid w:val="003B6333"/>
    <w:rsid w:val="003C4642"/>
    <w:rsid w:val="003C6C56"/>
    <w:rsid w:val="003C6E9C"/>
    <w:rsid w:val="003C7191"/>
    <w:rsid w:val="003D0FAD"/>
    <w:rsid w:val="003D50AC"/>
    <w:rsid w:val="003E0A7D"/>
    <w:rsid w:val="003E2AE5"/>
    <w:rsid w:val="003E33B0"/>
    <w:rsid w:val="003E3F90"/>
    <w:rsid w:val="003E6011"/>
    <w:rsid w:val="003E7DA8"/>
    <w:rsid w:val="003F6994"/>
    <w:rsid w:val="00400D3C"/>
    <w:rsid w:val="00402DC0"/>
    <w:rsid w:val="00404D92"/>
    <w:rsid w:val="004058A3"/>
    <w:rsid w:val="004073D6"/>
    <w:rsid w:val="00416588"/>
    <w:rsid w:val="00422942"/>
    <w:rsid w:val="0042357C"/>
    <w:rsid w:val="0042600D"/>
    <w:rsid w:val="00430D97"/>
    <w:rsid w:val="004333E7"/>
    <w:rsid w:val="00435C16"/>
    <w:rsid w:val="00436AC6"/>
    <w:rsid w:val="00437CDA"/>
    <w:rsid w:val="004401CB"/>
    <w:rsid w:val="004434A9"/>
    <w:rsid w:val="00451B0B"/>
    <w:rsid w:val="00452472"/>
    <w:rsid w:val="004644C2"/>
    <w:rsid w:val="00466964"/>
    <w:rsid w:val="004711BE"/>
    <w:rsid w:val="00473601"/>
    <w:rsid w:val="00474C63"/>
    <w:rsid w:val="00476BB0"/>
    <w:rsid w:val="00476BB9"/>
    <w:rsid w:val="004812B5"/>
    <w:rsid w:val="004825B9"/>
    <w:rsid w:val="00484594"/>
    <w:rsid w:val="0048511A"/>
    <w:rsid w:val="00485422"/>
    <w:rsid w:val="00485E99"/>
    <w:rsid w:val="00486A42"/>
    <w:rsid w:val="004904B9"/>
    <w:rsid w:val="00492E70"/>
    <w:rsid w:val="00493319"/>
    <w:rsid w:val="00494BEB"/>
    <w:rsid w:val="00495BCE"/>
    <w:rsid w:val="004A247E"/>
    <w:rsid w:val="004A2763"/>
    <w:rsid w:val="004B3505"/>
    <w:rsid w:val="004C251A"/>
    <w:rsid w:val="004C5B38"/>
    <w:rsid w:val="004C6A46"/>
    <w:rsid w:val="004D0C68"/>
    <w:rsid w:val="004D1DF5"/>
    <w:rsid w:val="004E22E0"/>
    <w:rsid w:val="004E341A"/>
    <w:rsid w:val="004E5145"/>
    <w:rsid w:val="004E59A5"/>
    <w:rsid w:val="004E5D63"/>
    <w:rsid w:val="004E70AD"/>
    <w:rsid w:val="004F1344"/>
    <w:rsid w:val="004F1A03"/>
    <w:rsid w:val="004F2B43"/>
    <w:rsid w:val="004F393D"/>
    <w:rsid w:val="004F61E7"/>
    <w:rsid w:val="004F6661"/>
    <w:rsid w:val="004F68BE"/>
    <w:rsid w:val="004F79D1"/>
    <w:rsid w:val="004F7ED7"/>
    <w:rsid w:val="00514451"/>
    <w:rsid w:val="0052026D"/>
    <w:rsid w:val="00523767"/>
    <w:rsid w:val="005270A0"/>
    <w:rsid w:val="00531C20"/>
    <w:rsid w:val="00533248"/>
    <w:rsid w:val="00534681"/>
    <w:rsid w:val="00537347"/>
    <w:rsid w:val="00540580"/>
    <w:rsid w:val="00542193"/>
    <w:rsid w:val="00547147"/>
    <w:rsid w:val="00550EA4"/>
    <w:rsid w:val="00550F37"/>
    <w:rsid w:val="005516B0"/>
    <w:rsid w:val="00551862"/>
    <w:rsid w:val="005526E3"/>
    <w:rsid w:val="00563ECA"/>
    <w:rsid w:val="00565EFA"/>
    <w:rsid w:val="0057284E"/>
    <w:rsid w:val="0057384D"/>
    <w:rsid w:val="00574FE1"/>
    <w:rsid w:val="00581ABC"/>
    <w:rsid w:val="005849B4"/>
    <w:rsid w:val="00587D17"/>
    <w:rsid w:val="00590AD0"/>
    <w:rsid w:val="005977BF"/>
    <w:rsid w:val="005A2611"/>
    <w:rsid w:val="005A288A"/>
    <w:rsid w:val="005A549F"/>
    <w:rsid w:val="005B0299"/>
    <w:rsid w:val="005B6F4B"/>
    <w:rsid w:val="005C02BC"/>
    <w:rsid w:val="005C0493"/>
    <w:rsid w:val="005C2552"/>
    <w:rsid w:val="005C3407"/>
    <w:rsid w:val="005C64BE"/>
    <w:rsid w:val="005C6D60"/>
    <w:rsid w:val="005C74B0"/>
    <w:rsid w:val="005C76C4"/>
    <w:rsid w:val="005D1ACE"/>
    <w:rsid w:val="005D3785"/>
    <w:rsid w:val="005D3DB0"/>
    <w:rsid w:val="005D4132"/>
    <w:rsid w:val="005D56B4"/>
    <w:rsid w:val="005E2A01"/>
    <w:rsid w:val="005E3C37"/>
    <w:rsid w:val="005F0062"/>
    <w:rsid w:val="005F1969"/>
    <w:rsid w:val="00602420"/>
    <w:rsid w:val="00603C82"/>
    <w:rsid w:val="0060435D"/>
    <w:rsid w:val="006114CC"/>
    <w:rsid w:val="00612FDB"/>
    <w:rsid w:val="006140D0"/>
    <w:rsid w:val="00615E12"/>
    <w:rsid w:val="0061729F"/>
    <w:rsid w:val="00627C84"/>
    <w:rsid w:val="00632110"/>
    <w:rsid w:val="00632221"/>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71AD6"/>
    <w:rsid w:val="006733B8"/>
    <w:rsid w:val="00675F63"/>
    <w:rsid w:val="00677BEC"/>
    <w:rsid w:val="006842A9"/>
    <w:rsid w:val="00691010"/>
    <w:rsid w:val="00692CF6"/>
    <w:rsid w:val="00693FB0"/>
    <w:rsid w:val="0069546B"/>
    <w:rsid w:val="00697CFD"/>
    <w:rsid w:val="006A34A0"/>
    <w:rsid w:val="006B1361"/>
    <w:rsid w:val="006B2828"/>
    <w:rsid w:val="006B2A3D"/>
    <w:rsid w:val="006B3313"/>
    <w:rsid w:val="006B36BE"/>
    <w:rsid w:val="006B37E4"/>
    <w:rsid w:val="006C5281"/>
    <w:rsid w:val="006C5EDF"/>
    <w:rsid w:val="006C5F05"/>
    <w:rsid w:val="006C7334"/>
    <w:rsid w:val="006D54C0"/>
    <w:rsid w:val="006D61C6"/>
    <w:rsid w:val="006D75F4"/>
    <w:rsid w:val="006E263A"/>
    <w:rsid w:val="006E2C4E"/>
    <w:rsid w:val="006E4E5D"/>
    <w:rsid w:val="006E7EF7"/>
    <w:rsid w:val="006F0343"/>
    <w:rsid w:val="006F062F"/>
    <w:rsid w:val="006F353A"/>
    <w:rsid w:val="006F36D2"/>
    <w:rsid w:val="006F6E77"/>
    <w:rsid w:val="006F7B89"/>
    <w:rsid w:val="00700EE4"/>
    <w:rsid w:val="0070104C"/>
    <w:rsid w:val="00701310"/>
    <w:rsid w:val="0070485D"/>
    <w:rsid w:val="00712C80"/>
    <w:rsid w:val="0071440D"/>
    <w:rsid w:val="00717BA0"/>
    <w:rsid w:val="00717D88"/>
    <w:rsid w:val="007259AE"/>
    <w:rsid w:val="00731B94"/>
    <w:rsid w:val="00733B41"/>
    <w:rsid w:val="00734E8F"/>
    <w:rsid w:val="00734E97"/>
    <w:rsid w:val="00741BA4"/>
    <w:rsid w:val="00744136"/>
    <w:rsid w:val="00745EE4"/>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7D21"/>
    <w:rsid w:val="00791D26"/>
    <w:rsid w:val="00793D7A"/>
    <w:rsid w:val="007942D3"/>
    <w:rsid w:val="00795216"/>
    <w:rsid w:val="0079534C"/>
    <w:rsid w:val="007A1072"/>
    <w:rsid w:val="007A1FDA"/>
    <w:rsid w:val="007A7A73"/>
    <w:rsid w:val="007A7C8D"/>
    <w:rsid w:val="007B01FB"/>
    <w:rsid w:val="007B4206"/>
    <w:rsid w:val="007B5237"/>
    <w:rsid w:val="007C30CB"/>
    <w:rsid w:val="007C5D32"/>
    <w:rsid w:val="007C673B"/>
    <w:rsid w:val="007D2C40"/>
    <w:rsid w:val="007E09DA"/>
    <w:rsid w:val="007E2735"/>
    <w:rsid w:val="007E2B6B"/>
    <w:rsid w:val="007E3D36"/>
    <w:rsid w:val="007F182E"/>
    <w:rsid w:val="007F3467"/>
    <w:rsid w:val="007F3598"/>
    <w:rsid w:val="00800F35"/>
    <w:rsid w:val="00802E98"/>
    <w:rsid w:val="00814237"/>
    <w:rsid w:val="008160D1"/>
    <w:rsid w:val="00821596"/>
    <w:rsid w:val="008235DE"/>
    <w:rsid w:val="00823756"/>
    <w:rsid w:val="00824B8C"/>
    <w:rsid w:val="008274E1"/>
    <w:rsid w:val="00830CDC"/>
    <w:rsid w:val="00831158"/>
    <w:rsid w:val="00832376"/>
    <w:rsid w:val="008329D1"/>
    <w:rsid w:val="0083410D"/>
    <w:rsid w:val="00846571"/>
    <w:rsid w:val="00846842"/>
    <w:rsid w:val="00851E55"/>
    <w:rsid w:val="008543DF"/>
    <w:rsid w:val="00854659"/>
    <w:rsid w:val="00855F86"/>
    <w:rsid w:val="00860228"/>
    <w:rsid w:val="00860ADB"/>
    <w:rsid w:val="00864D8A"/>
    <w:rsid w:val="008653AE"/>
    <w:rsid w:val="00865B70"/>
    <w:rsid w:val="00872255"/>
    <w:rsid w:val="00872CBB"/>
    <w:rsid w:val="008731CA"/>
    <w:rsid w:val="0087634E"/>
    <w:rsid w:val="00876402"/>
    <w:rsid w:val="0087696C"/>
    <w:rsid w:val="00881C52"/>
    <w:rsid w:val="0088379E"/>
    <w:rsid w:val="008910D3"/>
    <w:rsid w:val="00895932"/>
    <w:rsid w:val="00897851"/>
    <w:rsid w:val="008A23D0"/>
    <w:rsid w:val="008A269F"/>
    <w:rsid w:val="008A2AA4"/>
    <w:rsid w:val="008A791D"/>
    <w:rsid w:val="008B0F95"/>
    <w:rsid w:val="008B11FD"/>
    <w:rsid w:val="008C41AD"/>
    <w:rsid w:val="008C4EE1"/>
    <w:rsid w:val="008C757A"/>
    <w:rsid w:val="008C77B4"/>
    <w:rsid w:val="008C7C31"/>
    <w:rsid w:val="008D088A"/>
    <w:rsid w:val="008D34E1"/>
    <w:rsid w:val="008D41E8"/>
    <w:rsid w:val="008D5604"/>
    <w:rsid w:val="008D574B"/>
    <w:rsid w:val="008E0898"/>
    <w:rsid w:val="008E28E5"/>
    <w:rsid w:val="008E3189"/>
    <w:rsid w:val="008E4379"/>
    <w:rsid w:val="008E518F"/>
    <w:rsid w:val="008E59BB"/>
    <w:rsid w:val="008F2DF2"/>
    <w:rsid w:val="008F37AA"/>
    <w:rsid w:val="008F5EF1"/>
    <w:rsid w:val="008F6207"/>
    <w:rsid w:val="008F7318"/>
    <w:rsid w:val="00901BDA"/>
    <w:rsid w:val="0090742D"/>
    <w:rsid w:val="0090751B"/>
    <w:rsid w:val="0090757D"/>
    <w:rsid w:val="009109B1"/>
    <w:rsid w:val="00913E61"/>
    <w:rsid w:val="009155E5"/>
    <w:rsid w:val="0091572E"/>
    <w:rsid w:val="00927682"/>
    <w:rsid w:val="009300FE"/>
    <w:rsid w:val="0093061A"/>
    <w:rsid w:val="00931CEB"/>
    <w:rsid w:val="00934954"/>
    <w:rsid w:val="00940383"/>
    <w:rsid w:val="00945C56"/>
    <w:rsid w:val="0094602A"/>
    <w:rsid w:val="009505C9"/>
    <w:rsid w:val="00950629"/>
    <w:rsid w:val="00952BEB"/>
    <w:rsid w:val="00953118"/>
    <w:rsid w:val="00955E02"/>
    <w:rsid w:val="0095686B"/>
    <w:rsid w:val="009629FE"/>
    <w:rsid w:val="00966FF6"/>
    <w:rsid w:val="0096735B"/>
    <w:rsid w:val="00975704"/>
    <w:rsid w:val="00975A49"/>
    <w:rsid w:val="00975C86"/>
    <w:rsid w:val="00976A52"/>
    <w:rsid w:val="00981C55"/>
    <w:rsid w:val="00982DB8"/>
    <w:rsid w:val="009830EE"/>
    <w:rsid w:val="009837F1"/>
    <w:rsid w:val="009859A3"/>
    <w:rsid w:val="00987AD2"/>
    <w:rsid w:val="00994484"/>
    <w:rsid w:val="0099487E"/>
    <w:rsid w:val="00995D17"/>
    <w:rsid w:val="009A0821"/>
    <w:rsid w:val="009A363C"/>
    <w:rsid w:val="009A629A"/>
    <w:rsid w:val="009B0EC6"/>
    <w:rsid w:val="009B4A2E"/>
    <w:rsid w:val="009B66FD"/>
    <w:rsid w:val="009B6C5D"/>
    <w:rsid w:val="009B72A6"/>
    <w:rsid w:val="009C22E0"/>
    <w:rsid w:val="009D1029"/>
    <w:rsid w:val="009D3C6A"/>
    <w:rsid w:val="009D4F43"/>
    <w:rsid w:val="009D5BFC"/>
    <w:rsid w:val="009E3BBC"/>
    <w:rsid w:val="009E6D8B"/>
    <w:rsid w:val="009E781E"/>
    <w:rsid w:val="009F04ED"/>
    <w:rsid w:val="00A04050"/>
    <w:rsid w:val="00A072BB"/>
    <w:rsid w:val="00A144EA"/>
    <w:rsid w:val="00A15119"/>
    <w:rsid w:val="00A16046"/>
    <w:rsid w:val="00A1714B"/>
    <w:rsid w:val="00A20322"/>
    <w:rsid w:val="00A20C66"/>
    <w:rsid w:val="00A21A8C"/>
    <w:rsid w:val="00A22AFB"/>
    <w:rsid w:val="00A26111"/>
    <w:rsid w:val="00A26636"/>
    <w:rsid w:val="00A311E9"/>
    <w:rsid w:val="00A332C0"/>
    <w:rsid w:val="00A33321"/>
    <w:rsid w:val="00A35556"/>
    <w:rsid w:val="00A368B1"/>
    <w:rsid w:val="00A4030E"/>
    <w:rsid w:val="00A4408F"/>
    <w:rsid w:val="00A46006"/>
    <w:rsid w:val="00A50D97"/>
    <w:rsid w:val="00A521FF"/>
    <w:rsid w:val="00A56C06"/>
    <w:rsid w:val="00A60551"/>
    <w:rsid w:val="00A6109C"/>
    <w:rsid w:val="00A62C2B"/>
    <w:rsid w:val="00A63A8A"/>
    <w:rsid w:val="00A7204D"/>
    <w:rsid w:val="00A7356A"/>
    <w:rsid w:val="00A749D3"/>
    <w:rsid w:val="00A8093D"/>
    <w:rsid w:val="00A80B20"/>
    <w:rsid w:val="00A810CE"/>
    <w:rsid w:val="00A83311"/>
    <w:rsid w:val="00A83F09"/>
    <w:rsid w:val="00A85AC0"/>
    <w:rsid w:val="00A86382"/>
    <w:rsid w:val="00A92F09"/>
    <w:rsid w:val="00A934BD"/>
    <w:rsid w:val="00A93738"/>
    <w:rsid w:val="00A952C2"/>
    <w:rsid w:val="00AA2B7E"/>
    <w:rsid w:val="00AA4250"/>
    <w:rsid w:val="00AA492E"/>
    <w:rsid w:val="00AA5F81"/>
    <w:rsid w:val="00AA6119"/>
    <w:rsid w:val="00AB0AA3"/>
    <w:rsid w:val="00AB32E9"/>
    <w:rsid w:val="00AB3E97"/>
    <w:rsid w:val="00AB67C1"/>
    <w:rsid w:val="00AB7A87"/>
    <w:rsid w:val="00AC06EE"/>
    <w:rsid w:val="00AC5BAD"/>
    <w:rsid w:val="00AD02DD"/>
    <w:rsid w:val="00AD288E"/>
    <w:rsid w:val="00AD6F21"/>
    <w:rsid w:val="00AE011F"/>
    <w:rsid w:val="00AE1ECD"/>
    <w:rsid w:val="00AE4138"/>
    <w:rsid w:val="00AF17C6"/>
    <w:rsid w:val="00AF2F1E"/>
    <w:rsid w:val="00B003AB"/>
    <w:rsid w:val="00B00575"/>
    <w:rsid w:val="00B0326C"/>
    <w:rsid w:val="00B047C2"/>
    <w:rsid w:val="00B066C6"/>
    <w:rsid w:val="00B078D6"/>
    <w:rsid w:val="00B1004E"/>
    <w:rsid w:val="00B1353A"/>
    <w:rsid w:val="00B15A40"/>
    <w:rsid w:val="00B2489D"/>
    <w:rsid w:val="00B27EB2"/>
    <w:rsid w:val="00B31372"/>
    <w:rsid w:val="00B3369F"/>
    <w:rsid w:val="00B3409F"/>
    <w:rsid w:val="00B3689D"/>
    <w:rsid w:val="00B41E3B"/>
    <w:rsid w:val="00B44B30"/>
    <w:rsid w:val="00B46030"/>
    <w:rsid w:val="00B51BDC"/>
    <w:rsid w:val="00B62CF9"/>
    <w:rsid w:val="00B733C9"/>
    <w:rsid w:val="00B75A6A"/>
    <w:rsid w:val="00B80BC9"/>
    <w:rsid w:val="00B847E6"/>
    <w:rsid w:val="00B86DFB"/>
    <w:rsid w:val="00B87C89"/>
    <w:rsid w:val="00B90893"/>
    <w:rsid w:val="00B909DD"/>
    <w:rsid w:val="00B91484"/>
    <w:rsid w:val="00B937D6"/>
    <w:rsid w:val="00B946C7"/>
    <w:rsid w:val="00B96D4F"/>
    <w:rsid w:val="00B97CA3"/>
    <w:rsid w:val="00B97F30"/>
    <w:rsid w:val="00BA031E"/>
    <w:rsid w:val="00BA0FF5"/>
    <w:rsid w:val="00BA10D9"/>
    <w:rsid w:val="00BA15A4"/>
    <w:rsid w:val="00BA1723"/>
    <w:rsid w:val="00BA4AF1"/>
    <w:rsid w:val="00BA4E32"/>
    <w:rsid w:val="00BA7C47"/>
    <w:rsid w:val="00BB122F"/>
    <w:rsid w:val="00BB1CB3"/>
    <w:rsid w:val="00BB61A5"/>
    <w:rsid w:val="00BB79A7"/>
    <w:rsid w:val="00BC35FE"/>
    <w:rsid w:val="00BC511C"/>
    <w:rsid w:val="00BC6CA1"/>
    <w:rsid w:val="00BD3C5B"/>
    <w:rsid w:val="00BD4894"/>
    <w:rsid w:val="00BD48CF"/>
    <w:rsid w:val="00BD6185"/>
    <w:rsid w:val="00BE163D"/>
    <w:rsid w:val="00BE6626"/>
    <w:rsid w:val="00BF0AEE"/>
    <w:rsid w:val="00BF3D1A"/>
    <w:rsid w:val="00BF42F6"/>
    <w:rsid w:val="00BF440C"/>
    <w:rsid w:val="00BF4BCA"/>
    <w:rsid w:val="00BF53EA"/>
    <w:rsid w:val="00BF5687"/>
    <w:rsid w:val="00BF7B55"/>
    <w:rsid w:val="00C003CF"/>
    <w:rsid w:val="00C041BE"/>
    <w:rsid w:val="00C0474D"/>
    <w:rsid w:val="00C12101"/>
    <w:rsid w:val="00C208F0"/>
    <w:rsid w:val="00C267CB"/>
    <w:rsid w:val="00C3295C"/>
    <w:rsid w:val="00C35749"/>
    <w:rsid w:val="00C364E1"/>
    <w:rsid w:val="00C40CF7"/>
    <w:rsid w:val="00C412AF"/>
    <w:rsid w:val="00C42D42"/>
    <w:rsid w:val="00C453C2"/>
    <w:rsid w:val="00C47463"/>
    <w:rsid w:val="00C50A3D"/>
    <w:rsid w:val="00C516F4"/>
    <w:rsid w:val="00C52716"/>
    <w:rsid w:val="00C5435B"/>
    <w:rsid w:val="00C60451"/>
    <w:rsid w:val="00C60D3B"/>
    <w:rsid w:val="00C6439B"/>
    <w:rsid w:val="00C65DCB"/>
    <w:rsid w:val="00C66A6A"/>
    <w:rsid w:val="00C7003D"/>
    <w:rsid w:val="00C709AE"/>
    <w:rsid w:val="00C70F13"/>
    <w:rsid w:val="00C75239"/>
    <w:rsid w:val="00C768C1"/>
    <w:rsid w:val="00C769EC"/>
    <w:rsid w:val="00C76DC8"/>
    <w:rsid w:val="00C77901"/>
    <w:rsid w:val="00C83A00"/>
    <w:rsid w:val="00C9161D"/>
    <w:rsid w:val="00C91AEF"/>
    <w:rsid w:val="00C96513"/>
    <w:rsid w:val="00C979E2"/>
    <w:rsid w:val="00CA05F3"/>
    <w:rsid w:val="00CA3DE9"/>
    <w:rsid w:val="00CB0C50"/>
    <w:rsid w:val="00CB3448"/>
    <w:rsid w:val="00CB3BD8"/>
    <w:rsid w:val="00CB4A1B"/>
    <w:rsid w:val="00CB77C4"/>
    <w:rsid w:val="00CC033B"/>
    <w:rsid w:val="00CC22EA"/>
    <w:rsid w:val="00CC3A92"/>
    <w:rsid w:val="00CC7439"/>
    <w:rsid w:val="00CD0BC3"/>
    <w:rsid w:val="00CD4B3F"/>
    <w:rsid w:val="00CE2C1D"/>
    <w:rsid w:val="00CE5DDB"/>
    <w:rsid w:val="00CF1848"/>
    <w:rsid w:val="00CF22FF"/>
    <w:rsid w:val="00D01CC0"/>
    <w:rsid w:val="00D046CD"/>
    <w:rsid w:val="00D06408"/>
    <w:rsid w:val="00D075B5"/>
    <w:rsid w:val="00D1083D"/>
    <w:rsid w:val="00D11141"/>
    <w:rsid w:val="00D118A7"/>
    <w:rsid w:val="00D16B1B"/>
    <w:rsid w:val="00D2018E"/>
    <w:rsid w:val="00D20D54"/>
    <w:rsid w:val="00D20DEC"/>
    <w:rsid w:val="00D21495"/>
    <w:rsid w:val="00D231CD"/>
    <w:rsid w:val="00D24133"/>
    <w:rsid w:val="00D27A66"/>
    <w:rsid w:val="00D3309A"/>
    <w:rsid w:val="00D375DB"/>
    <w:rsid w:val="00D42406"/>
    <w:rsid w:val="00D44CE0"/>
    <w:rsid w:val="00D465EA"/>
    <w:rsid w:val="00D46FD9"/>
    <w:rsid w:val="00D51094"/>
    <w:rsid w:val="00D52DB1"/>
    <w:rsid w:val="00D665D5"/>
    <w:rsid w:val="00D67B07"/>
    <w:rsid w:val="00D74851"/>
    <w:rsid w:val="00D76A18"/>
    <w:rsid w:val="00D77E64"/>
    <w:rsid w:val="00D816E0"/>
    <w:rsid w:val="00D840EB"/>
    <w:rsid w:val="00D8497E"/>
    <w:rsid w:val="00D87D72"/>
    <w:rsid w:val="00D94374"/>
    <w:rsid w:val="00D95E15"/>
    <w:rsid w:val="00D96849"/>
    <w:rsid w:val="00DA0251"/>
    <w:rsid w:val="00DA3FA9"/>
    <w:rsid w:val="00DA4476"/>
    <w:rsid w:val="00DA48C7"/>
    <w:rsid w:val="00DA6464"/>
    <w:rsid w:val="00DB4A68"/>
    <w:rsid w:val="00DB5CE1"/>
    <w:rsid w:val="00DB761C"/>
    <w:rsid w:val="00DC04C8"/>
    <w:rsid w:val="00DC5836"/>
    <w:rsid w:val="00DD0F17"/>
    <w:rsid w:val="00DD5209"/>
    <w:rsid w:val="00DD5F8C"/>
    <w:rsid w:val="00DD69FF"/>
    <w:rsid w:val="00DE0CB5"/>
    <w:rsid w:val="00DE3D49"/>
    <w:rsid w:val="00DE4B00"/>
    <w:rsid w:val="00DF2713"/>
    <w:rsid w:val="00DF3378"/>
    <w:rsid w:val="00DF55A9"/>
    <w:rsid w:val="00DF6180"/>
    <w:rsid w:val="00DF7E1B"/>
    <w:rsid w:val="00E03BEE"/>
    <w:rsid w:val="00E043C2"/>
    <w:rsid w:val="00E06537"/>
    <w:rsid w:val="00E07248"/>
    <w:rsid w:val="00E10D4E"/>
    <w:rsid w:val="00E1344C"/>
    <w:rsid w:val="00E1468E"/>
    <w:rsid w:val="00E15F44"/>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2EC1"/>
    <w:rsid w:val="00E5573C"/>
    <w:rsid w:val="00E56F27"/>
    <w:rsid w:val="00E57B96"/>
    <w:rsid w:val="00E60715"/>
    <w:rsid w:val="00E649FD"/>
    <w:rsid w:val="00E66235"/>
    <w:rsid w:val="00E679F9"/>
    <w:rsid w:val="00E7270D"/>
    <w:rsid w:val="00E72D8E"/>
    <w:rsid w:val="00E74FBF"/>
    <w:rsid w:val="00E74FEA"/>
    <w:rsid w:val="00E7666E"/>
    <w:rsid w:val="00E8042F"/>
    <w:rsid w:val="00E8257E"/>
    <w:rsid w:val="00E83C24"/>
    <w:rsid w:val="00E843F6"/>
    <w:rsid w:val="00E8588A"/>
    <w:rsid w:val="00EA09AB"/>
    <w:rsid w:val="00EA13E0"/>
    <w:rsid w:val="00EA226E"/>
    <w:rsid w:val="00EA2EFA"/>
    <w:rsid w:val="00EA7C1C"/>
    <w:rsid w:val="00EB33F1"/>
    <w:rsid w:val="00EC2A32"/>
    <w:rsid w:val="00EC53AD"/>
    <w:rsid w:val="00EC6C31"/>
    <w:rsid w:val="00EC6EDC"/>
    <w:rsid w:val="00ED07DF"/>
    <w:rsid w:val="00ED25C4"/>
    <w:rsid w:val="00ED657F"/>
    <w:rsid w:val="00ED7304"/>
    <w:rsid w:val="00EE0DA0"/>
    <w:rsid w:val="00EE1593"/>
    <w:rsid w:val="00EE27EE"/>
    <w:rsid w:val="00EE58E4"/>
    <w:rsid w:val="00EF234E"/>
    <w:rsid w:val="00F00E39"/>
    <w:rsid w:val="00F03401"/>
    <w:rsid w:val="00F03632"/>
    <w:rsid w:val="00F05196"/>
    <w:rsid w:val="00F07435"/>
    <w:rsid w:val="00F15725"/>
    <w:rsid w:val="00F158F2"/>
    <w:rsid w:val="00F16D46"/>
    <w:rsid w:val="00F20CE0"/>
    <w:rsid w:val="00F22A37"/>
    <w:rsid w:val="00F23E3B"/>
    <w:rsid w:val="00F25C9A"/>
    <w:rsid w:val="00F25F37"/>
    <w:rsid w:val="00F265F7"/>
    <w:rsid w:val="00F267EA"/>
    <w:rsid w:val="00F33C2C"/>
    <w:rsid w:val="00F3534E"/>
    <w:rsid w:val="00F36839"/>
    <w:rsid w:val="00F36E7E"/>
    <w:rsid w:val="00F42055"/>
    <w:rsid w:val="00F427D6"/>
    <w:rsid w:val="00F436CA"/>
    <w:rsid w:val="00F43982"/>
    <w:rsid w:val="00F43EE5"/>
    <w:rsid w:val="00F47E5F"/>
    <w:rsid w:val="00F6334B"/>
    <w:rsid w:val="00F648D6"/>
    <w:rsid w:val="00F73018"/>
    <w:rsid w:val="00F749EA"/>
    <w:rsid w:val="00F76BAE"/>
    <w:rsid w:val="00F77688"/>
    <w:rsid w:val="00F778AD"/>
    <w:rsid w:val="00F77F22"/>
    <w:rsid w:val="00F80447"/>
    <w:rsid w:val="00F84459"/>
    <w:rsid w:val="00F94774"/>
    <w:rsid w:val="00F9553D"/>
    <w:rsid w:val="00F97761"/>
    <w:rsid w:val="00FA15EA"/>
    <w:rsid w:val="00FA16E3"/>
    <w:rsid w:val="00FA3D53"/>
    <w:rsid w:val="00FB3FD7"/>
    <w:rsid w:val="00FB466B"/>
    <w:rsid w:val="00FB66C5"/>
    <w:rsid w:val="00FC11A1"/>
    <w:rsid w:val="00FC3975"/>
    <w:rsid w:val="00FC4250"/>
    <w:rsid w:val="00FC57C2"/>
    <w:rsid w:val="00FC7CBC"/>
    <w:rsid w:val="00FD2B96"/>
    <w:rsid w:val="00FD3A1F"/>
    <w:rsid w:val="00FD3AA7"/>
    <w:rsid w:val="00FD7B15"/>
    <w:rsid w:val="00FE4126"/>
    <w:rsid w:val="00FE5D12"/>
    <w:rsid w:val="00FF49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01F01C"/>
  <w15:docId w15:val="{427EFFAA-7F19-4E0E-B48D-77EF41AA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551862"/>
    <w:pPr>
      <w:keepNext/>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551862"/>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2D0E1B"/>
    <w:rPr>
      <w:strike w:val="0"/>
      <w:dstrike w:val="0"/>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A6119"/>
    <w:pPr>
      <w:tabs>
        <w:tab w:val="right" w:leader="dot" w:pos="9180"/>
      </w:tabs>
      <w:spacing w:before="120" w:after="120"/>
      <w:ind w:left="720" w:right="822" w:hanging="720"/>
      <w:jc w:val="left"/>
    </w:pPr>
    <w:rPr>
      <w:caps/>
    </w:rPr>
  </w:style>
  <w:style w:type="paragraph" w:styleId="TOC2">
    <w:name w:val="toc 2"/>
    <w:basedOn w:val="Normal"/>
    <w:next w:val="Normal"/>
    <w:autoRedefine/>
    <w:uiPriority w:val="39"/>
    <w:rsid w:val="00AA6119"/>
    <w:pPr>
      <w:tabs>
        <w:tab w:val="left" w:pos="1440"/>
        <w:tab w:val="right" w:leader="dot" w:pos="9180"/>
        <w:tab w:val="right" w:leader="dot" w:pos="9356"/>
      </w:tabs>
      <w:spacing w:before="120" w:after="120"/>
      <w:ind w:left="1440" w:right="822" w:hanging="720"/>
      <w:jc w:val="left"/>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72CF8"/>
    <w:rPr>
      <w:color w:val="0000FF"/>
      <w:u w:val="single"/>
    </w:rPr>
  </w:style>
  <w:style w:type="character" w:customStyle="1" w:styleId="Hyperlink1">
    <w:name w:val="Hyperlink1"/>
    <w:rsid w:val="00372CF8"/>
    <w:rPr>
      <w:color w:val="0000FF"/>
      <w:u w:val="single"/>
    </w:rPr>
  </w:style>
  <w:style w:type="paragraph" w:styleId="NormalWeb">
    <w:name w:val="Normal (Web)"/>
    <w:basedOn w:val="Normal"/>
    <w:rsid w:val="00372CF8"/>
    <w:pPr>
      <w:spacing w:before="100" w:beforeAutospacing="1" w:after="100" w:afterAutospacing="1"/>
      <w:jc w:val="left"/>
    </w:pPr>
    <w:rPr>
      <w:rFonts w:ascii="Verdana" w:hAnsi="Verdana" w:cs="Angsana New"/>
      <w:color w:val="000000"/>
      <w:sz w:val="18"/>
      <w:szCs w:val="18"/>
      <w:lang w:val="en-US"/>
    </w:rPr>
  </w:style>
  <w:style w:type="character" w:customStyle="1" w:styleId="BulletList">
    <w:name w:val="Bullet List"/>
    <w:basedOn w:val="DefaultParagraphFont"/>
    <w:rsid w:val="00372CF8"/>
  </w:style>
  <w:style w:type="paragraph" w:customStyle="1" w:styleId="FOOTNOTETEX">
    <w:name w:val="FOOTNOTE TEX"/>
    <w:rsid w:val="00372CF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372CF8"/>
    <w:rPr>
      <w:rFonts w:ascii="Courier New" w:hAnsi="Courier New"/>
      <w:noProof w:val="0"/>
      <w:sz w:val="20"/>
      <w:vertAlign w:val="superscript"/>
      <w:lang w:val="en-US"/>
    </w:rPr>
  </w:style>
  <w:style w:type="paragraph" w:customStyle="1" w:styleId="Style1">
    <w:name w:val="Style1"/>
    <w:basedOn w:val="BodyText2"/>
    <w:rsid w:val="00372CF8"/>
    <w:pPr>
      <w:numPr>
        <w:ilvl w:val="1"/>
        <w:numId w:val="7"/>
      </w:numPr>
      <w:tabs>
        <w:tab w:val="left" w:pos="1440"/>
      </w:tabs>
      <w:spacing w:before="120" w:after="120"/>
    </w:pPr>
    <w:rPr>
      <w:szCs w:val="20"/>
    </w:rPr>
  </w:style>
  <w:style w:type="paragraph" w:styleId="BodyText2">
    <w:name w:val="Body Text 2"/>
    <w:basedOn w:val="Normal"/>
    <w:link w:val="BodyText2Char"/>
    <w:rsid w:val="00372CF8"/>
    <w:rPr>
      <w:rFonts w:cs="Angsana New"/>
      <w:i/>
      <w:iCs/>
    </w:rPr>
  </w:style>
  <w:style w:type="character" w:customStyle="1" w:styleId="BodyText2Char">
    <w:name w:val="Body Text 2 Char"/>
    <w:basedOn w:val="DefaultParagraphFont"/>
    <w:link w:val="BodyText2"/>
    <w:rsid w:val="00372CF8"/>
    <w:rPr>
      <w:rFonts w:ascii="Times New Roman" w:eastAsia="Times New Roman" w:hAnsi="Times New Roman" w:cs="Angsana New"/>
      <w:i/>
      <w:iCs/>
      <w:sz w:val="22"/>
      <w:lang w:val="en-GB"/>
    </w:rPr>
  </w:style>
  <w:style w:type="paragraph" w:customStyle="1" w:styleId="subhead">
    <w:name w:val="subhead"/>
    <w:basedOn w:val="Normal"/>
    <w:next w:val="Para1"/>
    <w:rsid w:val="00372CF8"/>
    <w:pPr>
      <w:spacing w:before="120" w:after="120"/>
      <w:jc w:val="center"/>
    </w:pPr>
    <w:rPr>
      <w:rFonts w:cs="Angsana New"/>
      <w:i/>
      <w:szCs w:val="20"/>
    </w:rPr>
  </w:style>
  <w:style w:type="paragraph" w:customStyle="1" w:styleId="Heading-plain">
    <w:name w:val="Heading-plain"/>
    <w:basedOn w:val="Normal"/>
    <w:rsid w:val="00372CF8"/>
    <w:pPr>
      <w:spacing w:before="120" w:after="120"/>
      <w:jc w:val="center"/>
      <w:outlineLvl w:val="0"/>
    </w:pPr>
    <w:rPr>
      <w:rFonts w:cs="Angsana New"/>
      <w:i/>
      <w:szCs w:val="20"/>
    </w:rPr>
  </w:style>
  <w:style w:type="paragraph" w:customStyle="1" w:styleId="Activity">
    <w:name w:val="Activity"/>
    <w:basedOn w:val="Para1"/>
    <w:rsid w:val="00372CF8"/>
    <w:pPr>
      <w:autoSpaceDE w:val="0"/>
      <w:autoSpaceDN w:val="0"/>
      <w:spacing w:before="0"/>
      <w:ind w:firstLine="720"/>
    </w:pPr>
    <w:rPr>
      <w:rFonts w:cs="Angsana New"/>
      <w:b/>
      <w:bCs/>
      <w:snapToGrid/>
    </w:rPr>
  </w:style>
  <w:style w:type="paragraph" w:customStyle="1" w:styleId="bodytextnoindent">
    <w:name w:val="body text (no indent)"/>
    <w:basedOn w:val="Normal"/>
    <w:rsid w:val="00372CF8"/>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3">
    <w:name w:val="Body Text 3"/>
    <w:basedOn w:val="Normal"/>
    <w:link w:val="BodyText3Char"/>
    <w:rsid w:val="00372CF8"/>
    <w:pPr>
      <w:jc w:val="center"/>
    </w:pPr>
    <w:rPr>
      <w:rFonts w:cs="Angsana New"/>
      <w:sz w:val="28"/>
    </w:rPr>
  </w:style>
  <w:style w:type="character" w:customStyle="1" w:styleId="BodyText3Char">
    <w:name w:val="Body Text 3 Char"/>
    <w:basedOn w:val="DefaultParagraphFont"/>
    <w:link w:val="BodyText3"/>
    <w:rsid w:val="00372CF8"/>
    <w:rPr>
      <w:rFonts w:ascii="Times New Roman" w:eastAsia="Times New Roman" w:hAnsi="Times New Roman" w:cs="Angsana New"/>
      <w:sz w:val="28"/>
      <w:lang w:val="en-GB"/>
    </w:rPr>
  </w:style>
  <w:style w:type="paragraph" w:styleId="BodyTextIndent2">
    <w:name w:val="Body Text Indent 2"/>
    <w:basedOn w:val="Normal"/>
    <w:link w:val="BodyTextIndent2Char"/>
    <w:rsid w:val="00372CF8"/>
    <w:pPr>
      <w:ind w:firstLine="720"/>
    </w:pPr>
    <w:rPr>
      <w:rFonts w:cs="Angsana New"/>
    </w:rPr>
  </w:style>
  <w:style w:type="character" w:customStyle="1" w:styleId="BodyTextIndent2Char">
    <w:name w:val="Body Text Indent 2 Char"/>
    <w:basedOn w:val="DefaultParagraphFont"/>
    <w:link w:val="BodyTextIndent2"/>
    <w:rsid w:val="00372CF8"/>
    <w:rPr>
      <w:rFonts w:ascii="Times New Roman" w:eastAsia="Times New Roman" w:hAnsi="Times New Roman" w:cs="Angsana New"/>
      <w:sz w:val="22"/>
      <w:lang w:val="en-GB"/>
    </w:rPr>
  </w:style>
  <w:style w:type="paragraph" w:styleId="BodyTextIndent3">
    <w:name w:val="Body Text Indent 3"/>
    <w:basedOn w:val="Normal"/>
    <w:link w:val="BodyTextIndent3Char"/>
    <w:rsid w:val="00372CF8"/>
    <w:pPr>
      <w:ind w:firstLine="720"/>
    </w:pPr>
    <w:rPr>
      <w:rFonts w:cs="Angsana New"/>
    </w:rPr>
  </w:style>
  <w:style w:type="character" w:customStyle="1" w:styleId="BodyTextIndent3Char">
    <w:name w:val="Body Text Indent 3 Char"/>
    <w:basedOn w:val="DefaultParagraphFont"/>
    <w:link w:val="BodyTextIndent3"/>
    <w:rsid w:val="00372CF8"/>
    <w:rPr>
      <w:rFonts w:ascii="Times New Roman" w:eastAsia="Times New Roman" w:hAnsi="Times New Roman" w:cs="Angsana New"/>
      <w:sz w:val="22"/>
      <w:lang w:val="en-GB"/>
    </w:rPr>
  </w:style>
  <w:style w:type="paragraph" w:customStyle="1" w:styleId="Diagram">
    <w:name w:val="Diagram"/>
    <w:basedOn w:val="Normal"/>
    <w:rsid w:val="00372CF8"/>
    <w:pPr>
      <w:spacing w:before="120" w:after="120"/>
      <w:jc w:val="left"/>
    </w:pPr>
    <w:rPr>
      <w:rFonts w:cs="Angsana New"/>
      <w:b/>
      <w:i/>
      <w:lang w:val="en-CA"/>
    </w:rPr>
  </w:style>
  <w:style w:type="paragraph" w:customStyle="1" w:styleId="Heading0">
    <w:name w:val="Heading"/>
    <w:basedOn w:val="Heading1"/>
    <w:next w:val="Normal"/>
    <w:rsid w:val="00372CF8"/>
    <w:pPr>
      <w:ind w:left="1758" w:right="357" w:hanging="318"/>
    </w:pPr>
    <w:rPr>
      <w:rFonts w:cs="Angsana New"/>
      <w:bCs/>
      <w:caps w:val="0"/>
    </w:rPr>
  </w:style>
  <w:style w:type="paragraph" w:customStyle="1" w:styleId="Heading-plain0">
    <w:name w:val="Heading - plain"/>
    <w:basedOn w:val="Heading2"/>
    <w:next w:val="BodyText"/>
    <w:rsid w:val="00372CF8"/>
    <w:pPr>
      <w:tabs>
        <w:tab w:val="clear" w:pos="720"/>
        <w:tab w:val="left" w:pos="900"/>
      </w:tabs>
    </w:pPr>
    <w:rPr>
      <w:rFonts w:eastAsia="Batang"/>
      <w:b w:val="0"/>
      <w:bCs w:val="0"/>
      <w:szCs w:val="20"/>
    </w:rPr>
  </w:style>
  <w:style w:type="paragraph" w:customStyle="1" w:styleId="Heading1centred">
    <w:name w:val="Heading 1 (centred)"/>
    <w:basedOn w:val="Heading1"/>
    <w:next w:val="Para1"/>
    <w:rsid w:val="00372CF8"/>
    <w:pPr>
      <w:numPr>
        <w:numId w:val="6"/>
      </w:numPr>
      <w:ind w:left="0" w:right="403" w:firstLine="0"/>
    </w:pPr>
    <w:rPr>
      <w:rFonts w:cs="Angsana New"/>
    </w:rPr>
  </w:style>
  <w:style w:type="paragraph" w:customStyle="1" w:styleId="Heading2GTI">
    <w:name w:val="Heading 2 (GTI)"/>
    <w:basedOn w:val="Heading5"/>
    <w:rsid w:val="00372CF8"/>
    <w:pPr>
      <w:numPr>
        <w:numId w:val="3"/>
      </w:numPr>
      <w:ind w:left="720" w:hanging="720"/>
    </w:pPr>
    <w:rPr>
      <w:rFonts w:cs="Angsana New"/>
      <w:b/>
      <w:bCs w:val="0"/>
      <w:i w:val="0"/>
    </w:rPr>
  </w:style>
  <w:style w:type="paragraph" w:customStyle="1" w:styleId="Heading2-center">
    <w:name w:val="Heading 2-center"/>
    <w:basedOn w:val="Heading2"/>
    <w:rsid w:val="00372CF8"/>
    <w:pPr>
      <w:tabs>
        <w:tab w:val="left" w:pos="475"/>
        <w:tab w:val="num" w:pos="1004"/>
      </w:tabs>
      <w:spacing w:before="0" w:after="240" w:line="240" w:lineRule="exact"/>
      <w:ind w:left="1004" w:hanging="360"/>
    </w:pPr>
    <w:rPr>
      <w:rFonts w:cs="Angsana New"/>
      <w:b w:val="0"/>
      <w:bCs w:val="0"/>
      <w:i w:val="0"/>
      <w:iCs w:val="0"/>
      <w:u w:val="single"/>
    </w:rPr>
  </w:style>
  <w:style w:type="paragraph" w:customStyle="1" w:styleId="headingdecisionsectionmultiline">
    <w:name w:val="heading decision section multiline"/>
    <w:basedOn w:val="Heading-plain0"/>
    <w:rsid w:val="00372CF8"/>
    <w:pPr>
      <w:ind w:left="1724" w:right="720" w:hanging="284"/>
      <w:jc w:val="left"/>
    </w:pPr>
    <w:rPr>
      <w:b/>
      <w:bCs/>
      <w:i w:val="0"/>
      <w:iCs w:val="0"/>
    </w:rPr>
  </w:style>
  <w:style w:type="paragraph" w:customStyle="1" w:styleId="headingdecisionsectiononeline">
    <w:name w:val="heading decision section one line"/>
    <w:basedOn w:val="Heading-plain0"/>
    <w:rsid w:val="00372CF8"/>
    <w:rPr>
      <w:b/>
      <w:bCs/>
      <w:i w:val="0"/>
      <w:iCs w:val="0"/>
    </w:rPr>
  </w:style>
  <w:style w:type="paragraph" w:customStyle="1" w:styleId="Subhead1">
    <w:name w:val="Subhead1"/>
    <w:basedOn w:val="Normal"/>
    <w:rsid w:val="00372CF8"/>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cs="Angsana New"/>
      <w:sz w:val="20"/>
      <w:szCs w:val="20"/>
    </w:rPr>
  </w:style>
  <w:style w:type="paragraph" w:customStyle="1" w:styleId="Title-secondary">
    <w:name w:val="Title - secondary"/>
    <w:basedOn w:val="Title"/>
    <w:next w:val="Heading2"/>
    <w:rsid w:val="00372CF8"/>
    <w:pPr>
      <w:pBdr>
        <w:bottom w:val="none" w:sz="0" w:space="0" w:color="auto"/>
      </w:pBdr>
      <w:spacing w:before="120" w:after="0"/>
      <w:contextualSpacing w:val="0"/>
      <w:jc w:val="center"/>
    </w:pPr>
    <w:rPr>
      <w:rFonts w:ascii="Times New Roman" w:eastAsia="Times New Roman" w:hAnsi="Times New Roman" w:cs="Angsana New"/>
      <w:i/>
      <w:iCs/>
      <w:caps/>
      <w:color w:val="auto"/>
      <w:spacing w:val="0"/>
      <w:kern w:val="0"/>
      <w:sz w:val="22"/>
      <w:szCs w:val="24"/>
    </w:rPr>
  </w:style>
  <w:style w:type="character" w:customStyle="1" w:styleId="underline">
    <w:name w:val="underline"/>
    <w:rsid w:val="00372CF8"/>
    <w:rPr>
      <w:rFonts w:ascii="Courier" w:hAnsi="Courier"/>
      <w:sz w:val="20"/>
      <w:u w:val="single"/>
    </w:rPr>
  </w:style>
  <w:style w:type="paragraph" w:customStyle="1" w:styleId="Bodytextitalic">
    <w:name w:val="Body text italic"/>
    <w:basedOn w:val="BodyText"/>
    <w:rsid w:val="00372CF8"/>
    <w:rPr>
      <w:rFonts w:cs="Angsana New"/>
      <w:i/>
      <w:iCs w:val="0"/>
    </w:rPr>
  </w:style>
  <w:style w:type="paragraph" w:customStyle="1" w:styleId="boxbody">
    <w:name w:val="boxbody"/>
    <w:basedOn w:val="Normal"/>
    <w:rsid w:val="00372CF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2noletter">
    <w:name w:val="Heading 2 (no letter)"/>
    <w:basedOn w:val="Heading2"/>
    <w:rsid w:val="00372CF8"/>
    <w:pPr>
      <w:tabs>
        <w:tab w:val="clear" w:pos="720"/>
      </w:tabs>
    </w:pPr>
  </w:style>
  <w:style w:type="character" w:customStyle="1" w:styleId="Heading2CharChar">
    <w:name w:val="Heading 2 Char Char"/>
    <w:rsid w:val="00372CF8"/>
    <w:rPr>
      <w:rFonts w:ascii="Arial" w:hAnsi="Arial" w:cs="Arial"/>
      <w:b/>
      <w:bCs/>
      <w:i/>
      <w:iCs/>
      <w:noProof w:val="0"/>
      <w:sz w:val="28"/>
      <w:szCs w:val="28"/>
      <w:lang w:val="en-US" w:eastAsia="en-US" w:bidi="ar-SA"/>
    </w:rPr>
  </w:style>
  <w:style w:type="paragraph" w:customStyle="1" w:styleId="Heading-plainbold">
    <w:name w:val="Heading-plain bold"/>
    <w:basedOn w:val="BodyText"/>
    <w:rsid w:val="00372CF8"/>
    <w:pPr>
      <w:ind w:firstLine="0"/>
      <w:jc w:val="center"/>
    </w:pPr>
    <w:rPr>
      <w:rFonts w:cs="Angsana New"/>
      <w:b/>
      <w:bCs/>
      <w:i/>
      <w:iCs w:val="0"/>
    </w:rPr>
  </w:style>
  <w:style w:type="paragraph" w:customStyle="1" w:styleId="Heading-plainitalic">
    <w:name w:val="Heading-plain italic"/>
    <w:basedOn w:val="Heading-plainbold"/>
    <w:rsid w:val="00372CF8"/>
    <w:rPr>
      <w:b w:val="0"/>
      <w:bCs w:val="0"/>
    </w:rPr>
  </w:style>
  <w:style w:type="paragraph" w:customStyle="1" w:styleId="Para10">
    <w:name w:val="Para 1"/>
    <w:basedOn w:val="BodyText"/>
    <w:rsid w:val="00372CF8"/>
    <w:pPr>
      <w:ind w:firstLine="0"/>
    </w:pPr>
    <w:rPr>
      <w:rFonts w:eastAsia="MS Mincho" w:cs="Angsana New"/>
      <w:bCs/>
      <w:iCs w:val="0"/>
      <w:szCs w:val="22"/>
    </w:rPr>
  </w:style>
  <w:style w:type="character" w:customStyle="1" w:styleId="Para1Char">
    <w:name w:val="Para 1 Char"/>
    <w:rsid w:val="00372CF8"/>
    <w:rPr>
      <w:rFonts w:eastAsia="MS Mincho"/>
      <w:bCs/>
      <w:iCs/>
      <w:sz w:val="22"/>
      <w:szCs w:val="22"/>
      <w:lang w:val="en-GB" w:eastAsia="en-US" w:bidi="ar-SA"/>
    </w:rPr>
  </w:style>
  <w:style w:type="paragraph" w:customStyle="1" w:styleId="Para2rev">
    <w:name w:val="Para 2 (rev)"/>
    <w:basedOn w:val="Normal"/>
    <w:rsid w:val="00372CF8"/>
    <w:pPr>
      <w:tabs>
        <w:tab w:val="num" w:pos="720"/>
      </w:tabs>
      <w:spacing w:after="120"/>
      <w:ind w:left="720" w:hanging="360"/>
    </w:pPr>
    <w:rPr>
      <w:rFonts w:cs="Angsana New"/>
    </w:rPr>
  </w:style>
  <w:style w:type="paragraph" w:customStyle="1" w:styleId="Paraofficial">
    <w:name w:val="Para official"/>
    <w:basedOn w:val="Normal"/>
    <w:rsid w:val="00372CF8"/>
    <w:pPr>
      <w:framePr w:hSpace="187" w:vSpace="187" w:wrap="notBeside" w:vAnchor="text" w:hAnchor="text" w:y="1"/>
      <w:numPr>
        <w:numId w:val="8"/>
      </w:numPr>
      <w:spacing w:before="240" w:after="240"/>
      <w:jc w:val="left"/>
    </w:pPr>
    <w:rPr>
      <w:rFonts w:cs="Angsana New"/>
      <w:szCs w:val="20"/>
    </w:rPr>
  </w:style>
  <w:style w:type="paragraph" w:customStyle="1" w:styleId="Para1Char0">
    <w:name w:val="Para1 Char"/>
    <w:basedOn w:val="Normal"/>
    <w:rsid w:val="00372CF8"/>
    <w:pPr>
      <w:tabs>
        <w:tab w:val="num" w:pos="720"/>
      </w:tabs>
      <w:spacing w:before="120" w:after="120"/>
      <w:ind w:left="360"/>
    </w:pPr>
    <w:rPr>
      <w:rFonts w:cs="Angsana New"/>
      <w:snapToGrid w:val="0"/>
      <w:szCs w:val="18"/>
    </w:rPr>
  </w:style>
  <w:style w:type="paragraph" w:customStyle="1" w:styleId="Para1-Annex">
    <w:name w:val="Para1-Annex"/>
    <w:basedOn w:val="Normal"/>
    <w:rsid w:val="00372CF8"/>
    <w:pPr>
      <w:numPr>
        <w:numId w:val="9"/>
      </w:numPr>
      <w:spacing w:after="120"/>
    </w:pPr>
    <w:rPr>
      <w:szCs w:val="22"/>
      <w:lang w:val="en-US"/>
    </w:rPr>
  </w:style>
  <w:style w:type="paragraph" w:customStyle="1" w:styleId="para2">
    <w:name w:val="para2"/>
    <w:basedOn w:val="Normal"/>
    <w:rsid w:val="00372CF8"/>
    <w:pPr>
      <w:numPr>
        <w:numId w:val="10"/>
      </w:numPr>
      <w:spacing w:before="120" w:after="120"/>
    </w:pPr>
    <w:rPr>
      <w:rFonts w:cs="Angsana New"/>
      <w:szCs w:val="20"/>
    </w:rPr>
  </w:style>
  <w:style w:type="paragraph" w:customStyle="1" w:styleId="Para40">
    <w:name w:val="Para4"/>
    <w:basedOn w:val="Para3"/>
    <w:rsid w:val="00372CF8"/>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Para1"/>
    <w:rsid w:val="00372CF8"/>
    <w:pPr>
      <w:numPr>
        <w:numId w:val="11"/>
      </w:numPr>
      <w:tabs>
        <w:tab w:val="left" w:pos="720"/>
      </w:tabs>
      <w:spacing w:before="0" w:line="240" w:lineRule="exact"/>
    </w:pPr>
    <w:rPr>
      <w:rFonts w:cs="Angsana New"/>
      <w:snapToGrid/>
      <w:szCs w:val="20"/>
      <w:lang w:val="en-US"/>
    </w:rPr>
  </w:style>
  <w:style w:type="character" w:styleId="Strong">
    <w:name w:val="Strong"/>
    <w:qFormat/>
    <w:rsid w:val="00372CF8"/>
    <w:rPr>
      <w:b/>
      <w:bCs/>
    </w:rPr>
  </w:style>
  <w:style w:type="paragraph" w:customStyle="1" w:styleId="StyleBodyTextTimesNewRoman11ptCharChar">
    <w:name w:val="Style Body Text + Times New Roman 11 pt Char Char"/>
    <w:basedOn w:val="BodyText"/>
    <w:rsid w:val="00372CF8"/>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72CF8"/>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72CF8"/>
    <w:pPr>
      <w:tabs>
        <w:tab w:val="num" w:pos="360"/>
        <w:tab w:val="left" w:pos="720"/>
      </w:tabs>
      <w:spacing w:before="0"/>
    </w:pPr>
    <w:rPr>
      <w:rFonts w:cs="Angsana New"/>
      <w:szCs w:val="20"/>
    </w:rPr>
  </w:style>
  <w:style w:type="character" w:styleId="Emphasis">
    <w:name w:val="Emphasis"/>
    <w:uiPriority w:val="20"/>
    <w:qFormat/>
    <w:rsid w:val="00372CF8"/>
    <w:rPr>
      <w:i/>
      <w:iCs/>
    </w:rPr>
  </w:style>
  <w:style w:type="character" w:customStyle="1" w:styleId="DocumentMapChar">
    <w:name w:val="Document Map Char"/>
    <w:basedOn w:val="DefaultParagraphFont"/>
    <w:link w:val="DocumentMap"/>
    <w:semiHidden/>
    <w:rsid w:val="00372CF8"/>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372CF8"/>
    <w:pPr>
      <w:shd w:val="clear" w:color="auto" w:fill="000080"/>
    </w:pPr>
    <w:rPr>
      <w:rFonts w:ascii="Tahoma" w:hAnsi="Tahoma" w:cs="Tahoma"/>
      <w:sz w:val="20"/>
      <w:szCs w:val="20"/>
    </w:rPr>
  </w:style>
  <w:style w:type="paragraph" w:customStyle="1" w:styleId="Default">
    <w:name w:val="Default"/>
    <w:rsid w:val="00372CF8"/>
    <w:pPr>
      <w:autoSpaceDE w:val="0"/>
      <w:autoSpaceDN w:val="0"/>
      <w:adjustRightInd w:val="0"/>
    </w:pPr>
    <w:rPr>
      <w:rFonts w:ascii="Times New Roman" w:eastAsia="Times New Roman" w:hAnsi="Times New Roman" w:cs="Times New Roman"/>
      <w:color w:val="000000"/>
      <w:lang w:val="en-CA" w:eastAsia="en-CA"/>
    </w:rPr>
  </w:style>
  <w:style w:type="paragraph" w:customStyle="1" w:styleId="para11">
    <w:name w:val="para1"/>
    <w:basedOn w:val="Normal"/>
    <w:link w:val="para1Char1"/>
    <w:rsid w:val="00372CF8"/>
    <w:pPr>
      <w:spacing w:before="100" w:beforeAutospacing="1" w:after="100" w:afterAutospacing="1"/>
      <w:jc w:val="left"/>
    </w:pPr>
    <w:rPr>
      <w:sz w:val="24"/>
      <w:lang w:val="en-US"/>
    </w:rPr>
  </w:style>
  <w:style w:type="character" w:customStyle="1" w:styleId="para1Char1">
    <w:name w:val="para1 Char"/>
    <w:link w:val="para11"/>
    <w:rsid w:val="00372CF8"/>
    <w:rPr>
      <w:rFonts w:ascii="Times New Roman" w:eastAsia="Times New Roman" w:hAnsi="Times New Roman" w:cs="Times New Roman"/>
      <w:lang w:val="en-US"/>
    </w:rPr>
  </w:style>
  <w:style w:type="character" w:customStyle="1" w:styleId="CommentSubjectChar">
    <w:name w:val="Comment Subject Char"/>
    <w:basedOn w:val="CommentTextChar"/>
    <w:link w:val="CommentSubject"/>
    <w:uiPriority w:val="99"/>
    <w:semiHidden/>
    <w:rsid w:val="00372CF8"/>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72CF8"/>
    <w:pPr>
      <w:spacing w:after="0" w:line="240" w:lineRule="auto"/>
    </w:pPr>
    <w:rPr>
      <w:b/>
      <w:bCs/>
      <w:sz w:val="20"/>
      <w:szCs w:val="20"/>
    </w:rPr>
  </w:style>
  <w:style w:type="paragraph" w:customStyle="1" w:styleId="Decheadmuliline">
    <w:name w:val="Dec_head muliline"/>
    <w:basedOn w:val="BodyText"/>
    <w:next w:val="BodyText"/>
    <w:rsid w:val="00372CF8"/>
    <w:pPr>
      <w:ind w:firstLine="0"/>
      <w:jc w:val="center"/>
    </w:pPr>
    <w:rPr>
      <w:rFonts w:ascii="Times New Roman Bold" w:hAnsi="Times New Roman Bold"/>
      <w:b/>
      <w:bCs/>
      <w:i/>
    </w:rPr>
  </w:style>
  <w:style w:type="paragraph" w:styleId="ListParagraph">
    <w:name w:val="List Paragraph"/>
    <w:basedOn w:val="Normal"/>
    <w:link w:val="ListParagraphChar"/>
    <w:uiPriority w:val="34"/>
    <w:qFormat/>
    <w:rsid w:val="00372CF8"/>
    <w:pPr>
      <w:spacing w:after="200" w:line="276" w:lineRule="auto"/>
      <w:ind w:left="720"/>
      <w:jc w:val="left"/>
    </w:pPr>
    <w:rPr>
      <w:rFonts w:ascii="Calibri" w:eastAsia="Calibri" w:hAnsi="Calibri"/>
      <w:szCs w:val="22"/>
      <w:lang w:val="en-US"/>
    </w:rPr>
  </w:style>
  <w:style w:type="character" w:customStyle="1" w:styleId="ListParagraphChar">
    <w:name w:val="List Paragraph Char"/>
    <w:link w:val="ListParagraph"/>
    <w:uiPriority w:val="34"/>
    <w:locked/>
    <w:rsid w:val="00372CF8"/>
    <w:rPr>
      <w:rFonts w:ascii="Calibri" w:eastAsia="Calibri" w:hAnsi="Calibri" w:cs="Times New Roman"/>
      <w:sz w:val="22"/>
      <w:szCs w:val="22"/>
      <w:lang w:val="en-US"/>
    </w:rPr>
  </w:style>
  <w:style w:type="character" w:styleId="UnresolvedMention">
    <w:name w:val="Unresolved Mention"/>
    <w:basedOn w:val="DefaultParagraphFont"/>
    <w:uiPriority w:val="99"/>
    <w:semiHidden/>
    <w:unhideWhenUsed/>
    <w:rsid w:val="00342CE7"/>
    <w:rPr>
      <w:color w:val="605E5C"/>
      <w:shd w:val="clear" w:color="auto" w:fill="E1DFDD"/>
    </w:rPr>
  </w:style>
  <w:style w:type="paragraph" w:styleId="HTMLPreformatted">
    <w:name w:val="HTML Preformatted"/>
    <w:basedOn w:val="Normal"/>
    <w:link w:val="HTMLPreformattedChar"/>
    <w:uiPriority w:val="99"/>
    <w:semiHidden/>
    <w:unhideWhenUsed/>
    <w:rsid w:val="00AF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AF2F1E"/>
    <w:rPr>
      <w:rFonts w:ascii="Courier New" w:eastAsia="Times New Roman" w:hAnsi="Courier New" w:cs="Courier New"/>
      <w:sz w:val="20"/>
      <w:szCs w:val="20"/>
      <w:lang w:val="en-CA" w:eastAsia="en-CA"/>
    </w:rPr>
  </w:style>
  <w:style w:type="table" w:styleId="GridTable1Light">
    <w:name w:val="Grid Table 1 Light"/>
    <w:basedOn w:val="TableNormal"/>
    <w:uiPriority w:val="46"/>
    <w:rsid w:val="00EA09AB"/>
    <w:rPr>
      <w:rFonts w:eastAsiaTheme="minorHAnsi"/>
      <w:sz w:val="22"/>
      <w:szCs w:val="22"/>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6109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5138">
      <w:bodyDiv w:val="1"/>
      <w:marLeft w:val="0"/>
      <w:marRight w:val="0"/>
      <w:marTop w:val="0"/>
      <w:marBottom w:val="0"/>
      <w:divBdr>
        <w:top w:val="none" w:sz="0" w:space="0" w:color="auto"/>
        <w:left w:val="none" w:sz="0" w:space="0" w:color="auto"/>
        <w:bottom w:val="none" w:sz="0" w:space="0" w:color="auto"/>
        <w:right w:val="none" w:sz="0" w:space="0" w:color="auto"/>
      </w:divBdr>
    </w:div>
    <w:div w:id="1395544046">
      <w:bodyDiv w:val="1"/>
      <w:marLeft w:val="0"/>
      <w:marRight w:val="0"/>
      <w:marTop w:val="0"/>
      <w:marBottom w:val="0"/>
      <w:divBdr>
        <w:top w:val="none" w:sz="0" w:space="0" w:color="auto"/>
        <w:left w:val="none" w:sz="0" w:space="0" w:color="auto"/>
        <w:bottom w:val="none" w:sz="0" w:space="0" w:color="auto"/>
        <w:right w:val="none" w:sz="0" w:space="0" w:color="auto"/>
      </w:divBdr>
    </w:div>
    <w:div w:id="209947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np-mop-03/np-mop-03-dec-13-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3-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np-mop-02/np-mop-02-dec-10-en.pdf"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np-mop-01/np-mop-01-dec-10-e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cop-13/cop-13-dec-25-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e6c/05f2/805fea62acc7deee055850d0/sbi-02-05-en.pdf" TargetMode="External"/><Relationship Id="rId2" Type="http://schemas.openxmlformats.org/officeDocument/2006/relationships/hyperlink" Target="https://www.cbd.int/abs/submissions/Art10/2019/African%20Union.pdf" TargetMode="External"/><Relationship Id="rId1" Type="http://schemas.openxmlformats.org/officeDocument/2006/relationships/hyperlink" Target="https://www.cbd.int/abs/art10/2019-2020/submissions.shtml" TargetMode="External"/><Relationship Id="rId5" Type="http://schemas.openxmlformats.org/officeDocument/2006/relationships/hyperlink" Target="http://www.fao.org/3/a-bq533e.pdf" TargetMode="External"/><Relationship Id="rId4" Type="http://schemas.openxmlformats.org/officeDocument/2006/relationships/hyperlink" Target="https://www.cbd.int/doc/c/079f/2dc5/2d20217d1cdacac787524d8e/dsi-ahteg-2018-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BBC4FBC3140109EB912AA7838E437"/>
        <w:category>
          <w:name w:val="General"/>
          <w:gallery w:val="placeholder"/>
        </w:category>
        <w:types>
          <w:type w:val="bbPlcHdr"/>
        </w:types>
        <w:behaviors>
          <w:behavior w:val="content"/>
        </w:behaviors>
        <w:guid w:val="{4F750F61-B9DE-4C6D-B1B1-91C36F8C144D}"/>
      </w:docPartPr>
      <w:docPartBody>
        <w:p w:rsidR="00104A61" w:rsidRDefault="00104A61">
          <w:r w:rsidRPr="008D7C56">
            <w:rPr>
              <w:rStyle w:val="PlaceholderText"/>
            </w:rPr>
            <w:t>[Subject]</w:t>
          </w:r>
        </w:p>
      </w:docPartBody>
    </w:docPart>
    <w:docPart>
      <w:docPartPr>
        <w:name w:val="F301A28B81EC4171891CF3FB1BECA934"/>
        <w:category>
          <w:name w:val="General"/>
          <w:gallery w:val="placeholder"/>
        </w:category>
        <w:types>
          <w:type w:val="bbPlcHdr"/>
        </w:types>
        <w:behaviors>
          <w:behavior w:val="content"/>
        </w:behaviors>
        <w:guid w:val="{AE96C8D5-3B70-4E9C-874E-A68FA9121F48}"/>
      </w:docPartPr>
      <w:docPartBody>
        <w:p w:rsidR="00104A61" w:rsidRDefault="00104A61">
          <w:r w:rsidRPr="008D7C56">
            <w:rPr>
              <w:rStyle w:val="PlaceholderText"/>
            </w:rPr>
            <w:t>[Subject]</w:t>
          </w:r>
        </w:p>
      </w:docPartBody>
    </w:docPart>
    <w:docPart>
      <w:docPartPr>
        <w:name w:val="865BE9D4B85142FCAE80FA3359CF2262"/>
        <w:category>
          <w:name w:val="General"/>
          <w:gallery w:val="placeholder"/>
        </w:category>
        <w:types>
          <w:type w:val="bbPlcHdr"/>
        </w:types>
        <w:behaviors>
          <w:behavior w:val="content"/>
        </w:behaviors>
        <w:guid w:val="{54AC44D0-A44B-421E-A612-562F3B157E15}"/>
      </w:docPartPr>
      <w:docPartBody>
        <w:p w:rsidR="00FE41B3" w:rsidRDefault="009D0F86">
          <w:r w:rsidRPr="00834B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04D1"/>
    <w:rsid w:val="000A2300"/>
    <w:rsid w:val="00104A61"/>
    <w:rsid w:val="002369D7"/>
    <w:rsid w:val="002856DB"/>
    <w:rsid w:val="002B465A"/>
    <w:rsid w:val="002E0592"/>
    <w:rsid w:val="003834A0"/>
    <w:rsid w:val="00413893"/>
    <w:rsid w:val="0047488D"/>
    <w:rsid w:val="00531705"/>
    <w:rsid w:val="00543C1B"/>
    <w:rsid w:val="005560A5"/>
    <w:rsid w:val="005E2BD7"/>
    <w:rsid w:val="00604E87"/>
    <w:rsid w:val="00626233"/>
    <w:rsid w:val="00666654"/>
    <w:rsid w:val="00673842"/>
    <w:rsid w:val="0069509A"/>
    <w:rsid w:val="006F56AD"/>
    <w:rsid w:val="00720CCE"/>
    <w:rsid w:val="00733B5C"/>
    <w:rsid w:val="007C189B"/>
    <w:rsid w:val="007E57CD"/>
    <w:rsid w:val="00810A55"/>
    <w:rsid w:val="00840864"/>
    <w:rsid w:val="008D420E"/>
    <w:rsid w:val="0097325F"/>
    <w:rsid w:val="009D0F86"/>
    <w:rsid w:val="00D667AA"/>
    <w:rsid w:val="00D72A79"/>
    <w:rsid w:val="00E44D4C"/>
    <w:rsid w:val="00F047E3"/>
    <w:rsid w:val="00FC4FD3"/>
    <w:rsid w:val="00FD62BC"/>
    <w:rsid w:val="00FE4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0F86"/>
    <w:rPr>
      <w:color w:val="808080"/>
    </w:rPr>
  </w:style>
  <w:style w:type="paragraph" w:customStyle="1" w:styleId="482F4940FA5748459385EE586CA4D2FD">
    <w:name w:val="482F4940FA5748459385EE586CA4D2FD"/>
    <w:rsid w:val="002856DB"/>
    <w:pPr>
      <w:spacing w:after="160" w:line="259" w:lineRule="auto"/>
    </w:pPr>
  </w:style>
  <w:style w:type="paragraph" w:customStyle="1" w:styleId="BA64732792E8407287C8C5D0E7091D76">
    <w:name w:val="BA64732792E8407287C8C5D0E7091D76"/>
    <w:rsid w:val="002856DB"/>
    <w:pPr>
      <w:spacing w:after="160" w:line="259" w:lineRule="auto"/>
    </w:pPr>
  </w:style>
  <w:style w:type="paragraph" w:customStyle="1" w:styleId="01F2415F34904EECA0F63C81EBD4CD7B">
    <w:name w:val="01F2415F34904EECA0F63C81EBD4CD7B"/>
    <w:rsid w:val="00543C1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69D49-1856-4555-81A8-5EEA28AC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B957E-AF3A-48C0-B224-853A30AD52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90CB6-F351-4AA8-929D-AC69F9A864C7}">
  <ds:schemaRefs>
    <ds:schemaRef ds:uri="http://schemas.microsoft.com/sharepoint/v3/contenttype/forms"/>
  </ds:schemaRefs>
</ds:datastoreItem>
</file>

<file path=customXml/itemProps5.xml><?xml version="1.0" encoding="utf-8"?>
<ds:datastoreItem xmlns:ds="http://schemas.openxmlformats.org/officeDocument/2006/customXml" ds:itemID="{44343462-0C70-4835-8F13-6FE6967B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5444</Words>
  <Characters>31033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Global multilateral benefit-sharing mechanism (Article 10) of the Nagoya Protocol</vt:lpstr>
    </vt:vector>
  </TitlesOfParts>
  <Company>SCBD</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CBD/SBI/3/15</dc:subject>
  <dc:creator>SCBD</dc:creator>
  <cp:keywords>Subsidiary Body on Implementation, third meeting, Convention on Biological Diversity</cp:keywords>
  <dc:description/>
  <cp:lastModifiedBy>Veronique Lefebvre</cp:lastModifiedBy>
  <cp:revision>16</cp:revision>
  <cp:lastPrinted>2020-02-21T16:26:00Z</cp:lastPrinted>
  <dcterms:created xsi:type="dcterms:W3CDTF">2020-09-08T16:22:00Z</dcterms:created>
  <dcterms:modified xsi:type="dcterms:W3CDTF">2020-09-08T20:47:00Z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