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Pr="0092415D" w:rsidR="008A1499" w:rsidTr="008A1499" w14:paraId="061A9463" w14:textId="77777777">
        <w:trPr>
          <w:trHeight w:val="850"/>
        </w:trPr>
        <w:tc>
          <w:tcPr>
            <w:tcW w:w="975" w:type="dxa"/>
            <w:vAlign w:val="bottom"/>
          </w:tcPr>
          <w:p w:rsidRPr="0092415D" w:rsidR="008A1499" w:rsidP="008A1499" w:rsidRDefault="008A1499" w14:paraId="41835923" w14:textId="77777777">
            <w:pPr>
              <w:pStyle w:val="AASmallLogo"/>
            </w:pPr>
            <w:r w:rsidRPr="0092415D">
              <w:rPr>
                <w:noProof/>
              </w:rPr>
              <w:drawing>
                <wp:inline distT="0" distB="0" distL="0" distR="0" wp14:anchorId="01DE2E05" wp14:editId="439826E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2415D">
              <w:t xml:space="preserve"> </w:t>
            </w:r>
          </w:p>
          <w:p w:rsidRPr="0092415D" w:rsidR="008A1499" w:rsidP="008A1499" w:rsidRDefault="008A1499" w14:paraId="66FF659C" w14:textId="77777777">
            <w:pPr>
              <w:pStyle w:val="AASmallLogo"/>
            </w:pPr>
          </w:p>
        </w:tc>
        <w:tc>
          <w:tcPr>
            <w:tcW w:w="1434" w:type="dxa"/>
            <w:noWrap/>
            <w:vAlign w:val="bottom"/>
          </w:tcPr>
          <w:p w:rsidRPr="0092415D" w:rsidR="008A1499" w:rsidP="008A1499" w:rsidRDefault="00512A07" w14:paraId="6EE9FFF7" w14:textId="472083ED">
            <w:pPr>
              <w:pStyle w:val="AASmallLogo"/>
            </w:pPr>
            <w:r w:rsidRPr="0092415D">
              <w:rPr>
                <w:noProof/>
                <w:lang w:eastAsia="ru-RU"/>
              </w:rPr>
              <w:drawing>
                <wp:inline distT="0" distB="0" distL="0" distR="0" wp14:anchorId="4571F7EF" wp14:editId="404167B0">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Pr="0092415D" w:rsidR="008A1499">
              <w:t xml:space="preserve"> </w:t>
            </w:r>
          </w:p>
          <w:p w:rsidRPr="0092415D" w:rsidR="008A1499" w:rsidP="008A1499" w:rsidRDefault="008A1499" w14:paraId="220D8EF5" w14:textId="77777777">
            <w:pPr>
              <w:pStyle w:val="AASmallLogo"/>
            </w:pPr>
          </w:p>
        </w:tc>
        <w:tc>
          <w:tcPr>
            <w:tcW w:w="8073" w:type="dxa"/>
            <w:vAlign w:val="bottom"/>
          </w:tcPr>
          <w:p w:rsidRPr="0092415D" w:rsidR="008A1499" w:rsidP="00B02D9F" w:rsidRDefault="00D07700" w14:paraId="7D3219F4" w14:textId="536DE824">
            <w:pPr>
              <w:pStyle w:val="ABSymbol"/>
            </w:pPr>
            <w:r w:rsidRPr="0092415D">
              <w:rPr>
                <w:sz w:val="40"/>
              </w:rPr>
              <w:t>CBD</w:t>
            </w:r>
            <w:r w:rsidRPr="0092415D">
              <w:t>/</w:t>
            </w:r>
            <w:r w:rsidRPr="00B82177" w:rsidR="00B82177">
              <w:t>SBI/6/1/Add.2/Rev.1</w:t>
            </w:r>
          </w:p>
        </w:tc>
      </w:tr>
    </w:tbl>
    <w:p w:rsidRPr="0092415D" w:rsidR="008A1499" w:rsidP="008A1499" w:rsidRDefault="008A1499" w14:paraId="44BB5F6C" w14:textId="77777777">
      <w:pPr>
        <w:pStyle w:val="AISpacer"/>
      </w:pPr>
    </w:p>
    <w:tbl>
      <w:tblPr>
        <w:tblW w:w="10482" w:type="dxa"/>
        <w:tblInd w:w="-283" w:type="dxa"/>
        <w:tblBorders>
          <w:top w:val="single" w:color="auto" w:sz="8" w:space="0"/>
          <w:bottom w:val="single" w:color="auto" w:sz="12" w:space="0"/>
        </w:tblBorders>
        <w:tblLayout w:type="fixed"/>
        <w:tblLook w:val="0000" w:firstRow="0" w:lastRow="0" w:firstColumn="0" w:lastColumn="0" w:noHBand="0" w:noVBand="0"/>
      </w:tblPr>
      <w:tblGrid>
        <w:gridCol w:w="7370"/>
        <w:gridCol w:w="3112"/>
      </w:tblGrid>
      <w:tr w:rsidRPr="0092415D" w:rsidR="008A1499" w:rsidTr="008A1499" w14:paraId="7A658438" w14:textId="77777777">
        <w:trPr>
          <w:trHeight w:val="1814"/>
        </w:trPr>
        <w:tc>
          <w:tcPr>
            <w:tcW w:w="7370" w:type="dxa"/>
          </w:tcPr>
          <w:p w:rsidRPr="0092415D" w:rsidR="008A1499" w:rsidP="008A1499" w:rsidRDefault="0046588B" w14:paraId="63489AAF" w14:textId="7CDF8C9B">
            <w:pPr>
              <w:pStyle w:val="ACLargeLogo"/>
            </w:pPr>
            <w:r w:rsidRPr="0092415D">
              <w:rPr>
                <w:noProof/>
                <w:snapToGrid w:val="0"/>
                <w:kern w:val="22"/>
                <w:lang w:eastAsia="ru-RU"/>
              </w:rPr>
              <w:drawing>
                <wp:inline distT="0" distB="0" distL="0" distR="0" wp14:anchorId="272200C9" wp14:editId="5E84D6D7">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Pr="0092415D" w:rsidR="008A1499">
              <w:t xml:space="preserve"> </w:t>
            </w:r>
          </w:p>
          <w:p w:rsidRPr="0092415D" w:rsidR="008A1499" w:rsidP="008A1499" w:rsidRDefault="008A1499" w14:paraId="73630D5A" w14:textId="77777777">
            <w:pPr>
              <w:pStyle w:val="ACLargeLogo"/>
            </w:pPr>
          </w:p>
        </w:tc>
        <w:tc>
          <w:tcPr>
            <w:tcW w:w="3112" w:type="dxa"/>
          </w:tcPr>
          <w:p w:rsidRPr="0092415D" w:rsidR="004D19B7" w:rsidP="004D19B7" w:rsidRDefault="004D19B7" w14:paraId="28E5D5B3" w14:textId="77777777">
            <w:pPr>
              <w:pStyle w:val="AEDistrNormal"/>
            </w:pPr>
            <w:r w:rsidRPr="0092415D">
              <w:t xml:space="preserve">Distr.: General </w:t>
            </w:r>
          </w:p>
          <w:p w:rsidRPr="0092415D" w:rsidR="004D19B7" w:rsidP="004D19B7" w:rsidRDefault="006623EC" w14:paraId="14440374" w14:textId="4F6530B0">
            <w:pPr>
              <w:pStyle w:val="AEDistrNormal"/>
            </w:pPr>
            <w:r w:rsidRPr="006623EC">
              <w:t xml:space="preserve">23 </w:t>
            </w:r>
            <w:proofErr w:type="spellStart"/>
            <w:r w:rsidRPr="006623EC">
              <w:t>January</w:t>
            </w:r>
            <w:proofErr w:type="spellEnd"/>
            <w:r w:rsidRPr="006623EC">
              <w:t xml:space="preserve"> 2026</w:t>
            </w:r>
          </w:p>
          <w:p w:rsidRPr="0092415D" w:rsidR="008A1499" w:rsidP="004D19B7" w:rsidRDefault="004D19B7" w14:paraId="3F4E5C2A" w14:textId="470DEBF2">
            <w:pPr>
              <w:pStyle w:val="AEDistrNormal6pt"/>
              <w:spacing w:before="0"/>
            </w:pPr>
            <w:r w:rsidRPr="0092415D">
              <w:t>Russian</w:t>
            </w:r>
            <w:r w:rsidRPr="0092415D">
              <w:br/>
            </w:r>
            <w:r w:rsidRPr="0092415D">
              <w:t>Original</w:t>
            </w:r>
            <w:r w:rsidRPr="0092415D" w:rsidR="008A1499">
              <w:t xml:space="preserve">: English </w:t>
            </w:r>
          </w:p>
          <w:p w:rsidRPr="0092415D" w:rsidR="008A1499" w:rsidP="008A1499" w:rsidRDefault="008A1499" w14:paraId="3C328D5A" w14:textId="77777777">
            <w:pPr>
              <w:pStyle w:val="AEDistrNormal6pt"/>
            </w:pPr>
          </w:p>
        </w:tc>
      </w:tr>
    </w:tbl>
    <w:p w:rsidRPr="0092415D" w:rsidR="008A1499" w:rsidP="008A1499" w:rsidRDefault="008A1499" w14:paraId="238E3FF9" w14:textId="7777777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Pr="0092415D" w:rsidR="008A1499" w:rsidTr="008A1499" w14:paraId="32EFD645" w14:textId="77777777">
        <w:trPr>
          <w:trHeight w:val="57"/>
        </w:trPr>
        <w:tc>
          <w:tcPr>
            <w:tcW w:w="6094" w:type="dxa"/>
          </w:tcPr>
          <w:p w:rsidRPr="0092415D" w:rsidR="008A1499" w:rsidP="008A1499" w:rsidRDefault="00C4348A" w14:paraId="2338EF07" w14:textId="77777777">
            <w:pPr>
              <w:pStyle w:val="AFCorN12Bold"/>
            </w:pPr>
            <w:r w:rsidRPr="0092415D">
              <w:t xml:space="preserve">Вспомогательный орган по осуществлению </w:t>
            </w:r>
          </w:p>
          <w:p w:rsidRPr="0092415D" w:rsidR="008A1499" w:rsidP="008A1499" w:rsidRDefault="00C4348A" w14:paraId="5A36A287" w14:textId="77777777">
            <w:pPr>
              <w:pStyle w:val="AFCorNBold"/>
            </w:pPr>
            <w:r w:rsidRPr="0092415D">
              <w:t xml:space="preserve">Шестое совещание </w:t>
            </w:r>
          </w:p>
          <w:p w:rsidRPr="0092415D" w:rsidR="008A1499" w:rsidP="008A1499" w:rsidRDefault="00163EA8" w14:paraId="7D05FDB7" w14:textId="77777777">
            <w:pPr>
              <w:pStyle w:val="AFCorNNormal"/>
            </w:pPr>
            <w:r w:rsidRPr="0092415D">
              <w:t>Рим, 16-19 февраля 2026 года</w:t>
            </w:r>
          </w:p>
          <w:p w:rsidRPr="0092415D" w:rsidR="008A1499" w:rsidP="008A1499" w:rsidRDefault="008A1499" w14:paraId="69E34C2A" w14:textId="0AEF9B2E">
            <w:pPr>
              <w:pStyle w:val="AFCorNNormal"/>
            </w:pPr>
            <w:r w:rsidRPr="0092415D">
              <w:t>Пункт 2 предварительной повестки дня</w:t>
            </w:r>
            <w:r w:rsidRPr="0092415D">
              <w:rPr>
                <w:rStyle w:val="Appelnotedebasdep"/>
              </w:rPr>
              <w:footnoteReference w:customMarkFollows="1" w:id="1"/>
              <w:t>*</w:t>
            </w:r>
            <w:r w:rsidRPr="0092415D">
              <w:t xml:space="preserve"> </w:t>
            </w:r>
          </w:p>
          <w:p w:rsidRPr="0092415D" w:rsidR="008A1499" w:rsidP="00B02D9F" w:rsidRDefault="00FA4C16" w14:paraId="4FEDDCAB" w14:textId="12DC947A">
            <w:pPr>
              <w:pStyle w:val="AFCorNBold"/>
              <w:spacing w:after="120"/>
            </w:pPr>
            <w:r w:rsidRPr="0092415D">
              <w:t>Организационные вопросы: утверждение повестки дня и организация работы</w:t>
            </w:r>
          </w:p>
        </w:tc>
        <w:tc>
          <w:tcPr>
            <w:tcW w:w="4388" w:type="dxa"/>
          </w:tcPr>
          <w:p w:rsidRPr="0092415D" w:rsidR="008A1499" w:rsidP="008A1499" w:rsidRDefault="008A1499" w14:paraId="73377E29" w14:textId="77777777">
            <w:pPr>
              <w:pStyle w:val="CBDNormal"/>
              <w:jc w:val="left"/>
            </w:pPr>
          </w:p>
        </w:tc>
      </w:tr>
    </w:tbl>
    <w:p w:rsidRPr="0092415D" w:rsidR="00C9161D" w:rsidP="00A111D1" w:rsidRDefault="00EF78E6" w14:paraId="35FBD3C8" w14:textId="0B54AC9B">
      <w:pPr>
        <w:pStyle w:val="CBDTitle"/>
        <w:rPr>
          <w:caps/>
        </w:rPr>
      </w:pPr>
      <w:sdt>
        <w:sdtPr>
          <w:alias w:val="Title"/>
          <w:tag w:val=""/>
          <w:id w:val="772832786"/>
          <w:placeholder>
            <w:docPart w:val="1E43B0EC23034BC486612D4CBEA4E3C5"/>
          </w:placeholder>
          <w:dataBinding w:prefixMappings="xmlns:ns0='http://purl.org/dc/elements/1.1/' xmlns:ns1='http://schemas.openxmlformats.org/package/2006/metadata/core-properties' " w:xpath="/ns1:coreProperties[1]/ns0:title[1]" w:storeItemID="{6C3C8BC8-F283-45AE-878A-BAB7291924A1}"/>
          <w:text/>
        </w:sdtPr>
        <w:sdtEndPr/>
        <w:sdtContent>
          <w:r w:rsidRPr="0092415D" w:rsidR="00036B36">
            <w:t>Записка с изложением плана совещания</w:t>
          </w:r>
        </w:sdtContent>
      </w:sdt>
      <w:r w:rsidRPr="0092415D" w:rsidR="00B02D9F">
        <w:rPr>
          <w:caps/>
        </w:rPr>
        <w:t xml:space="preserve"> </w:t>
      </w:r>
    </w:p>
    <w:p w:rsidRPr="0092415D" w:rsidR="00F6586C" w:rsidP="00A111D1" w:rsidRDefault="0030169D" w14:paraId="18F87AC6" w14:textId="77777777">
      <w:pPr>
        <w:pStyle w:val="CBDSubTitle"/>
      </w:pPr>
      <w:r w:rsidRPr="0092415D">
        <w:t>Записка секретариата</w:t>
      </w:r>
    </w:p>
    <w:p w:rsidRPr="0092415D" w:rsidR="00C9161D" w:rsidP="00A111D1" w:rsidRDefault="00A111D1" w14:paraId="0F8AAC9D" w14:textId="1505C0E9">
      <w:pPr>
        <w:pStyle w:val="CBDH1"/>
      </w:pPr>
      <w:r w:rsidRPr="0092415D">
        <w:t>I.</w:t>
      </w:r>
      <w:r w:rsidRPr="0092415D">
        <w:tab/>
      </w:r>
      <w:r w:rsidRPr="0092415D">
        <w:t>Введение</w:t>
      </w:r>
    </w:p>
    <w:p w:rsidRPr="0092415D" w:rsidR="007F718D" w:rsidP="00A418E4" w:rsidRDefault="00A418E4" w14:paraId="560CBCBB" w14:textId="497ABAB9">
      <w:pPr>
        <w:pStyle w:val="CBDNormalNumber"/>
      </w:pPr>
      <w:r w:rsidRPr="0092415D">
        <w:t xml:space="preserve">В пункте 14 своего решения  </w:t>
      </w:r>
      <w:hyperlink w:history="1" r:id="rId15">
        <w:r w:rsidRPr="0092415D">
          <w:rPr>
            <w:rStyle w:val="Lienhypertexte"/>
          </w:rPr>
          <w:t>16/25</w:t>
        </w:r>
      </w:hyperlink>
      <w:r w:rsidRPr="0092415D" w:rsidR="003C4298">
        <w:rPr>
          <w:rStyle w:val="Appelnotedebasdep"/>
        </w:rPr>
        <w:footnoteReference w:id="2"/>
      </w:r>
      <w:r w:rsidRPr="0092415D">
        <w:t xml:space="preserve"> Конференция Сторон Конвенции о биологическом разнообразии поручила своему бюро и бюро Вспомогательного органа по научным, техническим и технологическим консультациям публиковать записки </w:t>
      </w:r>
      <w:r w:rsidRPr="0092415D" w:rsidR="00CB5EFA">
        <w:t xml:space="preserve">с изложением плана </w:t>
      </w:r>
      <w:r w:rsidRPr="0092415D">
        <w:t>каждого межправительственного совещания, проводимого в рамках Конвенции.</w:t>
      </w:r>
    </w:p>
    <w:p w:rsidRPr="0092415D" w:rsidR="005B35E2" w:rsidP="00A111D1" w:rsidRDefault="009D1795" w14:paraId="41B12687" w14:textId="6FB85F61">
      <w:pPr>
        <w:pStyle w:val="CBDNormalNumber"/>
      </w:pPr>
      <w:r w:rsidRPr="0092415D">
        <w:t xml:space="preserve">Во исполнение решения </w:t>
      </w:r>
      <w:hyperlink w:history="1" r:id="rId16">
        <w:r w:rsidRPr="0092415D">
          <w:rPr>
            <w:rStyle w:val="Lienhypertexte"/>
          </w:rPr>
          <w:t>16/25</w:t>
        </w:r>
      </w:hyperlink>
      <w:r w:rsidRPr="0092415D">
        <w:t xml:space="preserve"> бюро Конференции Сторон при содействии секретариата Конвенции подготовило настоящую записку с изложением плана совещания.</w:t>
      </w:r>
    </w:p>
    <w:p w:rsidRPr="0092415D" w:rsidR="00311DC7" w:rsidP="00A111D1" w:rsidRDefault="00843D3D" w14:paraId="4F25CC05" w14:textId="3C88F45B">
      <w:pPr>
        <w:pStyle w:val="CBDNormalNumber"/>
      </w:pPr>
      <w:r w:rsidRPr="0092415D">
        <w:t>Порядок проведения настоящего совещания изложен в разделах</w:t>
      </w:r>
      <w:r w:rsidRPr="0092415D" w:rsidR="0064162D">
        <w:t xml:space="preserve"> </w:t>
      </w:r>
      <w:r w:rsidRPr="0092415D">
        <w:t>II и III ниже, а обновленная информация о предлагаемой организации работы представлена в разделе IV и в приложении I.</w:t>
      </w:r>
    </w:p>
    <w:p w:rsidRPr="0092415D" w:rsidR="0093169E" w:rsidP="00A111D1" w:rsidRDefault="00CE5EF5" w14:paraId="441FE5A8" w14:textId="4C8759CC">
      <w:pPr>
        <w:pStyle w:val="CBDH2"/>
      </w:pPr>
      <w:r w:rsidRPr="0092415D">
        <w:rPr>
          <w:sz w:val="28"/>
          <w:szCs w:val="24"/>
        </w:rPr>
        <w:t>II.</w:t>
      </w:r>
      <w:r w:rsidRPr="0092415D">
        <w:rPr>
          <w:sz w:val="28"/>
        </w:rPr>
        <w:tab/>
      </w:r>
      <w:r w:rsidRPr="0092415D">
        <w:rPr>
          <w:sz w:val="28"/>
        </w:rPr>
        <w:t>Порядок проведения совещания</w:t>
      </w:r>
      <w:r w:rsidRPr="0092415D">
        <w:t xml:space="preserve"> </w:t>
      </w:r>
    </w:p>
    <w:p w:rsidRPr="0092415D" w:rsidR="00415CF9" w:rsidP="00415CF9" w:rsidRDefault="00415CF9" w14:paraId="2FCCF35E" w14:textId="171CEEE2">
      <w:pPr>
        <w:pStyle w:val="CBDNormalNumber"/>
      </w:pPr>
      <w:r w:rsidRPr="0092415D">
        <w:t>Совещание будет проводиться в штаб-квартире Продовольственной и сельскохозяйственной организации Объединенных Наций в Риме, и принять участие в нем могут представители Сторон и аккредитованных организаций-наблюдателей, прошедшие обязательную регистрацию. Организационно-технические вопросы более подробно освещаются в информационной записке для участников</w:t>
      </w:r>
      <w:r w:rsidRPr="0092415D">
        <w:rPr>
          <w:rStyle w:val="Appelnotedebasdep"/>
        </w:rPr>
        <w:footnoteReference w:id="3"/>
      </w:r>
      <w:r w:rsidRPr="0092415D">
        <w:t>, информация в которой будет обновляться по мере необходимости.</w:t>
      </w:r>
    </w:p>
    <w:p w:rsidRPr="0092415D" w:rsidR="0072344C" w:rsidP="0072344C" w:rsidRDefault="0072344C" w14:paraId="0953A703" w14:textId="0F02C194">
      <w:pPr>
        <w:pStyle w:val="CBDNormalNumber"/>
      </w:pPr>
      <w:r w:rsidRPr="0092415D">
        <w:t>Правила процедуры совещаний Конференции Сторон применяются mutatis mutandis к совещаниям Вспомогательного органа по осуществлению в соответствии с подпунктом (a) пункта 1 раздела modus operandi Вспомогательного органа</w:t>
      </w:r>
      <w:r w:rsidRPr="0092415D">
        <w:rPr>
          <w:rStyle w:val="Appelnotedebasdep"/>
        </w:rPr>
        <w:footnoteReference w:id="4"/>
      </w:r>
      <w:r w:rsidRPr="0092415D">
        <w:t xml:space="preserve"> за исключением правила 18, касающегося полномочий.</w:t>
      </w:r>
    </w:p>
    <w:p w:rsidRPr="0092415D" w:rsidR="007C4951" w:rsidP="00A111D1" w:rsidRDefault="00C660D6" w14:paraId="78273298" w14:textId="70E5D384">
      <w:pPr>
        <w:pStyle w:val="CBDH1"/>
      </w:pPr>
      <w:bookmarkStart w:name="_Hlk212028041" w:id="0"/>
      <w:r w:rsidRPr="0092415D">
        <w:t>III.</w:t>
      </w:r>
      <w:r w:rsidRPr="0092415D">
        <w:tab/>
      </w:r>
      <w:r w:rsidRPr="0092415D">
        <w:t>Пленарные заседания и неофициальные консультации</w:t>
      </w:r>
    </w:p>
    <w:bookmarkEnd w:id="0"/>
    <w:p w:rsidRPr="0092415D" w:rsidR="00BA00B5" w:rsidP="00B02D9F" w:rsidRDefault="00BA00B5" w14:paraId="719689B0" w14:textId="7352F343">
      <w:pPr>
        <w:pStyle w:val="CBDNormalNumber"/>
        <w:keepNext/>
      </w:pPr>
      <w:r w:rsidRPr="0092415D">
        <w:t>Совещание будет проводиться в следующих форматах:</w:t>
      </w:r>
    </w:p>
    <w:p w:rsidRPr="0092415D" w:rsidR="0087186C" w:rsidP="00B02D9F" w:rsidRDefault="00C03605" w14:paraId="3BC054EC" w14:textId="1600A37B">
      <w:pPr>
        <w:pStyle w:val="CBDNormalNumber"/>
        <w:numPr>
          <w:ilvl w:val="1"/>
          <w:numId w:val="7"/>
        </w:numPr>
      </w:pPr>
      <w:r w:rsidRPr="0092415D">
        <w:t>п</w:t>
      </w:r>
      <w:r w:rsidRPr="0092415D" w:rsidR="00B6105F">
        <w:t>ленарные заседания, на которых предусмотрена официальная рассадка в зале и устный перевод на шесть официальных языков Организации Объединенных Наций. В работе пленарных заседаний могут принимать участие все зарегистрированные делегаты. Заседания также транслируются в прямом эфире на шести официальных языках по Интернет-ТВ Организации Объединенных Наций</w:t>
      </w:r>
      <w:r w:rsidRPr="0092415D" w:rsidR="0087186C">
        <w:rPr>
          <w:snapToGrid w:val="0"/>
          <w:vertAlign w:val="superscript"/>
        </w:rPr>
        <w:footnoteReference w:id="5"/>
      </w:r>
      <w:r w:rsidRPr="0092415D">
        <w:t>;</w:t>
      </w:r>
    </w:p>
    <w:p w:rsidRPr="0092415D" w:rsidR="0087186C" w:rsidP="00B02D9F" w:rsidRDefault="00C03605" w14:paraId="5C86BE0B" w14:textId="61D599F0">
      <w:pPr>
        <w:pStyle w:val="CBDNormalNumber"/>
        <w:numPr>
          <w:ilvl w:val="1"/>
          <w:numId w:val="7"/>
        </w:numPr>
      </w:pPr>
      <w:r w:rsidRPr="0092415D">
        <w:t>з</w:t>
      </w:r>
      <w:r w:rsidRPr="0092415D" w:rsidR="00B6105F">
        <w:t>аседания контактных групп, на которых предусмотрен гибкий подход к рассадке для облегчения переговоров между Сторонами. Заседания контактных групп будут проводиться только на английском языке</w:t>
      </w:r>
      <w:r w:rsidRPr="0092415D" w:rsidR="000D6960">
        <w:t>.</w:t>
      </w:r>
      <w:r w:rsidRPr="0092415D" w:rsidR="00B6105F">
        <w:t xml:space="preserve"> </w:t>
      </w:r>
      <w:r w:rsidRPr="0092415D" w:rsidR="000D6960">
        <w:t>В них могут принимать</w:t>
      </w:r>
      <w:r w:rsidRPr="0092415D" w:rsidR="00B6105F">
        <w:t xml:space="preserve"> участи</w:t>
      </w:r>
      <w:r w:rsidRPr="0092415D" w:rsidR="000D6960">
        <w:t>е</w:t>
      </w:r>
      <w:r w:rsidRPr="0092415D" w:rsidR="00B6105F">
        <w:t xml:space="preserve"> все делегаци</w:t>
      </w:r>
      <w:r w:rsidRPr="0092415D" w:rsidR="000D6960">
        <w:t>и</w:t>
      </w:r>
      <w:r w:rsidRPr="0092415D" w:rsidR="00B6105F">
        <w:t xml:space="preserve"> Сторон. По усмотрению председателя или сопредседателей контактных групп </w:t>
      </w:r>
      <w:r w:rsidRPr="0092415D" w:rsidR="004F045F">
        <w:t xml:space="preserve">возможность участия </w:t>
      </w:r>
      <w:r w:rsidRPr="0092415D" w:rsidR="00B6105F">
        <w:t>может быть предоставлена приемлемому числу наблюдателей, однако приоритет будет отдаваться делегатам Сторон. Прямая трансляция этих заседаний не предусмотрена.</w:t>
      </w:r>
    </w:p>
    <w:p w:rsidRPr="0092415D" w:rsidR="0087186C" w:rsidP="00B02D9F" w:rsidRDefault="00D05528" w14:paraId="3835A3CF" w14:textId="5178D9A9">
      <w:pPr>
        <w:pStyle w:val="CBDNormalNumber"/>
      </w:pPr>
      <w:r w:rsidRPr="0092415D">
        <w:t>Рабочий день будет разделен на три сессионных периода (см. приложение I ниже)</w:t>
      </w:r>
      <w:r w:rsidRPr="0092415D" w:rsidR="00837FE9">
        <w:rPr>
          <w:rStyle w:val="Appelnotedebasdep"/>
        </w:rPr>
        <w:footnoteReference w:id="6"/>
      </w:r>
      <w:r w:rsidRPr="0092415D">
        <w:t>. Каждый сессионный период будет отведен для одного пленарного заседания или не более чем двух заседаний контактных групп. Заседания контактных групп не будут проводиться одновременно с пленарными заседаниями. Подробный порядок проведения заседаний контактных групп будет определяться бюро на основе его оценки хода работы совещания.</w:t>
      </w:r>
    </w:p>
    <w:p w:rsidRPr="0092415D" w:rsidR="0087186C" w:rsidP="00B02D9F" w:rsidRDefault="0087186C" w14:paraId="7CDA00AE" w14:textId="26AC3E06">
      <w:pPr>
        <w:pStyle w:val="CBDNormalNumber"/>
      </w:pPr>
      <w:r w:rsidRPr="0092415D">
        <w:t xml:space="preserve">В пункте 7 решения </w:t>
      </w:r>
      <w:hyperlink w:history="1" r:id="rId17">
        <w:r w:rsidRPr="0092415D">
          <w:rPr>
            <w:rStyle w:val="Lienhypertexte"/>
          </w:rPr>
          <w:t>16/25</w:t>
        </w:r>
      </w:hyperlink>
      <w:r w:rsidRPr="0092415D">
        <w:t xml:space="preserve"> Конференция Сторон признала необходимость разумных ограничений продолжительности переговоров в рамках вечерних заседаний и рекомендовала, если не будет принято иного решения, предпочтительно не планировать проведение заседаний по прошествии 13 часов с начала первого </w:t>
      </w:r>
      <w:r w:rsidRPr="0092415D" w:rsidR="00A65006">
        <w:t>заседания</w:t>
      </w:r>
      <w:r w:rsidRPr="0092415D">
        <w:t xml:space="preserve"> открытого состава того же дня. Соответственно, ожидается, что все вечерние заседания будут заканчиваться не позднее 23 ч 00 мин, если Стороны не примут иного решения.</w:t>
      </w:r>
    </w:p>
    <w:p w:rsidRPr="0092415D" w:rsidR="0087186C" w:rsidP="00B02D9F" w:rsidRDefault="00C04A02" w14:paraId="52591429" w14:textId="7B5DA7C1">
      <w:pPr>
        <w:pStyle w:val="CBDNormalNumber"/>
      </w:pPr>
      <w:r w:rsidRPr="0092415D">
        <w:t>Заседания бюро запланированы на первую половину дня 15 февраля (с 10 до 13 часов) и 17, 18 и 19 февраля (с 8 до 9 часов). Проведение региональных совещаний запланировано на 15 февраля 2026 года.</w:t>
      </w:r>
    </w:p>
    <w:p w:rsidRPr="0092415D" w:rsidR="0087186C" w:rsidP="00B02D9F" w:rsidRDefault="0087186C" w14:paraId="3E6759F6" w14:textId="4AE15F2D">
      <w:pPr>
        <w:pStyle w:val="CBDNormalNumber"/>
      </w:pPr>
      <w:r w:rsidRPr="0092415D">
        <w:rPr>
          <w:snapToGrid w:val="0"/>
        </w:rPr>
        <w:t>Все документы совещания будут размещены в Интернете</w:t>
      </w:r>
      <w:r w:rsidRPr="0092415D">
        <w:rPr>
          <w:snapToGrid w:val="0"/>
          <w:kern w:val="22"/>
          <w:vertAlign w:val="superscript"/>
        </w:rPr>
        <w:footnoteReference w:id="7"/>
      </w:r>
      <w:r w:rsidRPr="0092415D">
        <w:rPr>
          <w:snapToGrid w:val="0"/>
        </w:rPr>
        <w:t xml:space="preserve">. </w:t>
      </w:r>
      <w:r w:rsidRPr="0092415D">
        <w:t>Объявления о предстоящих заседаниях будут своевременно отображаться на информационных экранах в месте проведения совещания, а также на веб-сайте совещания.</w:t>
      </w:r>
    </w:p>
    <w:p w:rsidRPr="0092415D" w:rsidR="00DC1585" w:rsidP="00DC1585" w:rsidRDefault="00DC1585" w14:paraId="43A2E069" w14:textId="77777777">
      <w:pPr>
        <w:pStyle w:val="CBDH1"/>
      </w:pPr>
      <w:r w:rsidRPr="0092415D">
        <w:t>IV.</w:t>
      </w:r>
      <w:r w:rsidRPr="0092415D">
        <w:tab/>
      </w:r>
      <w:r w:rsidRPr="0092415D">
        <w:t>Организация работы</w:t>
      </w:r>
    </w:p>
    <w:p w:rsidRPr="0092415D" w:rsidR="00DC1585" w:rsidP="00B02D9F" w:rsidRDefault="00702FF2" w14:paraId="5A87EA5E" w14:textId="430D0D06">
      <w:pPr>
        <w:pStyle w:val="CBDH2"/>
      </w:pPr>
      <w:r w:rsidRPr="0092415D">
        <w:rPr>
          <w:sz w:val="22"/>
        </w:rPr>
        <w:t>A.</w:t>
      </w:r>
      <w:r w:rsidRPr="0092415D">
        <w:rPr>
          <w:sz w:val="22"/>
        </w:rPr>
        <w:tab/>
      </w:r>
      <w:r w:rsidRPr="0092415D">
        <w:rPr>
          <w:sz w:val="22"/>
        </w:rPr>
        <w:t>Общие замечания</w:t>
      </w:r>
    </w:p>
    <w:p w:rsidRPr="0092415D" w:rsidR="00DC1585" w:rsidP="0032379F" w:rsidRDefault="002D251C" w14:paraId="2B370A44" w14:textId="6C75D6F3">
      <w:pPr>
        <w:pStyle w:val="CBDNormalNumber"/>
      </w:pPr>
      <w:r w:rsidRPr="0092415D">
        <w:t>Председатель откроет совещание в 10 ч 00 мин в понедельник 16 февраля 2026 года. С заявлениями выступят Председател</w:t>
      </w:r>
      <w:r w:rsidRPr="0092415D" w:rsidR="004057FA">
        <w:t>ь</w:t>
      </w:r>
      <w:r w:rsidRPr="0092415D">
        <w:t xml:space="preserve"> 16-го совещания Конференции Сторон или ее представитель, а также Исполнительный секретарь. </w:t>
      </w:r>
    </w:p>
    <w:p w:rsidRPr="0092415D" w:rsidR="00060134" w:rsidP="00DC1585" w:rsidRDefault="00F0669C" w14:paraId="0BD1A9EB" w14:textId="77052839">
      <w:pPr>
        <w:pStyle w:val="CBDNormalNumber"/>
      </w:pPr>
      <w:r w:rsidRPr="0092415D">
        <w:t>Ожидается, что в рамках пункта 2 повестки дня Вспомогательный орган одобрит предварительную повестку дня и утвердит организацию работы.</w:t>
      </w:r>
    </w:p>
    <w:p w:rsidRPr="0092415D" w:rsidR="0011665B" w:rsidP="0011665B" w:rsidRDefault="0011665B" w14:paraId="3D78A4F5" w14:textId="4E163CA1">
      <w:pPr>
        <w:pStyle w:val="CBDNormalNumber"/>
      </w:pPr>
      <w:r w:rsidRPr="0092415D">
        <w:t>Все пункты повестки дня будут рассматриваться на пленарных заседаниях. После первого чтения основных пунктов повестки дня на пленарном заседании предполагается, что будут подготовлены документы зала заседаний для рассмотрения на одном из последующих пленарных заседаний. При необходимости могут быть учреждены контактные группы для дальнейшего рассмотрения пунктов повестки дня до подготовки документов зала заседаний.</w:t>
      </w:r>
    </w:p>
    <w:p w:rsidRPr="0092415D" w:rsidR="009E69B7" w:rsidP="00DC1585" w:rsidRDefault="00CE6ECE" w14:paraId="0F7E7B1A" w14:textId="62F47295">
      <w:pPr>
        <w:pStyle w:val="CBDNormalNumber"/>
      </w:pPr>
      <w:r w:rsidRPr="0092415D">
        <w:t xml:space="preserve">В пункте 3 решений </w:t>
      </w:r>
      <w:hyperlink w:history="1" r:id="rId18">
        <w:r w:rsidRPr="0092415D">
          <w:rPr>
            <w:rStyle w:val="Lienhypertexte"/>
          </w:rPr>
          <w:t>16/25</w:t>
        </w:r>
      </w:hyperlink>
      <w:r w:rsidRPr="0092415D">
        <w:t xml:space="preserve">, </w:t>
      </w:r>
      <w:hyperlink w:history="1" r:id="rId19">
        <w:r w:rsidRPr="0092415D" w:rsidR="00412801">
          <w:rPr>
            <w:rStyle w:val="Lienhypertexte"/>
          </w:rPr>
          <w:t>CP-11/5</w:t>
        </w:r>
      </w:hyperlink>
      <w:r w:rsidRPr="0092415D">
        <w:t xml:space="preserve"> и </w:t>
      </w:r>
      <w:hyperlink w:history="1" r:id="rId20">
        <w:r w:rsidRPr="0092415D" w:rsidR="00305C9A">
          <w:rPr>
            <w:rStyle w:val="Lienhypertexte"/>
          </w:rPr>
          <w:t>NP-5/10</w:t>
        </w:r>
      </w:hyperlink>
      <w:r w:rsidRPr="0092415D">
        <w:t xml:space="preserve"> Исполнительному секретарю совместно с бюро было поручено продолжать изучать и использовать, по мере необходимости, соответствующие пути и способы </w:t>
      </w:r>
      <w:r w:rsidRPr="0092415D" w:rsidR="004C759B">
        <w:t xml:space="preserve">обеспечивать заблаговременную подготовку </w:t>
      </w:r>
      <w:r w:rsidRPr="0092415D">
        <w:t xml:space="preserve">совещаний, включая заблаговременное представление заявлений. Экспериментальный порядок заблаговременного представления заявлений приводится в приложении II. </w:t>
      </w:r>
    </w:p>
    <w:p w:rsidRPr="006337BE" w:rsidR="00CE6ECE" w:rsidP="00DC1585" w:rsidRDefault="00CE6ECE" w14:paraId="7EB60A0F" w14:textId="1DEEFB62">
      <w:pPr>
        <w:pStyle w:val="CBDNormalNumber"/>
      </w:pPr>
      <w:r w:rsidRPr="0092415D">
        <w:t>Во исполнение вышеупомянутого поручения Исполнительному секретарю совместно с бюро и с учетом опыта, накопленного по итогам 27-го совещания Вспомогательного органа по научным, техническим и технологическим консультациям (20-24 октября 2025 года)</w:t>
      </w:r>
      <w:r w:rsidRPr="0092415D" w:rsidR="00231721">
        <w:rPr>
          <w:rStyle w:val="Appelnotedebasdep"/>
        </w:rPr>
        <w:footnoteReference w:id="8"/>
      </w:r>
      <w:r w:rsidRPr="0092415D" w:rsidR="0011433A">
        <w:t>,</w:t>
      </w:r>
      <w:r w:rsidRPr="0092415D">
        <w:t xml:space="preserve"> бюро Конференции Сторон на своем выездном совещании в Панам</w:t>
      </w:r>
      <w:r w:rsidRPr="0092415D" w:rsidR="00F82007">
        <w:t>е</w:t>
      </w:r>
      <w:r w:rsidRPr="0092415D">
        <w:t xml:space="preserve"> </w:t>
      </w:r>
      <w:r w:rsidRPr="0092415D" w:rsidR="00B00F13">
        <w:t xml:space="preserve">с </w:t>
      </w:r>
      <w:r w:rsidRPr="0092415D">
        <w:t xml:space="preserve">31 октября </w:t>
      </w:r>
      <w:r w:rsidRPr="0092415D" w:rsidR="00B00F13">
        <w:t>по</w:t>
      </w:r>
      <w:r w:rsidRPr="0092415D">
        <w:t xml:space="preserve"> 1 ноября 2025 года приняло решение о применении экспериментального порядка заблаговременного представления заявлений в отношении всех основных пунктов повестки дня настоящего совещания. Как отмечалось выше, подробная информация об экспериментальном порядке изложена в приложении II к настоящей записке. Сторонам и наблюдателям, зарегистрированным для участия в настоящем совещании, будет направлено уведомление с предложением представить письменные заявления на добровольной и неофициальной основе через специальный </w:t>
      </w:r>
      <w:r w:rsidRPr="0092415D" w:rsidR="00222D8F">
        <w:t>интернет</w:t>
      </w:r>
      <w:r w:rsidRPr="0092415D">
        <w:t>-портал или по электронной почте. Для содействия применению данного экспериментального порядка секретариат проведет информационные вебинары для делегатов и наблюдателей.</w:t>
      </w:r>
    </w:p>
    <w:p w:rsidRPr="0092415D" w:rsidR="006337BE" w:rsidP="00DC1585" w:rsidRDefault="00EA2DA3" w14:paraId="29AD085D" w14:textId="36F8570A">
      <w:pPr>
        <w:pStyle w:val="CBDNormalNumber"/>
      </w:pPr>
      <w:r w:rsidRPr="00EA2DA3">
        <w:t xml:space="preserve">В целях обеспечения эффективного проведения совещания в соответствии с просьбой </w:t>
      </w:r>
      <w:r w:rsidR="001E4BDE">
        <w:t>бюро</w:t>
      </w:r>
      <w:r w:rsidRPr="00EA2DA3">
        <w:t xml:space="preserve"> Конференции Сторон Председатель ограничит </w:t>
      </w:r>
      <w:r w:rsidRPr="00822205" w:rsidR="00822205">
        <w:t xml:space="preserve">продолжительность </w:t>
      </w:r>
      <w:r w:rsidRPr="00EA2DA3">
        <w:t xml:space="preserve">выступлений четырьмя минутами для </w:t>
      </w:r>
      <w:r w:rsidR="006A1F71">
        <w:t xml:space="preserve">представителей </w:t>
      </w:r>
      <w:r w:rsidRPr="00EA2DA3">
        <w:t>регионов, двумя минутами для отдельных Сторон, тремя минутами для коренных народов и местных общин, а также для основных групп заинтересованных сторон, и одной минутой для государств, не являющихся Сторонами, и других наблюдателей при наличи</w:t>
      </w:r>
      <w:r w:rsidR="002628BE">
        <w:t>и</w:t>
      </w:r>
      <w:r w:rsidRPr="00EA2DA3">
        <w:t xml:space="preserve"> времени. Кроме того, Председатель </w:t>
      </w:r>
      <w:r w:rsidR="00FE4117">
        <w:t xml:space="preserve">может просить отключить </w:t>
      </w:r>
      <w:r w:rsidRPr="00EA2DA3">
        <w:t xml:space="preserve">микрофоны по истечении </w:t>
      </w:r>
      <w:r w:rsidR="005237BA">
        <w:t>отведенного</w:t>
      </w:r>
      <w:r w:rsidRPr="00EA2DA3">
        <w:t xml:space="preserve"> для выступлений времени.</w:t>
      </w:r>
    </w:p>
    <w:p w:rsidRPr="0092415D" w:rsidR="00DC1585" w:rsidP="00B02D9F" w:rsidRDefault="00702FF2" w14:paraId="6416CCC3" w14:textId="0514171B">
      <w:pPr>
        <w:pStyle w:val="CBDH2"/>
      </w:pPr>
      <w:r w:rsidRPr="0092415D">
        <w:rPr>
          <w:sz w:val="22"/>
        </w:rPr>
        <w:t>B.</w:t>
      </w:r>
      <w:r w:rsidRPr="0092415D">
        <w:rPr>
          <w:sz w:val="22"/>
        </w:rPr>
        <w:tab/>
      </w:r>
      <w:r w:rsidRPr="0092415D">
        <w:rPr>
          <w:sz w:val="22"/>
        </w:rPr>
        <w:t>Рассмотрение документов зала заседаний и проектов рекомендаций</w:t>
      </w:r>
    </w:p>
    <w:p w:rsidRPr="0092415D" w:rsidR="00DC1585" w:rsidP="00DC1585" w:rsidRDefault="00DC1585" w14:paraId="59BA45AE" w14:textId="08833634">
      <w:pPr>
        <w:pStyle w:val="CBDNormalNumber"/>
      </w:pPr>
      <w:r w:rsidRPr="0092415D">
        <w:t>Предполагается, что все документы зала заседаний и проекты рекомендаций будут рассмотрены во время пленарных заседани</w:t>
      </w:r>
      <w:r w:rsidRPr="0092415D" w:rsidR="00AB29CB">
        <w:t>й</w:t>
      </w:r>
      <w:r w:rsidRPr="0092415D">
        <w:t>, запланированных на 17-19 февраля. Однако расписание может быть скорректировано в зависимости от ход</w:t>
      </w:r>
      <w:r w:rsidRPr="0092415D" w:rsidR="00C224F7">
        <w:t>а</w:t>
      </w:r>
      <w:r w:rsidRPr="0092415D">
        <w:t xml:space="preserve"> работы совещания.</w:t>
      </w:r>
    </w:p>
    <w:p w:rsidRPr="0092415D" w:rsidR="00DC1585" w:rsidP="00B02D9F" w:rsidRDefault="00702FF2" w14:paraId="5A10132E" w14:textId="4FC18144">
      <w:pPr>
        <w:pStyle w:val="CBDH2"/>
      </w:pPr>
      <w:r w:rsidRPr="0092415D">
        <w:rPr>
          <w:sz w:val="22"/>
        </w:rPr>
        <w:t>C.</w:t>
      </w:r>
      <w:r w:rsidRPr="0092415D">
        <w:rPr>
          <w:sz w:val="22"/>
        </w:rPr>
        <w:tab/>
      </w:r>
      <w:r w:rsidRPr="0092415D">
        <w:rPr>
          <w:sz w:val="22"/>
        </w:rPr>
        <w:t>Заключительное пленарное заседание</w:t>
      </w:r>
    </w:p>
    <w:p w:rsidRPr="0092415D" w:rsidR="00DC1585" w:rsidP="00DC1585" w:rsidRDefault="00DC1585" w14:paraId="35BCA5ED" w14:textId="17167D75">
      <w:pPr>
        <w:pStyle w:val="CBDNormalNumber"/>
      </w:pPr>
      <w:r w:rsidRPr="0092415D">
        <w:t>Ожидается, что заключительное пленарное заседание состоится 19 февраля и будет посвящено рассмотрению пунктов 11 (прочие вопросы), 12 (принятие доклада) и 13 (закрытие совещания) повестки дня.</w:t>
      </w:r>
    </w:p>
    <w:p w:rsidRPr="0092415D" w:rsidR="00DC1585" w:rsidP="00DC1585" w:rsidRDefault="00DC1585" w14:paraId="21364340" w14:textId="77777777">
      <w:pPr>
        <w:jc w:val="center"/>
      </w:pPr>
    </w:p>
    <w:p w:rsidRPr="0092415D" w:rsidR="00DC1585" w:rsidP="00DC1585" w:rsidRDefault="00DC1585" w14:paraId="39BEB309" w14:textId="77777777">
      <w:pPr>
        <w:jc w:val="center"/>
        <w:sectPr w:rsidRPr="0092415D" w:rsidR="00DC1585" w:rsidSect="00990A97">
          <w:headerReference w:type="even" r:id="rId21"/>
          <w:headerReference w:type="default" r:id="rId22"/>
          <w:footerReference w:type="even" r:id="rId23"/>
          <w:footerReference w:type="default" r:id="rId24"/>
          <w:pgSz w:w="12240" w:h="15840" w:orient="portrait"/>
          <w:pgMar w:top="1134" w:right="1440" w:bottom="1134" w:left="1440" w:header="709" w:footer="709" w:gutter="0"/>
          <w:cols w:space="708"/>
          <w:titlePg/>
          <w:docGrid w:linePitch="360"/>
        </w:sectPr>
      </w:pPr>
    </w:p>
    <w:p w:rsidRPr="0092415D" w:rsidR="00DC1585" w:rsidP="00DC1585" w:rsidRDefault="00DC1585" w14:paraId="63E7305E" w14:textId="54D7AC66">
      <w:pPr>
        <w:pStyle w:val="CBDAnnex"/>
        <w:spacing w:after="120"/>
        <w:rPr>
          <w:snapToGrid w:val="0"/>
        </w:rPr>
      </w:pPr>
      <w:r w:rsidRPr="0092415D">
        <w:rPr>
          <w:snapToGrid w:val="0"/>
        </w:rPr>
        <w:t>Приложение I</w:t>
      </w:r>
    </w:p>
    <w:p w:rsidRPr="0092415D" w:rsidR="00DC1585" w:rsidP="00DC1585" w:rsidRDefault="00DC1585" w14:paraId="373766A8" w14:textId="7CAB9093">
      <w:pPr>
        <w:pStyle w:val="CBDAnnex"/>
        <w:spacing w:after="120"/>
        <w:rPr>
          <w:snapToGrid w:val="0"/>
        </w:rPr>
      </w:pPr>
      <w:r w:rsidRPr="0092415D">
        <w:rPr>
          <w:snapToGrid w:val="0"/>
        </w:rPr>
        <w:t>Предлагаемая организация работы</w:t>
      </w:r>
      <w:r w:rsidRPr="0092415D">
        <w:rPr>
          <w:rStyle w:val="Appelnotedebasdep"/>
          <w:snapToGrid w:val="0"/>
        </w:rPr>
        <w:footnoteReference w:customMarkFollows="1" w:id="9"/>
        <w:t>*</w:t>
      </w:r>
    </w:p>
    <w:tbl>
      <w:tblPr>
        <w:tblW w:w="500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5"/>
        <w:gridCol w:w="2693"/>
        <w:gridCol w:w="2693"/>
        <w:gridCol w:w="2411"/>
      </w:tblGrid>
      <w:tr w:rsidRPr="0092415D" w:rsidR="005155F9" w:rsidTr="45D05996" w14:paraId="4CA3C0C5" w14:textId="77777777">
        <w:tc>
          <w:tcPr>
            <w:tcW w:w="1555" w:type="dxa"/>
            <w:tcMar/>
          </w:tcPr>
          <w:p w:rsidRPr="0092415D" w:rsidR="005155F9" w:rsidP="003E1976" w:rsidRDefault="005155F9" w14:paraId="636A1312" w14:textId="77777777">
            <w:pPr>
              <w:pStyle w:val="CBDTableNormal"/>
              <w:spacing w:after="40"/>
              <w:rPr>
                <w:i/>
                <w:iCs/>
                <w:snapToGrid w:val="0"/>
              </w:rPr>
            </w:pPr>
            <w:r w:rsidRPr="0092415D">
              <w:rPr>
                <w:i/>
                <w:snapToGrid w:val="0"/>
              </w:rPr>
              <w:t>Дата</w:t>
            </w:r>
          </w:p>
        </w:tc>
        <w:tc>
          <w:tcPr>
            <w:tcW w:w="2693" w:type="dxa"/>
            <w:tcMar/>
          </w:tcPr>
          <w:p w:rsidRPr="0092415D" w:rsidR="005155F9" w:rsidP="003E1976" w:rsidRDefault="005155F9" w14:paraId="776A83C9" w14:textId="77777777">
            <w:pPr>
              <w:pStyle w:val="CBDTableNormal"/>
              <w:spacing w:after="40"/>
              <w:rPr>
                <w:bCs/>
                <w:i/>
                <w:iCs/>
                <w:snapToGrid w:val="0"/>
              </w:rPr>
            </w:pPr>
            <w:r w:rsidRPr="0092415D">
              <w:rPr>
                <w:i/>
                <w:snapToGrid w:val="0"/>
              </w:rPr>
              <w:t>10:00-13:00</w:t>
            </w:r>
          </w:p>
        </w:tc>
        <w:tc>
          <w:tcPr>
            <w:tcW w:w="2693" w:type="dxa"/>
            <w:tcMar/>
            <w:vAlign w:val="center"/>
          </w:tcPr>
          <w:p w:rsidRPr="0092415D" w:rsidR="005155F9" w:rsidP="45D05996" w:rsidRDefault="005155F9" w14:paraId="4C4EA596" w14:textId="34728F80">
            <w:pPr>
              <w:pStyle w:val="CBDTableNormal"/>
              <w:spacing w:after="40"/>
              <w:rPr>
                <w:i w:val="1"/>
                <w:iCs w:val="1"/>
                <w:snapToGrid w:val="0"/>
              </w:rPr>
            </w:pPr>
            <w:r w:rsidRPr="45D05996" w:rsidR="005155F9">
              <w:rPr>
                <w:i w:val="1"/>
                <w:iCs w:val="1"/>
                <w:snapToGrid w:val="0"/>
              </w:rPr>
              <w:t>1</w:t>
            </w:r>
            <w:r w:rsidRPr="45D05996" w:rsidR="00AF1C92">
              <w:rPr>
                <w:i w:val="1"/>
                <w:iCs w:val="1"/>
                <w:snapToGrid w:val="0"/>
              </w:rPr>
              <w:t>4</w:t>
            </w:r>
            <w:r w:rsidRPr="45D05996" w:rsidR="005155F9">
              <w:rPr>
                <w:i w:val="1"/>
                <w:iCs w:val="1"/>
                <w:snapToGrid w:val="0"/>
              </w:rPr>
              <w:t>:</w:t>
            </w:r>
            <w:r w:rsidRPr="45D05996" w:rsidR="00AF1C92">
              <w:rPr>
                <w:i w:val="1"/>
                <w:iCs w:val="1"/>
                <w:snapToGrid w:val="0"/>
              </w:rPr>
              <w:t>3</w:t>
            </w:r>
            <w:r w:rsidRPr="45D05996" w:rsidR="005155F9">
              <w:rPr>
                <w:i w:val="1"/>
                <w:iCs w:val="1"/>
                <w:snapToGrid w:val="0"/>
              </w:rPr>
              <w:t>0-1</w:t>
            </w:r>
            <w:r w:rsidRPr="45D05996" w:rsidR="00AF1C92">
              <w:rPr>
                <w:i w:val="1"/>
                <w:iCs w:val="1"/>
                <w:snapToGrid w:val="0"/>
              </w:rPr>
              <w:t>7</w:t>
            </w:r>
            <w:r w:rsidRPr="45D05996" w:rsidR="005155F9">
              <w:rPr>
                <w:i w:val="1"/>
                <w:iCs w:val="1"/>
                <w:snapToGrid w:val="0"/>
              </w:rPr>
              <w:t>:</w:t>
            </w:r>
            <w:r w:rsidRPr="45D05996" w:rsidR="76D560EE">
              <w:rPr>
                <w:i w:val="1"/>
                <w:iCs w:val="1"/>
                <w:snapToGrid w:val="0"/>
              </w:rPr>
              <w:t>3</w:t>
            </w:r>
            <w:r w:rsidRPr="45D05996" w:rsidR="005155F9">
              <w:rPr>
                <w:i w:val="1"/>
                <w:iCs w:val="1"/>
                <w:snapToGrid w:val="0"/>
              </w:rPr>
              <w:t>0</w:t>
            </w:r>
          </w:p>
        </w:tc>
        <w:tc>
          <w:tcPr>
            <w:tcW w:w="2411" w:type="dxa"/>
            <w:tcMar/>
            <w:vAlign w:val="center"/>
          </w:tcPr>
          <w:p w:rsidRPr="0092415D" w:rsidR="005155F9" w:rsidP="00B02D9F" w:rsidRDefault="005155F9" w14:paraId="0033572B" w14:textId="77777777">
            <w:pPr>
              <w:pStyle w:val="CBDTableNormal"/>
              <w:spacing w:after="40"/>
              <w:rPr>
                <w:i/>
                <w:iCs/>
                <w:snapToGrid w:val="0"/>
              </w:rPr>
            </w:pPr>
            <w:r w:rsidRPr="0092415D">
              <w:rPr>
                <w:i/>
                <w:snapToGrid w:val="0"/>
              </w:rPr>
              <w:t>19:30-22:30</w:t>
            </w:r>
          </w:p>
        </w:tc>
      </w:tr>
      <w:tr w:rsidRPr="0092415D" w:rsidR="005155F9" w:rsidTr="45D05996" w14:paraId="0C3B9ECD" w14:textId="77777777">
        <w:tc>
          <w:tcPr>
            <w:tcW w:w="1555" w:type="dxa"/>
            <w:tcMar>
              <w:top w:w="115" w:type="dxa"/>
              <w:left w:w="115" w:type="dxa"/>
              <w:bottom w:w="115" w:type="dxa"/>
              <w:right w:w="115" w:type="dxa"/>
            </w:tcMar>
          </w:tcPr>
          <w:p w:rsidRPr="0092415D" w:rsidR="005155F9" w:rsidP="003E1976" w:rsidRDefault="005155F9" w14:paraId="41272F97" w14:textId="77777777">
            <w:pPr>
              <w:pStyle w:val="CBDTableNormal"/>
              <w:spacing w:after="40"/>
              <w:rPr>
                <w:b/>
                <w:snapToGrid w:val="0"/>
              </w:rPr>
            </w:pPr>
            <w:r w:rsidRPr="0092415D">
              <w:rPr>
                <w:b/>
                <w:snapToGrid w:val="0"/>
              </w:rPr>
              <w:t>Понедельник</w:t>
            </w:r>
          </w:p>
          <w:p w:rsidRPr="0092415D" w:rsidR="005155F9" w:rsidP="003E1976" w:rsidRDefault="005155F9" w14:paraId="17599CE8" w14:textId="190A6941">
            <w:pPr>
              <w:pStyle w:val="CBDTableNormal"/>
              <w:spacing w:after="40"/>
              <w:rPr>
                <w:bCs/>
                <w:snapToGrid w:val="0"/>
              </w:rPr>
            </w:pPr>
            <w:r w:rsidRPr="0092415D">
              <w:rPr>
                <w:snapToGrid w:val="0"/>
              </w:rPr>
              <w:t>16 февраля 2026 года</w:t>
            </w:r>
          </w:p>
        </w:tc>
        <w:tc>
          <w:tcPr>
            <w:tcW w:w="2693" w:type="dxa"/>
            <w:tcMar>
              <w:top w:w="115" w:type="dxa"/>
              <w:left w:w="115" w:type="dxa"/>
              <w:bottom w:w="115" w:type="dxa"/>
              <w:right w:w="115" w:type="dxa"/>
            </w:tcMar>
          </w:tcPr>
          <w:p w:rsidRPr="0092415D" w:rsidR="005155F9" w:rsidP="003E1976" w:rsidRDefault="005155F9" w14:paraId="63E53D15" w14:textId="678BCC85">
            <w:pPr>
              <w:pStyle w:val="CBDTableNormal"/>
              <w:tabs>
                <w:tab w:val="clear" w:pos="567"/>
                <w:tab w:val="clear" w:pos="1134"/>
                <w:tab w:val="clear" w:pos="1701"/>
                <w:tab w:val="clear" w:pos="2268"/>
                <w:tab w:val="clear" w:pos="2835"/>
                <w:tab w:val="clear" w:pos="3402"/>
              </w:tabs>
              <w:spacing w:after="40"/>
              <w:rPr>
                <w:snapToGrid w:val="0"/>
              </w:rPr>
            </w:pPr>
            <w:r w:rsidRPr="0092415D">
              <w:rPr>
                <w:snapToGrid w:val="0"/>
              </w:rPr>
              <w:t>Пункт 1. Открытие совещания</w:t>
            </w:r>
          </w:p>
          <w:p w:rsidRPr="0092415D" w:rsidR="005155F9" w:rsidP="003E1976" w:rsidRDefault="005155F9" w14:paraId="6C652F6F" w14:textId="3ED6D0FF">
            <w:pPr>
              <w:pStyle w:val="CBDTableNormal"/>
              <w:tabs>
                <w:tab w:val="clear" w:pos="567"/>
                <w:tab w:val="clear" w:pos="1134"/>
                <w:tab w:val="clear" w:pos="1701"/>
                <w:tab w:val="clear" w:pos="2268"/>
                <w:tab w:val="clear" w:pos="2835"/>
                <w:tab w:val="clear" w:pos="3402"/>
              </w:tabs>
              <w:spacing w:after="40"/>
              <w:rPr>
                <w:snapToGrid w:val="0"/>
              </w:rPr>
            </w:pPr>
            <w:r w:rsidRPr="0092415D">
              <w:rPr>
                <w:snapToGrid w:val="0"/>
              </w:rPr>
              <w:t>Пункт 2. Организационные вопросы: утверждение повестки дня и организация работы</w:t>
            </w:r>
          </w:p>
          <w:p w:rsidRPr="0092415D" w:rsidR="005155F9" w:rsidP="003E1976" w:rsidRDefault="005155F9" w14:paraId="7C9D9FD6" w14:textId="7255E36A">
            <w:pPr>
              <w:pStyle w:val="CBDTableNormal"/>
              <w:tabs>
                <w:tab w:val="clear" w:pos="567"/>
                <w:tab w:val="clear" w:pos="1134"/>
                <w:tab w:val="clear" w:pos="1701"/>
                <w:tab w:val="clear" w:pos="2268"/>
                <w:tab w:val="clear" w:pos="2835"/>
                <w:tab w:val="clear" w:pos="3402"/>
              </w:tabs>
              <w:spacing w:after="40"/>
              <w:rPr>
                <w:snapToGrid w:val="0"/>
              </w:rPr>
            </w:pPr>
            <w:r w:rsidRPr="0092415D">
              <w:rPr>
                <w:snapToGrid w:val="0"/>
              </w:rPr>
              <w:t xml:space="preserve">Пункт 3. Мобилизация ресурсов и механизм финансирования: </w:t>
            </w:r>
          </w:p>
          <w:p w:rsidRPr="0092415D" w:rsidR="005155F9" w:rsidP="003E1976" w:rsidRDefault="005155F9" w14:paraId="00D9A93E" w14:textId="1E364A78">
            <w:pPr>
              <w:pStyle w:val="CBDTableNormal"/>
              <w:tabs>
                <w:tab w:val="clear" w:pos="567"/>
                <w:tab w:val="clear" w:pos="1134"/>
                <w:tab w:val="clear" w:pos="1701"/>
                <w:tab w:val="clear" w:pos="2268"/>
                <w:tab w:val="clear" w:pos="2835"/>
                <w:tab w:val="clear" w:pos="3402"/>
              </w:tabs>
              <w:spacing w:after="40"/>
              <w:rPr>
                <w:snapToGrid w:val="0"/>
              </w:rPr>
            </w:pPr>
            <w:r w:rsidRPr="0092415D">
              <w:rPr>
                <w:snapToGrid w:val="0"/>
              </w:rPr>
              <w:t>(a)</w:t>
            </w:r>
            <w:r w:rsidRPr="00703EB3" w:rsidR="006126EA">
              <w:rPr>
                <w:snapToGrid w:val="0"/>
              </w:rPr>
              <w:t xml:space="preserve"> </w:t>
            </w:r>
            <w:r w:rsidRPr="0092415D">
              <w:rPr>
                <w:snapToGrid w:val="0"/>
              </w:rPr>
              <w:t>мобилизация ресурсов;</w:t>
            </w:r>
          </w:p>
          <w:p w:rsidRPr="0092415D" w:rsidR="005155F9" w:rsidP="003E1976" w:rsidRDefault="005155F9" w14:paraId="1BA565B1" w14:textId="08BB96D5">
            <w:pPr>
              <w:pStyle w:val="CBDTableNormal"/>
              <w:tabs>
                <w:tab w:val="clear" w:pos="567"/>
                <w:tab w:val="clear" w:pos="1134"/>
                <w:tab w:val="clear" w:pos="1701"/>
                <w:tab w:val="clear" w:pos="2268"/>
                <w:tab w:val="clear" w:pos="2835"/>
                <w:tab w:val="clear" w:pos="3402"/>
              </w:tabs>
              <w:spacing w:after="40"/>
              <w:rPr>
                <w:snapToGrid w:val="0"/>
              </w:rPr>
            </w:pPr>
            <w:r w:rsidRPr="0092415D">
              <w:rPr>
                <w:snapToGrid w:val="0"/>
              </w:rPr>
              <w:t>(b)</w:t>
            </w:r>
            <w:r w:rsidRPr="00703EB3" w:rsidR="006126EA">
              <w:rPr>
                <w:snapToGrid w:val="0"/>
              </w:rPr>
              <w:t xml:space="preserve"> </w:t>
            </w:r>
            <w:r w:rsidRPr="0092415D">
              <w:rPr>
                <w:snapToGrid w:val="0"/>
              </w:rPr>
              <w:t>механизм финансирования</w:t>
            </w:r>
          </w:p>
          <w:p w:rsidRPr="0092415D" w:rsidR="000E35C2" w:rsidP="004E2E62" w:rsidRDefault="000E35C2" w14:paraId="393E6300" w14:textId="6FA6DE29">
            <w:pPr>
              <w:pStyle w:val="CBDTableNormal"/>
              <w:tabs>
                <w:tab w:val="clear" w:pos="567"/>
                <w:tab w:val="clear" w:pos="1134"/>
                <w:tab w:val="clear" w:pos="1701"/>
                <w:tab w:val="clear" w:pos="2268"/>
                <w:tab w:val="clear" w:pos="2835"/>
                <w:tab w:val="clear" w:pos="3402"/>
              </w:tabs>
              <w:spacing w:after="40"/>
              <w:rPr>
                <w:snapToGrid w:val="0"/>
              </w:rPr>
            </w:pPr>
            <w:r w:rsidRPr="0092415D">
              <w:rPr>
                <w:snapToGrid w:val="0"/>
              </w:rPr>
              <w:t xml:space="preserve">Пункт 4. </w:t>
            </w:r>
            <w:r w:rsidRPr="0092415D">
              <w:t>Планирование, мониторинг, отчетность и обзор: 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p>
        </w:tc>
        <w:tc>
          <w:tcPr>
            <w:tcW w:w="2693" w:type="dxa"/>
            <w:tcMar>
              <w:top w:w="115" w:type="dxa"/>
              <w:left w:w="115" w:type="dxa"/>
              <w:bottom w:w="115" w:type="dxa"/>
              <w:right w:w="115" w:type="dxa"/>
            </w:tcMar>
          </w:tcPr>
          <w:p w:rsidRPr="0092415D" w:rsidR="001D15B8" w:rsidP="00171A15" w:rsidRDefault="005155F9" w14:paraId="64D059BA" w14:textId="77777777">
            <w:pPr>
              <w:pStyle w:val="CBDTableNormal"/>
              <w:tabs>
                <w:tab w:val="clear" w:pos="567"/>
                <w:tab w:val="clear" w:pos="1134"/>
                <w:tab w:val="clear" w:pos="1701"/>
                <w:tab w:val="clear" w:pos="2268"/>
                <w:tab w:val="clear" w:pos="2835"/>
                <w:tab w:val="clear" w:pos="3402"/>
                <w:tab w:val="left" w:pos="458"/>
              </w:tabs>
              <w:spacing w:after="40"/>
              <w:rPr>
                <w:snapToGrid w:val="0"/>
              </w:rPr>
            </w:pPr>
            <w:r w:rsidRPr="0092415D">
              <w:rPr>
                <w:snapToGrid w:val="0"/>
              </w:rPr>
              <w:t xml:space="preserve">Пункт 5. </w:t>
            </w:r>
            <w:r w:rsidRPr="0092415D">
              <w:t>План действий по обеспечению гендерного равенства</w:t>
            </w:r>
            <w:r w:rsidRPr="0092415D">
              <w:rPr>
                <w:snapToGrid w:val="0"/>
              </w:rPr>
              <w:t xml:space="preserve"> </w:t>
            </w:r>
          </w:p>
          <w:p w:rsidRPr="0092415D" w:rsidR="005155F9" w:rsidP="00171A15" w:rsidRDefault="005155F9" w14:paraId="084D2D7B" w14:textId="0E5B144C">
            <w:pPr>
              <w:pStyle w:val="CBDTableNormal"/>
              <w:tabs>
                <w:tab w:val="clear" w:pos="567"/>
                <w:tab w:val="clear" w:pos="1134"/>
                <w:tab w:val="clear" w:pos="1701"/>
                <w:tab w:val="clear" w:pos="2268"/>
                <w:tab w:val="clear" w:pos="2835"/>
                <w:tab w:val="clear" w:pos="3402"/>
                <w:tab w:val="left" w:pos="458"/>
              </w:tabs>
              <w:spacing w:after="40"/>
              <w:rPr>
                <w:snapToGrid w:val="0"/>
              </w:rPr>
            </w:pPr>
            <w:r w:rsidRPr="0092415D">
              <w:rPr>
                <w:snapToGrid w:val="0"/>
              </w:rPr>
              <w:t xml:space="preserve">Пункт 6. </w:t>
            </w:r>
            <w:r w:rsidRPr="0092415D">
              <w:t>Создание потенциала и развитие и научно-техническое сотрудничество</w:t>
            </w:r>
          </w:p>
          <w:p w:rsidRPr="0092415D" w:rsidR="005155F9" w:rsidP="00171A15" w:rsidRDefault="005155F9" w14:paraId="587B6AB3" w14:textId="6FA5CCBE">
            <w:pPr>
              <w:pStyle w:val="CBDTableNormal"/>
              <w:tabs>
                <w:tab w:val="clear" w:pos="567"/>
                <w:tab w:val="clear" w:pos="1134"/>
                <w:tab w:val="clear" w:pos="1701"/>
                <w:tab w:val="clear" w:pos="2268"/>
                <w:tab w:val="clear" w:pos="2835"/>
                <w:tab w:val="clear" w:pos="3402"/>
                <w:tab w:val="left" w:pos="458"/>
              </w:tabs>
              <w:spacing w:after="40"/>
              <w:rPr>
                <w:snapToGrid w:val="0"/>
              </w:rPr>
            </w:pPr>
            <w:r w:rsidRPr="0092415D">
              <w:rPr>
                <w:snapToGrid w:val="0"/>
              </w:rPr>
              <w:t xml:space="preserve">Пункт 7. </w:t>
            </w:r>
            <w:r w:rsidRPr="0092415D">
              <w:t>Сотрудничество с другими конвенциями и международными организациями</w:t>
            </w:r>
          </w:p>
        </w:tc>
        <w:tc>
          <w:tcPr>
            <w:tcW w:w="2411" w:type="dxa"/>
            <w:tcMar/>
          </w:tcPr>
          <w:p w:rsidRPr="0092415D" w:rsidR="005155F9" w:rsidP="003E1976" w:rsidRDefault="005155F9" w14:paraId="11B9493F" w14:textId="5A6A0BD7">
            <w:pPr>
              <w:pStyle w:val="CBDTableNormal"/>
              <w:spacing w:after="40"/>
              <w:rPr>
                <w:snapToGrid w:val="0"/>
              </w:rPr>
            </w:pPr>
            <w:r w:rsidRPr="0092415D">
              <w:rPr>
                <w:snapToGrid w:val="0"/>
              </w:rPr>
              <w:t>Заседания контактных групп по мере необходимости</w:t>
            </w:r>
          </w:p>
        </w:tc>
      </w:tr>
      <w:tr w:rsidRPr="0092415D" w:rsidR="005155F9" w:rsidTr="45D05996" w14:paraId="364205CA" w14:textId="77777777">
        <w:tc>
          <w:tcPr>
            <w:tcW w:w="1555" w:type="dxa"/>
            <w:tcMar>
              <w:top w:w="115" w:type="dxa"/>
              <w:left w:w="115" w:type="dxa"/>
              <w:bottom w:w="115" w:type="dxa"/>
              <w:right w:w="115" w:type="dxa"/>
            </w:tcMar>
          </w:tcPr>
          <w:p w:rsidRPr="0092415D" w:rsidR="005155F9" w:rsidP="003E1976" w:rsidRDefault="005155F9" w14:paraId="6647D8B1" w14:textId="77777777">
            <w:pPr>
              <w:pStyle w:val="CBDTableNormal"/>
              <w:spacing w:after="40"/>
              <w:rPr>
                <w:b/>
                <w:snapToGrid w:val="0"/>
              </w:rPr>
            </w:pPr>
            <w:r w:rsidRPr="0092415D">
              <w:rPr>
                <w:b/>
                <w:snapToGrid w:val="0"/>
              </w:rPr>
              <w:t>Вторник</w:t>
            </w:r>
          </w:p>
          <w:p w:rsidRPr="0092415D" w:rsidR="005155F9" w:rsidP="003E1976" w:rsidRDefault="005155F9" w14:paraId="6D50DD4F" w14:textId="0A86143B">
            <w:pPr>
              <w:pStyle w:val="CBDTableNormal"/>
              <w:spacing w:after="40"/>
              <w:rPr>
                <w:snapToGrid w:val="0"/>
              </w:rPr>
            </w:pPr>
            <w:r w:rsidRPr="0092415D">
              <w:rPr>
                <w:snapToGrid w:val="0"/>
              </w:rPr>
              <w:t>17 февраля 2026 года</w:t>
            </w:r>
          </w:p>
        </w:tc>
        <w:tc>
          <w:tcPr>
            <w:tcW w:w="2693" w:type="dxa"/>
            <w:tcMar>
              <w:top w:w="115" w:type="dxa"/>
              <w:left w:w="115" w:type="dxa"/>
              <w:bottom w:w="115" w:type="dxa"/>
              <w:right w:w="115" w:type="dxa"/>
            </w:tcMar>
          </w:tcPr>
          <w:p w:rsidRPr="0092415D" w:rsidR="005155F9" w:rsidP="00266AAD" w:rsidRDefault="005155F9" w14:paraId="3F3F4690" w14:textId="775198A1">
            <w:pPr>
              <w:pStyle w:val="CBDTableNormal"/>
              <w:tabs>
                <w:tab w:val="clear" w:pos="567"/>
                <w:tab w:val="clear" w:pos="1134"/>
                <w:tab w:val="clear" w:pos="1701"/>
                <w:tab w:val="clear" w:pos="2268"/>
                <w:tab w:val="clear" w:pos="2835"/>
                <w:tab w:val="clear" w:pos="3402"/>
              </w:tabs>
              <w:spacing w:after="40"/>
              <w:rPr>
                <w:snapToGrid w:val="0"/>
              </w:rPr>
            </w:pPr>
            <w:r w:rsidRPr="0092415D">
              <w:rPr>
                <w:snapToGrid w:val="0"/>
              </w:rPr>
              <w:t>Пункт</w:t>
            </w:r>
            <w:r w:rsidRPr="00703EB3" w:rsidR="00410C0B">
              <w:rPr>
                <w:snapToGrid w:val="0"/>
              </w:rPr>
              <w:t xml:space="preserve"> </w:t>
            </w:r>
            <w:r w:rsidRPr="0092415D">
              <w:rPr>
                <w:snapToGrid w:val="0"/>
              </w:rPr>
              <w:t>8. Специализированные международные документы, регулирующие доступ к генетическим ресурсам и совместное использование выгод</w:t>
            </w:r>
            <w:r w:rsidR="001558E5">
              <w:rPr>
                <w:snapToGrid w:val="0"/>
              </w:rPr>
              <w:t>,</w:t>
            </w:r>
            <w:r w:rsidRPr="0092415D">
              <w:rPr>
                <w:snapToGrid w:val="0"/>
              </w:rPr>
              <w:t xml:space="preserve"> в контексте пункта 4 статьи 4 Нагойского протокола</w:t>
            </w:r>
          </w:p>
          <w:p w:rsidRPr="0092415D" w:rsidR="005155F9" w:rsidP="003E1976" w:rsidRDefault="005155F9" w14:paraId="06873853" w14:textId="790A1923">
            <w:pPr>
              <w:pStyle w:val="CBDTableNormal"/>
              <w:tabs>
                <w:tab w:val="left" w:pos="846"/>
              </w:tabs>
              <w:spacing w:after="40"/>
              <w:rPr>
                <w:snapToGrid w:val="0"/>
              </w:rPr>
            </w:pPr>
            <w:r w:rsidRPr="0092415D">
              <w:rPr>
                <w:snapToGrid w:val="0"/>
              </w:rPr>
              <w:t xml:space="preserve">Пункт 9. </w:t>
            </w:r>
            <w:r w:rsidRPr="0092415D">
              <w:t>Обзор эффективности процессов в рамках Конвенции и протоколов к ней</w:t>
            </w:r>
            <w:r w:rsidRPr="0092415D">
              <w:rPr>
                <w:snapToGrid w:val="0"/>
              </w:rPr>
              <w:t xml:space="preserve"> </w:t>
            </w:r>
          </w:p>
          <w:p w:rsidRPr="0092415D" w:rsidR="005155F9" w:rsidP="003E1976" w:rsidRDefault="005155F9" w14:paraId="5ADE122A" w14:textId="4739B4A4">
            <w:pPr>
              <w:pStyle w:val="CBDTableNormal"/>
              <w:tabs>
                <w:tab w:val="left" w:pos="846"/>
              </w:tabs>
              <w:spacing w:after="40"/>
            </w:pPr>
            <w:r w:rsidRPr="0092415D">
              <w:rPr>
                <w:snapToGrid w:val="0"/>
              </w:rPr>
              <w:t>Пункт</w:t>
            </w:r>
            <w:r w:rsidRPr="00703EB3" w:rsidR="00410C0B">
              <w:rPr>
                <w:snapToGrid w:val="0"/>
              </w:rPr>
              <w:t xml:space="preserve"> </w:t>
            </w:r>
            <w:r w:rsidRPr="0092415D">
              <w:rPr>
                <w:snapToGrid w:val="0"/>
              </w:rPr>
              <w:t xml:space="preserve">10. </w:t>
            </w:r>
            <w:r w:rsidRPr="0092415D">
              <w:t>Административные и бюджетные вопросы: функциональный обзор секретариата</w:t>
            </w:r>
          </w:p>
        </w:tc>
        <w:tc>
          <w:tcPr>
            <w:tcW w:w="2693" w:type="dxa"/>
            <w:tcMar>
              <w:top w:w="115" w:type="dxa"/>
              <w:left w:w="115" w:type="dxa"/>
              <w:bottom w:w="115" w:type="dxa"/>
              <w:right w:w="115" w:type="dxa"/>
            </w:tcMar>
          </w:tcPr>
          <w:p w:rsidRPr="0092415D" w:rsidR="005155F9" w:rsidP="003E1976" w:rsidRDefault="007709C9" w14:paraId="146BB671" w14:textId="05EFDED5">
            <w:pPr>
              <w:pStyle w:val="CBDTableNormal"/>
              <w:spacing w:after="40"/>
            </w:pPr>
            <w:r w:rsidRPr="0092415D">
              <w:rPr>
                <w:snapToGrid w:val="0"/>
              </w:rPr>
              <w:t>Заседания контактных групп по мере необходимости</w:t>
            </w:r>
            <w:r w:rsidRPr="0092415D">
              <w:t xml:space="preserve"> </w:t>
            </w:r>
          </w:p>
        </w:tc>
        <w:tc>
          <w:tcPr>
            <w:tcW w:w="2411" w:type="dxa"/>
            <w:tcMar/>
          </w:tcPr>
          <w:p w:rsidRPr="0092415D" w:rsidR="005155F9" w:rsidP="003E1976" w:rsidRDefault="007709C9" w14:paraId="0342D715" w14:textId="5A8544CC">
            <w:pPr>
              <w:pStyle w:val="CBDTableNormal"/>
              <w:spacing w:after="40"/>
            </w:pPr>
            <w:r w:rsidRPr="0092415D">
              <w:rPr>
                <w:snapToGrid w:val="0"/>
              </w:rPr>
              <w:t>Рассмотрение документов зала заседаний</w:t>
            </w:r>
          </w:p>
        </w:tc>
      </w:tr>
      <w:tr w:rsidRPr="0092415D" w:rsidR="005155F9" w:rsidTr="45D05996" w14:paraId="3CED8361" w14:textId="77777777">
        <w:tc>
          <w:tcPr>
            <w:tcW w:w="1555" w:type="dxa"/>
            <w:tcMar>
              <w:top w:w="115" w:type="dxa"/>
              <w:left w:w="115" w:type="dxa"/>
              <w:bottom w:w="115" w:type="dxa"/>
              <w:right w:w="115" w:type="dxa"/>
            </w:tcMar>
          </w:tcPr>
          <w:p w:rsidRPr="0092415D" w:rsidR="005155F9" w:rsidP="003E1976" w:rsidRDefault="005155F9" w14:paraId="1DE4E2F7" w14:textId="77777777">
            <w:pPr>
              <w:pStyle w:val="CBDTableNormal"/>
              <w:spacing w:after="40"/>
              <w:rPr>
                <w:b/>
                <w:bCs/>
                <w:snapToGrid w:val="0"/>
              </w:rPr>
            </w:pPr>
            <w:r w:rsidRPr="0092415D">
              <w:rPr>
                <w:b/>
                <w:snapToGrid w:val="0"/>
              </w:rPr>
              <w:t>Среда</w:t>
            </w:r>
          </w:p>
          <w:p w:rsidRPr="0092415D" w:rsidR="005155F9" w:rsidP="003E1976" w:rsidRDefault="005155F9" w14:paraId="70E3DA45" w14:textId="0CDF0F13">
            <w:pPr>
              <w:pStyle w:val="CBDTableNormal"/>
              <w:spacing w:after="40"/>
              <w:rPr>
                <w:snapToGrid w:val="0"/>
              </w:rPr>
            </w:pPr>
            <w:r w:rsidRPr="0092415D">
              <w:rPr>
                <w:snapToGrid w:val="0"/>
              </w:rPr>
              <w:t>18 февраля 2026 года</w:t>
            </w:r>
          </w:p>
        </w:tc>
        <w:tc>
          <w:tcPr>
            <w:tcW w:w="2693" w:type="dxa"/>
            <w:tcMar>
              <w:top w:w="115" w:type="dxa"/>
              <w:left w:w="115" w:type="dxa"/>
              <w:bottom w:w="115" w:type="dxa"/>
              <w:right w:w="115" w:type="dxa"/>
            </w:tcMar>
          </w:tcPr>
          <w:p w:rsidRPr="0092415D" w:rsidR="005155F9" w:rsidP="003E1976" w:rsidRDefault="00E00489" w14:paraId="70398046" w14:textId="45AD2F3C">
            <w:pPr>
              <w:pStyle w:val="CBDTableNormal"/>
              <w:spacing w:after="40"/>
              <w:rPr>
                <w:snapToGrid w:val="0"/>
              </w:rPr>
            </w:pPr>
            <w:r w:rsidRPr="0092415D">
              <w:rPr>
                <w:snapToGrid w:val="0"/>
              </w:rPr>
              <w:t>Заседания контактных групп по мере необходимости</w:t>
            </w:r>
            <w:r w:rsidRPr="0092415D">
              <w:t xml:space="preserve"> </w:t>
            </w:r>
          </w:p>
        </w:tc>
        <w:tc>
          <w:tcPr>
            <w:tcW w:w="2693" w:type="dxa"/>
            <w:tcMar>
              <w:top w:w="115" w:type="dxa"/>
              <w:left w:w="115" w:type="dxa"/>
              <w:bottom w:w="115" w:type="dxa"/>
              <w:right w:w="115" w:type="dxa"/>
            </w:tcMar>
          </w:tcPr>
          <w:p w:rsidRPr="0092415D" w:rsidR="005155F9" w:rsidP="003E1976" w:rsidRDefault="005155F9" w14:paraId="68FAFD55" w14:textId="716F258A">
            <w:pPr>
              <w:pStyle w:val="CBDTableNormal"/>
              <w:spacing w:after="40"/>
              <w:rPr>
                <w:snapToGrid w:val="0"/>
              </w:rPr>
            </w:pPr>
            <w:r w:rsidRPr="0092415D">
              <w:t>Рассмотрение документов зала заседаний</w:t>
            </w:r>
          </w:p>
        </w:tc>
        <w:tc>
          <w:tcPr>
            <w:tcW w:w="2411" w:type="dxa"/>
            <w:tcMar/>
          </w:tcPr>
          <w:p w:rsidRPr="0092415D" w:rsidR="005155F9" w:rsidP="003E1976" w:rsidRDefault="00433A40" w14:paraId="7FD5821D" w14:textId="1340A1E2">
            <w:pPr>
              <w:pStyle w:val="CBDTableNormal"/>
              <w:spacing w:after="40"/>
            </w:pPr>
            <w:r w:rsidRPr="00433A40">
              <w:rPr>
                <w:snapToGrid w:val="0"/>
              </w:rPr>
              <w:t>Рассмотрение документов зала заседаний</w:t>
            </w:r>
          </w:p>
        </w:tc>
      </w:tr>
      <w:tr w:rsidRPr="0092415D" w:rsidR="005155F9" w:rsidTr="45D05996" w14:paraId="747E9D25" w14:textId="77777777">
        <w:tc>
          <w:tcPr>
            <w:tcW w:w="1555" w:type="dxa"/>
            <w:tcMar>
              <w:top w:w="115" w:type="dxa"/>
              <w:left w:w="115" w:type="dxa"/>
              <w:bottom w:w="115" w:type="dxa"/>
              <w:right w:w="115" w:type="dxa"/>
            </w:tcMar>
          </w:tcPr>
          <w:p w:rsidRPr="0092415D" w:rsidR="005155F9" w:rsidP="003E1976" w:rsidRDefault="005155F9" w14:paraId="7ED5E8FD" w14:textId="77777777">
            <w:pPr>
              <w:pStyle w:val="CBDTableNormal"/>
              <w:spacing w:after="40"/>
              <w:rPr>
                <w:b/>
                <w:bCs/>
                <w:snapToGrid w:val="0"/>
              </w:rPr>
            </w:pPr>
            <w:r w:rsidRPr="0092415D">
              <w:rPr>
                <w:b/>
                <w:snapToGrid w:val="0"/>
              </w:rPr>
              <w:t>Четверг</w:t>
            </w:r>
          </w:p>
          <w:p w:rsidRPr="0092415D" w:rsidR="005155F9" w:rsidP="003E1976" w:rsidRDefault="005155F9" w14:paraId="6F58406C" w14:textId="3A133BE7">
            <w:pPr>
              <w:pStyle w:val="CBDTableNormal"/>
              <w:spacing w:after="40"/>
              <w:rPr>
                <w:snapToGrid w:val="0"/>
              </w:rPr>
            </w:pPr>
            <w:r w:rsidRPr="0092415D">
              <w:rPr>
                <w:snapToGrid w:val="0"/>
              </w:rPr>
              <w:t>19 февраля 2026 года</w:t>
            </w:r>
          </w:p>
        </w:tc>
        <w:tc>
          <w:tcPr>
            <w:tcW w:w="2693" w:type="dxa"/>
            <w:tcMar>
              <w:top w:w="115" w:type="dxa"/>
              <w:left w:w="115" w:type="dxa"/>
              <w:bottom w:w="115" w:type="dxa"/>
              <w:right w:w="115" w:type="dxa"/>
            </w:tcMar>
          </w:tcPr>
          <w:p w:rsidRPr="0092415D" w:rsidR="005155F9" w:rsidP="003E1976" w:rsidRDefault="005155F9" w14:paraId="27AC5BA8" w14:textId="2AC5F78A">
            <w:pPr>
              <w:pStyle w:val="CBDTableNormal"/>
              <w:spacing w:after="40"/>
              <w:rPr>
                <w:snapToGrid w:val="0"/>
              </w:rPr>
            </w:pPr>
            <w:r w:rsidRPr="0092415D">
              <w:t>Неурегулированные вопросы</w:t>
            </w:r>
          </w:p>
        </w:tc>
        <w:tc>
          <w:tcPr>
            <w:tcW w:w="2693" w:type="dxa"/>
            <w:tcMar>
              <w:top w:w="115" w:type="dxa"/>
              <w:left w:w="115" w:type="dxa"/>
              <w:bottom w:w="115" w:type="dxa"/>
              <w:right w:w="115" w:type="dxa"/>
            </w:tcMar>
          </w:tcPr>
          <w:p w:rsidRPr="0092415D" w:rsidR="005155F9" w:rsidP="00171A15" w:rsidRDefault="005155F9" w14:paraId="2D2E3D9A" w14:textId="64A9720A">
            <w:pPr>
              <w:pStyle w:val="CBDTableNormal"/>
              <w:tabs>
                <w:tab w:val="clear" w:pos="567"/>
                <w:tab w:val="clear" w:pos="1134"/>
                <w:tab w:val="clear" w:pos="1701"/>
                <w:tab w:val="clear" w:pos="2268"/>
                <w:tab w:val="clear" w:pos="2835"/>
                <w:tab w:val="clear" w:pos="3402"/>
                <w:tab w:val="left" w:pos="883"/>
              </w:tabs>
              <w:spacing w:after="40"/>
              <w:rPr>
                <w:snapToGrid w:val="0"/>
              </w:rPr>
            </w:pPr>
            <w:r w:rsidRPr="0092415D">
              <w:rPr>
                <w:snapToGrid w:val="0"/>
              </w:rPr>
              <w:t>Пункт 11. Прочие вопросы</w:t>
            </w:r>
          </w:p>
          <w:p w:rsidRPr="0092415D" w:rsidR="005155F9" w:rsidP="00171A15" w:rsidRDefault="005155F9" w14:paraId="61FE150F" w14:textId="5388E94F">
            <w:pPr>
              <w:pStyle w:val="CBDTableNormal"/>
              <w:tabs>
                <w:tab w:val="clear" w:pos="567"/>
                <w:tab w:val="clear" w:pos="1134"/>
                <w:tab w:val="clear" w:pos="1701"/>
                <w:tab w:val="clear" w:pos="2268"/>
                <w:tab w:val="clear" w:pos="2835"/>
                <w:tab w:val="clear" w:pos="3402"/>
                <w:tab w:val="left" w:pos="883"/>
              </w:tabs>
              <w:spacing w:after="40"/>
              <w:rPr>
                <w:snapToGrid w:val="0"/>
              </w:rPr>
            </w:pPr>
            <w:r w:rsidRPr="0092415D">
              <w:rPr>
                <w:snapToGrid w:val="0"/>
              </w:rPr>
              <w:t xml:space="preserve">Пункт 12. Принятие доклада </w:t>
            </w:r>
          </w:p>
          <w:p w:rsidRPr="0092415D" w:rsidR="005155F9" w:rsidP="00B02D9F" w:rsidRDefault="005155F9" w14:paraId="1A450F94" w14:textId="466B6952">
            <w:pPr>
              <w:pStyle w:val="CBDTableNormal"/>
              <w:tabs>
                <w:tab w:val="clear" w:pos="567"/>
                <w:tab w:val="clear" w:pos="1134"/>
                <w:tab w:val="clear" w:pos="1701"/>
                <w:tab w:val="clear" w:pos="2268"/>
                <w:tab w:val="clear" w:pos="2835"/>
                <w:tab w:val="clear" w:pos="3402"/>
                <w:tab w:val="left" w:pos="883"/>
              </w:tabs>
              <w:spacing w:after="40"/>
              <w:rPr>
                <w:snapToGrid w:val="0"/>
              </w:rPr>
            </w:pPr>
            <w:r w:rsidRPr="0092415D">
              <w:rPr>
                <w:snapToGrid w:val="0"/>
              </w:rPr>
              <w:t>Пункт 13. Закрытие совещания</w:t>
            </w:r>
          </w:p>
        </w:tc>
        <w:tc>
          <w:tcPr>
            <w:tcW w:w="2411" w:type="dxa"/>
            <w:tcMar/>
          </w:tcPr>
          <w:p w:rsidRPr="0092415D" w:rsidR="005155F9" w:rsidP="003E1976" w:rsidRDefault="00F96DB1" w14:paraId="6673688B" w14:textId="1FF9E492">
            <w:pPr>
              <w:pStyle w:val="CBDTableNormal"/>
              <w:spacing w:after="40"/>
            </w:pPr>
            <w:r w:rsidRPr="0092415D">
              <w:rPr>
                <w:snapToGrid w:val="0"/>
              </w:rPr>
              <w:t>неприменимо</w:t>
            </w:r>
          </w:p>
        </w:tc>
      </w:tr>
    </w:tbl>
    <w:p w:rsidRPr="0092415D" w:rsidR="006950BA" w:rsidRDefault="006950BA" w14:paraId="57C58ECB" w14:textId="77777777">
      <w:pPr>
        <w:pStyle w:val="CBDNormal"/>
        <w:jc w:val="center"/>
        <w:sectPr w:rsidRPr="0092415D" w:rsidR="006950BA" w:rsidSect="0019277F">
          <w:footerReference w:type="even" r:id="rId25"/>
          <w:footerReference w:type="default" r:id="rId26"/>
          <w:pgSz w:w="12240" w:h="15840" w:orient="portrait"/>
          <w:pgMar w:top="1134" w:right="1440" w:bottom="1134" w:left="1440" w:header="709" w:footer="709" w:gutter="0"/>
          <w:cols w:space="708"/>
          <w:docGrid w:linePitch="360"/>
        </w:sectPr>
      </w:pPr>
    </w:p>
    <w:p w:rsidRPr="0092415D" w:rsidR="00A111D1" w:rsidP="00B02D9F" w:rsidRDefault="00E20A2C" w14:paraId="502B4A6E" w14:textId="7578B67B">
      <w:pPr>
        <w:pStyle w:val="CBDAnnex"/>
      </w:pPr>
      <w:r w:rsidRPr="0092415D">
        <w:t xml:space="preserve">Приложение II </w:t>
      </w:r>
    </w:p>
    <w:p w:rsidRPr="0092415D" w:rsidR="00E8337C" w:rsidP="00B02D9F" w:rsidRDefault="00907E78" w14:paraId="123FC423" w14:textId="0F456137">
      <w:pPr>
        <w:pStyle w:val="CBDTitle"/>
      </w:pPr>
      <w:r w:rsidRPr="0092415D">
        <w:t>Экспериментальный порядок заблаговременного представления заявлений для шестого совещания Вспомогательного органа по осуществлению</w:t>
      </w:r>
      <w:r w:rsidR="00EF78E6">
        <w:t xml:space="preserve"> </w:t>
      </w:r>
    </w:p>
    <w:p w:rsidRPr="0092415D" w:rsidR="00E8337C" w:rsidP="00907E78" w:rsidRDefault="0022263D" w14:paraId="33542CA3" w14:textId="6A4DC876">
      <w:pPr>
        <w:pStyle w:val="CBDH1"/>
      </w:pPr>
      <w:r w:rsidRPr="0092415D">
        <w:t>I.</w:t>
      </w:r>
      <w:r w:rsidRPr="0092415D">
        <w:tab/>
      </w:r>
      <w:r w:rsidRPr="0092415D">
        <w:t>Введение</w:t>
      </w:r>
    </w:p>
    <w:p w:rsidRPr="0092415D" w:rsidR="00E8337C" w:rsidP="00907E78" w:rsidRDefault="00E8337C" w14:paraId="3F412C5A" w14:textId="71DC9A58">
      <w:pPr>
        <w:pStyle w:val="CBDNormalNumber"/>
        <w:numPr>
          <w:ilvl w:val="0"/>
          <w:numId w:val="10"/>
        </w:numPr>
      </w:pPr>
      <w:r w:rsidRPr="0092415D">
        <w:t xml:space="preserve">В пункте 3 решения </w:t>
      </w:r>
      <w:hyperlink w:history="1" r:id="rId27">
        <w:r w:rsidRPr="0092415D">
          <w:rPr>
            <w:rStyle w:val="Lienhypertexte"/>
          </w:rPr>
          <w:t>16/25</w:t>
        </w:r>
      </w:hyperlink>
      <w:r w:rsidRPr="0092415D">
        <w:t xml:space="preserve"> Конференции Сторон Конвенции о биологическом разнообразии, а также в соответствующих решениях Конференции Сторон, выступающей в качестве совещания Сторон Картахенского протокола по биобезопасности к Конвенции о биологическом разнообразии,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92415D" w:rsidR="00591EAF">
        <w:rPr>
          <w:rStyle w:val="Appelnotedebasdep"/>
        </w:rPr>
        <w:footnoteReference w:id="10"/>
      </w:r>
      <w:r w:rsidR="005764D1">
        <w:t>,</w:t>
      </w:r>
      <w:r w:rsidRPr="0092415D">
        <w:t xml:space="preserve"> Исполнительному секретарю совместно с бюро было поручено продолжать изучать и использовать, по мере необходимости, соответствующие пути и способы обеспечивать заблаговременную подготовку совещаний, включая варианты по оптимизации повесток дня,</w:t>
      </w:r>
      <w:r w:rsidRPr="0092415D" w:rsidR="00102DF8">
        <w:t xml:space="preserve"> </w:t>
      </w:r>
      <w:r w:rsidRPr="0092415D">
        <w:t>заблаговременный коллегиальный обзор документов и заблаговременное представление заявлений.</w:t>
      </w:r>
    </w:p>
    <w:p w:rsidRPr="0092415D" w:rsidR="00A723B0" w:rsidP="00B02D9F" w:rsidRDefault="00E8337C" w14:paraId="3860805B" w14:textId="4C0F7644">
      <w:pPr>
        <w:pStyle w:val="CBDNormalNumber"/>
        <w:numPr>
          <w:ilvl w:val="0"/>
          <w:numId w:val="10"/>
        </w:numPr>
        <w:rPr>
          <w:rFonts w:eastAsia="Aptos" w:asciiTheme="majorBidi" w:hAnsiTheme="majorBidi" w:cstheme="majorBidi"/>
          <w:kern w:val="2"/>
          <w14:ligatures w14:val="standardContextual"/>
        </w:rPr>
      </w:pPr>
      <w:r w:rsidRPr="0092415D">
        <w:rPr>
          <w:rFonts w:asciiTheme="majorBidi" w:hAnsiTheme="majorBidi"/>
        </w:rPr>
        <w:t xml:space="preserve">На своем совещании, состоявшемся в Панаме </w:t>
      </w:r>
      <w:r w:rsidR="009A4137">
        <w:rPr>
          <w:rFonts w:asciiTheme="majorBidi" w:hAnsiTheme="majorBidi"/>
        </w:rPr>
        <w:t xml:space="preserve">с </w:t>
      </w:r>
      <w:r w:rsidRPr="0092415D">
        <w:rPr>
          <w:rFonts w:asciiTheme="majorBidi" w:hAnsiTheme="majorBidi"/>
        </w:rPr>
        <w:t xml:space="preserve">31 октября </w:t>
      </w:r>
      <w:r w:rsidR="009A4137">
        <w:rPr>
          <w:rFonts w:asciiTheme="majorBidi" w:hAnsiTheme="majorBidi"/>
        </w:rPr>
        <w:t>по</w:t>
      </w:r>
      <w:r w:rsidRPr="0092415D">
        <w:rPr>
          <w:rFonts w:asciiTheme="majorBidi" w:hAnsiTheme="majorBidi"/>
        </w:rPr>
        <w:t xml:space="preserve"> 1 ноября 2025 года, бюро Конференции Сторон приняло решение о применении экспериментального порядка заблаговременного представления заявлений в отношении всех основных пунктов повестки дня шестого совещания Вспомогательного органа по осуществлению с учетом опыта применения аналогичного порядка в ходе 27-го совещания Вспомогательного органа по научным, техническим и технологическим консультациям.</w:t>
      </w:r>
    </w:p>
    <w:p w:rsidRPr="0092415D" w:rsidR="00A723B0" w:rsidP="00B02D9F" w:rsidRDefault="00A723B0" w14:paraId="78ED17F1" w14:textId="43224C29">
      <w:pPr>
        <w:pStyle w:val="CBDNormalNumber"/>
        <w:numPr>
          <w:ilvl w:val="0"/>
          <w:numId w:val="10"/>
        </w:numPr>
        <w:rPr>
          <w:rFonts w:eastAsia="Aptos" w:asciiTheme="majorBidi" w:hAnsiTheme="majorBidi" w:cstheme="majorBidi"/>
          <w:kern w:val="2"/>
          <w:sz w:val="24"/>
          <w:szCs w:val="24"/>
          <w14:ligatures w14:val="standardContextual"/>
        </w:rPr>
      </w:pPr>
      <w:r w:rsidRPr="0092415D">
        <w:t>В данном контексте соответствующий порядок представляет собой неофициальный и добровольный процесс экспериментального характера, который не создает предпосылок для принятия решения на 17-м совещании Конференции Сторон по вопросам, связанным с заблаговременным представлением заявлений.</w:t>
      </w:r>
      <w:r w:rsidR="00C736B4">
        <w:t xml:space="preserve"> </w:t>
      </w:r>
    </w:p>
    <w:p w:rsidRPr="0092415D" w:rsidR="00E8337C" w:rsidP="00B02D9F" w:rsidRDefault="0022263D" w14:paraId="4A83002F" w14:textId="436D76B0">
      <w:pPr>
        <w:pStyle w:val="CBDH1"/>
      </w:pPr>
      <w:r w:rsidRPr="0092415D">
        <w:t>II.</w:t>
      </w:r>
      <w:r w:rsidRPr="0092415D">
        <w:tab/>
      </w:r>
      <w:r w:rsidRPr="0092415D">
        <w:t>Задачи соответствующего порядка</w:t>
      </w:r>
    </w:p>
    <w:p w:rsidRPr="0092415D" w:rsidR="00E8337C" w:rsidP="00B02D9F" w:rsidRDefault="00E8337C" w14:paraId="1EBAA40F" w14:textId="708248E8">
      <w:pPr>
        <w:pStyle w:val="CBDNormalNumber"/>
        <w:numPr>
          <w:ilvl w:val="0"/>
          <w:numId w:val="10"/>
        </w:numPr>
        <w:rPr>
          <w:rFonts w:eastAsia="Aptos" w:asciiTheme="majorBidi" w:hAnsiTheme="majorBidi" w:cstheme="majorBidi"/>
          <w:b/>
          <w:bCs/>
          <w:kern w:val="2"/>
          <w14:ligatures w14:val="standardContextual"/>
        </w:rPr>
      </w:pPr>
      <w:r w:rsidRPr="0092415D">
        <w:rPr>
          <w:rFonts w:asciiTheme="majorBidi" w:hAnsiTheme="majorBidi"/>
        </w:rPr>
        <w:t>Данн</w:t>
      </w:r>
      <w:r w:rsidR="007675F3">
        <w:rPr>
          <w:rFonts w:asciiTheme="majorBidi" w:hAnsiTheme="majorBidi"/>
        </w:rPr>
        <w:t>ая</w:t>
      </w:r>
      <w:r w:rsidRPr="0092415D">
        <w:rPr>
          <w:rFonts w:asciiTheme="majorBidi" w:hAnsiTheme="majorBidi"/>
        </w:rPr>
        <w:t xml:space="preserve"> </w:t>
      </w:r>
      <w:r w:rsidR="007675F3">
        <w:rPr>
          <w:rFonts w:asciiTheme="majorBidi" w:hAnsiTheme="majorBidi"/>
        </w:rPr>
        <w:t>система</w:t>
      </w:r>
      <w:r w:rsidRPr="0092415D">
        <w:rPr>
          <w:rFonts w:asciiTheme="majorBidi" w:hAnsiTheme="majorBidi"/>
        </w:rPr>
        <w:t xml:space="preserve"> призван</w:t>
      </w:r>
      <w:r w:rsidR="00E416BD">
        <w:rPr>
          <w:rFonts w:asciiTheme="majorBidi" w:hAnsiTheme="majorBidi"/>
        </w:rPr>
        <w:t>а</w:t>
      </w:r>
      <w:r w:rsidRPr="0092415D">
        <w:rPr>
          <w:rFonts w:asciiTheme="majorBidi" w:hAnsiTheme="majorBidi"/>
        </w:rPr>
        <w:t xml:space="preserve"> содействовать эффективной подготовке и взаимодействию между Сторонами и наблюдателями, позволяя им на неофициальной основе представлять в письменном виде свои соображения или замечания по проектам рекомендаций, содержащимся в соответствующих предсессионных документах, до начала официальных обсуждений. Цель заключается в сокращении времени, затрачиваемого на первое чтение соответствующих пунктов повестки дня в ходе их официального рассмотрения на совещании.</w:t>
      </w:r>
    </w:p>
    <w:p w:rsidRPr="0092415D" w:rsidR="00E8337C" w:rsidP="00B02D9F" w:rsidRDefault="0022263D" w14:paraId="79349ADA" w14:textId="766B8DFB">
      <w:pPr>
        <w:pStyle w:val="CBDH1"/>
      </w:pPr>
      <w:r w:rsidRPr="0092415D">
        <w:t>III.</w:t>
      </w:r>
      <w:r w:rsidRPr="0092415D">
        <w:tab/>
      </w:r>
      <w:r w:rsidRPr="0092415D">
        <w:t>Применение соответствующего порядка</w:t>
      </w:r>
    </w:p>
    <w:p w:rsidRPr="0092415D" w:rsidR="00E8337C" w:rsidP="00B02D9F" w:rsidRDefault="00E8337C" w14:paraId="7225A15E" w14:textId="4C948EC4">
      <w:pPr>
        <w:pStyle w:val="CBDNormalNumber"/>
        <w:numPr>
          <w:ilvl w:val="0"/>
          <w:numId w:val="10"/>
        </w:numPr>
        <w:rPr>
          <w:rFonts w:eastAsia="Aptos" w:asciiTheme="majorBidi" w:hAnsiTheme="majorBidi" w:cstheme="majorBidi"/>
          <w:kern w:val="2"/>
          <w14:ligatures w14:val="standardContextual"/>
        </w:rPr>
      </w:pPr>
      <w:r w:rsidRPr="0092415D">
        <w:rPr>
          <w:rFonts w:asciiTheme="majorBidi" w:hAnsiTheme="majorBidi"/>
        </w:rPr>
        <w:t>Настоящий порядок будет применяться на экспериментальной основе к следующим пунктам повестки дня</w:t>
      </w:r>
      <w:r w:rsidRPr="0092415D">
        <w:rPr>
          <w:rFonts w:eastAsia="Aptos" w:asciiTheme="majorBidi" w:hAnsiTheme="majorBidi" w:cstheme="majorBidi"/>
          <w:kern w:val="2"/>
          <w:vertAlign w:val="superscript"/>
        </w:rPr>
        <w:footnoteReference w:id="11"/>
      </w:r>
      <w:r w:rsidRPr="0092415D">
        <w:rPr>
          <w:rFonts w:asciiTheme="majorBidi" w:hAnsiTheme="majorBidi"/>
        </w:rPr>
        <w:t xml:space="preserve">: </w:t>
      </w:r>
    </w:p>
    <w:p w:rsidRPr="0092415D" w:rsidR="00E8337C" w:rsidP="00B02D9F" w:rsidRDefault="00E8337C" w14:paraId="28AC7CE0" w14:textId="7F293596">
      <w:pPr>
        <w:pStyle w:val="CBDNormalNumber"/>
        <w:numPr>
          <w:ilvl w:val="1"/>
          <w:numId w:val="7"/>
        </w:numPr>
      </w:pPr>
      <w:r w:rsidRPr="0092415D">
        <w:t>Мобилизация ресурсов и механизм финансирования (пункт 3 повестки дня);</w:t>
      </w:r>
    </w:p>
    <w:p w:rsidRPr="0092415D" w:rsidR="00E8337C" w:rsidP="00B02D9F" w:rsidRDefault="00E8337C" w14:paraId="7C3F5C3D" w14:textId="06A5CFD1">
      <w:pPr>
        <w:pStyle w:val="CBDNormalNumber"/>
        <w:numPr>
          <w:ilvl w:val="1"/>
          <w:numId w:val="7"/>
        </w:numPr>
      </w:pPr>
      <w:r w:rsidRPr="0092415D">
        <w:t>Планирование, мониторинг, отчетность и обзор: 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 (пункт 4 повестки дня);</w:t>
      </w:r>
    </w:p>
    <w:p w:rsidRPr="0092415D" w:rsidR="00E8337C" w:rsidP="00B02D9F" w:rsidRDefault="00E8337C" w14:paraId="25C27936" w14:textId="1464E9E8">
      <w:pPr>
        <w:pStyle w:val="CBDNormalNumber"/>
        <w:numPr>
          <w:ilvl w:val="1"/>
          <w:numId w:val="7"/>
        </w:numPr>
      </w:pPr>
      <w:r w:rsidRPr="0092415D">
        <w:t>План действий по обеспечению гендерного равенства (пункт 5 повестки дня);</w:t>
      </w:r>
    </w:p>
    <w:p w:rsidRPr="0092415D" w:rsidR="00E8337C" w:rsidP="00B02D9F" w:rsidRDefault="00E8337C" w14:paraId="30B0D992" w14:textId="4DA86DF8">
      <w:pPr>
        <w:pStyle w:val="CBDNormalNumber"/>
        <w:numPr>
          <w:ilvl w:val="1"/>
          <w:numId w:val="7"/>
        </w:numPr>
      </w:pPr>
      <w:r w:rsidRPr="0092415D">
        <w:t>Создание потенциала и развитие и научно-техническое сотрудничество (пункт 6 повестки дня);</w:t>
      </w:r>
    </w:p>
    <w:p w:rsidRPr="0092415D" w:rsidR="00E8337C" w:rsidP="00B02D9F" w:rsidRDefault="00E8337C" w14:paraId="0B977E6C" w14:textId="0C847A02">
      <w:pPr>
        <w:pStyle w:val="CBDNormalNumber"/>
        <w:numPr>
          <w:ilvl w:val="1"/>
          <w:numId w:val="7"/>
        </w:numPr>
      </w:pPr>
      <w:r w:rsidRPr="0092415D">
        <w:t>Сотрудничество с другими конвенциями и международными организациями (пункт 7 повестки дня);</w:t>
      </w:r>
    </w:p>
    <w:p w:rsidRPr="0092415D" w:rsidR="00E8337C" w:rsidP="00B02D9F" w:rsidRDefault="00E8337C" w14:paraId="4DD9BA8B" w14:textId="4C7AD61D">
      <w:pPr>
        <w:pStyle w:val="CBDNormalNumber"/>
        <w:numPr>
          <w:ilvl w:val="1"/>
          <w:numId w:val="7"/>
        </w:numPr>
      </w:pPr>
      <w:r w:rsidRPr="0092415D">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 (пункт 8 повестки дня);</w:t>
      </w:r>
    </w:p>
    <w:p w:rsidRPr="0092415D" w:rsidR="00E8337C" w:rsidP="00B02D9F" w:rsidRDefault="00E8337C" w14:paraId="34D64103" w14:textId="044FBDD8">
      <w:pPr>
        <w:pStyle w:val="CBDNormalNumber"/>
        <w:numPr>
          <w:ilvl w:val="1"/>
          <w:numId w:val="7"/>
        </w:numPr>
      </w:pPr>
      <w:r w:rsidRPr="0092415D">
        <w:t>Обзор эффективности процессов в рамках Конвенции и протоколов к ней (пункт 9 повестки дня);</w:t>
      </w:r>
    </w:p>
    <w:p w:rsidRPr="0092415D" w:rsidR="00E8337C" w:rsidP="00B02D9F" w:rsidRDefault="00E8337C" w14:paraId="1A88D3C1" w14:textId="6D913AB9">
      <w:pPr>
        <w:pStyle w:val="CBDNormalNumber"/>
        <w:numPr>
          <w:ilvl w:val="1"/>
          <w:numId w:val="7"/>
        </w:numPr>
      </w:pPr>
      <w:r w:rsidRPr="0092415D">
        <w:t xml:space="preserve">Административные и бюджетные вопросы: функциональный обзор секретариата (пункт 10 повестки дня). </w:t>
      </w:r>
    </w:p>
    <w:p w:rsidRPr="0092415D" w:rsidR="00E8337C" w:rsidP="00B02D9F" w:rsidRDefault="001B7BC6" w14:paraId="0E30476B" w14:textId="1A4CD068">
      <w:pPr>
        <w:pStyle w:val="CBDH1"/>
      </w:pPr>
      <w:r w:rsidRPr="0092415D">
        <w:t>IV.</w:t>
      </w:r>
      <w:r w:rsidRPr="0092415D">
        <w:tab/>
      </w:r>
      <w:r w:rsidRPr="0092415D">
        <w:t>Процесс</w:t>
      </w:r>
    </w:p>
    <w:p w:rsidRPr="0092415D" w:rsidR="00E8337C" w:rsidP="00B02D9F" w:rsidRDefault="00E8337C" w14:paraId="6D307F1A" w14:textId="11EA561F">
      <w:pPr>
        <w:pStyle w:val="CBDNormalNumber"/>
        <w:numPr>
          <w:ilvl w:val="0"/>
          <w:numId w:val="10"/>
        </w:numPr>
        <w:rPr>
          <w:rFonts w:eastAsia="Aptos" w:asciiTheme="majorBidi" w:hAnsiTheme="majorBidi" w:cstheme="majorBidi"/>
          <w:kern w:val="2"/>
          <w14:ligatures w14:val="standardContextual"/>
        </w:rPr>
      </w:pPr>
      <w:r w:rsidRPr="0092415D">
        <w:t>Секретариат направит уведомление не менее чем за один месяц до открытия совещания, предлагая и призывая все зарегистрированные для участия в настоящем совещании Стороны и наблюдателей представить на добровольной и неофициальной основе заявления, касающиеся рекомендаций, содержащихся в предсессионных документах по вышеперечисленным пунктам повестки дня, не позднее 23 ч 59 мин по римскому времени 15 февраля 2026 года.</w:t>
      </w:r>
    </w:p>
    <w:p w:rsidRPr="0092415D" w:rsidR="00E8337C" w:rsidP="00B02D9F" w:rsidRDefault="00E8337C" w14:paraId="7889013A" w14:textId="6780BEE8">
      <w:pPr>
        <w:pStyle w:val="CBDNormalNumber"/>
        <w:numPr>
          <w:ilvl w:val="0"/>
          <w:numId w:val="10"/>
        </w:numPr>
        <w:rPr>
          <w:rFonts w:eastAsia="Aptos" w:asciiTheme="majorBidi" w:hAnsiTheme="majorBidi" w:cstheme="majorBidi"/>
          <w:kern w:val="2"/>
          <w14:ligatures w14:val="standardContextual"/>
        </w:rPr>
      </w:pPr>
      <w:r w:rsidRPr="0092415D">
        <w:t>В уведомлении будут содержаться указания по загрузке заявлений через интернет-портал (или направлени</w:t>
      </w:r>
      <w:r w:rsidR="008720A6">
        <w:t>ю</w:t>
      </w:r>
      <w:r w:rsidRPr="0092415D">
        <w:t xml:space="preserve"> по электронной почте</w:t>
      </w:r>
      <w:r w:rsidRPr="0092415D">
        <w:rPr>
          <w:rFonts w:eastAsia="Aptos" w:asciiTheme="majorBidi" w:hAnsiTheme="majorBidi" w:cstheme="majorBidi"/>
          <w:kern w:val="2"/>
          <w:vertAlign w:val="superscript"/>
        </w:rPr>
        <w:footnoteReference w:id="12"/>
      </w:r>
      <w:r w:rsidRPr="0092415D">
        <w:t>) на любом из шести официальных языков Организации Объединенных Наций.</w:t>
      </w:r>
      <w:r w:rsidRPr="0092415D">
        <w:rPr>
          <w:rFonts w:asciiTheme="majorBidi" w:hAnsiTheme="majorBidi"/>
        </w:rPr>
        <w:t xml:space="preserve"> Заявления будут опубликованы в том виде, в каком они представлены, без редактирования или перевода со стороны секретариата. Стороны и наблюдатели</w:t>
      </w:r>
      <w:r w:rsidRPr="0092415D">
        <w:rPr>
          <w:rFonts w:asciiTheme="majorBidi" w:hAnsiTheme="majorBidi"/>
          <w:b/>
        </w:rPr>
        <w:t xml:space="preserve"> </w:t>
      </w:r>
      <w:r w:rsidRPr="0092415D">
        <w:rPr>
          <w:rFonts w:asciiTheme="majorBidi" w:hAnsiTheme="majorBidi"/>
        </w:rPr>
        <w:t>могут представлять заявления на любом из этих языков. Все заявления, опубликованные на интернет-портале, будут доступны для ознакомления всем Сторонам и наблюдателям.</w:t>
      </w:r>
    </w:p>
    <w:p w:rsidRPr="0092415D" w:rsidR="00E8337C" w:rsidP="00B02D9F" w:rsidRDefault="00E8337C" w14:paraId="3B0106C8" w14:textId="5FF21025">
      <w:pPr>
        <w:pStyle w:val="CBDNormalNumber"/>
        <w:numPr>
          <w:ilvl w:val="0"/>
          <w:numId w:val="10"/>
        </w:numPr>
        <w:rPr>
          <w:rFonts w:eastAsia="Aptos" w:asciiTheme="majorBidi" w:hAnsiTheme="majorBidi" w:cstheme="majorBidi"/>
          <w:kern w:val="2"/>
          <w14:ligatures w14:val="standardContextual"/>
        </w:rPr>
      </w:pPr>
      <w:r w:rsidRPr="0092415D">
        <w:rPr>
          <w:rFonts w:asciiTheme="majorBidi" w:hAnsiTheme="majorBidi"/>
        </w:rPr>
        <w:t xml:space="preserve">В уведомлении авторам заявлений будет предложено указать на первой странице заявления название страны или организации, а также соответствующий пункт повестки дня.  </w:t>
      </w:r>
      <w:r w:rsidRPr="0092415D">
        <w:t xml:space="preserve">Кроме того, на портале для подачи заявлений </w:t>
      </w:r>
      <w:r w:rsidR="0007409B">
        <w:t xml:space="preserve">предусмотрено </w:t>
      </w:r>
      <w:r w:rsidRPr="0092415D">
        <w:t>выпадающе</w:t>
      </w:r>
      <w:r w:rsidR="001A5DB3">
        <w:t>е</w:t>
      </w:r>
      <w:r w:rsidRPr="0092415D">
        <w:t xml:space="preserve"> меню </w:t>
      </w:r>
      <w:r w:rsidR="0007409B">
        <w:t>для</w:t>
      </w:r>
      <w:r w:rsidR="001A5DB3">
        <w:t xml:space="preserve"> </w:t>
      </w:r>
      <w:r w:rsidRPr="0092415D">
        <w:t>выб</w:t>
      </w:r>
      <w:r w:rsidR="0007409B">
        <w:t>ора</w:t>
      </w:r>
      <w:r w:rsidRPr="0092415D">
        <w:t xml:space="preserve"> стран</w:t>
      </w:r>
      <w:r w:rsidR="0007409B">
        <w:t>ы</w:t>
      </w:r>
      <w:r w:rsidRPr="0092415D">
        <w:t xml:space="preserve"> или организаци</w:t>
      </w:r>
      <w:r w:rsidR="0007409B">
        <w:t>и</w:t>
      </w:r>
      <w:r w:rsidRPr="0092415D">
        <w:t xml:space="preserve">, </w:t>
      </w:r>
      <w:r w:rsidR="0007409B">
        <w:t xml:space="preserve">а также </w:t>
      </w:r>
      <w:r w:rsidRPr="0092415D">
        <w:t>отдельные поля для подачи заявлений по каждому пункту повестки дня.</w:t>
      </w:r>
      <w:r w:rsidRPr="0092415D">
        <w:rPr>
          <w:rFonts w:asciiTheme="majorBidi" w:hAnsiTheme="majorBidi"/>
        </w:rPr>
        <w:t xml:space="preserve"> </w:t>
      </w:r>
    </w:p>
    <w:p w:rsidRPr="0092415D" w:rsidR="00E8337C" w:rsidP="00B02D9F" w:rsidRDefault="001B7BC6" w14:paraId="316DF21C" w14:textId="59CC7956">
      <w:pPr>
        <w:pStyle w:val="CBDH1"/>
      </w:pPr>
      <w:r w:rsidRPr="0092415D">
        <w:t xml:space="preserve">V. </w:t>
      </w:r>
      <w:r w:rsidR="00DE3BEE">
        <w:tab/>
      </w:r>
      <w:r w:rsidRPr="0092415D">
        <w:t xml:space="preserve">Итоги процесса заблаговременного представления заявлений </w:t>
      </w:r>
    </w:p>
    <w:p w:rsidRPr="0092415D" w:rsidR="00E8337C" w:rsidP="00B02D9F" w:rsidRDefault="001B7BC6" w14:paraId="61EDF2A3" w14:textId="4C118771">
      <w:pPr>
        <w:pStyle w:val="CBDH2"/>
      </w:pPr>
      <w:r w:rsidRPr="0092415D">
        <w:t>A.</w:t>
      </w:r>
      <w:r w:rsidRPr="0092415D">
        <w:tab/>
      </w:r>
      <w:r w:rsidRPr="0092415D">
        <w:t>Информационные документы</w:t>
      </w:r>
    </w:p>
    <w:p w:rsidRPr="0092415D" w:rsidR="00E8337C" w:rsidP="00B02D9F" w:rsidRDefault="00E8337C" w14:paraId="00824896" w14:textId="7F06FE84">
      <w:pPr>
        <w:pStyle w:val="CBDNormalNumber"/>
        <w:numPr>
          <w:ilvl w:val="0"/>
          <w:numId w:val="10"/>
        </w:numPr>
        <w:rPr>
          <w:rFonts w:eastAsia="Aptos" w:asciiTheme="majorBidi" w:hAnsiTheme="majorBidi" w:cstheme="majorBidi"/>
          <w:kern w:val="2"/>
          <w14:ligatures w14:val="standardContextual"/>
        </w:rPr>
      </w:pPr>
      <w:r w:rsidRPr="0092415D">
        <w:rPr>
          <w:rFonts w:asciiTheme="majorBidi" w:hAnsiTheme="majorBidi"/>
        </w:rPr>
        <w:t>Секретариат подготовит информационный документ по пункт</w:t>
      </w:r>
      <w:r w:rsidR="00C875CB">
        <w:rPr>
          <w:rFonts w:asciiTheme="majorBidi" w:hAnsiTheme="majorBidi"/>
        </w:rPr>
        <w:t>ам</w:t>
      </w:r>
      <w:r w:rsidRPr="0092415D">
        <w:rPr>
          <w:rFonts w:asciiTheme="majorBidi" w:hAnsiTheme="majorBidi"/>
        </w:rPr>
        <w:t xml:space="preserve"> повестки дня, по котор</w:t>
      </w:r>
      <w:r w:rsidR="00C875CB">
        <w:rPr>
          <w:rFonts w:asciiTheme="majorBidi" w:hAnsiTheme="majorBidi"/>
        </w:rPr>
        <w:t>ым</w:t>
      </w:r>
      <w:r w:rsidRPr="0092415D">
        <w:rPr>
          <w:rFonts w:asciiTheme="majorBidi" w:hAnsiTheme="majorBidi"/>
        </w:rPr>
        <w:t xml:space="preserve"> </w:t>
      </w:r>
      <w:r w:rsidR="006E7312">
        <w:rPr>
          <w:rFonts w:asciiTheme="majorBidi" w:hAnsiTheme="majorBidi"/>
        </w:rPr>
        <w:t>будут</w:t>
      </w:r>
      <w:r w:rsidRPr="0092415D">
        <w:rPr>
          <w:rFonts w:asciiTheme="majorBidi" w:hAnsiTheme="majorBidi"/>
        </w:rPr>
        <w:t xml:space="preserve"> получены заявления в ходе неофициального процесса. </w:t>
      </w:r>
      <w:r w:rsidRPr="0092415D">
        <w:t>В информационном документе будет приведен список представивших заявления Сторон и наблюдателей, а также ссылка на интернет-портал с заявлениями. Документ будет представлен на настоящем совещании</w:t>
      </w:r>
      <w:r w:rsidRPr="0092415D" w:rsidR="00E74E78">
        <w:rPr>
          <w:rStyle w:val="Appelnotedebasdep"/>
          <w:rFonts w:eastAsia="Aptos" w:asciiTheme="majorBidi" w:hAnsiTheme="majorBidi" w:cstheme="majorBidi"/>
          <w:kern w:val="2"/>
        </w:rPr>
        <w:footnoteReference w:id="13"/>
      </w:r>
      <w:r w:rsidRPr="0092415D">
        <w:t xml:space="preserve"> без ущерба для официальных обсуждений при рассмотрении соответствующих пунктов повестки дня.</w:t>
      </w:r>
    </w:p>
    <w:p w:rsidRPr="0092415D" w:rsidR="00E8337C" w:rsidP="00B02D9F" w:rsidRDefault="001B7BC6" w14:paraId="21274F27" w14:textId="0F147F4C">
      <w:pPr>
        <w:pStyle w:val="CBDH2"/>
        <w:rPr>
          <w:b w:val="0"/>
        </w:rPr>
      </w:pPr>
      <w:r w:rsidRPr="0092415D">
        <w:t>B.</w:t>
      </w:r>
      <w:r w:rsidRPr="0092415D">
        <w:tab/>
      </w:r>
      <w:r w:rsidRPr="0092415D">
        <w:t>Внесение заявлений в протокол</w:t>
      </w:r>
    </w:p>
    <w:p w:rsidRPr="0092415D" w:rsidR="00E8337C" w:rsidP="00B02D9F" w:rsidRDefault="00E8337C" w14:paraId="7C144888" w14:textId="7556D85A">
      <w:pPr>
        <w:pStyle w:val="CBDNormalNumber"/>
        <w:numPr>
          <w:ilvl w:val="0"/>
          <w:numId w:val="10"/>
        </w:numPr>
        <w:rPr>
          <w:rFonts w:eastAsia="Aptos" w:asciiTheme="majorBidi" w:hAnsiTheme="majorBidi" w:cstheme="majorBidi"/>
          <w:kern w:val="2"/>
          <w14:ligatures w14:val="standardContextual"/>
        </w:rPr>
      </w:pPr>
      <w:r w:rsidRPr="0092415D">
        <w:t xml:space="preserve">При первом чтении соответствующего пункта повестки дня на совещании Председатель объявит, что при отсутствии возражений со стороны перечисленных в информационном документе и присутствующих на совещании Сторон и наблюдателей их заявления будут официально внесены в протокол. </w:t>
      </w:r>
      <w:r w:rsidRPr="0092415D">
        <w:rPr>
          <w:rFonts w:asciiTheme="majorBidi" w:hAnsiTheme="majorBidi"/>
        </w:rPr>
        <w:t xml:space="preserve">Председатель предложит Сторонам при желании поддержать заявления, представленные конкретными наблюдателями. </w:t>
      </w:r>
    </w:p>
    <w:p w:rsidRPr="0092415D" w:rsidR="00E8337C" w:rsidP="00B02D9F" w:rsidRDefault="00E8337C" w14:paraId="312F8C0C" w14:textId="482108BD">
      <w:pPr>
        <w:pStyle w:val="CBDNormalNumber"/>
        <w:numPr>
          <w:ilvl w:val="0"/>
          <w:numId w:val="10"/>
        </w:numPr>
        <w:rPr>
          <w:rFonts w:eastAsia="Aptos" w:asciiTheme="majorBidi" w:hAnsiTheme="majorBidi" w:cstheme="majorBidi"/>
          <w:kern w:val="2"/>
          <w14:ligatures w14:val="standardContextual"/>
        </w:rPr>
      </w:pPr>
      <w:r w:rsidRPr="0092415D">
        <w:t xml:space="preserve">Стороны и наблюдатели, представившие письменные заявления в ходе неофициального процесса, но желающие </w:t>
      </w:r>
      <w:r w:rsidR="00F356A4">
        <w:t xml:space="preserve">внести в </w:t>
      </w:r>
      <w:r w:rsidR="00D45AAC">
        <w:t>н</w:t>
      </w:r>
      <w:r w:rsidRPr="0092415D">
        <w:t xml:space="preserve">их </w:t>
      </w:r>
      <w:r w:rsidR="00F356A4">
        <w:t>поправки</w:t>
      </w:r>
      <w:r w:rsidRPr="0092415D">
        <w:t xml:space="preserve"> или представить дополнительные заявления, вправе сделать это в соответствии с установленными процедурами проведения совещания. </w:t>
      </w:r>
      <w:r w:rsidRPr="0092415D">
        <w:rPr>
          <w:rFonts w:asciiTheme="majorBidi" w:hAnsiTheme="majorBidi"/>
        </w:rPr>
        <w:t xml:space="preserve"> Поскольку цель заблаговременного представления письменных заявлений – экономия времени, Сторонам и наблюдателям, представившим заявления в рамках этого экспериментального процесса, рекомендуется воздержаться от устных заявлений во время первого чтения соответствующего пункта повестки дня на совещании.</w:t>
      </w:r>
    </w:p>
    <w:p w:rsidRPr="0092415D" w:rsidR="00E8337C" w:rsidP="00B02D9F" w:rsidRDefault="00E8337C" w14:paraId="081C632F" w14:textId="12A54FD2">
      <w:pPr>
        <w:pStyle w:val="CBDNormalNumber"/>
        <w:numPr>
          <w:ilvl w:val="0"/>
          <w:numId w:val="10"/>
        </w:numPr>
        <w:rPr>
          <w:rFonts w:eastAsia="Aptos" w:asciiTheme="majorBidi" w:hAnsiTheme="majorBidi" w:cstheme="majorBidi"/>
          <w:i/>
          <w:iCs/>
          <w:kern w:val="2"/>
          <w14:ligatures w14:val="standardContextual"/>
        </w:rPr>
      </w:pPr>
      <w:r w:rsidRPr="0092415D">
        <w:t>Ожидается, что Стороны и наблюдатели, не представившие заявления в ходе неофициального процесса, представят свои письменные и устные заявления в ходе совещания в соответствии с установленными официальными процедурами.</w:t>
      </w:r>
      <w:r w:rsidRPr="0092415D">
        <w:rPr>
          <w:rFonts w:asciiTheme="majorBidi" w:hAnsiTheme="majorBidi"/>
        </w:rPr>
        <w:t xml:space="preserve"> </w:t>
      </w:r>
    </w:p>
    <w:p w:rsidRPr="0092415D" w:rsidR="00E8337C" w:rsidP="00B02D9F" w:rsidRDefault="001B7BC6" w14:paraId="4415A5BD" w14:textId="3BBCF0BE">
      <w:pPr>
        <w:pStyle w:val="CBDH2"/>
      </w:pPr>
      <w:r w:rsidRPr="0092415D">
        <w:t>C.</w:t>
      </w:r>
      <w:r w:rsidRPr="0092415D">
        <w:tab/>
      </w:r>
      <w:r w:rsidRPr="0092415D">
        <w:t>Подготовка документов зала заседаний</w:t>
      </w:r>
    </w:p>
    <w:p w:rsidRPr="0092415D" w:rsidR="00E8337C" w:rsidP="00B02D9F" w:rsidRDefault="00E8337C" w14:paraId="0D842F30" w14:textId="337174FA">
      <w:pPr>
        <w:pStyle w:val="CBDNormalNumber"/>
        <w:numPr>
          <w:ilvl w:val="0"/>
          <w:numId w:val="10"/>
        </w:numPr>
        <w:rPr>
          <w:rFonts w:eastAsia="Aptos" w:asciiTheme="majorBidi" w:hAnsiTheme="majorBidi" w:cstheme="majorBidi"/>
          <w:kern w:val="2"/>
          <w14:ligatures w14:val="standardContextual"/>
        </w:rPr>
      </w:pPr>
      <w:r w:rsidRPr="0092415D">
        <w:rPr>
          <w:rFonts w:asciiTheme="majorBidi" w:hAnsiTheme="majorBidi"/>
        </w:rPr>
        <w:t>В соответствии с</w:t>
      </w:r>
      <w:r w:rsidR="007A3DD8">
        <w:rPr>
          <w:rFonts w:asciiTheme="majorBidi" w:hAnsiTheme="majorBidi"/>
        </w:rPr>
        <w:t>о сложившейся</w:t>
      </w:r>
      <w:r w:rsidRPr="0092415D">
        <w:rPr>
          <w:rFonts w:asciiTheme="majorBidi" w:hAnsiTheme="majorBidi"/>
        </w:rPr>
        <w:t xml:space="preserve"> практикой проведения совещаний Председатель с согласия Вспомогательного органа и при поддержке секретариата подготовит документ зала заседаний или в случае учреждения контактной группы по конкретному пункту неофициальный документ по каждому соответствующему пункту повестки дня. </w:t>
      </w:r>
      <w:r w:rsidRPr="0092415D">
        <w:t xml:space="preserve">Документ зала заседаний или неофициальный документ будет основан на заявлениях, представленных в ходе официального совещания, включая заявления, внесенные в протокол по итогам неофициального процесса </w:t>
      </w:r>
      <w:r w:rsidRPr="00710906" w:rsidR="00710906">
        <w:t>заблаговременно</w:t>
      </w:r>
      <w:r w:rsidR="00710906">
        <w:t>го</w:t>
      </w:r>
      <w:r w:rsidRPr="00710906" w:rsidR="00710906">
        <w:t xml:space="preserve"> </w:t>
      </w:r>
      <w:r w:rsidRPr="0092415D">
        <w:t>представления заявлений, а также на любых устных заявлениях или выступлениях, сделанных в ходе первого чтения.</w:t>
      </w:r>
    </w:p>
    <w:p w:rsidRPr="0092415D" w:rsidR="00E8337C" w:rsidP="00B02D9F" w:rsidRDefault="00E8337C" w14:paraId="2312EAA7" w14:textId="1C5C9FF3">
      <w:pPr>
        <w:pStyle w:val="CBDNormalNumber"/>
        <w:numPr>
          <w:ilvl w:val="0"/>
          <w:numId w:val="10"/>
        </w:numPr>
        <w:rPr>
          <w:rFonts w:eastAsia="Aptos" w:asciiTheme="majorBidi" w:hAnsiTheme="majorBidi" w:cstheme="majorBidi"/>
          <w:kern w:val="2"/>
          <w14:ligatures w14:val="standardContextual"/>
        </w:rPr>
      </w:pPr>
      <w:r w:rsidRPr="0092415D">
        <w:t>При необходимости Председатель может учредить контактную группу по любому пункт</w:t>
      </w:r>
      <w:r w:rsidR="004A2014">
        <w:t>у</w:t>
      </w:r>
      <w:r w:rsidRPr="0092415D">
        <w:t xml:space="preserve"> повестки дня в соответствии с установленными процедурами.</w:t>
      </w:r>
      <w:r w:rsidRPr="0092415D">
        <w:rPr>
          <w:rFonts w:asciiTheme="majorBidi" w:hAnsiTheme="majorBidi"/>
        </w:rPr>
        <w:t xml:space="preserve"> </w:t>
      </w:r>
    </w:p>
    <w:p w:rsidRPr="0092415D" w:rsidR="00E8337C" w:rsidP="00B02D9F" w:rsidRDefault="001B5A2A" w14:paraId="27C0D492" w14:textId="0AA546D9">
      <w:pPr>
        <w:pStyle w:val="CBDH2"/>
      </w:pPr>
      <w:r w:rsidRPr="0092415D">
        <w:t>D.</w:t>
      </w:r>
      <w:r w:rsidRPr="0092415D">
        <w:tab/>
      </w:r>
      <w:r w:rsidRPr="0092415D">
        <w:t>Итоги общего процесса</w:t>
      </w:r>
    </w:p>
    <w:p w:rsidRPr="0092415D" w:rsidR="00E8337C" w:rsidP="00B02D9F" w:rsidRDefault="00A723B0" w14:paraId="2BA7BEF4" w14:textId="4819ADC4">
      <w:pPr>
        <w:pStyle w:val="CBDNormalNumber"/>
        <w:numPr>
          <w:ilvl w:val="0"/>
          <w:numId w:val="10"/>
        </w:numPr>
        <w:rPr>
          <w:rFonts w:eastAsia="Aptos" w:asciiTheme="majorBidi" w:hAnsiTheme="majorBidi" w:cstheme="majorBidi"/>
          <w:kern w:val="2"/>
          <w14:ligatures w14:val="standardContextual"/>
        </w:rPr>
      </w:pPr>
      <w:r w:rsidRPr="0092415D">
        <w:t>Опыт Сторон, связанный с предлагаемой экспериментальной системой, будет обобщен по итогам опроса, проведенного на настоящем совещании, и представлен бюро Конференции Сторон.</w:t>
      </w:r>
    </w:p>
    <w:p w:rsidRPr="0092415D" w:rsidR="00E8337C" w:rsidP="003E7772" w:rsidRDefault="00A151CF" w14:paraId="010BEBC3" w14:textId="0B358566">
      <w:pPr>
        <w:pStyle w:val="CBDH1"/>
        <w:jc w:val="center"/>
        <w:rPr>
          <w:b w:val="0"/>
          <w:sz w:val="18"/>
          <w:szCs w:val="20"/>
        </w:rPr>
      </w:pPr>
      <w:r w:rsidRPr="0092415D">
        <w:rPr>
          <w:rFonts w:asciiTheme="majorBidi" w:hAnsiTheme="majorBidi"/>
          <w:b w:val="0"/>
          <w:sz w:val="22"/>
        </w:rPr>
        <w:t>______</w:t>
      </w:r>
    </w:p>
    <w:p w:rsidRPr="0092415D" w:rsidR="00691EF7" w:rsidP="00B02D9F" w:rsidRDefault="00691EF7" w14:paraId="684B5E2A" w14:textId="77777777"/>
    <w:sectPr w:rsidRPr="0092415D" w:rsidR="00691EF7" w:rsidSect="00B02D9F">
      <w:footnotePr>
        <w:numRestart w:val="eachSect"/>
      </w:footnotePr>
      <w:pgSz w:w="12240" w:h="15840" w:orient="portrait"/>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866063" w:rsidR="006567FF" w:rsidP="00CF1848" w:rsidRDefault="006567FF" w14:paraId="1176FFB6" w14:textId="77777777">
      <w:r w:rsidRPr="00866063">
        <w:separator/>
      </w:r>
    </w:p>
  </w:endnote>
  <w:endnote w:type="continuationSeparator" w:id="0">
    <w:p w:rsidRPr="00866063" w:rsidR="006567FF" w:rsidP="00CF1848" w:rsidRDefault="006567FF" w14:paraId="3A2D9AEF" w14:textId="77777777">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571257"/>
      <w:docPartObj>
        <w:docPartGallery w:val="Page Numbers (Top of Page)"/>
        <w:docPartUnique/>
      </w:docPartObj>
    </w:sdtPr>
    <w:sdtEndPr/>
    <w:sdtContent>
      <w:p w:rsidRPr="00B02D9F" w:rsidR="007731DD" w:rsidP="00B02D9F" w:rsidRDefault="004E0C32" w14:paraId="7971B8D3" w14:textId="0DF0DDF8">
        <w:pPr>
          <w:pStyle w:val="CBDFooter"/>
          <w:rPr>
            <w:sz w:val="22"/>
          </w:rPr>
        </w:pPr>
        <w:r w:rsidRPr="00866063">
          <w:fldChar w:fldCharType="begin"/>
        </w:r>
        <w:r w:rsidRPr="00866063">
          <w:instrText xml:space="preserve"> PAGE </w:instrText>
        </w:r>
        <w:r w:rsidRPr="00866063">
          <w:fldChar w:fldCharType="separate"/>
        </w:r>
        <w:r>
          <w:t>4</w:t>
        </w:r>
        <w:r w:rsidRPr="00866063">
          <w:fldChar w:fldCharType="end"/>
        </w:r>
        <w:r>
          <w:t>/</w:t>
        </w:r>
        <w:r>
          <w:fldChar w:fldCharType="begin"/>
        </w:r>
        <w:r>
          <w:instrText> NUMPAGES  </w:instrText>
        </w:r>
        <w:r>
          <w:fldChar w:fldCharType="separate"/>
        </w:r>
        <w:r>
          <w:t>7</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7478"/>
      <w:docPartObj>
        <w:docPartGallery w:val="Page Numbers (Top of Page)"/>
        <w:docPartUnique/>
      </w:docPartObj>
    </w:sdtPr>
    <w:sdtEndPr/>
    <w:sdtContent>
      <w:p w:rsidRPr="00B02D9F" w:rsidR="007731DD" w:rsidP="00B02D9F" w:rsidRDefault="004E0C32" w14:paraId="2F26D642" w14:textId="5B1828EE">
        <w:pPr>
          <w:pStyle w:val="CBDFooter"/>
          <w:jc w:val="right"/>
          <w:rPr>
            <w:sz w:val="22"/>
          </w:rPr>
        </w:pPr>
        <w:r w:rsidRPr="00866063">
          <w:fldChar w:fldCharType="begin"/>
        </w:r>
        <w:r w:rsidRPr="00866063">
          <w:instrText xml:space="preserve"> PAGE </w:instrText>
        </w:r>
        <w:r w:rsidRPr="00866063">
          <w:fldChar w:fldCharType="separate"/>
        </w:r>
        <w:r>
          <w:t>4</w:t>
        </w:r>
        <w:r w:rsidRPr="00866063">
          <w:fldChar w:fldCharType="end"/>
        </w:r>
        <w:r>
          <w:t>/</w:t>
        </w:r>
        <w:r>
          <w:fldChar w:fldCharType="begin"/>
        </w:r>
        <w:r>
          <w:instrText> NUMPAGES  </w:instrText>
        </w:r>
        <w:r>
          <w:fldChar w:fldCharType="separate"/>
        </w:r>
        <w:r>
          <w:t>7</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rsidRPr="00866063" w:rsidR="00D75CA6" w:rsidP="00B02D9F" w:rsidRDefault="00D75CA6" w14:paraId="74E8D2C2" w14:textId="77777777">
            <w:pPr>
              <w:pStyle w:val="CBDFooter"/>
            </w:pPr>
            <w:r w:rsidRPr="00866063">
              <w:fldChar w:fldCharType="begin"/>
            </w:r>
            <w:r w:rsidRPr="00866063">
              <w:instrText xml:space="preserve"> PAGE </w:instrText>
            </w:r>
            <w:r w:rsidRPr="00866063">
              <w:fldChar w:fldCharType="separate"/>
            </w:r>
            <w:r w:rsidRPr="00866063">
              <w:t>2</w:t>
            </w:r>
            <w:r w:rsidRPr="00866063">
              <w:fldChar w:fldCharType="end"/>
            </w:r>
            <w:r>
              <w:t>/</w:t>
            </w:r>
            <w:r>
              <w:fldChar w:fldCharType="begin"/>
            </w:r>
            <w:r>
              <w:instrText> NUMPAGES  </w:instrText>
            </w:r>
            <w:r>
              <w:fldChar w:fldCharType="separate"/>
            </w:r>
            <w:r w:rsidRPr="00866063">
              <w:t>2</w:t>
            </w:r>
            <w: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rsidRPr="00866063" w:rsidR="00D75CA6" w:rsidP="00B02D9F" w:rsidRDefault="00D75CA6" w14:paraId="139934E5" w14:textId="77777777">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t>/</w:t>
        </w:r>
        <w:r>
          <w:fldChar w:fldCharType="begin"/>
        </w:r>
        <w:r>
          <w:instrText> NUMPAGES  </w:instrText>
        </w:r>
        <w:r>
          <w:fldChar w:fldCharType="separate"/>
        </w:r>
        <w:r w:rsidRPr="00866063">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866063" w:rsidR="006567FF" w:rsidP="00CF1848" w:rsidRDefault="006567FF" w14:paraId="7BDC540F" w14:textId="77777777">
      <w:r w:rsidRPr="00866063">
        <w:separator/>
      </w:r>
    </w:p>
  </w:footnote>
  <w:footnote w:type="continuationSeparator" w:id="0">
    <w:p w:rsidRPr="00866063" w:rsidR="006567FF" w:rsidP="00CF1848" w:rsidRDefault="006567FF" w14:paraId="487ED5D4" w14:textId="77777777">
      <w:r w:rsidRPr="00866063">
        <w:continuationSeparator/>
      </w:r>
    </w:p>
  </w:footnote>
  <w:footnote w:id="1">
    <w:p w:rsidRPr="00866063" w:rsidR="008A1499" w:rsidRDefault="008A1499" w14:paraId="5C39E663" w14:textId="43435409">
      <w:pPr>
        <w:pStyle w:val="Notedebasdepage"/>
      </w:pPr>
      <w:r>
        <w:rPr>
          <w:rStyle w:val="Appelnotedebasdep"/>
        </w:rPr>
        <w:t>*</w:t>
      </w:r>
      <w:r>
        <w:t xml:space="preserve"> </w:t>
      </w:r>
      <w:hyperlink w:history="1" r:id="rId1">
        <w:r>
          <w:rPr>
            <w:rStyle w:val="Lienhypertexte"/>
          </w:rPr>
          <w:t>CBD/SBI/6/1</w:t>
        </w:r>
      </w:hyperlink>
      <w:r>
        <w:t>.</w:t>
      </w:r>
    </w:p>
  </w:footnote>
  <w:footnote w:id="2">
    <w:p w:rsidRPr="003C4298" w:rsidR="003C4298" w:rsidRDefault="007C6650" w14:paraId="1A17405A" w14:textId="713AD603">
      <w:pPr>
        <w:pStyle w:val="Notedebasdepage"/>
      </w:pPr>
      <w:r w:rsidRPr="007C6650">
        <w:rPr>
          <w:vertAlign w:val="superscript"/>
        </w:rPr>
        <w:t>1</w:t>
      </w:r>
      <w:r>
        <w:t xml:space="preserve"> </w:t>
      </w:r>
      <w:r w:rsidR="003C4298">
        <w:t xml:space="preserve">См. также решения </w:t>
      </w:r>
      <w:hyperlink w:history="1" r:id="rId2">
        <w:r w:rsidR="003C4298">
          <w:rPr>
            <w:rStyle w:val="Lienhypertexte"/>
          </w:rPr>
          <w:t>CP-11/5</w:t>
        </w:r>
      </w:hyperlink>
      <w:r w:rsidR="003C4298">
        <w:t xml:space="preserve"> и </w:t>
      </w:r>
      <w:hyperlink w:history="1" r:id="rId3">
        <w:r w:rsidR="003C4298">
          <w:rPr>
            <w:rStyle w:val="Lienhypertexte"/>
          </w:rPr>
          <w:t>NP-5/10</w:t>
        </w:r>
      </w:hyperlink>
      <w:r w:rsidR="003C4298">
        <w:t>.</w:t>
      </w:r>
    </w:p>
  </w:footnote>
  <w:footnote w:id="3">
    <w:p w:rsidR="00415CF9" w:rsidP="00415CF9" w:rsidRDefault="00415CF9" w14:paraId="64A13350" w14:textId="01CC1517">
      <w:pPr>
        <w:pStyle w:val="Notedebasdepage"/>
      </w:pPr>
      <w:r>
        <w:rPr>
          <w:rStyle w:val="Appelnotedebasdep"/>
        </w:rPr>
        <w:footnoteRef/>
      </w:r>
      <w:r>
        <w:t xml:space="preserve"> См. </w:t>
      </w:r>
      <w:hyperlink w:history="1" r:id="rId4">
        <w:r>
          <w:rPr>
            <w:rStyle w:val="Lienhypertexte"/>
          </w:rPr>
          <w:t>www.cbd.int/meetings/690d1c8176d802404fa16e08.</w:t>
        </w:r>
      </w:hyperlink>
      <w:r>
        <w:t xml:space="preserve"> </w:t>
      </w:r>
    </w:p>
  </w:footnote>
  <w:footnote w:id="4">
    <w:p w:rsidR="0072344C" w:rsidP="0072344C" w:rsidRDefault="0072344C" w14:paraId="693ADC34" w14:textId="15232C9C">
      <w:pPr>
        <w:pStyle w:val="Notedebasdepage"/>
      </w:pPr>
      <w:r>
        <w:rPr>
          <w:rStyle w:val="Appelnotedebasdep"/>
        </w:rPr>
        <w:footnoteRef/>
      </w:r>
      <w:r>
        <w:t xml:space="preserve"> Решение </w:t>
      </w:r>
      <w:hyperlink w:history="1" r:id="rId5">
        <w:r>
          <w:rPr>
            <w:rStyle w:val="Lienhypertexte"/>
          </w:rPr>
          <w:t>XIII/25</w:t>
        </w:r>
      </w:hyperlink>
      <w:r>
        <w:t xml:space="preserve">, приложение. </w:t>
      </w:r>
    </w:p>
  </w:footnote>
  <w:footnote w:id="5">
    <w:p w:rsidR="0087186C" w:rsidP="0087186C" w:rsidRDefault="0087186C" w14:paraId="1DF30FE1" w14:textId="3589DFA7">
      <w:pPr>
        <w:pStyle w:val="CBDFootnoteText"/>
      </w:pPr>
      <w:r>
        <w:rPr>
          <w:rStyle w:val="Appelnotedebasdep"/>
        </w:rPr>
        <w:footnoteRef/>
      </w:r>
      <w:r>
        <w:t xml:space="preserve"> См. </w:t>
      </w:r>
      <w:hyperlink w:history="1" r:id="rId6">
        <w:r>
          <w:rPr>
            <w:rStyle w:val="Lienhypertexte"/>
            <w:snapToGrid w:val="0"/>
          </w:rPr>
          <w:t>https://webtv.un.org/</w:t>
        </w:r>
      </w:hyperlink>
      <w:r>
        <w:rPr>
          <w:snapToGrid w:val="0"/>
        </w:rPr>
        <w:t>.</w:t>
      </w:r>
    </w:p>
  </w:footnote>
  <w:footnote w:id="6">
    <w:p w:rsidRPr="00671C0B" w:rsidR="00837FE9" w:rsidP="00837FE9" w:rsidRDefault="00837FE9" w14:paraId="3C20DD34" w14:textId="517E5098">
      <w:pPr>
        <w:pStyle w:val="Notedebasdepage"/>
      </w:pPr>
      <w:r>
        <w:rPr>
          <w:rStyle w:val="Appelnotedebasdep"/>
        </w:rPr>
        <w:footnoteRef/>
      </w:r>
      <w:r>
        <w:t xml:space="preserve"> В день может проводиться не более двух пленарных заседаний.</w:t>
      </w:r>
    </w:p>
  </w:footnote>
  <w:footnote w:id="7">
    <w:p w:rsidR="0087186C" w:rsidP="0087186C" w:rsidRDefault="0087186C" w14:paraId="10B4F898" w14:textId="46F3CE48">
      <w:pPr>
        <w:pStyle w:val="CBDFootnoteText"/>
      </w:pPr>
      <w:r>
        <w:rPr>
          <w:rStyle w:val="Appelnotedebasdep"/>
        </w:rPr>
        <w:footnoteRef/>
      </w:r>
      <w:r>
        <w:t xml:space="preserve"> См. </w:t>
      </w:r>
      <w:hyperlink w:history="1" r:id="rId7">
        <w:r>
          <w:rPr>
            <w:rStyle w:val="Lienhypertexte"/>
          </w:rPr>
          <w:t>www.cbd.int/meetings/SBI-06</w:t>
        </w:r>
      </w:hyperlink>
      <w:r>
        <w:t xml:space="preserve">. </w:t>
      </w:r>
    </w:p>
  </w:footnote>
  <w:footnote w:id="8">
    <w:p w:rsidRPr="001434C2" w:rsidR="00231721" w:rsidRDefault="00231721" w14:paraId="20BF1DAC" w14:textId="37F23803">
      <w:pPr>
        <w:pStyle w:val="Notedebasdepage"/>
      </w:pPr>
      <w:r>
        <w:rPr>
          <w:rStyle w:val="Appelnotedebasdep"/>
        </w:rPr>
        <w:footnoteRef/>
      </w:r>
      <w:r>
        <w:t xml:space="preserve"> См. уведомление </w:t>
      </w:r>
      <w:hyperlink w:history="1" r:id="rId8">
        <w:r>
          <w:rPr>
            <w:rStyle w:val="Lienhypertexte"/>
          </w:rPr>
          <w:t>2025-120</w:t>
        </w:r>
      </w:hyperlink>
      <w:r>
        <w:t xml:space="preserve"> об экспериментальном порядке заблаговременного представления заявлений для 27-го совещания Вспомогательного органа по научным, техническим и технологическим консультациям.</w:t>
      </w:r>
    </w:p>
  </w:footnote>
  <w:footnote w:id="9">
    <w:p w:rsidRPr="00B02D9F" w:rsidR="006950BA" w:rsidP="009632A4" w:rsidRDefault="006950BA" w14:paraId="4949C0C4" w14:textId="5ECB3CA3">
      <w:pPr>
        <w:pStyle w:val="Notedebasdepage"/>
      </w:pPr>
      <w:r>
        <w:rPr>
          <w:rStyle w:val="Appelnotedebasdep"/>
        </w:rPr>
        <w:t>*</w:t>
      </w:r>
      <w:r>
        <w:t xml:space="preserve"> Подробный порядок проведения заседани</w:t>
      </w:r>
      <w:r w:rsidR="00624E7B">
        <w:t>й</w:t>
      </w:r>
      <w:r>
        <w:t xml:space="preserve"> контактных групп</w:t>
      </w:r>
      <w:r w:rsidR="00BC2717">
        <w:t xml:space="preserve">, </w:t>
      </w:r>
      <w:r w:rsidR="0082380D">
        <w:t xml:space="preserve">а именно </w:t>
      </w:r>
      <w:r w:rsidRPr="00C05DE3" w:rsidR="00C05DE3">
        <w:t>их параллельн</w:t>
      </w:r>
      <w:r w:rsidR="001F5825">
        <w:t>ая</w:t>
      </w:r>
      <w:r w:rsidRPr="00C05DE3" w:rsidR="00C05DE3">
        <w:t xml:space="preserve"> или последовательн</w:t>
      </w:r>
      <w:r w:rsidR="001F5825">
        <w:t>ая</w:t>
      </w:r>
      <w:r w:rsidRPr="00C05DE3" w:rsidR="00C05DE3">
        <w:t xml:space="preserve"> организаци</w:t>
      </w:r>
      <w:r w:rsidR="001F5825">
        <w:t>я</w:t>
      </w:r>
      <w:r w:rsidR="00C05DE3">
        <w:t>,</w:t>
      </w:r>
      <w:r>
        <w:t xml:space="preserve"> будет определяться бюро на основе оценки хода работы совещания.</w:t>
      </w:r>
      <w:r w:rsidR="00FD55DC">
        <w:t xml:space="preserve"> </w:t>
      </w:r>
      <w:r w:rsidRPr="00C05DE3" w:rsidR="00C05DE3">
        <w:t>Вечерние заседания контактных групп по мере необходимости могут проводиться последовательно</w:t>
      </w:r>
      <w:r w:rsidR="00F103E2">
        <w:t>, начиная</w:t>
      </w:r>
      <w:r w:rsidRPr="00C05DE3" w:rsidR="00C05DE3">
        <w:t xml:space="preserve"> с 19:00.</w:t>
      </w:r>
    </w:p>
  </w:footnote>
  <w:footnote w:id="10">
    <w:p w:rsidRPr="00B02D9F" w:rsidR="00591EAF" w:rsidRDefault="00C85D85" w14:paraId="46FFB3CC" w14:textId="1E0158B0">
      <w:pPr>
        <w:pStyle w:val="Notedebasdepage"/>
      </w:pPr>
      <w:r w:rsidRPr="00C85D85">
        <w:rPr>
          <w:vertAlign w:val="superscript"/>
        </w:rPr>
        <w:t>1</w:t>
      </w:r>
      <w:r>
        <w:t xml:space="preserve"> </w:t>
      </w:r>
      <w:r w:rsidR="00591EAF">
        <w:t xml:space="preserve">Решения </w:t>
      </w:r>
      <w:hyperlink w:history="1" r:id="rId9">
        <w:r w:rsidR="00591EAF">
          <w:rPr>
            <w:rStyle w:val="Lienhypertexte"/>
          </w:rPr>
          <w:t>CP-11/5</w:t>
        </w:r>
      </w:hyperlink>
      <w:r w:rsidR="00591EAF">
        <w:t xml:space="preserve"> и </w:t>
      </w:r>
      <w:hyperlink w:history="1" r:id="rId10">
        <w:r w:rsidR="00305C9A">
          <w:rPr>
            <w:rStyle w:val="Lienhypertexte"/>
          </w:rPr>
          <w:t>NP-5/10</w:t>
        </w:r>
      </w:hyperlink>
      <w:r w:rsidR="00591EAF">
        <w:t xml:space="preserve"> соответственно. </w:t>
      </w:r>
    </w:p>
  </w:footnote>
  <w:footnote w:id="11">
    <w:p w:rsidRPr="00BC24DD" w:rsidR="00E8337C" w:rsidP="00E8337C" w:rsidRDefault="00E8337C" w14:paraId="319AF26D" w14:textId="13BD2E91">
      <w:pPr>
        <w:pStyle w:val="Notedebasdepage"/>
      </w:pPr>
      <w:r>
        <w:rPr>
          <w:rStyle w:val="Appelnotedebasdep"/>
        </w:rPr>
        <w:footnoteRef/>
      </w:r>
      <w:r>
        <w:t xml:space="preserve"> С предварительной повесткой дня настоящего совещания можно ознакомиться по адресу </w:t>
      </w:r>
      <w:hyperlink w:history="1" r:id="rId11">
        <w:r>
          <w:rPr>
            <w:rStyle w:val="Lienhypertexte"/>
          </w:rPr>
          <w:t>www.cbd.int/meetings/SBI-06</w:t>
        </w:r>
      </w:hyperlink>
      <w:r>
        <w:t xml:space="preserve">. </w:t>
      </w:r>
    </w:p>
  </w:footnote>
  <w:footnote w:id="12">
    <w:p w:rsidRPr="0017409D" w:rsidR="00E8337C" w:rsidP="00E8337C" w:rsidRDefault="00E8337C" w14:paraId="20530E33" w14:textId="497DE08C">
      <w:pPr>
        <w:pStyle w:val="Notedebasdepage"/>
      </w:pPr>
      <w:r>
        <w:rPr>
          <w:rStyle w:val="Appelnotedebasdep"/>
        </w:rPr>
        <w:footnoteRef/>
      </w:r>
      <w:r>
        <w:t xml:space="preserve"> Сторон</w:t>
      </w:r>
      <w:r w:rsidR="00D359C5">
        <w:t>ам</w:t>
      </w:r>
      <w:r>
        <w:t xml:space="preserve"> и наблюдател</w:t>
      </w:r>
      <w:r w:rsidR="00D359C5">
        <w:t>ям</w:t>
      </w:r>
      <w:r>
        <w:t>, которые могут столкнуться с трудностями при загрузке заявлений через интернет-портал, будет предоставлена возможность направить их заявления по электронной почте. Затем секретариат обеспечит их размещение на портале.</w:t>
      </w:r>
    </w:p>
  </w:footnote>
  <w:footnote w:id="13">
    <w:p w:rsidRPr="00B02D9F" w:rsidR="00E74E78" w:rsidP="00E74E78" w:rsidRDefault="00E74E78" w14:paraId="530E1E9E" w14:textId="48659714">
      <w:pPr>
        <w:pStyle w:val="Notedebasdepage"/>
      </w:pPr>
      <w:r>
        <w:rPr>
          <w:rStyle w:val="Appelnotedebasdep"/>
        </w:rPr>
        <w:footnoteRef/>
      </w:r>
      <w:r>
        <w:t xml:space="preserve"> Информационный документ будет размещен </w:t>
      </w:r>
      <w:r w:rsidR="00597FA2">
        <w:t>в Интернете</w:t>
      </w:r>
      <w:r w:rsidR="001B7C93">
        <w:t xml:space="preserve"> </w:t>
      </w:r>
      <w:r>
        <w:t>в первой половине первого дня совещания и представлен при рассмотрении соответствующего пункта повестки дня.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3EB3" w:rsidR="00DC1585" w:rsidP="00B02D9F" w:rsidRDefault="001B3C75" w14:paraId="4544FA20" w14:textId="772EE4DA">
    <w:pPr>
      <w:pStyle w:val="CBDHeader"/>
      <w:rPr>
        <w:rFonts w:eastAsiaTheme="minorEastAsia"/>
        <w:lang w:eastAsia="ja-JP"/>
      </w:rPr>
    </w:pPr>
    <w:r w:rsidRPr="001B3C75">
      <w:t>CBD/SBI/6/1/Add.2/Rev.1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3EB3" w:rsidR="00DC1585" w:rsidP="00B02D9F" w:rsidRDefault="001B3C75" w14:paraId="654F9B6F" w14:textId="64BC5BEB">
    <w:pPr>
      <w:pStyle w:val="CBDHeader"/>
      <w:jc w:val="right"/>
      <w:rPr>
        <w:rFonts w:eastAsiaTheme="minorEastAsia"/>
        <w:lang w:eastAsia="ja-JP"/>
      </w:rPr>
    </w:pPr>
    <w:r w:rsidRPr="001B3C75">
      <w:t>CBD/SBI/6/1/Add.2/Rev.1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3AA592A"/>
    <w:lvl w:ilvl="0">
      <w:start w:val="1"/>
      <w:numFmt w:val="bullet"/>
      <w:lvlText w:val=""/>
      <w:lvlJc w:val="left"/>
      <w:pPr>
        <w:tabs>
          <w:tab w:val="num" w:pos="1492"/>
        </w:tabs>
        <w:ind w:left="1492" w:hanging="360"/>
      </w:pPr>
      <w:rPr>
        <w:rFonts w:hint="default" w:ascii="Symbol" w:hAnsi="Symbol"/>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hint="default" w:ascii="Symbol" w:hAnsi="Symbol"/>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hint="default" w:ascii="Times New Roman" w:hAnsi="Times New Roman" w:cs="Times New Roman"/>
        <w:b w:val="0"/>
        <w:bCs w:val="0"/>
        <w:i w:val="0"/>
        <w:iCs w:val="0"/>
        <w:color w:val="auto"/>
        <w:sz w:val="22"/>
      </w:rPr>
    </w:lvl>
    <w:lvl w:ilvl="1">
      <w:start w:val="1"/>
      <w:numFmt w:val="lowerLetter"/>
      <w:lvlText w:val="(%2)"/>
      <w:lvlJc w:val="left"/>
      <w:pPr>
        <w:ind w:left="567" w:firstLine="567"/>
      </w:pPr>
      <w:rPr>
        <w:rFonts w:hint="default" w:ascii="Times New Roman" w:hAnsi="Times New Roman"/>
        <w:b w:val="0"/>
        <w:i w:val="0"/>
        <w:sz w:val="22"/>
      </w:rPr>
    </w:lvl>
    <w:lvl w:ilvl="2">
      <w:start w:val="1"/>
      <w:numFmt w:val="lowerRoman"/>
      <w:lvlText w:val="(%3)"/>
      <w:lvlJc w:val="left"/>
      <w:pPr>
        <w:ind w:left="2268" w:hanging="567"/>
      </w:pPr>
      <w:rPr>
        <w:rFonts w:hint="default" w:ascii="Times New Roman" w:hAnsi="Times New Roman"/>
        <w:sz w:val="22"/>
      </w:rPr>
    </w:lvl>
    <w:lvl w:ilvl="3">
      <w:start w:val="1"/>
      <w:numFmt w:val="decimal"/>
      <w:lvlText w:val="(%4)"/>
      <w:lvlJc w:val="left"/>
      <w:pPr>
        <w:ind w:left="2835" w:hanging="567"/>
      </w:pPr>
      <w:rPr>
        <w:rFonts w:hint="default" w:ascii="Times New Roman" w:hAnsi="Times New Roman"/>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hint="default" w:ascii="Times New Roman" w:hAnsi="Times New Roman"/>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hint="default" w:ascii="Symbol" w:hAnsi="Symbol"/>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lvl w:ilvl="0">
      <w:start w:val="1"/>
      <w:numFmt w:val="decimal"/>
      <w:pStyle w:val="CBDNormalNumber"/>
      <w:lvlText w:val="%1."/>
      <w:lvlJc w:val="left"/>
      <w:pPr>
        <w:ind w:left="567" w:firstLine="0"/>
      </w:pPr>
      <w:rPr>
        <w:rFonts w:hint="default" w:ascii="Times New Roman" w:hAnsi="Times New Roman" w:cs="Times New Roman"/>
        <w:b w:val="0"/>
        <w:bCs w:val="0"/>
        <w:i w:val="0"/>
        <w:iCs w:val="0"/>
        <w:color w:val="auto"/>
        <w:sz w:val="22"/>
      </w:rPr>
    </w:lvl>
    <w:lvl w:ilvl="1">
      <w:start w:val="1"/>
      <w:numFmt w:val="lowerLetter"/>
      <w:lvlText w:val="(%2)"/>
      <w:lvlJc w:val="left"/>
      <w:pPr>
        <w:ind w:left="567" w:firstLine="567"/>
      </w:pPr>
      <w:rPr>
        <w:rFonts w:hint="default" w:ascii="Times New Roman" w:hAnsi="Times New Roman"/>
        <w:b w:val="0"/>
        <w:i w:val="0"/>
        <w:sz w:val="22"/>
      </w:rPr>
    </w:lvl>
    <w:lvl w:ilvl="2">
      <w:start w:val="1"/>
      <w:numFmt w:val="lowerRoman"/>
      <w:lvlText w:val="(%3)"/>
      <w:lvlJc w:val="left"/>
      <w:pPr>
        <w:ind w:left="2268" w:hanging="567"/>
      </w:pPr>
      <w:rPr>
        <w:rFonts w:hint="default" w:ascii="Times New Roman" w:hAnsi="Times New Roman"/>
        <w:sz w:val="22"/>
      </w:rPr>
    </w:lvl>
    <w:lvl w:ilvl="3">
      <w:start w:val="1"/>
      <w:numFmt w:val="decimal"/>
      <w:lvlText w:val="(%4)"/>
      <w:lvlJc w:val="left"/>
      <w:pPr>
        <w:ind w:left="2835" w:hanging="567"/>
      </w:pPr>
      <w:rPr>
        <w:rFonts w:hint="default" w:ascii="Times New Roman" w:hAnsi="Times New Roman"/>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hint="default" w:ascii="Times New Roman" w:hAnsi="Times New Roman"/>
        <w:sz w:val="28"/>
      </w:rPr>
    </w:lvl>
    <w:lvl w:ilvl="1">
      <w:start w:val="1"/>
      <w:numFmt w:val="upperLetter"/>
      <w:pStyle w:val="Titre2"/>
      <w:lvlText w:val="%2."/>
      <w:lvlJc w:val="left"/>
      <w:pPr>
        <w:tabs>
          <w:tab w:val="num" w:pos="567"/>
        </w:tabs>
        <w:ind w:left="567" w:hanging="567"/>
      </w:pPr>
      <w:rPr>
        <w:rFonts w:hint="default" w:ascii="Times New Roman Bold" w:hAnsi="Times New Roman Bold"/>
        <w:b/>
        <w:bCs/>
        <w:i w:val="0"/>
        <w:iCs w:val="0"/>
        <w:sz w:val="24"/>
        <w:szCs w:val="24"/>
      </w:rPr>
    </w:lvl>
    <w:lvl w:ilvl="2">
      <w:start w:val="1"/>
      <w:numFmt w:val="decimal"/>
      <w:pStyle w:val="Titre3"/>
      <w:lvlText w:val="%3."/>
      <w:lvlJc w:val="left"/>
      <w:pPr>
        <w:tabs>
          <w:tab w:val="num" w:pos="567"/>
        </w:tabs>
        <w:ind w:left="567" w:hanging="567"/>
      </w:pPr>
      <w:rPr>
        <w:rFonts w:hint="default" w:ascii="Times New Roman Bold" w:hAnsi="Times New Roman Bold"/>
        <w:b/>
        <w:i w:val="0"/>
        <w:sz w:val="22"/>
      </w:rPr>
    </w:lvl>
    <w:lvl w:ilvl="3">
      <w:start w:val="1"/>
      <w:numFmt w:val="lowerLetter"/>
      <w:pStyle w:val="Titre4"/>
      <w:lvlText w:val="(%4)"/>
      <w:lvlJc w:val="left"/>
      <w:pPr>
        <w:tabs>
          <w:tab w:val="num" w:pos="567"/>
        </w:tabs>
        <w:ind w:left="567" w:hanging="567"/>
      </w:pPr>
      <w:rPr>
        <w:rFonts w:hint="default" w:ascii="Times New Roman Bold" w:hAnsi="Times New Roman Bold"/>
        <w:b/>
        <w:i w:val="0"/>
        <w:sz w:val="22"/>
      </w:rPr>
    </w:lvl>
    <w:lvl w:ilvl="4">
      <w:start w:val="1"/>
      <w:numFmt w:val="lowerRoman"/>
      <w:pStyle w:val="Titre5"/>
      <w:lvlText w:val="(%5)"/>
      <w:lvlJc w:val="left"/>
      <w:pPr>
        <w:tabs>
          <w:tab w:val="num" w:pos="567"/>
        </w:tabs>
        <w:ind w:left="567" w:hanging="567"/>
      </w:pPr>
      <w:rPr>
        <w:rFonts w:hint="default" w:ascii="Times New Roman" w:hAnsi="Times New Roman"/>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hint="default" w:ascii="Symbol" w:hAnsi="Symbol"/>
      </w:rPr>
    </w:lvl>
    <w:lvl w:ilvl="1" w:tplc="E3FE1308" w:tentative="1">
      <w:start w:val="1"/>
      <w:numFmt w:val="bullet"/>
      <w:lvlText w:val="o"/>
      <w:lvlJc w:val="left"/>
      <w:pPr>
        <w:tabs>
          <w:tab w:val="num" w:pos="1440"/>
        </w:tabs>
        <w:ind w:left="1440" w:hanging="360"/>
      </w:pPr>
      <w:rPr>
        <w:rFonts w:hint="default" w:ascii="Courier New" w:hAnsi="Courier New" w:cs="Courier New"/>
      </w:rPr>
    </w:lvl>
    <w:lvl w:ilvl="2" w:tplc="12162BAC" w:tentative="1">
      <w:start w:val="1"/>
      <w:numFmt w:val="bullet"/>
      <w:lvlText w:val=""/>
      <w:lvlJc w:val="left"/>
      <w:pPr>
        <w:tabs>
          <w:tab w:val="num" w:pos="2160"/>
        </w:tabs>
        <w:ind w:left="2160" w:hanging="360"/>
      </w:pPr>
      <w:rPr>
        <w:rFonts w:hint="default" w:ascii="Wingdings" w:hAnsi="Wingdings"/>
      </w:rPr>
    </w:lvl>
    <w:lvl w:ilvl="3" w:tplc="0409000F" w:tentative="1">
      <w:start w:val="1"/>
      <w:numFmt w:val="bullet"/>
      <w:lvlText w:val=""/>
      <w:lvlJc w:val="left"/>
      <w:pPr>
        <w:tabs>
          <w:tab w:val="num" w:pos="2880"/>
        </w:tabs>
        <w:ind w:left="2880" w:hanging="360"/>
      </w:pPr>
      <w:rPr>
        <w:rFonts w:hint="default" w:ascii="Symbol" w:hAnsi="Symbol"/>
      </w:rPr>
    </w:lvl>
    <w:lvl w:ilvl="4" w:tplc="04090019" w:tentative="1">
      <w:start w:val="1"/>
      <w:numFmt w:val="bullet"/>
      <w:lvlText w:val="o"/>
      <w:lvlJc w:val="left"/>
      <w:pPr>
        <w:tabs>
          <w:tab w:val="num" w:pos="3600"/>
        </w:tabs>
        <w:ind w:left="3600" w:hanging="360"/>
      </w:pPr>
      <w:rPr>
        <w:rFonts w:hint="default" w:ascii="Courier New" w:hAnsi="Courier New" w:cs="Courier New"/>
      </w:rPr>
    </w:lvl>
    <w:lvl w:ilvl="5" w:tplc="0409001B" w:tentative="1">
      <w:start w:val="1"/>
      <w:numFmt w:val="bullet"/>
      <w:lvlText w:val=""/>
      <w:lvlJc w:val="left"/>
      <w:pPr>
        <w:tabs>
          <w:tab w:val="num" w:pos="4320"/>
        </w:tabs>
        <w:ind w:left="4320" w:hanging="360"/>
      </w:pPr>
      <w:rPr>
        <w:rFonts w:hint="default" w:ascii="Wingdings" w:hAnsi="Wingdings"/>
      </w:rPr>
    </w:lvl>
    <w:lvl w:ilvl="6" w:tplc="0409000F" w:tentative="1">
      <w:start w:val="1"/>
      <w:numFmt w:val="bullet"/>
      <w:lvlText w:val=""/>
      <w:lvlJc w:val="left"/>
      <w:pPr>
        <w:tabs>
          <w:tab w:val="num" w:pos="5040"/>
        </w:tabs>
        <w:ind w:left="5040" w:hanging="360"/>
      </w:pPr>
      <w:rPr>
        <w:rFonts w:hint="default" w:ascii="Symbol" w:hAnsi="Symbol"/>
      </w:rPr>
    </w:lvl>
    <w:lvl w:ilvl="7" w:tplc="04090019" w:tentative="1">
      <w:start w:val="1"/>
      <w:numFmt w:val="bullet"/>
      <w:lvlText w:val="o"/>
      <w:lvlJc w:val="left"/>
      <w:pPr>
        <w:tabs>
          <w:tab w:val="num" w:pos="5760"/>
        </w:tabs>
        <w:ind w:left="5760" w:hanging="360"/>
      </w:pPr>
      <w:rPr>
        <w:rFonts w:hint="default" w:ascii="Courier New" w:hAnsi="Courier New" w:cs="Courier New"/>
      </w:rPr>
    </w:lvl>
    <w:lvl w:ilvl="8" w:tplc="0409001B"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399802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4436507">
    <w:abstractNumId w:val="0"/>
  </w:num>
  <w:num w:numId="10" w16cid:durableId="11839350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721239">
    <w:abstractNumId w:val="4"/>
  </w:num>
  <w:num w:numId="12" w16cid:durableId="1625967480">
    <w:abstractNumId w:val="4"/>
  </w:num>
  <w:num w:numId="13" w16cid:durableId="1295021401">
    <w:abstractNumId w:val="4"/>
  </w:num>
  <w:num w:numId="14" w16cid:durableId="360787908">
    <w:abstractNumId w:val="4"/>
  </w:num>
  <w:num w:numId="15" w16cid:durableId="1350329049">
    <w:abstractNumId w:val="4"/>
  </w:num>
  <w:num w:numId="16" w16cid:durableId="613168653">
    <w:abstractNumId w:val="4"/>
  </w:num>
  <w:num w:numId="17" w16cid:durableId="1096638860">
    <w:abstractNumId w:val="4"/>
  </w:num>
  <w:num w:numId="18" w16cid:durableId="1976056377">
    <w:abstractNumId w:val="4"/>
  </w:num>
  <w:num w:numId="19" w16cid:durableId="1975018099">
    <w:abstractNumId w:val="4"/>
  </w:num>
  <w:num w:numId="20" w16cid:durableId="756097898">
    <w:abstractNumId w:val="4"/>
  </w:num>
  <w:num w:numId="21" w16cid:durableId="642543467">
    <w:abstractNumId w:val="4"/>
  </w:num>
  <w:num w:numId="22" w16cid:durableId="894120316">
    <w:abstractNumId w:val="4"/>
  </w:num>
  <w:num w:numId="23" w16cid:durableId="64883970">
    <w:abstractNumId w:val="4"/>
  </w:num>
  <w:num w:numId="24" w16cid:durableId="1705595407">
    <w:abstractNumId w:val="4"/>
  </w:num>
  <w:num w:numId="25" w16cid:durableId="1788042819">
    <w:abstractNumId w:val="4"/>
  </w:num>
  <w:num w:numId="26" w16cid:durableId="1316371875">
    <w:abstractNumId w:val="4"/>
  </w:num>
  <w:num w:numId="27" w16cid:durableId="459955061">
    <w:abstractNumId w:val="4"/>
  </w:num>
  <w:num w:numId="28" w16cid:durableId="653224799">
    <w:abstractNumId w:val="4"/>
  </w:num>
  <w:num w:numId="29" w16cid:durableId="670564978">
    <w:abstractNumId w:val="4"/>
  </w:num>
  <w:num w:numId="30" w16cid:durableId="1540972522">
    <w:abstractNumId w:val="4"/>
  </w:num>
  <w:num w:numId="31" w16cid:durableId="1137452392">
    <w:abstractNumId w:val="4"/>
  </w:num>
  <w:num w:numId="32" w16cid:durableId="1212300480">
    <w:abstractNumId w:val="4"/>
  </w:num>
  <w:num w:numId="33" w16cid:durableId="887109565">
    <w:abstractNumId w:val="4"/>
  </w:num>
  <w:num w:numId="34" w16cid:durableId="1226836036">
    <w:abstractNumId w:val="4"/>
  </w:num>
  <w:num w:numId="35" w16cid:durableId="950210269">
    <w:abstractNumId w:val="4"/>
  </w:num>
  <w:num w:numId="36" w16cid:durableId="1060129455">
    <w:abstractNumId w:val="4"/>
  </w:num>
  <w:num w:numId="37" w16cid:durableId="1858738642">
    <w:abstractNumId w:val="4"/>
  </w:num>
  <w:num w:numId="38" w16cid:durableId="182282482">
    <w:abstractNumId w:val="4"/>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5"/>
  <w:proofState w:spelling="clean" w:grammar="dirty"/>
  <w:attachedTemplate r:id="rId1"/>
  <w:trackRevisions w:val="false"/>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CE4"/>
    <w:rsid w:val="00001D62"/>
    <w:rsid w:val="000034DB"/>
    <w:rsid w:val="00022025"/>
    <w:rsid w:val="00023E8D"/>
    <w:rsid w:val="0002783E"/>
    <w:rsid w:val="00031C28"/>
    <w:rsid w:val="00032EC6"/>
    <w:rsid w:val="00036B36"/>
    <w:rsid w:val="00040545"/>
    <w:rsid w:val="00043EA6"/>
    <w:rsid w:val="00043F2F"/>
    <w:rsid w:val="00045F87"/>
    <w:rsid w:val="00060134"/>
    <w:rsid w:val="00061ED7"/>
    <w:rsid w:val="00062197"/>
    <w:rsid w:val="00063985"/>
    <w:rsid w:val="00064752"/>
    <w:rsid w:val="00066FB4"/>
    <w:rsid w:val="0007171B"/>
    <w:rsid w:val="0007409B"/>
    <w:rsid w:val="00076671"/>
    <w:rsid w:val="00076FE5"/>
    <w:rsid w:val="00086F0E"/>
    <w:rsid w:val="00087411"/>
    <w:rsid w:val="00091C68"/>
    <w:rsid w:val="0009537D"/>
    <w:rsid w:val="00096880"/>
    <w:rsid w:val="00096905"/>
    <w:rsid w:val="00097EDA"/>
    <w:rsid w:val="000A4EAC"/>
    <w:rsid w:val="000B126D"/>
    <w:rsid w:val="000B660E"/>
    <w:rsid w:val="000B7FD6"/>
    <w:rsid w:val="000C0172"/>
    <w:rsid w:val="000C369A"/>
    <w:rsid w:val="000C675E"/>
    <w:rsid w:val="000D0F68"/>
    <w:rsid w:val="000D6960"/>
    <w:rsid w:val="000E35C2"/>
    <w:rsid w:val="000E673A"/>
    <w:rsid w:val="000E6CEA"/>
    <w:rsid w:val="000F2108"/>
    <w:rsid w:val="000F6945"/>
    <w:rsid w:val="000F74F5"/>
    <w:rsid w:val="000F78FC"/>
    <w:rsid w:val="00102DF8"/>
    <w:rsid w:val="00105372"/>
    <w:rsid w:val="001054A6"/>
    <w:rsid w:val="001078A1"/>
    <w:rsid w:val="001118B9"/>
    <w:rsid w:val="00111AA9"/>
    <w:rsid w:val="00111E63"/>
    <w:rsid w:val="0011433A"/>
    <w:rsid w:val="0011665B"/>
    <w:rsid w:val="001312AD"/>
    <w:rsid w:val="00131E7A"/>
    <w:rsid w:val="00134846"/>
    <w:rsid w:val="001349BC"/>
    <w:rsid w:val="00137B61"/>
    <w:rsid w:val="001434C2"/>
    <w:rsid w:val="0015473F"/>
    <w:rsid w:val="0015499B"/>
    <w:rsid w:val="0015580C"/>
    <w:rsid w:val="001558E5"/>
    <w:rsid w:val="0015648E"/>
    <w:rsid w:val="00163338"/>
    <w:rsid w:val="00163EA8"/>
    <w:rsid w:val="001661CE"/>
    <w:rsid w:val="00170DBB"/>
    <w:rsid w:val="00171A15"/>
    <w:rsid w:val="00172AF6"/>
    <w:rsid w:val="00172EE0"/>
    <w:rsid w:val="0017422E"/>
    <w:rsid w:val="001766F8"/>
    <w:rsid w:val="00176CEE"/>
    <w:rsid w:val="00177FD3"/>
    <w:rsid w:val="00186DD8"/>
    <w:rsid w:val="0019046E"/>
    <w:rsid w:val="00191990"/>
    <w:rsid w:val="0019277F"/>
    <w:rsid w:val="001A20DC"/>
    <w:rsid w:val="001A35EC"/>
    <w:rsid w:val="001A3DD3"/>
    <w:rsid w:val="001A5DB3"/>
    <w:rsid w:val="001A7281"/>
    <w:rsid w:val="001B1103"/>
    <w:rsid w:val="001B13FE"/>
    <w:rsid w:val="001B3C75"/>
    <w:rsid w:val="001B5A2A"/>
    <w:rsid w:val="001B7A3B"/>
    <w:rsid w:val="001B7BC6"/>
    <w:rsid w:val="001B7C93"/>
    <w:rsid w:val="001C0B4D"/>
    <w:rsid w:val="001C63AB"/>
    <w:rsid w:val="001C66F0"/>
    <w:rsid w:val="001C73EB"/>
    <w:rsid w:val="001D1434"/>
    <w:rsid w:val="001D15B8"/>
    <w:rsid w:val="001D25E1"/>
    <w:rsid w:val="001D30AC"/>
    <w:rsid w:val="001D65FB"/>
    <w:rsid w:val="001D72A3"/>
    <w:rsid w:val="001D7EAA"/>
    <w:rsid w:val="001E4BDE"/>
    <w:rsid w:val="001F0D9B"/>
    <w:rsid w:val="001F3636"/>
    <w:rsid w:val="001F52B4"/>
    <w:rsid w:val="001F5825"/>
    <w:rsid w:val="00203401"/>
    <w:rsid w:val="002036B2"/>
    <w:rsid w:val="00205126"/>
    <w:rsid w:val="00207615"/>
    <w:rsid w:val="00210CD0"/>
    <w:rsid w:val="002139BD"/>
    <w:rsid w:val="00216E9B"/>
    <w:rsid w:val="0022263D"/>
    <w:rsid w:val="00222D8F"/>
    <w:rsid w:val="0022397A"/>
    <w:rsid w:val="0022515A"/>
    <w:rsid w:val="00231306"/>
    <w:rsid w:val="00231721"/>
    <w:rsid w:val="0023189F"/>
    <w:rsid w:val="002356E0"/>
    <w:rsid w:val="00235D5F"/>
    <w:rsid w:val="00252639"/>
    <w:rsid w:val="00253286"/>
    <w:rsid w:val="00256F42"/>
    <w:rsid w:val="00261725"/>
    <w:rsid w:val="002628BE"/>
    <w:rsid w:val="0026296E"/>
    <w:rsid w:val="00266AAD"/>
    <w:rsid w:val="00281CAE"/>
    <w:rsid w:val="002837A1"/>
    <w:rsid w:val="002846E1"/>
    <w:rsid w:val="002856F8"/>
    <w:rsid w:val="00286191"/>
    <w:rsid w:val="00291A7C"/>
    <w:rsid w:val="00291F1B"/>
    <w:rsid w:val="00296FDF"/>
    <w:rsid w:val="002C1D2A"/>
    <w:rsid w:val="002D251C"/>
    <w:rsid w:val="002F1263"/>
    <w:rsid w:val="003008FE"/>
    <w:rsid w:val="0030118C"/>
    <w:rsid w:val="0030169D"/>
    <w:rsid w:val="00305C9A"/>
    <w:rsid w:val="003060EB"/>
    <w:rsid w:val="00311DC7"/>
    <w:rsid w:val="003153EB"/>
    <w:rsid w:val="00321985"/>
    <w:rsid w:val="003219A9"/>
    <w:rsid w:val="0032214E"/>
    <w:rsid w:val="0032346C"/>
    <w:rsid w:val="0032379F"/>
    <w:rsid w:val="00325E44"/>
    <w:rsid w:val="003446CB"/>
    <w:rsid w:val="00351205"/>
    <w:rsid w:val="0035660F"/>
    <w:rsid w:val="00361D9A"/>
    <w:rsid w:val="0036398C"/>
    <w:rsid w:val="00364730"/>
    <w:rsid w:val="00364A23"/>
    <w:rsid w:val="00365C09"/>
    <w:rsid w:val="003676D2"/>
    <w:rsid w:val="00372322"/>
    <w:rsid w:val="00372F74"/>
    <w:rsid w:val="00376960"/>
    <w:rsid w:val="00387CD3"/>
    <w:rsid w:val="003A0B8A"/>
    <w:rsid w:val="003A32F9"/>
    <w:rsid w:val="003A53A8"/>
    <w:rsid w:val="003B48BF"/>
    <w:rsid w:val="003B7A44"/>
    <w:rsid w:val="003C0D56"/>
    <w:rsid w:val="003C1169"/>
    <w:rsid w:val="003C4298"/>
    <w:rsid w:val="003D2EEB"/>
    <w:rsid w:val="003E049A"/>
    <w:rsid w:val="003E4B99"/>
    <w:rsid w:val="003E7653"/>
    <w:rsid w:val="003E7772"/>
    <w:rsid w:val="003E7CF1"/>
    <w:rsid w:val="003F2752"/>
    <w:rsid w:val="003F27A2"/>
    <w:rsid w:val="003F7224"/>
    <w:rsid w:val="0040305A"/>
    <w:rsid w:val="004057FA"/>
    <w:rsid w:val="00410C0B"/>
    <w:rsid w:val="00412801"/>
    <w:rsid w:val="00415CF9"/>
    <w:rsid w:val="0042623C"/>
    <w:rsid w:val="0042756B"/>
    <w:rsid w:val="004279D6"/>
    <w:rsid w:val="00427D21"/>
    <w:rsid w:val="00433A40"/>
    <w:rsid w:val="00434258"/>
    <w:rsid w:val="004433F6"/>
    <w:rsid w:val="0044688F"/>
    <w:rsid w:val="00446B21"/>
    <w:rsid w:val="00447F4A"/>
    <w:rsid w:val="004506C0"/>
    <w:rsid w:val="00452A88"/>
    <w:rsid w:val="00452F3C"/>
    <w:rsid w:val="00455AF2"/>
    <w:rsid w:val="00456F67"/>
    <w:rsid w:val="004644C2"/>
    <w:rsid w:val="0046588B"/>
    <w:rsid w:val="0046734A"/>
    <w:rsid w:val="00467F9C"/>
    <w:rsid w:val="00474A5D"/>
    <w:rsid w:val="0049521A"/>
    <w:rsid w:val="004A1538"/>
    <w:rsid w:val="004A2014"/>
    <w:rsid w:val="004A3BE0"/>
    <w:rsid w:val="004B51B6"/>
    <w:rsid w:val="004B61D8"/>
    <w:rsid w:val="004C0086"/>
    <w:rsid w:val="004C2638"/>
    <w:rsid w:val="004C7138"/>
    <w:rsid w:val="004C759B"/>
    <w:rsid w:val="004C7F51"/>
    <w:rsid w:val="004D19B7"/>
    <w:rsid w:val="004D2EBB"/>
    <w:rsid w:val="004D6F6E"/>
    <w:rsid w:val="004D74D3"/>
    <w:rsid w:val="004D7C0E"/>
    <w:rsid w:val="004D7F0F"/>
    <w:rsid w:val="004E0040"/>
    <w:rsid w:val="004E0C32"/>
    <w:rsid w:val="004E2E62"/>
    <w:rsid w:val="004E3429"/>
    <w:rsid w:val="004F045F"/>
    <w:rsid w:val="0051006C"/>
    <w:rsid w:val="00512A07"/>
    <w:rsid w:val="00513307"/>
    <w:rsid w:val="005155F9"/>
    <w:rsid w:val="0052039C"/>
    <w:rsid w:val="005237BA"/>
    <w:rsid w:val="00523ABF"/>
    <w:rsid w:val="00523D1B"/>
    <w:rsid w:val="005248CA"/>
    <w:rsid w:val="00534681"/>
    <w:rsid w:val="00541D1B"/>
    <w:rsid w:val="005457D7"/>
    <w:rsid w:val="005470EC"/>
    <w:rsid w:val="00547123"/>
    <w:rsid w:val="0056041A"/>
    <w:rsid w:val="0056068E"/>
    <w:rsid w:val="005628D6"/>
    <w:rsid w:val="00563442"/>
    <w:rsid w:val="0056348E"/>
    <w:rsid w:val="00564ED6"/>
    <w:rsid w:val="00565B42"/>
    <w:rsid w:val="005660AC"/>
    <w:rsid w:val="005705CD"/>
    <w:rsid w:val="0057197E"/>
    <w:rsid w:val="00575C71"/>
    <w:rsid w:val="005764D1"/>
    <w:rsid w:val="0059159B"/>
    <w:rsid w:val="00591EAF"/>
    <w:rsid w:val="00594FBA"/>
    <w:rsid w:val="00597FA2"/>
    <w:rsid w:val="005B35E2"/>
    <w:rsid w:val="005B3A0B"/>
    <w:rsid w:val="005B47B7"/>
    <w:rsid w:val="005C25E6"/>
    <w:rsid w:val="005C4CE6"/>
    <w:rsid w:val="005C7D6C"/>
    <w:rsid w:val="005D0595"/>
    <w:rsid w:val="005D2736"/>
    <w:rsid w:val="005E31F8"/>
    <w:rsid w:val="005E4BAB"/>
    <w:rsid w:val="005F2363"/>
    <w:rsid w:val="005F288F"/>
    <w:rsid w:val="005F3270"/>
    <w:rsid w:val="006122BA"/>
    <w:rsid w:val="006126EA"/>
    <w:rsid w:val="0061611B"/>
    <w:rsid w:val="00621E76"/>
    <w:rsid w:val="00624E7B"/>
    <w:rsid w:val="006334C5"/>
    <w:rsid w:val="006337BE"/>
    <w:rsid w:val="0063465D"/>
    <w:rsid w:val="006352F3"/>
    <w:rsid w:val="0064162D"/>
    <w:rsid w:val="00646063"/>
    <w:rsid w:val="006478BF"/>
    <w:rsid w:val="00652A78"/>
    <w:rsid w:val="00652C3B"/>
    <w:rsid w:val="006567FF"/>
    <w:rsid w:val="00660B19"/>
    <w:rsid w:val="006623EC"/>
    <w:rsid w:val="0066388B"/>
    <w:rsid w:val="00665F91"/>
    <w:rsid w:val="006701BC"/>
    <w:rsid w:val="00680CA0"/>
    <w:rsid w:val="00686555"/>
    <w:rsid w:val="0068675F"/>
    <w:rsid w:val="006867C9"/>
    <w:rsid w:val="00687AD6"/>
    <w:rsid w:val="00691EF7"/>
    <w:rsid w:val="006950BA"/>
    <w:rsid w:val="006A1F71"/>
    <w:rsid w:val="006A73C1"/>
    <w:rsid w:val="006A7ACC"/>
    <w:rsid w:val="006B2290"/>
    <w:rsid w:val="006B4D50"/>
    <w:rsid w:val="006C024B"/>
    <w:rsid w:val="006C10D0"/>
    <w:rsid w:val="006C7998"/>
    <w:rsid w:val="006D2281"/>
    <w:rsid w:val="006D28EF"/>
    <w:rsid w:val="006D5146"/>
    <w:rsid w:val="006E3939"/>
    <w:rsid w:val="006E61F9"/>
    <w:rsid w:val="006E7312"/>
    <w:rsid w:val="006E7AEA"/>
    <w:rsid w:val="00702FF2"/>
    <w:rsid w:val="00703EB3"/>
    <w:rsid w:val="00705353"/>
    <w:rsid w:val="00706A87"/>
    <w:rsid w:val="00710906"/>
    <w:rsid w:val="007144B7"/>
    <w:rsid w:val="00717D88"/>
    <w:rsid w:val="00720552"/>
    <w:rsid w:val="0072344C"/>
    <w:rsid w:val="00723E00"/>
    <w:rsid w:val="00725B7E"/>
    <w:rsid w:val="00726A43"/>
    <w:rsid w:val="00741154"/>
    <w:rsid w:val="00751B00"/>
    <w:rsid w:val="00764740"/>
    <w:rsid w:val="0076735C"/>
    <w:rsid w:val="007675F3"/>
    <w:rsid w:val="007709C9"/>
    <w:rsid w:val="007711AA"/>
    <w:rsid w:val="007731DD"/>
    <w:rsid w:val="00773664"/>
    <w:rsid w:val="00776C73"/>
    <w:rsid w:val="00776DD5"/>
    <w:rsid w:val="00777F1F"/>
    <w:rsid w:val="00780338"/>
    <w:rsid w:val="0078578E"/>
    <w:rsid w:val="00785E9E"/>
    <w:rsid w:val="00786056"/>
    <w:rsid w:val="007942D3"/>
    <w:rsid w:val="007A0DED"/>
    <w:rsid w:val="007A3DD8"/>
    <w:rsid w:val="007B2099"/>
    <w:rsid w:val="007B3786"/>
    <w:rsid w:val="007B5648"/>
    <w:rsid w:val="007B6C09"/>
    <w:rsid w:val="007B7741"/>
    <w:rsid w:val="007C2664"/>
    <w:rsid w:val="007C3443"/>
    <w:rsid w:val="007C4951"/>
    <w:rsid w:val="007C6650"/>
    <w:rsid w:val="007D3839"/>
    <w:rsid w:val="007E049E"/>
    <w:rsid w:val="007E09DA"/>
    <w:rsid w:val="007E0F8A"/>
    <w:rsid w:val="007E5434"/>
    <w:rsid w:val="007F2C9D"/>
    <w:rsid w:val="007F718D"/>
    <w:rsid w:val="00800910"/>
    <w:rsid w:val="0080155B"/>
    <w:rsid w:val="00801FAD"/>
    <w:rsid w:val="00803E81"/>
    <w:rsid w:val="00807884"/>
    <w:rsid w:val="00816E3F"/>
    <w:rsid w:val="008178B6"/>
    <w:rsid w:val="00820294"/>
    <w:rsid w:val="00822205"/>
    <w:rsid w:val="0082380D"/>
    <w:rsid w:val="00827601"/>
    <w:rsid w:val="00831343"/>
    <w:rsid w:val="00837FE9"/>
    <w:rsid w:val="00843D3D"/>
    <w:rsid w:val="00845C4A"/>
    <w:rsid w:val="00856D3C"/>
    <w:rsid w:val="00856E0A"/>
    <w:rsid w:val="00863B4A"/>
    <w:rsid w:val="00865B74"/>
    <w:rsid w:val="00866063"/>
    <w:rsid w:val="008672BD"/>
    <w:rsid w:val="0087186C"/>
    <w:rsid w:val="00871AB0"/>
    <w:rsid w:val="008720A6"/>
    <w:rsid w:val="00874FFC"/>
    <w:rsid w:val="0088217D"/>
    <w:rsid w:val="008832C7"/>
    <w:rsid w:val="008875D3"/>
    <w:rsid w:val="00895C9F"/>
    <w:rsid w:val="008961DE"/>
    <w:rsid w:val="008974F0"/>
    <w:rsid w:val="008A1499"/>
    <w:rsid w:val="008A638B"/>
    <w:rsid w:val="008B012A"/>
    <w:rsid w:val="008C33FE"/>
    <w:rsid w:val="008E00B1"/>
    <w:rsid w:val="008E16B4"/>
    <w:rsid w:val="008E2354"/>
    <w:rsid w:val="008E30C3"/>
    <w:rsid w:val="009064A9"/>
    <w:rsid w:val="00906E17"/>
    <w:rsid w:val="00907E78"/>
    <w:rsid w:val="00914F12"/>
    <w:rsid w:val="0091772A"/>
    <w:rsid w:val="009237CF"/>
    <w:rsid w:val="00923CCF"/>
    <w:rsid w:val="0092415D"/>
    <w:rsid w:val="009265EE"/>
    <w:rsid w:val="00930BA1"/>
    <w:rsid w:val="00931613"/>
    <w:rsid w:val="0093169E"/>
    <w:rsid w:val="00931E2E"/>
    <w:rsid w:val="0093289E"/>
    <w:rsid w:val="00934F75"/>
    <w:rsid w:val="009403E1"/>
    <w:rsid w:val="00943E44"/>
    <w:rsid w:val="009445D3"/>
    <w:rsid w:val="009455ED"/>
    <w:rsid w:val="009505C9"/>
    <w:rsid w:val="00950752"/>
    <w:rsid w:val="00952964"/>
    <w:rsid w:val="00952C99"/>
    <w:rsid w:val="00962FC3"/>
    <w:rsid w:val="009632A4"/>
    <w:rsid w:val="009659D9"/>
    <w:rsid w:val="00966424"/>
    <w:rsid w:val="00966E19"/>
    <w:rsid w:val="00970DEA"/>
    <w:rsid w:val="009714D4"/>
    <w:rsid w:val="00973678"/>
    <w:rsid w:val="009804FE"/>
    <w:rsid w:val="00984DA0"/>
    <w:rsid w:val="00984FC7"/>
    <w:rsid w:val="0098508A"/>
    <w:rsid w:val="00985155"/>
    <w:rsid w:val="00986272"/>
    <w:rsid w:val="00990A97"/>
    <w:rsid w:val="0099741B"/>
    <w:rsid w:val="009A042C"/>
    <w:rsid w:val="009A158E"/>
    <w:rsid w:val="009A4137"/>
    <w:rsid w:val="009A70C7"/>
    <w:rsid w:val="009B26D9"/>
    <w:rsid w:val="009C2DE6"/>
    <w:rsid w:val="009C47ED"/>
    <w:rsid w:val="009C7651"/>
    <w:rsid w:val="009D034C"/>
    <w:rsid w:val="009D1795"/>
    <w:rsid w:val="009D1B92"/>
    <w:rsid w:val="009D260E"/>
    <w:rsid w:val="009D406A"/>
    <w:rsid w:val="009E29EE"/>
    <w:rsid w:val="009E3832"/>
    <w:rsid w:val="009E69B7"/>
    <w:rsid w:val="009E6C66"/>
    <w:rsid w:val="009F1718"/>
    <w:rsid w:val="009F1769"/>
    <w:rsid w:val="009F17A2"/>
    <w:rsid w:val="009F6B5F"/>
    <w:rsid w:val="00A01C28"/>
    <w:rsid w:val="00A111D1"/>
    <w:rsid w:val="00A151CF"/>
    <w:rsid w:val="00A152F3"/>
    <w:rsid w:val="00A208A8"/>
    <w:rsid w:val="00A21CDD"/>
    <w:rsid w:val="00A2512E"/>
    <w:rsid w:val="00A303DD"/>
    <w:rsid w:val="00A36187"/>
    <w:rsid w:val="00A374E8"/>
    <w:rsid w:val="00A37DE8"/>
    <w:rsid w:val="00A418E4"/>
    <w:rsid w:val="00A45B57"/>
    <w:rsid w:val="00A525DE"/>
    <w:rsid w:val="00A54CB1"/>
    <w:rsid w:val="00A60F90"/>
    <w:rsid w:val="00A619FD"/>
    <w:rsid w:val="00A6269C"/>
    <w:rsid w:val="00A65006"/>
    <w:rsid w:val="00A67248"/>
    <w:rsid w:val="00A723B0"/>
    <w:rsid w:val="00A7315B"/>
    <w:rsid w:val="00A747F9"/>
    <w:rsid w:val="00A76886"/>
    <w:rsid w:val="00A856D1"/>
    <w:rsid w:val="00A86DAE"/>
    <w:rsid w:val="00A92894"/>
    <w:rsid w:val="00A9698D"/>
    <w:rsid w:val="00AA3353"/>
    <w:rsid w:val="00AA6324"/>
    <w:rsid w:val="00AA6F92"/>
    <w:rsid w:val="00AA73C0"/>
    <w:rsid w:val="00AA7FA7"/>
    <w:rsid w:val="00AB29CB"/>
    <w:rsid w:val="00AB6934"/>
    <w:rsid w:val="00AC2B3B"/>
    <w:rsid w:val="00AC5AD7"/>
    <w:rsid w:val="00AC5F24"/>
    <w:rsid w:val="00AC638B"/>
    <w:rsid w:val="00AC67AF"/>
    <w:rsid w:val="00AC6D77"/>
    <w:rsid w:val="00AD337A"/>
    <w:rsid w:val="00AE0380"/>
    <w:rsid w:val="00AE0E1D"/>
    <w:rsid w:val="00AE3FF0"/>
    <w:rsid w:val="00AE5C8F"/>
    <w:rsid w:val="00AF02F9"/>
    <w:rsid w:val="00AF1C92"/>
    <w:rsid w:val="00AF28A4"/>
    <w:rsid w:val="00AF42DE"/>
    <w:rsid w:val="00B00F13"/>
    <w:rsid w:val="00B02D9F"/>
    <w:rsid w:val="00B22645"/>
    <w:rsid w:val="00B3369F"/>
    <w:rsid w:val="00B336BC"/>
    <w:rsid w:val="00B4203D"/>
    <w:rsid w:val="00B55DB0"/>
    <w:rsid w:val="00B6105F"/>
    <w:rsid w:val="00B7002F"/>
    <w:rsid w:val="00B741CA"/>
    <w:rsid w:val="00B77CE4"/>
    <w:rsid w:val="00B82177"/>
    <w:rsid w:val="00B82FA1"/>
    <w:rsid w:val="00B8403C"/>
    <w:rsid w:val="00B868BA"/>
    <w:rsid w:val="00B94486"/>
    <w:rsid w:val="00B94E6C"/>
    <w:rsid w:val="00BA00B5"/>
    <w:rsid w:val="00BA18AD"/>
    <w:rsid w:val="00BA5FE8"/>
    <w:rsid w:val="00BA673B"/>
    <w:rsid w:val="00BB4606"/>
    <w:rsid w:val="00BB5B1B"/>
    <w:rsid w:val="00BB76C8"/>
    <w:rsid w:val="00BC2717"/>
    <w:rsid w:val="00BC2A25"/>
    <w:rsid w:val="00BE045B"/>
    <w:rsid w:val="00BE54E1"/>
    <w:rsid w:val="00BF4BD1"/>
    <w:rsid w:val="00C03605"/>
    <w:rsid w:val="00C04A02"/>
    <w:rsid w:val="00C05DE3"/>
    <w:rsid w:val="00C14160"/>
    <w:rsid w:val="00C17B36"/>
    <w:rsid w:val="00C224F7"/>
    <w:rsid w:val="00C23D2F"/>
    <w:rsid w:val="00C23F61"/>
    <w:rsid w:val="00C30023"/>
    <w:rsid w:val="00C427DB"/>
    <w:rsid w:val="00C42992"/>
    <w:rsid w:val="00C42D97"/>
    <w:rsid w:val="00C4348A"/>
    <w:rsid w:val="00C443BD"/>
    <w:rsid w:val="00C451C5"/>
    <w:rsid w:val="00C501D8"/>
    <w:rsid w:val="00C52636"/>
    <w:rsid w:val="00C55056"/>
    <w:rsid w:val="00C5546F"/>
    <w:rsid w:val="00C60283"/>
    <w:rsid w:val="00C604A1"/>
    <w:rsid w:val="00C6168D"/>
    <w:rsid w:val="00C660D6"/>
    <w:rsid w:val="00C736B4"/>
    <w:rsid w:val="00C8144E"/>
    <w:rsid w:val="00C8348B"/>
    <w:rsid w:val="00C85D85"/>
    <w:rsid w:val="00C86331"/>
    <w:rsid w:val="00C875CB"/>
    <w:rsid w:val="00C9161D"/>
    <w:rsid w:val="00C939F2"/>
    <w:rsid w:val="00CA0C1D"/>
    <w:rsid w:val="00CA2984"/>
    <w:rsid w:val="00CA44B7"/>
    <w:rsid w:val="00CA4808"/>
    <w:rsid w:val="00CA5F2B"/>
    <w:rsid w:val="00CA66EB"/>
    <w:rsid w:val="00CB55D8"/>
    <w:rsid w:val="00CB5EFA"/>
    <w:rsid w:val="00CC330B"/>
    <w:rsid w:val="00CD0FB9"/>
    <w:rsid w:val="00CD3D89"/>
    <w:rsid w:val="00CD53E5"/>
    <w:rsid w:val="00CD7A6E"/>
    <w:rsid w:val="00CE0423"/>
    <w:rsid w:val="00CE28FD"/>
    <w:rsid w:val="00CE4A25"/>
    <w:rsid w:val="00CE5EF5"/>
    <w:rsid w:val="00CE6ECE"/>
    <w:rsid w:val="00CF1848"/>
    <w:rsid w:val="00D05528"/>
    <w:rsid w:val="00D07700"/>
    <w:rsid w:val="00D12044"/>
    <w:rsid w:val="00D143F0"/>
    <w:rsid w:val="00D170D9"/>
    <w:rsid w:val="00D23CD7"/>
    <w:rsid w:val="00D24A14"/>
    <w:rsid w:val="00D26095"/>
    <w:rsid w:val="00D30AE8"/>
    <w:rsid w:val="00D30CB0"/>
    <w:rsid w:val="00D33EFC"/>
    <w:rsid w:val="00D359C5"/>
    <w:rsid w:val="00D3707B"/>
    <w:rsid w:val="00D40DBC"/>
    <w:rsid w:val="00D45AAC"/>
    <w:rsid w:val="00D46857"/>
    <w:rsid w:val="00D52729"/>
    <w:rsid w:val="00D534B7"/>
    <w:rsid w:val="00D55645"/>
    <w:rsid w:val="00D55A5A"/>
    <w:rsid w:val="00D61C85"/>
    <w:rsid w:val="00D62CD6"/>
    <w:rsid w:val="00D75CA6"/>
    <w:rsid w:val="00D76A18"/>
    <w:rsid w:val="00D80849"/>
    <w:rsid w:val="00D82E8F"/>
    <w:rsid w:val="00D85207"/>
    <w:rsid w:val="00D85374"/>
    <w:rsid w:val="00D903CC"/>
    <w:rsid w:val="00D91396"/>
    <w:rsid w:val="00DA0730"/>
    <w:rsid w:val="00DA69C1"/>
    <w:rsid w:val="00DB5E0F"/>
    <w:rsid w:val="00DC0FDE"/>
    <w:rsid w:val="00DC1585"/>
    <w:rsid w:val="00DC1AA3"/>
    <w:rsid w:val="00DC4627"/>
    <w:rsid w:val="00DD118C"/>
    <w:rsid w:val="00DD3BC0"/>
    <w:rsid w:val="00DD49B3"/>
    <w:rsid w:val="00DD5F50"/>
    <w:rsid w:val="00DE2F0D"/>
    <w:rsid w:val="00DE3986"/>
    <w:rsid w:val="00DE3BEE"/>
    <w:rsid w:val="00DE5DBB"/>
    <w:rsid w:val="00DE765C"/>
    <w:rsid w:val="00DF0CA6"/>
    <w:rsid w:val="00DF23B6"/>
    <w:rsid w:val="00DF5CA7"/>
    <w:rsid w:val="00E00489"/>
    <w:rsid w:val="00E05B65"/>
    <w:rsid w:val="00E070F3"/>
    <w:rsid w:val="00E072BE"/>
    <w:rsid w:val="00E20A2C"/>
    <w:rsid w:val="00E33609"/>
    <w:rsid w:val="00E33C07"/>
    <w:rsid w:val="00E34E3D"/>
    <w:rsid w:val="00E36E45"/>
    <w:rsid w:val="00E416BD"/>
    <w:rsid w:val="00E41D5D"/>
    <w:rsid w:val="00E46579"/>
    <w:rsid w:val="00E4673A"/>
    <w:rsid w:val="00E47DF1"/>
    <w:rsid w:val="00E501D3"/>
    <w:rsid w:val="00E51583"/>
    <w:rsid w:val="00E52894"/>
    <w:rsid w:val="00E6215F"/>
    <w:rsid w:val="00E639A5"/>
    <w:rsid w:val="00E66235"/>
    <w:rsid w:val="00E6753D"/>
    <w:rsid w:val="00E740C4"/>
    <w:rsid w:val="00E74E78"/>
    <w:rsid w:val="00E81E28"/>
    <w:rsid w:val="00E82CD3"/>
    <w:rsid w:val="00E8337C"/>
    <w:rsid w:val="00E83C24"/>
    <w:rsid w:val="00E9318D"/>
    <w:rsid w:val="00E93F3E"/>
    <w:rsid w:val="00E97048"/>
    <w:rsid w:val="00EA2DA3"/>
    <w:rsid w:val="00EA69AC"/>
    <w:rsid w:val="00EB38D1"/>
    <w:rsid w:val="00EB3AA1"/>
    <w:rsid w:val="00EE0EF8"/>
    <w:rsid w:val="00EE4200"/>
    <w:rsid w:val="00EE7E69"/>
    <w:rsid w:val="00EF33AF"/>
    <w:rsid w:val="00EF4C03"/>
    <w:rsid w:val="00EF78E6"/>
    <w:rsid w:val="00F0269E"/>
    <w:rsid w:val="00F03FB7"/>
    <w:rsid w:val="00F063C2"/>
    <w:rsid w:val="00F0669C"/>
    <w:rsid w:val="00F103E2"/>
    <w:rsid w:val="00F1763B"/>
    <w:rsid w:val="00F17AC5"/>
    <w:rsid w:val="00F356A4"/>
    <w:rsid w:val="00F36BA5"/>
    <w:rsid w:val="00F505CC"/>
    <w:rsid w:val="00F51CFB"/>
    <w:rsid w:val="00F53193"/>
    <w:rsid w:val="00F5357E"/>
    <w:rsid w:val="00F5590D"/>
    <w:rsid w:val="00F6586C"/>
    <w:rsid w:val="00F67AE3"/>
    <w:rsid w:val="00F70657"/>
    <w:rsid w:val="00F73614"/>
    <w:rsid w:val="00F74EE7"/>
    <w:rsid w:val="00F8082E"/>
    <w:rsid w:val="00F80E67"/>
    <w:rsid w:val="00F82007"/>
    <w:rsid w:val="00F85234"/>
    <w:rsid w:val="00F85C23"/>
    <w:rsid w:val="00F8702B"/>
    <w:rsid w:val="00F9038B"/>
    <w:rsid w:val="00F94774"/>
    <w:rsid w:val="00F96DB1"/>
    <w:rsid w:val="00FA3FDE"/>
    <w:rsid w:val="00FA46D3"/>
    <w:rsid w:val="00FA4C16"/>
    <w:rsid w:val="00FA53DA"/>
    <w:rsid w:val="00FA663B"/>
    <w:rsid w:val="00FC0327"/>
    <w:rsid w:val="00FC53DB"/>
    <w:rsid w:val="00FD4955"/>
    <w:rsid w:val="00FD55DC"/>
    <w:rsid w:val="00FD662E"/>
    <w:rsid w:val="00FE0812"/>
    <w:rsid w:val="00FE4117"/>
    <w:rsid w:val="00FE5ACC"/>
    <w:rsid w:val="00FE7445"/>
    <w:rsid w:val="00FF4CA8"/>
    <w:rsid w:val="45D05996"/>
    <w:rsid w:val="76D560E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5765CF"/>
  <w15:docId w15:val="{85FB9CB9-FFC0-4E05-897C-F0EAB927D0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uiPriority="0"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66063"/>
    <w:pPr>
      <w:tabs>
        <w:tab w:val="left" w:pos="567"/>
        <w:tab w:val="left" w:pos="1134"/>
        <w:tab w:val="left" w:pos="1701"/>
        <w:tab w:val="left" w:pos="2268"/>
      </w:tabs>
      <w:jc w:val="both"/>
    </w:pPr>
    <w:rPr>
      <w:rFonts w:ascii="Times New Roman" w:hAnsi="Times New Roman" w:eastAsia="SimSun" w:cs="Times New Roman"/>
      <w:sz w:val="22"/>
      <w:szCs w:val="22"/>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hAnsi="Times New Roman Bold" w:eastAsiaTheme="majorEastAsia"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styleId="Policepardfaut" w:default="1">
    <w:name w:val="Default Paragraph Font"/>
    <w:uiPriority w:val="1"/>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Grilledutableau">
    <w:name w:val="Table Grid"/>
    <w:basedOn w:val="TableauNormal"/>
    <w:uiPriority w:val="59"/>
    <w:rsid w:val="00C9161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styleId="TextedebullesCar" w:customStyle="1">
    <w:name w:val="Texte de bulles Car"/>
    <w:basedOn w:val="Policepardfaut"/>
    <w:link w:val="Textedebulles"/>
    <w:uiPriority w:val="99"/>
    <w:semiHidden/>
    <w:rsid w:val="00C9161D"/>
    <w:rPr>
      <w:rFonts w:ascii="Lucida Grande" w:hAnsi="Lucida Grande" w:eastAsia="SimSun" w:cs="Lucida Grande"/>
      <w:sz w:val="18"/>
      <w:szCs w:val="18"/>
      <w:lang w:val="ru-RU"/>
    </w:rPr>
  </w:style>
  <w:style w:type="character" w:styleId="Textedelespacerserv">
    <w:name w:val="Placeholder Text"/>
    <w:basedOn w:val="Policepardfaut"/>
    <w:uiPriority w:val="99"/>
    <w:semiHidden/>
    <w:rsid w:val="00105372"/>
    <w:rPr>
      <w:color w:val="808080"/>
      <w:lang w:val="ru-RU"/>
    </w:rPr>
  </w:style>
  <w:style w:type="paragraph" w:styleId="En-tte">
    <w:name w:val="header"/>
    <w:basedOn w:val="Normal"/>
    <w:link w:val="En-tteCar"/>
    <w:rsid w:val="00866063"/>
    <w:pPr>
      <w:pBdr>
        <w:bottom w:val="single" w:color="auto" w:sz="4" w:space="1"/>
      </w:pBdr>
      <w:tabs>
        <w:tab w:val="center" w:pos="4680"/>
        <w:tab w:val="right" w:pos="9360"/>
      </w:tabs>
      <w:jc w:val="left"/>
    </w:pPr>
    <w:rPr>
      <w:sz w:val="20"/>
    </w:rPr>
  </w:style>
  <w:style w:type="character" w:styleId="En-tteCar" w:customStyle="1">
    <w:name w:val="En-tête Car"/>
    <w:basedOn w:val="Policepardfaut"/>
    <w:link w:val="En-tte"/>
    <w:rsid w:val="00866063"/>
    <w:rPr>
      <w:rFonts w:ascii="Times New Roman" w:hAnsi="Times New Roman" w:eastAsia="SimSun" w:cs="Times New Roman"/>
      <w:sz w:val="20"/>
      <w:szCs w:val="22"/>
      <w:lang w:val="ru-RU"/>
    </w:rPr>
  </w:style>
  <w:style w:type="paragraph" w:styleId="Pieddepage">
    <w:name w:val="footer"/>
    <w:basedOn w:val="Normal"/>
    <w:link w:val="PieddepageCar"/>
    <w:uiPriority w:val="99"/>
    <w:rsid w:val="00866063"/>
    <w:pPr>
      <w:tabs>
        <w:tab w:val="center" w:pos="4680"/>
        <w:tab w:val="right" w:pos="9360"/>
      </w:tabs>
    </w:pPr>
    <w:rPr>
      <w:sz w:val="20"/>
    </w:rPr>
  </w:style>
  <w:style w:type="character" w:styleId="PieddepageCar" w:customStyle="1">
    <w:name w:val="Pied de page Car"/>
    <w:basedOn w:val="Policepardfaut"/>
    <w:link w:val="Pieddepage"/>
    <w:uiPriority w:val="99"/>
    <w:rsid w:val="00866063"/>
    <w:rPr>
      <w:rFonts w:ascii="Times New Roman" w:hAnsi="Times New Roman" w:eastAsia="SimSun" w:cs="Times New Roman"/>
      <w:sz w:val="20"/>
      <w:szCs w:val="22"/>
      <w:lang w:val="ru-RU"/>
    </w:rPr>
  </w:style>
  <w:style w:type="paragraph" w:styleId="meetingname" w:customStyle="1">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reCar" w:customStyle="1">
    <w:name w:val="Titre Car"/>
    <w:basedOn w:val="Policepardfaut"/>
    <w:link w:val="Titre"/>
    <w:uiPriority w:val="10"/>
    <w:rsid w:val="007E09DA"/>
    <w:rPr>
      <w:rFonts w:asciiTheme="majorHAnsi" w:hAnsiTheme="majorHAnsi" w:eastAsiaTheme="majorEastAsia" w:cstheme="majorBidi"/>
      <w:color w:val="17365D" w:themeColor="text2" w:themeShade="BF"/>
      <w:spacing w:val="5"/>
      <w:kern w:val="28"/>
      <w:sz w:val="52"/>
      <w:szCs w:val="52"/>
      <w:lang w:val="ru-RU"/>
    </w:rPr>
  </w:style>
  <w:style w:type="paragraph" w:styleId="Sous-titre">
    <w:name w:val="Subtitle"/>
    <w:basedOn w:val="Normal"/>
    <w:next w:val="Normal"/>
    <w:link w:val="Sous-titreCar"/>
    <w:uiPriority w:val="11"/>
    <w:qFormat/>
    <w:rsid w:val="007E09DA"/>
    <w:pPr>
      <w:numPr>
        <w:ilvl w:val="1"/>
      </w:numPr>
    </w:pPr>
    <w:rPr>
      <w:rFonts w:asciiTheme="majorHAnsi" w:hAnsiTheme="majorHAnsi" w:eastAsiaTheme="majorEastAsia" w:cstheme="majorBidi"/>
      <w:i/>
      <w:iCs/>
      <w:color w:val="4F81BD" w:themeColor="accent1"/>
      <w:spacing w:val="15"/>
      <w:sz w:val="24"/>
    </w:rPr>
  </w:style>
  <w:style w:type="character" w:styleId="Sous-titreCar" w:customStyle="1">
    <w:name w:val="Sous-titre Car"/>
    <w:basedOn w:val="Policepardfaut"/>
    <w:link w:val="Sous-titre"/>
    <w:uiPriority w:val="11"/>
    <w:rsid w:val="007E09DA"/>
    <w:rPr>
      <w:rFonts w:asciiTheme="majorHAnsi" w:hAnsiTheme="majorHAnsi" w:eastAsiaTheme="majorEastAsia" w:cstheme="majorBidi"/>
      <w:i/>
      <w:iCs/>
      <w:color w:val="4F81BD" w:themeColor="accent1"/>
      <w:spacing w:val="15"/>
      <w:szCs w:val="22"/>
      <w:lang w:val="ru-RU"/>
    </w:rPr>
  </w:style>
  <w:style w:type="character" w:styleId="Titre1Car" w:customStyle="1">
    <w:name w:val="Titre 1 Car"/>
    <w:basedOn w:val="Policepardfaut"/>
    <w:link w:val="Titre1"/>
    <w:uiPriority w:val="9"/>
    <w:rsid w:val="00866063"/>
    <w:rPr>
      <w:rFonts w:ascii="Times New Roman" w:hAnsi="Times New Roman" w:eastAsiaTheme="majorEastAsia" w:cstheme="majorBidi"/>
      <w:b/>
      <w:bCs/>
      <w:kern w:val="2"/>
      <w:sz w:val="28"/>
      <w:szCs w:val="32"/>
      <w:lang w:val="ru-RU"/>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hAnsiTheme="minorHAnsi" w:eastAsiaTheme="minorHAnsi" w:cstheme="minorBidi"/>
      <w:kern w:val="2"/>
      <w14:ligatures w14:val="standardContextual"/>
    </w:rPr>
  </w:style>
  <w:style w:type="character" w:styleId="CorpsdetexteCar" w:customStyle="1">
    <w:name w:val="Corps de texte Car"/>
    <w:basedOn w:val="Policepardfaut"/>
    <w:link w:val="Corpsdetexte"/>
    <w:uiPriority w:val="99"/>
    <w:rsid w:val="00866063"/>
    <w:rPr>
      <w:rFonts w:eastAsiaTheme="minorHAnsi"/>
      <w:kern w:val="2"/>
      <w:sz w:val="22"/>
      <w:szCs w:val="22"/>
      <w:lang w:val="ru-RU"/>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styleId="RetraitcorpsdetexteCar" w:customStyle="1">
    <w:name w:val="Retrait corps de texte Car"/>
    <w:basedOn w:val="Policepardfaut"/>
    <w:link w:val="Retraitcorpsdetexte"/>
    <w:rsid w:val="007E09DA"/>
    <w:rPr>
      <w:rFonts w:ascii="Times New Roman" w:hAnsi="Times New Roman" w:eastAsia="SimSun" w:cs="Times New Roman"/>
      <w:sz w:val="22"/>
      <w:szCs w:val="22"/>
      <w:lang w:val="ru-RU"/>
    </w:rPr>
  </w:style>
  <w:style w:type="character" w:styleId="Marquedecommentaire">
    <w:name w:val="annotation reference"/>
    <w:basedOn w:val="Policepardfaut"/>
    <w:uiPriority w:val="99"/>
    <w:semiHidden/>
    <w:unhideWhenUsed/>
    <w:rsid w:val="00866063"/>
    <w:rPr>
      <w:sz w:val="16"/>
      <w:szCs w:val="16"/>
      <w:lang w:val="ru-RU"/>
    </w:rPr>
  </w:style>
  <w:style w:type="paragraph" w:styleId="Commentaire">
    <w:name w:val="annotation text"/>
    <w:basedOn w:val="Normal"/>
    <w:link w:val="CommentaireCar"/>
    <w:uiPriority w:val="99"/>
    <w:semiHidden/>
    <w:rsid w:val="00866063"/>
    <w:rPr>
      <w:sz w:val="20"/>
      <w:szCs w:val="20"/>
    </w:rPr>
  </w:style>
  <w:style w:type="character" w:styleId="CommentaireCar" w:customStyle="1">
    <w:name w:val="Commentaire Car"/>
    <w:basedOn w:val="Policepardfaut"/>
    <w:link w:val="Commentaire"/>
    <w:uiPriority w:val="99"/>
    <w:semiHidden/>
    <w:rsid w:val="00866063"/>
    <w:rPr>
      <w:rFonts w:ascii="Times New Roman" w:hAnsi="Times New Roman" w:eastAsia="SimSun" w:cs="Times New Roman"/>
      <w:sz w:val="20"/>
      <w:szCs w:val="20"/>
      <w:lang w:val="ru-RU"/>
    </w:rPr>
  </w:style>
  <w:style w:type="paragraph" w:styleId="Cornernotation" w:customStyle="1">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ru-RU"/>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styleId="NotedefinCar" w:customStyle="1">
    <w:name w:val="Note de fin Car"/>
    <w:basedOn w:val="Policepardfaut"/>
    <w:link w:val="Notedefin"/>
    <w:semiHidden/>
    <w:rsid w:val="007E09DA"/>
    <w:rPr>
      <w:rFonts w:ascii="Courier New" w:hAnsi="Courier New" w:eastAsia="SimSun" w:cs="Times New Roman"/>
      <w:sz w:val="22"/>
      <w:szCs w:val="22"/>
      <w:lang w:val="ru-RU"/>
    </w:rPr>
  </w:style>
  <w:style w:type="character" w:styleId="Lienhypertextesuivivisit">
    <w:name w:val="FollowedHyperlink"/>
    <w:rsid w:val="007E09DA"/>
    <w:rPr>
      <w:color w:val="800080"/>
      <w:u w:val="single"/>
      <w:lang w:val="ru-RU"/>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866063"/>
    <w:rPr>
      <w:vertAlign w:val="superscript"/>
      <w:lang w:val="ru-RU"/>
    </w:rPr>
  </w:style>
  <w:style w:type="paragraph" w:styleId="Notedebasdepage">
    <w:name w:val="footnote text"/>
    <w:basedOn w:val="Normal"/>
    <w:link w:val="NotedebasdepageCar"/>
    <w:uiPriority w:val="99"/>
    <w:unhideWhenUsed/>
    <w:rsid w:val="00866063"/>
    <w:pPr>
      <w:jc w:val="left"/>
    </w:pPr>
    <w:rPr>
      <w:sz w:val="18"/>
      <w:szCs w:val="20"/>
    </w:rPr>
  </w:style>
  <w:style w:type="character" w:styleId="NotedebasdepageCar" w:customStyle="1">
    <w:name w:val="Note de bas de page Car"/>
    <w:basedOn w:val="Policepardfaut"/>
    <w:link w:val="Notedebasdepage"/>
    <w:uiPriority w:val="99"/>
    <w:rsid w:val="00866063"/>
    <w:rPr>
      <w:rFonts w:ascii="Times New Roman" w:hAnsi="Times New Roman" w:eastAsia="SimSun" w:cs="Times New Roman"/>
      <w:sz w:val="18"/>
      <w:szCs w:val="20"/>
      <w:lang w:val="ru-RU"/>
    </w:rPr>
  </w:style>
  <w:style w:type="paragraph" w:styleId="HEADING" w:customStyle="1">
    <w:name w:val="HEADING"/>
    <w:basedOn w:val="Normal"/>
    <w:rsid w:val="007E09DA"/>
    <w:pPr>
      <w:keepNext/>
      <w:spacing w:before="240" w:after="120"/>
      <w:jc w:val="center"/>
    </w:pPr>
    <w:rPr>
      <w:b/>
      <w:bCs/>
      <w:caps/>
    </w:rPr>
  </w:style>
  <w:style w:type="character" w:styleId="Titre2Car" w:customStyle="1">
    <w:name w:val="Titre 2 Car"/>
    <w:basedOn w:val="Policepardfaut"/>
    <w:link w:val="Titre2"/>
    <w:uiPriority w:val="9"/>
    <w:rsid w:val="00866063"/>
    <w:rPr>
      <w:rFonts w:ascii="Times New Roman Bold" w:hAnsi="Times New Roman Bold" w:eastAsiaTheme="majorEastAsia" w:cstheme="majorBidi"/>
      <w:b/>
      <w:szCs w:val="26"/>
      <w:lang w:val="ru-RU"/>
    </w:rPr>
  </w:style>
  <w:style w:type="paragraph" w:styleId="HEADINGNOTFORTOC" w:customStyle="1">
    <w:name w:val="HEADING (NOT FOR TOC)"/>
    <w:basedOn w:val="Titre1"/>
    <w:next w:val="Titre2"/>
    <w:rsid w:val="007E09DA"/>
  </w:style>
  <w:style w:type="paragraph" w:styleId="Heading1longmultiline" w:customStyle="1">
    <w:name w:val="Heading 1 (long multiline)"/>
    <w:basedOn w:val="Titre1"/>
    <w:rsid w:val="007E09DA"/>
    <w:pPr>
      <w:ind w:left="1843" w:hanging="1134"/>
    </w:pPr>
  </w:style>
  <w:style w:type="paragraph" w:styleId="Heading1multiline" w:customStyle="1">
    <w:name w:val="Heading 1 (multiline)"/>
    <w:basedOn w:val="Titre1"/>
    <w:rsid w:val="007E09DA"/>
    <w:pPr>
      <w:ind w:left="1843" w:right="996"/>
    </w:pPr>
  </w:style>
  <w:style w:type="paragraph" w:styleId="Heading2multiline" w:customStyle="1">
    <w:name w:val="Heading 2 (multiline)"/>
    <w:basedOn w:val="Titre1"/>
    <w:next w:val="Normal"/>
    <w:rsid w:val="007E09DA"/>
    <w:pPr>
      <w:spacing w:before="120"/>
      <w:ind w:left="1843" w:right="998"/>
    </w:pPr>
    <w:rPr>
      <w:i/>
      <w:iCs/>
      <w:caps/>
    </w:rPr>
  </w:style>
  <w:style w:type="paragraph" w:styleId="Heading2longmultiline" w:customStyle="1">
    <w:name w:val="Heading 2 (long multiline)"/>
    <w:basedOn w:val="Heading2multiline"/>
    <w:rsid w:val="007E09DA"/>
    <w:pPr>
      <w:ind w:left="2127" w:hanging="1276"/>
    </w:pPr>
  </w:style>
  <w:style w:type="character" w:styleId="Titre3Car" w:customStyle="1">
    <w:name w:val="Titre 3 Car"/>
    <w:basedOn w:val="Policepardfaut"/>
    <w:link w:val="Titre3"/>
    <w:uiPriority w:val="9"/>
    <w:rsid w:val="00866063"/>
    <w:rPr>
      <w:rFonts w:ascii="Times New Roman" w:hAnsi="Times New Roman" w:cs="Times New Roman" w:eastAsiaTheme="majorEastAsia"/>
      <w:b/>
      <w:bCs/>
      <w:sz w:val="22"/>
      <w:szCs w:val="22"/>
      <w:lang w:val="ru-RU"/>
    </w:rPr>
  </w:style>
  <w:style w:type="paragraph" w:styleId="heading2notforTOC" w:customStyle="1">
    <w:name w:val="heading 2 not for TOC"/>
    <w:basedOn w:val="Titre3"/>
    <w:rsid w:val="007E09DA"/>
  </w:style>
  <w:style w:type="paragraph" w:styleId="Heading3multiline" w:customStyle="1">
    <w:name w:val="Heading 3 (multiline)"/>
    <w:basedOn w:val="Titre3"/>
    <w:next w:val="Normal"/>
    <w:rsid w:val="007E09DA"/>
    <w:pPr>
      <w:ind w:left="1418" w:hanging="425"/>
    </w:pPr>
  </w:style>
  <w:style w:type="character" w:styleId="Titre4Car" w:customStyle="1">
    <w:name w:val="Titre 4 Car"/>
    <w:basedOn w:val="Policepardfaut"/>
    <w:link w:val="Titre4"/>
    <w:uiPriority w:val="9"/>
    <w:rsid w:val="00866063"/>
    <w:rPr>
      <w:rFonts w:ascii="Times New Roman" w:hAnsi="Times New Roman" w:cs="Times New Roman" w:eastAsiaTheme="majorEastAsia"/>
      <w:b/>
      <w:bCs/>
      <w:sz w:val="22"/>
      <w:szCs w:val="22"/>
      <w:lang w:val="ru-RU"/>
    </w:rPr>
  </w:style>
  <w:style w:type="paragraph" w:styleId="Heading4indent" w:customStyle="1">
    <w:name w:val="Heading 4 indent"/>
    <w:basedOn w:val="Titre4"/>
    <w:rsid w:val="007E09DA"/>
    <w:pPr>
      <w:ind w:left="720"/>
      <w:outlineLvl w:val="9"/>
    </w:pPr>
  </w:style>
  <w:style w:type="character" w:styleId="Titre5Car" w:customStyle="1">
    <w:name w:val="Titre 5 Car"/>
    <w:basedOn w:val="Policepardfaut"/>
    <w:link w:val="Titre5"/>
    <w:uiPriority w:val="9"/>
    <w:rsid w:val="00866063"/>
    <w:rPr>
      <w:rFonts w:ascii="Times New Roman" w:hAnsi="Times New Roman" w:cs="Times New Roman" w:eastAsiaTheme="majorEastAsia"/>
      <w:i/>
      <w:iCs/>
      <w:sz w:val="22"/>
      <w:szCs w:val="22"/>
      <w:lang w:val="ru-RU"/>
    </w:rPr>
  </w:style>
  <w:style w:type="character" w:styleId="Titre6Car" w:customStyle="1">
    <w:name w:val="Titre 6 Car"/>
    <w:basedOn w:val="Policepardfaut"/>
    <w:link w:val="Titre6"/>
    <w:rsid w:val="00866063"/>
    <w:rPr>
      <w:rFonts w:ascii="Times New Roman" w:hAnsi="Times New Roman" w:eastAsia="SimSun" w:cs="Times New Roman"/>
      <w:bCs/>
      <w:szCs w:val="22"/>
      <w:lang w:val="ru-RU"/>
    </w:rPr>
  </w:style>
  <w:style w:type="character" w:styleId="Titre7Car" w:customStyle="1">
    <w:name w:val="Titre 7 Car"/>
    <w:basedOn w:val="Policepardfaut"/>
    <w:link w:val="Titre7"/>
    <w:rsid w:val="00866063"/>
    <w:rPr>
      <w:rFonts w:ascii="Times New Roman" w:hAnsi="Times New Roman" w:eastAsia="SimSun" w:cs="Times New Roman"/>
      <w:b/>
      <w:snapToGrid w:val="0"/>
      <w:sz w:val="22"/>
      <w:szCs w:val="22"/>
      <w:u w:val="single"/>
      <w:lang w:val="ru-RU"/>
    </w:rPr>
  </w:style>
  <w:style w:type="character" w:styleId="Titre8Car" w:customStyle="1">
    <w:name w:val="Titre 8 Car"/>
    <w:basedOn w:val="Policepardfaut"/>
    <w:link w:val="Titre8"/>
    <w:rsid w:val="00866063"/>
    <w:rPr>
      <w:rFonts w:ascii="Times New Roman" w:hAnsi="Times New Roman" w:eastAsia="SimSun" w:cs="Times New Roman"/>
      <w:b/>
      <w:snapToGrid w:val="0"/>
      <w:sz w:val="22"/>
      <w:szCs w:val="22"/>
      <w:u w:val="single"/>
      <w:lang w:val="ru-RU"/>
    </w:rPr>
  </w:style>
  <w:style w:type="character" w:styleId="Titre9Car" w:customStyle="1">
    <w:name w:val="Titre 9 Car"/>
    <w:basedOn w:val="Policepardfaut"/>
    <w:link w:val="Titre9"/>
    <w:rsid w:val="00866063"/>
    <w:rPr>
      <w:rFonts w:ascii="Times New Roman" w:hAnsi="Times New Roman" w:eastAsia="SimSun" w:cs="Times New Roman"/>
      <w:snapToGrid w:val="0"/>
      <w:sz w:val="22"/>
      <w:szCs w:val="22"/>
      <w:u w:val="single"/>
      <w:lang w:val="ru-RU"/>
    </w:rPr>
  </w:style>
  <w:style w:type="character" w:styleId="Numrodepage">
    <w:name w:val="page number"/>
    <w:rsid w:val="007E09DA"/>
    <w:rPr>
      <w:rFonts w:ascii="Times New Roman" w:hAnsi="Times New Roman"/>
      <w:sz w:val="22"/>
      <w:lang w:val="ru-RU"/>
    </w:rPr>
  </w:style>
  <w:style w:type="paragraph" w:styleId="Para1" w:customStyle="1">
    <w:name w:val="Para1"/>
    <w:basedOn w:val="Normal"/>
    <w:link w:val="Para1Char"/>
    <w:rsid w:val="005B35E2"/>
    <w:pPr>
      <w:numPr>
        <w:numId w:val="1"/>
      </w:numPr>
      <w:tabs>
        <w:tab w:val="clear" w:pos="360"/>
      </w:tabs>
      <w:spacing w:before="120" w:after="120"/>
      <w:ind w:left="567"/>
    </w:pPr>
    <w:rPr>
      <w:snapToGrid w:val="0"/>
      <w:szCs w:val="18"/>
    </w:rPr>
  </w:style>
  <w:style w:type="paragraph" w:styleId="Para2" w:customStyle="1">
    <w:name w:val="Para2"/>
    <w:basedOn w:val="Para1"/>
    <w:rsid w:val="007E09DA"/>
    <w:pPr>
      <w:numPr>
        <w:numId w:val="0"/>
      </w:numPr>
      <w:autoSpaceDE w:val="0"/>
      <w:autoSpaceDN w:val="0"/>
    </w:pPr>
  </w:style>
  <w:style w:type="paragraph" w:styleId="Para3" w:customStyle="1">
    <w:name w:val="Para3"/>
    <w:basedOn w:val="Normal"/>
    <w:rsid w:val="007E09DA"/>
    <w:pPr>
      <w:numPr>
        <w:ilvl w:val="3"/>
        <w:numId w:val="2"/>
      </w:numPr>
      <w:tabs>
        <w:tab w:val="left" w:pos="1980"/>
      </w:tabs>
      <w:spacing w:before="80" w:after="80"/>
    </w:pPr>
    <w:rPr>
      <w:szCs w:val="20"/>
    </w:rPr>
  </w:style>
  <w:style w:type="paragraph" w:styleId="para4" w:customStyle="1">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styleId="Para-decision" w:customStyle="1">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styleId="Quotationtextindented" w:customStyle="1">
    <w:name w:val="Quotation text (indented)"/>
    <w:basedOn w:val="Normal"/>
    <w:qFormat/>
    <w:rsid w:val="007E09DA"/>
    <w:pPr>
      <w:spacing w:before="120" w:after="120"/>
      <w:ind w:left="720" w:right="720"/>
    </w:pPr>
    <w:rPr>
      <w:bCs/>
    </w:rPr>
  </w:style>
  <w:style w:type="paragraph" w:styleId="recommendationheader" w:customStyle="1">
    <w:name w:val="recommendation header"/>
    <w:basedOn w:val="Titre2"/>
    <w:qFormat/>
    <w:rsid w:val="007E09DA"/>
  </w:style>
  <w:style w:type="paragraph" w:styleId="recommendationheaderlong" w:customStyle="1">
    <w:name w:val="recommendation header long"/>
    <w:basedOn w:val="Heading2longmultiline"/>
    <w:qFormat/>
    <w:rsid w:val="007E09DA"/>
  </w:style>
  <w:style w:type="paragraph" w:styleId="reference" w:customStyle="1">
    <w:name w:val="reference"/>
    <w:basedOn w:val="Titre9"/>
    <w:qFormat/>
    <w:rsid w:val="007E09DA"/>
    <w:rPr>
      <w:i/>
      <w:sz w:val="18"/>
    </w:rPr>
  </w:style>
  <w:style w:type="character" w:styleId="StyleFootnoteReferenceNounderline" w:customStyle="1">
    <w:name w:val="Style Footnote Reference + No underline"/>
    <w:rsid w:val="007E09DA"/>
    <w:rPr>
      <w:sz w:val="18"/>
      <w:u w:val="none"/>
      <w:vertAlign w:val="baseline"/>
      <w:lang w:val="ru-RU"/>
    </w:rPr>
  </w:style>
  <w:style w:type="paragraph" w:styleId="tabletitle" w:customStyle="1">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ru-RU"/>
    </w:rPr>
  </w:style>
  <w:style w:type="character" w:styleId="Para1Char" w:customStyle="1">
    <w:name w:val="Para1 Char"/>
    <w:link w:val="Para1"/>
    <w:locked/>
    <w:rsid w:val="005B35E2"/>
    <w:rPr>
      <w:rFonts w:ascii="Times New Roman" w:hAnsi="Times New Roman" w:eastAsia="SimSun" w:cs="Times New Roman"/>
      <w:snapToGrid w:val="0"/>
      <w:sz w:val="22"/>
      <w:szCs w:val="18"/>
      <w:lang w:val="ru-RU"/>
    </w:rPr>
  </w:style>
  <w:style w:type="paragraph" w:styleId="CBD-Doc-Type" w:customStyle="1">
    <w:name w:val="CBD-Doc-Type"/>
    <w:basedOn w:val="Normal"/>
    <w:rsid w:val="00172AF6"/>
    <w:pPr>
      <w:keepLines/>
      <w:spacing w:before="240" w:after="120"/>
    </w:pPr>
    <w:rPr>
      <w:rFonts w:cs="Angsana New"/>
      <w:b/>
      <w:i/>
      <w:sz w:val="24"/>
    </w:rPr>
  </w:style>
  <w:style w:type="paragraph" w:styleId="CBD-Doc" w:customStyle="1">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tyle1" w:customStyle="1">
    <w:name w:val="Style1"/>
    <w:basedOn w:val="Titre2"/>
    <w:qFormat/>
    <w:rsid w:val="00F6586C"/>
    <w:rPr>
      <w:i/>
    </w:rPr>
  </w:style>
  <w:style w:type="table" w:styleId="TableGrid1" w:customStyle="1">
    <w:name w:val="Table Grid1"/>
    <w:basedOn w:val="TableauNormal"/>
    <w:next w:val="Grilledutableau"/>
    <w:uiPriority w:val="59"/>
    <w:rsid w:val="00726A43"/>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vision">
    <w:name w:val="Revision"/>
    <w:hidden/>
    <w:uiPriority w:val="99"/>
    <w:semiHidden/>
    <w:rsid w:val="00866063"/>
    <w:rPr>
      <w:rFonts w:ascii="Simplified Arabic" w:hAnsi="Simplified Arabic" w:eastAsia="Times New Roman" w:cs="Simplified Arabic"/>
      <w:noProof/>
    </w:rPr>
  </w:style>
  <w:style w:type="paragraph" w:styleId="DarkList-Accent31" w:customStyle="1">
    <w:name w:val="Dark List - Accent 31"/>
    <w:hidden/>
    <w:uiPriority w:val="99"/>
    <w:semiHidden/>
    <w:rsid w:val="00866063"/>
    <w:rPr>
      <w:rFonts w:ascii="Times New Roman" w:hAnsi="Times New Roman" w:eastAsia="SimSun" w:cs="Times New Roman"/>
      <w:sz w:val="22"/>
      <w:szCs w:val="22"/>
      <w:lang w:eastAsia="en-GB"/>
    </w:rPr>
  </w:style>
  <w:style w:type="paragraph" w:styleId="CBDNormalNoNumber" w:customStyle="1">
    <w:name w:val="CBD_Normal_NoNumber"/>
    <w:basedOn w:val="CBDNormal"/>
    <w:qFormat/>
    <w:rsid w:val="00866063"/>
    <w:pPr>
      <w:spacing w:after="120"/>
      <w:ind w:left="567"/>
    </w:pPr>
  </w:style>
  <w:style w:type="paragraph" w:styleId="Footnote" w:customStyle="1">
    <w:name w:val="Footnote"/>
    <w:basedOn w:val="Notedebasdepage"/>
    <w:semiHidden/>
    <w:qFormat/>
    <w:rsid w:val="00866063"/>
    <w:rPr>
      <w:szCs w:val="18"/>
    </w:rPr>
  </w:style>
  <w:style w:type="paragraph" w:styleId="Annex" w:customStyle="1">
    <w:name w:val="Annex"/>
    <w:basedOn w:val="Normal"/>
    <w:semiHidden/>
    <w:qFormat/>
    <w:rsid w:val="00866063"/>
    <w:pPr>
      <w:spacing w:after="240"/>
    </w:pPr>
    <w:rPr>
      <w:b/>
      <w:sz w:val="28"/>
    </w:rPr>
  </w:style>
  <w:style w:type="paragraph" w:styleId="ABSymbol" w:customStyle="1">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styleId="CBDNormalNumber" w:customStyle="1">
    <w:name w:val="CBD_Normal_Number"/>
    <w:basedOn w:val="CBDNormal"/>
    <w:qFormat/>
    <w:rsid w:val="00866063"/>
    <w:pPr>
      <w:numPr>
        <w:numId w:val="7"/>
      </w:numPr>
      <w:tabs>
        <w:tab w:val="left" w:pos="3969"/>
      </w:tabs>
      <w:spacing w:before="120" w:after="120"/>
    </w:pPr>
  </w:style>
  <w:style w:type="paragraph" w:styleId="AFCorNNormal" w:customStyle="1">
    <w:name w:val="AF_CorNNormal"/>
    <w:basedOn w:val="Normal"/>
    <w:unhideWhenUsed/>
    <w:rsid w:val="00866063"/>
    <w:pPr>
      <w:jc w:val="left"/>
    </w:pPr>
  </w:style>
  <w:style w:type="paragraph" w:styleId="AEDistrNormal" w:customStyle="1">
    <w:name w:val="AE_DistrNormal"/>
    <w:basedOn w:val="Normal"/>
    <w:unhideWhenUsed/>
    <w:rsid w:val="00866063"/>
    <w:pPr>
      <w:jc w:val="left"/>
    </w:pPr>
  </w:style>
  <w:style w:type="paragraph" w:styleId="AASmallLogo" w:customStyle="1">
    <w:name w:val="AA_SmallLogo"/>
    <w:basedOn w:val="AEDistrNormal"/>
    <w:unhideWhenUsed/>
    <w:rsid w:val="00866063"/>
    <w:pPr>
      <w:spacing w:before="40"/>
    </w:pPr>
    <w:rPr>
      <w:sz w:val="4"/>
    </w:rPr>
  </w:style>
  <w:style w:type="paragraph" w:styleId="ACLargeLogo" w:customStyle="1">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styleId="ObjetducommentaireCar" w:customStyle="1">
    <w:name w:val="Objet du commentaire Car"/>
    <w:basedOn w:val="CommentaireCar"/>
    <w:link w:val="Objetducommentaire"/>
    <w:uiPriority w:val="99"/>
    <w:semiHidden/>
    <w:rsid w:val="00866063"/>
    <w:rPr>
      <w:rFonts w:ascii="Times New Roman" w:hAnsi="Times New Roman" w:eastAsia="SimSun" w:cs="Times New Roman"/>
      <w:b/>
      <w:bCs/>
      <w:sz w:val="20"/>
      <w:szCs w:val="20"/>
      <w:lang w:val="ru-RU"/>
    </w:rPr>
  </w:style>
  <w:style w:type="paragraph" w:styleId="Item" w:customStyle="1">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styleId="CBDNormal" w:customStyle="1">
    <w:name w:val="CBD_Normal"/>
    <w:unhideWhenUsed/>
    <w:qFormat/>
    <w:rsid w:val="00866063"/>
    <w:pPr>
      <w:tabs>
        <w:tab w:val="left" w:pos="567"/>
        <w:tab w:val="left" w:pos="1134"/>
        <w:tab w:val="left" w:pos="1701"/>
        <w:tab w:val="left" w:pos="2268"/>
        <w:tab w:val="left" w:pos="2835"/>
        <w:tab w:val="left" w:pos="3402"/>
      </w:tabs>
      <w:jc w:val="both"/>
    </w:pPr>
    <w:rPr>
      <w:rFonts w:ascii="Times New Roman" w:hAnsi="Times New Roman" w:eastAsia="SimSun" w:cs="Times New Roman"/>
      <w:sz w:val="22"/>
      <w:szCs w:val="22"/>
    </w:rPr>
  </w:style>
  <w:style w:type="paragraph" w:styleId="Liste">
    <w:name w:val="List"/>
    <w:basedOn w:val="Normal"/>
    <w:semiHidden/>
    <w:rsid w:val="00866063"/>
    <w:pPr>
      <w:contextualSpacing/>
    </w:pPr>
  </w:style>
  <w:style w:type="numbering" w:styleId="ListCBD" w:customStyle="1">
    <w:name w:val="ListCBD"/>
    <w:basedOn w:val="Aucuneliste"/>
    <w:uiPriority w:val="99"/>
    <w:rsid w:val="00866063"/>
    <w:pPr>
      <w:numPr>
        <w:numId w:val="5"/>
      </w:numPr>
    </w:pPr>
  </w:style>
  <w:style w:type="numbering" w:styleId="CBDHeadings" w:customStyle="1">
    <w:name w:val="CBD_Headings"/>
    <w:basedOn w:val="ListCBD"/>
    <w:uiPriority w:val="99"/>
    <w:rsid w:val="00866063"/>
    <w:pPr>
      <w:numPr>
        <w:numId w:val="6"/>
      </w:numPr>
    </w:pPr>
  </w:style>
  <w:style w:type="paragraph" w:styleId="AISpacer" w:customStyle="1">
    <w:name w:val="AI_Spacer"/>
    <w:next w:val="Normal"/>
    <w:unhideWhenUsed/>
    <w:qFormat/>
    <w:rsid w:val="00866063"/>
    <w:rPr>
      <w:rFonts w:ascii="Times New Roman" w:hAnsi="Times New Roman" w:eastAsia="SimSun" w:cs="Times New Roman"/>
      <w:sz w:val="2"/>
      <w:szCs w:val="22"/>
    </w:rPr>
  </w:style>
  <w:style w:type="paragraph" w:styleId="AEDistrNormal6pt" w:customStyle="1">
    <w:name w:val="AE_DistrNormal6pt"/>
    <w:basedOn w:val="AEDistrNormal"/>
    <w:next w:val="AFCorNNormal"/>
    <w:unhideWhenUsed/>
    <w:qFormat/>
    <w:rsid w:val="00866063"/>
    <w:pPr>
      <w:spacing w:before="120"/>
    </w:pPr>
  </w:style>
  <w:style w:type="paragraph" w:styleId="AFCorNBold" w:customStyle="1">
    <w:name w:val="AF_CorNBold"/>
    <w:basedOn w:val="AFCorNNormal"/>
    <w:next w:val="AFCorNNormal"/>
    <w:unhideWhenUsed/>
    <w:qFormat/>
    <w:rsid w:val="00866063"/>
    <w:rPr>
      <w:b/>
    </w:rPr>
  </w:style>
  <w:style w:type="paragraph" w:styleId="AFCorN12Bold" w:customStyle="1">
    <w:name w:val="AF_CorN12Bold"/>
    <w:basedOn w:val="AFCorNNormal"/>
    <w:next w:val="AFCorNNormal"/>
    <w:unhideWhenUsed/>
    <w:qFormat/>
    <w:rsid w:val="00866063"/>
    <w:rPr>
      <w:b/>
      <w:sz w:val="24"/>
    </w:rPr>
  </w:style>
  <w:style w:type="paragraph" w:styleId="CBDAgendaItem" w:customStyle="1">
    <w:name w:val="CBD_AgendaItem"/>
    <w:basedOn w:val="Normal"/>
    <w:qFormat/>
    <w:rsid w:val="00A111D1"/>
    <w:pPr>
      <w:keepNext/>
      <w:keepLines/>
      <w:spacing w:before="240" w:after="120"/>
      <w:jc w:val="left"/>
    </w:pPr>
    <w:rPr>
      <w:b/>
      <w:sz w:val="24"/>
    </w:rPr>
  </w:style>
  <w:style w:type="paragraph" w:styleId="CBDDesicionText" w:customStyle="1">
    <w:name w:val="CBD_DesicionText"/>
    <w:basedOn w:val="CBDNormal"/>
    <w:qFormat/>
    <w:rsid w:val="00866063"/>
    <w:pPr>
      <w:spacing w:after="120"/>
      <w:ind w:left="567" w:firstLine="567"/>
    </w:pPr>
  </w:style>
  <w:style w:type="paragraph" w:styleId="CBDDesicionAnnex" w:customStyle="1">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styleId="CBDAnnex" w:customStyle="1">
    <w:name w:val="CBD_Annex"/>
    <w:basedOn w:val="CBDNormal"/>
    <w:next w:val="CBDTitle"/>
    <w:qFormat/>
    <w:rsid w:val="00866063"/>
    <w:pPr>
      <w:keepNext/>
      <w:keepLines/>
      <w:spacing w:after="240"/>
      <w:jc w:val="left"/>
    </w:pPr>
    <w:rPr>
      <w:b/>
      <w:sz w:val="28"/>
      <w:lang w:bidi="ar-SY"/>
    </w:rPr>
  </w:style>
  <w:style w:type="paragraph" w:styleId="CBDSubTitle" w:customStyle="1">
    <w:name w:val="CBD_SubTitle"/>
    <w:basedOn w:val="CBDNormal"/>
    <w:qFormat/>
    <w:rsid w:val="00866063"/>
    <w:pPr>
      <w:keepNext/>
      <w:keepLines/>
      <w:spacing w:before="240" w:after="240"/>
      <w:ind w:left="567"/>
      <w:jc w:val="left"/>
    </w:pPr>
    <w:rPr>
      <w:b/>
    </w:rPr>
  </w:style>
  <w:style w:type="paragraph" w:styleId="CBDTitle" w:customStyle="1">
    <w:name w:val="CBD_Title"/>
    <w:basedOn w:val="CBDNormal"/>
    <w:next w:val="CBDSubTitle"/>
    <w:qFormat/>
    <w:rsid w:val="00866063"/>
    <w:pPr>
      <w:keepNext/>
      <w:keepLines/>
      <w:spacing w:before="240" w:after="240"/>
      <w:ind w:left="567"/>
      <w:jc w:val="left"/>
    </w:pPr>
    <w:rPr>
      <w:b/>
      <w:sz w:val="28"/>
    </w:rPr>
  </w:style>
  <w:style w:type="paragraph" w:styleId="AENormal" w:customStyle="1">
    <w:name w:val="AE_Normal"/>
    <w:basedOn w:val="Normal"/>
    <w:rsid w:val="00866063"/>
  </w:style>
  <w:style w:type="paragraph" w:styleId="CBDH1" w:customStyle="1">
    <w:name w:val="CBD_H1"/>
    <w:basedOn w:val="CBDNormal"/>
    <w:qFormat/>
    <w:rsid w:val="00866063"/>
    <w:pPr>
      <w:keepNext/>
      <w:keepLines/>
      <w:spacing w:before="240" w:after="120"/>
      <w:ind w:left="567" w:hanging="567"/>
      <w:jc w:val="left"/>
      <w:outlineLvl w:val="0"/>
    </w:pPr>
    <w:rPr>
      <w:b/>
      <w:sz w:val="28"/>
    </w:rPr>
  </w:style>
  <w:style w:type="paragraph" w:styleId="CBDH2" w:customStyle="1">
    <w:name w:val="CBD_H2"/>
    <w:basedOn w:val="CBDNormalNumber"/>
    <w:qFormat/>
    <w:rsid w:val="00866063"/>
    <w:pPr>
      <w:keepNext/>
      <w:keepLines/>
      <w:numPr>
        <w:numId w:val="0"/>
      </w:numPr>
      <w:ind w:left="567" w:hanging="567"/>
    </w:pPr>
    <w:rPr>
      <w:b/>
      <w:sz w:val="24"/>
    </w:rPr>
  </w:style>
  <w:style w:type="paragraph" w:styleId="CBDFootnoteText" w:customStyle="1">
    <w:name w:val="CBD_Footnote_Text"/>
    <w:basedOn w:val="CBDNormal"/>
    <w:qFormat/>
    <w:rsid w:val="00866063"/>
    <w:pPr>
      <w:jc w:val="left"/>
    </w:pPr>
    <w:rPr>
      <w:sz w:val="18"/>
    </w:rPr>
  </w:style>
  <w:style w:type="paragraph" w:styleId="CBDFooter" w:customStyle="1">
    <w:name w:val="CBD_Footer"/>
    <w:basedOn w:val="CBDNormal"/>
    <w:qFormat/>
    <w:rsid w:val="00866063"/>
    <w:rPr>
      <w:sz w:val="20"/>
    </w:rPr>
  </w:style>
  <w:style w:type="paragraph" w:styleId="CBDHeader" w:customStyle="1">
    <w:name w:val="CBD_Header"/>
    <w:basedOn w:val="CBDNormal"/>
    <w:next w:val="CBDFooter"/>
    <w:qFormat/>
    <w:rsid w:val="00866063"/>
    <w:pPr>
      <w:pBdr>
        <w:bottom w:val="single" w:color="auto" w:sz="4" w:space="1"/>
      </w:pBdr>
      <w:tabs>
        <w:tab w:val="center" w:pos="4678"/>
        <w:tab w:val="right" w:pos="9361"/>
      </w:tabs>
      <w:jc w:val="left"/>
    </w:pPr>
    <w:rPr>
      <w:sz w:val="20"/>
      <w:szCs w:val="20"/>
    </w:rPr>
  </w:style>
  <w:style w:type="paragraph" w:styleId="CBDH3" w:customStyle="1">
    <w:name w:val="CBD_H3"/>
    <w:basedOn w:val="CBDNormal"/>
    <w:qFormat/>
    <w:rsid w:val="00866063"/>
    <w:pPr>
      <w:keepNext/>
      <w:keepLines/>
      <w:spacing w:before="120" w:after="120"/>
      <w:ind w:left="567" w:hanging="567"/>
      <w:jc w:val="left"/>
    </w:pPr>
    <w:rPr>
      <w:b/>
    </w:rPr>
  </w:style>
  <w:style w:type="paragraph" w:styleId="CBDH4" w:customStyle="1">
    <w:name w:val="CBD_H4"/>
    <w:basedOn w:val="CBDNormal"/>
    <w:rsid w:val="00866063"/>
    <w:pPr>
      <w:keepNext/>
      <w:keepLines/>
      <w:spacing w:before="120" w:after="120"/>
      <w:ind w:left="567" w:hanging="567"/>
      <w:jc w:val="left"/>
    </w:pPr>
    <w:rPr>
      <w:b/>
    </w:rPr>
  </w:style>
  <w:style w:type="paragraph" w:styleId="CBDH5" w:customStyle="1">
    <w:name w:val="CBD_H5"/>
    <w:basedOn w:val="CBDNormal"/>
    <w:qFormat/>
    <w:rsid w:val="00866063"/>
    <w:pPr>
      <w:keepNext/>
      <w:keepLines/>
      <w:spacing w:before="120" w:after="120"/>
      <w:ind w:left="567" w:hanging="567"/>
      <w:jc w:val="left"/>
    </w:pPr>
    <w:rPr>
      <w:i/>
    </w:rPr>
  </w:style>
  <w:style w:type="paragraph" w:styleId="CBDTableNormal" w:customStyle="1">
    <w:name w:val="CBD_TableNormal"/>
    <w:basedOn w:val="CBDNormal"/>
    <w:qFormat/>
    <w:rsid w:val="00866063"/>
    <w:pPr>
      <w:spacing w:before="40" w:after="80"/>
      <w:jc w:val="left"/>
    </w:pPr>
    <w:rPr>
      <w:sz w:val="20"/>
    </w:rPr>
  </w:style>
  <w:style w:type="paragraph" w:styleId="CBDTableTitle" w:customStyle="1">
    <w:name w:val="CBD_TableTitle"/>
    <w:basedOn w:val="CBDNormal"/>
    <w:qFormat/>
    <w:rsid w:val="00866063"/>
    <w:pPr>
      <w:keepNext/>
      <w:keepLines/>
      <w:spacing w:before="120" w:after="60"/>
      <w:ind w:left="567"/>
      <w:jc w:val="left"/>
    </w:pPr>
    <w:rPr>
      <w:b/>
    </w:rPr>
  </w:style>
  <w:style w:type="paragraph" w:styleId="CBDFigureTitle" w:customStyle="1">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color="4F81BD" w:themeColor="accent1" w:sz="2" w:space="10"/>
        <w:left w:val="single" w:color="4F81BD" w:themeColor="accent1" w:sz="2" w:space="10"/>
        <w:bottom w:val="single" w:color="4F81BD" w:themeColor="accent1" w:sz="2" w:space="10"/>
        <w:right w:val="single" w:color="4F81BD" w:themeColor="accent1" w:sz="2" w:space="10"/>
      </w:pBdr>
      <w:ind w:left="1152" w:right="1152"/>
    </w:pPr>
    <w:rPr>
      <w:rFonts w:asciiTheme="minorHAnsi" w:hAnsiTheme="minorHAnsi" w:eastAsiaTheme="minorEastAsia"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styleId="Corpsdetexte2Car" w:customStyle="1">
    <w:name w:val="Corps de texte 2 Car"/>
    <w:basedOn w:val="Policepardfaut"/>
    <w:link w:val="Corpsdetexte2"/>
    <w:uiPriority w:val="99"/>
    <w:semiHidden/>
    <w:rsid w:val="00A111D1"/>
    <w:rPr>
      <w:rFonts w:ascii="Times New Roman" w:hAnsi="Times New Roman" w:eastAsia="SimSun" w:cs="Times New Roman"/>
      <w:sz w:val="22"/>
      <w:szCs w:val="22"/>
      <w:lang w:val="ru-RU"/>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styleId="Corpsdetexte3Car" w:customStyle="1">
    <w:name w:val="Corps de texte 3 Car"/>
    <w:basedOn w:val="Policepardfaut"/>
    <w:link w:val="Corpsdetexte3"/>
    <w:uiPriority w:val="99"/>
    <w:semiHidden/>
    <w:rsid w:val="00A111D1"/>
    <w:rPr>
      <w:rFonts w:ascii="Times New Roman" w:hAnsi="Times New Roman" w:eastAsia="SimSun" w:cs="Times New Roman"/>
      <w:sz w:val="16"/>
      <w:szCs w:val="16"/>
      <w:lang w:val="ru-RU"/>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hAnsi="Times New Roman" w:eastAsia="SimSun" w:cs="Times New Roman"/>
      <w:kern w:val="0"/>
      <w14:ligatures w14:val="none"/>
    </w:rPr>
  </w:style>
  <w:style w:type="character" w:styleId="Retrait1religneCar" w:customStyle="1">
    <w:name w:val="Retrait 1re ligne Car"/>
    <w:basedOn w:val="CorpsdetexteCar"/>
    <w:link w:val="Retrait1religne"/>
    <w:uiPriority w:val="99"/>
    <w:semiHidden/>
    <w:rsid w:val="00A111D1"/>
    <w:rPr>
      <w:rFonts w:ascii="Times New Roman" w:hAnsi="Times New Roman" w:eastAsia="SimSun" w:cs="Times New Roman"/>
      <w:kern w:val="2"/>
      <w:sz w:val="22"/>
      <w:szCs w:val="22"/>
      <w:lang w:val="ru-RU"/>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styleId="Retraitcorpset1religCar" w:customStyle="1">
    <w:name w:val="Retrait corps et 1re lig. Car"/>
    <w:basedOn w:val="RetraitcorpsdetexteCar"/>
    <w:link w:val="Retraitcorpset1relig"/>
    <w:uiPriority w:val="99"/>
    <w:semiHidden/>
    <w:rsid w:val="00A111D1"/>
    <w:rPr>
      <w:rFonts w:ascii="Times New Roman" w:hAnsi="Times New Roman" w:eastAsia="SimSun" w:cs="Times New Roman"/>
      <w:sz w:val="22"/>
      <w:szCs w:val="22"/>
      <w:lang w:val="ru-RU"/>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styleId="Retraitcorpsdetexte2Car" w:customStyle="1">
    <w:name w:val="Retrait corps de texte 2 Car"/>
    <w:basedOn w:val="Policepardfaut"/>
    <w:link w:val="Retraitcorpsdetexte2"/>
    <w:uiPriority w:val="99"/>
    <w:semiHidden/>
    <w:rsid w:val="00A111D1"/>
    <w:rPr>
      <w:rFonts w:ascii="Times New Roman" w:hAnsi="Times New Roman" w:eastAsia="SimSun" w:cs="Times New Roman"/>
      <w:sz w:val="22"/>
      <w:szCs w:val="22"/>
      <w:lang w:val="ru-RU"/>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styleId="Retraitcorpsdetexte3Car" w:customStyle="1">
    <w:name w:val="Retrait corps de texte 3 Car"/>
    <w:basedOn w:val="Policepardfaut"/>
    <w:link w:val="Retraitcorpsdetexte3"/>
    <w:uiPriority w:val="99"/>
    <w:semiHidden/>
    <w:rsid w:val="00A111D1"/>
    <w:rPr>
      <w:rFonts w:ascii="Times New Roman" w:hAnsi="Times New Roman" w:eastAsia="SimSun" w:cs="Times New Roman"/>
      <w:sz w:val="16"/>
      <w:szCs w:val="16"/>
      <w:lang w:val="ru-RU"/>
    </w:rPr>
  </w:style>
  <w:style w:type="character" w:styleId="Titredulivre">
    <w:name w:val="Book Title"/>
    <w:basedOn w:val="Policepardfaut"/>
    <w:uiPriority w:val="33"/>
    <w:qFormat/>
    <w:rsid w:val="00A111D1"/>
    <w:rPr>
      <w:b/>
      <w:bCs/>
      <w:i/>
      <w:iCs/>
      <w:spacing w:val="5"/>
      <w:lang w:val="ru-RU"/>
    </w:rPr>
  </w:style>
  <w:style w:type="paragraph" w:styleId="Formuledepolitesse">
    <w:name w:val="Closing"/>
    <w:basedOn w:val="Normal"/>
    <w:link w:val="FormuledepolitesseCar"/>
    <w:uiPriority w:val="99"/>
    <w:semiHidden/>
    <w:unhideWhenUsed/>
    <w:rsid w:val="00A111D1"/>
    <w:pPr>
      <w:ind w:left="4252"/>
    </w:pPr>
  </w:style>
  <w:style w:type="character" w:styleId="FormuledepolitesseCar" w:customStyle="1">
    <w:name w:val="Formule de politesse Car"/>
    <w:basedOn w:val="Policepardfaut"/>
    <w:link w:val="Formuledepolitesse"/>
    <w:uiPriority w:val="99"/>
    <w:semiHidden/>
    <w:rsid w:val="00A111D1"/>
    <w:rPr>
      <w:rFonts w:ascii="Times New Roman" w:hAnsi="Times New Roman" w:eastAsia="SimSun" w:cs="Times New Roman"/>
      <w:sz w:val="22"/>
      <w:szCs w:val="22"/>
      <w:lang w:val="ru-RU"/>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styleId="DateCar" w:customStyle="1">
    <w:name w:val="Date Car"/>
    <w:basedOn w:val="Policepardfaut"/>
    <w:link w:val="Date"/>
    <w:uiPriority w:val="99"/>
    <w:semiHidden/>
    <w:rsid w:val="00A111D1"/>
    <w:rPr>
      <w:rFonts w:ascii="Times New Roman" w:hAnsi="Times New Roman" w:eastAsia="SimSun" w:cs="Times New Roman"/>
      <w:sz w:val="22"/>
      <w:szCs w:val="22"/>
      <w:lang w:val="ru-RU"/>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styleId="ExplorateurdedocumentsCar" w:customStyle="1">
    <w:name w:val="Explorateur de documents Car"/>
    <w:basedOn w:val="Policepardfaut"/>
    <w:link w:val="Explorateurdedocuments"/>
    <w:uiPriority w:val="99"/>
    <w:semiHidden/>
    <w:rsid w:val="00A111D1"/>
    <w:rPr>
      <w:rFonts w:ascii="Segoe UI" w:hAnsi="Segoe UI" w:eastAsia="SimSun" w:cs="Segoe UI"/>
      <w:sz w:val="16"/>
      <w:szCs w:val="16"/>
      <w:lang w:val="ru-RU"/>
    </w:rPr>
  </w:style>
  <w:style w:type="paragraph" w:styleId="Signaturelectronique">
    <w:name w:val="E-mail Signature"/>
    <w:basedOn w:val="Normal"/>
    <w:link w:val="SignaturelectroniqueCar"/>
    <w:uiPriority w:val="99"/>
    <w:semiHidden/>
    <w:unhideWhenUsed/>
    <w:rsid w:val="00A111D1"/>
  </w:style>
  <w:style w:type="character" w:styleId="SignaturelectroniqueCar" w:customStyle="1">
    <w:name w:val="Signature électronique Car"/>
    <w:basedOn w:val="Policepardfaut"/>
    <w:link w:val="Signaturelectronique"/>
    <w:uiPriority w:val="99"/>
    <w:semiHidden/>
    <w:rsid w:val="00A111D1"/>
    <w:rPr>
      <w:rFonts w:ascii="Times New Roman" w:hAnsi="Times New Roman" w:eastAsia="SimSun" w:cs="Times New Roman"/>
      <w:sz w:val="22"/>
      <w:szCs w:val="22"/>
      <w:lang w:val="ru-RU"/>
    </w:rPr>
  </w:style>
  <w:style w:type="character" w:styleId="Accentuation">
    <w:name w:val="Emphasis"/>
    <w:basedOn w:val="Policepardfaut"/>
    <w:uiPriority w:val="20"/>
    <w:qFormat/>
    <w:rsid w:val="00A111D1"/>
    <w:rPr>
      <w:i/>
      <w:iCs/>
      <w:lang w:val="ru-RU"/>
    </w:rPr>
  </w:style>
  <w:style w:type="paragraph" w:styleId="Adressedestinataire">
    <w:name w:val="envelope address"/>
    <w:basedOn w:val="Normal"/>
    <w:uiPriority w:val="99"/>
    <w:semiHidden/>
    <w:unhideWhenUsed/>
    <w:rsid w:val="00A111D1"/>
    <w:pPr>
      <w:framePr w:w="7920" w:h="1980" w:hSpace="180" w:wrap="auto" w:hAnchor="page" w:xAlign="center" w:yAlign="bottom" w:hRule="exact"/>
      <w:ind w:left="2880"/>
    </w:pPr>
    <w:rPr>
      <w:rFonts w:asciiTheme="majorHAnsi" w:hAnsiTheme="majorHAnsi" w:eastAsiaTheme="majorEastAsia" w:cstheme="majorBidi"/>
      <w:sz w:val="24"/>
      <w:szCs w:val="24"/>
    </w:rPr>
  </w:style>
  <w:style w:type="paragraph" w:styleId="Adresseexpditeur">
    <w:name w:val="envelope return"/>
    <w:basedOn w:val="Normal"/>
    <w:uiPriority w:val="99"/>
    <w:semiHidden/>
    <w:unhideWhenUsed/>
    <w:rsid w:val="00A111D1"/>
    <w:rPr>
      <w:rFonts w:asciiTheme="majorHAnsi" w:hAnsiTheme="majorHAnsi" w:eastAsiaTheme="majorEastAsia"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2" w:space="0"/>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blPr/>
      <w:tcPr>
        <w:tcBorders>
          <w:bottom w:val="single" w:color="D99594" w:themeColor="accent2" w:themeTint="99" w:sz="12" w:space="0"/>
        </w:tcBorders>
      </w:tcPr>
    </w:tblStylePr>
    <w:tblStylePr w:type="lastRow">
      <w:rPr>
        <w:b/>
        <w:bCs/>
      </w:rPr>
      <w:tblPr/>
      <w:tcPr>
        <w:tcBorders>
          <w:top w:val="double" w:color="D99594" w:themeColor="accent2" w:themeTint="99" w:sz="2" w:space="0"/>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blPr/>
      <w:tcPr>
        <w:tcBorders>
          <w:bottom w:val="single" w:color="C2D69B" w:themeColor="accent3" w:themeTint="99" w:sz="12" w:space="0"/>
        </w:tcBorders>
      </w:tcPr>
    </w:tblStylePr>
    <w:tblStylePr w:type="lastRow">
      <w:rPr>
        <w:b/>
        <w:bCs/>
      </w:rPr>
      <w:tblPr/>
      <w:tcPr>
        <w:tcBorders>
          <w:top w:val="double" w:color="C2D69B" w:themeColor="accent3" w:themeTint="99" w:sz="2" w:space="0"/>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color="CCC0D9" w:themeColor="accent4" w:themeTint="66" w:sz="4" w:space="0"/>
        <w:left w:val="single" w:color="CCC0D9" w:themeColor="accent4" w:themeTint="66" w:sz="4" w:space="0"/>
        <w:bottom w:val="single" w:color="CCC0D9" w:themeColor="accent4" w:themeTint="66" w:sz="4" w:space="0"/>
        <w:right w:val="single" w:color="CCC0D9" w:themeColor="accent4" w:themeTint="66" w:sz="4" w:space="0"/>
        <w:insideH w:val="single" w:color="CCC0D9" w:themeColor="accent4" w:themeTint="66" w:sz="4" w:space="0"/>
        <w:insideV w:val="single" w:color="CCC0D9" w:themeColor="accent4" w:themeTint="66" w:sz="4" w:space="0"/>
      </w:tblBorders>
    </w:tblPr>
    <w:tblStylePr w:type="firstRow">
      <w:rPr>
        <w:b/>
        <w:bCs/>
      </w:rPr>
      <w:tblPr/>
      <w:tcPr>
        <w:tcBorders>
          <w:bottom w:val="single" w:color="B2A1C7" w:themeColor="accent4" w:themeTint="99" w:sz="12" w:space="0"/>
        </w:tcBorders>
      </w:tcPr>
    </w:tblStylePr>
    <w:tblStylePr w:type="lastRow">
      <w:rPr>
        <w:b/>
        <w:bCs/>
      </w:rPr>
      <w:tblPr/>
      <w:tcPr>
        <w:tcBorders>
          <w:top w:val="double" w:color="B2A1C7" w:themeColor="accent4" w:themeTint="99" w:sz="2" w:space="0"/>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color="B6DDE8" w:themeColor="accent5" w:themeTint="66" w:sz="4" w:space="0"/>
        <w:left w:val="single" w:color="B6DDE8" w:themeColor="accent5" w:themeTint="66" w:sz="4" w:space="0"/>
        <w:bottom w:val="single" w:color="B6DDE8" w:themeColor="accent5" w:themeTint="66" w:sz="4" w:space="0"/>
        <w:right w:val="single" w:color="B6DDE8" w:themeColor="accent5" w:themeTint="66" w:sz="4" w:space="0"/>
        <w:insideH w:val="single" w:color="B6DDE8" w:themeColor="accent5" w:themeTint="66" w:sz="4" w:space="0"/>
        <w:insideV w:val="single" w:color="B6DDE8" w:themeColor="accent5" w:themeTint="66" w:sz="4" w:space="0"/>
      </w:tblBorders>
    </w:tblPr>
    <w:tblStylePr w:type="firstRow">
      <w:rPr>
        <w:b/>
        <w:bCs/>
      </w:rPr>
      <w:tblPr/>
      <w:tcPr>
        <w:tcBorders>
          <w:bottom w:val="single" w:color="92CDDC" w:themeColor="accent5" w:themeTint="99" w:sz="12" w:space="0"/>
        </w:tcBorders>
      </w:tcPr>
    </w:tblStylePr>
    <w:tblStylePr w:type="lastRow">
      <w:rPr>
        <w:b/>
        <w:bCs/>
      </w:rPr>
      <w:tblPr/>
      <w:tcPr>
        <w:tcBorders>
          <w:top w:val="double" w:color="92CDDC" w:themeColor="accent5" w:themeTint="99" w:sz="2" w:space="0"/>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color="FBD4B4" w:themeColor="accent6" w:themeTint="66" w:sz="4" w:space="0"/>
        <w:left w:val="single" w:color="FBD4B4" w:themeColor="accent6" w:themeTint="66" w:sz="4" w:space="0"/>
        <w:bottom w:val="single" w:color="FBD4B4" w:themeColor="accent6" w:themeTint="66" w:sz="4" w:space="0"/>
        <w:right w:val="single" w:color="FBD4B4" w:themeColor="accent6" w:themeTint="66" w:sz="4" w:space="0"/>
        <w:insideH w:val="single" w:color="FBD4B4" w:themeColor="accent6" w:themeTint="66" w:sz="4" w:space="0"/>
        <w:insideV w:val="single" w:color="FBD4B4" w:themeColor="accent6" w:themeTint="66" w:sz="4" w:space="0"/>
      </w:tblBorders>
    </w:tblPr>
    <w:tblStylePr w:type="firstRow">
      <w:rPr>
        <w:b/>
        <w:bCs/>
      </w:rPr>
      <w:tblPr/>
      <w:tcPr>
        <w:tcBorders>
          <w:bottom w:val="single" w:color="FABF8F" w:themeColor="accent6" w:themeTint="99" w:sz="12" w:space="0"/>
        </w:tcBorders>
      </w:tcPr>
    </w:tblStylePr>
    <w:tblStylePr w:type="lastRow">
      <w:rPr>
        <w:b/>
        <w:bCs/>
      </w:rPr>
      <w:tblPr/>
      <w:tcPr>
        <w:tcBorders>
          <w:top w:val="double" w:color="FABF8F" w:themeColor="accent6" w:themeTint="99" w:sz="2" w:space="0"/>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color="95B3D7" w:themeColor="accent1" w:themeTint="99" w:sz="2" w:space="0"/>
        <w:bottom w:val="single" w:color="95B3D7" w:themeColor="accent1" w:themeTint="99" w:sz="2" w:space="0"/>
        <w:insideH w:val="single" w:color="95B3D7" w:themeColor="accent1" w:themeTint="99" w:sz="2" w:space="0"/>
        <w:insideV w:val="single" w:color="95B3D7" w:themeColor="accent1" w:themeTint="99" w:sz="2" w:space="0"/>
      </w:tblBorders>
    </w:tblPr>
    <w:tblStylePr w:type="firstRow">
      <w:rPr>
        <w:b/>
        <w:bCs/>
      </w:rPr>
      <w:tblPr/>
      <w:tcPr>
        <w:tcBorders>
          <w:top w:val="nil"/>
          <w:bottom w:val="single" w:color="95B3D7" w:themeColor="accent1" w:themeTint="99" w:sz="12" w:space="0"/>
          <w:insideH w:val="nil"/>
          <w:insideV w:val="nil"/>
        </w:tcBorders>
        <w:shd w:val="clear" w:color="auto" w:fill="FFFFFF" w:themeFill="background1"/>
      </w:tcPr>
    </w:tblStylePr>
    <w:tblStylePr w:type="lastRow">
      <w:rPr>
        <w:b/>
        <w:bCs/>
      </w:rPr>
      <w:tblPr/>
      <w:tcPr>
        <w:tcBorders>
          <w:top w:val="double" w:color="95B3D7"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color="D99594" w:themeColor="accent2" w:themeTint="99" w:sz="2" w:space="0"/>
        <w:bottom w:val="single" w:color="D99594" w:themeColor="accent2" w:themeTint="99" w:sz="2" w:space="0"/>
        <w:insideH w:val="single" w:color="D99594" w:themeColor="accent2" w:themeTint="99" w:sz="2" w:space="0"/>
        <w:insideV w:val="single" w:color="D99594" w:themeColor="accent2" w:themeTint="99" w:sz="2" w:space="0"/>
      </w:tblBorders>
    </w:tblPr>
    <w:tblStylePr w:type="firstRow">
      <w:rPr>
        <w:b/>
        <w:bCs/>
      </w:rPr>
      <w:tblPr/>
      <w:tcPr>
        <w:tcBorders>
          <w:top w:val="nil"/>
          <w:bottom w:val="single" w:color="D99594" w:themeColor="accent2" w:themeTint="99" w:sz="12" w:space="0"/>
          <w:insideH w:val="nil"/>
          <w:insideV w:val="nil"/>
        </w:tcBorders>
        <w:shd w:val="clear" w:color="auto" w:fill="FFFFFF" w:themeFill="background1"/>
      </w:tcPr>
    </w:tblStylePr>
    <w:tblStylePr w:type="lastRow">
      <w:rPr>
        <w:b/>
        <w:bCs/>
      </w:rPr>
      <w:tblPr/>
      <w:tcPr>
        <w:tcBorders>
          <w:top w:val="double" w:color="D99594"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color="C2D69B" w:themeColor="accent3" w:themeTint="99" w:sz="2" w:space="0"/>
        <w:bottom w:val="single" w:color="C2D69B" w:themeColor="accent3" w:themeTint="99" w:sz="2" w:space="0"/>
        <w:insideH w:val="single" w:color="C2D69B" w:themeColor="accent3" w:themeTint="99" w:sz="2" w:space="0"/>
        <w:insideV w:val="single" w:color="C2D69B" w:themeColor="accent3" w:themeTint="99" w:sz="2" w:space="0"/>
      </w:tblBorders>
    </w:tblPr>
    <w:tblStylePr w:type="firstRow">
      <w:rPr>
        <w:b/>
        <w:bCs/>
      </w:rPr>
      <w:tblPr/>
      <w:tcPr>
        <w:tcBorders>
          <w:top w:val="nil"/>
          <w:bottom w:val="single" w:color="C2D69B" w:themeColor="accent3" w:themeTint="99" w:sz="12" w:space="0"/>
          <w:insideH w:val="nil"/>
          <w:insideV w:val="nil"/>
        </w:tcBorders>
        <w:shd w:val="clear" w:color="auto" w:fill="FFFFFF" w:themeFill="background1"/>
      </w:tcPr>
    </w:tblStylePr>
    <w:tblStylePr w:type="lastRow">
      <w:rPr>
        <w:b/>
        <w:bCs/>
      </w:rPr>
      <w:tblPr/>
      <w:tcPr>
        <w:tcBorders>
          <w:top w:val="double" w:color="C2D69B"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color="B2A1C7" w:themeColor="accent4" w:themeTint="99" w:sz="2" w:space="0"/>
        <w:bottom w:val="single" w:color="B2A1C7" w:themeColor="accent4" w:themeTint="99" w:sz="2" w:space="0"/>
        <w:insideH w:val="single" w:color="B2A1C7" w:themeColor="accent4" w:themeTint="99" w:sz="2" w:space="0"/>
        <w:insideV w:val="single" w:color="B2A1C7" w:themeColor="accent4" w:themeTint="99" w:sz="2" w:space="0"/>
      </w:tblBorders>
    </w:tblPr>
    <w:tblStylePr w:type="firstRow">
      <w:rPr>
        <w:b/>
        <w:bCs/>
      </w:rPr>
      <w:tblPr/>
      <w:tcPr>
        <w:tcBorders>
          <w:top w:val="nil"/>
          <w:bottom w:val="single" w:color="B2A1C7" w:themeColor="accent4" w:themeTint="99" w:sz="12" w:space="0"/>
          <w:insideH w:val="nil"/>
          <w:insideV w:val="nil"/>
        </w:tcBorders>
        <w:shd w:val="clear" w:color="auto" w:fill="FFFFFF" w:themeFill="background1"/>
      </w:tcPr>
    </w:tblStylePr>
    <w:tblStylePr w:type="lastRow">
      <w:rPr>
        <w:b/>
        <w:bCs/>
      </w:rPr>
      <w:tblPr/>
      <w:tcPr>
        <w:tcBorders>
          <w:top w:val="double" w:color="B2A1C7"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color="92CDDC" w:themeColor="accent5" w:themeTint="99" w:sz="2" w:space="0"/>
        <w:bottom w:val="single" w:color="92CDDC" w:themeColor="accent5" w:themeTint="99" w:sz="2" w:space="0"/>
        <w:insideH w:val="single" w:color="92CDDC" w:themeColor="accent5" w:themeTint="99" w:sz="2" w:space="0"/>
        <w:insideV w:val="single" w:color="92CDDC" w:themeColor="accent5" w:themeTint="99" w:sz="2" w:space="0"/>
      </w:tblBorders>
    </w:tblPr>
    <w:tblStylePr w:type="firstRow">
      <w:rPr>
        <w:b/>
        <w:bCs/>
      </w:rPr>
      <w:tblPr/>
      <w:tcPr>
        <w:tcBorders>
          <w:top w:val="nil"/>
          <w:bottom w:val="single" w:color="92CDDC" w:themeColor="accent5" w:themeTint="99" w:sz="12" w:space="0"/>
          <w:insideH w:val="nil"/>
          <w:insideV w:val="nil"/>
        </w:tcBorders>
        <w:shd w:val="clear" w:color="auto" w:fill="FFFFFF" w:themeFill="background1"/>
      </w:tcPr>
    </w:tblStylePr>
    <w:tblStylePr w:type="lastRow">
      <w:rPr>
        <w:b/>
        <w:bCs/>
      </w:rPr>
      <w:tblPr/>
      <w:tcPr>
        <w:tcBorders>
          <w:top w:val="double" w:color="92CDDC"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color="FABF8F" w:themeColor="accent6" w:themeTint="99" w:sz="2" w:space="0"/>
        <w:bottom w:val="single" w:color="FABF8F" w:themeColor="accent6" w:themeTint="99" w:sz="2" w:space="0"/>
        <w:insideH w:val="single" w:color="FABF8F" w:themeColor="accent6" w:themeTint="99" w:sz="2" w:space="0"/>
        <w:insideV w:val="single" w:color="FABF8F" w:themeColor="accent6" w:themeTint="99" w:sz="2" w:space="0"/>
      </w:tblBorders>
    </w:tblPr>
    <w:tblStylePr w:type="firstRow">
      <w:rPr>
        <w:b/>
        <w:bCs/>
      </w:rPr>
      <w:tblPr/>
      <w:tcPr>
        <w:tcBorders>
          <w:top w:val="nil"/>
          <w:bottom w:val="single" w:color="FABF8F" w:themeColor="accent6" w:themeTint="99" w:sz="12" w:space="0"/>
          <w:insideH w:val="nil"/>
          <w:insideV w:val="nil"/>
        </w:tcBorders>
        <w:shd w:val="clear" w:color="auto" w:fill="FFFFFF" w:themeFill="background1"/>
      </w:tcPr>
    </w:tblStylePr>
    <w:tblStylePr w:type="lastRow">
      <w:rPr>
        <w:b/>
        <w:bCs/>
      </w:rPr>
      <w:tblPr/>
      <w:tcPr>
        <w:tcBorders>
          <w:top w:val="double" w:color="FABF8F"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TableauGrille3-Accentuation1">
    <w:name w:val="Grid Table 3 Accent 1"/>
    <w:basedOn w:val="TableauNormal"/>
    <w:uiPriority w:val="48"/>
    <w:rsid w:val="00A111D1"/>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TableauGrille3-Accentuation2">
    <w:name w:val="Grid Table 3 Accent 2"/>
    <w:basedOn w:val="TableauNormal"/>
    <w:uiPriority w:val="48"/>
    <w:rsid w:val="00A111D1"/>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color="D99594" w:themeColor="accent2" w:themeTint="99" w:sz="4" w:space="0"/>
        </w:tcBorders>
      </w:tcPr>
    </w:tblStylePr>
    <w:tblStylePr w:type="nwCell">
      <w:tblPr/>
      <w:tcPr>
        <w:tcBorders>
          <w:bottom w:val="single" w:color="D99594" w:themeColor="accent2" w:themeTint="99" w:sz="4" w:space="0"/>
        </w:tcBorders>
      </w:tcPr>
    </w:tblStylePr>
    <w:tblStylePr w:type="seCell">
      <w:tblPr/>
      <w:tcPr>
        <w:tcBorders>
          <w:top w:val="single" w:color="D99594" w:themeColor="accent2" w:themeTint="99" w:sz="4" w:space="0"/>
        </w:tcBorders>
      </w:tcPr>
    </w:tblStylePr>
    <w:tblStylePr w:type="swCell">
      <w:tblPr/>
      <w:tcPr>
        <w:tcBorders>
          <w:top w:val="single" w:color="D99594" w:themeColor="accent2" w:themeTint="99" w:sz="4" w:space="0"/>
        </w:tcBorders>
      </w:tcPr>
    </w:tblStylePr>
  </w:style>
  <w:style w:type="table" w:styleId="TableauGrille3-Accentuation3">
    <w:name w:val="Grid Table 3 Accent 3"/>
    <w:basedOn w:val="TableauNormal"/>
    <w:uiPriority w:val="48"/>
    <w:rsid w:val="00A111D1"/>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color="C2D69B" w:themeColor="accent3" w:themeTint="99" w:sz="4" w:space="0"/>
        </w:tcBorders>
      </w:tcPr>
    </w:tblStylePr>
    <w:tblStylePr w:type="nwCell">
      <w:tblPr/>
      <w:tcPr>
        <w:tcBorders>
          <w:bottom w:val="single" w:color="C2D69B" w:themeColor="accent3" w:themeTint="99" w:sz="4" w:space="0"/>
        </w:tcBorders>
      </w:tcPr>
    </w:tblStylePr>
    <w:tblStylePr w:type="seCell">
      <w:tblPr/>
      <w:tcPr>
        <w:tcBorders>
          <w:top w:val="single" w:color="C2D69B" w:themeColor="accent3" w:themeTint="99" w:sz="4" w:space="0"/>
        </w:tcBorders>
      </w:tcPr>
    </w:tblStylePr>
    <w:tblStylePr w:type="swCell">
      <w:tblPr/>
      <w:tcPr>
        <w:tcBorders>
          <w:top w:val="single" w:color="C2D69B" w:themeColor="accent3" w:themeTint="99" w:sz="4" w:space="0"/>
        </w:tcBorders>
      </w:tcPr>
    </w:tblStylePr>
  </w:style>
  <w:style w:type="table" w:styleId="TableauGrille3-Accentuation4">
    <w:name w:val="Grid Table 3 Accent 4"/>
    <w:basedOn w:val="TableauNormal"/>
    <w:uiPriority w:val="48"/>
    <w:rsid w:val="00A111D1"/>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color="B2A1C7" w:themeColor="accent4" w:themeTint="99" w:sz="4" w:space="0"/>
        </w:tcBorders>
      </w:tcPr>
    </w:tblStylePr>
    <w:tblStylePr w:type="nwCell">
      <w:tblPr/>
      <w:tcPr>
        <w:tcBorders>
          <w:bottom w:val="single" w:color="B2A1C7" w:themeColor="accent4" w:themeTint="99" w:sz="4" w:space="0"/>
        </w:tcBorders>
      </w:tcPr>
    </w:tblStylePr>
    <w:tblStylePr w:type="seCell">
      <w:tblPr/>
      <w:tcPr>
        <w:tcBorders>
          <w:top w:val="single" w:color="B2A1C7" w:themeColor="accent4" w:themeTint="99" w:sz="4" w:space="0"/>
        </w:tcBorders>
      </w:tcPr>
    </w:tblStylePr>
    <w:tblStylePr w:type="swCell">
      <w:tblPr/>
      <w:tcPr>
        <w:tcBorders>
          <w:top w:val="single" w:color="B2A1C7" w:themeColor="accent4" w:themeTint="99" w:sz="4" w:space="0"/>
        </w:tcBorders>
      </w:tcPr>
    </w:tblStylePr>
  </w:style>
  <w:style w:type="table" w:styleId="TableauGrille3-Accentuation5">
    <w:name w:val="Grid Table 3 Accent 5"/>
    <w:basedOn w:val="TableauNormal"/>
    <w:uiPriority w:val="48"/>
    <w:rsid w:val="00A111D1"/>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color="92CDDC" w:themeColor="accent5" w:themeTint="99" w:sz="4" w:space="0"/>
        </w:tcBorders>
      </w:tcPr>
    </w:tblStylePr>
    <w:tblStylePr w:type="nwCell">
      <w:tblPr/>
      <w:tcPr>
        <w:tcBorders>
          <w:bottom w:val="single" w:color="92CDDC" w:themeColor="accent5" w:themeTint="99" w:sz="4" w:space="0"/>
        </w:tcBorders>
      </w:tcPr>
    </w:tblStylePr>
    <w:tblStylePr w:type="seCell">
      <w:tblPr/>
      <w:tcPr>
        <w:tcBorders>
          <w:top w:val="single" w:color="92CDDC" w:themeColor="accent5" w:themeTint="99" w:sz="4" w:space="0"/>
        </w:tcBorders>
      </w:tcPr>
    </w:tblStylePr>
    <w:tblStylePr w:type="swCell">
      <w:tblPr/>
      <w:tcPr>
        <w:tcBorders>
          <w:top w:val="single" w:color="92CDDC" w:themeColor="accent5" w:themeTint="99" w:sz="4" w:space="0"/>
        </w:tcBorders>
      </w:tcPr>
    </w:tblStylePr>
  </w:style>
  <w:style w:type="table" w:styleId="TableauGrille3-Accentuation6">
    <w:name w:val="Grid Table 3 Accent 6"/>
    <w:basedOn w:val="TableauNormal"/>
    <w:uiPriority w:val="48"/>
    <w:rsid w:val="00A111D1"/>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color="FABF8F" w:themeColor="accent6" w:themeTint="99" w:sz="4" w:space="0"/>
        </w:tcBorders>
      </w:tcPr>
    </w:tblStylePr>
    <w:tblStylePr w:type="nwCell">
      <w:tblPr/>
      <w:tcPr>
        <w:tcBorders>
          <w:bottom w:val="single" w:color="FABF8F" w:themeColor="accent6" w:themeTint="99" w:sz="4" w:space="0"/>
        </w:tcBorders>
      </w:tcPr>
    </w:tblStylePr>
    <w:tblStylePr w:type="seCell">
      <w:tblPr/>
      <w:tcPr>
        <w:tcBorders>
          <w:top w:val="single" w:color="FABF8F" w:themeColor="accent6" w:themeTint="99" w:sz="4" w:space="0"/>
        </w:tcBorders>
      </w:tcPr>
    </w:tblStylePr>
    <w:tblStylePr w:type="swCell">
      <w:tblPr/>
      <w:tcPr>
        <w:tcBorders>
          <w:top w:val="single" w:color="FABF8F" w:themeColor="accent6" w:themeTint="99" w:sz="4" w:space="0"/>
        </w:tcBorders>
      </w:tcPr>
    </w:tblStylePr>
  </w:style>
  <w:style w:type="table" w:styleId="TableauGrille4">
    <w:name w:val="Grid Table 4"/>
    <w:basedOn w:val="TableauNormal"/>
    <w:uiPriority w:val="49"/>
    <w:rsid w:val="00A111D1"/>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color w:val="FFFFFF" w:themeColor="background1"/>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insideH w:val="nil"/>
          <w:insideV w:val="nil"/>
        </w:tcBorders>
        <w:shd w:val="clear" w:color="auto" w:fill="C0504D" w:themeFill="accent2"/>
      </w:tcPr>
    </w:tblStylePr>
    <w:tblStylePr w:type="lastRow">
      <w:rPr>
        <w:b/>
        <w:bCs/>
      </w:rPr>
      <w:tblPr/>
      <w:tcPr>
        <w:tcBorders>
          <w:top w:val="double" w:color="C0504D" w:themeColor="accent2"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insideV w:val="nil"/>
        </w:tcBorders>
        <w:shd w:val="clear" w:color="auto" w:fill="9BBB59" w:themeFill="accent3"/>
      </w:tcPr>
    </w:tblStylePr>
    <w:tblStylePr w:type="lastRow">
      <w:rPr>
        <w:b/>
        <w:bCs/>
      </w:rPr>
      <w:tblPr/>
      <w:tcPr>
        <w:tcBorders>
          <w:top w:val="double" w:color="9BBB59" w:themeColor="accent3"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color w:val="FFFFFF" w:themeColor="background1"/>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insideH w:val="nil"/>
          <w:insideV w:val="nil"/>
        </w:tcBorders>
        <w:shd w:val="clear" w:color="auto" w:fill="8064A2" w:themeFill="accent4"/>
      </w:tcPr>
    </w:tblStylePr>
    <w:tblStylePr w:type="lastRow">
      <w:rPr>
        <w:b/>
        <w:bCs/>
      </w:rPr>
      <w:tblPr/>
      <w:tcPr>
        <w:tcBorders>
          <w:top w:val="double" w:color="8064A2" w:themeColor="accent4"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insideV w:val="nil"/>
        </w:tcBorders>
        <w:shd w:val="clear" w:color="auto" w:fill="4BACC6" w:themeFill="accent5"/>
      </w:tcPr>
    </w:tblStylePr>
    <w:tblStylePr w:type="lastRow">
      <w:rPr>
        <w:b/>
        <w:bCs/>
      </w:rPr>
      <w:tblPr/>
      <w:tcPr>
        <w:tcBorders>
          <w:top w:val="double" w:color="4BACC6" w:themeColor="accent5"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color w:val="FFFFFF" w:themeColor="background1"/>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insideH w:val="nil"/>
          <w:insideV w:val="nil"/>
        </w:tcBorders>
        <w:shd w:val="clear" w:color="auto" w:fill="F79646" w:themeFill="accent6"/>
      </w:tcPr>
    </w:tblStylePr>
    <w:tblStylePr w:type="lastRow">
      <w:rPr>
        <w:b/>
        <w:bCs/>
      </w:rPr>
      <w:tblPr/>
      <w:tcPr>
        <w:tcBorders>
          <w:top w:val="double" w:color="F79646" w:themeColor="accent6"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2DBDB"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0504D"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0504D"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0504D"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F1D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BBB59"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BBB59"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BBB59"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DFEC"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64A2"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64A2"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64A2"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EF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BACC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BACC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BACC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DE9D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79646"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79646"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79646"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rPr>
      <w:tblPr/>
      <w:tcPr>
        <w:tcBorders>
          <w:bottom w:val="single" w:color="D99594" w:themeColor="accent2" w:themeTint="99" w:sz="12" w:space="0"/>
        </w:tcBorders>
      </w:tcPr>
    </w:tblStylePr>
    <w:tblStylePr w:type="lastRow">
      <w:rPr>
        <w:b/>
        <w:bCs/>
      </w:rPr>
      <w:tblPr/>
      <w:tcPr>
        <w:tcBorders>
          <w:top w:val="double" w:color="D99594" w:themeColor="accent2" w:themeTint="99"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bottom w:val="single" w:color="C2D69B" w:themeColor="accent3" w:themeTint="99" w:sz="12" w:space="0"/>
        </w:tcBorders>
      </w:tcPr>
    </w:tblStylePr>
    <w:tblStylePr w:type="lastRow">
      <w:rPr>
        <w:b/>
        <w:bCs/>
      </w:rPr>
      <w:tblPr/>
      <w:tcPr>
        <w:tcBorders>
          <w:top w:val="double" w:color="C2D69B" w:themeColor="accent3" w:themeTint="99"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rPr>
      <w:tblPr/>
      <w:tcPr>
        <w:tcBorders>
          <w:bottom w:val="single" w:color="B2A1C7" w:themeColor="accent4" w:themeTint="99" w:sz="12" w:space="0"/>
        </w:tcBorders>
      </w:tcPr>
    </w:tblStylePr>
    <w:tblStylePr w:type="lastRow">
      <w:rPr>
        <w:b/>
        <w:bCs/>
      </w:rPr>
      <w:tblPr/>
      <w:tcPr>
        <w:tcBorders>
          <w:top w:val="double" w:color="B2A1C7" w:themeColor="accent4" w:themeTint="99"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rPr>
      <w:tblPr/>
      <w:tcPr>
        <w:tcBorders>
          <w:bottom w:val="single" w:color="92CDDC" w:themeColor="accent5" w:themeTint="99" w:sz="12" w:space="0"/>
        </w:tcBorders>
      </w:tcPr>
    </w:tblStylePr>
    <w:tblStylePr w:type="lastRow">
      <w:rPr>
        <w:b/>
        <w:bCs/>
      </w:rPr>
      <w:tblPr/>
      <w:tcPr>
        <w:tcBorders>
          <w:top w:val="double" w:color="92CDDC" w:themeColor="accent5" w:themeTint="99"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blPr/>
      <w:tcPr>
        <w:tcBorders>
          <w:bottom w:val="single" w:color="FABF8F" w:themeColor="accent6" w:themeTint="99" w:sz="12" w:space="0"/>
        </w:tcBorders>
      </w:tcPr>
    </w:tblStylePr>
    <w:tblStylePr w:type="lastRow">
      <w:rPr>
        <w:b/>
        <w:bCs/>
      </w:rPr>
      <w:tblPr/>
      <w:tcPr>
        <w:tcBorders>
          <w:top w:val="double" w:color="FABF8F" w:themeColor="accent6" w:themeTint="99"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color="D99594" w:themeColor="accent2" w:themeTint="99" w:sz="4" w:space="0"/>
        </w:tcBorders>
      </w:tcPr>
    </w:tblStylePr>
    <w:tblStylePr w:type="nwCell">
      <w:tblPr/>
      <w:tcPr>
        <w:tcBorders>
          <w:bottom w:val="single" w:color="D99594" w:themeColor="accent2" w:themeTint="99" w:sz="4" w:space="0"/>
        </w:tcBorders>
      </w:tcPr>
    </w:tblStylePr>
    <w:tblStylePr w:type="seCell">
      <w:tblPr/>
      <w:tcPr>
        <w:tcBorders>
          <w:top w:val="single" w:color="D99594" w:themeColor="accent2" w:themeTint="99" w:sz="4" w:space="0"/>
        </w:tcBorders>
      </w:tcPr>
    </w:tblStylePr>
    <w:tblStylePr w:type="swCell">
      <w:tblPr/>
      <w:tcPr>
        <w:tcBorders>
          <w:top w:val="single" w:color="D99594" w:themeColor="accent2" w:themeTint="99" w:sz="4" w:space="0"/>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color="C2D69B" w:themeColor="accent3" w:themeTint="99" w:sz="4" w:space="0"/>
        </w:tcBorders>
      </w:tcPr>
    </w:tblStylePr>
    <w:tblStylePr w:type="nwCell">
      <w:tblPr/>
      <w:tcPr>
        <w:tcBorders>
          <w:bottom w:val="single" w:color="C2D69B" w:themeColor="accent3" w:themeTint="99" w:sz="4" w:space="0"/>
        </w:tcBorders>
      </w:tcPr>
    </w:tblStylePr>
    <w:tblStylePr w:type="seCell">
      <w:tblPr/>
      <w:tcPr>
        <w:tcBorders>
          <w:top w:val="single" w:color="C2D69B" w:themeColor="accent3" w:themeTint="99" w:sz="4" w:space="0"/>
        </w:tcBorders>
      </w:tcPr>
    </w:tblStylePr>
    <w:tblStylePr w:type="swCell">
      <w:tblPr/>
      <w:tcPr>
        <w:tcBorders>
          <w:top w:val="single" w:color="C2D69B" w:themeColor="accent3" w:themeTint="99" w:sz="4" w:space="0"/>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color="B2A1C7" w:themeColor="accent4" w:themeTint="99" w:sz="4" w:space="0"/>
        </w:tcBorders>
      </w:tcPr>
    </w:tblStylePr>
    <w:tblStylePr w:type="nwCell">
      <w:tblPr/>
      <w:tcPr>
        <w:tcBorders>
          <w:bottom w:val="single" w:color="B2A1C7" w:themeColor="accent4" w:themeTint="99" w:sz="4" w:space="0"/>
        </w:tcBorders>
      </w:tcPr>
    </w:tblStylePr>
    <w:tblStylePr w:type="seCell">
      <w:tblPr/>
      <w:tcPr>
        <w:tcBorders>
          <w:top w:val="single" w:color="B2A1C7" w:themeColor="accent4" w:themeTint="99" w:sz="4" w:space="0"/>
        </w:tcBorders>
      </w:tcPr>
    </w:tblStylePr>
    <w:tblStylePr w:type="swCell">
      <w:tblPr/>
      <w:tcPr>
        <w:tcBorders>
          <w:top w:val="single" w:color="B2A1C7" w:themeColor="accent4" w:themeTint="99" w:sz="4" w:space="0"/>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color="92CDDC" w:themeColor="accent5" w:themeTint="99" w:sz="4" w:space="0"/>
        </w:tcBorders>
      </w:tcPr>
    </w:tblStylePr>
    <w:tblStylePr w:type="nwCell">
      <w:tblPr/>
      <w:tcPr>
        <w:tcBorders>
          <w:bottom w:val="single" w:color="92CDDC" w:themeColor="accent5" w:themeTint="99" w:sz="4" w:space="0"/>
        </w:tcBorders>
      </w:tcPr>
    </w:tblStylePr>
    <w:tblStylePr w:type="seCell">
      <w:tblPr/>
      <w:tcPr>
        <w:tcBorders>
          <w:top w:val="single" w:color="92CDDC" w:themeColor="accent5" w:themeTint="99" w:sz="4" w:space="0"/>
        </w:tcBorders>
      </w:tcPr>
    </w:tblStylePr>
    <w:tblStylePr w:type="swCell">
      <w:tblPr/>
      <w:tcPr>
        <w:tcBorders>
          <w:top w:val="single" w:color="92CDDC" w:themeColor="accent5" w:themeTint="99" w:sz="4" w:space="0"/>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color="FABF8F" w:themeColor="accent6" w:themeTint="99" w:sz="4" w:space="0"/>
        </w:tcBorders>
      </w:tcPr>
    </w:tblStylePr>
    <w:tblStylePr w:type="nwCell">
      <w:tblPr/>
      <w:tcPr>
        <w:tcBorders>
          <w:bottom w:val="single" w:color="FABF8F" w:themeColor="accent6" w:themeTint="99" w:sz="4" w:space="0"/>
        </w:tcBorders>
      </w:tcPr>
    </w:tblStylePr>
    <w:tblStylePr w:type="seCell">
      <w:tblPr/>
      <w:tcPr>
        <w:tcBorders>
          <w:top w:val="single" w:color="FABF8F" w:themeColor="accent6" w:themeTint="99" w:sz="4" w:space="0"/>
        </w:tcBorders>
      </w:tcPr>
    </w:tblStylePr>
    <w:tblStylePr w:type="swCell">
      <w:tblPr/>
      <w:tcPr>
        <w:tcBorders>
          <w:top w:val="single" w:color="FABF8F" w:themeColor="accent6" w:themeTint="99" w:sz="4" w:space="0"/>
        </w:tcBorders>
      </w:tcPr>
    </w:tblStylePr>
  </w:style>
  <w:style w:type="character" w:styleId="Mot-dise">
    <w:name w:val="Hashtag"/>
    <w:basedOn w:val="Policepardfaut"/>
    <w:uiPriority w:val="99"/>
    <w:semiHidden/>
    <w:unhideWhenUsed/>
    <w:rsid w:val="00A111D1"/>
    <w:rPr>
      <w:color w:val="2B579A"/>
      <w:shd w:val="clear" w:color="auto" w:fill="E1DFDD"/>
      <w:lang w:val="ru-RU"/>
    </w:rPr>
  </w:style>
  <w:style w:type="character" w:styleId="AcronymeHTML">
    <w:name w:val="HTML Acronym"/>
    <w:basedOn w:val="Policepardfaut"/>
    <w:uiPriority w:val="99"/>
    <w:semiHidden/>
    <w:unhideWhenUsed/>
    <w:rsid w:val="00A111D1"/>
    <w:rPr>
      <w:lang w:val="ru-RU"/>
    </w:rPr>
  </w:style>
  <w:style w:type="paragraph" w:styleId="AdresseHTML">
    <w:name w:val="HTML Address"/>
    <w:basedOn w:val="Normal"/>
    <w:link w:val="AdresseHTMLCar"/>
    <w:uiPriority w:val="99"/>
    <w:semiHidden/>
    <w:unhideWhenUsed/>
    <w:rsid w:val="00A111D1"/>
    <w:rPr>
      <w:i/>
      <w:iCs/>
    </w:rPr>
  </w:style>
  <w:style w:type="character" w:styleId="AdresseHTMLCar" w:customStyle="1">
    <w:name w:val="Adresse HTML Car"/>
    <w:basedOn w:val="Policepardfaut"/>
    <w:link w:val="AdresseHTML"/>
    <w:uiPriority w:val="99"/>
    <w:semiHidden/>
    <w:rsid w:val="00A111D1"/>
    <w:rPr>
      <w:rFonts w:ascii="Times New Roman" w:hAnsi="Times New Roman" w:eastAsia="SimSun" w:cs="Times New Roman"/>
      <w:i/>
      <w:iCs/>
      <w:sz w:val="22"/>
      <w:szCs w:val="22"/>
      <w:lang w:val="ru-RU"/>
    </w:rPr>
  </w:style>
  <w:style w:type="character" w:styleId="CitationHTML">
    <w:name w:val="HTML Cite"/>
    <w:basedOn w:val="Policepardfaut"/>
    <w:uiPriority w:val="99"/>
    <w:semiHidden/>
    <w:unhideWhenUsed/>
    <w:rsid w:val="00A111D1"/>
    <w:rPr>
      <w:i/>
      <w:iCs/>
      <w:lang w:val="ru-RU"/>
    </w:rPr>
  </w:style>
  <w:style w:type="character" w:styleId="CodeHTML">
    <w:name w:val="HTML Code"/>
    <w:basedOn w:val="Policepardfaut"/>
    <w:uiPriority w:val="99"/>
    <w:semiHidden/>
    <w:unhideWhenUsed/>
    <w:rsid w:val="00A111D1"/>
    <w:rPr>
      <w:rFonts w:ascii="Consolas" w:hAnsi="Consolas"/>
      <w:sz w:val="20"/>
      <w:szCs w:val="20"/>
      <w:lang w:val="ru-RU"/>
    </w:rPr>
  </w:style>
  <w:style w:type="character" w:styleId="DfinitionHTML">
    <w:name w:val="HTML Definition"/>
    <w:basedOn w:val="Policepardfaut"/>
    <w:uiPriority w:val="99"/>
    <w:semiHidden/>
    <w:unhideWhenUsed/>
    <w:rsid w:val="00A111D1"/>
    <w:rPr>
      <w:i/>
      <w:iCs/>
      <w:lang w:val="ru-RU"/>
    </w:rPr>
  </w:style>
  <w:style w:type="character" w:styleId="ClavierHTML">
    <w:name w:val="HTML Keyboard"/>
    <w:basedOn w:val="Policepardfaut"/>
    <w:uiPriority w:val="99"/>
    <w:semiHidden/>
    <w:unhideWhenUsed/>
    <w:rsid w:val="00A111D1"/>
    <w:rPr>
      <w:rFonts w:ascii="Consolas" w:hAnsi="Consolas"/>
      <w:sz w:val="20"/>
      <w:szCs w:val="20"/>
      <w:lang w:val="ru-RU"/>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styleId="PrformatHTMLCar" w:customStyle="1">
    <w:name w:val="Préformaté HTML Car"/>
    <w:basedOn w:val="Policepardfaut"/>
    <w:link w:val="PrformatHTML"/>
    <w:uiPriority w:val="99"/>
    <w:semiHidden/>
    <w:rsid w:val="00A111D1"/>
    <w:rPr>
      <w:rFonts w:ascii="Consolas" w:hAnsi="Consolas" w:eastAsia="SimSun" w:cs="Times New Roman"/>
      <w:sz w:val="20"/>
      <w:szCs w:val="20"/>
      <w:lang w:val="ru-RU"/>
    </w:rPr>
  </w:style>
  <w:style w:type="character" w:styleId="ExempleHTML">
    <w:name w:val="HTML Sample"/>
    <w:basedOn w:val="Policepardfaut"/>
    <w:uiPriority w:val="99"/>
    <w:semiHidden/>
    <w:unhideWhenUsed/>
    <w:rsid w:val="00A111D1"/>
    <w:rPr>
      <w:rFonts w:ascii="Consolas" w:hAnsi="Consolas"/>
      <w:sz w:val="24"/>
      <w:szCs w:val="24"/>
      <w:lang w:val="ru-RU"/>
    </w:rPr>
  </w:style>
  <w:style w:type="character" w:styleId="MachinecrireHTML">
    <w:name w:val="HTML Typewriter"/>
    <w:basedOn w:val="Policepardfaut"/>
    <w:uiPriority w:val="99"/>
    <w:semiHidden/>
    <w:unhideWhenUsed/>
    <w:rsid w:val="00A111D1"/>
    <w:rPr>
      <w:rFonts w:ascii="Consolas" w:hAnsi="Consolas"/>
      <w:sz w:val="20"/>
      <w:szCs w:val="20"/>
      <w:lang w:val="ru-RU"/>
    </w:rPr>
  </w:style>
  <w:style w:type="character" w:styleId="VariableHTML">
    <w:name w:val="HTML Variable"/>
    <w:basedOn w:val="Policepardfau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hAnsiTheme="majorHAnsi" w:eastAsiaTheme="majorEastAsia" w:cstheme="majorBidi"/>
      <w:b/>
      <w:bCs/>
    </w:rPr>
  </w:style>
  <w:style w:type="character" w:styleId="Accentuationintense">
    <w:name w:val="Intense Emphasis"/>
    <w:basedOn w:val="Policepardfaut"/>
    <w:uiPriority w:val="21"/>
    <w:qFormat/>
    <w:rsid w:val="00A111D1"/>
    <w:rPr>
      <w:i/>
      <w:iCs/>
      <w:color w:val="4F81BD" w:themeColor="accent1"/>
      <w:lang w:val="ru-RU"/>
    </w:rPr>
  </w:style>
  <w:style w:type="paragraph" w:styleId="Citationintense">
    <w:name w:val="Intense Quote"/>
    <w:basedOn w:val="Normal"/>
    <w:next w:val="Normal"/>
    <w:link w:val="CitationintenseCar"/>
    <w:uiPriority w:val="30"/>
    <w:qFormat/>
    <w:rsid w:val="00A111D1"/>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CitationintenseCar" w:customStyle="1">
    <w:name w:val="Citation intense Car"/>
    <w:basedOn w:val="Policepardfaut"/>
    <w:link w:val="Citationintense"/>
    <w:uiPriority w:val="30"/>
    <w:rsid w:val="00A111D1"/>
    <w:rPr>
      <w:rFonts w:ascii="Times New Roman" w:hAnsi="Times New Roman" w:eastAsia="SimSun" w:cs="Times New Roman"/>
      <w:i/>
      <w:iCs/>
      <w:color w:val="4F81BD" w:themeColor="accent1"/>
      <w:sz w:val="22"/>
      <w:szCs w:val="22"/>
      <w:lang w:val="ru-RU"/>
    </w:rPr>
  </w:style>
  <w:style w:type="character" w:styleId="Rfrenceintense">
    <w:name w:val="Intense Reference"/>
    <w:basedOn w:val="Policepardfaut"/>
    <w:uiPriority w:val="32"/>
    <w:qFormat/>
    <w:rsid w:val="00A111D1"/>
    <w:rPr>
      <w:b/>
      <w:bCs/>
      <w:smallCaps/>
      <w:color w:val="4F81BD" w:themeColor="accent1"/>
      <w:spacing w:val="5"/>
      <w:lang w:val="ru-RU"/>
    </w:rPr>
  </w:style>
  <w:style w:type="table" w:styleId="Grilleclaire">
    <w:name w:val="Light Grid"/>
    <w:basedOn w:val="TableauNormal"/>
    <w:uiPriority w:val="62"/>
    <w:semiHidden/>
    <w:unhideWhenUsed/>
    <w:rsid w:val="00A111D1"/>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Listeclaire">
    <w:name w:val="Light List"/>
    <w:basedOn w:val="TableauNormal"/>
    <w:uiPriority w:val="61"/>
    <w:semiHidden/>
    <w:unhideWhenUsed/>
    <w:rsid w:val="00A111D1"/>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ru-RU"/>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color="95B3D7" w:themeColor="accent1" w:themeTint="99" w:sz="4" w:space="0"/>
        </w:tcBorders>
      </w:tcPr>
    </w:tblStylePr>
    <w:tblStylePr w:type="lastRow">
      <w:rPr>
        <w:b/>
        <w:bCs/>
      </w:rPr>
      <w:tblPr/>
      <w:tcPr>
        <w:tcBorders>
          <w:top w:val="sing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color="D99594" w:themeColor="accent2" w:themeTint="99" w:sz="4" w:space="0"/>
        </w:tcBorders>
      </w:tcPr>
    </w:tblStylePr>
    <w:tblStylePr w:type="lastRow">
      <w:rPr>
        <w:b/>
        <w:bCs/>
      </w:rPr>
      <w:tblPr/>
      <w:tcPr>
        <w:tcBorders>
          <w:top w:val="single" w:color="D99594" w:themeColor="accent2" w:themeTint="99"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color="C2D69B" w:themeColor="accent3" w:themeTint="99" w:sz="4" w:space="0"/>
        </w:tcBorders>
      </w:tcPr>
    </w:tblStylePr>
    <w:tblStylePr w:type="lastRow">
      <w:rPr>
        <w:b/>
        <w:bCs/>
      </w:rPr>
      <w:tblPr/>
      <w:tcPr>
        <w:tcBorders>
          <w:top w:val="single" w:color="C2D69B" w:themeColor="accent3" w:themeTint="99"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color="B2A1C7" w:themeColor="accent4" w:themeTint="99" w:sz="4" w:space="0"/>
        </w:tcBorders>
      </w:tcPr>
    </w:tblStylePr>
    <w:tblStylePr w:type="lastRow">
      <w:rPr>
        <w:b/>
        <w:bCs/>
      </w:rPr>
      <w:tblPr/>
      <w:tcPr>
        <w:tcBorders>
          <w:top w:val="single" w:color="B2A1C7" w:themeColor="accent4" w:themeTint="99"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color="92CDDC" w:themeColor="accent5" w:themeTint="99" w:sz="4" w:space="0"/>
        </w:tcBorders>
      </w:tcPr>
    </w:tblStylePr>
    <w:tblStylePr w:type="lastRow">
      <w:rPr>
        <w:b/>
        <w:bCs/>
      </w:rPr>
      <w:tblPr/>
      <w:tcPr>
        <w:tcBorders>
          <w:top w:val="single" w:color="92CDDC" w:themeColor="accent5" w:themeTint="99"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color="FABF8F" w:themeColor="accent6" w:themeTint="99" w:sz="4" w:space="0"/>
        </w:tcBorders>
      </w:tcPr>
    </w:tblStylePr>
    <w:tblStylePr w:type="lastRow">
      <w:rPr>
        <w:b/>
        <w:bCs/>
      </w:rPr>
      <w:tblPr/>
      <w:tcPr>
        <w:tcBorders>
          <w:top w:val="single" w:color="FABF8F" w:themeColor="accent6" w:themeTint="99"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color="95B3D7" w:themeColor="accent1" w:themeTint="99" w:sz="4" w:space="0"/>
        <w:bottom w:val="single" w:color="95B3D7" w:themeColor="accent1" w:themeTint="99" w:sz="4" w:space="0"/>
        <w:insideH w:val="single" w:color="95B3D7"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color="D99594" w:themeColor="accent2" w:themeTint="99" w:sz="4" w:space="0"/>
        <w:bottom w:val="single" w:color="D99594" w:themeColor="accent2" w:themeTint="99" w:sz="4" w:space="0"/>
        <w:insideH w:val="single" w:color="D99594"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color="C2D69B" w:themeColor="accent3" w:themeTint="99" w:sz="4" w:space="0"/>
        <w:bottom w:val="single" w:color="C2D69B" w:themeColor="accent3" w:themeTint="99" w:sz="4" w:space="0"/>
        <w:insideH w:val="single" w:color="C2D69B"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color="B2A1C7" w:themeColor="accent4" w:themeTint="99" w:sz="4" w:space="0"/>
        <w:bottom w:val="single" w:color="B2A1C7" w:themeColor="accent4" w:themeTint="99" w:sz="4" w:space="0"/>
        <w:insideH w:val="single" w:color="B2A1C7"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color="FABF8F" w:themeColor="accent6" w:themeTint="99" w:sz="4" w:space="0"/>
        <w:bottom w:val="single" w:color="FABF8F" w:themeColor="accent6" w:themeTint="99" w:sz="4" w:space="0"/>
        <w:insideH w:val="single" w:color="FABF8F"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bCs/>
        <w:color w:val="FFFFFF" w:themeColor="background1"/>
      </w:rPr>
      <w:tblPr/>
      <w:tcPr>
        <w:shd w:val="clear" w:color="auto" w:fill="4F81BD" w:themeFill="accent1"/>
      </w:tcPr>
    </w:tblStylePr>
    <w:tblStylePr w:type="lastRow">
      <w:rPr>
        <w:b/>
        <w:bCs/>
      </w:rPr>
      <w:tblPr/>
      <w:tcPr>
        <w:tcBorders>
          <w:top w:val="double" w:color="4F8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F81BD" w:themeColor="accent1" w:sz="4" w:space="0"/>
          <w:right w:val="single" w:color="4F81BD" w:themeColor="accent1" w:sz="4" w:space="0"/>
        </w:tcBorders>
      </w:tcPr>
    </w:tblStylePr>
    <w:tblStylePr w:type="band1Horz">
      <w:tblPr/>
      <w:tcPr>
        <w:tcBorders>
          <w:top w:val="single" w:color="4F81BD" w:themeColor="accent1" w:sz="4" w:space="0"/>
          <w:bottom w:val="single" w:color="4F8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F81BD" w:themeColor="accent1" w:sz="4" w:space="0"/>
          <w:left w:val="nil"/>
        </w:tcBorders>
      </w:tcPr>
    </w:tblStylePr>
    <w:tblStylePr w:type="swCell">
      <w:tblPr/>
      <w:tcPr>
        <w:tcBorders>
          <w:top w:val="double" w:color="4F81BD" w:themeColor="accent1" w:sz="4" w:space="0"/>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tblBorders>
    </w:tblPr>
    <w:tblStylePr w:type="firstRow">
      <w:rPr>
        <w:b/>
        <w:bCs/>
        <w:color w:val="FFFFFF" w:themeColor="background1"/>
      </w:rPr>
      <w:tblPr/>
      <w:tcPr>
        <w:shd w:val="clear" w:color="auto" w:fill="C0504D" w:themeFill="accent2"/>
      </w:tcPr>
    </w:tblStylePr>
    <w:tblStylePr w:type="lastRow">
      <w:rPr>
        <w:b/>
        <w:bCs/>
      </w:rPr>
      <w:tblPr/>
      <w:tcPr>
        <w:tcBorders>
          <w:top w:val="double" w:color="C0504D"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0504D" w:themeColor="accent2" w:sz="4" w:space="0"/>
          <w:right w:val="single" w:color="C0504D" w:themeColor="accent2" w:sz="4" w:space="0"/>
        </w:tcBorders>
      </w:tcPr>
    </w:tblStylePr>
    <w:tblStylePr w:type="band1Horz">
      <w:tblPr/>
      <w:tcPr>
        <w:tcBorders>
          <w:top w:val="single" w:color="C0504D" w:themeColor="accent2" w:sz="4" w:space="0"/>
          <w:bottom w:val="single" w:color="C0504D"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0504D" w:themeColor="accent2" w:sz="4" w:space="0"/>
          <w:left w:val="nil"/>
        </w:tcBorders>
      </w:tcPr>
    </w:tblStylePr>
    <w:tblStylePr w:type="swCell">
      <w:tblPr/>
      <w:tcPr>
        <w:tcBorders>
          <w:top w:val="double" w:color="C0504D" w:themeColor="accent2" w:sz="4" w:space="0"/>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tblBorders>
    </w:tblPr>
    <w:tblStylePr w:type="firstRow">
      <w:rPr>
        <w:b/>
        <w:bCs/>
        <w:color w:val="FFFFFF" w:themeColor="background1"/>
      </w:rPr>
      <w:tblPr/>
      <w:tcPr>
        <w:shd w:val="clear" w:color="auto" w:fill="9BBB59" w:themeFill="accent3"/>
      </w:tcPr>
    </w:tblStylePr>
    <w:tblStylePr w:type="lastRow">
      <w:rPr>
        <w:b/>
        <w:bCs/>
      </w:rPr>
      <w:tblPr/>
      <w:tcPr>
        <w:tcBorders>
          <w:top w:val="double" w:color="9BBB5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BBB59" w:themeColor="accent3" w:sz="4" w:space="0"/>
          <w:right w:val="single" w:color="9BBB59" w:themeColor="accent3" w:sz="4" w:space="0"/>
        </w:tcBorders>
      </w:tcPr>
    </w:tblStylePr>
    <w:tblStylePr w:type="band1Horz">
      <w:tblPr/>
      <w:tcPr>
        <w:tcBorders>
          <w:top w:val="single" w:color="9BBB59" w:themeColor="accent3" w:sz="4" w:space="0"/>
          <w:bottom w:val="single" w:color="9BBB5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BBB59" w:themeColor="accent3" w:sz="4" w:space="0"/>
          <w:left w:val="nil"/>
        </w:tcBorders>
      </w:tcPr>
    </w:tblStylePr>
    <w:tblStylePr w:type="swCell">
      <w:tblPr/>
      <w:tcPr>
        <w:tcBorders>
          <w:top w:val="double" w:color="9BBB59" w:themeColor="accent3" w:sz="4" w:space="0"/>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tblBorders>
    </w:tblPr>
    <w:tblStylePr w:type="firstRow">
      <w:rPr>
        <w:b/>
        <w:bCs/>
        <w:color w:val="FFFFFF" w:themeColor="background1"/>
      </w:rPr>
      <w:tblPr/>
      <w:tcPr>
        <w:shd w:val="clear" w:color="auto" w:fill="8064A2" w:themeFill="accent4"/>
      </w:tcPr>
    </w:tblStylePr>
    <w:tblStylePr w:type="lastRow">
      <w:rPr>
        <w:b/>
        <w:bCs/>
      </w:rPr>
      <w:tblPr/>
      <w:tcPr>
        <w:tcBorders>
          <w:top w:val="double" w:color="8064A2"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64A2" w:themeColor="accent4" w:sz="4" w:space="0"/>
          <w:right w:val="single" w:color="8064A2" w:themeColor="accent4" w:sz="4" w:space="0"/>
        </w:tcBorders>
      </w:tcPr>
    </w:tblStylePr>
    <w:tblStylePr w:type="band1Horz">
      <w:tblPr/>
      <w:tcPr>
        <w:tcBorders>
          <w:top w:val="single" w:color="8064A2" w:themeColor="accent4" w:sz="4" w:space="0"/>
          <w:bottom w:val="single" w:color="8064A2"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64A2" w:themeColor="accent4" w:sz="4" w:space="0"/>
          <w:left w:val="nil"/>
        </w:tcBorders>
      </w:tcPr>
    </w:tblStylePr>
    <w:tblStylePr w:type="swCell">
      <w:tblPr/>
      <w:tcPr>
        <w:tcBorders>
          <w:top w:val="double" w:color="8064A2" w:themeColor="accent4" w:sz="4" w:space="0"/>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tblBorders>
    </w:tblPr>
    <w:tblStylePr w:type="firstRow">
      <w:rPr>
        <w:b/>
        <w:bCs/>
        <w:color w:val="FFFFFF" w:themeColor="background1"/>
      </w:rPr>
      <w:tblPr/>
      <w:tcPr>
        <w:shd w:val="clear" w:color="auto" w:fill="4BACC6" w:themeFill="accent5"/>
      </w:tcPr>
    </w:tblStylePr>
    <w:tblStylePr w:type="lastRow">
      <w:rPr>
        <w:b/>
        <w:bCs/>
      </w:rPr>
      <w:tblPr/>
      <w:tcPr>
        <w:tcBorders>
          <w:top w:val="double" w:color="4BACC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BACC6" w:themeColor="accent5" w:sz="4" w:space="0"/>
          <w:right w:val="single" w:color="4BACC6" w:themeColor="accent5" w:sz="4" w:space="0"/>
        </w:tcBorders>
      </w:tcPr>
    </w:tblStylePr>
    <w:tblStylePr w:type="band1Horz">
      <w:tblPr/>
      <w:tcPr>
        <w:tcBorders>
          <w:top w:val="single" w:color="4BACC6" w:themeColor="accent5" w:sz="4" w:space="0"/>
          <w:bottom w:val="single" w:color="4BACC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BACC6" w:themeColor="accent5" w:sz="4" w:space="0"/>
          <w:left w:val="nil"/>
        </w:tcBorders>
      </w:tcPr>
    </w:tblStylePr>
    <w:tblStylePr w:type="swCell">
      <w:tblPr/>
      <w:tcPr>
        <w:tcBorders>
          <w:top w:val="double" w:color="4BACC6" w:themeColor="accent5" w:sz="4" w:space="0"/>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tblBorders>
    </w:tblPr>
    <w:tblStylePr w:type="firstRow">
      <w:rPr>
        <w:b/>
        <w:bCs/>
        <w:color w:val="FFFFFF" w:themeColor="background1"/>
      </w:rPr>
      <w:tblPr/>
      <w:tcPr>
        <w:shd w:val="clear" w:color="auto" w:fill="F79646" w:themeFill="accent6"/>
      </w:tcPr>
    </w:tblStylePr>
    <w:tblStylePr w:type="lastRow">
      <w:rPr>
        <w:b/>
        <w:bCs/>
      </w:rPr>
      <w:tblPr/>
      <w:tcPr>
        <w:tcBorders>
          <w:top w:val="double" w:color="F79646"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79646" w:themeColor="accent6" w:sz="4" w:space="0"/>
          <w:right w:val="single" w:color="F79646" w:themeColor="accent6" w:sz="4" w:space="0"/>
        </w:tcBorders>
      </w:tcPr>
    </w:tblStylePr>
    <w:tblStylePr w:type="band1Horz">
      <w:tblPr/>
      <w:tcPr>
        <w:tcBorders>
          <w:top w:val="single" w:color="F79646" w:themeColor="accent6" w:sz="4" w:space="0"/>
          <w:bottom w:val="single" w:color="F79646"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79646" w:themeColor="accent6" w:sz="4" w:space="0"/>
          <w:left w:val="nil"/>
        </w:tcBorders>
      </w:tcPr>
    </w:tblStylePr>
    <w:tblStylePr w:type="swCell">
      <w:tblPr/>
      <w:tcPr>
        <w:tcBorders>
          <w:top w:val="double" w:color="F79646" w:themeColor="accent6" w:sz="4" w:space="0"/>
          <w:right w:val="nil"/>
        </w:tcBorders>
      </w:tcPr>
    </w:tblStylePr>
  </w:style>
  <w:style w:type="table" w:styleId="TableauListe4">
    <w:name w:val="List Table 4"/>
    <w:basedOn w:val="TableauNormal"/>
    <w:uiPriority w:val="49"/>
    <w:rsid w:val="00A111D1"/>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tcBorders>
        <w:shd w:val="clear" w:color="auto" w:fill="4F81BD" w:themeFill="accent1"/>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tblBorders>
    </w:tblPr>
    <w:tblStylePr w:type="firstRow">
      <w:rPr>
        <w:b/>
        <w:bCs/>
        <w:color w:val="FFFFFF" w:themeColor="background1"/>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insideH w:val="nil"/>
        </w:tcBorders>
        <w:shd w:val="clear" w:color="auto" w:fill="C0504D" w:themeFill="accent2"/>
      </w:tcPr>
    </w:tblStylePr>
    <w:tblStylePr w:type="lastRow">
      <w:rPr>
        <w:b/>
        <w:bCs/>
      </w:rPr>
      <w:tblPr/>
      <w:tcPr>
        <w:tcBorders>
          <w:top w:val="double" w:color="D99594" w:themeColor="accent2" w:themeTint="99"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tcBorders>
        <w:shd w:val="clear" w:color="auto" w:fill="9BBB59" w:themeFill="accent3"/>
      </w:tcPr>
    </w:tblStylePr>
    <w:tblStylePr w:type="lastRow">
      <w:rPr>
        <w:b/>
        <w:bCs/>
      </w:rPr>
      <w:tblPr/>
      <w:tcPr>
        <w:tcBorders>
          <w:top w:val="double" w:color="C2D69B" w:themeColor="accent3" w:themeTint="99"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tblBorders>
    </w:tblPr>
    <w:tblStylePr w:type="firstRow">
      <w:rPr>
        <w:b/>
        <w:bCs/>
        <w:color w:val="FFFFFF" w:themeColor="background1"/>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insideH w:val="nil"/>
        </w:tcBorders>
        <w:shd w:val="clear" w:color="auto" w:fill="8064A2" w:themeFill="accent4"/>
      </w:tcPr>
    </w:tblStylePr>
    <w:tblStylePr w:type="lastRow">
      <w:rPr>
        <w:b/>
        <w:bCs/>
      </w:rPr>
      <w:tblPr/>
      <w:tcPr>
        <w:tcBorders>
          <w:top w:val="double" w:color="B2A1C7" w:themeColor="accent4" w:themeTint="99"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tcBorders>
        <w:shd w:val="clear" w:color="auto" w:fill="4BACC6" w:themeFill="accent5"/>
      </w:tcPr>
    </w:tblStylePr>
    <w:tblStylePr w:type="lastRow">
      <w:rPr>
        <w:b/>
        <w:bCs/>
      </w:rPr>
      <w:tblPr/>
      <w:tcPr>
        <w:tcBorders>
          <w:top w:val="double" w:color="92CDDC" w:themeColor="accent5" w:themeTint="99"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tblBorders>
    </w:tblPr>
    <w:tblStylePr w:type="firstRow">
      <w:rPr>
        <w:b/>
        <w:bCs/>
        <w:color w:val="FFFFFF" w:themeColor="background1"/>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insideH w:val="nil"/>
        </w:tcBorders>
        <w:shd w:val="clear" w:color="auto" w:fill="F79646" w:themeFill="accent6"/>
      </w:tcPr>
    </w:tblStylePr>
    <w:tblStylePr w:type="lastRow">
      <w:rPr>
        <w:b/>
        <w:bCs/>
      </w:rPr>
      <w:tblPr/>
      <w:tcPr>
        <w:tcBorders>
          <w:top w:val="double" w:color="FABF8F" w:themeColor="accent6" w:themeTint="99"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color="4F81BD" w:themeColor="accent1" w:sz="24" w:space="0"/>
        <w:left w:val="single" w:color="4F81BD" w:themeColor="accent1" w:sz="24" w:space="0"/>
        <w:bottom w:val="single" w:color="4F81BD" w:themeColor="accent1" w:sz="24" w:space="0"/>
        <w:right w:val="single" w:color="4F81BD" w:themeColor="accent1" w:sz="24" w:space="0"/>
      </w:tblBorders>
    </w:tblPr>
    <w:tcPr>
      <w:shd w:val="clear" w:color="auto" w:fill="4F81BD"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color="C0504D" w:themeColor="accent2" w:sz="24" w:space="0"/>
        <w:left w:val="single" w:color="C0504D" w:themeColor="accent2" w:sz="24" w:space="0"/>
        <w:bottom w:val="single" w:color="C0504D" w:themeColor="accent2" w:sz="24" w:space="0"/>
        <w:right w:val="single" w:color="C0504D" w:themeColor="accent2" w:sz="24" w:space="0"/>
      </w:tblBorders>
    </w:tblPr>
    <w:tcPr>
      <w:shd w:val="clear" w:color="auto" w:fill="C0504D"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color="9BBB59" w:themeColor="accent3" w:sz="24" w:space="0"/>
        <w:left w:val="single" w:color="9BBB59" w:themeColor="accent3" w:sz="24" w:space="0"/>
        <w:bottom w:val="single" w:color="9BBB59" w:themeColor="accent3" w:sz="24" w:space="0"/>
        <w:right w:val="single" w:color="9BBB59" w:themeColor="accent3" w:sz="24" w:space="0"/>
      </w:tblBorders>
    </w:tblPr>
    <w:tcPr>
      <w:shd w:val="clear" w:color="auto" w:fill="9BBB59"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color="8064A2" w:themeColor="accent4" w:sz="24" w:space="0"/>
        <w:left w:val="single" w:color="8064A2" w:themeColor="accent4" w:sz="24" w:space="0"/>
        <w:bottom w:val="single" w:color="8064A2" w:themeColor="accent4" w:sz="24" w:space="0"/>
        <w:right w:val="single" w:color="8064A2" w:themeColor="accent4" w:sz="24" w:space="0"/>
      </w:tblBorders>
    </w:tblPr>
    <w:tcPr>
      <w:shd w:val="clear" w:color="auto" w:fill="8064A2"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color="4BACC6" w:themeColor="accent5" w:sz="24" w:space="0"/>
        <w:left w:val="single" w:color="4BACC6" w:themeColor="accent5" w:sz="24" w:space="0"/>
        <w:bottom w:val="single" w:color="4BACC6" w:themeColor="accent5" w:sz="24" w:space="0"/>
        <w:right w:val="single" w:color="4BACC6" w:themeColor="accent5" w:sz="24" w:space="0"/>
      </w:tblBorders>
    </w:tblPr>
    <w:tcPr>
      <w:shd w:val="clear" w:color="auto" w:fill="4BACC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color="F79646" w:themeColor="accent6" w:sz="24" w:space="0"/>
        <w:left w:val="single" w:color="F79646" w:themeColor="accent6" w:sz="24" w:space="0"/>
        <w:bottom w:val="single" w:color="F79646" w:themeColor="accent6" w:sz="24" w:space="0"/>
        <w:right w:val="single" w:color="F79646" w:themeColor="accent6" w:sz="24" w:space="0"/>
      </w:tblBorders>
    </w:tblPr>
    <w:tcPr>
      <w:shd w:val="clear" w:color="auto" w:fill="F79646"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color="4F81BD" w:themeColor="accent1" w:sz="4" w:space="0"/>
        <w:bottom w:val="single" w:color="4F81BD" w:themeColor="accent1" w:sz="4" w:space="0"/>
      </w:tblBorders>
    </w:tblPr>
    <w:tblStylePr w:type="firstRow">
      <w:rPr>
        <w:b/>
        <w:bCs/>
      </w:rPr>
      <w:tblPr/>
      <w:tcPr>
        <w:tcBorders>
          <w:bottom w:val="single" w:color="4F81BD" w:themeColor="accent1" w:sz="4" w:space="0"/>
        </w:tcBorders>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color="C0504D" w:themeColor="accent2" w:sz="4" w:space="0"/>
        <w:bottom w:val="single" w:color="C0504D" w:themeColor="accent2" w:sz="4" w:space="0"/>
      </w:tblBorders>
    </w:tblPr>
    <w:tblStylePr w:type="firstRow">
      <w:rPr>
        <w:b/>
        <w:bCs/>
      </w:rPr>
      <w:tblPr/>
      <w:tcPr>
        <w:tcBorders>
          <w:bottom w:val="single" w:color="C0504D" w:themeColor="accent2" w:sz="4" w:space="0"/>
        </w:tcBorders>
      </w:tcPr>
    </w:tblStylePr>
    <w:tblStylePr w:type="lastRow">
      <w:rPr>
        <w:b/>
        <w:bCs/>
      </w:rPr>
      <w:tblPr/>
      <w:tcPr>
        <w:tcBorders>
          <w:top w:val="double" w:color="C0504D" w:themeColor="accent2"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color="9BBB59" w:themeColor="accent3" w:sz="4" w:space="0"/>
        <w:bottom w:val="single" w:color="9BBB59" w:themeColor="accent3" w:sz="4" w:space="0"/>
      </w:tblBorders>
    </w:tblPr>
    <w:tblStylePr w:type="firstRow">
      <w:rPr>
        <w:b/>
        <w:bCs/>
      </w:rPr>
      <w:tblPr/>
      <w:tcPr>
        <w:tcBorders>
          <w:bottom w:val="single" w:color="9BBB59" w:themeColor="accent3" w:sz="4" w:space="0"/>
        </w:tcBorders>
      </w:tcPr>
    </w:tblStylePr>
    <w:tblStylePr w:type="lastRow">
      <w:rPr>
        <w:b/>
        <w:bCs/>
      </w:rPr>
      <w:tblPr/>
      <w:tcPr>
        <w:tcBorders>
          <w:top w:val="double" w:color="9BBB59" w:themeColor="accent3"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color="8064A2" w:themeColor="accent4" w:sz="4" w:space="0"/>
        <w:bottom w:val="single" w:color="8064A2" w:themeColor="accent4" w:sz="4" w:space="0"/>
      </w:tblBorders>
    </w:tblPr>
    <w:tblStylePr w:type="firstRow">
      <w:rPr>
        <w:b/>
        <w:bCs/>
      </w:rPr>
      <w:tblPr/>
      <w:tcPr>
        <w:tcBorders>
          <w:bottom w:val="single" w:color="8064A2" w:themeColor="accent4" w:sz="4" w:space="0"/>
        </w:tcBorders>
      </w:tcPr>
    </w:tblStylePr>
    <w:tblStylePr w:type="lastRow">
      <w:rPr>
        <w:b/>
        <w:bCs/>
      </w:rPr>
      <w:tblPr/>
      <w:tcPr>
        <w:tcBorders>
          <w:top w:val="double" w:color="8064A2" w:themeColor="accent4"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color="4BACC6" w:themeColor="accent5" w:sz="4" w:space="0"/>
        <w:bottom w:val="single" w:color="4BACC6" w:themeColor="accent5" w:sz="4" w:space="0"/>
      </w:tblBorders>
    </w:tblPr>
    <w:tblStylePr w:type="firstRow">
      <w:rPr>
        <w:b/>
        <w:bCs/>
      </w:rPr>
      <w:tblPr/>
      <w:tcPr>
        <w:tcBorders>
          <w:bottom w:val="single" w:color="4BACC6" w:themeColor="accent5" w:sz="4" w:space="0"/>
        </w:tcBorders>
      </w:tcPr>
    </w:tblStylePr>
    <w:tblStylePr w:type="lastRow">
      <w:rPr>
        <w:b/>
        <w:bCs/>
      </w:rPr>
      <w:tblPr/>
      <w:tcPr>
        <w:tcBorders>
          <w:top w:val="double" w:color="4BACC6" w:themeColor="accent5"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color="F79646" w:themeColor="accent6" w:sz="4" w:space="0"/>
        <w:bottom w:val="single" w:color="F79646" w:themeColor="accent6" w:sz="4" w:space="0"/>
      </w:tblBorders>
    </w:tblPr>
    <w:tblStylePr w:type="firstRow">
      <w:rPr>
        <w:b/>
        <w:bCs/>
      </w:rPr>
      <w:tblPr/>
      <w:tcPr>
        <w:tcBorders>
          <w:bottom w:val="single" w:color="F79646" w:themeColor="accent6" w:sz="4" w:space="0"/>
        </w:tcBorders>
      </w:tcPr>
    </w:tblStylePr>
    <w:tblStylePr w:type="lastRow">
      <w:rPr>
        <w:b/>
        <w:bCs/>
      </w:rPr>
      <w:tblPr/>
      <w:tcPr>
        <w:tcBorders>
          <w:top w:val="double" w:color="F79646" w:themeColor="accent6"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F81BD"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F81BD"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F81BD"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F81BD" w:themeColor="accent1" w:sz="4" w:space="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0504D"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0504D"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0504D"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0504D" w:themeColor="accent2" w:sz="4" w:space="0"/>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BBB59"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BBB59"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BBB59"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BBB59" w:themeColor="accent3" w:sz="4" w:space="0"/>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064A2"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064A2"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064A2"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064A2" w:themeColor="accent4" w:sz="4" w:space="0"/>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BACC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BACC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BACC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BACC6" w:themeColor="accent5" w:sz="4" w:space="0"/>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79646"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79646"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79646"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79646" w:themeColor="accent6" w:sz="4" w:space="0"/>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SimSun" w:cs="Times New Roman"/>
      <w:sz w:val="20"/>
      <w:szCs w:val="20"/>
    </w:rPr>
  </w:style>
  <w:style w:type="character" w:styleId="TextedemacroCar" w:customStyle="1">
    <w:name w:val="Texte de macro Car"/>
    <w:basedOn w:val="Policepardfaut"/>
    <w:link w:val="Textedemacro"/>
    <w:uiPriority w:val="99"/>
    <w:semiHidden/>
    <w:rsid w:val="00A111D1"/>
    <w:rPr>
      <w:rFonts w:ascii="Consolas" w:hAnsi="Consolas" w:eastAsia="SimSun" w:cs="Times New Roman"/>
      <w:sz w:val="20"/>
      <w:szCs w:val="20"/>
      <w:lang w:val="ru-RU"/>
    </w:rPr>
  </w:style>
  <w:style w:type="table" w:styleId="Grillemoyenne1">
    <w:name w:val="Medium Grid 1"/>
    <w:basedOn w:val="TableauNormal"/>
    <w:uiPriority w:val="67"/>
    <w:semiHidden/>
    <w:unhideWhenUsed/>
    <w:rsid w:val="00A111D1"/>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ru-RU"/>
    </w:rPr>
  </w:style>
  <w:style w:type="paragraph" w:styleId="En-ttedemessage">
    <w:name w:val="Message Header"/>
    <w:basedOn w:val="Normal"/>
    <w:link w:val="En-ttedemessageCar"/>
    <w:uiPriority w:val="99"/>
    <w:semiHidden/>
    <w:unhideWhenUsed/>
    <w:rsid w:val="00A111D1"/>
    <w:pPr>
      <w:pBdr>
        <w:top w:val="single" w:color="auto" w:sz="6" w:space="1"/>
        <w:left w:val="single" w:color="auto" w:sz="6" w:space="1"/>
        <w:bottom w:val="single" w:color="auto" w:sz="6" w:space="1"/>
        <w:right w:val="single" w:color="auto" w:sz="6" w:space="1"/>
      </w:pBdr>
      <w:shd w:val="pct20" w:color="auto" w:fill="auto"/>
      <w:ind w:left="1134" w:hanging="1134"/>
    </w:pPr>
    <w:rPr>
      <w:rFonts w:asciiTheme="majorHAnsi" w:hAnsiTheme="majorHAnsi" w:eastAsiaTheme="majorEastAsia" w:cstheme="majorBidi"/>
      <w:sz w:val="24"/>
      <w:szCs w:val="24"/>
    </w:rPr>
  </w:style>
  <w:style w:type="character" w:styleId="En-ttedemessageCar" w:customStyle="1">
    <w:name w:val="En-tête de message Car"/>
    <w:basedOn w:val="Policepardfaut"/>
    <w:link w:val="En-ttedemessage"/>
    <w:uiPriority w:val="99"/>
    <w:semiHidden/>
    <w:rsid w:val="00A111D1"/>
    <w:rPr>
      <w:rFonts w:asciiTheme="majorHAnsi" w:hAnsiTheme="majorHAnsi" w:eastAsiaTheme="majorEastAsia" w:cstheme="majorBidi"/>
      <w:shd w:val="pct20" w:color="auto" w:fill="auto"/>
      <w:lang w:val="ru-RU"/>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hAnsi="Times New Roman" w:eastAsia="SimSun" w:cs="Times New Roman"/>
      <w:sz w:val="22"/>
      <w:szCs w:val="22"/>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styleId="TitredenoteCar" w:customStyle="1">
    <w:name w:val="Titre de note Car"/>
    <w:basedOn w:val="Policepardfaut"/>
    <w:link w:val="Titredenote"/>
    <w:uiPriority w:val="99"/>
    <w:semiHidden/>
    <w:rsid w:val="00A111D1"/>
    <w:rPr>
      <w:rFonts w:ascii="Times New Roman" w:hAnsi="Times New Roman" w:eastAsia="SimSun" w:cs="Times New Roman"/>
      <w:sz w:val="22"/>
      <w:szCs w:val="22"/>
      <w:lang w:val="ru-RU"/>
    </w:rPr>
  </w:style>
  <w:style w:type="table" w:styleId="Tableausimple1">
    <w:name w:val="Plain Table 1"/>
    <w:basedOn w:val="TableauNormal"/>
    <w:uiPriority w:val="41"/>
    <w:rsid w:val="00A111D1"/>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styleId="TextebrutCar" w:customStyle="1">
    <w:name w:val="Texte brut Car"/>
    <w:basedOn w:val="Policepardfaut"/>
    <w:link w:val="Textebrut"/>
    <w:uiPriority w:val="99"/>
    <w:semiHidden/>
    <w:rsid w:val="00A111D1"/>
    <w:rPr>
      <w:rFonts w:ascii="Consolas" w:hAnsi="Consolas" w:eastAsia="SimSun" w:cs="Times New Roman"/>
      <w:sz w:val="21"/>
      <w:szCs w:val="21"/>
      <w:lang w:val="ru-RU"/>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styleId="CitationCar" w:customStyle="1">
    <w:name w:val="Citation Car"/>
    <w:basedOn w:val="Policepardfaut"/>
    <w:link w:val="Citation"/>
    <w:uiPriority w:val="29"/>
    <w:rsid w:val="00A111D1"/>
    <w:rPr>
      <w:rFonts w:ascii="Times New Roman" w:hAnsi="Times New Roman" w:eastAsia="SimSun" w:cs="Times New Roman"/>
      <w:i/>
      <w:iCs/>
      <w:color w:val="404040" w:themeColor="text1" w:themeTint="BF"/>
      <w:sz w:val="22"/>
      <w:szCs w:val="22"/>
      <w:lang w:val="ru-RU"/>
    </w:rPr>
  </w:style>
  <w:style w:type="paragraph" w:styleId="Salutations">
    <w:name w:val="Salutation"/>
    <w:basedOn w:val="Normal"/>
    <w:next w:val="Normal"/>
    <w:link w:val="SalutationsCar"/>
    <w:uiPriority w:val="99"/>
    <w:semiHidden/>
    <w:unhideWhenUsed/>
    <w:rsid w:val="00A111D1"/>
  </w:style>
  <w:style w:type="character" w:styleId="SalutationsCar" w:customStyle="1">
    <w:name w:val="Salutations Car"/>
    <w:basedOn w:val="Policepardfaut"/>
    <w:link w:val="Salutations"/>
    <w:uiPriority w:val="99"/>
    <w:semiHidden/>
    <w:rsid w:val="00A111D1"/>
    <w:rPr>
      <w:rFonts w:ascii="Times New Roman" w:hAnsi="Times New Roman" w:eastAsia="SimSun" w:cs="Times New Roman"/>
      <w:sz w:val="22"/>
      <w:szCs w:val="22"/>
      <w:lang w:val="ru-RU"/>
    </w:rPr>
  </w:style>
  <w:style w:type="paragraph" w:styleId="Signature">
    <w:name w:val="Signature"/>
    <w:basedOn w:val="Normal"/>
    <w:link w:val="SignatureCar"/>
    <w:uiPriority w:val="99"/>
    <w:semiHidden/>
    <w:unhideWhenUsed/>
    <w:rsid w:val="00A111D1"/>
    <w:pPr>
      <w:ind w:left="4252"/>
    </w:pPr>
  </w:style>
  <w:style w:type="character" w:styleId="SignatureCar" w:customStyle="1">
    <w:name w:val="Signature Car"/>
    <w:basedOn w:val="Policepardfaut"/>
    <w:link w:val="Signature"/>
    <w:uiPriority w:val="99"/>
    <w:semiHidden/>
    <w:rsid w:val="00A111D1"/>
    <w:rPr>
      <w:rFonts w:ascii="Times New Roman" w:hAnsi="Times New Roman" w:eastAsia="SimSun" w:cs="Times New Roman"/>
      <w:sz w:val="22"/>
      <w:szCs w:val="22"/>
      <w:lang w:val="ru-RU"/>
    </w:rPr>
  </w:style>
  <w:style w:type="character" w:styleId="SmartHyperlink">
    <w:name w:val="Smart Hyperlink"/>
    <w:basedOn w:val="Policepardfaut"/>
    <w:uiPriority w:val="99"/>
    <w:semiHidden/>
    <w:unhideWhenUsed/>
    <w:rsid w:val="00A111D1"/>
    <w:rPr>
      <w:u w:val="dotted"/>
      <w:lang w:val="ru-RU"/>
    </w:rPr>
  </w:style>
  <w:style w:type="character" w:styleId="SmartLink">
    <w:name w:val="Smart Link"/>
    <w:basedOn w:val="Policepardfaut"/>
    <w:uiPriority w:val="99"/>
    <w:semiHidden/>
    <w:unhideWhenUsed/>
    <w:rsid w:val="00A111D1"/>
    <w:rPr>
      <w:color w:val="0000FF"/>
      <w:u w:val="single"/>
      <w:shd w:val="clear" w:color="auto" w:fill="F3F2F1"/>
      <w:lang w:val="ru-RU"/>
    </w:rPr>
  </w:style>
  <w:style w:type="character" w:styleId="lev">
    <w:name w:val="Strong"/>
    <w:basedOn w:val="Policepardfaut"/>
    <w:uiPriority w:val="22"/>
    <w:qFormat/>
    <w:rsid w:val="00A111D1"/>
    <w:rPr>
      <w:b/>
      <w:bCs/>
      <w:lang w:val="ru-RU"/>
    </w:rPr>
  </w:style>
  <w:style w:type="character" w:styleId="Accentuationlgre">
    <w:name w:val="Subtle Emphasis"/>
    <w:basedOn w:val="Policepardfaut"/>
    <w:uiPriority w:val="19"/>
    <w:qFormat/>
    <w:rsid w:val="00A111D1"/>
    <w:rPr>
      <w:i/>
      <w:iCs/>
      <w:color w:val="404040" w:themeColor="text1" w:themeTint="BF"/>
      <w:lang w:val="ru-RU"/>
    </w:rPr>
  </w:style>
  <w:style w:type="character" w:styleId="Rfrencelgre">
    <w:name w:val="Subtle Reference"/>
    <w:basedOn w:val="Policepardfaut"/>
    <w:uiPriority w:val="31"/>
    <w:qFormat/>
    <w:rsid w:val="00A111D1"/>
    <w:rPr>
      <w:smallCaps/>
      <w:color w:val="5A5A5A" w:themeColor="text1" w:themeTint="A5"/>
      <w:lang w:val="ru-RU"/>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Grilledetableauclaire">
    <w:name w:val="Grid Table Light"/>
    <w:basedOn w:val="TableauNormal"/>
    <w:uiPriority w:val="40"/>
    <w:rsid w:val="00A111D1"/>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ru-RU"/>
    </w:rPr>
  </w:style>
  <w:style w:type="paragraph" w:styleId="CBDAgendaItemReport" w:customStyle="1">
    <w:name w:val="CBD_AgendaItem_Report"/>
    <w:basedOn w:val="Normal"/>
    <w:qFormat/>
    <w:rsid w:val="00866063"/>
    <w:pPr>
      <w:keepNext/>
      <w:keepLines/>
      <w:spacing w:before="240" w:after="120"/>
      <w:jc w:val="left"/>
    </w:pPr>
    <w:rPr>
      <w:b/>
      <w:sz w:val="24"/>
    </w:rPr>
  </w:style>
  <w:style w:type="paragraph" w:styleId="CBDagendaItem0" w:customStyle="1">
    <w:name w:val="CBD_agenda_Item"/>
    <w:basedOn w:val="CBDNormalNumber"/>
    <w:qFormat/>
    <w:rsid w:val="00866063"/>
  </w:style>
  <w:style w:type="paragraph" w:styleId="BVIfnrChar" w:customStyle="1">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15CF9"/>
    <w:pPr>
      <w:spacing w:after="160" w:line="240" w:lineRule="exact"/>
      <w:jc w:val="left"/>
    </w:pPr>
    <w:rPr>
      <w:rFonts w:asciiTheme="minorHAnsi" w:hAnsiTheme="minorHAnsi" w:eastAsiaTheme="minorEastAsia"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hyperlink" Target="https://www.cbd.int/doc/decisions/cop-16/cop-16-dec-25-ru.pdf" TargetMode="External" Id="rId18" /><Relationship Type="http://schemas.openxmlformats.org/officeDocument/2006/relationships/footer" Target="footer4.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www.cbd.int/doc/decisions/cop-16/cop-16-dec-25-ru.pdf" TargetMode="External"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hyperlink" Target="https://www.cbd.int/doc/decisions/cop-16/cop-16-dec-25-ru.pdf" TargetMode="External" Id="rId16" /><Relationship Type="http://schemas.openxmlformats.org/officeDocument/2006/relationships/hyperlink" Target="https://www.cbd.int/doc/decisions/np-mop-05/np-mop-05-dec-10-ru.pdf" TargetMode="External" Id="rId20" /><Relationship Type="http://schemas.openxmlformats.org/officeDocument/2006/relationships/glossaryDocument" Target="glossary/document.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24" /><Relationship Type="http://schemas.openxmlformats.org/officeDocument/2006/relationships/customXml" Target="../customXml/item5.xml" Id="rId5" /><Relationship Type="http://schemas.openxmlformats.org/officeDocument/2006/relationships/hyperlink" Target="https://www.cbd.int/doc/decisions/cop-16/cop-16-dec-25-ru.pdf" TargetMode="External" Id="rId15" /><Relationship Type="http://schemas.openxmlformats.org/officeDocument/2006/relationships/footer" Target="footer1.xml" Id="rId23" /><Relationship Type="http://schemas.openxmlformats.org/officeDocument/2006/relationships/fontTable" Target="fontTable.xml" Id="rId28" /><Relationship Type="http://schemas.openxmlformats.org/officeDocument/2006/relationships/footnotes" Target="footnotes.xml" Id="rId10" /><Relationship Type="http://schemas.openxmlformats.org/officeDocument/2006/relationships/hyperlink" Target="https://www.cbd.int/doc/decisions/cp-mop-11/cp-mop-11-dec-05-ru.pdf"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png" Id="rId14" /><Relationship Type="http://schemas.openxmlformats.org/officeDocument/2006/relationships/header" Target="header2.xml" Id="rId22" /><Relationship Type="http://schemas.openxmlformats.org/officeDocument/2006/relationships/hyperlink" Target="https://www.cbd.int/doc/decisions/cop-16/cop-16-dec-25-ru.pdf" TargetMode="External" Id="rId27" /><Relationship Type="http://schemas.openxmlformats.org/officeDocument/2006/relationships/theme" Target="theme/theme1.xml" Id="rId30" /></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20" TargetMode="External"/><Relationship Id="rId3" Type="http://schemas.openxmlformats.org/officeDocument/2006/relationships/hyperlink" Target="https://www.cbd.int/doc/decisions/np-mop-05/np-mop-05-dec-10-ru.pdf" TargetMode="External"/><Relationship Id="rId7" Type="http://schemas.openxmlformats.org/officeDocument/2006/relationships/hyperlink" Target="https://www.cbd.int/meetings/SBI-06" TargetMode="External"/><Relationship Id="rId2" Type="http://schemas.openxmlformats.org/officeDocument/2006/relationships/hyperlink" Target="https://www.cbd.int/doc/decisions/cp-mop-11/cp-mop-11-dec-05-ru.pdf" TargetMode="External"/><Relationship Id="rId1" Type="http://schemas.openxmlformats.org/officeDocument/2006/relationships/hyperlink" Target="https://www.cbd.int/doc/c/400c/a087/682b60cbfce99723c96a5414/sbi-06-01-ru.pdf" TargetMode="External"/><Relationship Id="rId6" Type="http://schemas.openxmlformats.org/officeDocument/2006/relationships/hyperlink" Target="https://webtv.un.org/" TargetMode="External"/><Relationship Id="rId11" Type="http://schemas.openxmlformats.org/officeDocument/2006/relationships/hyperlink" Target="https://www.cbd.int/meetings/SBI-06" TargetMode="External"/><Relationship Id="rId5" Type="http://schemas.openxmlformats.org/officeDocument/2006/relationships/hyperlink" Target="https://www.cbd.int/doc/decisions/cop-13/cop-13-dec-25-ru.pdf" TargetMode="External"/><Relationship Id="rId10" Type="http://schemas.openxmlformats.org/officeDocument/2006/relationships/hyperlink" Target="https://www.cbd.int/doc/decisions/np-mop-05/np-mop-05-dec-10-ru.pdf" TargetMode="External"/><Relationship Id="rId4" Type="http://schemas.openxmlformats.org/officeDocument/2006/relationships/hyperlink" Target="https://www.cbd.int/documents/690d1c8176d802404fa16e08" TargetMode="External"/><Relationship Id="rId9" Type="http://schemas.openxmlformats.org/officeDocument/2006/relationships/hyperlink" Target="https://www.cbd.int/doc/decisions/cp-mop-11/cp-mop-11-dec-05-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43B0EC23034BC486612D4CBEA4E3C5"/>
        <w:category>
          <w:name w:val="General"/>
          <w:gallery w:val="placeholder"/>
        </w:category>
        <w:types>
          <w:type w:val="bbPlcHdr"/>
        </w:types>
        <w:behaviors>
          <w:behavior w:val="content"/>
        </w:behaviors>
        <w:guid w:val="{50BD4162-C196-4217-A259-EE09638D3040}"/>
      </w:docPartPr>
      <w:docPartBody>
        <w:p xmlns:wp14="http://schemas.microsoft.com/office/word/2010/wordml" w:rsidR="001B1103" w:rsidRDefault="001B1103" w14:paraId="72EE8D63" wp14:textId="77777777">
          <w:pPr>
            <w:pStyle w:val="1E43B0EC23034BC486612D4CBEA4E3C5"/>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03"/>
    <w:rsid w:val="000B4776"/>
    <w:rsid w:val="001349BC"/>
    <w:rsid w:val="001A7281"/>
    <w:rsid w:val="001B1103"/>
    <w:rsid w:val="001C0B4D"/>
    <w:rsid w:val="0022515A"/>
    <w:rsid w:val="00282577"/>
    <w:rsid w:val="002837A1"/>
    <w:rsid w:val="002B0AD8"/>
    <w:rsid w:val="003B3F18"/>
    <w:rsid w:val="003E7653"/>
    <w:rsid w:val="003F2752"/>
    <w:rsid w:val="00482E47"/>
    <w:rsid w:val="00523D1B"/>
    <w:rsid w:val="005F3270"/>
    <w:rsid w:val="00601145"/>
    <w:rsid w:val="006701BC"/>
    <w:rsid w:val="00723E00"/>
    <w:rsid w:val="00871AB0"/>
    <w:rsid w:val="008E16B4"/>
    <w:rsid w:val="009455ED"/>
    <w:rsid w:val="00952C99"/>
    <w:rsid w:val="009714D4"/>
    <w:rsid w:val="009A042C"/>
    <w:rsid w:val="009F6B5F"/>
    <w:rsid w:val="00A374E8"/>
    <w:rsid w:val="00A458AC"/>
    <w:rsid w:val="00AA07B5"/>
    <w:rsid w:val="00B94486"/>
    <w:rsid w:val="00BA673B"/>
    <w:rsid w:val="00C17955"/>
    <w:rsid w:val="00C8348B"/>
    <w:rsid w:val="00CA5F2B"/>
    <w:rsid w:val="00CD0FB9"/>
    <w:rsid w:val="00CF0E21"/>
    <w:rsid w:val="00D2063C"/>
    <w:rsid w:val="00D30FA2"/>
    <w:rsid w:val="00DF23B6"/>
    <w:rsid w:val="00E45985"/>
    <w:rsid w:val="00E47DF1"/>
    <w:rsid w:val="00E6753D"/>
    <w:rsid w:val="00F87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1E43B0EC23034BC486612D4CBEA4E3C5">
    <w:name w:val="1E43B0EC23034BC486612D4CBEA4E3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DDF061A1-A24D-4657-8910-956AFABBC00C}"/>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sbi-06-template-en (1)</ap:Template>
  <ap:Application>Microsoft Word for the web</ap:Application>
  <ap:DocSecurity>0</ap:DocSecurity>
  <ap:ScaleCrop>false</ap:ScaleCrop>
  <ap:Company>SCBD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Записка с изложением плана совещания</dc:title>
  <dc:subject>CBD/SBI/6/1/Add.2</dc:subject>
  <dc:creator>scbd</dc:creator>
  <keywords>Convention on Biological Diversity</keywords>
  <lastModifiedBy>Nikolas Diallo</lastModifiedBy>
  <revision>128</revision>
  <lastPrinted>2020-01-21T16:56:00.0000000Z</lastPrinted>
  <dcterms:created xsi:type="dcterms:W3CDTF">2026-01-02T14:53:00.0000000Z</dcterms:created>
  <dcterms:modified xsi:type="dcterms:W3CDTF">2026-02-04T15:43:25.1258862Z</dcterms:modified>
  <contentStatus>GENERAL</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