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7203B2" w14:paraId="07F6750D" w14:textId="77777777" w:rsidTr="00DE24F6">
        <w:trPr>
          <w:trHeight w:val="844"/>
        </w:trPr>
        <w:tc>
          <w:tcPr>
            <w:tcW w:w="976" w:type="dxa"/>
            <w:tcBorders>
              <w:bottom w:val="single" w:sz="12" w:space="0" w:color="auto"/>
            </w:tcBorders>
          </w:tcPr>
          <w:p w14:paraId="1DEFF495" w14:textId="77777777" w:rsidR="00C9161D" w:rsidRPr="007203B2" w:rsidRDefault="00C9161D" w:rsidP="00C4544F">
            <w:pPr>
              <w:suppressLineNumbers/>
              <w:suppressAutoHyphens/>
              <w:rPr>
                <w:kern w:val="22"/>
              </w:rPr>
            </w:pPr>
            <w:r w:rsidRPr="007203B2">
              <w:rPr>
                <w:noProof/>
                <w:kern w:val="22"/>
                <w:lang w:val="fr-CA" w:eastAsia="fr-CA"/>
              </w:rPr>
              <w:drawing>
                <wp:anchor distT="0" distB="0" distL="114300" distR="114300" simplePos="0" relativeHeight="251659264" behindDoc="0" locked="0" layoutInCell="1" allowOverlap="1" wp14:anchorId="33099486" wp14:editId="523A0092">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986B63F" w14:textId="3C1355E6" w:rsidR="00FA663B" w:rsidRPr="007203B2" w:rsidRDefault="00813599" w:rsidP="00C4544F">
            <w:pPr>
              <w:suppressLineNumbers/>
              <w:suppressAutoHyphens/>
              <w:rPr>
                <w:kern w:val="22"/>
              </w:rPr>
            </w:pPr>
            <w:r w:rsidRPr="00813599">
              <w:rPr>
                <w:noProof/>
                <w:lang w:val="fr-CA" w:eastAsia="fr-CA"/>
              </w:rPr>
              <w:drawing>
                <wp:inline distT="0" distB="0" distL="0" distR="0" wp14:anchorId="4CD3310B" wp14:editId="5D0D60B1">
                  <wp:extent cx="592455" cy="36601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7407" cy="375251"/>
                          </a:xfrm>
                          <a:prstGeom prst="rect">
                            <a:avLst/>
                          </a:prstGeom>
                          <a:noFill/>
                          <a:ln>
                            <a:noFill/>
                          </a:ln>
                        </pic:spPr>
                      </pic:pic>
                    </a:graphicData>
                  </a:graphic>
                </wp:inline>
              </w:drawing>
            </w:r>
          </w:p>
        </w:tc>
        <w:tc>
          <w:tcPr>
            <w:tcW w:w="4090" w:type="dxa"/>
            <w:tcBorders>
              <w:bottom w:val="single" w:sz="12" w:space="0" w:color="auto"/>
            </w:tcBorders>
          </w:tcPr>
          <w:p w14:paraId="600A589D" w14:textId="77777777" w:rsidR="00C9161D" w:rsidRPr="007203B2" w:rsidRDefault="00C9161D" w:rsidP="00C4544F">
            <w:pPr>
              <w:suppressLineNumbers/>
              <w:suppressAutoHyphens/>
              <w:jc w:val="right"/>
              <w:rPr>
                <w:rFonts w:ascii="Arial" w:hAnsi="Arial" w:cs="Arial"/>
                <w:b/>
                <w:kern w:val="22"/>
                <w:sz w:val="32"/>
                <w:szCs w:val="32"/>
              </w:rPr>
            </w:pPr>
            <w:r w:rsidRPr="007203B2">
              <w:rPr>
                <w:rFonts w:ascii="Arial" w:hAnsi="Arial" w:cs="Arial"/>
                <w:b/>
                <w:kern w:val="22"/>
                <w:sz w:val="32"/>
                <w:szCs w:val="32"/>
              </w:rPr>
              <w:t>CBD</w:t>
            </w:r>
          </w:p>
        </w:tc>
      </w:tr>
      <w:tr w:rsidR="00C9161D" w:rsidRPr="007203B2" w14:paraId="6F751905" w14:textId="77777777" w:rsidTr="00CF1848">
        <w:tc>
          <w:tcPr>
            <w:tcW w:w="6117" w:type="dxa"/>
            <w:gridSpan w:val="2"/>
            <w:tcBorders>
              <w:top w:val="single" w:sz="12" w:space="0" w:color="auto"/>
              <w:bottom w:val="single" w:sz="36" w:space="0" w:color="auto"/>
            </w:tcBorders>
            <w:vAlign w:val="center"/>
          </w:tcPr>
          <w:p w14:paraId="14F52A6C" w14:textId="6C365213" w:rsidR="00C9161D" w:rsidRPr="007203B2" w:rsidRDefault="00813599" w:rsidP="00C4544F">
            <w:pPr>
              <w:suppressLineNumbers/>
              <w:suppressAutoHyphens/>
              <w:rPr>
                <w:kern w:val="22"/>
              </w:rPr>
            </w:pPr>
            <w:r>
              <w:rPr>
                <w:noProof/>
                <w:szCs w:val="22"/>
                <w:lang w:val="fr-CA" w:eastAsia="fr-CA"/>
              </w:rPr>
              <w:drawing>
                <wp:inline distT="0" distB="0" distL="0" distR="0" wp14:anchorId="7AF78594" wp14:editId="04CC8784">
                  <wp:extent cx="2352675" cy="942975"/>
                  <wp:effectExtent l="0" t="0" r="9525" b="9525"/>
                  <wp:docPr id="6" name="Image 6"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2675" cy="94297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1F0385" w:rsidRDefault="00C9161D" w:rsidP="00C4544F">
            <w:pPr>
              <w:suppressLineNumbers/>
              <w:suppressAutoHyphens/>
              <w:ind w:left="1464"/>
              <w:jc w:val="left"/>
              <w:rPr>
                <w:kern w:val="22"/>
                <w:szCs w:val="22"/>
                <w:lang w:val="fr-CA"/>
              </w:rPr>
            </w:pPr>
            <w:r w:rsidRPr="001F0385">
              <w:rPr>
                <w:kern w:val="22"/>
                <w:szCs w:val="22"/>
                <w:lang w:val="fr-CA"/>
              </w:rPr>
              <w:t>Distr.</w:t>
            </w:r>
          </w:p>
          <w:p w14:paraId="0C21C438" w14:textId="5E079773" w:rsidR="00C9161D" w:rsidRPr="001F0385" w:rsidRDefault="00813599" w:rsidP="00C4544F">
            <w:pPr>
              <w:suppressLineNumbers/>
              <w:suppressAutoHyphens/>
              <w:ind w:left="1464"/>
              <w:jc w:val="left"/>
              <w:rPr>
                <w:kern w:val="22"/>
                <w:szCs w:val="22"/>
                <w:lang w:val="fr-CA"/>
              </w:rPr>
            </w:pPr>
            <w:r w:rsidRPr="001F0385">
              <w:rPr>
                <w:kern w:val="22"/>
                <w:szCs w:val="22"/>
                <w:lang w:val="fr-CA"/>
              </w:rPr>
              <w:t>GÉNÉRALE</w:t>
            </w:r>
          </w:p>
          <w:p w14:paraId="06715052" w14:textId="77777777" w:rsidR="00C9161D" w:rsidRPr="001F0385" w:rsidRDefault="00C9161D" w:rsidP="00C4544F">
            <w:pPr>
              <w:suppressLineNumbers/>
              <w:suppressAutoHyphens/>
              <w:ind w:left="1464"/>
              <w:jc w:val="left"/>
              <w:rPr>
                <w:kern w:val="22"/>
                <w:szCs w:val="22"/>
                <w:lang w:val="fr-CA"/>
              </w:rPr>
            </w:pPr>
          </w:p>
          <w:p w14:paraId="44230134" w14:textId="4CB97646" w:rsidR="00C9161D" w:rsidRPr="001F0385" w:rsidRDefault="0095022D" w:rsidP="00C4544F">
            <w:pPr>
              <w:suppressLineNumbers/>
              <w:suppressAutoHyphens/>
              <w:ind w:left="1464"/>
              <w:jc w:val="left"/>
              <w:rPr>
                <w:kern w:val="22"/>
                <w:szCs w:val="22"/>
                <w:lang w:val="fr-CA"/>
              </w:rPr>
            </w:pPr>
            <w:sdt>
              <w:sdtPr>
                <w:rPr>
                  <w:kern w:val="22"/>
                  <w:lang w:val="fr-CA"/>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A93B3E" w:rsidRPr="001F0385">
                  <w:rPr>
                    <w:kern w:val="22"/>
                    <w:lang w:val="fr-CA"/>
                  </w:rPr>
                  <w:t>CBD/SBI/3/3</w:t>
                </w:r>
              </w:sdtContent>
            </w:sdt>
          </w:p>
          <w:p w14:paraId="0DF1F033" w14:textId="4E6DE058" w:rsidR="00C9161D" w:rsidRPr="001F0385" w:rsidRDefault="007B2957" w:rsidP="00C4544F">
            <w:pPr>
              <w:suppressLineNumbers/>
              <w:suppressAutoHyphens/>
              <w:ind w:left="1464"/>
              <w:jc w:val="left"/>
              <w:rPr>
                <w:kern w:val="22"/>
                <w:szCs w:val="22"/>
                <w:lang w:val="fr-CA"/>
              </w:rPr>
            </w:pPr>
            <w:r w:rsidRPr="001F0385">
              <w:rPr>
                <w:kern w:val="22"/>
                <w:szCs w:val="22"/>
                <w:lang w:val="fr-CA"/>
              </w:rPr>
              <w:t xml:space="preserve">17 </w:t>
            </w:r>
            <w:r w:rsidR="00813599" w:rsidRPr="001F0385">
              <w:rPr>
                <w:kern w:val="22"/>
                <w:szCs w:val="22"/>
                <w:lang w:val="fr-CA"/>
              </w:rPr>
              <w:t>août</w:t>
            </w:r>
            <w:r w:rsidRPr="001F0385">
              <w:rPr>
                <w:kern w:val="22"/>
                <w:szCs w:val="22"/>
                <w:lang w:val="fr-CA"/>
              </w:rPr>
              <w:t xml:space="preserve"> </w:t>
            </w:r>
            <w:r w:rsidR="00010A0C" w:rsidRPr="001F0385">
              <w:rPr>
                <w:kern w:val="22"/>
                <w:szCs w:val="22"/>
                <w:lang w:val="fr-CA"/>
              </w:rPr>
              <w:t>2020</w:t>
            </w:r>
          </w:p>
          <w:p w14:paraId="159892DF" w14:textId="77777777" w:rsidR="00C9161D" w:rsidRPr="001F0385" w:rsidRDefault="00C9161D" w:rsidP="00C4544F">
            <w:pPr>
              <w:suppressLineNumbers/>
              <w:suppressAutoHyphens/>
              <w:ind w:left="1464"/>
              <w:jc w:val="left"/>
              <w:rPr>
                <w:kern w:val="22"/>
                <w:szCs w:val="22"/>
                <w:lang w:val="fr-CA"/>
              </w:rPr>
            </w:pPr>
          </w:p>
          <w:p w14:paraId="234B7F7F" w14:textId="16896B5D" w:rsidR="00813599" w:rsidRPr="001F0385" w:rsidRDefault="00813599" w:rsidP="00C4544F">
            <w:pPr>
              <w:suppressLineNumbers/>
              <w:suppressAutoHyphens/>
              <w:ind w:left="1464"/>
              <w:jc w:val="left"/>
              <w:rPr>
                <w:kern w:val="22"/>
                <w:szCs w:val="22"/>
                <w:lang w:val="fr-CA"/>
              </w:rPr>
            </w:pPr>
            <w:r w:rsidRPr="001F0385">
              <w:rPr>
                <w:kern w:val="22"/>
                <w:szCs w:val="22"/>
                <w:lang w:val="fr-CA"/>
              </w:rPr>
              <w:t>FRANÇAIS</w:t>
            </w:r>
          </w:p>
          <w:p w14:paraId="19472D49" w14:textId="6A25D544" w:rsidR="00C9161D" w:rsidRPr="001F0385" w:rsidRDefault="006B2290" w:rsidP="00C4544F">
            <w:pPr>
              <w:suppressLineNumbers/>
              <w:suppressAutoHyphens/>
              <w:ind w:left="1464"/>
              <w:jc w:val="left"/>
              <w:rPr>
                <w:kern w:val="22"/>
                <w:szCs w:val="22"/>
                <w:lang w:val="fr-CA"/>
              </w:rPr>
            </w:pPr>
            <w:r w:rsidRPr="001F0385">
              <w:rPr>
                <w:kern w:val="22"/>
                <w:szCs w:val="22"/>
                <w:lang w:val="fr-CA"/>
              </w:rPr>
              <w:t>ORIGINAL</w:t>
            </w:r>
            <w:r w:rsidR="00813599" w:rsidRPr="001F0385">
              <w:rPr>
                <w:kern w:val="22"/>
                <w:szCs w:val="22"/>
                <w:lang w:val="fr-CA"/>
              </w:rPr>
              <w:t xml:space="preserve"> </w:t>
            </w:r>
            <w:r w:rsidRPr="001F0385">
              <w:rPr>
                <w:kern w:val="22"/>
                <w:szCs w:val="22"/>
                <w:lang w:val="fr-CA"/>
              </w:rPr>
              <w:t xml:space="preserve">: </w:t>
            </w:r>
            <w:r w:rsidR="00813599" w:rsidRPr="001F0385">
              <w:rPr>
                <w:kern w:val="22"/>
                <w:szCs w:val="22"/>
                <w:lang w:val="fr-CA"/>
              </w:rPr>
              <w:t>ANGLAIS</w:t>
            </w:r>
          </w:p>
          <w:p w14:paraId="5AA10CCE" w14:textId="77777777" w:rsidR="00C9161D" w:rsidRPr="004C3E54" w:rsidRDefault="00C9161D" w:rsidP="00C4544F">
            <w:pPr>
              <w:suppressLineNumbers/>
              <w:suppressAutoHyphens/>
              <w:jc w:val="left"/>
              <w:rPr>
                <w:kern w:val="22"/>
              </w:rPr>
            </w:pPr>
          </w:p>
        </w:tc>
      </w:tr>
    </w:tbl>
    <w:p w14:paraId="6F866920" w14:textId="77777777" w:rsidR="00813599" w:rsidRPr="00115221" w:rsidRDefault="00813599" w:rsidP="00813599">
      <w:pPr>
        <w:ind w:left="284" w:hanging="284"/>
        <w:rPr>
          <w:rFonts w:eastAsia="Malgun Gothic"/>
          <w:caps/>
          <w:snapToGrid w:val="0"/>
          <w:kern w:val="22"/>
          <w:sz w:val="20"/>
          <w:lang w:val="fr-CA"/>
        </w:rPr>
      </w:pPr>
      <w:r w:rsidRPr="003D2B87">
        <w:rPr>
          <w:rFonts w:eastAsia="Malgun Gothic"/>
          <w:caps/>
          <w:snapToGrid w:val="0"/>
          <w:kern w:val="22"/>
          <w:lang w:val="fr-CA"/>
        </w:rPr>
        <w:t>ORGANE SUBSIDI</w:t>
      </w:r>
      <w:r w:rsidRPr="00115221">
        <w:rPr>
          <w:rFonts w:eastAsia="Malgun Gothic"/>
          <w:caps/>
          <w:snapToGrid w:val="0"/>
          <w:kern w:val="22"/>
          <w:lang w:val="fr-CA"/>
        </w:rPr>
        <w:t>AIRE CHARGÉ DE</w:t>
      </w:r>
    </w:p>
    <w:p w14:paraId="127BD841" w14:textId="7076373F" w:rsidR="00813599" w:rsidRPr="00115221" w:rsidRDefault="00813599" w:rsidP="00813599">
      <w:pPr>
        <w:ind w:left="284" w:hanging="284"/>
        <w:rPr>
          <w:rFonts w:eastAsia="Malgun Gothic"/>
          <w:caps/>
          <w:snapToGrid w:val="0"/>
          <w:kern w:val="22"/>
          <w:lang w:val="fr-CA"/>
        </w:rPr>
      </w:pPr>
      <w:r w:rsidRPr="00115221">
        <w:rPr>
          <w:rFonts w:eastAsia="Malgun Gothic"/>
          <w:caps/>
          <w:snapToGrid w:val="0"/>
          <w:kern w:val="22"/>
          <w:lang w:val="fr-CA"/>
        </w:rPr>
        <w:t>L’APPLICATION</w:t>
      </w:r>
    </w:p>
    <w:p w14:paraId="3423F12F" w14:textId="77777777" w:rsidR="00813599" w:rsidRPr="00115221" w:rsidRDefault="00813599" w:rsidP="00813599">
      <w:pPr>
        <w:ind w:left="284" w:hanging="284"/>
        <w:rPr>
          <w:snapToGrid w:val="0"/>
          <w:kern w:val="22"/>
          <w:szCs w:val="22"/>
          <w:lang w:val="fr-CA" w:eastAsia="nb-NO"/>
        </w:rPr>
      </w:pPr>
      <w:r w:rsidRPr="00115221">
        <w:rPr>
          <w:snapToGrid w:val="0"/>
          <w:kern w:val="22"/>
          <w:szCs w:val="22"/>
          <w:lang w:val="fr-CA" w:eastAsia="nb-NO"/>
        </w:rPr>
        <w:t>Troisième réunion</w:t>
      </w:r>
    </w:p>
    <w:p w14:paraId="61E85B0F" w14:textId="77777777" w:rsidR="00813599" w:rsidRPr="00115221" w:rsidRDefault="00813599" w:rsidP="00813599">
      <w:pPr>
        <w:pStyle w:val="Cornernotation"/>
        <w:suppressLineNumbers/>
        <w:suppressAutoHyphens/>
        <w:kinsoku w:val="0"/>
        <w:overflowPunct w:val="0"/>
        <w:autoSpaceDE w:val="0"/>
        <w:autoSpaceDN w:val="0"/>
        <w:ind w:left="227" w:right="3831" w:hanging="227"/>
        <w:rPr>
          <w:kern w:val="22"/>
          <w:szCs w:val="22"/>
          <w:lang w:val="fr-CA" w:eastAsia="ko-KR"/>
        </w:rPr>
      </w:pPr>
      <w:r w:rsidRPr="00115221">
        <w:rPr>
          <w:kern w:val="22"/>
          <w:szCs w:val="22"/>
          <w:lang w:val="fr-CA" w:eastAsia="ko-KR"/>
        </w:rPr>
        <w:t>Date et lieu à déterminer</w:t>
      </w:r>
    </w:p>
    <w:p w14:paraId="5ECF7635" w14:textId="29FA3720" w:rsidR="00C9161D" w:rsidRPr="00813599" w:rsidRDefault="00813599" w:rsidP="00813599">
      <w:pPr>
        <w:suppressLineNumbers/>
        <w:suppressAutoHyphens/>
        <w:rPr>
          <w:kern w:val="22"/>
          <w:lang w:val="fr-CA"/>
        </w:rPr>
      </w:pPr>
      <w:r w:rsidRPr="00115221">
        <w:rPr>
          <w:kern w:val="22"/>
          <w:szCs w:val="22"/>
          <w:lang w:val="fr-CA" w:eastAsia="ko-KR"/>
        </w:rPr>
        <w:t>Point 4 de l’ordre du jour provisoire</w:t>
      </w:r>
      <w:r w:rsidR="003144F4" w:rsidRPr="00813599">
        <w:rPr>
          <w:rStyle w:val="FootnoteReference"/>
          <w:snapToGrid w:val="0"/>
          <w:kern w:val="22"/>
          <w:szCs w:val="22"/>
          <w:lang w:val="fr-CA"/>
        </w:rPr>
        <w:footnoteReference w:customMarkFollows="1" w:id="1"/>
        <w:t>*</w:t>
      </w:r>
    </w:p>
    <w:p w14:paraId="57F6B7A1" w14:textId="793F7065" w:rsidR="00C9161D" w:rsidRPr="00813599" w:rsidRDefault="0095022D" w:rsidP="00C4544F">
      <w:pPr>
        <w:pStyle w:val="HEADINGNOTFORTOC"/>
        <w:suppressLineNumbers/>
        <w:suppressAutoHyphens/>
        <w:rPr>
          <w:lang w:val="fr-CA"/>
        </w:rPr>
      </w:pPr>
      <w:sdt>
        <w:sdtPr>
          <w:rPr>
            <w:lang w:val="fr-CA"/>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813599">
            <w:rPr>
              <w:lang w:val="fr-CA"/>
            </w:rPr>
            <w:t>ÉVALUATION ET examen de l’efficacité du protocole de cartagena</w:t>
          </w:r>
        </w:sdtContent>
      </w:sdt>
    </w:p>
    <w:p w14:paraId="2EEF764E" w14:textId="2C62183B" w:rsidR="00F6586C" w:rsidRPr="00813599" w:rsidRDefault="00813599" w:rsidP="00C4544F">
      <w:pPr>
        <w:pStyle w:val="Style1"/>
        <w:suppressLineNumbers/>
        <w:suppressAutoHyphens/>
        <w:rPr>
          <w:b w:val="0"/>
          <w:kern w:val="22"/>
          <w:lang w:val="fr-CA"/>
        </w:rPr>
      </w:pPr>
      <w:r>
        <w:rPr>
          <w:b w:val="0"/>
          <w:kern w:val="22"/>
          <w:lang w:val="fr-CA"/>
        </w:rPr>
        <w:t>Note de la Secrétaire exécutive</w:t>
      </w:r>
    </w:p>
    <w:p w14:paraId="5BB55E40" w14:textId="0D3FCE5D" w:rsidR="001D199C" w:rsidRPr="009700CF" w:rsidRDefault="00437CB1" w:rsidP="00C4544F">
      <w:pPr>
        <w:pStyle w:val="Heading1"/>
        <w:numPr>
          <w:ilvl w:val="0"/>
          <w:numId w:val="14"/>
        </w:numPr>
        <w:suppressLineNumbers/>
        <w:tabs>
          <w:tab w:val="clear" w:pos="720"/>
          <w:tab w:val="left" w:pos="426"/>
        </w:tabs>
        <w:suppressAutoHyphens/>
        <w:ind w:left="0" w:firstLine="0"/>
        <w:rPr>
          <w:kern w:val="22"/>
          <w:lang w:val="fr-CA"/>
        </w:rPr>
      </w:pPr>
      <w:r w:rsidRPr="009700CF">
        <w:rPr>
          <w:kern w:val="22"/>
          <w:lang w:val="fr-CA"/>
        </w:rPr>
        <w:t>INTRODUCTION</w:t>
      </w:r>
    </w:p>
    <w:p w14:paraId="58D5B4A4" w14:textId="0477CA85" w:rsidR="00283254" w:rsidRPr="009700CF" w:rsidRDefault="00813599" w:rsidP="00C4544F">
      <w:pPr>
        <w:numPr>
          <w:ilvl w:val="0"/>
          <w:numId w:val="19"/>
        </w:numPr>
        <w:suppressLineNumbers/>
        <w:tabs>
          <w:tab w:val="clear" w:pos="644"/>
        </w:tabs>
        <w:suppressAutoHyphens/>
        <w:spacing w:before="120" w:after="120"/>
        <w:ind w:left="0"/>
        <w:rPr>
          <w:kern w:val="22"/>
          <w:lang w:val="fr-CA"/>
        </w:rPr>
      </w:pPr>
      <w:r w:rsidRPr="009700CF">
        <w:rPr>
          <w:snapToGrid w:val="0"/>
          <w:kern w:val="22"/>
          <w:szCs w:val="22"/>
          <w:lang w:val="fr-CA"/>
        </w:rPr>
        <w:t>L’article 35 du Protocole de Cartagena sur la prévention des risques biotechnologiques oblige la Conférence des Parties siégeant en tant que réunion des Parties au Protocole à évaluer régulièrement l’efficacité du Protocole</w:t>
      </w:r>
      <w:r w:rsidR="00D41F3E" w:rsidRPr="009700CF">
        <w:rPr>
          <w:kern w:val="22"/>
          <w:lang w:val="fr-CA"/>
        </w:rPr>
        <w:t>.</w:t>
      </w:r>
    </w:p>
    <w:p w14:paraId="5738C28E" w14:textId="0232698C" w:rsidR="00283254" w:rsidRPr="009700CF" w:rsidRDefault="00BD45A5" w:rsidP="00C4544F">
      <w:pPr>
        <w:numPr>
          <w:ilvl w:val="0"/>
          <w:numId w:val="19"/>
        </w:numPr>
        <w:suppressLineNumbers/>
        <w:tabs>
          <w:tab w:val="clear" w:pos="644"/>
        </w:tabs>
        <w:suppressAutoHyphens/>
        <w:spacing w:before="120" w:after="120"/>
        <w:ind w:left="0"/>
        <w:rPr>
          <w:kern w:val="22"/>
          <w:szCs w:val="22"/>
          <w:lang w:val="fr-CA"/>
        </w:rPr>
      </w:pPr>
      <w:r w:rsidRPr="009700CF">
        <w:rPr>
          <w:snapToGrid w:val="0"/>
          <w:kern w:val="22"/>
          <w:szCs w:val="22"/>
          <w:lang w:val="fr-CA"/>
        </w:rPr>
        <w:t xml:space="preserve">La Conférence des Parties a adopté le Plan stratégique pour le Protocole de Cartagena sur la prévention des risques biotechnologiques pour la période 2011-2020 (Plan stratégique) dans sa décision </w:t>
      </w:r>
      <w:hyperlink r:id="rId15" w:history="1">
        <w:r w:rsidRPr="009700CF">
          <w:rPr>
            <w:rStyle w:val="Hyperlink"/>
            <w:snapToGrid w:val="0"/>
            <w:kern w:val="22"/>
            <w:sz w:val="22"/>
            <w:szCs w:val="22"/>
            <w:lang w:val="fr-CA"/>
          </w:rPr>
          <w:t>BS</w:t>
        </w:r>
        <w:r w:rsidRPr="009700CF">
          <w:rPr>
            <w:rStyle w:val="Hyperlink"/>
            <w:snapToGrid w:val="0"/>
            <w:kern w:val="22"/>
            <w:sz w:val="22"/>
            <w:szCs w:val="22"/>
            <w:lang w:val="fr-CA"/>
          </w:rPr>
          <w:noBreakHyphen/>
          <w:t>V/16</w:t>
        </w:r>
      </w:hyperlink>
      <w:r w:rsidR="00D41F3E" w:rsidRPr="009700CF">
        <w:rPr>
          <w:kern w:val="22"/>
          <w:szCs w:val="22"/>
          <w:lang w:val="fr-CA"/>
        </w:rPr>
        <w:t>.</w:t>
      </w:r>
    </w:p>
    <w:p w14:paraId="7F2B6355" w14:textId="08B54A39" w:rsidR="00283254" w:rsidRPr="009700CF" w:rsidRDefault="00BD45A5" w:rsidP="00C4544F">
      <w:pPr>
        <w:numPr>
          <w:ilvl w:val="0"/>
          <w:numId w:val="19"/>
        </w:numPr>
        <w:suppressLineNumbers/>
        <w:tabs>
          <w:tab w:val="clear" w:pos="644"/>
        </w:tabs>
        <w:suppressAutoHyphens/>
        <w:spacing w:before="120" w:after="120"/>
        <w:ind w:left="0"/>
        <w:rPr>
          <w:kern w:val="22"/>
          <w:lang w:val="fr-CA"/>
        </w:rPr>
      </w:pPr>
      <w:r w:rsidRPr="009700CF">
        <w:rPr>
          <w:snapToGrid w:val="0"/>
          <w:kern w:val="22"/>
          <w:szCs w:val="22"/>
          <w:lang w:val="fr-CA"/>
        </w:rPr>
        <w:t xml:space="preserve">La Conférence des Parties siégeant en tant que réunion des Parties au Protocole a décidé, à sa neuvième réunion, dans sa décision </w:t>
      </w:r>
      <w:hyperlink r:id="rId16" w:history="1">
        <w:r w:rsidRPr="009700CF">
          <w:rPr>
            <w:rStyle w:val="Hyperlink"/>
            <w:snapToGrid w:val="0"/>
            <w:kern w:val="22"/>
            <w:sz w:val="22"/>
            <w:szCs w:val="22"/>
            <w:lang w:val="fr-CA"/>
          </w:rPr>
          <w:t>CP-9/6</w:t>
        </w:r>
      </w:hyperlink>
      <w:r w:rsidRPr="009700CF">
        <w:rPr>
          <w:snapToGrid w:val="0"/>
          <w:kern w:val="22"/>
          <w:szCs w:val="22"/>
          <w:lang w:val="fr-CA"/>
        </w:rPr>
        <w:t xml:space="preserve">, </w:t>
      </w:r>
      <w:r w:rsidR="009700CF" w:rsidRPr="009700CF">
        <w:rPr>
          <w:snapToGrid w:val="0"/>
          <w:kern w:val="22"/>
          <w:szCs w:val="22"/>
          <w:lang w:val="fr-CA"/>
        </w:rPr>
        <w:t>de jumeler</w:t>
      </w:r>
      <w:r w:rsidRPr="009700CF">
        <w:rPr>
          <w:snapToGrid w:val="0"/>
          <w:kern w:val="22"/>
          <w:szCs w:val="22"/>
          <w:lang w:val="fr-CA"/>
        </w:rPr>
        <w:t xml:space="preserve"> la quatrième évaluation et examen du Protocole de Cartagena à l’évaluation finale du Plan stratégique pour le Protocole de Cartagena</w:t>
      </w:r>
      <w:r w:rsidR="00D41F3E" w:rsidRPr="009700CF">
        <w:rPr>
          <w:kern w:val="22"/>
          <w:lang w:val="fr-CA"/>
        </w:rPr>
        <w:t>.</w:t>
      </w:r>
      <w:r w:rsidRPr="009700CF">
        <w:rPr>
          <w:kern w:val="22"/>
          <w:lang w:val="fr-CA"/>
        </w:rPr>
        <w:t xml:space="preserve"> Elle a demandé à la Secrétaire exécutive d’analyser et de résumer les informations sur l’application du Protocole et de mettre ces informations à la disposition du Groupe de liaison</w:t>
      </w:r>
      <w:r w:rsidR="00211129" w:rsidRPr="009700CF">
        <w:rPr>
          <w:kern w:val="22"/>
          <w:lang w:val="fr-CA"/>
        </w:rPr>
        <w:t xml:space="preserve"> sur le Protocole de Carta</w:t>
      </w:r>
      <w:r w:rsidR="009700CF" w:rsidRPr="009700CF">
        <w:rPr>
          <w:kern w:val="22"/>
          <w:lang w:val="fr-CA"/>
        </w:rPr>
        <w:t>gena et, selon qu’il convient, d</w:t>
      </w:r>
      <w:r w:rsidR="00211129" w:rsidRPr="009700CF">
        <w:rPr>
          <w:kern w:val="22"/>
          <w:lang w:val="fr-CA"/>
        </w:rPr>
        <w:t>u Comité de conformité au titre du Protocole de Cartagena.</w:t>
      </w:r>
    </w:p>
    <w:p w14:paraId="47F2AE8C" w14:textId="3C0A3586" w:rsidR="00283254" w:rsidRPr="009700CF" w:rsidRDefault="00211129" w:rsidP="00C4544F">
      <w:pPr>
        <w:numPr>
          <w:ilvl w:val="0"/>
          <w:numId w:val="19"/>
        </w:numPr>
        <w:suppressLineNumbers/>
        <w:tabs>
          <w:tab w:val="clear" w:pos="644"/>
        </w:tabs>
        <w:suppressAutoHyphens/>
        <w:spacing w:before="120" w:after="120"/>
        <w:ind w:left="0"/>
        <w:rPr>
          <w:kern w:val="22"/>
          <w:lang w:val="fr-CA"/>
        </w:rPr>
      </w:pPr>
      <w:r w:rsidRPr="009700CF">
        <w:rPr>
          <w:kern w:val="22"/>
          <w:lang w:val="fr-CA"/>
        </w:rPr>
        <w:t xml:space="preserve">La Conférence des Parties siégeant en tant que réunion des Parties au Protocole a demandé </w:t>
      </w:r>
      <w:r w:rsidR="009700CF">
        <w:rPr>
          <w:kern w:val="22"/>
          <w:lang w:val="fr-CA"/>
        </w:rPr>
        <w:t>au Groupe de liaison et au</w:t>
      </w:r>
      <w:r w:rsidRPr="009700CF">
        <w:rPr>
          <w:kern w:val="22"/>
          <w:lang w:val="fr-CA"/>
        </w:rPr>
        <w:t xml:space="preserve"> Comité de conformité</w:t>
      </w:r>
      <w:r w:rsidR="0061421F" w:rsidRPr="009700CF">
        <w:rPr>
          <w:kern w:val="22"/>
          <w:lang w:val="fr-CA"/>
        </w:rPr>
        <w:t xml:space="preserve"> d’unir leurs efforts, sans duplication, afin de contribuer à la quatrième évaluation et examen du Protocole et à l’évaluation finale du Plan stratégique</w:t>
      </w:r>
      <w:r w:rsidR="009700CF">
        <w:rPr>
          <w:kern w:val="22"/>
          <w:lang w:val="fr-CA"/>
        </w:rPr>
        <w:t>,</w:t>
      </w:r>
      <w:r w:rsidR="0061421F" w:rsidRPr="009700CF">
        <w:rPr>
          <w:kern w:val="22"/>
          <w:lang w:val="fr-CA"/>
        </w:rPr>
        <w:t xml:space="preserve"> et de remettre leurs conclusions à l’Organe subsidiaire chargé de l</w:t>
      </w:r>
      <w:r w:rsidR="00BE752D">
        <w:rPr>
          <w:kern w:val="22"/>
          <w:lang w:val="fr-CA"/>
        </w:rPr>
        <w:t>’</w:t>
      </w:r>
      <w:r w:rsidR="0061421F" w:rsidRPr="009700CF">
        <w:rPr>
          <w:kern w:val="22"/>
          <w:lang w:val="fr-CA"/>
        </w:rPr>
        <w:t>application à sa troisième réunion</w:t>
      </w:r>
      <w:r w:rsidR="00D41F3E" w:rsidRPr="009700CF">
        <w:rPr>
          <w:kern w:val="22"/>
          <w:lang w:val="fr-CA"/>
        </w:rPr>
        <w:t>.</w:t>
      </w:r>
    </w:p>
    <w:p w14:paraId="47A7E38A" w14:textId="5AB21E8C" w:rsidR="00B36557" w:rsidRPr="009700CF" w:rsidRDefault="0061421F" w:rsidP="0061421F">
      <w:pPr>
        <w:numPr>
          <w:ilvl w:val="0"/>
          <w:numId w:val="19"/>
        </w:numPr>
        <w:suppressLineNumbers/>
        <w:tabs>
          <w:tab w:val="clear" w:pos="644"/>
        </w:tabs>
        <w:suppressAutoHyphens/>
        <w:spacing w:before="120" w:after="120"/>
        <w:ind w:left="0"/>
        <w:rPr>
          <w:kern w:val="22"/>
          <w:lang w:val="fr-CA"/>
        </w:rPr>
      </w:pPr>
      <w:r w:rsidRPr="009700CF">
        <w:rPr>
          <w:kern w:val="22"/>
          <w:lang w:val="fr-CA"/>
        </w:rPr>
        <w:t>La Conférence des Parties siégeant en tant que réunion des Parties au Protocole a demandé à l’Organe subsidiaire chargé de l</w:t>
      </w:r>
      <w:r w:rsidR="00BE752D">
        <w:rPr>
          <w:kern w:val="22"/>
          <w:lang w:val="fr-CA"/>
        </w:rPr>
        <w:t>’</w:t>
      </w:r>
      <w:r w:rsidRPr="009700CF">
        <w:rPr>
          <w:kern w:val="22"/>
          <w:lang w:val="fr-CA"/>
        </w:rPr>
        <w:t>application d’examiner, à sa troisième réunion,</w:t>
      </w:r>
      <w:r w:rsidR="00F15C28" w:rsidRPr="009700CF">
        <w:rPr>
          <w:kern w:val="22"/>
          <w:lang w:val="fr-CA"/>
        </w:rPr>
        <w:t xml:space="preserve"> les renseignements fournis et les conclusions du Groupe de liaison et du Comité de conformité, et de </w:t>
      </w:r>
      <w:r w:rsidR="00BE752D">
        <w:rPr>
          <w:kern w:val="22"/>
          <w:lang w:val="fr-CA"/>
        </w:rPr>
        <w:t xml:space="preserve">remettre ses conclusions et </w:t>
      </w:r>
      <w:r w:rsidR="00F15C28" w:rsidRPr="009700CF">
        <w:rPr>
          <w:kern w:val="22"/>
          <w:lang w:val="fr-CA"/>
        </w:rPr>
        <w:t>ses recommandations à la Conférence des Parties siégeant en tant que réunion des Parties au Protocole à sa dixième réunion, afin de faciliter la quatrième évaluation et examen du Protocole de Cartagena et l’évaluation finale au Plan stratégique pour le Protocole de Cartagena</w:t>
      </w:r>
      <w:r w:rsidR="00D41F3E" w:rsidRPr="009700CF">
        <w:rPr>
          <w:kern w:val="22"/>
          <w:lang w:val="fr-CA"/>
        </w:rPr>
        <w:t>.</w:t>
      </w:r>
    </w:p>
    <w:p w14:paraId="298ADDCB" w14:textId="7577DC2A" w:rsidR="00D41F3E" w:rsidRPr="009700CF" w:rsidRDefault="0077208A" w:rsidP="00C4544F">
      <w:pPr>
        <w:numPr>
          <w:ilvl w:val="0"/>
          <w:numId w:val="19"/>
        </w:numPr>
        <w:suppressLineNumbers/>
        <w:tabs>
          <w:tab w:val="clear" w:pos="644"/>
        </w:tabs>
        <w:suppressAutoHyphens/>
        <w:spacing w:before="120" w:after="120"/>
        <w:ind w:left="0"/>
        <w:rPr>
          <w:kern w:val="22"/>
          <w:lang w:val="fr-CA"/>
        </w:rPr>
      </w:pPr>
      <w:r w:rsidRPr="009700CF">
        <w:rPr>
          <w:kern w:val="22"/>
          <w:lang w:val="fr-CA"/>
        </w:rPr>
        <w:t>La partie</w:t>
      </w:r>
      <w:r w:rsidR="00BE752D">
        <w:rPr>
          <w:kern w:val="22"/>
          <w:lang w:val="fr-CA"/>
        </w:rPr>
        <w:t> </w:t>
      </w:r>
      <w:r w:rsidRPr="009700CF">
        <w:rPr>
          <w:kern w:val="22"/>
          <w:lang w:val="fr-CA"/>
        </w:rPr>
        <w:t xml:space="preserve">II de la présente note </w:t>
      </w:r>
      <w:r w:rsidR="00171BF2">
        <w:rPr>
          <w:kern w:val="22"/>
          <w:lang w:val="fr-CA"/>
        </w:rPr>
        <w:t>offre</w:t>
      </w:r>
      <w:r w:rsidRPr="009700CF">
        <w:rPr>
          <w:kern w:val="22"/>
          <w:lang w:val="fr-CA"/>
        </w:rPr>
        <w:t xml:space="preserve"> un aperçu du processus de la quatrième évaluation et examen du Protocole et </w:t>
      </w:r>
      <w:r w:rsidR="00171BF2">
        <w:rPr>
          <w:kern w:val="22"/>
          <w:lang w:val="fr-CA"/>
        </w:rPr>
        <w:t xml:space="preserve">de </w:t>
      </w:r>
      <w:r w:rsidRPr="009700CF">
        <w:rPr>
          <w:kern w:val="22"/>
          <w:lang w:val="fr-CA"/>
        </w:rPr>
        <w:t>l’évaluation finale du Plan stratégique. La partie</w:t>
      </w:r>
      <w:r w:rsidR="00BE752D">
        <w:rPr>
          <w:kern w:val="22"/>
          <w:lang w:val="fr-CA"/>
        </w:rPr>
        <w:t> </w:t>
      </w:r>
      <w:r w:rsidR="00171BF2">
        <w:rPr>
          <w:kern w:val="22"/>
          <w:lang w:val="fr-CA"/>
        </w:rPr>
        <w:t>I</w:t>
      </w:r>
      <w:r w:rsidRPr="009700CF">
        <w:rPr>
          <w:kern w:val="22"/>
          <w:lang w:val="fr-CA"/>
        </w:rPr>
        <w:t xml:space="preserve">II </w:t>
      </w:r>
      <w:r w:rsidR="00171BF2">
        <w:rPr>
          <w:kern w:val="22"/>
          <w:lang w:val="fr-CA"/>
        </w:rPr>
        <w:t>propose</w:t>
      </w:r>
      <w:r w:rsidRPr="009700CF">
        <w:rPr>
          <w:kern w:val="22"/>
          <w:lang w:val="fr-CA"/>
        </w:rPr>
        <w:t xml:space="preserve"> un sommaire des progrès accomplis dans les différents domaines thématiques du Plan stratégique et la partie</w:t>
      </w:r>
      <w:r w:rsidR="00BE752D">
        <w:rPr>
          <w:kern w:val="22"/>
          <w:lang w:val="fr-CA"/>
        </w:rPr>
        <w:t> </w:t>
      </w:r>
      <w:r w:rsidRPr="009700CF">
        <w:rPr>
          <w:kern w:val="22"/>
          <w:lang w:val="fr-CA"/>
        </w:rPr>
        <w:t xml:space="preserve">IV </w:t>
      </w:r>
      <w:r w:rsidR="00171BF2">
        <w:rPr>
          <w:kern w:val="22"/>
          <w:lang w:val="fr-CA"/>
        </w:rPr>
        <w:t>présente</w:t>
      </w:r>
      <w:r w:rsidRPr="009700CF">
        <w:rPr>
          <w:kern w:val="22"/>
          <w:lang w:val="fr-CA"/>
        </w:rPr>
        <w:t xml:space="preserve"> des suggestio</w:t>
      </w:r>
      <w:r w:rsidR="00CE2E80">
        <w:rPr>
          <w:kern w:val="22"/>
          <w:lang w:val="fr-CA"/>
        </w:rPr>
        <w:t>ns d’éléments de recommandation.</w:t>
      </w:r>
      <w:r w:rsidRPr="009700CF">
        <w:rPr>
          <w:kern w:val="22"/>
          <w:lang w:val="fr-CA"/>
        </w:rPr>
        <w:t xml:space="preserve"> L’analyse complète des données d’information pour </w:t>
      </w:r>
      <w:r w:rsidRPr="009700CF">
        <w:rPr>
          <w:kern w:val="22"/>
          <w:lang w:val="fr-CA"/>
        </w:rPr>
        <w:lastRenderedPageBreak/>
        <w:t>l’évaluation et examen du Protocole et l’évaluation finale du Plan stratégique est présentée dans le document</w:t>
      </w:r>
      <w:r w:rsidR="00D41F3E" w:rsidRPr="009700CF">
        <w:rPr>
          <w:kern w:val="22"/>
          <w:lang w:val="fr-CA"/>
        </w:rPr>
        <w:t xml:space="preserve"> </w:t>
      </w:r>
      <w:r w:rsidR="00053502" w:rsidRPr="009700CF">
        <w:rPr>
          <w:kern w:val="22"/>
          <w:lang w:val="fr-CA"/>
        </w:rPr>
        <w:t>CBD/</w:t>
      </w:r>
      <w:r w:rsidR="00D41F3E" w:rsidRPr="009700CF">
        <w:rPr>
          <w:kern w:val="22"/>
          <w:lang w:val="fr-CA"/>
        </w:rPr>
        <w:t>SBI/3/3/Add.1.</w:t>
      </w:r>
    </w:p>
    <w:p w14:paraId="03D7D5A6" w14:textId="0DECEB2D" w:rsidR="00533AA4" w:rsidRPr="009700CF" w:rsidRDefault="00B25A26" w:rsidP="00C4544F">
      <w:pPr>
        <w:pStyle w:val="Heading1"/>
        <w:numPr>
          <w:ilvl w:val="0"/>
          <w:numId w:val="14"/>
        </w:numPr>
        <w:suppressLineNumbers/>
        <w:tabs>
          <w:tab w:val="clear" w:pos="720"/>
        </w:tabs>
        <w:suppressAutoHyphens/>
        <w:spacing w:before="120"/>
        <w:ind w:left="1276" w:hanging="567"/>
        <w:jc w:val="left"/>
        <w:rPr>
          <w:kern w:val="22"/>
          <w:lang w:val="fr-CA"/>
        </w:rPr>
      </w:pPr>
      <w:r w:rsidRPr="009700CF">
        <w:rPr>
          <w:kern w:val="22"/>
          <w:lang w:val="fr-CA"/>
        </w:rPr>
        <w:t xml:space="preserve">processus de la quatrième évaluation et examen de l’efficacité du protocole de cartagena et de </w:t>
      </w:r>
      <w:r w:rsidR="00171BF2">
        <w:rPr>
          <w:kern w:val="22"/>
          <w:lang w:val="fr-CA"/>
        </w:rPr>
        <w:t>l’</w:t>
      </w:r>
      <w:r w:rsidRPr="009700CF">
        <w:rPr>
          <w:kern w:val="22"/>
          <w:lang w:val="fr-CA"/>
        </w:rPr>
        <w:t xml:space="preserve">évaluation </w:t>
      </w:r>
      <w:r w:rsidR="00171BF2">
        <w:rPr>
          <w:kern w:val="22"/>
          <w:lang w:val="fr-CA"/>
        </w:rPr>
        <w:t xml:space="preserve">finale </w:t>
      </w:r>
      <w:r w:rsidRPr="009700CF">
        <w:rPr>
          <w:kern w:val="22"/>
          <w:lang w:val="fr-CA"/>
        </w:rPr>
        <w:t>du plan stratégique pour le protocole de cartagena</w:t>
      </w:r>
    </w:p>
    <w:p w14:paraId="4D3B5D42" w14:textId="2377E9AB" w:rsidR="00FA0F3E" w:rsidRPr="009700CF" w:rsidRDefault="00B25A26" w:rsidP="00C4544F">
      <w:pPr>
        <w:pStyle w:val="Heading2"/>
        <w:numPr>
          <w:ilvl w:val="0"/>
          <w:numId w:val="18"/>
        </w:numPr>
        <w:suppressLineNumbers/>
        <w:tabs>
          <w:tab w:val="clear" w:pos="720"/>
        </w:tabs>
        <w:suppressAutoHyphens/>
        <w:ind w:left="1276" w:hanging="567"/>
        <w:jc w:val="left"/>
        <w:rPr>
          <w:kern w:val="22"/>
          <w:lang w:val="fr-CA"/>
        </w:rPr>
      </w:pPr>
      <w:r w:rsidRPr="009700CF">
        <w:rPr>
          <w:kern w:val="22"/>
          <w:lang w:val="fr-CA"/>
        </w:rPr>
        <w:t>Analyse de la quatrième évaluation et examen du Protocole de Cartagena et de l’évaluation finale du Plan stratégique</w:t>
      </w:r>
    </w:p>
    <w:p w14:paraId="20C0A04E" w14:textId="12463644" w:rsidR="00BA63A3" w:rsidRPr="009700CF" w:rsidRDefault="00B25A26" w:rsidP="00C4544F">
      <w:pPr>
        <w:numPr>
          <w:ilvl w:val="0"/>
          <w:numId w:val="19"/>
        </w:numPr>
        <w:suppressLineNumbers/>
        <w:tabs>
          <w:tab w:val="clear" w:pos="644"/>
        </w:tabs>
        <w:suppressAutoHyphens/>
        <w:spacing w:before="120" w:after="120"/>
        <w:ind w:left="0"/>
        <w:rPr>
          <w:snapToGrid w:val="0"/>
          <w:kern w:val="22"/>
          <w:szCs w:val="22"/>
          <w:lang w:val="fr-CA"/>
        </w:rPr>
      </w:pPr>
      <w:r w:rsidRPr="009700CF">
        <w:rPr>
          <w:kern w:val="22"/>
          <w:szCs w:val="22"/>
          <w:lang w:val="fr-CA"/>
        </w:rPr>
        <w:t>Le Plan stratégique pour le Protocole de Cartagena comprend des objectifs opérationnels et des indica</w:t>
      </w:r>
      <w:r w:rsidR="009134FD" w:rsidRPr="009700CF">
        <w:rPr>
          <w:kern w:val="22"/>
          <w:szCs w:val="22"/>
          <w:lang w:val="fr-CA"/>
        </w:rPr>
        <w:t>t</w:t>
      </w:r>
      <w:r w:rsidRPr="009700CF">
        <w:rPr>
          <w:kern w:val="22"/>
          <w:szCs w:val="22"/>
          <w:lang w:val="fr-CA"/>
        </w:rPr>
        <w:t xml:space="preserve">eurs </w:t>
      </w:r>
      <w:r w:rsidR="009134FD" w:rsidRPr="009700CF">
        <w:rPr>
          <w:kern w:val="22"/>
          <w:szCs w:val="22"/>
          <w:lang w:val="fr-CA"/>
        </w:rPr>
        <w:t>connexes</w:t>
      </w:r>
      <w:r w:rsidRPr="009700CF">
        <w:rPr>
          <w:kern w:val="22"/>
          <w:szCs w:val="22"/>
          <w:lang w:val="fr-CA"/>
        </w:rPr>
        <w:t xml:space="preserve"> qui portent largement sur les domaines thématiques suivants : </w:t>
      </w:r>
      <w:r w:rsidR="009134FD" w:rsidRPr="009700CF">
        <w:rPr>
          <w:kern w:val="22"/>
          <w:szCs w:val="22"/>
          <w:lang w:val="fr-CA"/>
        </w:rPr>
        <w:t xml:space="preserve">a) </w:t>
      </w:r>
      <w:r w:rsidR="009134FD" w:rsidRPr="009700CF">
        <w:rPr>
          <w:snapToGrid w:val="0"/>
          <w:kern w:val="22"/>
          <w:szCs w:val="22"/>
          <w:lang w:val="fr-CA"/>
        </w:rPr>
        <w:t>les cadres nationaux de prévention des risques biotechnologiques</w:t>
      </w:r>
      <w:r w:rsidR="00BE752D">
        <w:rPr>
          <w:snapToGrid w:val="0"/>
          <w:kern w:val="22"/>
          <w:szCs w:val="22"/>
          <w:lang w:val="fr-CA"/>
        </w:rPr>
        <w:t> </w:t>
      </w:r>
      <w:r w:rsidR="009134FD" w:rsidRPr="009700CF">
        <w:rPr>
          <w:snapToGrid w:val="0"/>
          <w:kern w:val="22"/>
          <w:szCs w:val="22"/>
          <w:lang w:val="fr-CA"/>
        </w:rPr>
        <w:t>; b) la coordination et le soutien</w:t>
      </w:r>
      <w:r w:rsidR="00BE752D">
        <w:rPr>
          <w:snapToGrid w:val="0"/>
          <w:kern w:val="22"/>
          <w:szCs w:val="22"/>
          <w:lang w:val="fr-CA"/>
        </w:rPr>
        <w:t> </w:t>
      </w:r>
      <w:r w:rsidR="009134FD" w:rsidRPr="009700CF">
        <w:rPr>
          <w:snapToGrid w:val="0"/>
          <w:kern w:val="22"/>
          <w:szCs w:val="22"/>
          <w:lang w:val="fr-CA"/>
        </w:rPr>
        <w:t>; c) l’évaluation des risques et la gestion des risques</w:t>
      </w:r>
      <w:r w:rsidR="00BE752D">
        <w:rPr>
          <w:snapToGrid w:val="0"/>
          <w:kern w:val="22"/>
          <w:szCs w:val="22"/>
          <w:lang w:val="fr-CA"/>
        </w:rPr>
        <w:t> </w:t>
      </w:r>
      <w:r w:rsidR="009134FD" w:rsidRPr="009700CF">
        <w:rPr>
          <w:snapToGrid w:val="0"/>
          <w:kern w:val="22"/>
          <w:szCs w:val="22"/>
          <w:lang w:val="fr-CA"/>
        </w:rPr>
        <w:t>; d) les organismes vivants modifiés (OVM) et les caractéristiques pouvant avoir des effets nuisibles</w:t>
      </w:r>
      <w:r w:rsidR="00BE752D">
        <w:rPr>
          <w:snapToGrid w:val="0"/>
          <w:kern w:val="22"/>
          <w:szCs w:val="22"/>
          <w:lang w:val="fr-CA"/>
        </w:rPr>
        <w:t> </w:t>
      </w:r>
      <w:r w:rsidR="009134FD" w:rsidRPr="009700CF">
        <w:rPr>
          <w:snapToGrid w:val="0"/>
          <w:kern w:val="22"/>
          <w:szCs w:val="22"/>
          <w:lang w:val="fr-CA"/>
        </w:rPr>
        <w:t>; e) la responsabilité et la réparation</w:t>
      </w:r>
      <w:r w:rsidR="00BE752D">
        <w:rPr>
          <w:snapToGrid w:val="0"/>
          <w:kern w:val="22"/>
          <w:szCs w:val="22"/>
          <w:lang w:val="fr-CA"/>
        </w:rPr>
        <w:t> </w:t>
      </w:r>
      <w:r w:rsidR="009134FD" w:rsidRPr="009700CF">
        <w:rPr>
          <w:snapToGrid w:val="0"/>
          <w:kern w:val="22"/>
          <w:szCs w:val="22"/>
          <w:lang w:val="fr-CA"/>
        </w:rPr>
        <w:t>; f) la manipulation, le transport, l’emballage et l’identification</w:t>
      </w:r>
      <w:r w:rsidR="00BE752D">
        <w:rPr>
          <w:snapToGrid w:val="0"/>
          <w:kern w:val="22"/>
          <w:szCs w:val="22"/>
          <w:lang w:val="fr-CA"/>
        </w:rPr>
        <w:t> </w:t>
      </w:r>
      <w:r w:rsidR="009134FD" w:rsidRPr="009700CF">
        <w:rPr>
          <w:snapToGrid w:val="0"/>
          <w:kern w:val="22"/>
          <w:szCs w:val="22"/>
          <w:lang w:val="fr-CA"/>
        </w:rPr>
        <w:t>; g) les facteurs socioéconomiques</w:t>
      </w:r>
      <w:r w:rsidR="00BE752D">
        <w:rPr>
          <w:snapToGrid w:val="0"/>
          <w:kern w:val="22"/>
          <w:szCs w:val="22"/>
          <w:lang w:val="fr-CA"/>
        </w:rPr>
        <w:t> </w:t>
      </w:r>
      <w:r w:rsidR="009134FD" w:rsidRPr="009700CF">
        <w:rPr>
          <w:snapToGrid w:val="0"/>
          <w:kern w:val="22"/>
          <w:szCs w:val="22"/>
          <w:lang w:val="fr-CA"/>
        </w:rPr>
        <w:t>; h) l’acheminement, l’utilisation restreinte, les mouvements transfrontières involontaires et les mesures d’urgence</w:t>
      </w:r>
      <w:r w:rsidR="00BE752D">
        <w:rPr>
          <w:snapToGrid w:val="0"/>
          <w:kern w:val="22"/>
          <w:szCs w:val="22"/>
          <w:lang w:val="fr-CA"/>
        </w:rPr>
        <w:t> </w:t>
      </w:r>
      <w:r w:rsidR="009134FD" w:rsidRPr="009700CF">
        <w:rPr>
          <w:snapToGrid w:val="0"/>
          <w:kern w:val="22"/>
          <w:szCs w:val="22"/>
          <w:lang w:val="fr-CA"/>
        </w:rPr>
        <w:t>; i) l’échange de renseignements</w:t>
      </w:r>
      <w:r w:rsidR="00BE752D">
        <w:rPr>
          <w:snapToGrid w:val="0"/>
          <w:kern w:val="22"/>
          <w:szCs w:val="22"/>
          <w:lang w:val="fr-CA"/>
        </w:rPr>
        <w:t> </w:t>
      </w:r>
      <w:r w:rsidR="009134FD" w:rsidRPr="009700CF">
        <w:rPr>
          <w:snapToGrid w:val="0"/>
          <w:kern w:val="22"/>
          <w:szCs w:val="22"/>
          <w:lang w:val="fr-CA"/>
        </w:rPr>
        <w:t>; j) la conformité et l’examen</w:t>
      </w:r>
      <w:r w:rsidR="00BE752D">
        <w:rPr>
          <w:snapToGrid w:val="0"/>
          <w:kern w:val="22"/>
          <w:szCs w:val="22"/>
          <w:lang w:val="fr-CA"/>
        </w:rPr>
        <w:t> </w:t>
      </w:r>
      <w:r w:rsidR="009134FD" w:rsidRPr="009700CF">
        <w:rPr>
          <w:snapToGrid w:val="0"/>
          <w:kern w:val="22"/>
          <w:szCs w:val="22"/>
          <w:lang w:val="fr-CA"/>
        </w:rPr>
        <w:t>; k) la sensibilisation et la participation du public, l’éducation et la formation sur la prévention des risques biotechnologiques</w:t>
      </w:r>
      <w:r w:rsidR="00BE752D">
        <w:rPr>
          <w:snapToGrid w:val="0"/>
          <w:kern w:val="22"/>
          <w:szCs w:val="22"/>
          <w:lang w:val="fr-CA"/>
        </w:rPr>
        <w:t> </w:t>
      </w:r>
      <w:r w:rsidR="009134FD" w:rsidRPr="009700CF">
        <w:rPr>
          <w:snapToGrid w:val="0"/>
          <w:kern w:val="22"/>
          <w:szCs w:val="22"/>
          <w:lang w:val="fr-CA"/>
        </w:rPr>
        <w:t>; et l) la vulgarisation et la coopération</w:t>
      </w:r>
      <w:r w:rsidR="00021F4C" w:rsidRPr="009700CF">
        <w:rPr>
          <w:kern w:val="22"/>
          <w:szCs w:val="22"/>
          <w:lang w:val="fr-CA"/>
        </w:rPr>
        <w:t>.</w:t>
      </w:r>
    </w:p>
    <w:p w14:paraId="3A97F9C2" w14:textId="0D28955B" w:rsidR="004C4402" w:rsidRPr="009700CF" w:rsidRDefault="009134FD" w:rsidP="00C4544F">
      <w:pPr>
        <w:numPr>
          <w:ilvl w:val="0"/>
          <w:numId w:val="19"/>
        </w:numPr>
        <w:suppressLineNumbers/>
        <w:tabs>
          <w:tab w:val="clear" w:pos="644"/>
        </w:tabs>
        <w:suppressAutoHyphens/>
        <w:spacing w:before="120" w:after="120"/>
        <w:ind w:left="0"/>
        <w:rPr>
          <w:snapToGrid w:val="0"/>
          <w:kern w:val="22"/>
          <w:szCs w:val="22"/>
          <w:lang w:val="fr-CA"/>
        </w:rPr>
      </w:pPr>
      <w:r w:rsidRPr="009700CF">
        <w:rPr>
          <w:kern w:val="22"/>
          <w:szCs w:val="22"/>
          <w:lang w:val="fr-CA"/>
        </w:rPr>
        <w:t>L’analyse de la quatrième évaluation et examen de l’efficacité du Protocole et de l’évaluation finale du Plan stratégique fournit des données d’information sur les progrès accomplis par les Parties</w:t>
      </w:r>
      <w:r w:rsidR="00623194" w:rsidRPr="009700CF">
        <w:rPr>
          <w:kern w:val="22"/>
          <w:szCs w:val="22"/>
          <w:lang w:val="fr-CA"/>
        </w:rPr>
        <w:t xml:space="preserve"> dans la réalisa</w:t>
      </w:r>
      <w:r w:rsidRPr="009700CF">
        <w:rPr>
          <w:kern w:val="22"/>
          <w:szCs w:val="22"/>
          <w:lang w:val="fr-CA"/>
        </w:rPr>
        <w:t>tion des objectifs opé</w:t>
      </w:r>
      <w:r w:rsidR="00171BF2">
        <w:rPr>
          <w:kern w:val="22"/>
          <w:szCs w:val="22"/>
          <w:lang w:val="fr-CA"/>
        </w:rPr>
        <w:t>rationnels du Plan stratégique pour les</w:t>
      </w:r>
      <w:r w:rsidRPr="009700CF">
        <w:rPr>
          <w:kern w:val="22"/>
          <w:szCs w:val="22"/>
          <w:lang w:val="fr-CA"/>
        </w:rPr>
        <w:t xml:space="preserve"> 12 domaines thématiques énoncés ci-dessus.</w:t>
      </w:r>
      <w:r w:rsidR="006A779C">
        <w:rPr>
          <w:kern w:val="22"/>
          <w:szCs w:val="22"/>
          <w:lang w:val="fr-CA"/>
        </w:rPr>
        <w:t xml:space="preserve"> L’analyse est fondée</w:t>
      </w:r>
      <w:r w:rsidR="00623194" w:rsidRPr="009700CF">
        <w:rPr>
          <w:kern w:val="22"/>
          <w:szCs w:val="22"/>
          <w:lang w:val="fr-CA"/>
        </w:rPr>
        <w:t xml:space="preserve"> sur les données d’information fournies dans les quatrièmes rapports nationaux en tant que source primaire, le centre d</w:t>
      </w:r>
      <w:r w:rsidR="00BE752D">
        <w:rPr>
          <w:kern w:val="22"/>
          <w:szCs w:val="22"/>
          <w:lang w:val="fr-CA"/>
        </w:rPr>
        <w:t>’</w:t>
      </w:r>
      <w:r w:rsidR="00623194" w:rsidRPr="009700CF">
        <w:rPr>
          <w:kern w:val="22"/>
          <w:szCs w:val="22"/>
          <w:lang w:val="fr-CA"/>
        </w:rPr>
        <w:t>échange sur la prévention des risques biotechnologique</w:t>
      </w:r>
      <w:r w:rsidR="00E93B2B">
        <w:rPr>
          <w:kern w:val="22"/>
          <w:szCs w:val="22"/>
          <w:lang w:val="fr-CA"/>
        </w:rPr>
        <w:t xml:space="preserve"> et </w:t>
      </w:r>
      <w:r w:rsidR="00E514C6">
        <w:rPr>
          <w:kern w:val="22"/>
          <w:szCs w:val="22"/>
          <w:lang w:val="fr-CA"/>
        </w:rPr>
        <w:t>les données d’</w:t>
      </w:r>
      <w:r w:rsidR="00E93B2B">
        <w:rPr>
          <w:kern w:val="22"/>
          <w:szCs w:val="22"/>
          <w:lang w:val="fr-CA"/>
        </w:rPr>
        <w:t>expérience des projets de renforcement des capacités</w:t>
      </w:r>
      <w:r w:rsidR="00E514C6">
        <w:rPr>
          <w:kern w:val="22"/>
          <w:szCs w:val="22"/>
          <w:lang w:val="fr-CA"/>
        </w:rPr>
        <w:t>,</w:t>
      </w:r>
      <w:r w:rsidR="00E93B2B">
        <w:rPr>
          <w:kern w:val="22"/>
          <w:szCs w:val="22"/>
          <w:lang w:val="fr-CA"/>
        </w:rPr>
        <w:t xml:space="preserve"> et le Comité de conformité,</w:t>
      </w:r>
      <w:r w:rsidR="00623194" w:rsidRPr="009700CF">
        <w:rPr>
          <w:kern w:val="22"/>
          <w:szCs w:val="22"/>
          <w:lang w:val="fr-CA"/>
        </w:rPr>
        <w:t xml:space="preserve"> </w:t>
      </w:r>
      <w:r w:rsidR="006A779C">
        <w:rPr>
          <w:kern w:val="22"/>
          <w:szCs w:val="22"/>
          <w:lang w:val="fr-CA"/>
        </w:rPr>
        <w:t>selon qu’il convient</w:t>
      </w:r>
      <w:r w:rsidR="00623194" w:rsidRPr="009700CF">
        <w:rPr>
          <w:snapToGrid w:val="0"/>
          <w:kern w:val="22"/>
          <w:szCs w:val="22"/>
          <w:lang w:val="fr-CA"/>
        </w:rPr>
        <w:t xml:space="preserve">. L’analyse complète est présentée dans le document </w:t>
      </w:r>
      <w:r w:rsidR="00BA63A3" w:rsidRPr="009700CF">
        <w:rPr>
          <w:kern w:val="22"/>
          <w:szCs w:val="22"/>
          <w:lang w:val="fr-CA"/>
        </w:rPr>
        <w:t xml:space="preserve">CBD/SBI/3/3/Add.1, </w:t>
      </w:r>
      <w:r w:rsidR="00623194" w:rsidRPr="009700CF">
        <w:rPr>
          <w:kern w:val="22"/>
          <w:szCs w:val="22"/>
          <w:lang w:val="fr-CA"/>
        </w:rPr>
        <w:t xml:space="preserve">qui propose également des sommaires des progrès accomplis </w:t>
      </w:r>
      <w:r w:rsidR="006A779C">
        <w:rPr>
          <w:kern w:val="22"/>
          <w:szCs w:val="22"/>
          <w:lang w:val="fr-CA"/>
        </w:rPr>
        <w:t>pour</w:t>
      </w:r>
      <w:r w:rsidR="00623194" w:rsidRPr="009700CF">
        <w:rPr>
          <w:kern w:val="22"/>
          <w:szCs w:val="22"/>
          <w:lang w:val="fr-CA"/>
        </w:rPr>
        <w:t xml:space="preserve"> chaque objectif opérationnel</w:t>
      </w:r>
      <w:r w:rsidR="00BA63A3" w:rsidRPr="009700CF">
        <w:rPr>
          <w:kern w:val="22"/>
          <w:szCs w:val="22"/>
          <w:lang w:val="fr-CA"/>
        </w:rPr>
        <w:t>.</w:t>
      </w:r>
    </w:p>
    <w:p w14:paraId="1F3343FA" w14:textId="61C00C16" w:rsidR="00BF68E1" w:rsidRPr="009700CF" w:rsidRDefault="00623194" w:rsidP="00C4544F">
      <w:pPr>
        <w:numPr>
          <w:ilvl w:val="0"/>
          <w:numId w:val="19"/>
        </w:numPr>
        <w:suppressLineNumbers/>
        <w:tabs>
          <w:tab w:val="clear" w:pos="644"/>
        </w:tabs>
        <w:suppressAutoHyphens/>
        <w:ind w:left="0"/>
        <w:rPr>
          <w:snapToGrid w:val="0"/>
          <w:kern w:val="22"/>
          <w:szCs w:val="22"/>
          <w:lang w:val="fr-CA"/>
        </w:rPr>
      </w:pPr>
      <w:r w:rsidRPr="009700CF">
        <w:rPr>
          <w:kern w:val="22"/>
          <w:szCs w:val="22"/>
          <w:lang w:val="fr-CA"/>
        </w:rPr>
        <w:t>L’analyse offre une description de l’état actuel de l’application</w:t>
      </w:r>
      <w:r w:rsidR="003B5A98" w:rsidRPr="009700CF">
        <w:rPr>
          <w:rStyle w:val="FootnoteReference"/>
          <w:kern w:val="22"/>
          <w:szCs w:val="22"/>
          <w:lang w:val="fr-CA"/>
        </w:rPr>
        <w:footnoteReference w:id="2"/>
      </w:r>
      <w:r w:rsidRPr="009700CF">
        <w:rPr>
          <w:kern w:val="22"/>
          <w:szCs w:val="22"/>
          <w:lang w:val="fr-CA"/>
        </w:rPr>
        <w:t xml:space="preserve"> et des différences déclarées par rapport </w:t>
      </w:r>
      <w:r w:rsidR="0041278D" w:rsidRPr="009700CF">
        <w:rPr>
          <w:kern w:val="22"/>
          <w:szCs w:val="22"/>
          <w:lang w:val="fr-CA"/>
        </w:rPr>
        <w:t>à</w:t>
      </w:r>
      <w:r w:rsidRPr="009700CF">
        <w:rPr>
          <w:kern w:val="22"/>
          <w:szCs w:val="22"/>
          <w:lang w:val="fr-CA"/>
        </w:rPr>
        <w:t xml:space="preserve"> la valeur de référence utilisée pour mesurer les progrès accomplis dans l’application du Plan stratégique. </w:t>
      </w:r>
      <w:r w:rsidR="0041278D" w:rsidRPr="009700CF">
        <w:rPr>
          <w:kern w:val="22"/>
          <w:szCs w:val="22"/>
          <w:lang w:val="fr-CA"/>
        </w:rPr>
        <w:t>Il a été décidé, à la décision BS-VI/15, que la valeur de référence regroupe</w:t>
      </w:r>
      <w:r w:rsidR="006A779C">
        <w:rPr>
          <w:kern w:val="22"/>
          <w:szCs w:val="22"/>
          <w:lang w:val="fr-CA"/>
        </w:rPr>
        <w:t>rait</w:t>
      </w:r>
      <w:r w:rsidR="0041278D" w:rsidRPr="009700CF">
        <w:rPr>
          <w:kern w:val="22"/>
          <w:szCs w:val="22"/>
          <w:lang w:val="fr-CA"/>
        </w:rPr>
        <w:t xml:space="preserve"> des informations des deuxièmes rapports nationaux, du centre d</w:t>
      </w:r>
      <w:r w:rsidR="00BE752D">
        <w:rPr>
          <w:kern w:val="22"/>
          <w:szCs w:val="22"/>
          <w:lang w:val="fr-CA"/>
        </w:rPr>
        <w:t>’</w:t>
      </w:r>
      <w:r w:rsidR="0041278D" w:rsidRPr="009700CF">
        <w:rPr>
          <w:kern w:val="22"/>
          <w:szCs w:val="22"/>
          <w:lang w:val="fr-CA"/>
        </w:rPr>
        <w:t xml:space="preserve">échange sur la prévention des risques biotechnologiques et </w:t>
      </w:r>
      <w:r w:rsidR="0041278D" w:rsidRPr="009700CF">
        <w:rPr>
          <w:snapToGrid w:val="0"/>
          <w:kern w:val="22"/>
          <w:szCs w:val="22"/>
          <w:lang w:val="fr-CA"/>
        </w:rPr>
        <w:t>d’une enquête dédiée visant à recueillir des informations relatives aux indicateurs du Plan stratégique ne pouvant pas être obtenues des deuxièmes rapports nationaux ni au moyen d’autres mécanismes existants (ci-après appelée «</w:t>
      </w:r>
      <w:r w:rsidR="00BE752D">
        <w:rPr>
          <w:snapToGrid w:val="0"/>
          <w:kern w:val="22"/>
          <w:szCs w:val="22"/>
          <w:lang w:val="fr-CA"/>
        </w:rPr>
        <w:t> </w:t>
      </w:r>
      <w:r w:rsidR="0041278D" w:rsidRPr="009700CF">
        <w:rPr>
          <w:snapToGrid w:val="0"/>
          <w:kern w:val="22"/>
          <w:szCs w:val="22"/>
          <w:lang w:val="fr-CA"/>
        </w:rPr>
        <w:t>l’Enquête »</w:t>
      </w:r>
      <w:r w:rsidR="00BF68E1" w:rsidRPr="009700CF">
        <w:rPr>
          <w:snapToGrid w:val="0"/>
          <w:kern w:val="22"/>
          <w:szCs w:val="22"/>
          <w:lang w:val="fr-CA"/>
        </w:rPr>
        <w:t>).</w:t>
      </w:r>
      <w:r w:rsidR="0073720F" w:rsidRPr="009700CF">
        <w:rPr>
          <w:rStyle w:val="FootnoteReference"/>
          <w:snapToGrid w:val="0"/>
          <w:kern w:val="22"/>
          <w:szCs w:val="22"/>
          <w:lang w:val="fr-CA"/>
        </w:rPr>
        <w:footnoteReference w:id="3"/>
      </w:r>
    </w:p>
    <w:p w14:paraId="73433540" w14:textId="484AC1B7" w:rsidR="00F522F0" w:rsidRPr="009700CF" w:rsidRDefault="00F75D3F" w:rsidP="00C4544F">
      <w:pPr>
        <w:pStyle w:val="ListParagraph"/>
        <w:numPr>
          <w:ilvl w:val="0"/>
          <w:numId w:val="19"/>
        </w:numPr>
        <w:suppressLineNumbers/>
        <w:tabs>
          <w:tab w:val="clear" w:pos="644"/>
        </w:tabs>
        <w:suppressAutoHyphens/>
        <w:snapToGrid w:val="0"/>
        <w:spacing w:before="120" w:after="120"/>
        <w:ind w:left="0"/>
        <w:contextualSpacing w:val="0"/>
        <w:rPr>
          <w:snapToGrid w:val="0"/>
          <w:kern w:val="22"/>
          <w:szCs w:val="22"/>
          <w:lang w:val="fr-CA"/>
        </w:rPr>
      </w:pPr>
      <w:r w:rsidRPr="009700CF">
        <w:rPr>
          <w:snapToGrid w:val="0"/>
          <w:kern w:val="22"/>
          <w:szCs w:val="22"/>
          <w:lang w:val="fr-CA"/>
        </w:rPr>
        <w:t>La comparaison de ces données a été réalisée grâce à un outil d’analyse en ligne des rapports d’analyse</w:t>
      </w:r>
      <w:r w:rsidR="00F522F0" w:rsidRPr="009700CF">
        <w:rPr>
          <w:snapToGrid w:val="0"/>
          <w:kern w:val="22"/>
          <w:szCs w:val="22"/>
          <w:lang w:val="fr-CA"/>
        </w:rPr>
        <w:t>.</w:t>
      </w:r>
      <w:r w:rsidR="00F522F0" w:rsidRPr="009700CF">
        <w:rPr>
          <w:snapToGrid w:val="0"/>
          <w:kern w:val="22"/>
          <w:szCs w:val="22"/>
          <w:vertAlign w:val="superscript"/>
          <w:lang w:val="fr-CA"/>
        </w:rPr>
        <w:footnoteReference w:id="4"/>
      </w:r>
      <w:r w:rsidR="00F522F0" w:rsidRPr="009700CF">
        <w:rPr>
          <w:snapToGrid w:val="0"/>
          <w:kern w:val="22"/>
          <w:szCs w:val="22"/>
          <w:lang w:val="fr-CA"/>
        </w:rPr>
        <w:t xml:space="preserve"> </w:t>
      </w:r>
      <w:r w:rsidRPr="009700CF">
        <w:rPr>
          <w:snapToGrid w:val="0"/>
          <w:kern w:val="22"/>
          <w:szCs w:val="22"/>
          <w:lang w:val="fr-CA"/>
        </w:rPr>
        <w:t xml:space="preserve">Les informations du centre d’échange sur la prévention des risques </w:t>
      </w:r>
      <w:r w:rsidR="006A779C">
        <w:rPr>
          <w:snapToGrid w:val="0"/>
          <w:kern w:val="22"/>
          <w:szCs w:val="22"/>
          <w:lang w:val="fr-CA"/>
        </w:rPr>
        <w:t xml:space="preserve">biotechnologiques </w:t>
      </w:r>
      <w:r w:rsidRPr="009700CF">
        <w:rPr>
          <w:snapToGrid w:val="0"/>
          <w:kern w:val="22"/>
          <w:szCs w:val="22"/>
          <w:lang w:val="fr-CA"/>
        </w:rPr>
        <w:t>concernant le quatrième cycle de présentation des rapports ont été comparées à des renseignements semblables provenant des valeurs de référence. La source d’information utilisée est indiquée dans la grille des sources d’information</w:t>
      </w:r>
      <w:r w:rsidRPr="009700CF">
        <w:rPr>
          <w:rStyle w:val="FootnoteReference"/>
          <w:snapToGrid w:val="0"/>
          <w:kern w:val="22"/>
          <w:szCs w:val="22"/>
          <w:lang w:val="fr-CA"/>
        </w:rPr>
        <w:footnoteReference w:id="5"/>
      </w:r>
      <w:r w:rsidRPr="009700CF">
        <w:rPr>
          <w:snapToGrid w:val="0"/>
          <w:kern w:val="22"/>
          <w:szCs w:val="22"/>
          <w:lang w:val="fr-CA"/>
        </w:rPr>
        <w:t xml:space="preserve"> pour chacun des indicateurs</w:t>
      </w:r>
      <w:r w:rsidR="00F522F0" w:rsidRPr="009700CF">
        <w:rPr>
          <w:snapToGrid w:val="0"/>
          <w:kern w:val="22"/>
          <w:szCs w:val="22"/>
          <w:lang w:val="fr-CA"/>
        </w:rPr>
        <w:t>.</w:t>
      </w:r>
    </w:p>
    <w:p w14:paraId="745EBEE6" w14:textId="41A8F7E3" w:rsidR="00F522F0" w:rsidRPr="009700CF" w:rsidRDefault="00F75D3F" w:rsidP="00C4544F">
      <w:pPr>
        <w:pStyle w:val="ListParagraph"/>
        <w:numPr>
          <w:ilvl w:val="0"/>
          <w:numId w:val="19"/>
        </w:numPr>
        <w:suppressLineNumbers/>
        <w:tabs>
          <w:tab w:val="clear" w:pos="644"/>
        </w:tabs>
        <w:suppressAutoHyphens/>
        <w:snapToGrid w:val="0"/>
        <w:spacing w:before="120" w:after="120"/>
        <w:ind w:left="0"/>
        <w:contextualSpacing w:val="0"/>
        <w:rPr>
          <w:snapToGrid w:val="0"/>
          <w:kern w:val="22"/>
          <w:szCs w:val="22"/>
          <w:lang w:val="fr-CA"/>
        </w:rPr>
      </w:pPr>
      <w:r w:rsidRPr="009700CF">
        <w:rPr>
          <w:snapToGrid w:val="0"/>
          <w:kern w:val="22"/>
          <w:szCs w:val="22"/>
          <w:lang w:val="fr-CA"/>
        </w:rPr>
        <w:t xml:space="preserve">L’analyse </w:t>
      </w:r>
      <w:r w:rsidR="00E93B2B">
        <w:rPr>
          <w:snapToGrid w:val="0"/>
          <w:kern w:val="22"/>
          <w:szCs w:val="22"/>
          <w:lang w:val="fr-CA"/>
        </w:rPr>
        <w:t>est fondée sur les</w:t>
      </w:r>
      <w:r w:rsidRPr="009700CF">
        <w:rPr>
          <w:snapToGrid w:val="0"/>
          <w:kern w:val="22"/>
          <w:szCs w:val="22"/>
          <w:lang w:val="fr-CA"/>
        </w:rPr>
        <w:t xml:space="preserve"> données </w:t>
      </w:r>
      <w:r w:rsidR="008E35BE">
        <w:rPr>
          <w:snapToGrid w:val="0"/>
          <w:kern w:val="22"/>
          <w:szCs w:val="22"/>
          <w:lang w:val="fr-CA"/>
        </w:rPr>
        <w:t>transmises par</w:t>
      </w:r>
      <w:r w:rsidRPr="009700CF">
        <w:rPr>
          <w:snapToGrid w:val="0"/>
          <w:kern w:val="22"/>
          <w:szCs w:val="22"/>
          <w:lang w:val="fr-CA"/>
        </w:rPr>
        <w:t xml:space="preserve"> les Parties ayant remis leur quatrième rapport national au 15 janvier 2020 qui avaient </w:t>
      </w:r>
      <w:r w:rsidR="00CA1ED9">
        <w:rPr>
          <w:snapToGrid w:val="0"/>
          <w:kern w:val="22"/>
          <w:szCs w:val="22"/>
          <w:lang w:val="fr-CA"/>
        </w:rPr>
        <w:t xml:space="preserve">également </w:t>
      </w:r>
      <w:r w:rsidRPr="009700CF">
        <w:rPr>
          <w:snapToGrid w:val="0"/>
          <w:kern w:val="22"/>
          <w:szCs w:val="22"/>
          <w:lang w:val="fr-CA"/>
        </w:rPr>
        <w:t xml:space="preserve">fourni des données de référence correspondantes. Cette méthode a pour objet d’obtenir un examen conséquent et comparable des progrès au fil du temps et </w:t>
      </w:r>
      <w:r w:rsidRPr="009700CF">
        <w:rPr>
          <w:snapToGrid w:val="0"/>
          <w:kern w:val="22"/>
          <w:szCs w:val="22"/>
          <w:lang w:val="fr-CA"/>
        </w:rPr>
        <w:lastRenderedPageBreak/>
        <w:t>correspond à la méthode utilisée pour la troisième évaluation et examen du Protocole et l’évaluation à mi-mandat du Plan stratégique</w:t>
      </w:r>
      <w:r w:rsidR="00F522F0" w:rsidRPr="009700CF">
        <w:rPr>
          <w:snapToGrid w:val="0"/>
          <w:kern w:val="22"/>
          <w:szCs w:val="22"/>
          <w:lang w:val="fr-CA"/>
        </w:rPr>
        <w:t>.</w:t>
      </w:r>
      <w:r w:rsidR="00F522F0" w:rsidRPr="009700CF">
        <w:rPr>
          <w:rStyle w:val="FootnoteReference"/>
          <w:snapToGrid w:val="0"/>
          <w:kern w:val="22"/>
          <w:szCs w:val="22"/>
          <w:lang w:val="fr-CA"/>
        </w:rPr>
        <w:footnoteReference w:id="6"/>
      </w:r>
    </w:p>
    <w:p w14:paraId="13FCBABE" w14:textId="251A9C42" w:rsidR="00F522F0" w:rsidRPr="009700CF" w:rsidRDefault="00F75D3F" w:rsidP="00C4544F">
      <w:pPr>
        <w:pStyle w:val="ListParagraph"/>
        <w:numPr>
          <w:ilvl w:val="0"/>
          <w:numId w:val="19"/>
        </w:numPr>
        <w:suppressLineNumbers/>
        <w:tabs>
          <w:tab w:val="clear" w:pos="644"/>
        </w:tabs>
        <w:suppressAutoHyphens/>
        <w:snapToGrid w:val="0"/>
        <w:spacing w:before="120" w:after="120"/>
        <w:ind w:left="0"/>
        <w:contextualSpacing w:val="0"/>
        <w:rPr>
          <w:snapToGrid w:val="0"/>
          <w:kern w:val="22"/>
          <w:szCs w:val="22"/>
          <w:lang w:val="fr-CA"/>
        </w:rPr>
      </w:pPr>
      <w:r w:rsidRPr="009700CF">
        <w:rPr>
          <w:snapToGrid w:val="0"/>
          <w:kern w:val="22"/>
          <w:szCs w:val="22"/>
          <w:lang w:val="fr-CA"/>
        </w:rPr>
        <w:t>La partie II du document</w:t>
      </w:r>
      <w:r w:rsidR="00272E61" w:rsidRPr="009700CF">
        <w:rPr>
          <w:snapToGrid w:val="0"/>
          <w:kern w:val="22"/>
          <w:szCs w:val="22"/>
          <w:lang w:val="fr-CA"/>
        </w:rPr>
        <w:t xml:space="preserve"> CBD/SBI/3/3/Add.</w:t>
      </w:r>
      <w:r w:rsidR="000F26AC">
        <w:rPr>
          <w:snapToGrid w:val="0"/>
          <w:kern w:val="22"/>
          <w:szCs w:val="22"/>
          <w:lang w:val="fr-CA"/>
        </w:rPr>
        <w:t>1</w:t>
      </w:r>
      <w:r w:rsidRPr="009700CF">
        <w:rPr>
          <w:snapToGrid w:val="0"/>
          <w:kern w:val="22"/>
          <w:szCs w:val="22"/>
          <w:lang w:val="fr-CA"/>
        </w:rPr>
        <w:t xml:space="preserve"> contient plus d’</w:t>
      </w:r>
      <w:r w:rsidR="003B5A98" w:rsidRPr="009700CF">
        <w:rPr>
          <w:snapToGrid w:val="0"/>
          <w:kern w:val="22"/>
          <w:szCs w:val="22"/>
          <w:lang w:val="fr-CA"/>
        </w:rPr>
        <w:t>informations sur l</w:t>
      </w:r>
      <w:r w:rsidRPr="009700CF">
        <w:rPr>
          <w:snapToGrid w:val="0"/>
          <w:kern w:val="22"/>
          <w:szCs w:val="22"/>
          <w:lang w:val="fr-CA"/>
        </w:rPr>
        <w:t>es aspects méthodologiques</w:t>
      </w:r>
      <w:r w:rsidR="00272E61" w:rsidRPr="009700CF">
        <w:rPr>
          <w:snapToGrid w:val="0"/>
          <w:kern w:val="22"/>
          <w:szCs w:val="22"/>
          <w:lang w:val="fr-CA"/>
        </w:rPr>
        <w:t>.</w:t>
      </w:r>
    </w:p>
    <w:p w14:paraId="4F420A7A" w14:textId="6990B517" w:rsidR="00F05CCD" w:rsidRPr="009700CF" w:rsidRDefault="00CF6F4B" w:rsidP="00C4544F">
      <w:pPr>
        <w:pStyle w:val="Heading2"/>
        <w:numPr>
          <w:ilvl w:val="0"/>
          <w:numId w:val="18"/>
        </w:numPr>
        <w:suppressLineNumbers/>
        <w:tabs>
          <w:tab w:val="clear" w:pos="720"/>
          <w:tab w:val="left" w:pos="426"/>
        </w:tabs>
        <w:suppressAutoHyphens/>
        <w:ind w:left="0" w:firstLine="0"/>
        <w:rPr>
          <w:kern w:val="22"/>
          <w:lang w:val="fr-CA"/>
        </w:rPr>
      </w:pPr>
      <w:r w:rsidRPr="009700CF">
        <w:rPr>
          <w:kern w:val="22"/>
          <w:lang w:val="fr-CA"/>
        </w:rPr>
        <w:t>Contribution du Comité de conformité</w:t>
      </w:r>
    </w:p>
    <w:p w14:paraId="4C987762" w14:textId="0A3A8C0C" w:rsidR="00FA0F3E" w:rsidRPr="009700CF" w:rsidRDefault="00CF6F4B" w:rsidP="00C4544F">
      <w:pPr>
        <w:numPr>
          <w:ilvl w:val="0"/>
          <w:numId w:val="19"/>
        </w:numPr>
        <w:suppressLineNumbers/>
        <w:tabs>
          <w:tab w:val="clear" w:pos="644"/>
        </w:tabs>
        <w:suppressAutoHyphens/>
        <w:spacing w:before="120" w:after="120"/>
        <w:ind w:left="0"/>
        <w:rPr>
          <w:kern w:val="22"/>
          <w:lang w:val="fr-CA"/>
        </w:rPr>
      </w:pPr>
      <w:r w:rsidRPr="009700CF">
        <w:rPr>
          <w:kern w:val="22"/>
          <w:lang w:val="fr-CA"/>
        </w:rPr>
        <w:t xml:space="preserve">Le Comité de conformité a convenu, à sa seizième réunion, </w:t>
      </w:r>
      <w:r w:rsidR="008E35BE">
        <w:rPr>
          <w:kern w:val="22"/>
          <w:lang w:val="fr-CA"/>
        </w:rPr>
        <w:t xml:space="preserve">qui a eu lieu </w:t>
      </w:r>
      <w:r w:rsidRPr="009700CF">
        <w:rPr>
          <w:kern w:val="22"/>
          <w:lang w:val="fr-CA"/>
        </w:rPr>
        <w:t>du 29 au 31 mai 2019, que le champ d’application de sa contribution à la quatrième évaluation et examen du Protocole et à l’évaluation finale du Plan stratégique mettrait l’accent sur l</w:t>
      </w:r>
      <w:r w:rsidR="00262A3C" w:rsidRPr="009700CF">
        <w:rPr>
          <w:kern w:val="22"/>
          <w:lang w:val="fr-CA"/>
        </w:rPr>
        <w:t>’</w:t>
      </w:r>
      <w:r w:rsidRPr="009700CF">
        <w:rPr>
          <w:kern w:val="22"/>
          <w:lang w:val="fr-CA"/>
        </w:rPr>
        <w:t>objectif opérationnel 3.1 du Plan stratégique et l’expérience acquise par le Comité dans l</w:t>
      </w:r>
      <w:r w:rsidR="00262A3C" w:rsidRPr="009700CF">
        <w:rPr>
          <w:kern w:val="22"/>
          <w:lang w:val="fr-CA"/>
        </w:rPr>
        <w:t>’exécution de son rôle de soutien pour aider les Parties à respecter leur</w:t>
      </w:r>
      <w:r w:rsidR="00CA1ED9">
        <w:rPr>
          <w:kern w:val="22"/>
          <w:lang w:val="fr-CA"/>
        </w:rPr>
        <w:t>s</w:t>
      </w:r>
      <w:r w:rsidR="00262A3C" w:rsidRPr="009700CF">
        <w:rPr>
          <w:kern w:val="22"/>
          <w:lang w:val="fr-CA"/>
        </w:rPr>
        <w:t xml:space="preserve"> obligation</w:t>
      </w:r>
      <w:r w:rsidR="00CA1ED9">
        <w:rPr>
          <w:kern w:val="22"/>
          <w:lang w:val="fr-CA"/>
        </w:rPr>
        <w:t>s</w:t>
      </w:r>
      <w:r w:rsidR="008F6F51" w:rsidRPr="009700CF">
        <w:rPr>
          <w:kern w:val="22"/>
          <w:lang w:val="fr-CA"/>
        </w:rPr>
        <w:t>.</w:t>
      </w:r>
    </w:p>
    <w:p w14:paraId="28446F4C" w14:textId="19650812" w:rsidR="00767FD7" w:rsidRPr="009700CF" w:rsidRDefault="00262A3C" w:rsidP="00C4544F">
      <w:pPr>
        <w:numPr>
          <w:ilvl w:val="0"/>
          <w:numId w:val="19"/>
        </w:numPr>
        <w:suppressLineNumbers/>
        <w:tabs>
          <w:tab w:val="clear" w:pos="644"/>
        </w:tabs>
        <w:suppressAutoHyphens/>
        <w:spacing w:before="120" w:after="120"/>
        <w:ind w:left="0"/>
        <w:rPr>
          <w:kern w:val="22"/>
          <w:lang w:val="fr-CA"/>
        </w:rPr>
      </w:pPr>
      <w:r w:rsidRPr="009700CF">
        <w:rPr>
          <w:kern w:val="22"/>
          <w:lang w:val="fr-CA"/>
        </w:rPr>
        <w:t>Le Comité de conformité a examin</w:t>
      </w:r>
      <w:r w:rsidR="00FE4878" w:rsidRPr="009700CF">
        <w:rPr>
          <w:kern w:val="22"/>
          <w:lang w:val="fr-CA"/>
        </w:rPr>
        <w:t>é</w:t>
      </w:r>
      <w:r w:rsidRPr="009700CF">
        <w:rPr>
          <w:kern w:val="22"/>
          <w:lang w:val="fr-CA"/>
        </w:rPr>
        <w:t xml:space="preserve"> les données d’</w:t>
      </w:r>
      <w:r w:rsidR="00FE4878" w:rsidRPr="009700CF">
        <w:rPr>
          <w:kern w:val="22"/>
          <w:lang w:val="fr-CA"/>
        </w:rPr>
        <w:t>i</w:t>
      </w:r>
      <w:r w:rsidRPr="009700CF">
        <w:rPr>
          <w:kern w:val="22"/>
          <w:lang w:val="fr-CA"/>
        </w:rPr>
        <w:t xml:space="preserve">nformation sur l’application du Protocole </w:t>
      </w:r>
      <w:r w:rsidR="00CA1ED9">
        <w:rPr>
          <w:kern w:val="22"/>
          <w:lang w:val="fr-CA"/>
        </w:rPr>
        <w:t>pour</w:t>
      </w:r>
      <w:r w:rsidRPr="009700CF">
        <w:rPr>
          <w:kern w:val="22"/>
          <w:lang w:val="fr-CA"/>
        </w:rPr>
        <w:t xml:space="preserve"> l’objectif opérationnel 3.</w:t>
      </w:r>
      <w:r w:rsidR="00FE4878" w:rsidRPr="009700CF">
        <w:rPr>
          <w:kern w:val="22"/>
          <w:lang w:val="fr-CA"/>
        </w:rPr>
        <w:t>1 du Plan stratégique, c’</w:t>
      </w:r>
      <w:r w:rsidRPr="009700CF">
        <w:rPr>
          <w:kern w:val="22"/>
          <w:lang w:val="fr-CA"/>
        </w:rPr>
        <w:t>est-</w:t>
      </w:r>
      <w:r w:rsidR="00FE4878" w:rsidRPr="009700CF">
        <w:rPr>
          <w:kern w:val="22"/>
          <w:lang w:val="fr-CA"/>
        </w:rPr>
        <w:t>à-dire l</w:t>
      </w:r>
      <w:r w:rsidRPr="009700CF">
        <w:rPr>
          <w:kern w:val="22"/>
          <w:lang w:val="fr-CA"/>
        </w:rPr>
        <w:t xml:space="preserve">’objectif opérationnel lié à la conformité, à sa dix-septième réunion, </w:t>
      </w:r>
      <w:r w:rsidR="008E35BE">
        <w:rPr>
          <w:kern w:val="22"/>
          <w:lang w:val="fr-CA"/>
        </w:rPr>
        <w:t xml:space="preserve">qui a eu lieu </w:t>
      </w:r>
      <w:r w:rsidR="00FE4878" w:rsidRPr="009700CF">
        <w:rPr>
          <w:kern w:val="22"/>
          <w:lang w:val="fr-CA"/>
        </w:rPr>
        <w:t>du 15 au 17 avril</w:t>
      </w:r>
      <w:r w:rsidRPr="009700CF">
        <w:rPr>
          <w:kern w:val="22"/>
          <w:lang w:val="fr-CA"/>
        </w:rPr>
        <w:t xml:space="preserve"> 2020. Le Comité</w:t>
      </w:r>
      <w:r w:rsidR="00FE4878" w:rsidRPr="009700CF">
        <w:rPr>
          <w:kern w:val="22"/>
          <w:lang w:val="fr-CA"/>
        </w:rPr>
        <w:t xml:space="preserve"> </w:t>
      </w:r>
      <w:r w:rsidRPr="009700CF">
        <w:rPr>
          <w:kern w:val="22"/>
          <w:lang w:val="fr-CA"/>
        </w:rPr>
        <w:t>a</w:t>
      </w:r>
      <w:r w:rsidR="003D429B">
        <w:rPr>
          <w:kern w:val="22"/>
          <w:lang w:val="fr-CA"/>
        </w:rPr>
        <w:t>vait</w:t>
      </w:r>
      <w:r w:rsidRPr="009700CF">
        <w:rPr>
          <w:kern w:val="22"/>
          <w:lang w:val="fr-CA"/>
        </w:rPr>
        <w:t xml:space="preserve"> été saisi d’une note</w:t>
      </w:r>
      <w:r w:rsidR="00767FD7" w:rsidRPr="009700CF">
        <w:rPr>
          <w:kern w:val="22"/>
          <w:lang w:val="fr-CA"/>
        </w:rPr>
        <w:t xml:space="preserve"> </w:t>
      </w:r>
      <w:r w:rsidR="00DC76E0" w:rsidRPr="009700CF">
        <w:rPr>
          <w:kern w:val="22"/>
          <w:lang w:val="fr-CA"/>
        </w:rPr>
        <w:t xml:space="preserve">(CBD/CP/CC/17/3) </w:t>
      </w:r>
      <w:r w:rsidRPr="009700CF">
        <w:rPr>
          <w:kern w:val="22"/>
          <w:lang w:val="fr-CA"/>
        </w:rPr>
        <w:t>offrant un sommaire des progr</w:t>
      </w:r>
      <w:r w:rsidR="00FE4878" w:rsidRPr="009700CF">
        <w:rPr>
          <w:kern w:val="22"/>
          <w:lang w:val="fr-CA"/>
        </w:rPr>
        <w:t>ès accomplis dans la réalisati</w:t>
      </w:r>
      <w:r w:rsidRPr="009700CF">
        <w:rPr>
          <w:kern w:val="22"/>
          <w:lang w:val="fr-CA"/>
        </w:rPr>
        <w:t xml:space="preserve">on de l’objectif opérationnel 3.1 et </w:t>
      </w:r>
      <w:r w:rsidR="008E35BE">
        <w:rPr>
          <w:kern w:val="22"/>
          <w:lang w:val="fr-CA"/>
        </w:rPr>
        <w:t>a eu</w:t>
      </w:r>
      <w:r w:rsidRPr="009700CF">
        <w:rPr>
          <w:kern w:val="22"/>
          <w:lang w:val="fr-CA"/>
        </w:rPr>
        <w:t xml:space="preserve"> accès à l’analyse compl</w:t>
      </w:r>
      <w:r w:rsidR="00FE4878" w:rsidRPr="009700CF">
        <w:rPr>
          <w:kern w:val="22"/>
          <w:lang w:val="fr-CA"/>
        </w:rPr>
        <w:t>ète de l’information pour la quatrième évaluation et examen du Protocole et l’évaluation finale du Plan stratégique</w:t>
      </w:r>
      <w:r w:rsidR="00C74EA8" w:rsidRPr="009700CF">
        <w:rPr>
          <w:kern w:val="22"/>
          <w:lang w:val="fr-CA"/>
        </w:rPr>
        <w:t xml:space="preserve"> (</w:t>
      </w:r>
      <w:r w:rsidR="002E6D66" w:rsidRPr="009700CF">
        <w:rPr>
          <w:kern w:val="22"/>
          <w:lang w:val="fr-CA"/>
        </w:rPr>
        <w:t>CBD/CP/CC/17/INF/1)</w:t>
      </w:r>
      <w:r w:rsidR="00C7799C" w:rsidRPr="009700CF">
        <w:rPr>
          <w:kern w:val="22"/>
          <w:lang w:val="fr-CA"/>
        </w:rPr>
        <w:t>.</w:t>
      </w:r>
    </w:p>
    <w:p w14:paraId="3BF2D6A6" w14:textId="53B48876" w:rsidR="00E14860" w:rsidRPr="009700CF" w:rsidRDefault="00FE4878" w:rsidP="00C4544F">
      <w:pPr>
        <w:numPr>
          <w:ilvl w:val="0"/>
          <w:numId w:val="19"/>
        </w:numPr>
        <w:suppressLineNumbers/>
        <w:tabs>
          <w:tab w:val="clear" w:pos="644"/>
        </w:tabs>
        <w:suppressAutoHyphens/>
        <w:spacing w:before="120" w:after="120"/>
        <w:ind w:left="0"/>
        <w:rPr>
          <w:kern w:val="22"/>
          <w:lang w:val="fr-CA"/>
        </w:rPr>
      </w:pPr>
      <w:r w:rsidRPr="009700CF">
        <w:rPr>
          <w:kern w:val="22"/>
          <w:lang w:val="fr-CA"/>
        </w:rPr>
        <w:t xml:space="preserve">Le Comité a </w:t>
      </w:r>
      <w:r w:rsidR="003D429B">
        <w:rPr>
          <w:kern w:val="22"/>
          <w:lang w:val="fr-CA"/>
        </w:rPr>
        <w:t>élaboré</w:t>
      </w:r>
      <w:r w:rsidRPr="009700CF">
        <w:rPr>
          <w:kern w:val="22"/>
          <w:lang w:val="fr-CA"/>
        </w:rPr>
        <w:t xml:space="preserve"> ses conclusions et a demandé à la Secrétaire exécutive de les communiquer à l’Organe subsidiaire chargé de l</w:t>
      </w:r>
      <w:r w:rsidR="00BE752D">
        <w:rPr>
          <w:kern w:val="22"/>
          <w:lang w:val="fr-CA"/>
        </w:rPr>
        <w:t>’</w:t>
      </w:r>
      <w:r w:rsidRPr="009700CF">
        <w:rPr>
          <w:kern w:val="22"/>
          <w:lang w:val="fr-CA"/>
        </w:rPr>
        <w:t>application pour examen à sa troisième réunion. Les conclusions du Comité de conformité sont réunies dans le rapport du Comité à la dix-septième réunion</w:t>
      </w:r>
      <w:r w:rsidR="003E51B9" w:rsidRPr="009700CF">
        <w:rPr>
          <w:kern w:val="22"/>
          <w:lang w:val="fr-CA"/>
        </w:rPr>
        <w:t xml:space="preserve"> (CBD/CP/CC/17/6)</w:t>
      </w:r>
      <w:r w:rsidR="003D429B">
        <w:rPr>
          <w:kern w:val="22"/>
          <w:lang w:val="fr-CA"/>
        </w:rPr>
        <w:t xml:space="preserve"> </w:t>
      </w:r>
      <w:r w:rsidRPr="009700CF">
        <w:rPr>
          <w:kern w:val="22"/>
          <w:lang w:val="fr-CA"/>
        </w:rPr>
        <w:t>et reproduits à l’annexe I à la présente note</w:t>
      </w:r>
      <w:r w:rsidR="006F2A7E" w:rsidRPr="009700CF">
        <w:rPr>
          <w:kern w:val="22"/>
          <w:lang w:val="fr-CA"/>
        </w:rPr>
        <w:t>.</w:t>
      </w:r>
    </w:p>
    <w:p w14:paraId="6B3C1243" w14:textId="3451A984" w:rsidR="00A07987" w:rsidRPr="009700CF" w:rsidRDefault="00FE4878" w:rsidP="00C4544F">
      <w:pPr>
        <w:numPr>
          <w:ilvl w:val="0"/>
          <w:numId w:val="19"/>
        </w:numPr>
        <w:suppressLineNumbers/>
        <w:tabs>
          <w:tab w:val="clear" w:pos="644"/>
        </w:tabs>
        <w:suppressAutoHyphens/>
        <w:spacing w:before="120" w:after="120"/>
        <w:ind w:left="0"/>
        <w:rPr>
          <w:kern w:val="22"/>
          <w:lang w:val="fr-CA"/>
        </w:rPr>
      </w:pPr>
      <w:r w:rsidRPr="009700CF">
        <w:rPr>
          <w:kern w:val="22"/>
          <w:lang w:val="fr-CA"/>
        </w:rPr>
        <w:t>Le Comité a également convenu des recommandations concernant la quatrième évaluation et examen du Protocole et l’évaluation finale du Plan stratégique pour examen par la Conférence des Parties siégeant en tant que réunion des Parties au Protocole à sa dixième réunion</w:t>
      </w:r>
      <w:r w:rsidR="003D429B">
        <w:rPr>
          <w:kern w:val="22"/>
          <w:lang w:val="fr-CA"/>
        </w:rPr>
        <w:t>. Elles ont</w:t>
      </w:r>
      <w:r w:rsidR="00F313B9" w:rsidRPr="009700CF">
        <w:rPr>
          <w:kern w:val="22"/>
          <w:lang w:val="fr-CA"/>
        </w:rPr>
        <w:t xml:space="preserve"> servi à l’élaboration du projet de recommandation présenté à la partie IV du présent document</w:t>
      </w:r>
      <w:r w:rsidR="00B9627A" w:rsidRPr="009700CF">
        <w:rPr>
          <w:kern w:val="22"/>
          <w:lang w:val="fr-CA"/>
        </w:rPr>
        <w:t>.</w:t>
      </w:r>
      <w:r w:rsidR="00844D8C" w:rsidRPr="009700CF">
        <w:rPr>
          <w:rStyle w:val="FootnoteReference"/>
          <w:kern w:val="22"/>
          <w:lang w:val="fr-CA"/>
        </w:rPr>
        <w:footnoteReference w:id="7"/>
      </w:r>
    </w:p>
    <w:p w14:paraId="43E065F5" w14:textId="6438B374" w:rsidR="00FB352B" w:rsidRPr="009700CF" w:rsidRDefault="00F313B9" w:rsidP="00C4544F">
      <w:pPr>
        <w:pStyle w:val="Heading2"/>
        <w:numPr>
          <w:ilvl w:val="0"/>
          <w:numId w:val="18"/>
        </w:numPr>
        <w:suppressLineNumbers/>
        <w:tabs>
          <w:tab w:val="clear" w:pos="720"/>
        </w:tabs>
        <w:suppressAutoHyphens/>
        <w:ind w:left="0" w:firstLine="0"/>
        <w:rPr>
          <w:kern w:val="22"/>
          <w:lang w:val="fr-CA"/>
        </w:rPr>
      </w:pPr>
      <w:r w:rsidRPr="009700CF">
        <w:rPr>
          <w:kern w:val="22"/>
          <w:lang w:val="fr-CA"/>
        </w:rPr>
        <w:t>Contribution du Groupe de liaison sur le Protocole de Cartagena</w:t>
      </w:r>
    </w:p>
    <w:p w14:paraId="2E04FC02" w14:textId="235DBBCC" w:rsidR="00DE7C13" w:rsidRPr="009700CF" w:rsidRDefault="00F313B9" w:rsidP="00C4544F">
      <w:pPr>
        <w:numPr>
          <w:ilvl w:val="0"/>
          <w:numId w:val="19"/>
        </w:numPr>
        <w:suppressLineNumbers/>
        <w:tabs>
          <w:tab w:val="clear" w:pos="644"/>
        </w:tabs>
        <w:suppressAutoHyphens/>
        <w:spacing w:before="120" w:after="120"/>
        <w:ind w:left="0"/>
        <w:rPr>
          <w:kern w:val="22"/>
          <w:lang w:val="fr-CA"/>
        </w:rPr>
      </w:pPr>
      <w:r w:rsidRPr="009700CF">
        <w:rPr>
          <w:kern w:val="22"/>
          <w:lang w:val="fr-CA"/>
        </w:rPr>
        <w:t xml:space="preserve">Le Groupe de liaison a examiné les données d’information sur l’application du Protocole à sa quatorzième réunion, </w:t>
      </w:r>
      <w:r w:rsidR="00E514C6">
        <w:rPr>
          <w:kern w:val="22"/>
          <w:lang w:val="fr-CA"/>
        </w:rPr>
        <w:t xml:space="preserve">qui a eu lieu </w:t>
      </w:r>
      <w:r w:rsidRPr="009700CF">
        <w:rPr>
          <w:kern w:val="22"/>
          <w:lang w:val="fr-CA"/>
        </w:rPr>
        <w:t>du 20 au 23 avril 2020. Le Groupe de liaison a été saisi d’une note (CBD/CP/LG/2020/1/2) présentant un sommaire des progrès accomplis dans la réalisation des objectifs opérationnels du Plan stratégique</w:t>
      </w:r>
      <w:r w:rsidR="003D429B">
        <w:rPr>
          <w:kern w:val="22"/>
          <w:lang w:val="fr-CA"/>
        </w:rPr>
        <w:t>,</w:t>
      </w:r>
      <w:r w:rsidRPr="009700CF">
        <w:rPr>
          <w:kern w:val="22"/>
          <w:lang w:val="fr-CA"/>
        </w:rPr>
        <w:t xml:space="preserve"> fondé sur les données contenues dans les quatrièmes rapports nationaux comme source primaire, </w:t>
      </w:r>
      <w:r w:rsidR="007F7A0E" w:rsidRPr="009700CF">
        <w:rPr>
          <w:snapToGrid w:val="0"/>
          <w:kern w:val="22"/>
          <w:szCs w:val="22"/>
          <w:lang w:val="fr-CA"/>
        </w:rPr>
        <w:t>le centre d’échange sur la prévention des risques biotechnologiques et les données d’expérience des projets de renforcement des capacités</w:t>
      </w:r>
      <w:r w:rsidR="00E0466A" w:rsidRPr="009700CF">
        <w:rPr>
          <w:kern w:val="22"/>
          <w:lang w:val="fr-CA"/>
        </w:rPr>
        <w:t>.</w:t>
      </w:r>
      <w:r w:rsidR="007F7A0E" w:rsidRPr="009700CF">
        <w:rPr>
          <w:kern w:val="22"/>
          <w:lang w:val="fr-CA"/>
        </w:rPr>
        <w:t xml:space="preserve"> Le Groupe de liaison a aussi eu accès à l’analyse complète des données destinées à la quatrième évaluation et examen du Protocole et l’évaluation finale du Plan stratégique (CBD/CP/LG/2020/1/INF/1).</w:t>
      </w:r>
    </w:p>
    <w:p w14:paraId="4E47AEE4" w14:textId="1E0831A7" w:rsidR="00253FBF" w:rsidRPr="009700CF" w:rsidRDefault="007F7A0E" w:rsidP="00C4544F">
      <w:pPr>
        <w:numPr>
          <w:ilvl w:val="0"/>
          <w:numId w:val="19"/>
        </w:numPr>
        <w:suppressLineNumbers/>
        <w:tabs>
          <w:tab w:val="clear" w:pos="644"/>
        </w:tabs>
        <w:suppressAutoHyphens/>
        <w:spacing w:before="120" w:after="120"/>
        <w:ind w:left="0"/>
        <w:rPr>
          <w:kern w:val="22"/>
          <w:lang w:val="fr-CA"/>
        </w:rPr>
      </w:pPr>
      <w:r w:rsidRPr="009700CF">
        <w:rPr>
          <w:kern w:val="22"/>
          <w:lang w:val="fr-CA"/>
        </w:rPr>
        <w:t xml:space="preserve">Le Groupe de liaison a élaboré ses conclusions et a demandé à la Secrétaire exécutive de les communiquer </w:t>
      </w:r>
      <w:r w:rsidR="00EF4239">
        <w:rPr>
          <w:kern w:val="22"/>
          <w:lang w:val="fr-CA"/>
        </w:rPr>
        <w:t>à l’</w:t>
      </w:r>
      <w:r w:rsidRPr="009700CF">
        <w:rPr>
          <w:kern w:val="22"/>
          <w:lang w:val="fr-CA"/>
        </w:rPr>
        <w:t>Organe subsidiaire chargé de l</w:t>
      </w:r>
      <w:r w:rsidR="00BE752D">
        <w:rPr>
          <w:kern w:val="22"/>
          <w:lang w:val="fr-CA"/>
        </w:rPr>
        <w:t>’</w:t>
      </w:r>
      <w:r w:rsidRPr="009700CF">
        <w:rPr>
          <w:kern w:val="22"/>
          <w:lang w:val="fr-CA"/>
        </w:rPr>
        <w:t xml:space="preserve">application pour examen à sa troisième réunion. Les conclusions du Groupe de liaison sont réunies dans le rapport de la quatorzième réunion du </w:t>
      </w:r>
      <w:r w:rsidR="00392947">
        <w:rPr>
          <w:kern w:val="22"/>
          <w:lang w:val="fr-CA"/>
        </w:rPr>
        <w:t>Groupe de liaison</w:t>
      </w:r>
      <w:r w:rsidR="003E51B9" w:rsidRPr="009700CF">
        <w:rPr>
          <w:kern w:val="22"/>
          <w:lang w:val="fr-CA"/>
        </w:rPr>
        <w:t xml:space="preserve"> (CBD/CP/LG/</w:t>
      </w:r>
      <w:r w:rsidR="0095022D">
        <w:rPr>
          <w:kern w:val="22"/>
          <w:lang w:val="fr-CA"/>
        </w:rPr>
        <w:t>2020/</w:t>
      </w:r>
      <w:bookmarkStart w:id="0" w:name="_GoBack"/>
      <w:bookmarkEnd w:id="0"/>
      <w:r w:rsidR="00C872C7">
        <w:rPr>
          <w:kern w:val="22"/>
          <w:lang w:val="fr-CA"/>
        </w:rPr>
        <w:t>1</w:t>
      </w:r>
      <w:r w:rsidR="003E51B9" w:rsidRPr="009700CF">
        <w:rPr>
          <w:kern w:val="22"/>
          <w:lang w:val="fr-CA"/>
        </w:rPr>
        <w:t xml:space="preserve">/4) </w:t>
      </w:r>
      <w:r w:rsidRPr="009700CF">
        <w:rPr>
          <w:kern w:val="22"/>
          <w:lang w:val="fr-CA"/>
        </w:rPr>
        <w:t>et reproduit</w:t>
      </w:r>
      <w:r w:rsidR="00EF4239">
        <w:rPr>
          <w:kern w:val="22"/>
          <w:lang w:val="fr-CA"/>
        </w:rPr>
        <w:t>e</w:t>
      </w:r>
      <w:r w:rsidRPr="009700CF">
        <w:rPr>
          <w:kern w:val="22"/>
          <w:lang w:val="fr-CA"/>
        </w:rPr>
        <w:t>s à l’annexe II au présent document</w:t>
      </w:r>
      <w:r w:rsidR="006F2A7E" w:rsidRPr="009700CF">
        <w:rPr>
          <w:kern w:val="22"/>
          <w:lang w:val="fr-CA"/>
        </w:rPr>
        <w:t>.</w:t>
      </w:r>
    </w:p>
    <w:p w14:paraId="0BE794E4" w14:textId="60325806" w:rsidR="00253FBF" w:rsidRPr="009700CF" w:rsidRDefault="00E514C6" w:rsidP="00C4544F">
      <w:pPr>
        <w:numPr>
          <w:ilvl w:val="0"/>
          <w:numId w:val="19"/>
        </w:numPr>
        <w:suppressLineNumbers/>
        <w:tabs>
          <w:tab w:val="clear" w:pos="644"/>
        </w:tabs>
        <w:suppressAutoHyphens/>
        <w:spacing w:before="120" w:after="120"/>
        <w:ind w:left="0"/>
        <w:rPr>
          <w:kern w:val="22"/>
          <w:lang w:val="fr-CA"/>
        </w:rPr>
      </w:pPr>
      <w:bookmarkStart w:id="1" w:name="_Hlk47544382"/>
      <w:r>
        <w:rPr>
          <w:kern w:val="22"/>
          <w:lang w:val="fr-CA"/>
        </w:rPr>
        <w:t>Le</w:t>
      </w:r>
      <w:r w:rsidR="0097392C" w:rsidRPr="009700CF">
        <w:rPr>
          <w:kern w:val="22"/>
          <w:lang w:val="fr-CA"/>
        </w:rPr>
        <w:t xml:space="preserve"> Comité de conformité et le Groupe de liaison ont </w:t>
      </w:r>
      <w:r w:rsidR="00EF4239">
        <w:rPr>
          <w:kern w:val="22"/>
          <w:lang w:val="fr-CA"/>
        </w:rPr>
        <w:t>pris note</w:t>
      </w:r>
      <w:r w:rsidR="0097392C" w:rsidRPr="009700CF">
        <w:rPr>
          <w:kern w:val="22"/>
          <w:lang w:val="fr-CA"/>
        </w:rPr>
        <w:t xml:space="preserve"> que l’analyse destinée à la quatrième évaluation et examen du Protocole et l’évaluation finale du Plan stratégique avait été préparée à partir du petit nombre de rapports nationaux reçus au 15 janvier 2020 et qu’une mise à jour de l’analyse pourrait s’avérer nécessaire à une date ultérieure</w:t>
      </w:r>
      <w:r w:rsidR="00253FBF" w:rsidRPr="009700CF">
        <w:rPr>
          <w:kern w:val="22"/>
          <w:lang w:val="fr-CA"/>
        </w:rPr>
        <w:t>.</w:t>
      </w:r>
    </w:p>
    <w:bookmarkEnd w:id="1"/>
    <w:p w14:paraId="21CC9E76" w14:textId="620A6EA7" w:rsidR="0025644D" w:rsidRPr="009700CF" w:rsidRDefault="005510A5" w:rsidP="00C4544F">
      <w:pPr>
        <w:pStyle w:val="Heading1"/>
        <w:numPr>
          <w:ilvl w:val="0"/>
          <w:numId w:val="14"/>
        </w:numPr>
        <w:suppressLineNumbers/>
        <w:tabs>
          <w:tab w:val="clear" w:pos="720"/>
        </w:tabs>
        <w:suppressAutoHyphens/>
        <w:spacing w:before="120"/>
        <w:ind w:left="1134" w:hanging="567"/>
        <w:jc w:val="left"/>
        <w:rPr>
          <w:kern w:val="22"/>
          <w:lang w:val="fr-CA"/>
        </w:rPr>
      </w:pPr>
      <w:r w:rsidRPr="009700CF">
        <w:rPr>
          <w:kern w:val="22"/>
          <w:lang w:val="fr-CA"/>
        </w:rPr>
        <w:lastRenderedPageBreak/>
        <w:t xml:space="preserve">sommaire des progrès accomplis </w:t>
      </w:r>
      <w:r w:rsidR="004F6515">
        <w:rPr>
          <w:kern w:val="22"/>
          <w:lang w:val="fr-CA"/>
        </w:rPr>
        <w:t>DANS les</w:t>
      </w:r>
      <w:r w:rsidRPr="009700CF">
        <w:rPr>
          <w:kern w:val="22"/>
          <w:lang w:val="fr-CA"/>
        </w:rPr>
        <w:t xml:space="preserve"> domaines thématiques du plan stratégique pour le protocole de cartagena sur l</w:t>
      </w:r>
      <w:r w:rsidR="00BE752D">
        <w:rPr>
          <w:kern w:val="22"/>
          <w:lang w:val="fr-CA"/>
        </w:rPr>
        <w:t>A</w:t>
      </w:r>
      <w:r w:rsidRPr="009700CF">
        <w:rPr>
          <w:kern w:val="22"/>
          <w:lang w:val="fr-CA"/>
        </w:rPr>
        <w:t xml:space="preserve"> prévention des risques biotechnologiques</w:t>
      </w:r>
    </w:p>
    <w:p w14:paraId="704C9047" w14:textId="09AE95EF" w:rsidR="0025644D" w:rsidRPr="009700CF" w:rsidRDefault="004207B8" w:rsidP="00C4544F">
      <w:pPr>
        <w:numPr>
          <w:ilvl w:val="0"/>
          <w:numId w:val="19"/>
        </w:numPr>
        <w:suppressLineNumbers/>
        <w:tabs>
          <w:tab w:val="clear" w:pos="644"/>
        </w:tabs>
        <w:suppressAutoHyphens/>
        <w:spacing w:before="120" w:after="120"/>
        <w:ind w:left="0"/>
        <w:rPr>
          <w:b/>
          <w:bCs/>
          <w:kern w:val="22"/>
          <w:lang w:val="fr-CA"/>
        </w:rPr>
      </w:pPr>
      <w:r w:rsidRPr="009700CF">
        <w:rPr>
          <w:kern w:val="22"/>
          <w:lang w:val="fr-CA"/>
        </w:rPr>
        <w:t>Le document</w:t>
      </w:r>
      <w:r w:rsidR="006622DA" w:rsidRPr="009700CF">
        <w:rPr>
          <w:kern w:val="22"/>
          <w:lang w:val="fr-CA"/>
        </w:rPr>
        <w:t xml:space="preserve"> CBD/SBI/3/3/Add.1 </w:t>
      </w:r>
      <w:r w:rsidRPr="009700CF">
        <w:rPr>
          <w:kern w:val="22"/>
          <w:lang w:val="fr-CA"/>
        </w:rPr>
        <w:t>présente une analyse des informations devant servir à l’</w:t>
      </w:r>
      <w:r w:rsidR="003B6F20" w:rsidRPr="009700CF">
        <w:rPr>
          <w:kern w:val="22"/>
          <w:lang w:val="fr-CA"/>
        </w:rPr>
        <w:t>évaluation et examen</w:t>
      </w:r>
      <w:r w:rsidRPr="009700CF">
        <w:rPr>
          <w:kern w:val="22"/>
          <w:lang w:val="fr-CA"/>
        </w:rPr>
        <w:t xml:space="preserve"> du Protocole et l’évaluation finale du Plan stratégique. </w:t>
      </w:r>
      <w:r w:rsidR="003B6F20" w:rsidRPr="009700CF">
        <w:rPr>
          <w:kern w:val="22"/>
          <w:lang w:val="fr-CA"/>
        </w:rPr>
        <w:t>L’analyse est organisée selon les douze domaines thématiques du Plan stratégique</w:t>
      </w:r>
      <w:r w:rsidR="004F6515">
        <w:rPr>
          <w:kern w:val="22"/>
          <w:lang w:val="fr-CA"/>
        </w:rPr>
        <w:t>, comme indiqué ci-dessus</w:t>
      </w:r>
      <w:r w:rsidR="003B6F20" w:rsidRPr="009700CF">
        <w:rPr>
          <w:kern w:val="22"/>
          <w:lang w:val="fr-CA"/>
        </w:rPr>
        <w:t>. Un court sommaire des progrès accomplis au titre de chacun des domaines thématiques</w:t>
      </w:r>
      <w:r w:rsidR="00BE752D">
        <w:rPr>
          <w:kern w:val="22"/>
          <w:lang w:val="fr-CA"/>
        </w:rPr>
        <w:t>,</w:t>
      </w:r>
      <w:r w:rsidR="003B6F20" w:rsidRPr="009700CF">
        <w:rPr>
          <w:kern w:val="22"/>
          <w:lang w:val="fr-CA"/>
        </w:rPr>
        <w:t xml:space="preserve"> </w:t>
      </w:r>
      <w:r w:rsidR="004F6515">
        <w:rPr>
          <w:kern w:val="22"/>
          <w:lang w:val="fr-CA"/>
        </w:rPr>
        <w:t>préparé à partir de</w:t>
      </w:r>
      <w:r w:rsidR="003B6F20" w:rsidRPr="009700CF">
        <w:rPr>
          <w:kern w:val="22"/>
          <w:lang w:val="fr-CA"/>
        </w:rPr>
        <w:t xml:space="preserve"> l’analyse est présenté ci-dessous</w:t>
      </w:r>
      <w:r w:rsidR="006622DA" w:rsidRPr="009700CF">
        <w:rPr>
          <w:kern w:val="22"/>
          <w:lang w:val="fr-CA"/>
        </w:rPr>
        <w:t>.</w:t>
      </w:r>
    </w:p>
    <w:p w14:paraId="16E10FC1" w14:textId="3B965811" w:rsidR="007F2571" w:rsidRPr="009700CF" w:rsidRDefault="00AA2154" w:rsidP="00AA2154">
      <w:pPr>
        <w:keepNext/>
        <w:numPr>
          <w:ilvl w:val="0"/>
          <w:numId w:val="34"/>
        </w:numPr>
        <w:suppressLineNumbers/>
        <w:tabs>
          <w:tab w:val="clear" w:pos="2070"/>
        </w:tabs>
        <w:suppressAutoHyphens/>
        <w:spacing w:before="120" w:after="120"/>
        <w:ind w:left="2552" w:hanging="709"/>
        <w:jc w:val="left"/>
        <w:outlineLvl w:val="1"/>
        <w:rPr>
          <w:b/>
          <w:iCs/>
          <w:snapToGrid w:val="0"/>
          <w:kern w:val="22"/>
          <w:szCs w:val="22"/>
          <w:lang w:val="fr-CA"/>
        </w:rPr>
      </w:pPr>
      <w:r w:rsidRPr="009700CF">
        <w:rPr>
          <w:b/>
          <w:iCs/>
          <w:snapToGrid w:val="0"/>
          <w:kern w:val="22"/>
          <w:szCs w:val="22"/>
          <w:lang w:val="fr-CA"/>
        </w:rPr>
        <w:t xml:space="preserve">Cadres nationaux de prévention des risques biotechnologiques </w:t>
      </w:r>
      <w:r w:rsidRPr="009700CF">
        <w:rPr>
          <w:b/>
          <w:iCs/>
          <w:snapToGrid w:val="0"/>
          <w:kern w:val="22"/>
          <w:szCs w:val="22"/>
          <w:lang w:val="fr-CA"/>
        </w:rPr>
        <w:br/>
        <w:t>(objectifs opérationnels 1.1 et 2.1)</w:t>
      </w:r>
    </w:p>
    <w:p w14:paraId="1D80272A" w14:textId="5FC123FD" w:rsidR="007C163D" w:rsidRPr="009700CF" w:rsidRDefault="00AA2154" w:rsidP="00C4544F">
      <w:pPr>
        <w:pStyle w:val="ListParagraph"/>
        <w:keepNext/>
        <w:numPr>
          <w:ilvl w:val="0"/>
          <w:numId w:val="19"/>
        </w:numPr>
        <w:suppressLineNumbers/>
        <w:tabs>
          <w:tab w:val="clear" w:pos="644"/>
          <w:tab w:val="num" w:pos="720"/>
        </w:tabs>
        <w:suppressAutoHyphens/>
        <w:spacing w:before="120" w:after="120"/>
        <w:ind w:left="0"/>
        <w:contextualSpacing w:val="0"/>
        <w:rPr>
          <w:bCs/>
          <w:iCs/>
          <w:snapToGrid w:val="0"/>
          <w:kern w:val="22"/>
          <w:szCs w:val="22"/>
          <w:lang w:val="fr-CA"/>
        </w:rPr>
      </w:pPr>
      <w:r w:rsidRPr="009700CF">
        <w:rPr>
          <w:bCs/>
          <w:iCs/>
          <w:snapToGrid w:val="0"/>
          <w:kern w:val="22"/>
          <w:szCs w:val="22"/>
          <w:lang w:val="fr-CA"/>
        </w:rPr>
        <w:t>Un peu plus de la moitié des Parties (55 p. cent</w:t>
      </w:r>
      <w:r w:rsidR="00FF167B">
        <w:rPr>
          <w:bCs/>
          <w:iCs/>
          <w:snapToGrid w:val="0"/>
          <w:kern w:val="22"/>
          <w:szCs w:val="22"/>
          <w:lang w:val="fr-CA"/>
        </w:rPr>
        <w:t>)</w:t>
      </w:r>
      <w:r w:rsidRPr="009700CF">
        <w:rPr>
          <w:bCs/>
          <w:iCs/>
          <w:snapToGrid w:val="0"/>
          <w:kern w:val="22"/>
          <w:szCs w:val="22"/>
          <w:lang w:val="fr-CA"/>
        </w:rPr>
        <w:t xml:space="preserve"> ont déclaré avoir </w:t>
      </w:r>
      <w:r w:rsidR="00FF167B">
        <w:rPr>
          <w:bCs/>
          <w:iCs/>
          <w:snapToGrid w:val="0"/>
          <w:kern w:val="22"/>
          <w:szCs w:val="22"/>
          <w:lang w:val="fr-CA"/>
        </w:rPr>
        <w:t xml:space="preserve">entièrement </w:t>
      </w:r>
      <w:r w:rsidRPr="009700CF">
        <w:rPr>
          <w:bCs/>
          <w:iCs/>
          <w:snapToGrid w:val="0"/>
          <w:kern w:val="22"/>
          <w:szCs w:val="22"/>
          <w:lang w:val="fr-CA"/>
        </w:rPr>
        <w:t>pris les mesures nécessaires p</w:t>
      </w:r>
      <w:r w:rsidR="00CA71C0" w:rsidRPr="009700CF">
        <w:rPr>
          <w:bCs/>
          <w:iCs/>
          <w:snapToGrid w:val="0"/>
          <w:kern w:val="22"/>
          <w:szCs w:val="22"/>
          <w:lang w:val="fr-CA"/>
        </w:rPr>
        <w:t>o</w:t>
      </w:r>
      <w:r w:rsidRPr="009700CF">
        <w:rPr>
          <w:bCs/>
          <w:iCs/>
          <w:snapToGrid w:val="0"/>
          <w:kern w:val="22"/>
          <w:szCs w:val="22"/>
          <w:lang w:val="fr-CA"/>
        </w:rPr>
        <w:t>ur appliquer le Protocole, une augmentation</w:t>
      </w:r>
      <w:r w:rsidR="00CA71C0" w:rsidRPr="009700CF">
        <w:rPr>
          <w:bCs/>
          <w:iCs/>
          <w:snapToGrid w:val="0"/>
          <w:kern w:val="22"/>
          <w:szCs w:val="22"/>
          <w:lang w:val="fr-CA"/>
        </w:rPr>
        <w:t xml:space="preserve"> </w:t>
      </w:r>
      <w:r w:rsidRPr="009700CF">
        <w:rPr>
          <w:bCs/>
          <w:iCs/>
          <w:snapToGrid w:val="0"/>
          <w:kern w:val="22"/>
          <w:szCs w:val="22"/>
          <w:lang w:val="fr-CA"/>
        </w:rPr>
        <w:t>de 8 p. cent par rapport à la valeur de référence. Dans les r</w:t>
      </w:r>
      <w:r w:rsidR="00CA71C0" w:rsidRPr="009700CF">
        <w:rPr>
          <w:bCs/>
          <w:iCs/>
          <w:snapToGrid w:val="0"/>
          <w:kern w:val="22"/>
          <w:szCs w:val="22"/>
          <w:lang w:val="fr-CA"/>
        </w:rPr>
        <w:t>égions, une minorité des Partie</w:t>
      </w:r>
      <w:r w:rsidRPr="009700CF">
        <w:rPr>
          <w:bCs/>
          <w:iCs/>
          <w:snapToGrid w:val="0"/>
          <w:kern w:val="22"/>
          <w:szCs w:val="22"/>
          <w:lang w:val="fr-CA"/>
        </w:rPr>
        <w:t>s a déclaré avoir complètem</w:t>
      </w:r>
      <w:r w:rsidR="00CA71C0" w:rsidRPr="009700CF">
        <w:rPr>
          <w:bCs/>
          <w:iCs/>
          <w:snapToGrid w:val="0"/>
          <w:kern w:val="22"/>
          <w:szCs w:val="22"/>
          <w:lang w:val="fr-CA"/>
        </w:rPr>
        <w:t>ent mis en pl</w:t>
      </w:r>
      <w:r w:rsidRPr="009700CF">
        <w:rPr>
          <w:bCs/>
          <w:iCs/>
          <w:snapToGrid w:val="0"/>
          <w:kern w:val="22"/>
          <w:szCs w:val="22"/>
          <w:lang w:val="fr-CA"/>
        </w:rPr>
        <w:t>ace les mesures nécessaires pour appliquer le Protocole dans le Groupe de l’Amérique latine et des Caraïbes (CLAC) (8 p. cent) et en</w:t>
      </w:r>
      <w:r w:rsidR="00CA71C0" w:rsidRPr="009700CF">
        <w:rPr>
          <w:bCs/>
          <w:iCs/>
          <w:snapToGrid w:val="0"/>
          <w:kern w:val="22"/>
          <w:szCs w:val="22"/>
          <w:lang w:val="fr-CA"/>
        </w:rPr>
        <w:t xml:space="preserve"> Afrique (30 p. cent). Des avancées ont toutefois été réalisées depuis l’établissement des valeurs de référence, notamment en Afrique (10 p. cent). En ajoutant les Parties ayant déclaré avoir partiellement mis en place les mesures nécessaires à l’a</w:t>
      </w:r>
      <w:r w:rsidR="00AE7605">
        <w:rPr>
          <w:bCs/>
          <w:iCs/>
          <w:snapToGrid w:val="0"/>
          <w:kern w:val="22"/>
          <w:szCs w:val="22"/>
          <w:lang w:val="fr-CA"/>
        </w:rPr>
        <w:t>pplication du Protocole (38 p. c</w:t>
      </w:r>
      <w:r w:rsidR="00CA71C0" w:rsidRPr="009700CF">
        <w:rPr>
          <w:bCs/>
          <w:iCs/>
          <w:snapToGrid w:val="0"/>
          <w:kern w:val="22"/>
          <w:szCs w:val="22"/>
          <w:lang w:val="fr-CA"/>
        </w:rPr>
        <w:t>ent), le pourcentage global atteint les 94 p. cent. Plusieurs Parties ont indiqué que des mesures légales sont en voie d’élaboration ou en attente d’adoption</w:t>
      </w:r>
      <w:r w:rsidR="007F2571" w:rsidRPr="009700CF">
        <w:rPr>
          <w:bCs/>
          <w:iCs/>
          <w:snapToGrid w:val="0"/>
          <w:kern w:val="22"/>
          <w:szCs w:val="22"/>
          <w:lang w:val="fr-CA"/>
        </w:rPr>
        <w:t>.</w:t>
      </w:r>
    </w:p>
    <w:p w14:paraId="465B42AD" w14:textId="4A898496" w:rsidR="007C163D" w:rsidRPr="009700CF" w:rsidRDefault="00CA71C0" w:rsidP="00C4544F">
      <w:pPr>
        <w:pStyle w:val="ListParagraph"/>
        <w:keepNext/>
        <w:numPr>
          <w:ilvl w:val="0"/>
          <w:numId w:val="19"/>
        </w:numPr>
        <w:suppressLineNumbers/>
        <w:tabs>
          <w:tab w:val="clear" w:pos="644"/>
          <w:tab w:val="num" w:pos="720"/>
        </w:tabs>
        <w:suppressAutoHyphens/>
        <w:spacing w:before="120" w:after="120"/>
        <w:ind w:left="0"/>
        <w:contextualSpacing w:val="0"/>
        <w:rPr>
          <w:bCs/>
          <w:iCs/>
          <w:snapToGrid w:val="0"/>
          <w:kern w:val="22"/>
          <w:szCs w:val="22"/>
          <w:lang w:val="fr-CA"/>
        </w:rPr>
      </w:pPr>
      <w:r w:rsidRPr="009700CF">
        <w:rPr>
          <w:bCs/>
          <w:iCs/>
          <w:snapToGrid w:val="0"/>
          <w:kern w:val="22"/>
          <w:szCs w:val="22"/>
          <w:lang w:val="fr-CA"/>
        </w:rPr>
        <w:t>Une grande major</w:t>
      </w:r>
      <w:r w:rsidR="000F6A09" w:rsidRPr="009700CF">
        <w:rPr>
          <w:bCs/>
          <w:iCs/>
          <w:snapToGrid w:val="0"/>
          <w:kern w:val="22"/>
          <w:szCs w:val="22"/>
          <w:lang w:val="fr-CA"/>
        </w:rPr>
        <w:t>i</w:t>
      </w:r>
      <w:r w:rsidRPr="009700CF">
        <w:rPr>
          <w:bCs/>
          <w:iCs/>
          <w:snapToGrid w:val="0"/>
          <w:kern w:val="22"/>
          <w:szCs w:val="22"/>
          <w:lang w:val="fr-CA"/>
        </w:rPr>
        <w:t xml:space="preserve">té des Parties a déclaré avoir mis en place des règles et procédures administratives pour le traitement des notifications et des demandes </w:t>
      </w:r>
      <w:r w:rsidR="00AE7605">
        <w:rPr>
          <w:bCs/>
          <w:iCs/>
          <w:snapToGrid w:val="0"/>
          <w:kern w:val="22"/>
          <w:szCs w:val="22"/>
          <w:lang w:val="fr-CA"/>
        </w:rPr>
        <w:t xml:space="preserve">d’approbation des importations </w:t>
      </w:r>
      <w:r w:rsidRPr="009700CF">
        <w:rPr>
          <w:bCs/>
          <w:iCs/>
          <w:snapToGrid w:val="0"/>
          <w:kern w:val="22"/>
          <w:szCs w:val="22"/>
          <w:lang w:val="fr-CA"/>
        </w:rPr>
        <w:t>d’OVM destinés à être utilisés directement pour l’</w:t>
      </w:r>
      <w:r w:rsidR="000F6A09" w:rsidRPr="009700CF">
        <w:rPr>
          <w:bCs/>
          <w:iCs/>
          <w:snapToGrid w:val="0"/>
          <w:kern w:val="22"/>
          <w:szCs w:val="22"/>
          <w:lang w:val="fr-CA"/>
        </w:rPr>
        <w:t>alimentati</w:t>
      </w:r>
      <w:r w:rsidRPr="009700CF">
        <w:rPr>
          <w:bCs/>
          <w:iCs/>
          <w:snapToGrid w:val="0"/>
          <w:kern w:val="22"/>
          <w:szCs w:val="22"/>
          <w:lang w:val="fr-CA"/>
        </w:rPr>
        <w:t>on humaine ou animale ou la transformation</w:t>
      </w:r>
      <w:r w:rsidR="004D2D5E">
        <w:rPr>
          <w:bCs/>
          <w:iCs/>
          <w:snapToGrid w:val="0"/>
          <w:kern w:val="22"/>
          <w:szCs w:val="22"/>
          <w:lang w:val="fr-CA"/>
        </w:rPr>
        <w:t>,</w:t>
      </w:r>
      <w:r w:rsidRPr="009700CF">
        <w:rPr>
          <w:bCs/>
          <w:iCs/>
          <w:snapToGrid w:val="0"/>
          <w:kern w:val="22"/>
          <w:szCs w:val="22"/>
          <w:lang w:val="fr-CA"/>
        </w:rPr>
        <w:t xml:space="preserve"> </w:t>
      </w:r>
      <w:r w:rsidR="00AE7605">
        <w:rPr>
          <w:bCs/>
          <w:iCs/>
          <w:snapToGrid w:val="0"/>
          <w:kern w:val="22"/>
          <w:szCs w:val="22"/>
          <w:lang w:val="fr-CA"/>
        </w:rPr>
        <w:t xml:space="preserve">une </w:t>
      </w:r>
      <w:r w:rsidRPr="009700CF">
        <w:rPr>
          <w:bCs/>
          <w:iCs/>
          <w:snapToGrid w:val="0"/>
          <w:kern w:val="22"/>
          <w:szCs w:val="22"/>
          <w:lang w:val="fr-CA"/>
        </w:rPr>
        <w:t>utilisation restreinte et l’introduction dans l’environnement. Dans ce contexte, les Parties ont déclaré</w:t>
      </w:r>
      <w:r w:rsidR="000F6A09" w:rsidRPr="009700CF">
        <w:rPr>
          <w:bCs/>
          <w:iCs/>
          <w:snapToGrid w:val="0"/>
          <w:kern w:val="22"/>
          <w:szCs w:val="22"/>
          <w:lang w:val="fr-CA"/>
        </w:rPr>
        <w:t xml:space="preserve"> les résultats les plus élevés </w:t>
      </w:r>
      <w:r w:rsidR="00AE7605">
        <w:rPr>
          <w:bCs/>
          <w:iCs/>
          <w:snapToGrid w:val="0"/>
          <w:kern w:val="22"/>
          <w:szCs w:val="22"/>
          <w:lang w:val="fr-CA"/>
        </w:rPr>
        <w:t xml:space="preserve">en matière </w:t>
      </w:r>
      <w:r w:rsidR="000F6A09" w:rsidRPr="009700CF">
        <w:rPr>
          <w:bCs/>
          <w:iCs/>
          <w:snapToGrid w:val="0"/>
          <w:kern w:val="22"/>
          <w:szCs w:val="22"/>
          <w:lang w:val="fr-CA"/>
        </w:rPr>
        <w:t>d’adoption de règles et procédures d’importation des OVM destinés à l’alimentation humaine ou animale ou la transformation (83 p. cent), qui présente</w:t>
      </w:r>
      <w:r w:rsidR="00AE7605">
        <w:rPr>
          <w:bCs/>
          <w:iCs/>
          <w:snapToGrid w:val="0"/>
          <w:kern w:val="22"/>
          <w:szCs w:val="22"/>
          <w:lang w:val="fr-CA"/>
        </w:rPr>
        <w:t>nt</w:t>
      </w:r>
      <w:r w:rsidR="000F6A09" w:rsidRPr="009700CF">
        <w:rPr>
          <w:bCs/>
          <w:iCs/>
          <w:snapToGrid w:val="0"/>
          <w:kern w:val="22"/>
          <w:szCs w:val="22"/>
          <w:lang w:val="fr-CA"/>
        </w:rPr>
        <w:t xml:space="preserve"> aussi la plus grande différence par rapport à la valeur de référence (+13 p. cent)</w:t>
      </w:r>
      <w:r w:rsidR="007F2571" w:rsidRPr="009700CF">
        <w:rPr>
          <w:bCs/>
          <w:iCs/>
          <w:snapToGrid w:val="0"/>
          <w:kern w:val="22"/>
          <w:szCs w:val="22"/>
          <w:lang w:val="fr-CA"/>
        </w:rPr>
        <w:t>.</w:t>
      </w:r>
    </w:p>
    <w:p w14:paraId="675F125E" w14:textId="4E10FD10" w:rsidR="007C163D" w:rsidRPr="009700CF" w:rsidRDefault="000F6A09" w:rsidP="00C4544F">
      <w:pPr>
        <w:pStyle w:val="ListParagraph"/>
        <w:keepNext/>
        <w:numPr>
          <w:ilvl w:val="0"/>
          <w:numId w:val="19"/>
        </w:numPr>
        <w:suppressLineNumbers/>
        <w:tabs>
          <w:tab w:val="clear" w:pos="644"/>
          <w:tab w:val="num" w:pos="720"/>
        </w:tabs>
        <w:suppressAutoHyphens/>
        <w:spacing w:before="120" w:after="120"/>
        <w:ind w:left="0"/>
        <w:contextualSpacing w:val="0"/>
        <w:rPr>
          <w:bCs/>
          <w:iCs/>
          <w:snapToGrid w:val="0"/>
          <w:kern w:val="22"/>
          <w:szCs w:val="22"/>
          <w:lang w:val="fr-CA"/>
        </w:rPr>
      </w:pPr>
      <w:r w:rsidRPr="009700CF">
        <w:rPr>
          <w:bCs/>
          <w:iCs/>
          <w:snapToGrid w:val="0"/>
          <w:kern w:val="22"/>
          <w:szCs w:val="22"/>
          <w:lang w:val="fr-CA"/>
        </w:rPr>
        <w:t>Le pourcentage des Parties ayant déclaré avoir re</w:t>
      </w:r>
      <w:r w:rsidR="00A01EB9" w:rsidRPr="009700CF">
        <w:rPr>
          <w:bCs/>
          <w:iCs/>
          <w:snapToGrid w:val="0"/>
          <w:kern w:val="22"/>
          <w:szCs w:val="22"/>
          <w:lang w:val="fr-CA"/>
        </w:rPr>
        <w:t>çu une notificati</w:t>
      </w:r>
      <w:r w:rsidRPr="009700CF">
        <w:rPr>
          <w:bCs/>
          <w:iCs/>
          <w:snapToGrid w:val="0"/>
          <w:kern w:val="22"/>
          <w:szCs w:val="22"/>
          <w:lang w:val="fr-CA"/>
        </w:rPr>
        <w:t xml:space="preserve">on concernant les mouvements transfrontières intentionnels d’OVM aux fins </w:t>
      </w:r>
      <w:r w:rsidR="00A01EB9" w:rsidRPr="009700CF">
        <w:rPr>
          <w:bCs/>
          <w:iCs/>
          <w:snapToGrid w:val="0"/>
          <w:kern w:val="22"/>
          <w:szCs w:val="22"/>
          <w:lang w:val="fr-CA"/>
        </w:rPr>
        <w:t>d’introduction</w:t>
      </w:r>
      <w:r w:rsidRPr="009700CF">
        <w:rPr>
          <w:bCs/>
          <w:iCs/>
          <w:snapToGrid w:val="0"/>
          <w:kern w:val="22"/>
          <w:szCs w:val="22"/>
          <w:lang w:val="fr-CA"/>
        </w:rPr>
        <w:t xml:space="preserve"> dans l’environnement a diminué de 13 p. cent </w:t>
      </w:r>
      <w:r w:rsidR="00A01EB9" w:rsidRPr="009700CF">
        <w:rPr>
          <w:bCs/>
          <w:iCs/>
          <w:snapToGrid w:val="0"/>
          <w:kern w:val="22"/>
          <w:szCs w:val="22"/>
          <w:lang w:val="fr-CA"/>
        </w:rPr>
        <w:t xml:space="preserve">pour atteindre </w:t>
      </w:r>
      <w:r w:rsidRPr="009700CF">
        <w:rPr>
          <w:bCs/>
          <w:iCs/>
          <w:snapToGrid w:val="0"/>
          <w:kern w:val="22"/>
          <w:szCs w:val="22"/>
          <w:lang w:val="fr-CA"/>
        </w:rPr>
        <w:t>21 p. cent (19 Parties). De même, le pourcentage des Parties ayant déclaré avoir pris des décisions en matière d’</w:t>
      </w:r>
      <w:r w:rsidR="00A01EB9" w:rsidRPr="009700CF">
        <w:rPr>
          <w:bCs/>
          <w:iCs/>
          <w:snapToGrid w:val="0"/>
          <w:kern w:val="22"/>
          <w:szCs w:val="22"/>
          <w:lang w:val="fr-CA"/>
        </w:rPr>
        <w:t>impor</w:t>
      </w:r>
      <w:r w:rsidRPr="009700CF">
        <w:rPr>
          <w:bCs/>
          <w:iCs/>
          <w:snapToGrid w:val="0"/>
          <w:kern w:val="22"/>
          <w:szCs w:val="22"/>
          <w:lang w:val="fr-CA"/>
        </w:rPr>
        <w:t>tation au titre d</w:t>
      </w:r>
      <w:r w:rsidR="005F42AF">
        <w:rPr>
          <w:bCs/>
          <w:iCs/>
          <w:snapToGrid w:val="0"/>
          <w:kern w:val="22"/>
          <w:szCs w:val="22"/>
          <w:lang w:val="fr-CA"/>
        </w:rPr>
        <w:t>e l’article 10 du Protocole ou d</w:t>
      </w:r>
      <w:r w:rsidRPr="009700CF">
        <w:rPr>
          <w:bCs/>
          <w:iCs/>
          <w:snapToGrid w:val="0"/>
          <w:kern w:val="22"/>
          <w:szCs w:val="22"/>
          <w:lang w:val="fr-CA"/>
        </w:rPr>
        <w:t xml:space="preserve">es lois nationales pertinentes a diminué de 14 p. cent </w:t>
      </w:r>
      <w:r w:rsidR="00A01EB9" w:rsidRPr="009700CF">
        <w:rPr>
          <w:bCs/>
          <w:iCs/>
          <w:snapToGrid w:val="0"/>
          <w:kern w:val="22"/>
          <w:szCs w:val="22"/>
          <w:lang w:val="fr-CA"/>
        </w:rPr>
        <w:t>pour atteindre</w:t>
      </w:r>
      <w:r w:rsidRPr="009700CF">
        <w:rPr>
          <w:bCs/>
          <w:iCs/>
          <w:snapToGrid w:val="0"/>
          <w:kern w:val="22"/>
          <w:szCs w:val="22"/>
          <w:lang w:val="fr-CA"/>
        </w:rPr>
        <w:t xml:space="preserve"> 19</w:t>
      </w:r>
      <w:r w:rsidR="00A01EB9" w:rsidRPr="009700CF">
        <w:rPr>
          <w:bCs/>
          <w:iCs/>
          <w:snapToGrid w:val="0"/>
          <w:kern w:val="22"/>
          <w:szCs w:val="22"/>
          <w:lang w:val="fr-CA"/>
        </w:rPr>
        <w:t> p. cent des Parties (15 Parties</w:t>
      </w:r>
      <w:r w:rsidR="007F2571" w:rsidRPr="009700CF">
        <w:rPr>
          <w:bCs/>
          <w:iCs/>
          <w:snapToGrid w:val="0"/>
          <w:kern w:val="22"/>
          <w:szCs w:val="22"/>
          <w:lang w:val="fr-CA"/>
        </w:rPr>
        <w:t>).</w:t>
      </w:r>
    </w:p>
    <w:p w14:paraId="071CAF69" w14:textId="40ED12DB" w:rsidR="007F2571" w:rsidRPr="009700CF" w:rsidRDefault="00A01EB9" w:rsidP="00C4544F">
      <w:pPr>
        <w:pStyle w:val="ListParagraph"/>
        <w:keepNext/>
        <w:numPr>
          <w:ilvl w:val="0"/>
          <w:numId w:val="19"/>
        </w:numPr>
        <w:suppressLineNumbers/>
        <w:tabs>
          <w:tab w:val="clear" w:pos="644"/>
          <w:tab w:val="num" w:pos="720"/>
        </w:tabs>
        <w:suppressAutoHyphens/>
        <w:spacing w:before="120" w:after="120"/>
        <w:ind w:left="0"/>
        <w:contextualSpacing w:val="0"/>
        <w:rPr>
          <w:bCs/>
          <w:iCs/>
          <w:snapToGrid w:val="0"/>
          <w:kern w:val="22"/>
          <w:szCs w:val="22"/>
          <w:lang w:val="fr-CA"/>
        </w:rPr>
      </w:pPr>
      <w:r w:rsidRPr="009700CF">
        <w:rPr>
          <w:snapToGrid w:val="0"/>
          <w:kern w:val="22"/>
          <w:szCs w:val="22"/>
          <w:lang w:val="fr-CA"/>
        </w:rPr>
        <w:t xml:space="preserve">Des progrès ont été déclarés </w:t>
      </w:r>
      <w:r w:rsidR="005F42AF">
        <w:rPr>
          <w:snapToGrid w:val="0"/>
          <w:kern w:val="22"/>
          <w:szCs w:val="22"/>
          <w:lang w:val="fr-CA"/>
        </w:rPr>
        <w:t>dans la concrétisation d</w:t>
      </w:r>
      <w:r w:rsidRPr="009700CF">
        <w:rPr>
          <w:snapToGrid w:val="0"/>
          <w:kern w:val="22"/>
          <w:szCs w:val="22"/>
          <w:lang w:val="fr-CA"/>
        </w:rPr>
        <w:t xml:space="preserve">es arrangements administratifs. </w:t>
      </w:r>
      <w:r w:rsidR="007D189C" w:rsidRPr="009700CF">
        <w:rPr>
          <w:snapToGrid w:val="0"/>
          <w:kern w:val="22"/>
          <w:szCs w:val="22"/>
          <w:lang w:val="fr-CA"/>
        </w:rPr>
        <w:t>Presque toutes les Parties ont déclaré avoir un effectif permanent en place pour administrer les fonctions de prévention des risques biotechnologiques. Certaines Parties ont déclaré des augmentations considérables, en particulier en Afrique</w:t>
      </w:r>
      <w:r w:rsidRPr="009700CF">
        <w:rPr>
          <w:snapToGrid w:val="0"/>
          <w:kern w:val="22"/>
          <w:szCs w:val="22"/>
          <w:lang w:val="fr-CA"/>
        </w:rPr>
        <w:t xml:space="preserve">. </w:t>
      </w:r>
      <w:r w:rsidR="007D189C" w:rsidRPr="009700CF">
        <w:rPr>
          <w:snapToGrid w:val="0"/>
          <w:kern w:val="22"/>
          <w:szCs w:val="22"/>
          <w:lang w:val="fr-CA"/>
        </w:rPr>
        <w:t>Par contre, environ l</w:t>
      </w:r>
      <w:r w:rsidR="00BE752D">
        <w:rPr>
          <w:snapToGrid w:val="0"/>
          <w:kern w:val="22"/>
          <w:szCs w:val="22"/>
          <w:lang w:val="fr-CA"/>
        </w:rPr>
        <w:t>a</w:t>
      </w:r>
      <w:r w:rsidR="007D189C" w:rsidRPr="009700CF">
        <w:rPr>
          <w:snapToGrid w:val="0"/>
          <w:kern w:val="22"/>
          <w:szCs w:val="22"/>
          <w:lang w:val="fr-CA"/>
        </w:rPr>
        <w:t xml:space="preserve"> moitié des Parties seulement </w:t>
      </w:r>
      <w:r w:rsidR="004D2D5E">
        <w:rPr>
          <w:snapToGrid w:val="0"/>
          <w:kern w:val="22"/>
          <w:szCs w:val="22"/>
          <w:lang w:val="fr-CA"/>
        </w:rPr>
        <w:t>a</w:t>
      </w:r>
      <w:r w:rsidR="007D189C" w:rsidRPr="009700CF">
        <w:rPr>
          <w:snapToGrid w:val="0"/>
          <w:kern w:val="22"/>
          <w:szCs w:val="22"/>
          <w:lang w:val="fr-CA"/>
        </w:rPr>
        <w:t xml:space="preserve"> indiqué que le niveau d’</w:t>
      </w:r>
      <w:r w:rsidR="0007222F" w:rsidRPr="009700CF">
        <w:rPr>
          <w:snapToGrid w:val="0"/>
          <w:kern w:val="22"/>
          <w:szCs w:val="22"/>
          <w:lang w:val="fr-CA"/>
        </w:rPr>
        <w:t>affectation de perso</w:t>
      </w:r>
      <w:r w:rsidR="007D189C" w:rsidRPr="009700CF">
        <w:rPr>
          <w:snapToGrid w:val="0"/>
          <w:kern w:val="22"/>
          <w:szCs w:val="22"/>
          <w:lang w:val="fr-CA"/>
        </w:rPr>
        <w:t>nnel est adéquat. Le p</w:t>
      </w:r>
      <w:r w:rsidR="0007222F" w:rsidRPr="009700CF">
        <w:rPr>
          <w:snapToGrid w:val="0"/>
          <w:kern w:val="22"/>
          <w:szCs w:val="22"/>
          <w:lang w:val="fr-CA"/>
        </w:rPr>
        <w:t>ourcentage de Parties a</w:t>
      </w:r>
      <w:r w:rsidR="007D189C" w:rsidRPr="009700CF">
        <w:rPr>
          <w:snapToGrid w:val="0"/>
          <w:kern w:val="22"/>
          <w:szCs w:val="22"/>
          <w:lang w:val="fr-CA"/>
        </w:rPr>
        <w:t>yant déclaré posséder une capa</w:t>
      </w:r>
      <w:r w:rsidR="0007222F" w:rsidRPr="009700CF">
        <w:rPr>
          <w:snapToGrid w:val="0"/>
          <w:kern w:val="22"/>
          <w:szCs w:val="22"/>
          <w:lang w:val="fr-CA"/>
        </w:rPr>
        <w:t xml:space="preserve">cité institutionnelle adéquate </w:t>
      </w:r>
      <w:r w:rsidR="007D189C" w:rsidRPr="009700CF">
        <w:rPr>
          <w:snapToGrid w:val="0"/>
          <w:kern w:val="22"/>
          <w:szCs w:val="22"/>
          <w:lang w:val="fr-CA"/>
        </w:rPr>
        <w:t xml:space="preserve">demeure modéré (65 p. cent), malgré </w:t>
      </w:r>
      <w:r w:rsidR="0007222F" w:rsidRPr="009700CF">
        <w:rPr>
          <w:snapToGrid w:val="0"/>
          <w:kern w:val="22"/>
          <w:szCs w:val="22"/>
          <w:lang w:val="fr-CA"/>
        </w:rPr>
        <w:t>une augmentati</w:t>
      </w:r>
      <w:r w:rsidR="007D189C" w:rsidRPr="009700CF">
        <w:rPr>
          <w:snapToGrid w:val="0"/>
          <w:kern w:val="22"/>
          <w:szCs w:val="22"/>
          <w:lang w:val="fr-CA"/>
        </w:rPr>
        <w:t>on considérable par rapport à la valeur de réfé</w:t>
      </w:r>
      <w:r w:rsidR="0007222F" w:rsidRPr="009700CF">
        <w:rPr>
          <w:snapToGrid w:val="0"/>
          <w:kern w:val="22"/>
          <w:szCs w:val="22"/>
          <w:lang w:val="fr-CA"/>
        </w:rPr>
        <w:t>r</w:t>
      </w:r>
      <w:r w:rsidR="007D189C" w:rsidRPr="009700CF">
        <w:rPr>
          <w:snapToGrid w:val="0"/>
          <w:kern w:val="22"/>
          <w:szCs w:val="22"/>
          <w:lang w:val="fr-CA"/>
        </w:rPr>
        <w:t>ence (+19 p. cent)</w:t>
      </w:r>
      <w:r w:rsidR="0007222F" w:rsidRPr="009700CF">
        <w:rPr>
          <w:snapToGrid w:val="0"/>
          <w:kern w:val="22"/>
          <w:szCs w:val="22"/>
          <w:lang w:val="fr-CA"/>
        </w:rPr>
        <w:t>. Un plus grand nombre de Parties a déclaré avoir en place, du moins dans une certaine mesure, un mécanisme d’affectation budgétaire pour la prévention des risques biotechnologiques (81 p. cent des Parties). Des augmentations à cet égard ont été déclarées en Afrique, en Asie-Pacifique et en Eu</w:t>
      </w:r>
      <w:r w:rsidR="00BD2219" w:rsidRPr="009700CF">
        <w:rPr>
          <w:snapToGrid w:val="0"/>
          <w:kern w:val="22"/>
          <w:szCs w:val="22"/>
          <w:lang w:val="fr-CA"/>
        </w:rPr>
        <w:t>r</w:t>
      </w:r>
      <w:r w:rsidR="0007222F" w:rsidRPr="009700CF">
        <w:rPr>
          <w:snapToGrid w:val="0"/>
          <w:kern w:val="22"/>
          <w:szCs w:val="22"/>
          <w:lang w:val="fr-CA"/>
        </w:rPr>
        <w:t>ope centrale et de l’Est (ECE).</w:t>
      </w:r>
    </w:p>
    <w:p w14:paraId="053AC0A4" w14:textId="3E26FAFA" w:rsidR="00E11B66" w:rsidRPr="009700CF" w:rsidRDefault="00D27829" w:rsidP="00C4544F">
      <w:pPr>
        <w:keepNext/>
        <w:numPr>
          <w:ilvl w:val="0"/>
          <w:numId w:val="34"/>
        </w:numPr>
        <w:suppressLineNumbers/>
        <w:tabs>
          <w:tab w:val="clear" w:pos="2070"/>
          <w:tab w:val="left" w:pos="2552"/>
        </w:tabs>
        <w:suppressAutoHyphens/>
        <w:spacing w:before="120" w:after="120"/>
        <w:ind w:left="2069" w:hanging="357"/>
        <w:jc w:val="left"/>
        <w:outlineLvl w:val="1"/>
        <w:rPr>
          <w:b/>
          <w:iCs/>
          <w:snapToGrid w:val="0"/>
          <w:kern w:val="22"/>
          <w:szCs w:val="22"/>
          <w:lang w:val="fr-CA"/>
        </w:rPr>
      </w:pPr>
      <w:r w:rsidRPr="009700CF">
        <w:rPr>
          <w:b/>
          <w:iCs/>
          <w:snapToGrid w:val="0"/>
          <w:kern w:val="22"/>
          <w:szCs w:val="22"/>
          <w:lang w:val="fr-CA"/>
        </w:rPr>
        <w:t>Coordination et soutien</w:t>
      </w:r>
      <w:r w:rsidR="00BE752D">
        <w:rPr>
          <w:b/>
          <w:iCs/>
          <w:snapToGrid w:val="0"/>
          <w:kern w:val="22"/>
          <w:szCs w:val="22"/>
          <w:lang w:val="fr-CA"/>
        </w:rPr>
        <w:t xml:space="preserve"> </w:t>
      </w:r>
      <w:r w:rsidR="005F42AF">
        <w:rPr>
          <w:b/>
          <w:iCs/>
          <w:snapToGrid w:val="0"/>
          <w:kern w:val="22"/>
          <w:szCs w:val="22"/>
          <w:lang w:val="fr-CA"/>
        </w:rPr>
        <w:t>(</w:t>
      </w:r>
      <w:r w:rsidRPr="009700CF">
        <w:rPr>
          <w:b/>
          <w:iCs/>
          <w:snapToGrid w:val="0"/>
          <w:kern w:val="22"/>
          <w:szCs w:val="22"/>
          <w:lang w:val="fr-CA"/>
        </w:rPr>
        <w:t>objectif opérationnel</w:t>
      </w:r>
      <w:r w:rsidR="00E11B66" w:rsidRPr="009700CF">
        <w:rPr>
          <w:b/>
          <w:iCs/>
          <w:snapToGrid w:val="0"/>
          <w:kern w:val="22"/>
          <w:szCs w:val="22"/>
          <w:lang w:val="fr-CA"/>
        </w:rPr>
        <w:t xml:space="preserve"> 1.2)</w:t>
      </w:r>
    </w:p>
    <w:p w14:paraId="22662445" w14:textId="6FED8FF6" w:rsidR="00E37278" w:rsidRPr="009700CF" w:rsidRDefault="00D27829" w:rsidP="00C4544F">
      <w:pPr>
        <w:pStyle w:val="ListParagraph"/>
        <w:numPr>
          <w:ilvl w:val="0"/>
          <w:numId w:val="19"/>
        </w:numPr>
        <w:suppressLineNumbers/>
        <w:tabs>
          <w:tab w:val="clear" w:pos="644"/>
          <w:tab w:val="num" w:pos="720"/>
        </w:tabs>
        <w:suppressAutoHyphens/>
        <w:spacing w:before="120" w:after="120"/>
        <w:ind w:left="0"/>
        <w:contextualSpacing w:val="0"/>
        <w:rPr>
          <w:kern w:val="22"/>
          <w:lang w:val="fr-CA"/>
        </w:rPr>
      </w:pPr>
      <w:r w:rsidRPr="009700CF">
        <w:rPr>
          <w:snapToGrid w:val="0"/>
          <w:kern w:val="22"/>
          <w:szCs w:val="22"/>
          <w:lang w:val="fr-CA"/>
        </w:rPr>
        <w:t xml:space="preserve">Très peu de progrès </w:t>
      </w:r>
      <w:r w:rsidR="009E5DC3" w:rsidRPr="009700CF">
        <w:rPr>
          <w:snapToGrid w:val="0"/>
          <w:kern w:val="22"/>
          <w:szCs w:val="22"/>
          <w:lang w:val="fr-CA"/>
        </w:rPr>
        <w:t>ont été accomplis</w:t>
      </w:r>
      <w:r w:rsidR="00BD2219" w:rsidRPr="009700CF">
        <w:rPr>
          <w:snapToGrid w:val="0"/>
          <w:kern w:val="22"/>
          <w:szCs w:val="22"/>
          <w:lang w:val="fr-CA"/>
        </w:rPr>
        <w:t xml:space="preserve"> de façon générale</w:t>
      </w:r>
      <w:r w:rsidR="009E5DC3" w:rsidRPr="009700CF">
        <w:rPr>
          <w:snapToGrid w:val="0"/>
          <w:kern w:val="22"/>
          <w:szCs w:val="22"/>
          <w:lang w:val="fr-CA"/>
        </w:rPr>
        <w:t xml:space="preserve"> </w:t>
      </w:r>
      <w:r w:rsidR="005F42AF">
        <w:rPr>
          <w:snapToGrid w:val="0"/>
          <w:kern w:val="22"/>
          <w:szCs w:val="22"/>
          <w:lang w:val="fr-CA"/>
        </w:rPr>
        <w:t>pour</w:t>
      </w:r>
      <w:r w:rsidR="009E5DC3" w:rsidRPr="009700CF">
        <w:rPr>
          <w:snapToGrid w:val="0"/>
          <w:kern w:val="22"/>
          <w:szCs w:val="22"/>
          <w:lang w:val="fr-CA"/>
        </w:rPr>
        <w:t xml:space="preserve"> certains indicateurs de l’objectif opérationnel 1.2</w:t>
      </w:r>
      <w:r w:rsidR="00D026E5" w:rsidRPr="009700CF">
        <w:rPr>
          <w:snapToGrid w:val="0"/>
          <w:kern w:val="22"/>
          <w:szCs w:val="22"/>
          <w:lang w:val="fr-CA"/>
        </w:rPr>
        <w:t>.</w:t>
      </w:r>
      <w:r w:rsidR="00BD2219" w:rsidRPr="009700CF">
        <w:rPr>
          <w:snapToGrid w:val="0"/>
          <w:kern w:val="22"/>
          <w:szCs w:val="22"/>
          <w:lang w:val="fr-CA"/>
        </w:rPr>
        <w:t xml:space="preserve"> C’est notamment le cas pour les indicateurs </w:t>
      </w:r>
      <w:r w:rsidR="005F42AF">
        <w:rPr>
          <w:snapToGrid w:val="0"/>
          <w:kern w:val="22"/>
          <w:szCs w:val="22"/>
          <w:lang w:val="fr-CA"/>
        </w:rPr>
        <w:t>portant sur</w:t>
      </w:r>
      <w:r w:rsidR="00BD2219" w:rsidRPr="009700CF">
        <w:rPr>
          <w:snapToGrid w:val="0"/>
          <w:kern w:val="22"/>
          <w:szCs w:val="22"/>
          <w:lang w:val="fr-CA"/>
        </w:rPr>
        <w:t xml:space="preserve"> le nombre de Parties dont les besoins de renforcement des capacités ont été satisfaits ou le nombre de Parties ayant élaboré un plan d’action pour le renforcement des capacités nationales de prévention des risques biotechnologiques. </w:t>
      </w:r>
      <w:r w:rsidR="00BE06A0" w:rsidRPr="009700CF">
        <w:rPr>
          <w:snapToGrid w:val="0"/>
          <w:kern w:val="22"/>
          <w:szCs w:val="22"/>
          <w:lang w:val="fr-CA"/>
        </w:rPr>
        <w:t>Certain</w:t>
      </w:r>
      <w:r w:rsidR="00BE752D">
        <w:rPr>
          <w:snapToGrid w:val="0"/>
          <w:kern w:val="22"/>
          <w:szCs w:val="22"/>
          <w:lang w:val="fr-CA"/>
        </w:rPr>
        <w:t>e</w:t>
      </w:r>
      <w:r w:rsidR="00BE06A0" w:rsidRPr="009700CF">
        <w:rPr>
          <w:snapToGrid w:val="0"/>
          <w:kern w:val="22"/>
          <w:szCs w:val="22"/>
          <w:lang w:val="fr-CA"/>
        </w:rPr>
        <w:t>s différences par rappor</w:t>
      </w:r>
      <w:r w:rsidR="00BD2219" w:rsidRPr="009700CF">
        <w:rPr>
          <w:snapToGrid w:val="0"/>
          <w:kern w:val="22"/>
          <w:szCs w:val="22"/>
          <w:lang w:val="fr-CA"/>
        </w:rPr>
        <w:t>t aux valeurs de référence rév</w:t>
      </w:r>
      <w:r w:rsidR="00BE06A0" w:rsidRPr="009700CF">
        <w:rPr>
          <w:snapToGrid w:val="0"/>
          <w:kern w:val="22"/>
          <w:szCs w:val="22"/>
          <w:lang w:val="fr-CA"/>
        </w:rPr>
        <w:t>èlent des diminut</w:t>
      </w:r>
      <w:r w:rsidR="00BD2219" w:rsidRPr="009700CF">
        <w:rPr>
          <w:snapToGrid w:val="0"/>
          <w:kern w:val="22"/>
          <w:szCs w:val="22"/>
          <w:lang w:val="fr-CA"/>
        </w:rPr>
        <w:t>ions pour certains indicateurs, par exemple le nombre de Parties ayant mis en place un mécanisme national d</w:t>
      </w:r>
      <w:r w:rsidR="00BE06A0" w:rsidRPr="009700CF">
        <w:rPr>
          <w:snapToGrid w:val="0"/>
          <w:kern w:val="22"/>
          <w:szCs w:val="22"/>
          <w:lang w:val="fr-CA"/>
        </w:rPr>
        <w:t>e coordination pour le renforcem</w:t>
      </w:r>
      <w:r w:rsidR="00BD2219" w:rsidRPr="009700CF">
        <w:rPr>
          <w:snapToGrid w:val="0"/>
          <w:kern w:val="22"/>
          <w:szCs w:val="22"/>
          <w:lang w:val="fr-CA"/>
        </w:rPr>
        <w:t xml:space="preserve">ent des capacités. L’indicateur </w:t>
      </w:r>
      <w:r w:rsidR="005F42AF">
        <w:rPr>
          <w:snapToGrid w:val="0"/>
          <w:kern w:val="22"/>
          <w:szCs w:val="22"/>
          <w:lang w:val="fr-CA"/>
        </w:rPr>
        <w:t>portant sur</w:t>
      </w:r>
      <w:r w:rsidR="00BD2219" w:rsidRPr="009700CF">
        <w:rPr>
          <w:snapToGrid w:val="0"/>
          <w:kern w:val="22"/>
          <w:szCs w:val="22"/>
          <w:lang w:val="fr-CA"/>
        </w:rPr>
        <w:t xml:space="preserve"> le nomb</w:t>
      </w:r>
      <w:r w:rsidR="00BE06A0" w:rsidRPr="009700CF">
        <w:rPr>
          <w:snapToGrid w:val="0"/>
          <w:kern w:val="22"/>
          <w:szCs w:val="22"/>
          <w:lang w:val="fr-CA"/>
        </w:rPr>
        <w:t>r</w:t>
      </w:r>
      <w:r w:rsidR="00BD2219" w:rsidRPr="009700CF">
        <w:rPr>
          <w:snapToGrid w:val="0"/>
          <w:kern w:val="22"/>
          <w:szCs w:val="22"/>
          <w:lang w:val="fr-CA"/>
        </w:rPr>
        <w:t>e de Parties recevant un soutien financier prévisible et fiable pour le renforcement des capacités pour l’</w:t>
      </w:r>
      <w:r w:rsidR="00BE06A0" w:rsidRPr="009700CF">
        <w:rPr>
          <w:snapToGrid w:val="0"/>
          <w:kern w:val="22"/>
          <w:szCs w:val="22"/>
          <w:lang w:val="fr-CA"/>
        </w:rPr>
        <w:t>applicati</w:t>
      </w:r>
      <w:r w:rsidR="00BD2219" w:rsidRPr="009700CF">
        <w:rPr>
          <w:snapToGrid w:val="0"/>
          <w:kern w:val="22"/>
          <w:szCs w:val="22"/>
          <w:lang w:val="fr-CA"/>
        </w:rPr>
        <w:t xml:space="preserve">on du Protocole est un des rares </w:t>
      </w:r>
      <w:r w:rsidR="00BD2219" w:rsidRPr="009700CF">
        <w:rPr>
          <w:snapToGrid w:val="0"/>
          <w:kern w:val="22"/>
          <w:szCs w:val="22"/>
          <w:lang w:val="fr-CA"/>
        </w:rPr>
        <w:lastRenderedPageBreak/>
        <w:t>indicateurs</w:t>
      </w:r>
      <w:r w:rsidR="00BE06A0" w:rsidRPr="009700CF">
        <w:rPr>
          <w:snapToGrid w:val="0"/>
          <w:kern w:val="22"/>
          <w:szCs w:val="22"/>
          <w:lang w:val="fr-CA"/>
        </w:rPr>
        <w:t xml:space="preserve"> dont les totaux affichent une augmentation, quoique modeste. Plusieurs Parties ont indiqué que le financement national est souvent insuffisant. Le nombre décroissant de Parties ayant eu accès à de nouvelles ressources et des ressources supplémentaires révèle que le financement insuffisant prévu dans les budgets nationaux </w:t>
      </w:r>
      <w:r w:rsidR="00C66BC7">
        <w:rPr>
          <w:snapToGrid w:val="0"/>
          <w:kern w:val="22"/>
          <w:szCs w:val="22"/>
          <w:lang w:val="fr-CA"/>
        </w:rPr>
        <w:t>crée des difficultés</w:t>
      </w:r>
      <w:r w:rsidR="00BE06A0" w:rsidRPr="009700CF">
        <w:rPr>
          <w:snapToGrid w:val="0"/>
          <w:kern w:val="22"/>
          <w:szCs w:val="22"/>
          <w:lang w:val="fr-CA"/>
        </w:rPr>
        <w:t>.</w:t>
      </w:r>
    </w:p>
    <w:p w14:paraId="04E13695" w14:textId="07B8C423" w:rsidR="00F27059" w:rsidRPr="009700CF" w:rsidRDefault="00CA41BA" w:rsidP="00C4544F">
      <w:pPr>
        <w:pStyle w:val="ListParagraph"/>
        <w:numPr>
          <w:ilvl w:val="0"/>
          <w:numId w:val="19"/>
        </w:numPr>
        <w:suppressLineNumbers/>
        <w:tabs>
          <w:tab w:val="clear" w:pos="644"/>
          <w:tab w:val="num" w:pos="720"/>
        </w:tabs>
        <w:suppressAutoHyphens/>
        <w:spacing w:before="120" w:after="120"/>
        <w:ind w:left="0"/>
        <w:contextualSpacing w:val="0"/>
        <w:rPr>
          <w:kern w:val="22"/>
          <w:lang w:val="fr-CA"/>
        </w:rPr>
      </w:pPr>
      <w:r w:rsidRPr="009700CF">
        <w:rPr>
          <w:snapToGrid w:val="0"/>
          <w:kern w:val="22"/>
          <w:szCs w:val="22"/>
          <w:lang w:val="fr-CA"/>
        </w:rPr>
        <w:t>Il est important de préciser les grands écarts dans les différences par rapport à la valeur de référence (tant au niveau des augmentations que des diminution</w:t>
      </w:r>
      <w:r w:rsidR="00BE752D">
        <w:rPr>
          <w:snapToGrid w:val="0"/>
          <w:kern w:val="22"/>
          <w:szCs w:val="22"/>
          <w:lang w:val="fr-CA"/>
        </w:rPr>
        <w:t>s</w:t>
      </w:r>
      <w:r w:rsidRPr="009700CF">
        <w:rPr>
          <w:snapToGrid w:val="0"/>
          <w:kern w:val="22"/>
          <w:szCs w:val="22"/>
          <w:lang w:val="fr-CA"/>
        </w:rPr>
        <w:t xml:space="preserve">) pour les résultats </w:t>
      </w:r>
      <w:r w:rsidR="00C66BC7">
        <w:rPr>
          <w:snapToGrid w:val="0"/>
          <w:kern w:val="22"/>
          <w:szCs w:val="22"/>
          <w:lang w:val="fr-CA"/>
        </w:rPr>
        <w:t>généraux</w:t>
      </w:r>
      <w:r w:rsidRPr="009700CF">
        <w:rPr>
          <w:snapToGrid w:val="0"/>
          <w:kern w:val="22"/>
          <w:szCs w:val="22"/>
          <w:lang w:val="fr-CA"/>
        </w:rPr>
        <w:t xml:space="preserve">. Des progrès constants ont été déclarés pour plusieurs indicateurs, surtout dans les régions </w:t>
      </w:r>
      <w:r w:rsidR="00C66BC7">
        <w:rPr>
          <w:snapToGrid w:val="0"/>
          <w:kern w:val="22"/>
          <w:szCs w:val="22"/>
          <w:lang w:val="fr-CA"/>
        </w:rPr>
        <w:t>de l’</w:t>
      </w:r>
      <w:r w:rsidRPr="009700CF">
        <w:rPr>
          <w:snapToGrid w:val="0"/>
          <w:kern w:val="22"/>
          <w:szCs w:val="22"/>
          <w:lang w:val="fr-CA"/>
        </w:rPr>
        <w:t>Asie-Pacifique et de l’Afrique, notamment les</w:t>
      </w:r>
      <w:r w:rsidR="00775F74" w:rsidRPr="009700CF">
        <w:rPr>
          <w:snapToGrid w:val="0"/>
          <w:kern w:val="22"/>
          <w:szCs w:val="22"/>
          <w:lang w:val="fr-CA"/>
        </w:rPr>
        <w:t xml:space="preserve"> </w:t>
      </w:r>
      <w:r w:rsidRPr="009700CF">
        <w:rPr>
          <w:snapToGrid w:val="0"/>
          <w:kern w:val="22"/>
          <w:szCs w:val="22"/>
          <w:lang w:val="fr-CA"/>
        </w:rPr>
        <w:t>indicateurs liés aux besoins de renforcement des capacités, l’</w:t>
      </w:r>
      <w:r w:rsidR="00775F74" w:rsidRPr="009700CF">
        <w:rPr>
          <w:snapToGrid w:val="0"/>
          <w:kern w:val="22"/>
          <w:szCs w:val="22"/>
          <w:lang w:val="fr-CA"/>
        </w:rPr>
        <w:t>élaboration d’un plan d’action national de renforcement des capacités pour la prévention des risques biotechnologiques, la mise en place d’un mécanisme national de coordination du renforcement des capacités et l’accès à un financement prévisible et fiable pour le renforcement des capacités pour l’application du Protocole</w:t>
      </w:r>
      <w:r w:rsidR="00714143" w:rsidRPr="009700CF">
        <w:rPr>
          <w:snapToGrid w:val="0"/>
          <w:kern w:val="22"/>
          <w:szCs w:val="22"/>
          <w:lang w:val="fr-CA"/>
        </w:rPr>
        <w:t>.</w:t>
      </w:r>
    </w:p>
    <w:p w14:paraId="2869106A" w14:textId="423752C7" w:rsidR="00F35685" w:rsidRPr="009700CF" w:rsidRDefault="00775F74" w:rsidP="00C4544F">
      <w:pPr>
        <w:pStyle w:val="ListParagraph"/>
        <w:numPr>
          <w:ilvl w:val="0"/>
          <w:numId w:val="34"/>
        </w:numPr>
        <w:suppressLineNumbers/>
        <w:tabs>
          <w:tab w:val="clear" w:pos="2070"/>
        </w:tabs>
        <w:suppressAutoHyphens/>
        <w:spacing w:before="120" w:after="120"/>
        <w:ind w:left="357" w:hanging="357"/>
        <w:contextualSpacing w:val="0"/>
        <w:jc w:val="center"/>
        <w:outlineLvl w:val="1"/>
        <w:rPr>
          <w:kern w:val="22"/>
          <w:lang w:val="fr-CA"/>
        </w:rPr>
      </w:pPr>
      <w:r w:rsidRPr="009700CF">
        <w:rPr>
          <w:b/>
          <w:iCs/>
          <w:kern w:val="22"/>
          <w:lang w:val="fr-CA"/>
        </w:rPr>
        <w:t>Évaluation des risques et gestion des risques (objectifs opérationnels 1.3 et 2.2</w:t>
      </w:r>
      <w:r w:rsidR="00F35685" w:rsidRPr="009700CF">
        <w:rPr>
          <w:b/>
          <w:iCs/>
          <w:kern w:val="22"/>
          <w:lang w:val="fr-CA"/>
        </w:rPr>
        <w:t>)</w:t>
      </w:r>
    </w:p>
    <w:p w14:paraId="49135F68" w14:textId="1F924DCC" w:rsidR="003156AE" w:rsidRPr="009700CF" w:rsidRDefault="00775F74" w:rsidP="00C4544F">
      <w:pPr>
        <w:pStyle w:val="ListParagraph"/>
        <w:numPr>
          <w:ilvl w:val="0"/>
          <w:numId w:val="19"/>
        </w:numPr>
        <w:suppressLineNumbers/>
        <w:tabs>
          <w:tab w:val="clear" w:pos="644"/>
          <w:tab w:val="num" w:pos="720"/>
        </w:tabs>
        <w:suppressAutoHyphens/>
        <w:ind w:left="0"/>
        <w:contextualSpacing w:val="0"/>
        <w:rPr>
          <w:kern w:val="22"/>
          <w:lang w:val="fr-CA"/>
        </w:rPr>
      </w:pPr>
      <w:r w:rsidRPr="009700CF">
        <w:rPr>
          <w:snapToGrid w:val="0"/>
          <w:kern w:val="22"/>
          <w:szCs w:val="22"/>
          <w:lang w:val="fr-CA"/>
        </w:rPr>
        <w:t xml:space="preserve">Près des deux tiers des Parties ont </w:t>
      </w:r>
      <w:r w:rsidR="007377A7" w:rsidRPr="009700CF">
        <w:rPr>
          <w:snapToGrid w:val="0"/>
          <w:kern w:val="22"/>
          <w:szCs w:val="22"/>
          <w:lang w:val="fr-CA"/>
        </w:rPr>
        <w:t>déclaré avoir effectué</w:t>
      </w:r>
      <w:r w:rsidRPr="009700CF">
        <w:rPr>
          <w:snapToGrid w:val="0"/>
          <w:kern w:val="22"/>
          <w:szCs w:val="22"/>
          <w:lang w:val="fr-CA"/>
        </w:rPr>
        <w:t xml:space="preserve"> une évaluation des risques des OVM au titre du Protocole au cours de la période visée par le présent rapport</w:t>
      </w:r>
      <w:r w:rsidR="007377A7" w:rsidRPr="009700CF">
        <w:rPr>
          <w:snapToGrid w:val="0"/>
          <w:kern w:val="22"/>
          <w:szCs w:val="22"/>
          <w:lang w:val="fr-CA"/>
        </w:rPr>
        <w:t>, une augmentation important</w:t>
      </w:r>
      <w:r w:rsidRPr="009700CF">
        <w:rPr>
          <w:snapToGrid w:val="0"/>
          <w:kern w:val="22"/>
          <w:szCs w:val="22"/>
          <w:lang w:val="fr-CA"/>
        </w:rPr>
        <w:t>e par rapport à la valeur de référence</w:t>
      </w:r>
      <w:r w:rsidR="007377A7" w:rsidRPr="009700CF">
        <w:rPr>
          <w:snapToGrid w:val="0"/>
          <w:kern w:val="22"/>
          <w:szCs w:val="22"/>
          <w:lang w:val="fr-CA"/>
        </w:rPr>
        <w:t xml:space="preserve">. </w:t>
      </w:r>
      <w:r w:rsidR="00533E98" w:rsidRPr="009700CF">
        <w:rPr>
          <w:snapToGrid w:val="0"/>
          <w:kern w:val="22"/>
          <w:szCs w:val="22"/>
          <w:lang w:val="fr-CA"/>
        </w:rPr>
        <w:t>Le nombre de rapports d’évaluation des risques par rapport au</w:t>
      </w:r>
      <w:r w:rsidR="007D3B0C">
        <w:rPr>
          <w:snapToGrid w:val="0"/>
          <w:kern w:val="22"/>
          <w:szCs w:val="22"/>
          <w:lang w:val="fr-CA"/>
        </w:rPr>
        <w:t xml:space="preserve"> nombre de décisions sur les OVM</w:t>
      </w:r>
      <w:r w:rsidR="003156AE" w:rsidRPr="009700CF">
        <w:rPr>
          <w:rStyle w:val="FootnoteReference"/>
          <w:snapToGrid w:val="0"/>
          <w:kern w:val="22"/>
          <w:szCs w:val="22"/>
          <w:lang w:val="fr-CA"/>
        </w:rPr>
        <w:footnoteReference w:id="8"/>
      </w:r>
      <w:r w:rsidR="003156AE" w:rsidRPr="009700CF">
        <w:rPr>
          <w:snapToGrid w:val="0"/>
          <w:kern w:val="22"/>
          <w:szCs w:val="22"/>
          <w:lang w:val="fr-CA"/>
        </w:rPr>
        <w:t xml:space="preserve"> </w:t>
      </w:r>
      <w:r w:rsidR="00533E98" w:rsidRPr="009700CF">
        <w:rPr>
          <w:snapToGrid w:val="0"/>
          <w:kern w:val="22"/>
          <w:szCs w:val="22"/>
          <w:lang w:val="fr-CA"/>
        </w:rPr>
        <w:t>au centre d</w:t>
      </w:r>
      <w:r w:rsidR="00BE752D">
        <w:rPr>
          <w:snapToGrid w:val="0"/>
          <w:kern w:val="22"/>
          <w:szCs w:val="22"/>
          <w:lang w:val="fr-CA"/>
        </w:rPr>
        <w:t>’</w:t>
      </w:r>
      <w:r w:rsidR="00533E98" w:rsidRPr="009700CF">
        <w:rPr>
          <w:snapToGrid w:val="0"/>
          <w:kern w:val="22"/>
          <w:szCs w:val="22"/>
          <w:lang w:val="fr-CA"/>
        </w:rPr>
        <w:t>échange sur la prévention des risques biotechnologiques a augmenté considérablement pour atteindre 96 p. cent. Un plus grand nombre de Parties utilise les documents d’ori</w:t>
      </w:r>
      <w:r w:rsidR="00F35D0A" w:rsidRPr="009700CF">
        <w:rPr>
          <w:snapToGrid w:val="0"/>
          <w:kern w:val="22"/>
          <w:szCs w:val="22"/>
          <w:lang w:val="fr-CA"/>
        </w:rPr>
        <w:t>entation pour mener les évaluati</w:t>
      </w:r>
      <w:r w:rsidR="00533E98" w:rsidRPr="009700CF">
        <w:rPr>
          <w:snapToGrid w:val="0"/>
          <w:kern w:val="22"/>
          <w:szCs w:val="22"/>
          <w:lang w:val="fr-CA"/>
        </w:rPr>
        <w:t>ons des risques et gérer les risques, dont le Guide de l’évaluation des risques des OVM (élaboré par le</w:t>
      </w:r>
      <w:r w:rsidR="00F35D0A" w:rsidRPr="009700CF">
        <w:rPr>
          <w:snapToGrid w:val="0"/>
          <w:kern w:val="22"/>
          <w:szCs w:val="22"/>
          <w:lang w:val="fr-CA"/>
        </w:rPr>
        <w:t xml:space="preserve"> forum en ligne et le Groupe spécial d’experts techniques sur l’évaluation des risques et la gestion des risques). Une augmentation semblable a été déclarée quant au nombre de Parties ayant entrepris l’adoption de démarches communes en matière d’évaluation des risques et de gestion des risques. En ce qui concerne les activités de renforcement des capacités pour permettre a</w:t>
      </w:r>
      <w:r w:rsidR="00E558B3">
        <w:rPr>
          <w:snapToGrid w:val="0"/>
          <w:kern w:val="22"/>
          <w:szCs w:val="22"/>
          <w:lang w:val="fr-CA"/>
        </w:rPr>
        <w:t>ux Parties d’évaluer, appliquer</w:t>
      </w:r>
      <w:r w:rsidR="00F35D0A" w:rsidRPr="009700CF">
        <w:rPr>
          <w:snapToGrid w:val="0"/>
          <w:kern w:val="22"/>
          <w:szCs w:val="22"/>
          <w:lang w:val="fr-CA"/>
        </w:rPr>
        <w:t xml:space="preserve">, partager et mener des évaluations des risques, </w:t>
      </w:r>
      <w:r w:rsidR="00D92353">
        <w:rPr>
          <w:snapToGrid w:val="0"/>
          <w:kern w:val="22"/>
          <w:szCs w:val="22"/>
          <w:lang w:val="fr-CA"/>
        </w:rPr>
        <w:t>de nombreuses</w:t>
      </w:r>
      <w:r w:rsidR="00F35D0A" w:rsidRPr="009700CF">
        <w:rPr>
          <w:snapToGrid w:val="0"/>
          <w:kern w:val="22"/>
          <w:szCs w:val="22"/>
          <w:lang w:val="fr-CA"/>
        </w:rPr>
        <w:t xml:space="preserve"> Parties ont décl</w:t>
      </w:r>
      <w:r w:rsidR="004C7B3F" w:rsidRPr="009700CF">
        <w:rPr>
          <w:snapToGrid w:val="0"/>
          <w:kern w:val="22"/>
          <w:szCs w:val="22"/>
          <w:lang w:val="fr-CA"/>
        </w:rPr>
        <w:t>a</w:t>
      </w:r>
      <w:r w:rsidR="00F35D0A" w:rsidRPr="009700CF">
        <w:rPr>
          <w:snapToGrid w:val="0"/>
          <w:kern w:val="22"/>
          <w:szCs w:val="22"/>
          <w:lang w:val="fr-CA"/>
        </w:rPr>
        <w:t>ré avoir formé des gens à cet égard. Plusieurs Parties ont mentionné dans leur exposé écrit qu’elles ont encore besoin de soutien pour renforcer leurs capacités en matière d’évaluation</w:t>
      </w:r>
      <w:r w:rsidR="004C7B3F" w:rsidRPr="009700CF">
        <w:rPr>
          <w:snapToGrid w:val="0"/>
          <w:kern w:val="22"/>
          <w:szCs w:val="22"/>
          <w:lang w:val="fr-CA"/>
        </w:rPr>
        <w:t xml:space="preserve"> </w:t>
      </w:r>
      <w:r w:rsidR="00F35D0A" w:rsidRPr="009700CF">
        <w:rPr>
          <w:snapToGrid w:val="0"/>
          <w:kern w:val="22"/>
          <w:szCs w:val="22"/>
          <w:lang w:val="fr-CA"/>
        </w:rPr>
        <w:t xml:space="preserve">et </w:t>
      </w:r>
      <w:r w:rsidR="004C7B3F" w:rsidRPr="009700CF">
        <w:rPr>
          <w:snapToGrid w:val="0"/>
          <w:kern w:val="22"/>
          <w:szCs w:val="22"/>
          <w:lang w:val="fr-CA"/>
        </w:rPr>
        <w:t>de gestion des risques, notamme</w:t>
      </w:r>
      <w:r w:rsidR="00F35D0A" w:rsidRPr="009700CF">
        <w:rPr>
          <w:snapToGrid w:val="0"/>
          <w:kern w:val="22"/>
          <w:szCs w:val="22"/>
          <w:lang w:val="fr-CA"/>
        </w:rPr>
        <w:t>nt sur l’utilisation des documents d’orientation disponibles</w:t>
      </w:r>
      <w:r w:rsidR="003156AE" w:rsidRPr="009700CF">
        <w:rPr>
          <w:bCs/>
          <w:snapToGrid w:val="0"/>
          <w:kern w:val="22"/>
          <w:szCs w:val="22"/>
          <w:lang w:val="fr-CA"/>
        </w:rPr>
        <w:t>.</w:t>
      </w:r>
    </w:p>
    <w:p w14:paraId="25C3308C" w14:textId="6DFE7CD3" w:rsidR="00AF60D7" w:rsidRPr="009700CF" w:rsidRDefault="00DA0371" w:rsidP="00C4544F">
      <w:pPr>
        <w:numPr>
          <w:ilvl w:val="0"/>
          <w:numId w:val="37"/>
        </w:numPr>
        <w:suppressLineNumbers/>
        <w:tabs>
          <w:tab w:val="clear" w:pos="2070"/>
          <w:tab w:val="num" w:pos="1530"/>
        </w:tabs>
        <w:suppressAutoHyphens/>
        <w:spacing w:before="120" w:after="120"/>
        <w:ind w:left="2069" w:hanging="357"/>
        <w:jc w:val="left"/>
        <w:outlineLvl w:val="1"/>
        <w:rPr>
          <w:b/>
          <w:iCs/>
          <w:snapToGrid w:val="0"/>
          <w:kern w:val="22"/>
          <w:szCs w:val="22"/>
          <w:lang w:val="fr-CA"/>
        </w:rPr>
      </w:pPr>
      <w:r w:rsidRPr="009700CF">
        <w:rPr>
          <w:b/>
          <w:iCs/>
          <w:snapToGrid w:val="0"/>
          <w:kern w:val="22"/>
          <w:szCs w:val="22"/>
          <w:lang w:val="fr-CA"/>
        </w:rPr>
        <w:t xml:space="preserve">OVM et caractéristiques pouvant avoir des effets nuisibles </w:t>
      </w:r>
      <w:r w:rsidRPr="009700CF">
        <w:rPr>
          <w:b/>
          <w:iCs/>
          <w:snapToGrid w:val="0"/>
          <w:kern w:val="22"/>
          <w:szCs w:val="22"/>
          <w:lang w:val="fr-CA"/>
        </w:rPr>
        <w:br/>
        <w:t>(objectif opérationnel</w:t>
      </w:r>
      <w:r w:rsidR="00AF60D7" w:rsidRPr="009700CF">
        <w:rPr>
          <w:b/>
          <w:iCs/>
          <w:snapToGrid w:val="0"/>
          <w:kern w:val="22"/>
          <w:szCs w:val="22"/>
          <w:lang w:val="fr-CA"/>
        </w:rPr>
        <w:t xml:space="preserve"> 1.4)</w:t>
      </w:r>
    </w:p>
    <w:p w14:paraId="6BC8EF55" w14:textId="677D416B" w:rsidR="00953259" w:rsidRPr="009700CF" w:rsidRDefault="00DA0371" w:rsidP="00C4544F">
      <w:pPr>
        <w:pStyle w:val="ListParagraph"/>
        <w:numPr>
          <w:ilvl w:val="0"/>
          <w:numId w:val="19"/>
        </w:numPr>
        <w:suppressLineNumbers/>
        <w:tabs>
          <w:tab w:val="clear" w:pos="644"/>
          <w:tab w:val="num" w:pos="720"/>
        </w:tabs>
        <w:suppressAutoHyphens/>
        <w:spacing w:before="120" w:after="120"/>
        <w:ind w:left="0"/>
        <w:contextualSpacing w:val="0"/>
        <w:rPr>
          <w:kern w:val="22"/>
          <w:lang w:val="fr-CA"/>
        </w:rPr>
      </w:pPr>
      <w:r w:rsidRPr="009700CF">
        <w:rPr>
          <w:snapToGrid w:val="0"/>
          <w:kern w:val="22"/>
          <w:szCs w:val="22"/>
          <w:lang w:val="fr-CA"/>
        </w:rPr>
        <w:t>La majorité des Parties au Protocole ont déclaré avoir la capacité de détecter, évalue</w:t>
      </w:r>
      <w:r w:rsidR="007144AB" w:rsidRPr="009700CF">
        <w:rPr>
          <w:snapToGrid w:val="0"/>
          <w:kern w:val="22"/>
          <w:szCs w:val="22"/>
          <w:lang w:val="fr-CA"/>
        </w:rPr>
        <w:t>r et suivre les OVM pouvant avoi</w:t>
      </w:r>
      <w:r w:rsidRPr="009700CF">
        <w:rPr>
          <w:snapToGrid w:val="0"/>
          <w:kern w:val="22"/>
          <w:szCs w:val="22"/>
          <w:lang w:val="fr-CA"/>
        </w:rPr>
        <w:t xml:space="preserve">r des effets nuisibles. Bien qu’un nombre de Parties </w:t>
      </w:r>
      <w:r w:rsidR="00D92353">
        <w:rPr>
          <w:snapToGrid w:val="0"/>
          <w:kern w:val="22"/>
          <w:szCs w:val="22"/>
          <w:lang w:val="fr-CA"/>
        </w:rPr>
        <w:t>supérieur à la</w:t>
      </w:r>
      <w:r w:rsidRPr="009700CF">
        <w:rPr>
          <w:snapToGrid w:val="0"/>
          <w:kern w:val="22"/>
          <w:szCs w:val="22"/>
          <w:lang w:val="fr-CA"/>
        </w:rPr>
        <w:t xml:space="preserve"> valeur de référence ai</w:t>
      </w:r>
      <w:r w:rsidR="00640076">
        <w:rPr>
          <w:snapToGrid w:val="0"/>
          <w:kern w:val="22"/>
          <w:szCs w:val="22"/>
          <w:lang w:val="fr-CA"/>
        </w:rPr>
        <w:t>t</w:t>
      </w:r>
      <w:r w:rsidRPr="009700CF">
        <w:rPr>
          <w:snapToGrid w:val="0"/>
          <w:kern w:val="22"/>
          <w:szCs w:val="22"/>
          <w:lang w:val="fr-CA"/>
        </w:rPr>
        <w:t xml:space="preserve"> déclaré avoir des capacités de suivi de </w:t>
      </w:r>
      <w:r w:rsidR="00640076">
        <w:rPr>
          <w:snapToGrid w:val="0"/>
          <w:kern w:val="22"/>
          <w:szCs w:val="22"/>
          <w:lang w:val="fr-CA"/>
        </w:rPr>
        <w:t>ces</w:t>
      </w:r>
      <w:r w:rsidRPr="009700CF">
        <w:rPr>
          <w:snapToGrid w:val="0"/>
          <w:kern w:val="22"/>
          <w:szCs w:val="22"/>
          <w:lang w:val="fr-CA"/>
        </w:rPr>
        <w:t xml:space="preserve"> OVM, une </w:t>
      </w:r>
      <w:r w:rsidR="007144AB" w:rsidRPr="009700CF">
        <w:rPr>
          <w:snapToGrid w:val="0"/>
          <w:kern w:val="22"/>
          <w:szCs w:val="22"/>
          <w:lang w:val="fr-CA"/>
        </w:rPr>
        <w:t>diminution</w:t>
      </w:r>
      <w:r w:rsidRPr="009700CF">
        <w:rPr>
          <w:snapToGrid w:val="0"/>
          <w:kern w:val="22"/>
          <w:szCs w:val="22"/>
          <w:lang w:val="fr-CA"/>
        </w:rPr>
        <w:t xml:space="preserve"> a été déclarée pour le nombre de Parties ayant la capacité d’identif</w:t>
      </w:r>
      <w:r w:rsidR="007144AB" w:rsidRPr="009700CF">
        <w:rPr>
          <w:snapToGrid w:val="0"/>
          <w:kern w:val="22"/>
          <w:szCs w:val="22"/>
          <w:lang w:val="fr-CA"/>
        </w:rPr>
        <w:t>i</w:t>
      </w:r>
      <w:r w:rsidRPr="009700CF">
        <w:rPr>
          <w:snapToGrid w:val="0"/>
          <w:kern w:val="22"/>
          <w:szCs w:val="22"/>
          <w:lang w:val="fr-CA"/>
        </w:rPr>
        <w:t xml:space="preserve">er ces OVM. </w:t>
      </w:r>
      <w:r w:rsidR="007144AB" w:rsidRPr="009700CF">
        <w:rPr>
          <w:snapToGrid w:val="0"/>
          <w:kern w:val="22"/>
          <w:szCs w:val="22"/>
          <w:lang w:val="fr-CA"/>
        </w:rPr>
        <w:t xml:space="preserve">Il y a d’importantes différences entre les régions. La grande majorité des Parties du groupe Europe de l’Ouest et autres (EOA), de l’ECE et de l’Asie-Pacifique </w:t>
      </w:r>
      <w:r w:rsidR="00CC7426">
        <w:rPr>
          <w:snapToGrid w:val="0"/>
          <w:kern w:val="22"/>
          <w:szCs w:val="22"/>
          <w:lang w:val="fr-CA"/>
        </w:rPr>
        <w:t>ont</w:t>
      </w:r>
      <w:r w:rsidR="007144AB" w:rsidRPr="009700CF">
        <w:rPr>
          <w:snapToGrid w:val="0"/>
          <w:kern w:val="22"/>
          <w:szCs w:val="22"/>
          <w:lang w:val="fr-CA"/>
        </w:rPr>
        <w:t xml:space="preserve"> déclaré </w:t>
      </w:r>
      <w:r w:rsidR="00640076">
        <w:rPr>
          <w:snapToGrid w:val="0"/>
          <w:kern w:val="22"/>
          <w:szCs w:val="22"/>
          <w:lang w:val="fr-CA"/>
        </w:rPr>
        <w:t>avoir ces capacités.</w:t>
      </w:r>
      <w:r w:rsidR="007144AB" w:rsidRPr="009700CF">
        <w:rPr>
          <w:snapToGrid w:val="0"/>
          <w:kern w:val="22"/>
          <w:szCs w:val="22"/>
          <w:lang w:val="fr-CA"/>
        </w:rPr>
        <w:t xml:space="preserve"> Plusieurs Parties ont précisé dans leur exposé écrit qu’elles ont besoin d’avoir accès à un laboratoire </w:t>
      </w:r>
      <w:r w:rsidR="00CC7426">
        <w:rPr>
          <w:snapToGrid w:val="0"/>
          <w:kern w:val="22"/>
          <w:szCs w:val="22"/>
          <w:lang w:val="fr-CA"/>
        </w:rPr>
        <w:t>ainsi que</w:t>
      </w:r>
      <w:r w:rsidR="007144AB" w:rsidRPr="009700CF">
        <w:rPr>
          <w:snapToGrid w:val="0"/>
          <w:kern w:val="22"/>
          <w:szCs w:val="22"/>
          <w:lang w:val="fr-CA"/>
        </w:rPr>
        <w:t xml:space="preserve"> de soutien pour renforcer leurs capacités pour la détection, l’identification et l</w:t>
      </w:r>
      <w:r w:rsidR="00640076">
        <w:rPr>
          <w:snapToGrid w:val="0"/>
          <w:kern w:val="22"/>
          <w:szCs w:val="22"/>
          <w:lang w:val="fr-CA"/>
        </w:rPr>
        <w:t>e</w:t>
      </w:r>
      <w:r w:rsidR="007144AB" w:rsidRPr="009700CF">
        <w:rPr>
          <w:snapToGrid w:val="0"/>
          <w:kern w:val="22"/>
          <w:szCs w:val="22"/>
          <w:lang w:val="fr-CA"/>
        </w:rPr>
        <w:t xml:space="preserve"> suivi des OVM</w:t>
      </w:r>
      <w:r w:rsidR="00953259" w:rsidRPr="009700CF">
        <w:rPr>
          <w:snapToGrid w:val="0"/>
          <w:kern w:val="22"/>
          <w:szCs w:val="22"/>
          <w:lang w:val="fr-CA"/>
        </w:rPr>
        <w:t>.</w:t>
      </w:r>
    </w:p>
    <w:p w14:paraId="2F1BF329" w14:textId="099C458C" w:rsidR="00847625" w:rsidRPr="009700CF" w:rsidRDefault="00FB1B89" w:rsidP="00C4544F">
      <w:pPr>
        <w:pStyle w:val="ListParagraph"/>
        <w:numPr>
          <w:ilvl w:val="0"/>
          <w:numId w:val="38"/>
        </w:numPr>
        <w:suppressLineNumbers/>
        <w:suppressAutoHyphens/>
        <w:spacing w:before="120" w:after="120"/>
        <w:ind w:left="2069" w:hanging="357"/>
        <w:contextualSpacing w:val="0"/>
        <w:outlineLvl w:val="1"/>
        <w:rPr>
          <w:kern w:val="22"/>
          <w:lang w:val="fr-CA"/>
        </w:rPr>
      </w:pPr>
      <w:r w:rsidRPr="009700CF">
        <w:rPr>
          <w:b/>
          <w:bCs/>
          <w:kern w:val="22"/>
          <w:lang w:val="fr-CA"/>
        </w:rPr>
        <w:t>Responsabilité et réparation (objectifs opérationnels 1.5 et</w:t>
      </w:r>
      <w:r w:rsidR="00E67348" w:rsidRPr="009700CF">
        <w:rPr>
          <w:b/>
          <w:bCs/>
          <w:kern w:val="22"/>
          <w:lang w:val="fr-CA"/>
        </w:rPr>
        <w:t xml:space="preserve"> 2.4)</w:t>
      </w:r>
    </w:p>
    <w:p w14:paraId="127DABD9" w14:textId="7AFC92F4" w:rsidR="00847625" w:rsidRPr="009700CF" w:rsidRDefault="00FB1B89" w:rsidP="00C4544F">
      <w:pPr>
        <w:pStyle w:val="ListParagraph"/>
        <w:numPr>
          <w:ilvl w:val="0"/>
          <w:numId w:val="19"/>
        </w:numPr>
        <w:suppressLineNumbers/>
        <w:tabs>
          <w:tab w:val="clear" w:pos="644"/>
          <w:tab w:val="num" w:pos="720"/>
        </w:tabs>
        <w:suppressAutoHyphens/>
        <w:spacing w:before="120" w:after="120"/>
        <w:ind w:left="0"/>
        <w:contextualSpacing w:val="0"/>
        <w:rPr>
          <w:kern w:val="22"/>
          <w:lang w:val="fr-CA"/>
        </w:rPr>
      </w:pPr>
      <w:r w:rsidRPr="009700CF">
        <w:rPr>
          <w:snapToGrid w:val="0"/>
          <w:kern w:val="22"/>
          <w:szCs w:val="22"/>
          <w:lang w:val="fr-CA"/>
        </w:rPr>
        <w:t>L’entrée en vigueur du Protocole additionnel a été une étape importante dans la réalisation de l’objectif opérationnel correspondant du Plan stratégique pour le Protocole de Cartagena sur la prévention des risques biotechnologiques et la conservation et l’utilisation durable de la diversité biologique</w:t>
      </w:r>
      <w:r w:rsidR="00847625" w:rsidRPr="009700CF">
        <w:rPr>
          <w:snapToGrid w:val="0"/>
          <w:kern w:val="22"/>
          <w:szCs w:val="22"/>
          <w:lang w:val="fr-CA"/>
        </w:rPr>
        <w:t>.</w:t>
      </w:r>
      <w:r w:rsidRPr="009700CF">
        <w:rPr>
          <w:snapToGrid w:val="0"/>
          <w:kern w:val="22"/>
          <w:szCs w:val="22"/>
          <w:lang w:val="fr-CA"/>
        </w:rPr>
        <w:t xml:space="preserve"> Il s’agit d’un développement positif, et plusieurs Parties au Protocole additionnel ont mis en place les mesures nécessaires à son application</w:t>
      </w:r>
      <w:r w:rsidR="00FB3881" w:rsidRPr="009700CF">
        <w:rPr>
          <w:snapToGrid w:val="0"/>
          <w:kern w:val="22"/>
          <w:szCs w:val="22"/>
          <w:lang w:val="fr-CA"/>
        </w:rPr>
        <w:t xml:space="preserve">. Plus de la moitié des Parties ont déclaré que des mesures pour l’application du </w:t>
      </w:r>
      <w:r w:rsidR="00FB3881" w:rsidRPr="009700CF">
        <w:rPr>
          <w:snapToGrid w:val="0"/>
          <w:kern w:val="22"/>
          <w:szCs w:val="22"/>
          <w:lang w:val="fr-CA"/>
        </w:rPr>
        <w:lastRenderedPageBreak/>
        <w:t xml:space="preserve">Protocole additionnel sont complètement en place. Par contre, moins du tiers des Parties au Protocole de Cartagena </w:t>
      </w:r>
      <w:r w:rsidR="00CC7426">
        <w:rPr>
          <w:snapToGrid w:val="0"/>
          <w:kern w:val="22"/>
          <w:szCs w:val="22"/>
          <w:lang w:val="fr-CA"/>
        </w:rPr>
        <w:t>ont</w:t>
      </w:r>
      <w:r w:rsidR="00FB3881" w:rsidRPr="009700CF">
        <w:rPr>
          <w:snapToGrid w:val="0"/>
          <w:kern w:val="22"/>
          <w:szCs w:val="22"/>
          <w:lang w:val="fr-CA"/>
        </w:rPr>
        <w:t xml:space="preserve"> ratifié le Protocole additionnel et 43 p. cent des Parties (43 Parties) au Protocole de Cartagena n’ayant pas encore ratifié le Protocole additionnel ont déclaré </w:t>
      </w:r>
      <w:r w:rsidR="003470E4" w:rsidRPr="009700CF">
        <w:rPr>
          <w:snapToGrid w:val="0"/>
          <w:kern w:val="22"/>
          <w:szCs w:val="22"/>
          <w:lang w:val="fr-CA"/>
        </w:rPr>
        <w:t>q</w:t>
      </w:r>
      <w:r w:rsidR="00FB3881" w:rsidRPr="009700CF">
        <w:rPr>
          <w:snapToGrid w:val="0"/>
          <w:kern w:val="22"/>
          <w:szCs w:val="22"/>
          <w:lang w:val="fr-CA"/>
        </w:rPr>
        <w:t>u’aucun processus national n’est en place pour devenir Partie au Protocole additionnel</w:t>
      </w:r>
      <w:r w:rsidR="0063124E">
        <w:rPr>
          <w:snapToGrid w:val="0"/>
          <w:kern w:val="22"/>
          <w:szCs w:val="22"/>
          <w:lang w:val="fr-CA"/>
        </w:rPr>
        <w:t>.</w:t>
      </w:r>
    </w:p>
    <w:p w14:paraId="5CE17DDD" w14:textId="68F612B9" w:rsidR="00B12924" w:rsidRPr="009700CF" w:rsidRDefault="003470E4" w:rsidP="00C4544F">
      <w:pPr>
        <w:keepNext/>
        <w:numPr>
          <w:ilvl w:val="0"/>
          <w:numId w:val="39"/>
        </w:numPr>
        <w:suppressLineNumbers/>
        <w:tabs>
          <w:tab w:val="clear" w:pos="2070"/>
        </w:tabs>
        <w:suppressAutoHyphens/>
        <w:spacing w:before="120" w:after="120"/>
        <w:ind w:left="1168" w:hanging="357"/>
        <w:jc w:val="center"/>
        <w:outlineLvl w:val="1"/>
        <w:rPr>
          <w:b/>
          <w:iCs/>
          <w:snapToGrid w:val="0"/>
          <w:kern w:val="22"/>
          <w:szCs w:val="22"/>
          <w:lang w:val="fr-CA"/>
        </w:rPr>
      </w:pPr>
      <w:r w:rsidRPr="009700CF">
        <w:rPr>
          <w:b/>
          <w:iCs/>
          <w:snapToGrid w:val="0"/>
          <w:kern w:val="22"/>
          <w:szCs w:val="22"/>
          <w:lang w:val="fr-CA"/>
        </w:rPr>
        <w:t xml:space="preserve">Manipulation, transport, emballage et identification (objectifs opérationnels 1.6 et </w:t>
      </w:r>
      <w:r w:rsidR="00B12924" w:rsidRPr="009700CF">
        <w:rPr>
          <w:b/>
          <w:iCs/>
          <w:snapToGrid w:val="0"/>
          <w:kern w:val="22"/>
          <w:szCs w:val="22"/>
          <w:lang w:val="fr-CA"/>
        </w:rPr>
        <w:t>2.3)</w:t>
      </w:r>
    </w:p>
    <w:p w14:paraId="4B2F2D62" w14:textId="7A10D994" w:rsidR="00847625" w:rsidRPr="009700CF" w:rsidRDefault="00B55D07" w:rsidP="00C4544F">
      <w:pPr>
        <w:pStyle w:val="ListParagraph"/>
        <w:numPr>
          <w:ilvl w:val="0"/>
          <w:numId w:val="19"/>
        </w:numPr>
        <w:suppressLineNumbers/>
        <w:tabs>
          <w:tab w:val="clear" w:pos="644"/>
          <w:tab w:val="num" w:pos="720"/>
        </w:tabs>
        <w:suppressAutoHyphens/>
        <w:spacing w:before="120" w:after="120"/>
        <w:ind w:left="0"/>
        <w:contextualSpacing w:val="0"/>
        <w:rPr>
          <w:kern w:val="22"/>
          <w:lang w:val="fr-CA"/>
        </w:rPr>
      </w:pPr>
      <w:r w:rsidRPr="009700CF">
        <w:rPr>
          <w:snapToGrid w:val="0"/>
          <w:kern w:val="22"/>
          <w:szCs w:val="22"/>
          <w:lang w:val="fr-CA"/>
        </w:rPr>
        <w:t>Les Parties ont déclaré des progrès au c</w:t>
      </w:r>
      <w:r w:rsidR="00591F0E" w:rsidRPr="009700CF">
        <w:rPr>
          <w:snapToGrid w:val="0"/>
          <w:kern w:val="22"/>
          <w:szCs w:val="22"/>
          <w:lang w:val="fr-CA"/>
        </w:rPr>
        <w:t>hapitre de la formation du perso</w:t>
      </w:r>
      <w:r w:rsidRPr="009700CF">
        <w:rPr>
          <w:snapToGrid w:val="0"/>
          <w:kern w:val="22"/>
          <w:szCs w:val="22"/>
          <w:lang w:val="fr-CA"/>
        </w:rPr>
        <w:t xml:space="preserve">nnel de laboratoire et, </w:t>
      </w:r>
      <w:r w:rsidR="0063124E">
        <w:rPr>
          <w:snapToGrid w:val="0"/>
          <w:kern w:val="22"/>
          <w:szCs w:val="22"/>
          <w:lang w:val="fr-CA"/>
        </w:rPr>
        <w:t>dans une moindre mesure</w:t>
      </w:r>
      <w:r w:rsidRPr="009700CF">
        <w:rPr>
          <w:snapToGrid w:val="0"/>
          <w:kern w:val="22"/>
          <w:szCs w:val="22"/>
          <w:lang w:val="fr-CA"/>
        </w:rPr>
        <w:t xml:space="preserve">, de la formation de douaniers pour la détection des OVM. </w:t>
      </w:r>
      <w:r w:rsidR="00591F0E" w:rsidRPr="009700CF">
        <w:rPr>
          <w:snapToGrid w:val="0"/>
          <w:kern w:val="22"/>
          <w:szCs w:val="22"/>
          <w:lang w:val="fr-CA"/>
        </w:rPr>
        <w:t>Presque toutes les Parties</w:t>
      </w:r>
      <w:r w:rsidR="00BE752D">
        <w:rPr>
          <w:snapToGrid w:val="0"/>
          <w:kern w:val="22"/>
          <w:szCs w:val="22"/>
          <w:lang w:val="fr-CA"/>
        </w:rPr>
        <w:t xml:space="preserve"> </w:t>
      </w:r>
      <w:r w:rsidRPr="009700CF">
        <w:rPr>
          <w:snapToGrid w:val="0"/>
          <w:kern w:val="22"/>
          <w:szCs w:val="22"/>
          <w:lang w:val="fr-CA"/>
        </w:rPr>
        <w:t>(96</w:t>
      </w:r>
      <w:r w:rsidR="00591F0E" w:rsidRPr="009700CF">
        <w:rPr>
          <w:snapToGrid w:val="0"/>
          <w:kern w:val="22"/>
          <w:szCs w:val="22"/>
          <w:lang w:val="fr-CA"/>
        </w:rPr>
        <w:t> </w:t>
      </w:r>
      <w:r w:rsidRPr="009700CF">
        <w:rPr>
          <w:snapToGrid w:val="0"/>
          <w:kern w:val="22"/>
          <w:szCs w:val="22"/>
          <w:lang w:val="fr-CA"/>
        </w:rPr>
        <w:t>p. cent</w:t>
      </w:r>
      <w:r w:rsidR="00591F0E" w:rsidRPr="009700CF">
        <w:rPr>
          <w:snapToGrid w:val="0"/>
          <w:kern w:val="22"/>
          <w:szCs w:val="22"/>
          <w:lang w:val="fr-CA"/>
        </w:rPr>
        <w:t xml:space="preserve">) ont déclaré que le personnel de laboratoire avait été formé en détection des OVM, tandis que la majorité des Parties (59 p. cent) a déclaré que les douaniers avaient été formés en détection des OVM. Les Parties ont également déclaré des augmentations concernant l’accès à des laboratoires fiables. En effet, la plupart des Parties (87 p. cent) </w:t>
      </w:r>
      <w:r w:rsidR="00BE752D">
        <w:rPr>
          <w:snapToGrid w:val="0"/>
          <w:kern w:val="22"/>
          <w:szCs w:val="22"/>
          <w:lang w:val="fr-CA"/>
        </w:rPr>
        <w:t xml:space="preserve">ont </w:t>
      </w:r>
      <w:r w:rsidR="00591F0E" w:rsidRPr="009700CF">
        <w:rPr>
          <w:snapToGrid w:val="0"/>
          <w:kern w:val="22"/>
          <w:szCs w:val="22"/>
          <w:lang w:val="fr-CA"/>
        </w:rPr>
        <w:t>déclar</w:t>
      </w:r>
      <w:r w:rsidR="00BE752D">
        <w:rPr>
          <w:snapToGrid w:val="0"/>
          <w:kern w:val="22"/>
          <w:szCs w:val="22"/>
          <w:lang w:val="fr-CA"/>
        </w:rPr>
        <w:t>é</w:t>
      </w:r>
      <w:r w:rsidR="00591F0E" w:rsidRPr="009700CF">
        <w:rPr>
          <w:snapToGrid w:val="0"/>
          <w:kern w:val="22"/>
          <w:szCs w:val="22"/>
          <w:lang w:val="fr-CA"/>
        </w:rPr>
        <w:t xml:space="preserve"> y avoir </w:t>
      </w:r>
      <w:r w:rsidR="0063124E">
        <w:rPr>
          <w:snapToGrid w:val="0"/>
          <w:kern w:val="22"/>
          <w:szCs w:val="22"/>
          <w:lang w:val="fr-CA"/>
        </w:rPr>
        <w:t xml:space="preserve">un </w:t>
      </w:r>
      <w:r w:rsidR="00591F0E" w:rsidRPr="009700CF">
        <w:rPr>
          <w:snapToGrid w:val="0"/>
          <w:kern w:val="22"/>
          <w:szCs w:val="22"/>
          <w:lang w:val="fr-CA"/>
        </w:rPr>
        <w:t>accès fiable</w:t>
      </w:r>
      <w:r w:rsidR="00F05FDF" w:rsidRPr="009700CF">
        <w:rPr>
          <w:snapToGrid w:val="0"/>
          <w:kern w:val="22"/>
          <w:szCs w:val="22"/>
          <w:lang w:val="fr-CA"/>
        </w:rPr>
        <w:t>.</w:t>
      </w:r>
      <w:r w:rsidR="00591F0E" w:rsidRPr="009700CF">
        <w:rPr>
          <w:snapToGrid w:val="0"/>
          <w:kern w:val="22"/>
          <w:szCs w:val="22"/>
          <w:lang w:val="fr-CA"/>
        </w:rPr>
        <w:t xml:space="preserve"> Soixante-huit p. cent des Parties ont déclaré </w:t>
      </w:r>
      <w:r w:rsidR="00771AEF" w:rsidRPr="009700CF">
        <w:rPr>
          <w:snapToGrid w:val="0"/>
          <w:kern w:val="22"/>
          <w:szCs w:val="22"/>
          <w:lang w:val="fr-CA"/>
        </w:rPr>
        <w:t xml:space="preserve">que leur pays compte au moins un laboratoire ayant une accréditation en détection des OVM, dont la quasi-totalité </w:t>
      </w:r>
      <w:r w:rsidR="00BE752D">
        <w:rPr>
          <w:snapToGrid w:val="0"/>
          <w:kern w:val="22"/>
          <w:szCs w:val="22"/>
          <w:lang w:val="fr-CA"/>
        </w:rPr>
        <w:t>es</w:t>
      </w:r>
      <w:r w:rsidR="00771AEF" w:rsidRPr="009700CF">
        <w:rPr>
          <w:snapToGrid w:val="0"/>
          <w:kern w:val="22"/>
          <w:szCs w:val="22"/>
          <w:lang w:val="fr-CA"/>
        </w:rPr>
        <w:t>t fonctionnel</w:t>
      </w:r>
      <w:r w:rsidR="00BE752D">
        <w:rPr>
          <w:snapToGrid w:val="0"/>
          <w:kern w:val="22"/>
          <w:szCs w:val="22"/>
          <w:lang w:val="fr-CA"/>
        </w:rPr>
        <w:t>le</w:t>
      </w:r>
      <w:r w:rsidR="00771AEF" w:rsidRPr="009700CF">
        <w:rPr>
          <w:snapToGrid w:val="0"/>
          <w:kern w:val="22"/>
          <w:szCs w:val="22"/>
          <w:lang w:val="fr-CA"/>
        </w:rPr>
        <w:t xml:space="preserve">. Plusieurs Parties ont indiqué dans leur exposé écrit qu’elles </w:t>
      </w:r>
      <w:r w:rsidR="0063124E">
        <w:rPr>
          <w:snapToGrid w:val="0"/>
          <w:kern w:val="22"/>
          <w:szCs w:val="22"/>
          <w:lang w:val="fr-CA"/>
        </w:rPr>
        <w:t>s</w:t>
      </w:r>
      <w:r w:rsidR="00771AEF" w:rsidRPr="009700CF">
        <w:rPr>
          <w:snapToGrid w:val="0"/>
          <w:kern w:val="22"/>
          <w:szCs w:val="22"/>
          <w:lang w:val="fr-CA"/>
        </w:rPr>
        <w:t>ont incapables de d</w:t>
      </w:r>
      <w:r w:rsidR="0063124E">
        <w:rPr>
          <w:snapToGrid w:val="0"/>
          <w:kern w:val="22"/>
          <w:szCs w:val="22"/>
          <w:lang w:val="fr-CA"/>
        </w:rPr>
        <w:t>étecter et d’identifier les OVM et ce,</w:t>
      </w:r>
      <w:r w:rsidR="00771AEF" w:rsidRPr="009700CF">
        <w:rPr>
          <w:snapToGrid w:val="0"/>
          <w:kern w:val="22"/>
          <w:szCs w:val="22"/>
          <w:lang w:val="fr-CA"/>
        </w:rPr>
        <w:t xml:space="preserve"> pour </w:t>
      </w:r>
      <w:r w:rsidR="004D731B" w:rsidRPr="009700CF">
        <w:rPr>
          <w:snapToGrid w:val="0"/>
          <w:kern w:val="22"/>
          <w:szCs w:val="22"/>
          <w:lang w:val="fr-CA"/>
        </w:rPr>
        <w:t>toute une panoplie de raisons, dont le manque d’installations, d’équipement, de personnel et de capacité générale à cet égard.</w:t>
      </w:r>
    </w:p>
    <w:p w14:paraId="3684835F" w14:textId="3D3FEC5A" w:rsidR="00C210D1" w:rsidRPr="009700CF" w:rsidRDefault="004D731B" w:rsidP="00A42336">
      <w:pPr>
        <w:keepNext/>
        <w:numPr>
          <w:ilvl w:val="0"/>
          <w:numId w:val="39"/>
        </w:numPr>
        <w:suppressLineNumbers/>
        <w:tabs>
          <w:tab w:val="clear" w:pos="2070"/>
          <w:tab w:val="left" w:pos="426"/>
        </w:tabs>
        <w:suppressAutoHyphens/>
        <w:spacing w:before="120" w:after="120"/>
        <w:ind w:left="0" w:right="431" w:firstLine="0"/>
        <w:jc w:val="center"/>
        <w:outlineLvl w:val="1"/>
        <w:rPr>
          <w:b/>
          <w:iCs/>
          <w:snapToGrid w:val="0"/>
          <w:kern w:val="22"/>
          <w:szCs w:val="22"/>
          <w:lang w:val="fr-CA"/>
        </w:rPr>
      </w:pPr>
      <w:r w:rsidRPr="009700CF">
        <w:rPr>
          <w:b/>
          <w:iCs/>
          <w:snapToGrid w:val="0"/>
          <w:kern w:val="22"/>
          <w:szCs w:val="22"/>
          <w:lang w:val="fr-CA"/>
        </w:rPr>
        <w:t>Facteurs socioéconomiques (objectif opérationnel</w:t>
      </w:r>
      <w:r w:rsidR="00C210D1" w:rsidRPr="009700CF">
        <w:rPr>
          <w:b/>
          <w:iCs/>
          <w:snapToGrid w:val="0"/>
          <w:kern w:val="22"/>
          <w:szCs w:val="22"/>
          <w:lang w:val="fr-CA"/>
        </w:rPr>
        <w:t xml:space="preserve"> 1.7)</w:t>
      </w:r>
    </w:p>
    <w:p w14:paraId="258097EB" w14:textId="0CC8D7C2" w:rsidR="009A68C0" w:rsidRPr="009700CF" w:rsidRDefault="004D731B" w:rsidP="00C4544F">
      <w:pPr>
        <w:pStyle w:val="ListParagraph"/>
        <w:numPr>
          <w:ilvl w:val="0"/>
          <w:numId w:val="19"/>
        </w:numPr>
        <w:suppressLineNumbers/>
        <w:tabs>
          <w:tab w:val="clear" w:pos="644"/>
          <w:tab w:val="num" w:pos="720"/>
        </w:tabs>
        <w:suppressAutoHyphens/>
        <w:spacing w:before="120" w:after="120"/>
        <w:ind w:left="0"/>
        <w:contextualSpacing w:val="0"/>
        <w:rPr>
          <w:kern w:val="22"/>
          <w:lang w:val="fr-CA"/>
        </w:rPr>
      </w:pPr>
      <w:r w:rsidRPr="009700CF">
        <w:rPr>
          <w:kern w:val="22"/>
          <w:szCs w:val="22"/>
          <w:lang w:val="fr-CA"/>
        </w:rPr>
        <w:t>Environ le tiers des Parties a déclaré avoir utilisé des documents examinés par des pairs afin d’élaborer ou de déterminer les mesures nationales concernant les facteurs socioéconomiques, une diminution par rapport à la valeur de référence. Environ la moi</w:t>
      </w:r>
      <w:r w:rsidR="00F24374" w:rsidRPr="009700CF">
        <w:rPr>
          <w:kern w:val="22"/>
          <w:szCs w:val="22"/>
          <w:lang w:val="fr-CA"/>
        </w:rPr>
        <w:t>t</w:t>
      </w:r>
      <w:r w:rsidR="005726B9">
        <w:rPr>
          <w:kern w:val="22"/>
          <w:szCs w:val="22"/>
          <w:lang w:val="fr-CA"/>
        </w:rPr>
        <w:t>ié des Parties ont</w:t>
      </w:r>
      <w:r w:rsidRPr="009700CF">
        <w:rPr>
          <w:kern w:val="22"/>
          <w:szCs w:val="22"/>
          <w:lang w:val="fr-CA"/>
        </w:rPr>
        <w:t xml:space="preserve"> déclaré avoir recours à des démarches ou des exigences particulières qui facilitent la mani</w:t>
      </w:r>
      <w:r w:rsidR="00F24374" w:rsidRPr="009700CF">
        <w:rPr>
          <w:kern w:val="22"/>
          <w:szCs w:val="22"/>
          <w:lang w:val="fr-CA"/>
        </w:rPr>
        <w:t>ère dont les facteurs socioéconomiq</w:t>
      </w:r>
      <w:r w:rsidRPr="009700CF">
        <w:rPr>
          <w:kern w:val="22"/>
          <w:szCs w:val="22"/>
          <w:lang w:val="fr-CA"/>
        </w:rPr>
        <w:t>ues son</w:t>
      </w:r>
      <w:r w:rsidR="00F24374" w:rsidRPr="009700CF">
        <w:rPr>
          <w:kern w:val="22"/>
          <w:szCs w:val="22"/>
          <w:lang w:val="fr-CA"/>
        </w:rPr>
        <w:t>t pris en compte dans les décisi</w:t>
      </w:r>
      <w:r w:rsidRPr="009700CF">
        <w:rPr>
          <w:kern w:val="22"/>
          <w:szCs w:val="22"/>
          <w:lang w:val="fr-CA"/>
        </w:rPr>
        <w:t>ons co</w:t>
      </w:r>
      <w:r w:rsidR="00F24374" w:rsidRPr="009700CF">
        <w:rPr>
          <w:kern w:val="22"/>
          <w:szCs w:val="22"/>
          <w:lang w:val="fr-CA"/>
        </w:rPr>
        <w:t>ncernant les OVM, une augmentati</w:t>
      </w:r>
      <w:r w:rsidRPr="009700CF">
        <w:rPr>
          <w:kern w:val="22"/>
          <w:szCs w:val="22"/>
          <w:lang w:val="fr-CA"/>
        </w:rPr>
        <w:t xml:space="preserve">on par rapport </w:t>
      </w:r>
      <w:r w:rsidR="00F24374" w:rsidRPr="009700CF">
        <w:rPr>
          <w:kern w:val="22"/>
          <w:szCs w:val="22"/>
          <w:lang w:val="fr-CA"/>
        </w:rPr>
        <w:t>à la v</w:t>
      </w:r>
      <w:r w:rsidRPr="009700CF">
        <w:rPr>
          <w:kern w:val="22"/>
          <w:szCs w:val="22"/>
          <w:lang w:val="fr-CA"/>
        </w:rPr>
        <w:t>aleur de référence. Le pourcentage des Parties</w:t>
      </w:r>
      <w:r w:rsidR="00221E8C">
        <w:rPr>
          <w:kern w:val="22"/>
          <w:szCs w:val="22"/>
          <w:lang w:val="fr-CA"/>
        </w:rPr>
        <w:t xml:space="preserve"> ayant déclaré avoir toujours</w:t>
      </w:r>
      <w:r w:rsidR="00F24374" w:rsidRPr="009700CF">
        <w:rPr>
          <w:kern w:val="22"/>
          <w:szCs w:val="22"/>
          <w:lang w:val="fr-CA"/>
        </w:rPr>
        <w:t xml:space="preserve"> pris en compte les facteurs socioéconomiques dans leurs décisions sur les OVM</w:t>
      </w:r>
      <w:r w:rsidR="00221E8C">
        <w:rPr>
          <w:kern w:val="22"/>
          <w:szCs w:val="22"/>
          <w:lang w:val="fr-CA"/>
        </w:rPr>
        <w:t>, ou de l’avoir fait à l’occasion,</w:t>
      </w:r>
      <w:r w:rsidR="00F24374" w:rsidRPr="009700CF">
        <w:rPr>
          <w:kern w:val="22"/>
          <w:szCs w:val="22"/>
          <w:lang w:val="fr-CA"/>
        </w:rPr>
        <w:t xml:space="preserve"> a augmenté de 14 p. cent, pour atteindre environ le tiers des Parties</w:t>
      </w:r>
      <w:r w:rsidR="002E636E" w:rsidRPr="009700CF">
        <w:rPr>
          <w:snapToGrid w:val="0"/>
          <w:kern w:val="22"/>
          <w:szCs w:val="22"/>
          <w:lang w:val="fr-CA"/>
        </w:rPr>
        <w:t>.</w:t>
      </w:r>
    </w:p>
    <w:p w14:paraId="313817FA" w14:textId="5EDA2D0B" w:rsidR="009A68C0" w:rsidRPr="009700CF" w:rsidRDefault="00F24374" w:rsidP="00C4544F">
      <w:pPr>
        <w:pStyle w:val="ListParagraph"/>
        <w:numPr>
          <w:ilvl w:val="0"/>
          <w:numId w:val="19"/>
        </w:numPr>
        <w:suppressLineNumbers/>
        <w:tabs>
          <w:tab w:val="clear" w:pos="644"/>
          <w:tab w:val="num" w:pos="720"/>
        </w:tabs>
        <w:suppressAutoHyphens/>
        <w:spacing w:before="120" w:after="120"/>
        <w:ind w:left="0"/>
        <w:contextualSpacing w:val="0"/>
        <w:rPr>
          <w:kern w:val="22"/>
          <w:lang w:val="fr-CA"/>
        </w:rPr>
      </w:pPr>
      <w:r w:rsidRPr="009700CF">
        <w:rPr>
          <w:snapToGrid w:val="0"/>
          <w:kern w:val="22"/>
          <w:szCs w:val="22"/>
          <w:lang w:val="fr-CA"/>
        </w:rPr>
        <w:t>Les Parties ont mentionné dans leur exposé écrit les différents moyens par lesquels les facteurs socioéconomiques sont pris en considération</w:t>
      </w:r>
      <w:r w:rsidR="009A68C0" w:rsidRPr="009700CF">
        <w:rPr>
          <w:snapToGrid w:val="0"/>
          <w:kern w:val="22"/>
          <w:szCs w:val="22"/>
          <w:lang w:val="fr-CA"/>
        </w:rPr>
        <w:t>.</w:t>
      </w:r>
      <w:r w:rsidR="00F5213C" w:rsidRPr="009700CF">
        <w:rPr>
          <w:snapToGrid w:val="0"/>
          <w:kern w:val="22"/>
          <w:szCs w:val="22"/>
          <w:lang w:val="fr-CA"/>
        </w:rPr>
        <w:t xml:space="preserve"> Quant aux difficultés, les Parties ont indiqué dans leur exposé écrit que la rareté des don</w:t>
      </w:r>
      <w:r w:rsidR="00221E8C">
        <w:rPr>
          <w:snapToGrid w:val="0"/>
          <w:kern w:val="22"/>
          <w:szCs w:val="22"/>
          <w:lang w:val="fr-CA"/>
        </w:rPr>
        <w:t>nées est un obstacle important et ont</w:t>
      </w:r>
      <w:r w:rsidR="00F5213C" w:rsidRPr="009700CF">
        <w:rPr>
          <w:snapToGrid w:val="0"/>
          <w:kern w:val="22"/>
          <w:szCs w:val="22"/>
          <w:lang w:val="fr-CA"/>
        </w:rPr>
        <w:t xml:space="preserve"> souligné la nécessité d’effectuer des études locales et de plus amples recherches afin de développer un cadre méthodologique pour définir les indicateurs socioéconomiques pertinents et des règles pour la collecte de données.</w:t>
      </w:r>
    </w:p>
    <w:p w14:paraId="2E282E02" w14:textId="5AC2CF0E" w:rsidR="00476292" w:rsidRPr="009700CF" w:rsidRDefault="00F5213C" w:rsidP="00C4544F">
      <w:pPr>
        <w:keepNext/>
        <w:numPr>
          <w:ilvl w:val="0"/>
          <w:numId w:val="39"/>
        </w:numPr>
        <w:suppressLineNumbers/>
        <w:tabs>
          <w:tab w:val="clear" w:pos="2070"/>
        </w:tabs>
        <w:suppressAutoHyphens/>
        <w:spacing w:before="120" w:after="120"/>
        <w:ind w:left="1560" w:right="431" w:hanging="709"/>
        <w:jc w:val="left"/>
        <w:outlineLvl w:val="1"/>
        <w:rPr>
          <w:b/>
          <w:iCs/>
          <w:snapToGrid w:val="0"/>
          <w:kern w:val="22"/>
          <w:szCs w:val="22"/>
          <w:lang w:val="fr-CA"/>
        </w:rPr>
      </w:pPr>
      <w:r w:rsidRPr="009700CF">
        <w:rPr>
          <w:b/>
          <w:iCs/>
          <w:snapToGrid w:val="0"/>
          <w:kern w:val="22"/>
          <w:szCs w:val="22"/>
          <w:lang w:val="fr-CA"/>
        </w:rPr>
        <w:t xml:space="preserve">Acheminement, utilisation restreinte, mouvements transfrontières involontaires et mesures d’urgence (objectif opérationnel </w:t>
      </w:r>
      <w:r w:rsidR="00476292" w:rsidRPr="009700CF">
        <w:rPr>
          <w:b/>
          <w:iCs/>
          <w:snapToGrid w:val="0"/>
          <w:kern w:val="22"/>
          <w:szCs w:val="22"/>
          <w:lang w:val="fr-CA"/>
        </w:rPr>
        <w:t>1.8)</w:t>
      </w:r>
    </w:p>
    <w:p w14:paraId="1CA7D464" w14:textId="4827A9A4" w:rsidR="00111251" w:rsidRPr="009700CF" w:rsidRDefault="00F5213C" w:rsidP="00C4544F">
      <w:pPr>
        <w:pStyle w:val="ListParagraph"/>
        <w:numPr>
          <w:ilvl w:val="0"/>
          <w:numId w:val="19"/>
        </w:numPr>
        <w:suppressLineNumbers/>
        <w:tabs>
          <w:tab w:val="clear" w:pos="644"/>
          <w:tab w:val="num" w:pos="720"/>
        </w:tabs>
        <w:suppressAutoHyphens/>
        <w:spacing w:before="120" w:after="120"/>
        <w:ind w:left="0"/>
        <w:contextualSpacing w:val="0"/>
        <w:rPr>
          <w:kern w:val="22"/>
          <w:lang w:val="fr-CA"/>
        </w:rPr>
      </w:pPr>
      <w:r w:rsidRPr="009700CF">
        <w:rPr>
          <w:snapToGrid w:val="0"/>
          <w:kern w:val="22"/>
          <w:szCs w:val="22"/>
          <w:lang w:val="fr-CA"/>
        </w:rPr>
        <w:t xml:space="preserve">La plupart des Parties ont des mesures en place pour </w:t>
      </w:r>
      <w:r w:rsidR="00AD00C4" w:rsidRPr="009700CF">
        <w:rPr>
          <w:snapToGrid w:val="0"/>
          <w:kern w:val="22"/>
          <w:szCs w:val="22"/>
          <w:lang w:val="fr-CA"/>
        </w:rPr>
        <w:t xml:space="preserve">réguler l’utilisation restreinte et l’acheminement des OVM, et certains progrès ont été accomplis à cet égard, surtout en ce qui concerne la régulation de l’acheminement. Plusieurs Parties ont </w:t>
      </w:r>
      <w:r w:rsidR="00D95AFB" w:rsidRPr="009700CF">
        <w:rPr>
          <w:snapToGrid w:val="0"/>
          <w:kern w:val="22"/>
          <w:szCs w:val="22"/>
          <w:lang w:val="fr-CA"/>
        </w:rPr>
        <w:t>mentionné des lois, mesures législatives, réglementations et programmes de formation</w:t>
      </w:r>
      <w:r w:rsidR="00AD00C4" w:rsidRPr="009700CF">
        <w:rPr>
          <w:snapToGrid w:val="0"/>
          <w:kern w:val="22"/>
          <w:szCs w:val="22"/>
          <w:lang w:val="fr-CA"/>
        </w:rPr>
        <w:t xml:space="preserve"> dans leur exposé écrit</w:t>
      </w:r>
      <w:r w:rsidR="00D95AFB" w:rsidRPr="009700CF">
        <w:rPr>
          <w:snapToGrid w:val="0"/>
          <w:kern w:val="22"/>
          <w:szCs w:val="22"/>
          <w:lang w:val="fr-CA"/>
        </w:rPr>
        <w:t>. Certaines Parties ont aussi fourni les détails des procédures d’enregistrement des OVM pour l’acheminement et/ou l’utilisation restreinte. D’autres Parties ont déclaré ne pas avoir de lois sur la prévention des risques biotechnologiques ou que les lois officielles étaient en attente de mise au point ou d’adoption</w:t>
      </w:r>
      <w:r w:rsidR="004032A7" w:rsidRPr="009700CF">
        <w:rPr>
          <w:snapToGrid w:val="0"/>
          <w:kern w:val="22"/>
          <w:szCs w:val="22"/>
          <w:lang w:val="fr-CA"/>
        </w:rPr>
        <w:t>.</w:t>
      </w:r>
      <w:r w:rsidR="00D95AFB" w:rsidRPr="009700CF">
        <w:rPr>
          <w:snapToGrid w:val="0"/>
          <w:kern w:val="22"/>
          <w:szCs w:val="22"/>
          <w:lang w:val="fr-CA"/>
        </w:rPr>
        <w:t xml:space="preserve"> Elles ont aussi mentionné le besoin de renforcer leurs capacités en ce qui a trait à l’acheminement et l’utilisation restreinte.</w:t>
      </w:r>
    </w:p>
    <w:p w14:paraId="305490DC" w14:textId="06453504" w:rsidR="00B1159B" w:rsidRPr="009700CF" w:rsidRDefault="00D95AFB" w:rsidP="00C4544F">
      <w:pPr>
        <w:pStyle w:val="ListParagraph"/>
        <w:numPr>
          <w:ilvl w:val="0"/>
          <w:numId w:val="19"/>
        </w:numPr>
        <w:suppressLineNumbers/>
        <w:tabs>
          <w:tab w:val="clear" w:pos="644"/>
          <w:tab w:val="num" w:pos="720"/>
        </w:tabs>
        <w:suppressAutoHyphens/>
        <w:spacing w:before="120" w:after="120"/>
        <w:ind w:left="0"/>
        <w:contextualSpacing w:val="0"/>
        <w:rPr>
          <w:kern w:val="22"/>
          <w:lang w:val="fr-CA"/>
        </w:rPr>
      </w:pPr>
      <w:r w:rsidRPr="009700CF">
        <w:rPr>
          <w:snapToGrid w:val="0"/>
          <w:kern w:val="22"/>
          <w:szCs w:val="22"/>
          <w:lang w:val="fr-CA"/>
        </w:rPr>
        <w:t xml:space="preserve">Les Parties </w:t>
      </w:r>
      <w:r w:rsidR="001F1ECE" w:rsidRPr="009700CF">
        <w:rPr>
          <w:snapToGrid w:val="0"/>
          <w:kern w:val="22"/>
          <w:szCs w:val="22"/>
          <w:lang w:val="fr-CA"/>
        </w:rPr>
        <w:t>font</w:t>
      </w:r>
      <w:r w:rsidRPr="009700CF">
        <w:rPr>
          <w:snapToGrid w:val="0"/>
          <w:kern w:val="22"/>
          <w:szCs w:val="22"/>
          <w:lang w:val="fr-CA"/>
        </w:rPr>
        <w:t xml:space="preserve"> état d’importantes différences dans leur capacité de prendre des mesures de réponse lors des mouvements transfrontières involontaires, bien que les totaux généraux rév</w:t>
      </w:r>
      <w:r w:rsidR="001F1ECE" w:rsidRPr="009700CF">
        <w:rPr>
          <w:snapToGrid w:val="0"/>
          <w:kern w:val="22"/>
          <w:szCs w:val="22"/>
          <w:lang w:val="fr-CA"/>
        </w:rPr>
        <w:t>èlent que la plupart des P</w:t>
      </w:r>
      <w:r w:rsidRPr="009700CF">
        <w:rPr>
          <w:snapToGrid w:val="0"/>
          <w:kern w:val="22"/>
          <w:szCs w:val="22"/>
          <w:lang w:val="fr-CA"/>
        </w:rPr>
        <w:t>arties (70 p. </w:t>
      </w:r>
      <w:r w:rsidR="001F1ECE" w:rsidRPr="009700CF">
        <w:rPr>
          <w:snapToGrid w:val="0"/>
          <w:kern w:val="22"/>
          <w:szCs w:val="22"/>
          <w:lang w:val="fr-CA"/>
        </w:rPr>
        <w:t>ce</w:t>
      </w:r>
      <w:r w:rsidRPr="009700CF">
        <w:rPr>
          <w:snapToGrid w:val="0"/>
          <w:kern w:val="22"/>
          <w:szCs w:val="22"/>
          <w:lang w:val="fr-CA"/>
        </w:rPr>
        <w:t xml:space="preserve">nt) ont la capacité de répondre aux mouvements </w:t>
      </w:r>
      <w:r w:rsidR="001F1ECE" w:rsidRPr="009700CF">
        <w:rPr>
          <w:snapToGrid w:val="0"/>
          <w:kern w:val="22"/>
          <w:szCs w:val="22"/>
          <w:lang w:val="fr-CA"/>
        </w:rPr>
        <w:t>transfro</w:t>
      </w:r>
      <w:r w:rsidRPr="009700CF">
        <w:rPr>
          <w:snapToGrid w:val="0"/>
          <w:kern w:val="22"/>
          <w:szCs w:val="22"/>
          <w:lang w:val="fr-CA"/>
        </w:rPr>
        <w:t xml:space="preserve">ntières involontaires. </w:t>
      </w:r>
      <w:r w:rsidR="001F1ECE" w:rsidRPr="009700CF">
        <w:rPr>
          <w:snapToGrid w:val="0"/>
          <w:kern w:val="22"/>
          <w:szCs w:val="22"/>
          <w:lang w:val="fr-CA"/>
        </w:rPr>
        <w:t>Plusieurs Parties ont mentionné dans leurs co</w:t>
      </w:r>
      <w:r w:rsidR="00397EF9">
        <w:rPr>
          <w:snapToGrid w:val="0"/>
          <w:kern w:val="22"/>
          <w:szCs w:val="22"/>
          <w:lang w:val="fr-CA"/>
        </w:rPr>
        <w:t>mmentaires</w:t>
      </w:r>
      <w:r w:rsidR="00F30572">
        <w:rPr>
          <w:snapToGrid w:val="0"/>
          <w:kern w:val="22"/>
          <w:szCs w:val="22"/>
          <w:lang w:val="fr-CA"/>
        </w:rPr>
        <w:t xml:space="preserve"> d</w:t>
      </w:r>
      <w:r w:rsidR="001F1ECE" w:rsidRPr="009700CF">
        <w:rPr>
          <w:snapToGrid w:val="0"/>
          <w:kern w:val="22"/>
          <w:szCs w:val="22"/>
          <w:lang w:val="fr-CA"/>
        </w:rPr>
        <w:t xml:space="preserve">es réglementations et mesures de réponse nationales ou d’urgence aux mouvements transfrontières involontaires. D’autres Parties ont </w:t>
      </w:r>
      <w:r w:rsidR="00F30572">
        <w:rPr>
          <w:snapToGrid w:val="0"/>
          <w:kern w:val="22"/>
          <w:szCs w:val="22"/>
          <w:lang w:val="fr-CA"/>
        </w:rPr>
        <w:t>fait état de l’absence de</w:t>
      </w:r>
      <w:r w:rsidR="001F1ECE" w:rsidRPr="009700CF">
        <w:rPr>
          <w:snapToGrid w:val="0"/>
          <w:kern w:val="22"/>
          <w:szCs w:val="22"/>
          <w:lang w:val="fr-CA"/>
        </w:rPr>
        <w:t xml:space="preserve"> dispositions légales à cet égard. Certaines Parties ont aussi mentionné que l’incapacité de détecter et d’identifier les OVM, et par conséquent les mouvements transfronti</w:t>
      </w:r>
      <w:r w:rsidR="00C204D5" w:rsidRPr="009700CF">
        <w:rPr>
          <w:snapToGrid w:val="0"/>
          <w:kern w:val="22"/>
          <w:szCs w:val="22"/>
          <w:lang w:val="fr-CA"/>
        </w:rPr>
        <w:t>ères, est une source d’</w:t>
      </w:r>
      <w:r w:rsidR="001F1ECE" w:rsidRPr="009700CF">
        <w:rPr>
          <w:snapToGrid w:val="0"/>
          <w:kern w:val="22"/>
          <w:szCs w:val="22"/>
          <w:lang w:val="fr-CA"/>
        </w:rPr>
        <w:t>inquiétude</w:t>
      </w:r>
      <w:r w:rsidR="00111251" w:rsidRPr="009700CF">
        <w:rPr>
          <w:snapToGrid w:val="0"/>
          <w:kern w:val="22"/>
          <w:szCs w:val="22"/>
          <w:lang w:val="fr-CA"/>
        </w:rPr>
        <w:t>.</w:t>
      </w:r>
      <w:r w:rsidR="001F1ECE" w:rsidRPr="009700CF">
        <w:rPr>
          <w:snapToGrid w:val="0"/>
          <w:kern w:val="22"/>
          <w:szCs w:val="22"/>
          <w:lang w:val="fr-CA"/>
        </w:rPr>
        <w:t xml:space="preserve"> Quelques Parties ont mentionné que des lois et des plans de mesures d’urgence étaient en développement.</w:t>
      </w:r>
    </w:p>
    <w:p w14:paraId="13CFD6A0" w14:textId="1EE1BB02" w:rsidR="004E7959" w:rsidRPr="009700CF" w:rsidRDefault="00C204D5" w:rsidP="00C4544F">
      <w:pPr>
        <w:keepNext/>
        <w:numPr>
          <w:ilvl w:val="0"/>
          <w:numId w:val="39"/>
        </w:numPr>
        <w:suppressLineNumbers/>
        <w:tabs>
          <w:tab w:val="clear" w:pos="2070"/>
        </w:tabs>
        <w:suppressAutoHyphens/>
        <w:spacing w:before="120" w:after="120"/>
        <w:ind w:left="0" w:right="431" w:firstLine="0"/>
        <w:jc w:val="center"/>
        <w:outlineLvl w:val="1"/>
        <w:rPr>
          <w:b/>
          <w:iCs/>
          <w:snapToGrid w:val="0"/>
          <w:kern w:val="22"/>
          <w:szCs w:val="22"/>
          <w:lang w:val="fr-CA"/>
        </w:rPr>
      </w:pPr>
      <w:r w:rsidRPr="009700CF">
        <w:rPr>
          <w:b/>
          <w:iCs/>
          <w:snapToGrid w:val="0"/>
          <w:kern w:val="22"/>
          <w:szCs w:val="22"/>
          <w:lang w:val="fr-CA"/>
        </w:rPr>
        <w:lastRenderedPageBreak/>
        <w:t>Échange de renseignements (objectifs opérationnels 2.6, 4.1 et</w:t>
      </w:r>
      <w:r w:rsidR="00BE752D">
        <w:rPr>
          <w:b/>
          <w:iCs/>
          <w:snapToGrid w:val="0"/>
          <w:kern w:val="22"/>
          <w:szCs w:val="22"/>
          <w:lang w:val="fr-CA"/>
        </w:rPr>
        <w:t xml:space="preserve"> </w:t>
      </w:r>
      <w:r w:rsidR="004E7959" w:rsidRPr="009700CF">
        <w:rPr>
          <w:b/>
          <w:iCs/>
          <w:snapToGrid w:val="0"/>
          <w:kern w:val="22"/>
          <w:szCs w:val="22"/>
          <w:lang w:val="fr-CA"/>
        </w:rPr>
        <w:t>4.2)</w:t>
      </w:r>
    </w:p>
    <w:p w14:paraId="7AEDDE76" w14:textId="655CD0C7" w:rsidR="00D64C60" w:rsidRPr="009700CF" w:rsidRDefault="0004668C" w:rsidP="00C4544F">
      <w:pPr>
        <w:pStyle w:val="ListParagraph"/>
        <w:numPr>
          <w:ilvl w:val="0"/>
          <w:numId w:val="19"/>
        </w:numPr>
        <w:suppressLineNumbers/>
        <w:tabs>
          <w:tab w:val="clear" w:pos="644"/>
          <w:tab w:val="num" w:pos="720"/>
        </w:tabs>
        <w:suppressAutoHyphens/>
        <w:spacing w:before="120" w:after="120"/>
        <w:ind w:left="0"/>
        <w:contextualSpacing w:val="0"/>
        <w:rPr>
          <w:kern w:val="22"/>
          <w:lang w:val="fr-CA"/>
        </w:rPr>
      </w:pPr>
      <w:r w:rsidRPr="009700CF">
        <w:rPr>
          <w:kern w:val="22"/>
          <w:szCs w:val="22"/>
          <w:lang w:val="fr-CA"/>
        </w:rPr>
        <w:t>L’analyse révèle une tendance positive concernant les indicateurs liés au centre d</w:t>
      </w:r>
      <w:r w:rsidR="00BE752D">
        <w:rPr>
          <w:kern w:val="22"/>
          <w:szCs w:val="22"/>
          <w:lang w:val="fr-CA"/>
        </w:rPr>
        <w:t>’</w:t>
      </w:r>
      <w:r w:rsidRPr="009700CF">
        <w:rPr>
          <w:kern w:val="22"/>
          <w:szCs w:val="22"/>
          <w:lang w:val="fr-CA"/>
        </w:rPr>
        <w:t>échange sur la prévention des risques biotechnologiques et l’échange de renseignements. Le nombre de demandes d’enregistrement au centre d</w:t>
      </w:r>
      <w:r w:rsidR="00BE752D">
        <w:rPr>
          <w:kern w:val="22"/>
          <w:szCs w:val="22"/>
          <w:lang w:val="fr-CA"/>
        </w:rPr>
        <w:t>’</w:t>
      </w:r>
      <w:r w:rsidRPr="009700CF">
        <w:rPr>
          <w:kern w:val="22"/>
          <w:szCs w:val="22"/>
          <w:lang w:val="fr-CA"/>
        </w:rPr>
        <w:t xml:space="preserve">échange sur la prévention des risques biotechnologiques a connu une augmentation importante et a plus que doublé par rapport à la valeur de référence, une situation attribuable à la fois aux pays en développement et aux pays à économie en transition, qu’aux pays développés. </w:t>
      </w:r>
      <w:r w:rsidR="00DA5B55" w:rsidRPr="009700CF">
        <w:rPr>
          <w:kern w:val="22"/>
          <w:szCs w:val="22"/>
          <w:lang w:val="fr-CA"/>
        </w:rPr>
        <w:t>Des augmentations ont aussi été déclarées dans l’achalandage au centre d</w:t>
      </w:r>
      <w:r w:rsidR="00BE752D">
        <w:rPr>
          <w:kern w:val="22"/>
          <w:szCs w:val="22"/>
          <w:lang w:val="fr-CA"/>
        </w:rPr>
        <w:t>’</w:t>
      </w:r>
      <w:r w:rsidR="00DA5B55" w:rsidRPr="009700CF">
        <w:rPr>
          <w:kern w:val="22"/>
          <w:szCs w:val="22"/>
          <w:lang w:val="fr-CA"/>
        </w:rPr>
        <w:t>échange sur la prévention des risques biotechnologiques par rapport à la valeur de référence. Une augmentation de 64 p. cent a été déclarée dans le nombre de visites et de 75 p. cent</w:t>
      </w:r>
      <w:r w:rsidR="003C7431" w:rsidRPr="009700CF">
        <w:rPr>
          <w:kern w:val="22"/>
          <w:szCs w:val="22"/>
          <w:lang w:val="fr-CA"/>
        </w:rPr>
        <w:t xml:space="preserve"> </w:t>
      </w:r>
      <w:r w:rsidR="00DA5B55" w:rsidRPr="009700CF">
        <w:rPr>
          <w:kern w:val="22"/>
          <w:szCs w:val="22"/>
          <w:lang w:val="fr-CA"/>
        </w:rPr>
        <w:t>dans le nomb</w:t>
      </w:r>
      <w:r w:rsidR="003C7431" w:rsidRPr="009700CF">
        <w:rPr>
          <w:kern w:val="22"/>
          <w:szCs w:val="22"/>
          <w:lang w:val="fr-CA"/>
        </w:rPr>
        <w:t>re de vi</w:t>
      </w:r>
      <w:r w:rsidR="00DA5B55" w:rsidRPr="009700CF">
        <w:rPr>
          <w:kern w:val="22"/>
          <w:szCs w:val="22"/>
          <w:lang w:val="fr-CA"/>
        </w:rPr>
        <w:t xml:space="preserve">siteurs uniques provenant de pays en développement et de pays à économie en transition. En tenant compte des utilisateurs provenant de pays développés, l’augmentation par rapport </w:t>
      </w:r>
      <w:r w:rsidR="003C7431" w:rsidRPr="009700CF">
        <w:rPr>
          <w:kern w:val="22"/>
          <w:szCs w:val="22"/>
          <w:lang w:val="fr-CA"/>
        </w:rPr>
        <w:t>à l</w:t>
      </w:r>
      <w:r w:rsidR="00DA5B55" w:rsidRPr="009700CF">
        <w:rPr>
          <w:kern w:val="22"/>
          <w:szCs w:val="22"/>
          <w:lang w:val="fr-CA"/>
        </w:rPr>
        <w:t>a valeur de référence att</w:t>
      </w:r>
      <w:r w:rsidR="003C7431" w:rsidRPr="009700CF">
        <w:rPr>
          <w:kern w:val="22"/>
          <w:szCs w:val="22"/>
          <w:lang w:val="fr-CA"/>
        </w:rPr>
        <w:t>e</w:t>
      </w:r>
      <w:r w:rsidR="00DA5B55" w:rsidRPr="009700CF">
        <w:rPr>
          <w:kern w:val="22"/>
          <w:szCs w:val="22"/>
          <w:lang w:val="fr-CA"/>
        </w:rPr>
        <w:t>int 24 p. cent pour le nomb</w:t>
      </w:r>
      <w:r w:rsidR="003C7431" w:rsidRPr="009700CF">
        <w:rPr>
          <w:kern w:val="22"/>
          <w:szCs w:val="22"/>
          <w:lang w:val="fr-CA"/>
        </w:rPr>
        <w:t>r</w:t>
      </w:r>
      <w:r w:rsidR="00DA5B55" w:rsidRPr="009700CF">
        <w:rPr>
          <w:kern w:val="22"/>
          <w:szCs w:val="22"/>
          <w:lang w:val="fr-CA"/>
        </w:rPr>
        <w:t>e de visites et 28 p. cent dans le nombre de visiteurs uniques. De plus, le nombre de renvois des réseaux sociaux</w:t>
      </w:r>
      <w:r w:rsidR="003C7431" w:rsidRPr="009700CF">
        <w:rPr>
          <w:kern w:val="22"/>
          <w:szCs w:val="22"/>
          <w:lang w:val="fr-CA"/>
        </w:rPr>
        <w:t xml:space="preserve"> au centre d</w:t>
      </w:r>
      <w:r w:rsidR="00BE752D">
        <w:rPr>
          <w:kern w:val="22"/>
          <w:szCs w:val="22"/>
          <w:lang w:val="fr-CA"/>
        </w:rPr>
        <w:t>’</w:t>
      </w:r>
      <w:r w:rsidR="003C7431" w:rsidRPr="009700CF">
        <w:rPr>
          <w:kern w:val="22"/>
          <w:szCs w:val="22"/>
          <w:lang w:val="fr-CA"/>
        </w:rPr>
        <w:t>échange sur la prévention des risques biotechnologiques a augmenté de 160 p. cent par rapport à la valeur de référence</w:t>
      </w:r>
      <w:r w:rsidR="00397EF9">
        <w:rPr>
          <w:kern w:val="22"/>
          <w:szCs w:val="22"/>
          <w:lang w:val="fr-CA"/>
        </w:rPr>
        <w:t>, surtout grâce à</w:t>
      </w:r>
      <w:r w:rsidR="003C7431" w:rsidRPr="009700CF">
        <w:rPr>
          <w:kern w:val="22"/>
          <w:szCs w:val="22"/>
          <w:lang w:val="fr-CA"/>
        </w:rPr>
        <w:t xml:space="preserve"> Facebook</w:t>
      </w:r>
      <w:r w:rsidR="00A42D33" w:rsidRPr="009700CF">
        <w:rPr>
          <w:snapToGrid w:val="0"/>
          <w:kern w:val="22"/>
          <w:szCs w:val="22"/>
          <w:lang w:val="fr-CA"/>
        </w:rPr>
        <w:t>.</w:t>
      </w:r>
    </w:p>
    <w:p w14:paraId="53AD188E" w14:textId="380C9A87" w:rsidR="00A42D33" w:rsidRPr="009700CF" w:rsidRDefault="003C7431" w:rsidP="00C4544F">
      <w:pPr>
        <w:pStyle w:val="ListParagraph"/>
        <w:numPr>
          <w:ilvl w:val="0"/>
          <w:numId w:val="19"/>
        </w:numPr>
        <w:suppressLineNumbers/>
        <w:tabs>
          <w:tab w:val="clear" w:pos="644"/>
          <w:tab w:val="num" w:pos="720"/>
        </w:tabs>
        <w:suppressAutoHyphens/>
        <w:spacing w:before="120" w:after="120"/>
        <w:ind w:left="0"/>
        <w:contextualSpacing w:val="0"/>
        <w:rPr>
          <w:kern w:val="22"/>
          <w:lang w:val="fr-CA"/>
        </w:rPr>
      </w:pPr>
      <w:r w:rsidRPr="009700CF">
        <w:rPr>
          <w:snapToGrid w:val="0"/>
          <w:kern w:val="22"/>
          <w:szCs w:val="22"/>
          <w:lang w:val="fr-CA"/>
        </w:rPr>
        <w:t>Le nombre de décisions</w:t>
      </w:r>
      <w:r w:rsidR="00504574" w:rsidRPr="009700CF">
        <w:rPr>
          <w:rStyle w:val="FootnoteReference"/>
          <w:iCs/>
          <w:snapToGrid w:val="0"/>
          <w:kern w:val="22"/>
          <w:szCs w:val="22"/>
          <w:lang w:val="fr-CA"/>
        </w:rPr>
        <w:footnoteReference w:id="9"/>
      </w:r>
      <w:r w:rsidR="00504574" w:rsidRPr="009700CF">
        <w:rPr>
          <w:rFonts w:eastAsia="Calibri"/>
          <w:iCs/>
          <w:snapToGrid w:val="0"/>
          <w:kern w:val="22"/>
          <w:szCs w:val="22"/>
          <w:lang w:val="fr-CA"/>
        </w:rPr>
        <w:t xml:space="preserve"> </w:t>
      </w:r>
      <w:r w:rsidRPr="009700CF">
        <w:rPr>
          <w:iCs/>
          <w:snapToGrid w:val="0"/>
          <w:kern w:val="22"/>
          <w:szCs w:val="22"/>
          <w:lang w:val="fr-CA"/>
        </w:rPr>
        <w:t>publié au centre d</w:t>
      </w:r>
      <w:r w:rsidR="00BE752D">
        <w:rPr>
          <w:iCs/>
          <w:snapToGrid w:val="0"/>
          <w:kern w:val="22"/>
          <w:szCs w:val="22"/>
          <w:lang w:val="fr-CA"/>
        </w:rPr>
        <w:t>’</w:t>
      </w:r>
      <w:r w:rsidRPr="009700CF">
        <w:rPr>
          <w:iCs/>
          <w:snapToGrid w:val="0"/>
          <w:kern w:val="22"/>
          <w:szCs w:val="22"/>
          <w:lang w:val="fr-CA"/>
        </w:rPr>
        <w:t xml:space="preserve">échange sur la prévention des risques biotechnologiques a augmenté de 177 p. cent par rapport à la valeur de référence. </w:t>
      </w:r>
      <w:r w:rsidR="00007C9F" w:rsidRPr="009700CF">
        <w:rPr>
          <w:iCs/>
          <w:snapToGrid w:val="0"/>
          <w:kern w:val="22"/>
          <w:szCs w:val="22"/>
          <w:lang w:val="fr-CA"/>
        </w:rPr>
        <w:t xml:space="preserve">Le </w:t>
      </w:r>
      <w:r w:rsidR="006A12FB">
        <w:rPr>
          <w:iCs/>
          <w:snapToGrid w:val="0"/>
          <w:kern w:val="22"/>
          <w:szCs w:val="22"/>
          <w:lang w:val="fr-CA"/>
        </w:rPr>
        <w:t>nombre de décisions par rapport</w:t>
      </w:r>
      <w:r w:rsidR="00007C9F" w:rsidRPr="009700CF">
        <w:rPr>
          <w:iCs/>
          <w:snapToGrid w:val="0"/>
          <w:kern w:val="22"/>
          <w:szCs w:val="22"/>
          <w:lang w:val="fr-CA"/>
        </w:rPr>
        <w:t xml:space="preserve"> au</w:t>
      </w:r>
      <w:r w:rsidR="009F4E09">
        <w:rPr>
          <w:iCs/>
          <w:snapToGrid w:val="0"/>
          <w:kern w:val="22"/>
          <w:szCs w:val="22"/>
          <w:lang w:val="fr-CA"/>
        </w:rPr>
        <w:t xml:space="preserve"> nombre de</w:t>
      </w:r>
      <w:r w:rsidR="00007C9F" w:rsidRPr="009700CF">
        <w:rPr>
          <w:iCs/>
          <w:snapToGrid w:val="0"/>
          <w:kern w:val="22"/>
          <w:szCs w:val="22"/>
          <w:lang w:val="fr-CA"/>
        </w:rPr>
        <w:t xml:space="preserve"> rapports d’évaluation des risques est </w:t>
      </w:r>
      <w:r w:rsidR="006A12FB">
        <w:rPr>
          <w:iCs/>
          <w:snapToGrid w:val="0"/>
          <w:kern w:val="22"/>
          <w:szCs w:val="22"/>
          <w:lang w:val="fr-CA"/>
        </w:rPr>
        <w:t xml:space="preserve">demeuré très élevé (96 p. cent), </w:t>
      </w:r>
      <w:r w:rsidR="00007C9F" w:rsidRPr="009700CF">
        <w:rPr>
          <w:iCs/>
          <w:snapToGrid w:val="0"/>
          <w:kern w:val="22"/>
          <w:szCs w:val="22"/>
          <w:lang w:val="fr-CA"/>
        </w:rPr>
        <w:t>en ce qui concerne le caractère complet de l’information, une augmentation de 17 p. cent par rapport à la valeur de référence</w:t>
      </w:r>
      <w:r w:rsidR="00504574" w:rsidRPr="009700CF">
        <w:rPr>
          <w:snapToGrid w:val="0"/>
          <w:kern w:val="22"/>
          <w:szCs w:val="22"/>
          <w:lang w:val="fr-CA"/>
        </w:rPr>
        <w:t>.</w:t>
      </w:r>
    </w:p>
    <w:p w14:paraId="275AEA45" w14:textId="5CB23961" w:rsidR="00840A32" w:rsidRPr="009700CF" w:rsidRDefault="00007C9F" w:rsidP="00C4544F">
      <w:pPr>
        <w:pStyle w:val="ListParagraph"/>
        <w:numPr>
          <w:ilvl w:val="0"/>
          <w:numId w:val="19"/>
        </w:numPr>
        <w:suppressLineNumbers/>
        <w:tabs>
          <w:tab w:val="clear" w:pos="644"/>
          <w:tab w:val="num" w:pos="720"/>
        </w:tabs>
        <w:suppressAutoHyphens/>
        <w:spacing w:before="120" w:after="120"/>
        <w:ind w:left="0"/>
        <w:contextualSpacing w:val="0"/>
        <w:rPr>
          <w:kern w:val="22"/>
          <w:lang w:val="fr-CA"/>
        </w:rPr>
      </w:pPr>
      <w:r w:rsidRPr="009700CF">
        <w:rPr>
          <w:iCs/>
          <w:snapToGrid w:val="0"/>
          <w:kern w:val="22"/>
          <w:szCs w:val="22"/>
          <w:lang w:val="fr-CA"/>
        </w:rPr>
        <w:t>Le nombre de pays ayant publié des lois ou des réglementations en lien avec la prévention des risques biotechnologiques au centre d</w:t>
      </w:r>
      <w:r w:rsidR="00BE752D">
        <w:rPr>
          <w:iCs/>
          <w:snapToGrid w:val="0"/>
          <w:kern w:val="22"/>
          <w:szCs w:val="22"/>
          <w:lang w:val="fr-CA"/>
        </w:rPr>
        <w:t>’</w:t>
      </w:r>
      <w:r w:rsidRPr="009700CF">
        <w:rPr>
          <w:iCs/>
          <w:snapToGrid w:val="0"/>
          <w:kern w:val="22"/>
          <w:szCs w:val="22"/>
          <w:lang w:val="fr-CA"/>
        </w:rPr>
        <w:t>échange sur la prévention des risques biotechnologiques a augmenté de 4 p. cent</w:t>
      </w:r>
      <w:r w:rsidR="009F6765" w:rsidRPr="009700CF">
        <w:rPr>
          <w:iCs/>
          <w:snapToGrid w:val="0"/>
          <w:kern w:val="22"/>
          <w:szCs w:val="22"/>
          <w:lang w:val="fr-CA"/>
        </w:rPr>
        <w:t xml:space="preserve"> (163 pays ont communiqué leurs lois et réglementations sur la prévention des risques biotechnologiques). Le nombre de pays comptant des correspondants nationaux enregistrés pour le Protocole et le centre d</w:t>
      </w:r>
      <w:r w:rsidR="00BE752D">
        <w:rPr>
          <w:iCs/>
          <w:snapToGrid w:val="0"/>
          <w:kern w:val="22"/>
          <w:szCs w:val="22"/>
          <w:lang w:val="fr-CA"/>
        </w:rPr>
        <w:t>’</w:t>
      </w:r>
      <w:r w:rsidR="009F6765" w:rsidRPr="009700CF">
        <w:rPr>
          <w:iCs/>
          <w:snapToGrid w:val="0"/>
          <w:kern w:val="22"/>
          <w:szCs w:val="22"/>
          <w:lang w:val="fr-CA"/>
        </w:rPr>
        <w:t xml:space="preserve">échange sur la prévention des risques biotechnologiques a augmenté à presque 100 p. cent. Il y a eu une augmentation importante du nombre de pays ayant enregistré leur point de contact pour la réception de notifications au titre de l’article 17 (+31 p. cent). L’indicateur 3.1.5 </w:t>
      </w:r>
      <w:r w:rsidR="009F4E09">
        <w:rPr>
          <w:iCs/>
          <w:snapToGrid w:val="0"/>
          <w:kern w:val="22"/>
          <w:szCs w:val="22"/>
          <w:lang w:val="fr-CA"/>
        </w:rPr>
        <w:t>fournit</w:t>
      </w:r>
      <w:r w:rsidR="009F6765" w:rsidRPr="009700CF">
        <w:rPr>
          <w:iCs/>
          <w:snapToGrid w:val="0"/>
          <w:kern w:val="22"/>
          <w:szCs w:val="22"/>
          <w:lang w:val="fr-CA"/>
        </w:rPr>
        <w:t xml:space="preserve"> </w:t>
      </w:r>
      <w:r w:rsidR="006A12FB">
        <w:rPr>
          <w:iCs/>
          <w:snapToGrid w:val="0"/>
          <w:kern w:val="22"/>
          <w:szCs w:val="22"/>
          <w:lang w:val="fr-CA"/>
        </w:rPr>
        <w:t>davantage</w:t>
      </w:r>
      <w:r w:rsidR="009F6765" w:rsidRPr="009700CF">
        <w:rPr>
          <w:iCs/>
          <w:snapToGrid w:val="0"/>
          <w:kern w:val="22"/>
          <w:szCs w:val="22"/>
          <w:lang w:val="fr-CA"/>
        </w:rPr>
        <w:t xml:space="preserve"> de renseignements sur l’</w:t>
      </w:r>
      <w:r w:rsidR="004B32F4" w:rsidRPr="009700CF">
        <w:rPr>
          <w:iCs/>
          <w:snapToGrid w:val="0"/>
          <w:kern w:val="22"/>
          <w:szCs w:val="22"/>
          <w:lang w:val="fr-CA"/>
        </w:rPr>
        <w:t>expérience tirée de l’examen du caractère complet de l’information obligatoire au centre d</w:t>
      </w:r>
      <w:r w:rsidR="00BE752D">
        <w:rPr>
          <w:iCs/>
          <w:snapToGrid w:val="0"/>
          <w:kern w:val="22"/>
          <w:szCs w:val="22"/>
          <w:lang w:val="fr-CA"/>
        </w:rPr>
        <w:t>’</w:t>
      </w:r>
      <w:r w:rsidR="004B32F4" w:rsidRPr="009700CF">
        <w:rPr>
          <w:iCs/>
          <w:snapToGrid w:val="0"/>
          <w:kern w:val="22"/>
          <w:szCs w:val="22"/>
          <w:lang w:val="fr-CA"/>
        </w:rPr>
        <w:t>échange sur la prévention des risques biotechnologiques.</w:t>
      </w:r>
    </w:p>
    <w:p w14:paraId="1B93AA91" w14:textId="79ABDB44" w:rsidR="00E116F5" w:rsidRPr="009700CF" w:rsidRDefault="004B32F4" w:rsidP="00C4544F">
      <w:pPr>
        <w:pStyle w:val="ListParagraph"/>
        <w:numPr>
          <w:ilvl w:val="0"/>
          <w:numId w:val="19"/>
        </w:numPr>
        <w:suppressLineNumbers/>
        <w:tabs>
          <w:tab w:val="clear" w:pos="644"/>
          <w:tab w:val="num" w:pos="720"/>
        </w:tabs>
        <w:suppressAutoHyphens/>
        <w:ind w:left="0"/>
        <w:contextualSpacing w:val="0"/>
        <w:rPr>
          <w:kern w:val="22"/>
          <w:lang w:val="fr-CA"/>
        </w:rPr>
      </w:pPr>
      <w:r w:rsidRPr="009700CF">
        <w:rPr>
          <w:iCs/>
          <w:snapToGrid w:val="0"/>
          <w:kern w:val="22"/>
          <w:szCs w:val="22"/>
          <w:lang w:val="fr-CA"/>
        </w:rPr>
        <w:t>Le centre d</w:t>
      </w:r>
      <w:r w:rsidR="00BE752D">
        <w:rPr>
          <w:iCs/>
          <w:snapToGrid w:val="0"/>
          <w:kern w:val="22"/>
          <w:szCs w:val="22"/>
          <w:lang w:val="fr-CA"/>
        </w:rPr>
        <w:t>’</w:t>
      </w:r>
      <w:r w:rsidRPr="009700CF">
        <w:rPr>
          <w:iCs/>
          <w:snapToGrid w:val="0"/>
          <w:kern w:val="22"/>
          <w:szCs w:val="22"/>
          <w:lang w:val="fr-CA"/>
        </w:rPr>
        <w:t>échange sur la prévention des risques biotechnologiques est devenu un out</w:t>
      </w:r>
      <w:r w:rsidR="006A12FB">
        <w:rPr>
          <w:iCs/>
          <w:snapToGrid w:val="0"/>
          <w:kern w:val="22"/>
          <w:szCs w:val="22"/>
          <w:lang w:val="fr-CA"/>
        </w:rPr>
        <w:t>il très</w:t>
      </w:r>
      <w:r w:rsidRPr="009700CF">
        <w:rPr>
          <w:iCs/>
          <w:snapToGrid w:val="0"/>
          <w:kern w:val="22"/>
          <w:szCs w:val="22"/>
          <w:lang w:val="fr-CA"/>
        </w:rPr>
        <w:t xml:space="preserve"> utilisé pour les discus</w:t>
      </w:r>
      <w:r w:rsidR="006A12FB">
        <w:rPr>
          <w:iCs/>
          <w:snapToGrid w:val="0"/>
          <w:kern w:val="22"/>
          <w:szCs w:val="22"/>
          <w:lang w:val="fr-CA"/>
        </w:rPr>
        <w:t>sions en ligne, comme le révèle</w:t>
      </w:r>
      <w:r w:rsidRPr="009700CF">
        <w:rPr>
          <w:iCs/>
          <w:snapToGrid w:val="0"/>
          <w:kern w:val="22"/>
          <w:szCs w:val="22"/>
          <w:lang w:val="fr-CA"/>
        </w:rPr>
        <w:t xml:space="preserve"> une augmentation du nombre de forums en ligne créés au centre d</w:t>
      </w:r>
      <w:r w:rsidR="00BE752D">
        <w:rPr>
          <w:iCs/>
          <w:snapToGrid w:val="0"/>
          <w:kern w:val="22"/>
          <w:szCs w:val="22"/>
          <w:lang w:val="fr-CA"/>
        </w:rPr>
        <w:t>’</w:t>
      </w:r>
      <w:r w:rsidRPr="009700CF">
        <w:rPr>
          <w:iCs/>
          <w:snapToGrid w:val="0"/>
          <w:kern w:val="22"/>
          <w:szCs w:val="22"/>
          <w:lang w:val="fr-CA"/>
        </w:rPr>
        <w:t>échange sur la prévention des risques biotechnologiques (</w:t>
      </w:r>
      <w:r w:rsidR="006A12FB">
        <w:rPr>
          <w:iCs/>
          <w:snapToGrid w:val="0"/>
          <w:kern w:val="22"/>
          <w:szCs w:val="22"/>
          <w:lang w:val="fr-CA"/>
        </w:rPr>
        <w:t>portant sur</w:t>
      </w:r>
      <w:r w:rsidRPr="009700CF">
        <w:rPr>
          <w:iCs/>
          <w:snapToGrid w:val="0"/>
          <w:kern w:val="22"/>
          <w:szCs w:val="22"/>
          <w:lang w:val="fr-CA"/>
        </w:rPr>
        <w:t xml:space="preserve"> le plan d’application pour l’après-2020</w:t>
      </w:r>
      <w:r w:rsidR="00BE752D">
        <w:rPr>
          <w:iCs/>
          <w:snapToGrid w:val="0"/>
          <w:kern w:val="22"/>
          <w:szCs w:val="22"/>
          <w:lang w:val="fr-CA"/>
        </w:rPr>
        <w:t> </w:t>
      </w:r>
      <w:r w:rsidRPr="009700CF">
        <w:rPr>
          <w:iCs/>
          <w:snapToGrid w:val="0"/>
          <w:kern w:val="22"/>
          <w:szCs w:val="22"/>
          <w:lang w:val="fr-CA"/>
        </w:rPr>
        <w:t>; la participation, l’éducation et la sensibilisation du public</w:t>
      </w:r>
      <w:r w:rsidR="00BE752D">
        <w:rPr>
          <w:iCs/>
          <w:snapToGrid w:val="0"/>
          <w:kern w:val="22"/>
          <w:szCs w:val="22"/>
          <w:lang w:val="fr-CA"/>
        </w:rPr>
        <w:t> </w:t>
      </w:r>
      <w:r w:rsidR="00B971E5" w:rsidRPr="009700CF">
        <w:rPr>
          <w:iCs/>
          <w:snapToGrid w:val="0"/>
          <w:kern w:val="22"/>
          <w:szCs w:val="22"/>
          <w:lang w:val="fr-CA"/>
        </w:rPr>
        <w:t>; et la biolo</w:t>
      </w:r>
      <w:r w:rsidRPr="009700CF">
        <w:rPr>
          <w:iCs/>
          <w:snapToGrid w:val="0"/>
          <w:kern w:val="22"/>
          <w:szCs w:val="22"/>
          <w:lang w:val="fr-CA"/>
        </w:rPr>
        <w:t xml:space="preserve">gie synthétique), </w:t>
      </w:r>
      <w:r w:rsidR="00D70C1C">
        <w:rPr>
          <w:iCs/>
          <w:snapToGrid w:val="0"/>
          <w:kern w:val="22"/>
          <w:szCs w:val="22"/>
          <w:lang w:val="fr-CA"/>
        </w:rPr>
        <w:t>du</w:t>
      </w:r>
      <w:r w:rsidRPr="009700CF">
        <w:rPr>
          <w:iCs/>
          <w:snapToGrid w:val="0"/>
          <w:kern w:val="22"/>
          <w:szCs w:val="22"/>
          <w:lang w:val="fr-CA"/>
        </w:rPr>
        <w:t xml:space="preserve"> nombre de Parties ayant des participants enregistrés aux forums en ligne et </w:t>
      </w:r>
      <w:r w:rsidR="00D70C1C">
        <w:rPr>
          <w:iCs/>
          <w:snapToGrid w:val="0"/>
          <w:kern w:val="22"/>
          <w:szCs w:val="22"/>
          <w:lang w:val="fr-CA"/>
        </w:rPr>
        <w:t>du</w:t>
      </w:r>
      <w:r w:rsidRPr="009700CF">
        <w:rPr>
          <w:iCs/>
          <w:snapToGrid w:val="0"/>
          <w:kern w:val="22"/>
          <w:szCs w:val="22"/>
          <w:lang w:val="fr-CA"/>
        </w:rPr>
        <w:t xml:space="preserve"> nombre de participants aux forums en ligne</w:t>
      </w:r>
      <w:r w:rsidR="000810F0" w:rsidRPr="009700CF">
        <w:rPr>
          <w:iCs/>
          <w:snapToGrid w:val="0"/>
          <w:kern w:val="22"/>
          <w:szCs w:val="22"/>
          <w:lang w:val="fr-CA"/>
        </w:rPr>
        <w:t>.</w:t>
      </w:r>
    </w:p>
    <w:p w14:paraId="422DF9F1" w14:textId="4ECAE7BA" w:rsidR="00CF23AF" w:rsidRPr="009700CF" w:rsidRDefault="00B971E5" w:rsidP="00C521ED">
      <w:pPr>
        <w:keepNext/>
        <w:numPr>
          <w:ilvl w:val="0"/>
          <w:numId w:val="39"/>
        </w:numPr>
        <w:suppressLineNumbers/>
        <w:tabs>
          <w:tab w:val="clear" w:pos="2070"/>
          <w:tab w:val="left" w:pos="426"/>
        </w:tabs>
        <w:suppressAutoHyphens/>
        <w:spacing w:before="120" w:after="120"/>
        <w:ind w:left="0" w:firstLine="0"/>
        <w:jc w:val="center"/>
        <w:outlineLvl w:val="1"/>
        <w:rPr>
          <w:iCs/>
          <w:snapToGrid w:val="0"/>
          <w:kern w:val="22"/>
          <w:szCs w:val="22"/>
          <w:lang w:val="fr-CA"/>
        </w:rPr>
      </w:pPr>
      <w:r w:rsidRPr="009700CF">
        <w:rPr>
          <w:b/>
          <w:iCs/>
          <w:snapToGrid w:val="0"/>
          <w:kern w:val="22"/>
          <w:szCs w:val="22"/>
          <w:lang w:val="fr-CA"/>
        </w:rPr>
        <w:t>Conformité et examen (objectifs opérationnels 3.1 et 3.2</w:t>
      </w:r>
      <w:r w:rsidR="00CF23AF" w:rsidRPr="009700CF">
        <w:rPr>
          <w:b/>
          <w:iCs/>
          <w:snapToGrid w:val="0"/>
          <w:kern w:val="22"/>
          <w:szCs w:val="22"/>
          <w:lang w:val="fr-CA"/>
        </w:rPr>
        <w:t>)</w:t>
      </w:r>
    </w:p>
    <w:p w14:paraId="7CCBF7E0" w14:textId="160472ED" w:rsidR="00840A32" w:rsidRPr="009700CF" w:rsidRDefault="00B971E5" w:rsidP="00C4544F">
      <w:pPr>
        <w:pStyle w:val="ListParagraph"/>
        <w:numPr>
          <w:ilvl w:val="0"/>
          <w:numId w:val="19"/>
        </w:numPr>
        <w:suppressLineNumbers/>
        <w:tabs>
          <w:tab w:val="clear" w:pos="644"/>
          <w:tab w:val="num" w:pos="720"/>
        </w:tabs>
        <w:suppressAutoHyphens/>
        <w:spacing w:before="120" w:after="120"/>
        <w:ind w:left="0"/>
        <w:contextualSpacing w:val="0"/>
        <w:rPr>
          <w:kern w:val="22"/>
          <w:lang w:val="fr-CA"/>
        </w:rPr>
      </w:pPr>
      <w:r w:rsidRPr="009700CF">
        <w:rPr>
          <w:snapToGrid w:val="0"/>
          <w:spacing w:val="-2"/>
          <w:kern w:val="22"/>
          <w:szCs w:val="22"/>
          <w:lang w:val="fr-CA"/>
        </w:rPr>
        <w:t xml:space="preserve">Des progrès ont été déclarés </w:t>
      </w:r>
      <w:r w:rsidR="00E95F4E" w:rsidRPr="009700CF">
        <w:rPr>
          <w:snapToGrid w:val="0"/>
          <w:spacing w:val="-2"/>
          <w:kern w:val="22"/>
          <w:szCs w:val="22"/>
          <w:lang w:val="fr-CA"/>
        </w:rPr>
        <w:t>pour la plupart des indicateurs en lien avec l’objectif 3.1, bien que le niveau de conformité générale demeure modeste pour plusieurs indicateurs clés. Un peu plus de la moitié des Parties (55 p. cent) ont déclaré avoir mis complètement en place des mesures pour appliquer le Protocole, une augmentation de 8 p. cent par rapport à la valeur de référence.</w:t>
      </w:r>
      <w:r w:rsidR="00D70C1C">
        <w:rPr>
          <w:snapToGrid w:val="0"/>
          <w:spacing w:val="-2"/>
          <w:kern w:val="22"/>
          <w:szCs w:val="22"/>
          <w:lang w:val="fr-CA"/>
        </w:rPr>
        <w:t xml:space="preserve"> En examinant les régions, une </w:t>
      </w:r>
      <w:r w:rsidR="00E95F4E" w:rsidRPr="009700CF">
        <w:rPr>
          <w:snapToGrid w:val="0"/>
          <w:spacing w:val="-2"/>
          <w:kern w:val="22"/>
          <w:szCs w:val="22"/>
          <w:lang w:val="fr-CA"/>
        </w:rPr>
        <w:t>minorité de Parties des régions du GALC et de l’Afrique a déclaré avoir complètement mis en place les mesures nécessaires à l’application du Protocole</w:t>
      </w:r>
      <w:r w:rsidR="00973491" w:rsidRPr="009700CF">
        <w:rPr>
          <w:iCs/>
          <w:snapToGrid w:val="0"/>
          <w:kern w:val="22"/>
          <w:szCs w:val="22"/>
          <w:lang w:val="fr-CA"/>
        </w:rPr>
        <w:t xml:space="preserve">, </w:t>
      </w:r>
      <w:r w:rsidR="00D70C1C">
        <w:rPr>
          <w:iCs/>
          <w:snapToGrid w:val="0"/>
          <w:kern w:val="22"/>
          <w:szCs w:val="22"/>
          <w:lang w:val="fr-CA"/>
        </w:rPr>
        <w:t>bien que</w:t>
      </w:r>
      <w:r w:rsidR="00973491" w:rsidRPr="009700CF">
        <w:rPr>
          <w:iCs/>
          <w:snapToGrid w:val="0"/>
          <w:kern w:val="22"/>
          <w:szCs w:val="22"/>
          <w:lang w:val="fr-CA"/>
        </w:rPr>
        <w:t xml:space="preserve"> </w:t>
      </w:r>
      <w:r w:rsidR="00D70C1C">
        <w:rPr>
          <w:iCs/>
          <w:snapToGrid w:val="0"/>
          <w:kern w:val="22"/>
          <w:szCs w:val="22"/>
          <w:lang w:val="fr-CA"/>
        </w:rPr>
        <w:t>des progrès aient été accomplis par</w:t>
      </w:r>
      <w:r w:rsidR="00973491" w:rsidRPr="009700CF">
        <w:rPr>
          <w:iCs/>
          <w:snapToGrid w:val="0"/>
          <w:kern w:val="22"/>
          <w:szCs w:val="22"/>
          <w:lang w:val="fr-CA"/>
        </w:rPr>
        <w:t xml:space="preserve"> rapport à la valeur de référence, surtout dans la région de l’Afrique (+10 p. cent). De plus, une diminution par rapport à la valeur de référence a été déclarée concernant le nombre de Parties ayant mis en place des mesures temporaires ou provisoires, ou aucune mesure. Plusieurs Parties ont indiqué que ces instruments légaux sont en voie d’élaboration ou en attente d’adoption.</w:t>
      </w:r>
    </w:p>
    <w:p w14:paraId="58B792D7" w14:textId="6E07E59E" w:rsidR="00840A32" w:rsidRPr="009700CF" w:rsidRDefault="00973491" w:rsidP="00C4544F">
      <w:pPr>
        <w:pStyle w:val="ListParagraph"/>
        <w:numPr>
          <w:ilvl w:val="0"/>
          <w:numId w:val="19"/>
        </w:numPr>
        <w:suppressLineNumbers/>
        <w:tabs>
          <w:tab w:val="clear" w:pos="644"/>
          <w:tab w:val="num" w:pos="720"/>
        </w:tabs>
        <w:suppressAutoHyphens/>
        <w:spacing w:before="120" w:after="120"/>
        <w:ind w:left="0"/>
        <w:contextualSpacing w:val="0"/>
        <w:rPr>
          <w:kern w:val="22"/>
          <w:lang w:val="fr-CA"/>
        </w:rPr>
      </w:pPr>
      <w:r w:rsidRPr="009700CF">
        <w:rPr>
          <w:snapToGrid w:val="0"/>
          <w:spacing w:val="-2"/>
          <w:kern w:val="22"/>
          <w:szCs w:val="22"/>
          <w:lang w:val="fr-CA"/>
        </w:rPr>
        <w:lastRenderedPageBreak/>
        <w:t xml:space="preserve">Le niveau de conformité </w:t>
      </w:r>
      <w:r w:rsidR="00395DCF">
        <w:rPr>
          <w:snapToGrid w:val="0"/>
          <w:spacing w:val="-2"/>
          <w:kern w:val="22"/>
          <w:szCs w:val="22"/>
          <w:lang w:val="fr-CA"/>
        </w:rPr>
        <w:t>à</w:t>
      </w:r>
      <w:r w:rsidRPr="009700CF">
        <w:rPr>
          <w:snapToGrid w:val="0"/>
          <w:spacing w:val="-2"/>
          <w:kern w:val="22"/>
          <w:szCs w:val="22"/>
          <w:lang w:val="fr-CA"/>
        </w:rPr>
        <w:t xml:space="preserve"> la désignation de correspondants nationaux demeure </w:t>
      </w:r>
      <w:r w:rsidR="00217259" w:rsidRPr="009700CF">
        <w:rPr>
          <w:snapToGrid w:val="0"/>
          <w:spacing w:val="-2"/>
          <w:kern w:val="22"/>
          <w:szCs w:val="22"/>
          <w:lang w:val="fr-CA"/>
        </w:rPr>
        <w:t>élevé</w:t>
      </w:r>
      <w:r w:rsidRPr="009700CF">
        <w:rPr>
          <w:snapToGrid w:val="0"/>
          <w:spacing w:val="-2"/>
          <w:kern w:val="22"/>
          <w:szCs w:val="22"/>
          <w:lang w:val="fr-CA"/>
        </w:rPr>
        <w:t xml:space="preserve"> et d’</w:t>
      </w:r>
      <w:r w:rsidR="00217259" w:rsidRPr="009700CF">
        <w:rPr>
          <w:snapToGrid w:val="0"/>
          <w:spacing w:val="-2"/>
          <w:kern w:val="22"/>
          <w:szCs w:val="22"/>
          <w:lang w:val="fr-CA"/>
        </w:rPr>
        <w:t>impor</w:t>
      </w:r>
      <w:r w:rsidRPr="009700CF">
        <w:rPr>
          <w:snapToGrid w:val="0"/>
          <w:spacing w:val="-2"/>
          <w:kern w:val="22"/>
          <w:szCs w:val="22"/>
          <w:lang w:val="fr-CA"/>
        </w:rPr>
        <w:t xml:space="preserve">tantes avancées ont été déclarées concernant </w:t>
      </w:r>
      <w:r w:rsidR="00217259" w:rsidRPr="009700CF">
        <w:rPr>
          <w:snapToGrid w:val="0"/>
          <w:spacing w:val="-2"/>
          <w:kern w:val="22"/>
          <w:szCs w:val="22"/>
          <w:lang w:val="fr-CA"/>
        </w:rPr>
        <w:t>la désignation de correspondants nationaux p</w:t>
      </w:r>
      <w:r w:rsidR="00F10A03" w:rsidRPr="009700CF">
        <w:rPr>
          <w:snapToGrid w:val="0"/>
          <w:spacing w:val="-2"/>
          <w:kern w:val="22"/>
          <w:szCs w:val="22"/>
          <w:lang w:val="fr-CA"/>
        </w:rPr>
        <w:t>our la réception des notificati</w:t>
      </w:r>
      <w:r w:rsidR="00217259" w:rsidRPr="009700CF">
        <w:rPr>
          <w:snapToGrid w:val="0"/>
          <w:spacing w:val="-2"/>
          <w:kern w:val="22"/>
          <w:szCs w:val="22"/>
          <w:lang w:val="fr-CA"/>
        </w:rPr>
        <w:t>ons au titre de l’article 17. Le respect de l’obligati</w:t>
      </w:r>
      <w:r w:rsidR="00F10A03" w:rsidRPr="009700CF">
        <w:rPr>
          <w:snapToGrid w:val="0"/>
          <w:spacing w:val="-2"/>
          <w:kern w:val="22"/>
          <w:szCs w:val="22"/>
          <w:lang w:val="fr-CA"/>
        </w:rPr>
        <w:t>on de rendre certaines informati</w:t>
      </w:r>
      <w:r w:rsidR="00217259" w:rsidRPr="009700CF">
        <w:rPr>
          <w:snapToGrid w:val="0"/>
          <w:spacing w:val="-2"/>
          <w:kern w:val="22"/>
          <w:szCs w:val="22"/>
          <w:lang w:val="fr-CA"/>
        </w:rPr>
        <w:t>ons disponibles aupr</w:t>
      </w:r>
      <w:r w:rsidR="00F10A03" w:rsidRPr="009700CF">
        <w:rPr>
          <w:snapToGrid w:val="0"/>
          <w:spacing w:val="-2"/>
          <w:kern w:val="22"/>
          <w:szCs w:val="22"/>
          <w:lang w:val="fr-CA"/>
        </w:rPr>
        <w:t>è</w:t>
      </w:r>
      <w:r w:rsidR="00217259" w:rsidRPr="009700CF">
        <w:rPr>
          <w:snapToGrid w:val="0"/>
          <w:spacing w:val="-2"/>
          <w:kern w:val="22"/>
          <w:szCs w:val="22"/>
          <w:lang w:val="fr-CA"/>
        </w:rPr>
        <w:t>s du centre d</w:t>
      </w:r>
      <w:r w:rsidR="00BE752D">
        <w:rPr>
          <w:snapToGrid w:val="0"/>
          <w:spacing w:val="-2"/>
          <w:kern w:val="22"/>
          <w:szCs w:val="22"/>
          <w:lang w:val="fr-CA"/>
        </w:rPr>
        <w:t>’</w:t>
      </w:r>
      <w:r w:rsidR="00217259" w:rsidRPr="009700CF">
        <w:rPr>
          <w:snapToGrid w:val="0"/>
          <w:spacing w:val="-2"/>
          <w:kern w:val="22"/>
          <w:szCs w:val="22"/>
          <w:lang w:val="fr-CA"/>
        </w:rPr>
        <w:t xml:space="preserve">échange sur la prévention des risques biotechnologiques a connu des améliorations, notamment en ce qui </w:t>
      </w:r>
      <w:r w:rsidR="00395DCF">
        <w:rPr>
          <w:snapToGrid w:val="0"/>
          <w:spacing w:val="-2"/>
          <w:kern w:val="22"/>
          <w:szCs w:val="22"/>
          <w:lang w:val="fr-CA"/>
        </w:rPr>
        <w:t xml:space="preserve">a trait : aux </w:t>
      </w:r>
      <w:r w:rsidR="00217259" w:rsidRPr="009700CF">
        <w:rPr>
          <w:snapToGrid w:val="0"/>
          <w:spacing w:val="-2"/>
          <w:kern w:val="22"/>
          <w:szCs w:val="22"/>
          <w:lang w:val="fr-CA"/>
        </w:rPr>
        <w:t>lois</w:t>
      </w:r>
      <w:r w:rsidR="00BE752D">
        <w:rPr>
          <w:snapToGrid w:val="0"/>
          <w:spacing w:val="-2"/>
          <w:kern w:val="22"/>
          <w:szCs w:val="22"/>
          <w:lang w:val="fr-CA"/>
        </w:rPr>
        <w:t> </w:t>
      </w:r>
      <w:r w:rsidR="00217259" w:rsidRPr="009700CF">
        <w:rPr>
          <w:snapToGrid w:val="0"/>
          <w:spacing w:val="-2"/>
          <w:kern w:val="22"/>
          <w:szCs w:val="22"/>
          <w:lang w:val="fr-CA"/>
        </w:rPr>
        <w:t xml:space="preserve">; </w:t>
      </w:r>
      <w:r w:rsidR="00395DCF">
        <w:rPr>
          <w:snapToGrid w:val="0"/>
          <w:spacing w:val="-2"/>
          <w:kern w:val="22"/>
          <w:szCs w:val="22"/>
          <w:lang w:val="fr-CA"/>
        </w:rPr>
        <w:t>aux</w:t>
      </w:r>
      <w:r w:rsidR="00217259" w:rsidRPr="009700CF">
        <w:rPr>
          <w:snapToGrid w:val="0"/>
          <w:spacing w:val="-2"/>
          <w:kern w:val="22"/>
          <w:szCs w:val="22"/>
          <w:lang w:val="fr-CA"/>
        </w:rPr>
        <w:t xml:space="preserve"> décisions</w:t>
      </w:r>
      <w:r w:rsidR="00BE752D">
        <w:rPr>
          <w:snapToGrid w:val="0"/>
          <w:spacing w:val="-2"/>
          <w:kern w:val="22"/>
          <w:szCs w:val="22"/>
          <w:lang w:val="fr-CA"/>
        </w:rPr>
        <w:t> </w:t>
      </w:r>
      <w:r w:rsidR="00217259" w:rsidRPr="009700CF">
        <w:rPr>
          <w:snapToGrid w:val="0"/>
          <w:spacing w:val="-2"/>
          <w:kern w:val="22"/>
          <w:szCs w:val="22"/>
          <w:lang w:val="fr-CA"/>
        </w:rPr>
        <w:t xml:space="preserve">; </w:t>
      </w:r>
      <w:r w:rsidR="00395DCF">
        <w:rPr>
          <w:snapToGrid w:val="0"/>
          <w:spacing w:val="-2"/>
          <w:kern w:val="22"/>
          <w:szCs w:val="22"/>
          <w:lang w:val="fr-CA"/>
        </w:rPr>
        <w:t>aux</w:t>
      </w:r>
      <w:r w:rsidR="00217259" w:rsidRPr="009700CF">
        <w:rPr>
          <w:snapToGrid w:val="0"/>
          <w:spacing w:val="-2"/>
          <w:kern w:val="22"/>
          <w:szCs w:val="22"/>
          <w:lang w:val="fr-CA"/>
        </w:rPr>
        <w:t xml:space="preserve"> arrangements bilatéraux, régi</w:t>
      </w:r>
      <w:r w:rsidR="00F10A03" w:rsidRPr="009700CF">
        <w:rPr>
          <w:snapToGrid w:val="0"/>
          <w:spacing w:val="-2"/>
          <w:kern w:val="22"/>
          <w:szCs w:val="22"/>
          <w:lang w:val="fr-CA"/>
        </w:rPr>
        <w:t>onaux et multilatéraux</w:t>
      </w:r>
      <w:r w:rsidR="00BE752D">
        <w:rPr>
          <w:snapToGrid w:val="0"/>
          <w:spacing w:val="-2"/>
          <w:kern w:val="22"/>
          <w:szCs w:val="22"/>
          <w:lang w:val="fr-CA"/>
        </w:rPr>
        <w:t> </w:t>
      </w:r>
      <w:r w:rsidR="00F10A03" w:rsidRPr="009700CF">
        <w:rPr>
          <w:snapToGrid w:val="0"/>
          <w:spacing w:val="-2"/>
          <w:kern w:val="22"/>
          <w:szCs w:val="22"/>
          <w:lang w:val="fr-CA"/>
        </w:rPr>
        <w:t xml:space="preserve">; et </w:t>
      </w:r>
      <w:r w:rsidR="00395DCF">
        <w:rPr>
          <w:snapToGrid w:val="0"/>
          <w:spacing w:val="-2"/>
          <w:kern w:val="22"/>
          <w:szCs w:val="22"/>
          <w:lang w:val="fr-CA"/>
        </w:rPr>
        <w:t>aux</w:t>
      </w:r>
      <w:r w:rsidR="00F10A03" w:rsidRPr="009700CF">
        <w:rPr>
          <w:snapToGrid w:val="0"/>
          <w:spacing w:val="-2"/>
          <w:kern w:val="22"/>
          <w:szCs w:val="22"/>
          <w:lang w:val="fr-CA"/>
        </w:rPr>
        <w:t xml:space="preserve"> s</w:t>
      </w:r>
      <w:r w:rsidR="00217259" w:rsidRPr="009700CF">
        <w:rPr>
          <w:snapToGrid w:val="0"/>
          <w:spacing w:val="-2"/>
          <w:kern w:val="22"/>
          <w:szCs w:val="22"/>
          <w:lang w:val="fr-CA"/>
        </w:rPr>
        <w:t>ommaires des évaluations des risques. Une diminution a été déclarée pour le pourcentage des Parties remettant de l’information concernant les cas de mouvements transfrontières illicites</w:t>
      </w:r>
      <w:r w:rsidR="00395DCF">
        <w:rPr>
          <w:snapToGrid w:val="0"/>
          <w:spacing w:val="-2"/>
          <w:kern w:val="22"/>
          <w:szCs w:val="22"/>
          <w:lang w:val="fr-CA"/>
        </w:rPr>
        <w:t xml:space="preserve"> au</w:t>
      </w:r>
      <w:r w:rsidR="00395DCF" w:rsidRPr="009700CF">
        <w:rPr>
          <w:snapToGrid w:val="0"/>
          <w:spacing w:val="-2"/>
          <w:kern w:val="22"/>
          <w:szCs w:val="22"/>
          <w:lang w:val="fr-CA"/>
        </w:rPr>
        <w:t xml:space="preserve"> centre d</w:t>
      </w:r>
      <w:r w:rsidR="00BE752D">
        <w:rPr>
          <w:snapToGrid w:val="0"/>
          <w:spacing w:val="-2"/>
          <w:kern w:val="22"/>
          <w:szCs w:val="22"/>
          <w:lang w:val="fr-CA"/>
        </w:rPr>
        <w:t>’</w:t>
      </w:r>
      <w:r w:rsidR="00395DCF" w:rsidRPr="009700CF">
        <w:rPr>
          <w:snapToGrid w:val="0"/>
          <w:spacing w:val="-2"/>
          <w:kern w:val="22"/>
          <w:szCs w:val="22"/>
          <w:lang w:val="fr-CA"/>
        </w:rPr>
        <w:t>échange sur la préventio</w:t>
      </w:r>
      <w:r w:rsidR="00395DCF">
        <w:rPr>
          <w:snapToGrid w:val="0"/>
          <w:spacing w:val="-2"/>
          <w:kern w:val="22"/>
          <w:szCs w:val="22"/>
          <w:lang w:val="fr-CA"/>
        </w:rPr>
        <w:t>n des risques biotechnologiques</w:t>
      </w:r>
      <w:r w:rsidR="005704BE" w:rsidRPr="009700CF">
        <w:rPr>
          <w:snapToGrid w:val="0"/>
          <w:spacing w:val="-2"/>
          <w:kern w:val="22"/>
          <w:szCs w:val="22"/>
          <w:lang w:val="fr-CA"/>
        </w:rPr>
        <w:t>.</w:t>
      </w:r>
      <w:r w:rsidR="00217259" w:rsidRPr="009700CF">
        <w:rPr>
          <w:snapToGrid w:val="0"/>
          <w:spacing w:val="-2"/>
          <w:kern w:val="22"/>
          <w:szCs w:val="22"/>
          <w:lang w:val="fr-CA"/>
        </w:rPr>
        <w:t xml:space="preserve"> </w:t>
      </w:r>
      <w:r w:rsidR="00F10A03" w:rsidRPr="009700CF">
        <w:rPr>
          <w:snapToGrid w:val="0"/>
          <w:spacing w:val="-2"/>
          <w:kern w:val="22"/>
          <w:szCs w:val="22"/>
          <w:lang w:val="fr-CA"/>
        </w:rPr>
        <w:t>L</w:t>
      </w:r>
      <w:r w:rsidR="005704BE" w:rsidRPr="009700CF">
        <w:rPr>
          <w:snapToGrid w:val="0"/>
          <w:spacing w:val="-2"/>
          <w:kern w:val="22"/>
          <w:szCs w:val="22"/>
          <w:lang w:val="fr-CA"/>
        </w:rPr>
        <w:t xml:space="preserve">e taux de remise des quatrièmes rapports nationaux demeure faible si on le compare au taux de remise des deuxièmes rapports nationaux, mais il est semblable au taux de remise des troisièmes rapports nationaux après un délai comparable. </w:t>
      </w:r>
      <w:r w:rsidR="00F10A03" w:rsidRPr="009700CF">
        <w:rPr>
          <w:snapToGrid w:val="0"/>
          <w:spacing w:val="-2"/>
          <w:kern w:val="22"/>
          <w:szCs w:val="22"/>
          <w:lang w:val="fr-CA"/>
        </w:rPr>
        <w:t xml:space="preserve">Le nombre de quatrièmes rapports nationaux remis devrait continuer </w:t>
      </w:r>
      <w:r w:rsidR="00884F93">
        <w:rPr>
          <w:snapToGrid w:val="0"/>
          <w:spacing w:val="-2"/>
          <w:kern w:val="22"/>
          <w:szCs w:val="22"/>
          <w:lang w:val="fr-CA"/>
        </w:rPr>
        <w:t>d’augmenter</w:t>
      </w:r>
      <w:r w:rsidR="00F10A03" w:rsidRPr="009700CF">
        <w:rPr>
          <w:snapToGrid w:val="0"/>
          <w:spacing w:val="-2"/>
          <w:kern w:val="22"/>
          <w:szCs w:val="22"/>
          <w:lang w:val="fr-CA"/>
        </w:rPr>
        <w:t>, comme ce fut le cas pour les troisièmes rapports nationaux</w:t>
      </w:r>
      <w:r w:rsidR="000E382D" w:rsidRPr="009700CF">
        <w:rPr>
          <w:snapToGrid w:val="0"/>
          <w:spacing w:val="-2"/>
          <w:kern w:val="22"/>
          <w:szCs w:val="22"/>
          <w:lang w:val="fr-CA"/>
        </w:rPr>
        <w:t>.</w:t>
      </w:r>
    </w:p>
    <w:p w14:paraId="05843486" w14:textId="68018F42" w:rsidR="00FE00E6" w:rsidRPr="009700CF" w:rsidRDefault="00F10A03" w:rsidP="00C4544F">
      <w:pPr>
        <w:pStyle w:val="ListParagraph"/>
        <w:numPr>
          <w:ilvl w:val="0"/>
          <w:numId w:val="19"/>
        </w:numPr>
        <w:suppressLineNumbers/>
        <w:tabs>
          <w:tab w:val="clear" w:pos="644"/>
          <w:tab w:val="num" w:pos="720"/>
        </w:tabs>
        <w:suppressAutoHyphens/>
        <w:spacing w:before="120" w:after="120"/>
        <w:ind w:left="0"/>
        <w:contextualSpacing w:val="0"/>
        <w:rPr>
          <w:snapToGrid w:val="0"/>
          <w:spacing w:val="-2"/>
          <w:kern w:val="22"/>
          <w:szCs w:val="22"/>
          <w:lang w:val="fr-CA"/>
        </w:rPr>
      </w:pPr>
      <w:r w:rsidRPr="009700CF">
        <w:rPr>
          <w:snapToGrid w:val="0"/>
          <w:spacing w:val="-2"/>
          <w:kern w:val="22"/>
          <w:szCs w:val="22"/>
          <w:lang w:val="fr-CA"/>
        </w:rPr>
        <w:t>Le Comité de conformité a examiné le respect des obligations au titre du Protocole par les Parties</w:t>
      </w:r>
      <w:r w:rsidR="008E218E" w:rsidRPr="009700CF">
        <w:rPr>
          <w:snapToGrid w:val="0"/>
          <w:spacing w:val="-2"/>
          <w:kern w:val="22"/>
          <w:szCs w:val="22"/>
          <w:lang w:val="fr-CA"/>
        </w:rPr>
        <w:t xml:space="preserve"> en</w:t>
      </w:r>
      <w:r w:rsidRPr="009700CF">
        <w:rPr>
          <w:snapToGrid w:val="0"/>
          <w:spacing w:val="-2"/>
          <w:kern w:val="22"/>
          <w:szCs w:val="22"/>
          <w:lang w:val="fr-CA"/>
        </w:rPr>
        <w:t xml:space="preserve"> accordant une attention particulière à l’obligation de remettre les rapports nationaux</w:t>
      </w:r>
      <w:r w:rsidR="008E218E" w:rsidRPr="009700CF">
        <w:rPr>
          <w:snapToGrid w:val="0"/>
          <w:spacing w:val="-2"/>
          <w:kern w:val="22"/>
          <w:szCs w:val="22"/>
          <w:lang w:val="fr-CA"/>
        </w:rPr>
        <w:t>,</w:t>
      </w:r>
      <w:r w:rsidRPr="009700CF">
        <w:rPr>
          <w:snapToGrid w:val="0"/>
          <w:spacing w:val="-2"/>
          <w:kern w:val="22"/>
          <w:szCs w:val="22"/>
          <w:lang w:val="fr-CA"/>
        </w:rPr>
        <w:t xml:space="preserve"> </w:t>
      </w:r>
      <w:r w:rsidR="008E218E" w:rsidRPr="009700CF">
        <w:rPr>
          <w:snapToGrid w:val="0"/>
          <w:spacing w:val="-2"/>
          <w:kern w:val="22"/>
          <w:szCs w:val="22"/>
          <w:lang w:val="fr-CA"/>
        </w:rPr>
        <w:t>d’adopter les mesures nécessaires pour appliquer le Protocole et de rendre l’information disponible auprès du centre d</w:t>
      </w:r>
      <w:r w:rsidR="00BE752D">
        <w:rPr>
          <w:snapToGrid w:val="0"/>
          <w:spacing w:val="-2"/>
          <w:kern w:val="22"/>
          <w:szCs w:val="22"/>
          <w:lang w:val="fr-CA"/>
        </w:rPr>
        <w:t>’</w:t>
      </w:r>
      <w:r w:rsidR="008E218E" w:rsidRPr="009700CF">
        <w:rPr>
          <w:snapToGrid w:val="0"/>
          <w:spacing w:val="-2"/>
          <w:kern w:val="22"/>
          <w:szCs w:val="22"/>
          <w:lang w:val="fr-CA"/>
        </w:rPr>
        <w:t xml:space="preserve">échange sur la prévention des risques biotechnologiques. Le Comité a pris des mesures progressives pour régler les problèmes de conformité, et le rôle du Comité de contribuer aux progrès </w:t>
      </w:r>
      <w:r w:rsidR="007D0357" w:rsidRPr="009700CF">
        <w:rPr>
          <w:snapToGrid w:val="0"/>
          <w:spacing w:val="-2"/>
          <w:kern w:val="22"/>
          <w:szCs w:val="22"/>
          <w:lang w:val="fr-CA"/>
        </w:rPr>
        <w:t>déclarés</w:t>
      </w:r>
      <w:r w:rsidR="008E218E" w:rsidRPr="009700CF">
        <w:rPr>
          <w:snapToGrid w:val="0"/>
          <w:spacing w:val="-2"/>
          <w:kern w:val="22"/>
          <w:szCs w:val="22"/>
          <w:lang w:val="fr-CA"/>
        </w:rPr>
        <w:t xml:space="preserve"> par les Parties à cet égard </w:t>
      </w:r>
      <w:r w:rsidR="00F94E25">
        <w:rPr>
          <w:snapToGrid w:val="0"/>
          <w:spacing w:val="-2"/>
          <w:kern w:val="22"/>
          <w:szCs w:val="22"/>
          <w:lang w:val="fr-CA"/>
        </w:rPr>
        <w:t>a</w:t>
      </w:r>
      <w:r w:rsidR="008E218E" w:rsidRPr="009700CF">
        <w:rPr>
          <w:snapToGrid w:val="0"/>
          <w:spacing w:val="-2"/>
          <w:kern w:val="22"/>
          <w:szCs w:val="22"/>
          <w:lang w:val="fr-CA"/>
        </w:rPr>
        <w:t xml:space="preserve"> été bien accueilli par la Conférence des Parties siégeant en tant que réunion des Parties au Protocole</w:t>
      </w:r>
      <w:r w:rsidR="00FE00E6" w:rsidRPr="009700CF">
        <w:rPr>
          <w:snapToGrid w:val="0"/>
          <w:spacing w:val="-2"/>
          <w:kern w:val="22"/>
          <w:szCs w:val="22"/>
          <w:lang w:val="fr-CA"/>
        </w:rPr>
        <w:t>.</w:t>
      </w:r>
    </w:p>
    <w:p w14:paraId="0347EC74" w14:textId="6A83F1AF" w:rsidR="00ED6FBE" w:rsidRPr="009700CF" w:rsidRDefault="007D0357" w:rsidP="00C4544F">
      <w:pPr>
        <w:keepNext/>
        <w:numPr>
          <w:ilvl w:val="0"/>
          <w:numId w:val="39"/>
        </w:numPr>
        <w:suppressLineNumbers/>
        <w:tabs>
          <w:tab w:val="clear" w:pos="2070"/>
        </w:tabs>
        <w:suppressAutoHyphens/>
        <w:spacing w:before="120" w:after="120"/>
        <w:ind w:left="1276" w:hanging="567"/>
        <w:jc w:val="left"/>
        <w:outlineLvl w:val="1"/>
        <w:rPr>
          <w:b/>
          <w:iCs/>
          <w:snapToGrid w:val="0"/>
          <w:spacing w:val="-2"/>
          <w:kern w:val="22"/>
          <w:szCs w:val="22"/>
          <w:lang w:val="fr-CA"/>
        </w:rPr>
      </w:pPr>
      <w:r w:rsidRPr="009700CF">
        <w:rPr>
          <w:b/>
          <w:iCs/>
          <w:snapToGrid w:val="0"/>
          <w:spacing w:val="-2"/>
          <w:kern w:val="22"/>
          <w:szCs w:val="22"/>
          <w:lang w:val="fr-CA"/>
        </w:rPr>
        <w:t>Sensibilisation et participation du public, éducation et formation sur la prévention des risques biotechnologiques (objectifs opérationnels 2.5, 2.7 et 4.3</w:t>
      </w:r>
      <w:r w:rsidR="00ED6FBE" w:rsidRPr="009700CF">
        <w:rPr>
          <w:b/>
          <w:iCs/>
          <w:snapToGrid w:val="0"/>
          <w:spacing w:val="-2"/>
          <w:kern w:val="22"/>
          <w:szCs w:val="22"/>
          <w:lang w:val="fr-CA"/>
        </w:rPr>
        <w:t>)</w:t>
      </w:r>
    </w:p>
    <w:p w14:paraId="5489B91E" w14:textId="314FFECB" w:rsidR="00ED6FBE" w:rsidRPr="009700CF" w:rsidRDefault="007D0357" w:rsidP="00C4544F">
      <w:pPr>
        <w:pStyle w:val="ListParagraph"/>
        <w:numPr>
          <w:ilvl w:val="0"/>
          <w:numId w:val="19"/>
        </w:numPr>
        <w:suppressLineNumbers/>
        <w:tabs>
          <w:tab w:val="clear" w:pos="644"/>
          <w:tab w:val="num" w:pos="720"/>
        </w:tabs>
        <w:suppressAutoHyphens/>
        <w:spacing w:before="120" w:after="120"/>
        <w:ind w:left="0"/>
        <w:contextualSpacing w:val="0"/>
        <w:rPr>
          <w:kern w:val="22"/>
          <w:lang w:val="fr-CA"/>
        </w:rPr>
      </w:pPr>
      <w:r w:rsidRPr="009700CF">
        <w:rPr>
          <w:iCs/>
          <w:snapToGrid w:val="0"/>
          <w:spacing w:val="-2"/>
          <w:kern w:val="22"/>
          <w:szCs w:val="22"/>
          <w:lang w:val="fr-CA"/>
        </w:rPr>
        <w:t xml:space="preserve">Les progrès accomplis dans la réalisation de l’objectif 2.5 ont été modestes. Un nombre croissant (+5 p. cent) des Parties a déclaré qu’un mécanisme de consultation du public est en place dans le cadre du processus décisionnel. Plus des trois quarts </w:t>
      </w:r>
      <w:r w:rsidR="003B0DE2" w:rsidRPr="009700CF">
        <w:rPr>
          <w:iCs/>
          <w:snapToGrid w:val="0"/>
          <w:spacing w:val="-2"/>
          <w:kern w:val="22"/>
          <w:szCs w:val="22"/>
          <w:lang w:val="fr-CA"/>
        </w:rPr>
        <w:t>des Parties ont déclaré avoir mis en place un de ces mécanismes</w:t>
      </w:r>
      <w:r w:rsidR="00F94E25">
        <w:rPr>
          <w:iCs/>
          <w:snapToGrid w:val="0"/>
          <w:spacing w:val="-2"/>
          <w:kern w:val="22"/>
          <w:szCs w:val="22"/>
          <w:lang w:val="fr-CA"/>
        </w:rPr>
        <w:t>, au moins dans une certaine mesure</w:t>
      </w:r>
      <w:r w:rsidR="003B0DE2" w:rsidRPr="009700CF">
        <w:rPr>
          <w:iCs/>
          <w:snapToGrid w:val="0"/>
          <w:spacing w:val="-2"/>
          <w:kern w:val="22"/>
          <w:szCs w:val="22"/>
          <w:lang w:val="fr-CA"/>
        </w:rPr>
        <w:t>. Cependant, un nombre décroissant (-5 p. cent) de Parties a déclaré avoir informé le public de l’existence de telles modalités de participation. Le nombre de Parties ayant déclaré avoir un site Web national sur la prévention des risques biotechnologiques a légèrement diminué</w:t>
      </w:r>
      <w:r w:rsidR="00BE752D">
        <w:rPr>
          <w:iCs/>
          <w:snapToGrid w:val="0"/>
          <w:spacing w:val="-2"/>
          <w:kern w:val="22"/>
          <w:szCs w:val="22"/>
          <w:lang w:val="fr-CA"/>
        </w:rPr>
        <w:t> </w:t>
      </w:r>
      <w:r w:rsidR="00F94E25">
        <w:rPr>
          <w:iCs/>
          <w:snapToGrid w:val="0"/>
          <w:spacing w:val="-2"/>
          <w:kern w:val="22"/>
          <w:szCs w:val="22"/>
          <w:lang w:val="fr-CA"/>
        </w:rPr>
        <w:t>; e</w:t>
      </w:r>
      <w:r w:rsidR="003B0DE2" w:rsidRPr="009700CF">
        <w:rPr>
          <w:iCs/>
          <w:snapToGrid w:val="0"/>
          <w:spacing w:val="-2"/>
          <w:kern w:val="22"/>
          <w:szCs w:val="22"/>
          <w:lang w:val="fr-CA"/>
        </w:rPr>
        <w:t xml:space="preserve">nviron les deux tiers des Parties ont déclaré avoir un site Web national sur la prévention des risques biotechnologiques. Certaines Parties ont indiqué ne pas posséder de site Web national sur la prévention des risques biotechnologiques </w:t>
      </w:r>
      <w:r w:rsidR="00884F93">
        <w:rPr>
          <w:iCs/>
          <w:snapToGrid w:val="0"/>
          <w:spacing w:val="-2"/>
          <w:kern w:val="22"/>
          <w:szCs w:val="22"/>
          <w:lang w:val="fr-CA"/>
        </w:rPr>
        <w:t>à cause d’un</w:t>
      </w:r>
      <w:r w:rsidR="003B0DE2" w:rsidRPr="009700CF">
        <w:rPr>
          <w:iCs/>
          <w:snapToGrid w:val="0"/>
          <w:spacing w:val="-2"/>
          <w:kern w:val="22"/>
          <w:szCs w:val="22"/>
          <w:lang w:val="fr-CA"/>
        </w:rPr>
        <w:t xml:space="preserve"> manque de ressources</w:t>
      </w:r>
      <w:r w:rsidR="00BF3A48" w:rsidRPr="009700CF">
        <w:rPr>
          <w:iCs/>
          <w:snapToGrid w:val="0"/>
          <w:kern w:val="22"/>
          <w:szCs w:val="22"/>
          <w:lang w:val="fr-CA"/>
        </w:rPr>
        <w:t>.</w:t>
      </w:r>
    </w:p>
    <w:p w14:paraId="5EB83329" w14:textId="0B869343" w:rsidR="00840A32" w:rsidRPr="009700CF" w:rsidRDefault="003B0DE2" w:rsidP="00C4544F">
      <w:pPr>
        <w:pStyle w:val="ListParagraph"/>
        <w:numPr>
          <w:ilvl w:val="0"/>
          <w:numId w:val="19"/>
        </w:numPr>
        <w:suppressLineNumbers/>
        <w:tabs>
          <w:tab w:val="clear" w:pos="644"/>
          <w:tab w:val="num" w:pos="720"/>
        </w:tabs>
        <w:suppressAutoHyphens/>
        <w:spacing w:before="120" w:after="120"/>
        <w:ind w:left="0"/>
        <w:contextualSpacing w:val="0"/>
        <w:rPr>
          <w:kern w:val="22"/>
          <w:lang w:val="fr-CA"/>
        </w:rPr>
      </w:pPr>
      <w:r w:rsidRPr="009700CF">
        <w:rPr>
          <w:iCs/>
          <w:snapToGrid w:val="0"/>
          <w:spacing w:val="-2"/>
          <w:kern w:val="22"/>
          <w:szCs w:val="22"/>
          <w:lang w:val="fr-CA"/>
        </w:rPr>
        <w:t>Des progrès ont été accomplis dans la réalisation de l’objectif 2.7. Le nombre de Parties ayant déclaré que les établissements d’enseignement de leur pays offrent une éducation et une formation en prévention des risques biote</w:t>
      </w:r>
      <w:r w:rsidR="0062533A" w:rsidRPr="009700CF">
        <w:rPr>
          <w:iCs/>
          <w:snapToGrid w:val="0"/>
          <w:spacing w:val="-2"/>
          <w:kern w:val="22"/>
          <w:szCs w:val="22"/>
          <w:lang w:val="fr-CA"/>
        </w:rPr>
        <w:t>chnologiques a augmenté de 11. p. cent</w:t>
      </w:r>
      <w:r w:rsidR="00BE752D">
        <w:rPr>
          <w:iCs/>
          <w:snapToGrid w:val="0"/>
          <w:spacing w:val="-2"/>
          <w:kern w:val="22"/>
          <w:szCs w:val="22"/>
          <w:lang w:val="fr-CA"/>
        </w:rPr>
        <w:t> </w:t>
      </w:r>
      <w:r w:rsidR="0062533A" w:rsidRPr="009700CF">
        <w:rPr>
          <w:iCs/>
          <w:snapToGrid w:val="0"/>
          <w:spacing w:val="-2"/>
          <w:kern w:val="22"/>
          <w:szCs w:val="22"/>
          <w:lang w:val="fr-CA"/>
        </w:rPr>
        <w:t>; plus des deux tiers des Parties déclarent que c’est le cas dans leur pays. Des augmentations ont aussi été déclarées dans la disponibilité et l’accès au matériel éducatif, et aux modules en ligne sur la prévention des risques biotechnologiques</w:t>
      </w:r>
      <w:r w:rsidR="00BE752D">
        <w:rPr>
          <w:iCs/>
          <w:snapToGrid w:val="0"/>
          <w:spacing w:val="-2"/>
          <w:kern w:val="22"/>
          <w:szCs w:val="22"/>
          <w:lang w:val="fr-CA"/>
        </w:rPr>
        <w:t> </w:t>
      </w:r>
      <w:r w:rsidR="0062533A" w:rsidRPr="009700CF">
        <w:rPr>
          <w:iCs/>
          <w:snapToGrid w:val="0"/>
          <w:spacing w:val="-2"/>
          <w:kern w:val="22"/>
          <w:szCs w:val="22"/>
          <w:lang w:val="fr-CA"/>
        </w:rPr>
        <w:t>; environ les trois quarts des Parties ont déclaré qu’il en était ainsi dans leur pays</w:t>
      </w:r>
      <w:r w:rsidR="000C2905" w:rsidRPr="009700CF">
        <w:rPr>
          <w:snapToGrid w:val="0"/>
          <w:spacing w:val="-2"/>
          <w:kern w:val="22"/>
          <w:szCs w:val="22"/>
          <w:lang w:val="fr-CA"/>
        </w:rPr>
        <w:t>.</w:t>
      </w:r>
    </w:p>
    <w:p w14:paraId="5C5776AA" w14:textId="6405785F" w:rsidR="001C69D8" w:rsidRPr="009700CF" w:rsidRDefault="00F562FE" w:rsidP="00961455">
      <w:pPr>
        <w:pStyle w:val="ListParagraph"/>
        <w:numPr>
          <w:ilvl w:val="0"/>
          <w:numId w:val="19"/>
        </w:numPr>
        <w:suppressLineNumbers/>
        <w:tabs>
          <w:tab w:val="clear" w:pos="644"/>
          <w:tab w:val="num" w:pos="720"/>
        </w:tabs>
        <w:suppressAutoHyphens/>
        <w:spacing w:before="120" w:after="120"/>
        <w:ind w:left="0"/>
        <w:contextualSpacing w:val="0"/>
        <w:rPr>
          <w:snapToGrid w:val="0"/>
          <w:spacing w:val="-2"/>
          <w:kern w:val="22"/>
          <w:szCs w:val="22"/>
          <w:lang w:val="fr-CA"/>
        </w:rPr>
      </w:pPr>
      <w:r w:rsidRPr="009700CF">
        <w:rPr>
          <w:snapToGrid w:val="0"/>
          <w:spacing w:val="-2"/>
          <w:kern w:val="22"/>
          <w:szCs w:val="22"/>
          <w:lang w:val="fr-CA"/>
        </w:rPr>
        <w:t>Les progrès en lien avec l’objectif opérationnel 4.3 ont été modestes. Cela dit, le niveau d’application général de plusieurs indicateurs est plutôt bon, par exemple, le pourcentage global des Parties qui déclarent organiser des événements liés à la prévention des risques biotechnologiques, pour le</w:t>
      </w:r>
      <w:r w:rsidR="000A67AB">
        <w:rPr>
          <w:snapToGrid w:val="0"/>
          <w:spacing w:val="-2"/>
          <w:kern w:val="22"/>
          <w:szCs w:val="22"/>
          <w:lang w:val="fr-CA"/>
        </w:rPr>
        <w:t>s</w:t>
      </w:r>
      <w:r w:rsidRPr="009700CF">
        <w:rPr>
          <w:snapToGrid w:val="0"/>
          <w:spacing w:val="-2"/>
          <w:kern w:val="22"/>
          <w:szCs w:val="22"/>
          <w:lang w:val="fr-CA"/>
        </w:rPr>
        <w:t>quel</w:t>
      </w:r>
      <w:r w:rsidR="000A67AB">
        <w:rPr>
          <w:snapToGrid w:val="0"/>
          <w:spacing w:val="-2"/>
          <w:kern w:val="22"/>
          <w:szCs w:val="22"/>
          <w:lang w:val="fr-CA"/>
        </w:rPr>
        <w:t>s</w:t>
      </w:r>
      <w:r w:rsidRPr="009700CF">
        <w:rPr>
          <w:snapToGrid w:val="0"/>
          <w:spacing w:val="-2"/>
          <w:kern w:val="22"/>
          <w:szCs w:val="22"/>
          <w:lang w:val="fr-CA"/>
        </w:rPr>
        <w:t xml:space="preserve"> la valeur de référence est déjà assez élevée, atteint désormais 92 p. cent. Le nombre de Parties ayant publié des publications sur la prévention des risques biotechnologiques a légèrement diminué</w:t>
      </w:r>
      <w:r w:rsidR="00BE752D">
        <w:rPr>
          <w:snapToGrid w:val="0"/>
          <w:spacing w:val="-2"/>
          <w:kern w:val="22"/>
          <w:szCs w:val="22"/>
          <w:lang w:val="fr-CA"/>
        </w:rPr>
        <w:t> </w:t>
      </w:r>
      <w:r w:rsidRPr="009700CF">
        <w:rPr>
          <w:snapToGrid w:val="0"/>
          <w:spacing w:val="-2"/>
          <w:kern w:val="22"/>
          <w:szCs w:val="22"/>
          <w:lang w:val="fr-CA"/>
        </w:rPr>
        <w:t>; environ les trois quarts des Parties ont déclaré l’avoir fait</w:t>
      </w:r>
      <w:r w:rsidR="001C69D8" w:rsidRPr="009700CF">
        <w:rPr>
          <w:snapToGrid w:val="0"/>
          <w:spacing w:val="-2"/>
          <w:kern w:val="22"/>
          <w:szCs w:val="22"/>
          <w:lang w:val="fr-CA"/>
        </w:rPr>
        <w:t>.</w:t>
      </w:r>
    </w:p>
    <w:p w14:paraId="0D2FEF1A" w14:textId="56FE5138" w:rsidR="00960863" w:rsidRPr="009700CF" w:rsidRDefault="00961455" w:rsidP="00C4544F">
      <w:pPr>
        <w:keepNext/>
        <w:numPr>
          <w:ilvl w:val="0"/>
          <w:numId w:val="39"/>
        </w:numPr>
        <w:suppressLineNumbers/>
        <w:tabs>
          <w:tab w:val="clear" w:pos="2070"/>
          <w:tab w:val="left" w:pos="360"/>
        </w:tabs>
        <w:suppressAutoHyphens/>
        <w:spacing w:before="120" w:after="120"/>
        <w:ind w:left="0" w:firstLine="0"/>
        <w:jc w:val="center"/>
        <w:outlineLvl w:val="1"/>
        <w:rPr>
          <w:b/>
          <w:iCs/>
          <w:snapToGrid w:val="0"/>
          <w:spacing w:val="-2"/>
          <w:kern w:val="22"/>
          <w:szCs w:val="22"/>
          <w:lang w:val="fr-CA"/>
        </w:rPr>
      </w:pPr>
      <w:r w:rsidRPr="009700CF">
        <w:rPr>
          <w:b/>
          <w:iCs/>
          <w:snapToGrid w:val="0"/>
          <w:spacing w:val="-2"/>
          <w:kern w:val="22"/>
          <w:szCs w:val="22"/>
          <w:lang w:val="fr-CA"/>
        </w:rPr>
        <w:t>Vulgarisation et coopération (objectifs opérationnels 5.1, 5.2, et 5.3</w:t>
      </w:r>
      <w:r w:rsidR="00960863" w:rsidRPr="009700CF">
        <w:rPr>
          <w:b/>
          <w:iCs/>
          <w:snapToGrid w:val="0"/>
          <w:spacing w:val="-2"/>
          <w:kern w:val="22"/>
          <w:szCs w:val="22"/>
          <w:lang w:val="fr-CA"/>
        </w:rPr>
        <w:t>)</w:t>
      </w:r>
    </w:p>
    <w:p w14:paraId="28070ADA" w14:textId="2A839F87" w:rsidR="009A68C0" w:rsidRPr="009700CF" w:rsidRDefault="00F562FE" w:rsidP="00C4544F">
      <w:pPr>
        <w:pStyle w:val="ListParagraph"/>
        <w:numPr>
          <w:ilvl w:val="0"/>
          <w:numId w:val="19"/>
        </w:numPr>
        <w:suppressLineNumbers/>
        <w:tabs>
          <w:tab w:val="clear" w:pos="644"/>
          <w:tab w:val="num" w:pos="720"/>
        </w:tabs>
        <w:suppressAutoHyphens/>
        <w:ind w:left="0"/>
        <w:contextualSpacing w:val="0"/>
        <w:rPr>
          <w:kern w:val="22"/>
          <w:lang w:val="fr-CA"/>
        </w:rPr>
      </w:pPr>
      <w:r w:rsidRPr="009700CF">
        <w:rPr>
          <w:snapToGrid w:val="0"/>
          <w:spacing w:val="-2"/>
          <w:kern w:val="22"/>
          <w:szCs w:val="22"/>
          <w:lang w:val="fr-CA"/>
        </w:rPr>
        <w:t>Les progrès dans la réalisation de l’objectif 5.3 sont minimes, à l’exception du nombre de Parties ayant déclaré que le matériel éducatif et les modules en ligne sont disponibles au public. Environ l</w:t>
      </w:r>
      <w:r w:rsidR="005726B9">
        <w:rPr>
          <w:snapToGrid w:val="0"/>
          <w:spacing w:val="-2"/>
          <w:kern w:val="22"/>
          <w:szCs w:val="22"/>
          <w:lang w:val="fr-CA"/>
        </w:rPr>
        <w:t>a moitié des Parties seulement ont</w:t>
      </w:r>
      <w:r w:rsidRPr="009700CF">
        <w:rPr>
          <w:snapToGrid w:val="0"/>
          <w:spacing w:val="-2"/>
          <w:kern w:val="22"/>
          <w:szCs w:val="22"/>
          <w:lang w:val="fr-CA"/>
        </w:rPr>
        <w:t xml:space="preserve"> déclaré av</w:t>
      </w:r>
      <w:r w:rsidR="008B4FBF" w:rsidRPr="009700CF">
        <w:rPr>
          <w:snapToGrid w:val="0"/>
          <w:spacing w:val="-2"/>
          <w:kern w:val="22"/>
          <w:szCs w:val="22"/>
          <w:lang w:val="fr-CA"/>
        </w:rPr>
        <w:t>oir une stratégie de communicati</w:t>
      </w:r>
      <w:r w:rsidRPr="009700CF">
        <w:rPr>
          <w:snapToGrid w:val="0"/>
          <w:spacing w:val="-2"/>
          <w:kern w:val="22"/>
          <w:szCs w:val="22"/>
          <w:lang w:val="fr-CA"/>
        </w:rPr>
        <w:t>on sur la prévention des risques biotechnologiques ou un programme national de sensib</w:t>
      </w:r>
      <w:r w:rsidR="008B4FBF" w:rsidRPr="009700CF">
        <w:rPr>
          <w:snapToGrid w:val="0"/>
          <w:spacing w:val="-2"/>
          <w:kern w:val="22"/>
          <w:szCs w:val="22"/>
          <w:lang w:val="fr-CA"/>
        </w:rPr>
        <w:t>i</w:t>
      </w:r>
      <w:r w:rsidRPr="009700CF">
        <w:rPr>
          <w:snapToGrid w:val="0"/>
          <w:spacing w:val="-2"/>
          <w:kern w:val="22"/>
          <w:szCs w:val="22"/>
          <w:lang w:val="fr-CA"/>
        </w:rPr>
        <w:t>lisation et de</w:t>
      </w:r>
      <w:r w:rsidR="008B4FBF" w:rsidRPr="009700CF">
        <w:rPr>
          <w:snapToGrid w:val="0"/>
          <w:spacing w:val="-2"/>
          <w:kern w:val="22"/>
          <w:szCs w:val="22"/>
          <w:lang w:val="fr-CA"/>
        </w:rPr>
        <w:t xml:space="preserve"> vulgarisation. Un nombre un peu plus élevé de Parties, soit environ les deux tiers, ont déclaré avoir un site web national sur la prévention des risques biotechnologiques. Le nombre de Parties </w:t>
      </w:r>
      <w:r w:rsidR="0015772F">
        <w:rPr>
          <w:snapToGrid w:val="0"/>
          <w:spacing w:val="-2"/>
          <w:kern w:val="22"/>
          <w:szCs w:val="22"/>
          <w:lang w:val="fr-CA"/>
        </w:rPr>
        <w:t>ayant</w:t>
      </w:r>
      <w:r w:rsidR="008B4FBF" w:rsidRPr="009700CF">
        <w:rPr>
          <w:snapToGrid w:val="0"/>
          <w:spacing w:val="-2"/>
          <w:kern w:val="22"/>
          <w:szCs w:val="22"/>
          <w:lang w:val="fr-CA"/>
        </w:rPr>
        <w:t xml:space="preserve"> déclaré avoir mis à disposition du matériel de sensibilisation et éducatif sur la prévention des risques biotechnologiques a augmenté pour atteindre environ les trois quarts</w:t>
      </w:r>
      <w:r w:rsidRPr="009700CF">
        <w:rPr>
          <w:snapToGrid w:val="0"/>
          <w:spacing w:val="-2"/>
          <w:kern w:val="22"/>
          <w:szCs w:val="22"/>
          <w:lang w:val="fr-CA"/>
        </w:rPr>
        <w:t>.</w:t>
      </w:r>
    </w:p>
    <w:p w14:paraId="5BE34544" w14:textId="05698390" w:rsidR="00D728F4" w:rsidRPr="009700CF" w:rsidRDefault="00215740" w:rsidP="00C4544F">
      <w:pPr>
        <w:pStyle w:val="Heading1"/>
        <w:numPr>
          <w:ilvl w:val="0"/>
          <w:numId w:val="14"/>
        </w:numPr>
        <w:suppressLineNumbers/>
        <w:tabs>
          <w:tab w:val="clear" w:pos="720"/>
        </w:tabs>
        <w:suppressAutoHyphens/>
        <w:spacing w:before="120"/>
        <w:ind w:left="397" w:hanging="397"/>
        <w:rPr>
          <w:kern w:val="22"/>
          <w:lang w:val="fr-CA"/>
        </w:rPr>
      </w:pPr>
      <w:r w:rsidRPr="009700CF">
        <w:rPr>
          <w:kern w:val="22"/>
          <w:lang w:val="fr-CA"/>
        </w:rPr>
        <w:lastRenderedPageBreak/>
        <w:t>ÉLÉMENTS suggérés pour la recommandation</w:t>
      </w:r>
    </w:p>
    <w:p w14:paraId="7EA70460" w14:textId="5B2231A9" w:rsidR="006707B9" w:rsidRPr="009700CF" w:rsidRDefault="00215740" w:rsidP="00C4544F">
      <w:pPr>
        <w:numPr>
          <w:ilvl w:val="0"/>
          <w:numId w:val="19"/>
        </w:numPr>
        <w:suppressLineNumbers/>
        <w:tabs>
          <w:tab w:val="clear" w:pos="644"/>
        </w:tabs>
        <w:suppressAutoHyphens/>
        <w:spacing w:before="120" w:after="120"/>
        <w:ind w:left="0"/>
        <w:rPr>
          <w:kern w:val="22"/>
          <w:lang w:val="fr-CA"/>
        </w:rPr>
      </w:pPr>
      <w:r w:rsidRPr="009700CF">
        <w:rPr>
          <w:kern w:val="22"/>
          <w:lang w:val="fr-CA"/>
        </w:rPr>
        <w:t>La Conférence des Parties siégeant en tant que réunion des Parties au Protocole a demandé à l’Organe subsidiaire chargé de l</w:t>
      </w:r>
      <w:r w:rsidR="00BE752D">
        <w:rPr>
          <w:kern w:val="22"/>
          <w:lang w:val="fr-CA"/>
        </w:rPr>
        <w:t>’</w:t>
      </w:r>
      <w:r w:rsidRPr="009700CF">
        <w:rPr>
          <w:kern w:val="22"/>
          <w:lang w:val="fr-CA"/>
        </w:rPr>
        <w:t xml:space="preserve">application d’examiner les </w:t>
      </w:r>
      <w:r w:rsidR="00370C96" w:rsidRPr="009700CF">
        <w:rPr>
          <w:kern w:val="22"/>
          <w:lang w:val="fr-CA"/>
        </w:rPr>
        <w:t>données d’information</w:t>
      </w:r>
      <w:r w:rsidRPr="009700CF">
        <w:rPr>
          <w:kern w:val="22"/>
          <w:lang w:val="fr-CA"/>
        </w:rPr>
        <w:t xml:space="preserve"> fo</w:t>
      </w:r>
      <w:r w:rsidR="00370C96" w:rsidRPr="009700CF">
        <w:rPr>
          <w:kern w:val="22"/>
          <w:lang w:val="fr-CA"/>
        </w:rPr>
        <w:t>urnies et les conclusions du Gr</w:t>
      </w:r>
      <w:r w:rsidRPr="009700CF">
        <w:rPr>
          <w:kern w:val="22"/>
          <w:lang w:val="fr-CA"/>
        </w:rPr>
        <w:t>oupe de liaison et du Comité de conformité</w:t>
      </w:r>
      <w:r w:rsidR="00370C96" w:rsidRPr="009700CF">
        <w:rPr>
          <w:kern w:val="22"/>
          <w:lang w:val="fr-CA"/>
        </w:rPr>
        <w:t xml:space="preserve"> </w:t>
      </w:r>
      <w:r w:rsidRPr="009700CF">
        <w:rPr>
          <w:kern w:val="22"/>
          <w:lang w:val="fr-CA"/>
        </w:rPr>
        <w:t>à sa troisième réunion</w:t>
      </w:r>
      <w:r w:rsidR="00370C96" w:rsidRPr="009700CF">
        <w:rPr>
          <w:kern w:val="22"/>
          <w:lang w:val="fr-CA"/>
        </w:rPr>
        <w:t xml:space="preserve"> et de remettre ses conclusions et recommandations à la Conférence des Parties siégeant en tant que réunion des Parties au Protocole à sa dixième réunion</w:t>
      </w:r>
      <w:r w:rsidR="004138E1" w:rsidRPr="009700CF">
        <w:rPr>
          <w:kern w:val="22"/>
          <w:lang w:val="fr-CA"/>
        </w:rPr>
        <w:t>.</w:t>
      </w:r>
    </w:p>
    <w:p w14:paraId="7D92A8CF" w14:textId="786A7C65" w:rsidR="007645A7" w:rsidRPr="009700CF" w:rsidRDefault="00370C96" w:rsidP="00C4544F">
      <w:pPr>
        <w:numPr>
          <w:ilvl w:val="0"/>
          <w:numId w:val="19"/>
        </w:numPr>
        <w:suppressLineNumbers/>
        <w:tabs>
          <w:tab w:val="clear" w:pos="644"/>
        </w:tabs>
        <w:suppressAutoHyphens/>
        <w:spacing w:before="120" w:after="120"/>
        <w:ind w:left="0"/>
        <w:rPr>
          <w:kern w:val="22"/>
          <w:lang w:val="fr-CA"/>
        </w:rPr>
      </w:pPr>
      <w:r w:rsidRPr="009700CF">
        <w:rPr>
          <w:kern w:val="22"/>
          <w:lang w:val="fr-CA"/>
        </w:rPr>
        <w:t>Se fondant sur les conclusions du Comité de conformité et du Groupe de liaison sur le Protocole de Cartagena, l’Organe subsidiaire chargé de l</w:t>
      </w:r>
      <w:r w:rsidR="00BE752D">
        <w:rPr>
          <w:kern w:val="22"/>
          <w:lang w:val="fr-CA"/>
        </w:rPr>
        <w:t>’</w:t>
      </w:r>
      <w:r w:rsidRPr="009700CF">
        <w:rPr>
          <w:kern w:val="22"/>
          <w:lang w:val="fr-CA"/>
        </w:rPr>
        <w:t>application pourrait souhaiter</w:t>
      </w:r>
      <w:r w:rsidR="00BE752D">
        <w:rPr>
          <w:kern w:val="22"/>
          <w:lang w:val="fr-CA"/>
        </w:rPr>
        <w:t> </w:t>
      </w:r>
      <w:r w:rsidR="007645A7" w:rsidRPr="009700CF">
        <w:rPr>
          <w:kern w:val="22"/>
          <w:lang w:val="fr-CA"/>
        </w:rPr>
        <w:t>:</w:t>
      </w:r>
    </w:p>
    <w:p w14:paraId="3D513C97" w14:textId="28331613" w:rsidR="004B1C56" w:rsidRPr="009700CF" w:rsidRDefault="00370C96" w:rsidP="00370C96">
      <w:pPr>
        <w:pStyle w:val="ListParagraph"/>
        <w:numPr>
          <w:ilvl w:val="1"/>
          <w:numId w:val="19"/>
        </w:numPr>
        <w:suppressLineNumbers/>
        <w:suppressAutoHyphens/>
        <w:spacing w:before="120" w:after="120"/>
        <w:ind w:left="0"/>
        <w:rPr>
          <w:kern w:val="22"/>
          <w:lang w:val="fr-CA"/>
        </w:rPr>
      </w:pPr>
      <w:r w:rsidRPr="009700CF">
        <w:rPr>
          <w:kern w:val="22"/>
          <w:lang w:val="fr-CA"/>
        </w:rPr>
        <w:t>P</w:t>
      </w:r>
      <w:r w:rsidR="00BD2F94" w:rsidRPr="009700CF">
        <w:rPr>
          <w:kern w:val="22"/>
          <w:lang w:val="fr-CA"/>
        </w:rPr>
        <w:t>rendr</w:t>
      </w:r>
      <w:r w:rsidRPr="009700CF">
        <w:rPr>
          <w:kern w:val="22"/>
          <w:lang w:val="fr-CA"/>
        </w:rPr>
        <w:t>e note de l’analyse de l’information pour la quatrième évaluation et examen du Protocole et l’</w:t>
      </w:r>
      <w:r w:rsidR="00BD2F94" w:rsidRPr="009700CF">
        <w:rPr>
          <w:kern w:val="22"/>
          <w:lang w:val="fr-CA"/>
        </w:rPr>
        <w:t>évaluation finale du Pl</w:t>
      </w:r>
      <w:r w:rsidRPr="009700CF">
        <w:rPr>
          <w:kern w:val="22"/>
          <w:lang w:val="fr-CA"/>
        </w:rPr>
        <w:t>an stratégique pour le Protocole de Cartagena pour la période 2011-2020, qui comprend une description de l’état et des tendances dans l’applic</w:t>
      </w:r>
      <w:r w:rsidR="00BD2F94" w:rsidRPr="009700CF">
        <w:rPr>
          <w:kern w:val="22"/>
          <w:lang w:val="fr-CA"/>
        </w:rPr>
        <w:t>a</w:t>
      </w:r>
      <w:r w:rsidRPr="009700CF">
        <w:rPr>
          <w:kern w:val="22"/>
          <w:lang w:val="fr-CA"/>
        </w:rPr>
        <w:t xml:space="preserve">tion du </w:t>
      </w:r>
      <w:r w:rsidR="00BD2F94" w:rsidRPr="009700CF">
        <w:rPr>
          <w:kern w:val="22"/>
          <w:lang w:val="fr-CA"/>
        </w:rPr>
        <w:t>Protocole et du Plan stratégique pour la Protocole de Cartagena</w:t>
      </w:r>
      <w:r w:rsidR="00BE752D">
        <w:rPr>
          <w:kern w:val="22"/>
          <w:lang w:val="fr-CA"/>
        </w:rPr>
        <w:t> </w:t>
      </w:r>
      <w:r w:rsidR="00266A58" w:rsidRPr="009700CF">
        <w:rPr>
          <w:kern w:val="22"/>
          <w:lang w:val="fr-CA"/>
        </w:rPr>
        <w:t>;</w:t>
      </w:r>
    </w:p>
    <w:p w14:paraId="596644B5" w14:textId="74E5833A" w:rsidR="00414BE2" w:rsidRPr="009700CF" w:rsidRDefault="00BD2F94" w:rsidP="00C4544F">
      <w:pPr>
        <w:numPr>
          <w:ilvl w:val="1"/>
          <w:numId w:val="19"/>
        </w:numPr>
        <w:suppressLineNumbers/>
        <w:suppressAutoHyphens/>
        <w:spacing w:before="120" w:after="120"/>
        <w:ind w:left="0"/>
        <w:rPr>
          <w:kern w:val="22"/>
          <w:lang w:val="fr-CA"/>
        </w:rPr>
      </w:pPr>
      <w:r w:rsidRPr="009700CF">
        <w:rPr>
          <w:kern w:val="22"/>
          <w:lang w:val="fr-CA"/>
        </w:rPr>
        <w:t>A</w:t>
      </w:r>
      <w:r w:rsidR="00DE44FD" w:rsidRPr="009700CF">
        <w:rPr>
          <w:kern w:val="22"/>
          <w:lang w:val="fr-CA"/>
        </w:rPr>
        <w:t>ccueillir avec satisfaction les</w:t>
      </w:r>
      <w:r w:rsidRPr="009700CF">
        <w:rPr>
          <w:kern w:val="22"/>
          <w:lang w:val="fr-CA"/>
        </w:rPr>
        <w:t xml:space="preserve"> contribution</w:t>
      </w:r>
      <w:r w:rsidR="00DE44FD" w:rsidRPr="009700CF">
        <w:rPr>
          <w:kern w:val="22"/>
          <w:lang w:val="fr-CA"/>
        </w:rPr>
        <w:t>s</w:t>
      </w:r>
      <w:r w:rsidRPr="009700CF">
        <w:rPr>
          <w:kern w:val="22"/>
          <w:lang w:val="fr-CA"/>
        </w:rPr>
        <w:t xml:space="preserve"> à la quatrième évaluation et examen du Protocole de Cartagena et du Plan stratégique pour le Protocole de Cartagena pour la période 2011-2020 </w:t>
      </w:r>
      <w:r w:rsidR="00DE44FD" w:rsidRPr="009700CF">
        <w:rPr>
          <w:kern w:val="22"/>
          <w:lang w:val="fr-CA"/>
        </w:rPr>
        <w:t>offertes par le</w:t>
      </w:r>
      <w:r w:rsidRPr="009700CF">
        <w:rPr>
          <w:kern w:val="22"/>
          <w:lang w:val="fr-CA"/>
        </w:rPr>
        <w:t xml:space="preserve"> Comité de conformité </w:t>
      </w:r>
      <w:r w:rsidR="00DE44FD" w:rsidRPr="009700CF">
        <w:rPr>
          <w:kern w:val="22"/>
          <w:lang w:val="fr-CA"/>
        </w:rPr>
        <w:t>à s</w:t>
      </w:r>
      <w:r w:rsidRPr="009700CF">
        <w:rPr>
          <w:kern w:val="22"/>
          <w:lang w:val="fr-CA"/>
        </w:rPr>
        <w:t>a dix-septi</w:t>
      </w:r>
      <w:r w:rsidR="00DE44FD" w:rsidRPr="009700CF">
        <w:rPr>
          <w:kern w:val="22"/>
          <w:lang w:val="fr-CA"/>
        </w:rPr>
        <w:t>èm</w:t>
      </w:r>
      <w:r w:rsidRPr="009700CF">
        <w:rPr>
          <w:kern w:val="22"/>
          <w:lang w:val="fr-CA"/>
        </w:rPr>
        <w:t>e réunion</w:t>
      </w:r>
      <w:r w:rsidR="00DE44FD" w:rsidRPr="009700CF">
        <w:rPr>
          <w:kern w:val="22"/>
          <w:lang w:val="fr-CA"/>
        </w:rPr>
        <w:t xml:space="preserve"> et le Groupe de liaison sur le Protocole de Cartagena à sa quatorzième réunion, jointe</w:t>
      </w:r>
      <w:r w:rsidR="00A67B6A">
        <w:rPr>
          <w:kern w:val="22"/>
          <w:lang w:val="fr-CA"/>
        </w:rPr>
        <w:t>s</w:t>
      </w:r>
      <w:r w:rsidR="00DE44FD" w:rsidRPr="009700CF">
        <w:rPr>
          <w:kern w:val="22"/>
          <w:lang w:val="fr-CA"/>
        </w:rPr>
        <w:t xml:space="preserve"> aux annexes I et II au présent document</w:t>
      </w:r>
      <w:r w:rsidR="00BE752D">
        <w:rPr>
          <w:kern w:val="22"/>
          <w:lang w:val="fr-CA"/>
        </w:rPr>
        <w:t> </w:t>
      </w:r>
      <w:r w:rsidR="00751764" w:rsidRPr="009700CF">
        <w:rPr>
          <w:kern w:val="22"/>
          <w:lang w:val="fr-CA"/>
        </w:rPr>
        <w:t>;</w:t>
      </w:r>
    </w:p>
    <w:p w14:paraId="1E4B8B7F" w14:textId="23811725" w:rsidR="007E1FD5" w:rsidRPr="009700CF" w:rsidRDefault="00DE44FD" w:rsidP="00C4544F">
      <w:pPr>
        <w:numPr>
          <w:ilvl w:val="1"/>
          <w:numId w:val="19"/>
        </w:numPr>
        <w:suppressLineNumbers/>
        <w:suppressAutoHyphens/>
        <w:spacing w:before="120" w:after="120"/>
        <w:ind w:left="0"/>
        <w:rPr>
          <w:kern w:val="22"/>
          <w:lang w:val="fr-CA"/>
        </w:rPr>
      </w:pPr>
      <w:r w:rsidRPr="009700CF">
        <w:rPr>
          <w:kern w:val="22"/>
          <w:lang w:val="fr-CA"/>
        </w:rPr>
        <w:t>Demander à la Secrétaire exécutive de fournir une mise à jour de l’analyse, selon qu’il convient, qui tiendrait également compte des quatrièmes rapports nationaux reçus, et de la mettre à la disposition de la Conférence des Parties siégeant en tant que réunion des Parties au Protocole à sa dixième réunion</w:t>
      </w:r>
      <w:r w:rsidR="00CD0385" w:rsidRPr="009700CF">
        <w:rPr>
          <w:kern w:val="22"/>
          <w:lang w:val="fr-CA"/>
        </w:rPr>
        <w:t>.</w:t>
      </w:r>
    </w:p>
    <w:p w14:paraId="5D61E408" w14:textId="4E1246F8" w:rsidR="008E1198" w:rsidRPr="009700CF" w:rsidRDefault="00DE44FD" w:rsidP="00C4544F">
      <w:pPr>
        <w:numPr>
          <w:ilvl w:val="0"/>
          <w:numId w:val="19"/>
        </w:numPr>
        <w:suppressLineNumbers/>
        <w:tabs>
          <w:tab w:val="clear" w:pos="644"/>
        </w:tabs>
        <w:suppressAutoHyphens/>
        <w:spacing w:before="120" w:after="120"/>
        <w:ind w:left="0"/>
        <w:rPr>
          <w:i/>
          <w:iCs/>
          <w:kern w:val="22"/>
          <w:lang w:val="fr-CA"/>
        </w:rPr>
      </w:pPr>
      <w:r w:rsidRPr="009700CF">
        <w:rPr>
          <w:kern w:val="22"/>
          <w:lang w:val="fr-CA"/>
        </w:rPr>
        <w:t>L’Organe subsidiaire chargé de l</w:t>
      </w:r>
      <w:r w:rsidR="00BE752D">
        <w:rPr>
          <w:kern w:val="22"/>
          <w:lang w:val="fr-CA"/>
        </w:rPr>
        <w:t>’</w:t>
      </w:r>
      <w:r w:rsidRPr="009700CF">
        <w:rPr>
          <w:kern w:val="22"/>
          <w:lang w:val="fr-CA"/>
        </w:rPr>
        <w:t xml:space="preserve">application pourrait également souhaiter recommander que la Conférence des Parties siégeant en tant que réunion des Parties au Protocole </w:t>
      </w:r>
      <w:r w:rsidR="003E5622" w:rsidRPr="009700CF">
        <w:rPr>
          <w:kern w:val="22"/>
          <w:lang w:val="fr-CA"/>
        </w:rPr>
        <w:t xml:space="preserve">de Cartagena </w:t>
      </w:r>
      <w:r w:rsidRPr="009700CF">
        <w:rPr>
          <w:kern w:val="22"/>
          <w:lang w:val="fr-CA"/>
        </w:rPr>
        <w:t>adopte, à sa dixième décision, une recommandation qui ressemble à ce qui suit</w:t>
      </w:r>
      <w:r w:rsidR="00BE752D">
        <w:rPr>
          <w:kern w:val="22"/>
          <w:lang w:val="fr-CA"/>
        </w:rPr>
        <w:t> </w:t>
      </w:r>
      <w:r w:rsidR="00B21242" w:rsidRPr="009700CF">
        <w:rPr>
          <w:kern w:val="22"/>
          <w:lang w:val="fr-CA"/>
        </w:rPr>
        <w:t>:</w:t>
      </w:r>
    </w:p>
    <w:p w14:paraId="60A54A0F" w14:textId="5DCA39FE" w:rsidR="0042663F" w:rsidRPr="009700CF" w:rsidRDefault="003E5622" w:rsidP="00C4544F">
      <w:pPr>
        <w:suppressLineNumbers/>
        <w:suppressAutoHyphens/>
        <w:spacing w:before="120" w:after="120"/>
        <w:ind w:left="720" w:firstLine="720"/>
        <w:rPr>
          <w:i/>
          <w:iCs/>
          <w:kern w:val="22"/>
          <w:lang w:val="fr-CA"/>
        </w:rPr>
      </w:pPr>
      <w:r w:rsidRPr="009700CF">
        <w:rPr>
          <w:i/>
          <w:iCs/>
          <w:kern w:val="22"/>
          <w:lang w:val="fr-CA"/>
        </w:rPr>
        <w:t>La Conférence des Parties siégeant en tant que réunion des Parties au Protocole de Cartagena sur la prévention des risques biotechnologiques</w:t>
      </w:r>
    </w:p>
    <w:p w14:paraId="40171810" w14:textId="2E3970CF" w:rsidR="0042663F" w:rsidRPr="009700CF" w:rsidRDefault="003E5622" w:rsidP="00C4544F">
      <w:pPr>
        <w:numPr>
          <w:ilvl w:val="2"/>
          <w:numId w:val="19"/>
        </w:numPr>
        <w:suppressLineNumbers/>
        <w:tabs>
          <w:tab w:val="clear" w:pos="2591"/>
        </w:tabs>
        <w:suppressAutoHyphens/>
        <w:spacing w:before="120" w:after="120"/>
        <w:ind w:left="720" w:firstLine="720"/>
        <w:rPr>
          <w:kern w:val="22"/>
          <w:lang w:val="fr-CA"/>
        </w:rPr>
      </w:pPr>
      <w:r w:rsidRPr="009700CF">
        <w:rPr>
          <w:i/>
          <w:iCs/>
          <w:kern w:val="22"/>
          <w:lang w:val="fr-CA"/>
        </w:rPr>
        <w:t xml:space="preserve">Reconnaît </w:t>
      </w:r>
      <w:r w:rsidRPr="009700CF">
        <w:rPr>
          <w:iCs/>
          <w:kern w:val="22"/>
          <w:lang w:val="fr-CA"/>
        </w:rPr>
        <w:t>l’utilité du Plan stratégique pour le Protocole de Cartagena sur la prévention des risques biotechnologiques pour la période 2011-2020 pour soutenir l’application dans les pays</w:t>
      </w:r>
      <w:r w:rsidR="00BE752D">
        <w:rPr>
          <w:iCs/>
          <w:kern w:val="22"/>
          <w:lang w:val="fr-CA"/>
        </w:rPr>
        <w:t> </w:t>
      </w:r>
      <w:r w:rsidR="0042663F" w:rsidRPr="009700CF">
        <w:rPr>
          <w:kern w:val="22"/>
          <w:lang w:val="fr-CA"/>
        </w:rPr>
        <w:t>;</w:t>
      </w:r>
    </w:p>
    <w:p w14:paraId="5102E5E5" w14:textId="08D37A61" w:rsidR="0042663F" w:rsidRPr="009700CF" w:rsidRDefault="003E5622" w:rsidP="00C4544F">
      <w:pPr>
        <w:numPr>
          <w:ilvl w:val="2"/>
          <w:numId w:val="19"/>
        </w:numPr>
        <w:suppressLineNumbers/>
        <w:tabs>
          <w:tab w:val="clear" w:pos="2591"/>
        </w:tabs>
        <w:suppressAutoHyphens/>
        <w:spacing w:before="120" w:after="120"/>
        <w:ind w:left="720" w:firstLine="720"/>
        <w:rPr>
          <w:kern w:val="22"/>
          <w:lang w:val="fr-CA"/>
        </w:rPr>
      </w:pPr>
      <w:r w:rsidRPr="009700CF">
        <w:rPr>
          <w:i/>
          <w:iCs/>
          <w:kern w:val="22"/>
          <w:lang w:val="fr-CA"/>
        </w:rPr>
        <w:t xml:space="preserve">Reconnaît également </w:t>
      </w:r>
      <w:r w:rsidRPr="009700CF">
        <w:rPr>
          <w:iCs/>
          <w:kern w:val="22"/>
          <w:lang w:val="fr-CA"/>
        </w:rPr>
        <w:t>que le cadre mondial de la biodiversité pour</w:t>
      </w:r>
      <w:r w:rsidR="00A67B6A">
        <w:rPr>
          <w:iCs/>
          <w:kern w:val="22"/>
          <w:lang w:val="fr-CA"/>
        </w:rPr>
        <w:t xml:space="preserve"> l</w:t>
      </w:r>
      <w:r w:rsidR="00BE752D">
        <w:rPr>
          <w:iCs/>
          <w:kern w:val="22"/>
          <w:lang w:val="fr-CA"/>
        </w:rPr>
        <w:t>’</w:t>
      </w:r>
      <w:r w:rsidR="00A67B6A">
        <w:rPr>
          <w:iCs/>
          <w:kern w:val="22"/>
          <w:lang w:val="fr-CA"/>
        </w:rPr>
        <w:t>après-2020 peut contribuer à</w:t>
      </w:r>
      <w:r w:rsidRPr="009700CF">
        <w:rPr>
          <w:iCs/>
          <w:kern w:val="22"/>
          <w:lang w:val="fr-CA"/>
        </w:rPr>
        <w:t xml:space="preserve"> l’application et au respect du Protocole de Cartagena sur la prévention des risques biotechnologiques et </w:t>
      </w:r>
      <w:r w:rsidRPr="009700CF">
        <w:rPr>
          <w:i/>
          <w:iCs/>
          <w:kern w:val="22"/>
          <w:lang w:val="fr-CA"/>
        </w:rPr>
        <w:t xml:space="preserve">reconnaît </w:t>
      </w:r>
      <w:r w:rsidR="00AA3824" w:rsidRPr="009700CF">
        <w:rPr>
          <w:iCs/>
          <w:kern w:val="22"/>
          <w:lang w:val="fr-CA"/>
        </w:rPr>
        <w:t>la pertinence du Protocole, de son plan d’application et de son plan d’action pour le renforcement des capacités pour la réalisation des trois objectifs de la Convention sur la diversité biologique</w:t>
      </w:r>
      <w:r w:rsidR="00BE752D">
        <w:rPr>
          <w:iCs/>
          <w:kern w:val="22"/>
          <w:lang w:val="fr-CA"/>
        </w:rPr>
        <w:t> </w:t>
      </w:r>
      <w:r w:rsidR="0042663F" w:rsidRPr="009700CF">
        <w:rPr>
          <w:kern w:val="22"/>
          <w:lang w:val="fr-CA"/>
        </w:rPr>
        <w:t>;</w:t>
      </w:r>
    </w:p>
    <w:p w14:paraId="21B549CF" w14:textId="340A9D07" w:rsidR="0042663F" w:rsidRPr="009700CF" w:rsidRDefault="00AA3824" w:rsidP="00C4544F">
      <w:pPr>
        <w:numPr>
          <w:ilvl w:val="2"/>
          <w:numId w:val="19"/>
        </w:numPr>
        <w:suppressLineNumbers/>
        <w:tabs>
          <w:tab w:val="clear" w:pos="2591"/>
        </w:tabs>
        <w:suppressAutoHyphens/>
        <w:spacing w:before="120" w:after="120"/>
        <w:ind w:left="720" w:firstLine="720"/>
        <w:rPr>
          <w:kern w:val="22"/>
          <w:lang w:val="fr-CA"/>
        </w:rPr>
      </w:pPr>
      <w:r w:rsidRPr="009700CF">
        <w:rPr>
          <w:i/>
          <w:iCs/>
          <w:kern w:val="22"/>
          <w:lang w:val="fr-CA"/>
        </w:rPr>
        <w:t xml:space="preserve">Accueille </w:t>
      </w:r>
      <w:r w:rsidRPr="009700CF">
        <w:rPr>
          <w:iCs/>
          <w:kern w:val="22"/>
          <w:lang w:val="fr-CA"/>
        </w:rPr>
        <w:t>les c</w:t>
      </w:r>
      <w:r w:rsidR="00530721" w:rsidRPr="009700CF">
        <w:rPr>
          <w:iCs/>
          <w:kern w:val="22"/>
          <w:lang w:val="fr-CA"/>
        </w:rPr>
        <w:t>ontributions du Groupe de liais</w:t>
      </w:r>
      <w:r w:rsidRPr="009700CF">
        <w:rPr>
          <w:iCs/>
          <w:kern w:val="22"/>
          <w:lang w:val="fr-CA"/>
        </w:rPr>
        <w:t>on sur le Protocole de Cartagena et du Comité de conformité à la quatri</w:t>
      </w:r>
      <w:r w:rsidR="00530721" w:rsidRPr="009700CF">
        <w:rPr>
          <w:iCs/>
          <w:kern w:val="22"/>
          <w:lang w:val="fr-CA"/>
        </w:rPr>
        <w:t>ème évaluati</w:t>
      </w:r>
      <w:r w:rsidRPr="009700CF">
        <w:rPr>
          <w:iCs/>
          <w:kern w:val="22"/>
          <w:lang w:val="fr-CA"/>
        </w:rPr>
        <w:t xml:space="preserve">on et </w:t>
      </w:r>
      <w:r w:rsidR="00530721" w:rsidRPr="009700CF">
        <w:rPr>
          <w:iCs/>
          <w:kern w:val="22"/>
          <w:lang w:val="fr-CA"/>
        </w:rPr>
        <w:t>examen</w:t>
      </w:r>
      <w:r w:rsidRPr="009700CF">
        <w:rPr>
          <w:iCs/>
          <w:kern w:val="22"/>
          <w:lang w:val="fr-CA"/>
        </w:rPr>
        <w:t xml:space="preserve"> du Protocole et l’évaluation finale du Plan stratégique pour le Protocole de Cartagena pour la période 2011-2020 et leur </w:t>
      </w:r>
      <w:r w:rsidRPr="009700CF">
        <w:rPr>
          <w:i/>
          <w:iCs/>
          <w:kern w:val="22"/>
          <w:lang w:val="fr-CA"/>
        </w:rPr>
        <w:t>demande</w:t>
      </w:r>
      <w:r w:rsidRPr="009700CF">
        <w:rPr>
          <w:iCs/>
          <w:kern w:val="22"/>
          <w:lang w:val="fr-CA"/>
        </w:rPr>
        <w:t xml:space="preserve"> de maintenir leur contribution au cinquième processus d’évaluation et examen </w:t>
      </w:r>
      <w:r w:rsidR="00A67B6A">
        <w:rPr>
          <w:iCs/>
          <w:kern w:val="22"/>
          <w:lang w:val="fr-CA"/>
        </w:rPr>
        <w:t xml:space="preserve">et </w:t>
      </w:r>
      <w:r w:rsidR="005C44BB">
        <w:rPr>
          <w:iCs/>
          <w:kern w:val="22"/>
          <w:lang w:val="fr-CA"/>
        </w:rPr>
        <w:t>à l’</w:t>
      </w:r>
      <w:r w:rsidR="00A67B6A">
        <w:rPr>
          <w:iCs/>
          <w:kern w:val="22"/>
          <w:lang w:val="fr-CA"/>
        </w:rPr>
        <w:t xml:space="preserve">évaluation du processus de </w:t>
      </w:r>
      <w:r w:rsidR="00530721" w:rsidRPr="009700CF">
        <w:rPr>
          <w:iCs/>
          <w:kern w:val="22"/>
          <w:lang w:val="fr-CA"/>
        </w:rPr>
        <w:t>suivi du Plan stratégique pour le Protocole de Cartagena, selon qu’il convient</w:t>
      </w:r>
      <w:r w:rsidR="00BE752D">
        <w:rPr>
          <w:iCs/>
          <w:kern w:val="22"/>
          <w:lang w:val="fr-CA"/>
        </w:rPr>
        <w:t> </w:t>
      </w:r>
      <w:r w:rsidR="0042663F" w:rsidRPr="009700CF">
        <w:rPr>
          <w:kern w:val="22"/>
          <w:lang w:val="fr-CA"/>
        </w:rPr>
        <w:t>;</w:t>
      </w:r>
    </w:p>
    <w:p w14:paraId="3ECFEDC9" w14:textId="13E55FE8" w:rsidR="0042663F" w:rsidRPr="009700CF" w:rsidRDefault="0042663F" w:rsidP="00C4544F">
      <w:pPr>
        <w:suppressLineNumbers/>
        <w:suppressAutoHyphens/>
        <w:spacing w:before="120" w:after="120"/>
        <w:ind w:left="1440" w:hanging="431"/>
        <w:jc w:val="center"/>
        <w:rPr>
          <w:b/>
          <w:bCs/>
          <w:kern w:val="22"/>
          <w:lang w:val="fr-CA"/>
        </w:rPr>
      </w:pPr>
      <w:r w:rsidRPr="009700CF">
        <w:rPr>
          <w:b/>
          <w:bCs/>
          <w:kern w:val="22"/>
          <w:lang w:val="fr-CA"/>
        </w:rPr>
        <w:t>A.</w:t>
      </w:r>
      <w:r w:rsidR="006B2A2F" w:rsidRPr="009700CF">
        <w:rPr>
          <w:b/>
          <w:bCs/>
          <w:kern w:val="22"/>
          <w:lang w:val="fr-CA"/>
        </w:rPr>
        <w:tab/>
      </w:r>
      <w:r w:rsidR="00530721" w:rsidRPr="009700CF">
        <w:rPr>
          <w:b/>
          <w:bCs/>
          <w:kern w:val="22"/>
          <w:lang w:val="fr-CA"/>
        </w:rPr>
        <w:t>Cadres nationaux de prévention des risques biotechnologiques</w:t>
      </w:r>
    </w:p>
    <w:p w14:paraId="49E202F3" w14:textId="518DB6AC" w:rsidR="0042663F" w:rsidRPr="009700CF" w:rsidRDefault="00530721" w:rsidP="00C4544F">
      <w:pPr>
        <w:numPr>
          <w:ilvl w:val="2"/>
          <w:numId w:val="19"/>
        </w:numPr>
        <w:suppressLineNumbers/>
        <w:tabs>
          <w:tab w:val="clear" w:pos="2591"/>
        </w:tabs>
        <w:suppressAutoHyphens/>
        <w:spacing w:before="120" w:after="120"/>
        <w:ind w:left="720" w:firstLine="720"/>
        <w:rPr>
          <w:kern w:val="22"/>
          <w:lang w:val="fr-CA"/>
        </w:rPr>
      </w:pPr>
      <w:r w:rsidRPr="009700CF">
        <w:rPr>
          <w:i/>
          <w:iCs/>
          <w:kern w:val="22"/>
          <w:szCs w:val="22"/>
          <w:lang w:val="fr-CA"/>
        </w:rPr>
        <w:t xml:space="preserve">Se réjouit </w:t>
      </w:r>
      <w:r w:rsidRPr="009700CF">
        <w:rPr>
          <w:iCs/>
          <w:kern w:val="22"/>
          <w:szCs w:val="22"/>
          <w:lang w:val="fr-CA"/>
        </w:rPr>
        <w:t xml:space="preserve">des progrès accomplis dans la mise en place d’arrangements administratifs fonctionnels, </w:t>
      </w:r>
      <w:r w:rsidRPr="009700CF">
        <w:rPr>
          <w:i/>
          <w:iCs/>
          <w:kern w:val="22"/>
          <w:szCs w:val="22"/>
          <w:lang w:val="fr-CA"/>
        </w:rPr>
        <w:t>prenant note</w:t>
      </w:r>
      <w:r w:rsidRPr="009700CF">
        <w:rPr>
          <w:iCs/>
          <w:kern w:val="22"/>
          <w:szCs w:val="22"/>
          <w:lang w:val="fr-CA"/>
        </w:rPr>
        <w:t xml:space="preserve"> que presque toutes les Parties ont un effectif permanent chargé d’administrer les fonctions liées à la prévention des risques biotechnologiques</w:t>
      </w:r>
      <w:r w:rsidR="00BE752D">
        <w:rPr>
          <w:iCs/>
          <w:kern w:val="22"/>
          <w:szCs w:val="22"/>
          <w:lang w:val="fr-CA"/>
        </w:rPr>
        <w:t> </w:t>
      </w:r>
      <w:r w:rsidR="0042663F" w:rsidRPr="009700CF">
        <w:rPr>
          <w:kern w:val="22"/>
          <w:szCs w:val="22"/>
          <w:lang w:val="fr-CA"/>
        </w:rPr>
        <w:t>;</w:t>
      </w:r>
    </w:p>
    <w:p w14:paraId="7E97F053" w14:textId="28BF2295" w:rsidR="0042663F" w:rsidRPr="009700CF" w:rsidRDefault="00AA0591" w:rsidP="00C4544F">
      <w:pPr>
        <w:numPr>
          <w:ilvl w:val="2"/>
          <w:numId w:val="19"/>
        </w:numPr>
        <w:suppressLineNumbers/>
        <w:tabs>
          <w:tab w:val="clear" w:pos="2591"/>
        </w:tabs>
        <w:suppressAutoHyphens/>
        <w:spacing w:before="120" w:after="120"/>
        <w:ind w:left="720" w:firstLine="720"/>
        <w:rPr>
          <w:kern w:val="22"/>
          <w:lang w:val="fr-CA"/>
        </w:rPr>
      </w:pPr>
      <w:r w:rsidRPr="009700CF">
        <w:rPr>
          <w:i/>
          <w:iCs/>
          <w:kern w:val="22"/>
          <w:lang w:val="fr-CA"/>
        </w:rPr>
        <w:t xml:space="preserve">Exhorte </w:t>
      </w:r>
      <w:r w:rsidRPr="009700CF">
        <w:rPr>
          <w:iCs/>
          <w:kern w:val="22"/>
          <w:lang w:val="fr-CA"/>
        </w:rPr>
        <w:t>les Parties d’attribuer les ressources nécessaires au fonctionnement de leurs institutions de prévention des risques biotechnologiques, compte tenu du rôle essentiel que jouent ces institutions dans l’application du Protocole</w:t>
      </w:r>
      <w:r w:rsidR="00BE752D">
        <w:rPr>
          <w:iCs/>
          <w:kern w:val="22"/>
          <w:lang w:val="fr-CA"/>
        </w:rPr>
        <w:t> </w:t>
      </w:r>
      <w:r w:rsidR="0042663F" w:rsidRPr="009700CF">
        <w:rPr>
          <w:kern w:val="22"/>
          <w:szCs w:val="22"/>
          <w:lang w:val="fr-CA"/>
        </w:rPr>
        <w:t>;</w:t>
      </w:r>
    </w:p>
    <w:p w14:paraId="25EBAE5E" w14:textId="479E638D" w:rsidR="0042663F" w:rsidRPr="009700CF" w:rsidRDefault="00AA0591" w:rsidP="00C4544F">
      <w:pPr>
        <w:numPr>
          <w:ilvl w:val="2"/>
          <w:numId w:val="19"/>
        </w:numPr>
        <w:suppressLineNumbers/>
        <w:tabs>
          <w:tab w:val="clear" w:pos="2591"/>
        </w:tabs>
        <w:suppressAutoHyphens/>
        <w:spacing w:before="120" w:after="120"/>
        <w:ind w:left="720" w:firstLine="720"/>
        <w:rPr>
          <w:i/>
          <w:iCs/>
          <w:kern w:val="22"/>
          <w:szCs w:val="22"/>
          <w:lang w:val="fr-CA"/>
        </w:rPr>
      </w:pPr>
      <w:r w:rsidRPr="009700CF">
        <w:rPr>
          <w:i/>
          <w:iCs/>
          <w:kern w:val="22"/>
          <w:szCs w:val="22"/>
          <w:lang w:val="fr-CA"/>
        </w:rPr>
        <w:lastRenderedPageBreak/>
        <w:t xml:space="preserve">Prend note avec grande </w:t>
      </w:r>
      <w:r w:rsidR="005C44BB">
        <w:rPr>
          <w:i/>
          <w:iCs/>
          <w:kern w:val="22"/>
          <w:szCs w:val="22"/>
          <w:lang w:val="fr-CA"/>
        </w:rPr>
        <w:t>préoccupation</w:t>
      </w:r>
      <w:r w:rsidRPr="009700CF">
        <w:rPr>
          <w:i/>
          <w:iCs/>
          <w:kern w:val="22"/>
          <w:szCs w:val="22"/>
          <w:lang w:val="fr-CA"/>
        </w:rPr>
        <w:t xml:space="preserve"> </w:t>
      </w:r>
      <w:r w:rsidRPr="009700CF">
        <w:rPr>
          <w:iCs/>
          <w:kern w:val="22"/>
          <w:szCs w:val="22"/>
          <w:lang w:val="fr-CA"/>
        </w:rPr>
        <w:t>qu’à peine un peu plus de la moitié des Parties ont complètement mis en place les mesures légales, administratives et autres mesures nécessaires au respect de leurs obligations au titre du Protocole</w:t>
      </w:r>
      <w:r w:rsidR="005C44BB">
        <w:rPr>
          <w:iCs/>
          <w:kern w:val="22"/>
          <w:szCs w:val="22"/>
          <w:lang w:val="fr-CA"/>
        </w:rPr>
        <w:t>,</w:t>
      </w:r>
      <w:r w:rsidRPr="009700CF">
        <w:rPr>
          <w:iCs/>
          <w:kern w:val="22"/>
          <w:szCs w:val="22"/>
          <w:lang w:val="fr-CA"/>
        </w:rPr>
        <w:t xml:space="preserve"> </w:t>
      </w:r>
      <w:r w:rsidR="005C44BB">
        <w:rPr>
          <w:iCs/>
          <w:kern w:val="22"/>
          <w:szCs w:val="22"/>
          <w:lang w:val="fr-CA"/>
        </w:rPr>
        <w:t>ainsi que</w:t>
      </w:r>
      <w:r w:rsidRPr="009700CF">
        <w:rPr>
          <w:iCs/>
          <w:kern w:val="22"/>
          <w:szCs w:val="22"/>
          <w:lang w:val="fr-CA"/>
        </w:rPr>
        <w:t xml:space="preserve"> des faibles progrès accomplis à cet égard depuis l’évaluation de mi-mandat du Plan stratégique</w:t>
      </w:r>
      <w:r w:rsidR="00BE752D">
        <w:rPr>
          <w:iCs/>
          <w:kern w:val="22"/>
          <w:szCs w:val="22"/>
          <w:lang w:val="fr-CA"/>
        </w:rPr>
        <w:t> </w:t>
      </w:r>
      <w:r w:rsidR="0042663F" w:rsidRPr="009700CF">
        <w:rPr>
          <w:kern w:val="22"/>
          <w:szCs w:val="22"/>
          <w:lang w:val="fr-CA"/>
        </w:rPr>
        <w:t>;</w:t>
      </w:r>
    </w:p>
    <w:p w14:paraId="0992BC9F" w14:textId="316CB089" w:rsidR="0042663F" w:rsidRPr="009700CF" w:rsidRDefault="00AA0591" w:rsidP="00C4544F">
      <w:pPr>
        <w:numPr>
          <w:ilvl w:val="2"/>
          <w:numId w:val="19"/>
        </w:numPr>
        <w:suppressLineNumbers/>
        <w:tabs>
          <w:tab w:val="clear" w:pos="2591"/>
        </w:tabs>
        <w:suppressAutoHyphens/>
        <w:spacing w:before="120" w:after="120"/>
        <w:ind w:left="720" w:firstLine="720"/>
        <w:rPr>
          <w:i/>
          <w:iCs/>
          <w:kern w:val="22"/>
          <w:szCs w:val="22"/>
          <w:lang w:val="fr-CA"/>
        </w:rPr>
      </w:pPr>
      <w:r w:rsidRPr="009700CF">
        <w:rPr>
          <w:i/>
          <w:iCs/>
          <w:kern w:val="22"/>
          <w:szCs w:val="22"/>
          <w:lang w:val="fr-CA"/>
        </w:rPr>
        <w:t xml:space="preserve">Exhorte </w:t>
      </w:r>
      <w:r w:rsidRPr="009700CF">
        <w:rPr>
          <w:iCs/>
          <w:kern w:val="22"/>
          <w:szCs w:val="22"/>
          <w:lang w:val="fr-CA"/>
        </w:rPr>
        <w:t>les Parties qui ne l’ont pas encore fait</w:t>
      </w:r>
      <w:r w:rsidR="00BE752D">
        <w:rPr>
          <w:iCs/>
          <w:kern w:val="22"/>
          <w:szCs w:val="22"/>
          <w:lang w:val="fr-CA"/>
        </w:rPr>
        <w:t>,</w:t>
      </w:r>
      <w:r w:rsidRPr="009700CF">
        <w:rPr>
          <w:iCs/>
          <w:kern w:val="22"/>
          <w:szCs w:val="22"/>
          <w:lang w:val="fr-CA"/>
        </w:rPr>
        <w:t xml:space="preserve"> de mettre en place les mesures légales, administr</w:t>
      </w:r>
      <w:r w:rsidR="0067463E" w:rsidRPr="009700CF">
        <w:rPr>
          <w:iCs/>
          <w:kern w:val="22"/>
          <w:szCs w:val="22"/>
          <w:lang w:val="fr-CA"/>
        </w:rPr>
        <w:t>a</w:t>
      </w:r>
      <w:r w:rsidRPr="009700CF">
        <w:rPr>
          <w:iCs/>
          <w:kern w:val="22"/>
          <w:szCs w:val="22"/>
          <w:lang w:val="fr-CA"/>
        </w:rPr>
        <w:t xml:space="preserve">tives et autres mesures nécessaires au respect de leurs obligations au titre du Protocole, plus particulièrement les lois sur la prévention des risques biotechnologiques, en priorité, et </w:t>
      </w:r>
      <w:r w:rsidRPr="009700CF">
        <w:rPr>
          <w:i/>
          <w:iCs/>
          <w:kern w:val="22"/>
          <w:szCs w:val="22"/>
          <w:lang w:val="fr-CA"/>
        </w:rPr>
        <w:t>reconnaît</w:t>
      </w:r>
      <w:r w:rsidRPr="009700CF">
        <w:rPr>
          <w:iCs/>
          <w:kern w:val="22"/>
          <w:szCs w:val="22"/>
          <w:lang w:val="fr-CA"/>
        </w:rPr>
        <w:t xml:space="preserve"> qu’un soutien supplémentaire est nécessaire à cet égard</w:t>
      </w:r>
      <w:r w:rsidR="00BE752D">
        <w:rPr>
          <w:iCs/>
          <w:kern w:val="22"/>
          <w:szCs w:val="22"/>
          <w:lang w:val="fr-CA"/>
        </w:rPr>
        <w:t> </w:t>
      </w:r>
      <w:r w:rsidR="0042663F" w:rsidRPr="009700CF">
        <w:rPr>
          <w:kern w:val="22"/>
          <w:szCs w:val="22"/>
          <w:lang w:val="fr-CA"/>
        </w:rPr>
        <w:t>;</w:t>
      </w:r>
    </w:p>
    <w:p w14:paraId="022CC867" w14:textId="43676C85" w:rsidR="0042663F" w:rsidRPr="009700CF" w:rsidRDefault="0042663F" w:rsidP="00C4544F">
      <w:pPr>
        <w:pStyle w:val="ListParagraph"/>
        <w:suppressLineNumbers/>
        <w:suppressAutoHyphens/>
        <w:spacing w:before="120" w:after="120"/>
        <w:ind w:left="1440" w:hanging="431"/>
        <w:contextualSpacing w:val="0"/>
        <w:jc w:val="center"/>
        <w:rPr>
          <w:kern w:val="22"/>
          <w:lang w:val="fr-CA"/>
        </w:rPr>
      </w:pPr>
      <w:r w:rsidRPr="009700CF">
        <w:rPr>
          <w:b/>
          <w:bCs/>
          <w:kern w:val="22"/>
          <w:lang w:val="fr-CA"/>
        </w:rPr>
        <w:t>B.</w:t>
      </w:r>
      <w:r w:rsidR="00BA5740" w:rsidRPr="009700CF">
        <w:rPr>
          <w:b/>
          <w:bCs/>
          <w:kern w:val="22"/>
          <w:lang w:val="fr-CA"/>
        </w:rPr>
        <w:tab/>
      </w:r>
      <w:r w:rsidR="0067463E" w:rsidRPr="009700CF">
        <w:rPr>
          <w:b/>
          <w:bCs/>
          <w:kern w:val="22"/>
          <w:lang w:val="fr-CA"/>
        </w:rPr>
        <w:t>Coordination et soutien</w:t>
      </w:r>
    </w:p>
    <w:p w14:paraId="0B10CB7F" w14:textId="050760E7" w:rsidR="0042663F" w:rsidRPr="009700CF" w:rsidRDefault="0067463E" w:rsidP="00C4544F">
      <w:pPr>
        <w:numPr>
          <w:ilvl w:val="2"/>
          <w:numId w:val="19"/>
        </w:numPr>
        <w:suppressLineNumbers/>
        <w:tabs>
          <w:tab w:val="clear" w:pos="2591"/>
        </w:tabs>
        <w:suppressAutoHyphens/>
        <w:spacing w:before="120" w:after="120"/>
        <w:ind w:left="720" w:firstLine="720"/>
        <w:rPr>
          <w:kern w:val="22"/>
          <w:lang w:val="fr-CA"/>
        </w:rPr>
      </w:pPr>
      <w:r w:rsidRPr="009700CF">
        <w:rPr>
          <w:i/>
          <w:iCs/>
          <w:kern w:val="22"/>
          <w:szCs w:val="22"/>
          <w:lang w:val="fr-CA"/>
        </w:rPr>
        <w:t xml:space="preserve">Reconnaît </w:t>
      </w:r>
      <w:r w:rsidRPr="009700CF">
        <w:rPr>
          <w:iCs/>
          <w:kern w:val="22"/>
          <w:szCs w:val="22"/>
          <w:lang w:val="fr-CA"/>
        </w:rPr>
        <w:t>l’importance de la coordination entre les autorités compétentes et à différents niveaux de l’intégration de la prévention des risques biotechnologiques afin de faire avancer l’application du Protocole</w:t>
      </w:r>
      <w:r w:rsidR="00BE752D">
        <w:rPr>
          <w:iCs/>
          <w:kern w:val="22"/>
          <w:szCs w:val="22"/>
          <w:lang w:val="fr-CA"/>
        </w:rPr>
        <w:t> </w:t>
      </w:r>
      <w:r w:rsidR="0042663F" w:rsidRPr="009700CF">
        <w:rPr>
          <w:kern w:val="22"/>
          <w:lang w:val="fr-CA"/>
        </w:rPr>
        <w:t>;</w:t>
      </w:r>
    </w:p>
    <w:p w14:paraId="1E5B83D5" w14:textId="071D3AD7" w:rsidR="0042663F" w:rsidRPr="009700CF" w:rsidRDefault="0067463E" w:rsidP="00C4544F">
      <w:pPr>
        <w:numPr>
          <w:ilvl w:val="2"/>
          <w:numId w:val="19"/>
        </w:numPr>
        <w:suppressLineNumbers/>
        <w:tabs>
          <w:tab w:val="clear" w:pos="2591"/>
        </w:tabs>
        <w:suppressAutoHyphens/>
        <w:spacing w:before="120" w:after="120"/>
        <w:ind w:left="720" w:firstLine="720"/>
        <w:rPr>
          <w:kern w:val="22"/>
          <w:lang w:val="fr-CA"/>
        </w:rPr>
      </w:pPr>
      <w:r w:rsidRPr="009700CF">
        <w:rPr>
          <w:i/>
          <w:iCs/>
          <w:kern w:val="22"/>
          <w:szCs w:val="22"/>
          <w:lang w:val="fr-CA"/>
        </w:rPr>
        <w:t xml:space="preserve">Prend note avec </w:t>
      </w:r>
      <w:r w:rsidR="005C44BB">
        <w:rPr>
          <w:i/>
          <w:iCs/>
          <w:kern w:val="22"/>
          <w:szCs w:val="22"/>
          <w:lang w:val="fr-CA"/>
        </w:rPr>
        <w:t>préoccupation</w:t>
      </w:r>
      <w:r w:rsidRPr="009700CF">
        <w:rPr>
          <w:i/>
          <w:iCs/>
          <w:kern w:val="22"/>
          <w:szCs w:val="22"/>
          <w:lang w:val="fr-CA"/>
        </w:rPr>
        <w:t xml:space="preserve"> </w:t>
      </w:r>
      <w:r w:rsidRPr="009700CF">
        <w:rPr>
          <w:iCs/>
          <w:kern w:val="22"/>
          <w:szCs w:val="22"/>
          <w:lang w:val="fr-CA"/>
        </w:rPr>
        <w:t>de l’absence de progrès à satisfaire aux besoins de renforcement des capacités dans la plupart des régions</w:t>
      </w:r>
      <w:r w:rsidR="00BE752D">
        <w:rPr>
          <w:iCs/>
          <w:kern w:val="22"/>
          <w:szCs w:val="22"/>
          <w:lang w:val="fr-CA"/>
        </w:rPr>
        <w:t> </w:t>
      </w:r>
      <w:r w:rsidR="0042663F" w:rsidRPr="009700CF">
        <w:rPr>
          <w:kern w:val="22"/>
          <w:szCs w:val="22"/>
          <w:lang w:val="fr-CA"/>
        </w:rPr>
        <w:t>;</w:t>
      </w:r>
    </w:p>
    <w:p w14:paraId="37DD51CB" w14:textId="0766F112" w:rsidR="0042663F" w:rsidRPr="009700CF" w:rsidRDefault="0067463E" w:rsidP="00C4544F">
      <w:pPr>
        <w:numPr>
          <w:ilvl w:val="2"/>
          <w:numId w:val="19"/>
        </w:numPr>
        <w:suppressLineNumbers/>
        <w:tabs>
          <w:tab w:val="clear" w:pos="2591"/>
        </w:tabs>
        <w:suppressAutoHyphens/>
        <w:spacing w:before="120" w:after="120"/>
        <w:ind w:left="720" w:firstLine="720"/>
        <w:rPr>
          <w:kern w:val="22"/>
          <w:lang w:val="fr-CA"/>
        </w:rPr>
      </w:pPr>
      <w:r w:rsidRPr="009700CF">
        <w:rPr>
          <w:i/>
          <w:iCs/>
          <w:kern w:val="22"/>
          <w:szCs w:val="22"/>
          <w:lang w:val="fr-CA"/>
        </w:rPr>
        <w:t xml:space="preserve">Souligne </w:t>
      </w:r>
      <w:r w:rsidRPr="009700CF">
        <w:rPr>
          <w:iCs/>
          <w:kern w:val="22"/>
          <w:szCs w:val="22"/>
          <w:lang w:val="fr-CA"/>
        </w:rPr>
        <w:t xml:space="preserve">le besoin permanent de développer et de renforcer les </w:t>
      </w:r>
      <w:r w:rsidR="00B13A88" w:rsidRPr="009700CF">
        <w:rPr>
          <w:iCs/>
          <w:kern w:val="22"/>
          <w:szCs w:val="22"/>
          <w:lang w:val="fr-CA"/>
        </w:rPr>
        <w:t>capacités</w:t>
      </w:r>
      <w:r w:rsidRPr="009700CF">
        <w:rPr>
          <w:iCs/>
          <w:kern w:val="22"/>
          <w:szCs w:val="22"/>
          <w:lang w:val="fr-CA"/>
        </w:rPr>
        <w:t xml:space="preserve"> des Parties à appliquer le Protocole et </w:t>
      </w:r>
      <w:r w:rsidRPr="009700CF">
        <w:rPr>
          <w:i/>
          <w:iCs/>
          <w:kern w:val="22"/>
          <w:szCs w:val="22"/>
          <w:lang w:val="fr-CA"/>
        </w:rPr>
        <w:t xml:space="preserve">reconnaît </w:t>
      </w:r>
      <w:r w:rsidRPr="009700CF">
        <w:rPr>
          <w:iCs/>
          <w:kern w:val="22"/>
          <w:szCs w:val="22"/>
          <w:lang w:val="fr-CA"/>
        </w:rPr>
        <w:t>le rôle de facilitation que le plan d’</w:t>
      </w:r>
      <w:r w:rsidR="00B13A88" w:rsidRPr="009700CF">
        <w:rPr>
          <w:iCs/>
          <w:kern w:val="22"/>
          <w:szCs w:val="22"/>
          <w:lang w:val="fr-CA"/>
        </w:rPr>
        <w:t>acti</w:t>
      </w:r>
      <w:r w:rsidRPr="009700CF">
        <w:rPr>
          <w:iCs/>
          <w:kern w:val="22"/>
          <w:szCs w:val="22"/>
          <w:lang w:val="fr-CA"/>
        </w:rPr>
        <w:t xml:space="preserve">on pour le renforcement des capacités de l’après-2020 </w:t>
      </w:r>
      <w:r w:rsidR="00B13A88" w:rsidRPr="009700CF">
        <w:rPr>
          <w:iCs/>
          <w:kern w:val="22"/>
          <w:szCs w:val="22"/>
          <w:lang w:val="fr-CA"/>
        </w:rPr>
        <w:t xml:space="preserve">pour le Protocole </w:t>
      </w:r>
      <w:r w:rsidRPr="009700CF">
        <w:rPr>
          <w:iCs/>
          <w:kern w:val="22"/>
          <w:szCs w:val="22"/>
          <w:lang w:val="fr-CA"/>
        </w:rPr>
        <w:t>peut jouer à cet égard</w:t>
      </w:r>
      <w:r w:rsidR="00BE752D">
        <w:rPr>
          <w:iCs/>
          <w:kern w:val="22"/>
          <w:szCs w:val="22"/>
          <w:lang w:val="fr-CA"/>
        </w:rPr>
        <w:t> </w:t>
      </w:r>
      <w:r w:rsidR="0042663F" w:rsidRPr="009700CF">
        <w:rPr>
          <w:kern w:val="22"/>
          <w:szCs w:val="22"/>
          <w:lang w:val="fr-CA"/>
        </w:rPr>
        <w:t>;</w:t>
      </w:r>
    </w:p>
    <w:p w14:paraId="4097B805" w14:textId="133B0467" w:rsidR="0042663F" w:rsidRPr="009700CF" w:rsidRDefault="00B13A88" w:rsidP="00C4544F">
      <w:pPr>
        <w:numPr>
          <w:ilvl w:val="2"/>
          <w:numId w:val="19"/>
        </w:numPr>
        <w:suppressLineNumbers/>
        <w:tabs>
          <w:tab w:val="clear" w:pos="2591"/>
        </w:tabs>
        <w:suppressAutoHyphens/>
        <w:spacing w:before="120" w:after="120"/>
        <w:ind w:left="720" w:firstLine="720"/>
        <w:rPr>
          <w:kern w:val="22"/>
          <w:lang w:val="fr-CA"/>
        </w:rPr>
      </w:pPr>
      <w:r w:rsidRPr="009700CF">
        <w:rPr>
          <w:i/>
          <w:iCs/>
          <w:kern w:val="22"/>
          <w:szCs w:val="22"/>
          <w:lang w:val="fr-CA"/>
        </w:rPr>
        <w:t xml:space="preserve">Prend note avec </w:t>
      </w:r>
      <w:r w:rsidR="002C0243">
        <w:rPr>
          <w:i/>
          <w:iCs/>
          <w:kern w:val="22"/>
          <w:szCs w:val="22"/>
          <w:lang w:val="fr-CA"/>
        </w:rPr>
        <w:t>préoccupation</w:t>
      </w:r>
      <w:r w:rsidRPr="009700CF">
        <w:rPr>
          <w:i/>
          <w:iCs/>
          <w:kern w:val="22"/>
          <w:szCs w:val="22"/>
          <w:lang w:val="fr-CA"/>
        </w:rPr>
        <w:t xml:space="preserve"> </w:t>
      </w:r>
      <w:r w:rsidRPr="009700CF">
        <w:rPr>
          <w:iCs/>
          <w:kern w:val="22"/>
          <w:szCs w:val="22"/>
          <w:lang w:val="fr-CA"/>
        </w:rPr>
        <w:t>qu’un moins grand nombre de Parties a eu accès à des ressources financières au-delà de celles prévues à leur budget national que lors de la troisième évaluation et examen et évaluation de mi-mandat du Plan stratégique</w:t>
      </w:r>
      <w:r w:rsidR="00BE752D">
        <w:rPr>
          <w:iCs/>
          <w:kern w:val="22"/>
          <w:szCs w:val="22"/>
          <w:lang w:val="fr-CA"/>
        </w:rPr>
        <w:t> </w:t>
      </w:r>
      <w:r w:rsidR="0042663F" w:rsidRPr="009700CF">
        <w:rPr>
          <w:kern w:val="22"/>
          <w:szCs w:val="22"/>
          <w:lang w:val="fr-CA"/>
        </w:rPr>
        <w:t>;</w:t>
      </w:r>
    </w:p>
    <w:p w14:paraId="2A6B6521" w14:textId="0D292380" w:rsidR="00387120" w:rsidRPr="009700CF" w:rsidRDefault="00B13A88" w:rsidP="00C4544F">
      <w:pPr>
        <w:numPr>
          <w:ilvl w:val="2"/>
          <w:numId w:val="19"/>
        </w:numPr>
        <w:suppressLineNumbers/>
        <w:tabs>
          <w:tab w:val="clear" w:pos="2591"/>
        </w:tabs>
        <w:suppressAutoHyphens/>
        <w:spacing w:before="120" w:after="120"/>
        <w:ind w:left="720" w:firstLine="720"/>
        <w:rPr>
          <w:kern w:val="22"/>
          <w:lang w:val="fr-CA"/>
        </w:rPr>
      </w:pPr>
      <w:r w:rsidRPr="009700CF">
        <w:rPr>
          <w:i/>
          <w:iCs/>
          <w:kern w:val="22"/>
          <w:lang w:val="fr-CA"/>
        </w:rPr>
        <w:t xml:space="preserve">Recommande </w:t>
      </w:r>
      <w:r w:rsidRPr="009700CF">
        <w:rPr>
          <w:iCs/>
          <w:kern w:val="22"/>
          <w:lang w:val="fr-CA"/>
        </w:rPr>
        <w:t xml:space="preserve">que </w:t>
      </w:r>
      <w:r w:rsidR="00302427" w:rsidRPr="009700CF">
        <w:rPr>
          <w:iCs/>
          <w:kern w:val="22"/>
          <w:lang w:val="fr-CA"/>
        </w:rPr>
        <w:t xml:space="preserve">la Conférence des Parties </w:t>
      </w:r>
      <w:r w:rsidR="00302427" w:rsidRPr="009700CF">
        <w:rPr>
          <w:i/>
          <w:iCs/>
          <w:kern w:val="22"/>
          <w:lang w:val="fr-CA"/>
        </w:rPr>
        <w:t>invite</w:t>
      </w:r>
      <w:r w:rsidR="00302427" w:rsidRPr="009700CF">
        <w:rPr>
          <w:iCs/>
          <w:kern w:val="22"/>
          <w:lang w:val="fr-CA"/>
        </w:rPr>
        <w:t xml:space="preserve"> le Fonds pour l’environnement mondial </w:t>
      </w:r>
      <w:r w:rsidR="002C0243">
        <w:rPr>
          <w:iCs/>
          <w:kern w:val="22"/>
          <w:lang w:val="fr-CA"/>
        </w:rPr>
        <w:t>à continuer</w:t>
      </w:r>
      <w:r w:rsidR="00302427" w:rsidRPr="009700CF">
        <w:rPr>
          <w:iCs/>
          <w:kern w:val="22"/>
          <w:lang w:val="fr-CA"/>
        </w:rPr>
        <w:t xml:space="preserve"> à aider les Parties admissibles à entreprendre les activités des domaines prioritaires suivants, selon les besoins d</w:t>
      </w:r>
      <w:r w:rsidR="002C0243">
        <w:rPr>
          <w:iCs/>
          <w:kern w:val="22"/>
          <w:lang w:val="fr-CA"/>
        </w:rPr>
        <w:t>e</w:t>
      </w:r>
      <w:r w:rsidR="00302427" w:rsidRPr="009700CF">
        <w:rPr>
          <w:iCs/>
          <w:kern w:val="22"/>
          <w:lang w:val="fr-CA"/>
        </w:rPr>
        <w:t xml:space="preserve"> soutien supplémentaire reconnus dans la présente décision</w:t>
      </w:r>
      <w:r w:rsidR="002C0243">
        <w:rPr>
          <w:iCs/>
          <w:kern w:val="22"/>
          <w:lang w:val="fr-CA"/>
        </w:rPr>
        <w:t>,</w:t>
      </w:r>
      <w:r w:rsidR="00302427" w:rsidRPr="009700CF">
        <w:rPr>
          <w:iCs/>
          <w:kern w:val="22"/>
          <w:lang w:val="fr-CA"/>
        </w:rPr>
        <w:t xml:space="preserve"> lorsqu’elle adoptera son orientation au mécanisme de financement concernant le soutien à l’application du Protocole de Cartagena sur la prévention des risques biotechnologiques :</w:t>
      </w:r>
      <w:r w:rsidRPr="009700CF">
        <w:rPr>
          <w:iCs/>
          <w:kern w:val="22"/>
          <w:lang w:val="fr-CA"/>
        </w:rPr>
        <w:t xml:space="preserve"> </w:t>
      </w:r>
      <w:r w:rsidR="00862110" w:rsidRPr="009700CF">
        <w:rPr>
          <w:iCs/>
          <w:kern w:val="22"/>
          <w:lang w:val="fr-CA"/>
        </w:rPr>
        <w:t>élaboration et applicati</w:t>
      </w:r>
      <w:r w:rsidR="00302427" w:rsidRPr="009700CF">
        <w:rPr>
          <w:iCs/>
          <w:kern w:val="22"/>
          <w:lang w:val="fr-CA"/>
        </w:rPr>
        <w:t>on des mesures légales, administratives et autres mesures pour appliquer le Protocole</w:t>
      </w:r>
      <w:r w:rsidR="00BE752D">
        <w:rPr>
          <w:iCs/>
          <w:kern w:val="22"/>
          <w:lang w:val="fr-CA"/>
        </w:rPr>
        <w:t> </w:t>
      </w:r>
      <w:r w:rsidR="00302427" w:rsidRPr="009700CF">
        <w:rPr>
          <w:iCs/>
          <w:kern w:val="22"/>
          <w:lang w:val="fr-CA"/>
        </w:rPr>
        <w:t>; évaluation des risques et gestion des risques</w:t>
      </w:r>
      <w:r w:rsidR="00BE752D">
        <w:rPr>
          <w:iCs/>
          <w:kern w:val="22"/>
          <w:lang w:val="fr-CA"/>
        </w:rPr>
        <w:t> </w:t>
      </w:r>
      <w:r w:rsidR="00302427" w:rsidRPr="009700CF">
        <w:rPr>
          <w:iCs/>
          <w:kern w:val="22"/>
          <w:lang w:val="fr-CA"/>
        </w:rPr>
        <w:t>;</w:t>
      </w:r>
      <w:r w:rsidR="00862110" w:rsidRPr="009700CF">
        <w:rPr>
          <w:iCs/>
          <w:kern w:val="22"/>
          <w:lang w:val="fr-CA"/>
        </w:rPr>
        <w:t xml:space="preserve"> détection et identificati</w:t>
      </w:r>
      <w:r w:rsidR="00302427" w:rsidRPr="009700CF">
        <w:rPr>
          <w:iCs/>
          <w:kern w:val="22"/>
          <w:lang w:val="fr-CA"/>
        </w:rPr>
        <w:t>on des organismes vivants modifiés</w:t>
      </w:r>
      <w:r w:rsidR="00BE752D">
        <w:rPr>
          <w:iCs/>
          <w:kern w:val="22"/>
          <w:lang w:val="fr-CA"/>
        </w:rPr>
        <w:t> </w:t>
      </w:r>
      <w:r w:rsidR="00302427" w:rsidRPr="009700CF">
        <w:rPr>
          <w:iCs/>
          <w:kern w:val="22"/>
          <w:lang w:val="fr-CA"/>
        </w:rPr>
        <w:t xml:space="preserve">; </w:t>
      </w:r>
      <w:r w:rsidR="00862110" w:rsidRPr="009700CF">
        <w:rPr>
          <w:iCs/>
          <w:kern w:val="22"/>
          <w:lang w:val="fr-CA"/>
        </w:rPr>
        <w:t>sensibilisa</w:t>
      </w:r>
      <w:r w:rsidR="00302427" w:rsidRPr="009700CF">
        <w:rPr>
          <w:iCs/>
          <w:kern w:val="22"/>
          <w:lang w:val="fr-CA"/>
        </w:rPr>
        <w:t>t</w:t>
      </w:r>
      <w:r w:rsidR="00862110" w:rsidRPr="009700CF">
        <w:rPr>
          <w:iCs/>
          <w:kern w:val="22"/>
          <w:lang w:val="fr-CA"/>
        </w:rPr>
        <w:t>i</w:t>
      </w:r>
      <w:r w:rsidR="00302427" w:rsidRPr="009700CF">
        <w:rPr>
          <w:iCs/>
          <w:kern w:val="22"/>
          <w:lang w:val="fr-CA"/>
        </w:rPr>
        <w:t>on</w:t>
      </w:r>
      <w:r w:rsidR="00862110" w:rsidRPr="009700CF">
        <w:rPr>
          <w:iCs/>
          <w:kern w:val="22"/>
          <w:lang w:val="fr-CA"/>
        </w:rPr>
        <w:t>, éducation et participation</w:t>
      </w:r>
      <w:r w:rsidR="00302427" w:rsidRPr="009700CF">
        <w:rPr>
          <w:iCs/>
          <w:kern w:val="22"/>
          <w:lang w:val="fr-CA"/>
        </w:rPr>
        <w:t xml:space="preserve"> du public</w:t>
      </w:r>
      <w:r w:rsidR="00BE752D">
        <w:rPr>
          <w:iCs/>
          <w:kern w:val="22"/>
          <w:lang w:val="fr-CA"/>
        </w:rPr>
        <w:t> </w:t>
      </w:r>
      <w:r w:rsidR="00387120" w:rsidRPr="009700CF">
        <w:rPr>
          <w:kern w:val="22"/>
          <w:lang w:val="fr-CA"/>
        </w:rPr>
        <w:t>;</w:t>
      </w:r>
      <w:r w:rsidR="00862110" w:rsidRPr="009700CF">
        <w:rPr>
          <w:kern w:val="22"/>
          <w:lang w:val="fr-CA"/>
        </w:rPr>
        <w:t xml:space="preserve"> et responsabilité et réparation</w:t>
      </w:r>
      <w:r w:rsidR="00BE752D">
        <w:rPr>
          <w:kern w:val="22"/>
          <w:lang w:val="fr-CA"/>
        </w:rPr>
        <w:t> </w:t>
      </w:r>
      <w:r w:rsidR="00862110" w:rsidRPr="009700CF">
        <w:rPr>
          <w:kern w:val="22"/>
          <w:lang w:val="fr-CA"/>
        </w:rPr>
        <w:t>;</w:t>
      </w:r>
    </w:p>
    <w:p w14:paraId="72A20FC8" w14:textId="6DEA2778" w:rsidR="0042663F" w:rsidRPr="009700CF" w:rsidRDefault="00862110" w:rsidP="00C4544F">
      <w:pPr>
        <w:numPr>
          <w:ilvl w:val="2"/>
          <w:numId w:val="19"/>
        </w:numPr>
        <w:suppressLineNumbers/>
        <w:tabs>
          <w:tab w:val="clear" w:pos="2591"/>
        </w:tabs>
        <w:suppressAutoHyphens/>
        <w:spacing w:before="120" w:after="120"/>
        <w:ind w:left="720" w:firstLine="720"/>
        <w:rPr>
          <w:kern w:val="22"/>
          <w:lang w:val="fr-CA"/>
        </w:rPr>
      </w:pPr>
      <w:r w:rsidRPr="009700CF">
        <w:rPr>
          <w:i/>
          <w:iCs/>
          <w:kern w:val="22"/>
          <w:lang w:val="fr-CA"/>
        </w:rPr>
        <w:t xml:space="preserve">Exhorte </w:t>
      </w:r>
      <w:r w:rsidRPr="009700CF">
        <w:rPr>
          <w:iCs/>
          <w:kern w:val="22"/>
          <w:lang w:val="fr-CA"/>
        </w:rPr>
        <w:t xml:space="preserve">les Parties et </w:t>
      </w:r>
      <w:r w:rsidRPr="009700CF">
        <w:rPr>
          <w:i/>
          <w:iCs/>
          <w:kern w:val="22"/>
          <w:lang w:val="fr-CA"/>
        </w:rPr>
        <w:t xml:space="preserve">invite </w:t>
      </w:r>
      <w:r w:rsidRPr="009700CF">
        <w:rPr>
          <w:iCs/>
          <w:kern w:val="22"/>
          <w:lang w:val="fr-CA"/>
        </w:rPr>
        <w:t>les autres gouvernements et donateurs à offrir des ressources pour soutenir les efforts des Parties pour renforcer les capacités et améliorer l’application du Protocole de Cartagena dans les domaines prioritaires indiqués au paragraphe 12</w:t>
      </w:r>
      <w:r w:rsidR="00BE752D">
        <w:rPr>
          <w:iCs/>
          <w:kern w:val="22"/>
          <w:lang w:val="fr-CA"/>
        </w:rPr>
        <w:t> </w:t>
      </w:r>
      <w:r w:rsidRPr="009700CF">
        <w:rPr>
          <w:iCs/>
          <w:kern w:val="22"/>
          <w:lang w:val="fr-CA"/>
        </w:rPr>
        <w:t>;</w:t>
      </w:r>
    </w:p>
    <w:p w14:paraId="31AE4B76" w14:textId="659E77AE" w:rsidR="0042663F" w:rsidRPr="009700CF" w:rsidRDefault="0042663F" w:rsidP="00C4544F">
      <w:pPr>
        <w:suppressLineNumbers/>
        <w:suppressAutoHyphens/>
        <w:spacing w:before="120" w:after="120"/>
        <w:ind w:left="1440" w:hanging="431"/>
        <w:jc w:val="center"/>
        <w:rPr>
          <w:kern w:val="22"/>
          <w:lang w:val="fr-CA"/>
        </w:rPr>
      </w:pPr>
      <w:r w:rsidRPr="009700CF">
        <w:rPr>
          <w:b/>
          <w:bCs/>
          <w:kern w:val="22"/>
          <w:lang w:val="fr-CA"/>
        </w:rPr>
        <w:t>C.</w:t>
      </w:r>
      <w:r w:rsidR="006E14A9" w:rsidRPr="009700CF">
        <w:rPr>
          <w:b/>
          <w:bCs/>
          <w:kern w:val="22"/>
          <w:lang w:val="fr-CA"/>
        </w:rPr>
        <w:tab/>
      </w:r>
      <w:r w:rsidR="00862110" w:rsidRPr="009700CF">
        <w:rPr>
          <w:b/>
          <w:bCs/>
          <w:kern w:val="22"/>
          <w:lang w:val="fr-CA"/>
        </w:rPr>
        <w:t>Évaluation des risques et gestion des risques</w:t>
      </w:r>
    </w:p>
    <w:p w14:paraId="0691B8A6" w14:textId="298EABED" w:rsidR="0042663F" w:rsidRPr="009700CF" w:rsidRDefault="009D0C93" w:rsidP="00C4544F">
      <w:pPr>
        <w:numPr>
          <w:ilvl w:val="2"/>
          <w:numId w:val="19"/>
        </w:numPr>
        <w:suppressLineNumbers/>
        <w:tabs>
          <w:tab w:val="clear" w:pos="2591"/>
        </w:tabs>
        <w:suppressAutoHyphens/>
        <w:spacing w:before="120" w:after="120"/>
        <w:ind w:left="720" w:firstLine="720"/>
        <w:rPr>
          <w:kern w:val="22"/>
          <w:lang w:val="fr-CA"/>
        </w:rPr>
      </w:pPr>
      <w:r w:rsidRPr="009700CF">
        <w:rPr>
          <w:i/>
          <w:iCs/>
          <w:kern w:val="22"/>
          <w:szCs w:val="22"/>
          <w:lang w:val="fr-CA"/>
        </w:rPr>
        <w:t xml:space="preserve">Se réjouit </w:t>
      </w:r>
      <w:r w:rsidRPr="009700CF">
        <w:rPr>
          <w:iCs/>
          <w:kern w:val="22"/>
          <w:szCs w:val="22"/>
          <w:lang w:val="fr-CA"/>
        </w:rPr>
        <w:t xml:space="preserve">des progrès accomplis par les Parties dans la réalisation des évaluations des risques au titre du Protocole et dans la publication des rapports sommaires d’évaluation des risques avec les décisions </w:t>
      </w:r>
      <w:r w:rsidR="002C0243">
        <w:rPr>
          <w:iCs/>
          <w:kern w:val="22"/>
          <w:szCs w:val="22"/>
          <w:lang w:val="fr-CA"/>
        </w:rPr>
        <w:t>au</w:t>
      </w:r>
      <w:r w:rsidRPr="009700CF">
        <w:rPr>
          <w:iCs/>
          <w:kern w:val="22"/>
          <w:szCs w:val="22"/>
          <w:lang w:val="fr-CA"/>
        </w:rPr>
        <w:t xml:space="preserve"> centre d</w:t>
      </w:r>
      <w:r w:rsidR="00BE752D">
        <w:rPr>
          <w:iCs/>
          <w:kern w:val="22"/>
          <w:szCs w:val="22"/>
          <w:lang w:val="fr-CA"/>
        </w:rPr>
        <w:t>’</w:t>
      </w:r>
      <w:r w:rsidRPr="009700CF">
        <w:rPr>
          <w:iCs/>
          <w:kern w:val="22"/>
          <w:szCs w:val="22"/>
          <w:lang w:val="fr-CA"/>
        </w:rPr>
        <w:t>échange sur la prévention des risques biotechnologiques</w:t>
      </w:r>
      <w:r w:rsidR="00BE752D">
        <w:rPr>
          <w:iCs/>
          <w:kern w:val="22"/>
          <w:szCs w:val="22"/>
          <w:lang w:val="fr-CA"/>
        </w:rPr>
        <w:t> </w:t>
      </w:r>
      <w:r w:rsidR="0042663F" w:rsidRPr="009700CF">
        <w:rPr>
          <w:kern w:val="22"/>
          <w:szCs w:val="22"/>
          <w:lang w:val="fr-CA"/>
        </w:rPr>
        <w:t>;</w:t>
      </w:r>
    </w:p>
    <w:p w14:paraId="1F65766C" w14:textId="61666CE6" w:rsidR="0042663F" w:rsidRPr="009700CF" w:rsidRDefault="009D0C93" w:rsidP="00C4544F">
      <w:pPr>
        <w:numPr>
          <w:ilvl w:val="2"/>
          <w:numId w:val="19"/>
        </w:numPr>
        <w:suppressLineNumbers/>
        <w:tabs>
          <w:tab w:val="clear" w:pos="2591"/>
        </w:tabs>
        <w:suppressAutoHyphens/>
        <w:spacing w:before="120" w:after="120"/>
        <w:ind w:left="720" w:firstLine="720"/>
        <w:rPr>
          <w:kern w:val="22"/>
          <w:lang w:val="fr-CA"/>
        </w:rPr>
      </w:pPr>
      <w:r w:rsidRPr="009700CF">
        <w:rPr>
          <w:i/>
          <w:iCs/>
          <w:kern w:val="22"/>
          <w:szCs w:val="22"/>
          <w:lang w:val="fr-CA"/>
        </w:rPr>
        <w:t xml:space="preserve">Se réjouit également </w:t>
      </w:r>
      <w:r w:rsidRPr="009700CF">
        <w:rPr>
          <w:iCs/>
          <w:kern w:val="22"/>
          <w:szCs w:val="22"/>
          <w:lang w:val="fr-CA"/>
        </w:rPr>
        <w:t xml:space="preserve">des progrès accomplis par les Parties concernant l’adoption de méthodes communes d’évaluer les risques et de </w:t>
      </w:r>
      <w:r w:rsidR="006269CB" w:rsidRPr="009700CF">
        <w:rPr>
          <w:iCs/>
          <w:kern w:val="22"/>
          <w:szCs w:val="22"/>
          <w:lang w:val="fr-CA"/>
        </w:rPr>
        <w:t>gérer</w:t>
      </w:r>
      <w:r w:rsidRPr="009700CF">
        <w:rPr>
          <w:iCs/>
          <w:kern w:val="22"/>
          <w:szCs w:val="22"/>
          <w:lang w:val="fr-CA"/>
        </w:rPr>
        <w:t xml:space="preserve"> les risques, et l’adoption</w:t>
      </w:r>
      <w:r w:rsidR="006269CB" w:rsidRPr="009700CF">
        <w:rPr>
          <w:iCs/>
          <w:kern w:val="22"/>
          <w:szCs w:val="22"/>
          <w:lang w:val="fr-CA"/>
        </w:rPr>
        <w:t xml:space="preserve"> ou l’utilisation de documents d’orientation pour </w:t>
      </w:r>
      <w:r w:rsidR="002934FE">
        <w:rPr>
          <w:iCs/>
          <w:kern w:val="22"/>
          <w:szCs w:val="22"/>
          <w:lang w:val="fr-CA"/>
        </w:rPr>
        <w:t>mener des évaluations d</w:t>
      </w:r>
      <w:r w:rsidR="006269CB" w:rsidRPr="009700CF">
        <w:rPr>
          <w:iCs/>
          <w:kern w:val="22"/>
          <w:szCs w:val="22"/>
          <w:lang w:val="fr-CA"/>
        </w:rPr>
        <w:t>es risques ou évaluer les rapports sommaires d’évaluation des risques soumis par des déclarants</w:t>
      </w:r>
      <w:r w:rsidR="00BE752D">
        <w:rPr>
          <w:iCs/>
          <w:kern w:val="22"/>
          <w:szCs w:val="22"/>
          <w:lang w:val="fr-CA"/>
        </w:rPr>
        <w:t> </w:t>
      </w:r>
      <w:r w:rsidR="0042663F" w:rsidRPr="009700CF">
        <w:rPr>
          <w:kern w:val="22"/>
          <w:szCs w:val="22"/>
          <w:lang w:val="fr-CA"/>
        </w:rPr>
        <w:t>;</w:t>
      </w:r>
    </w:p>
    <w:p w14:paraId="2C15DA94" w14:textId="31BD50B6" w:rsidR="006269CB" w:rsidRPr="009700CF" w:rsidRDefault="006269CB" w:rsidP="006269CB">
      <w:pPr>
        <w:numPr>
          <w:ilvl w:val="2"/>
          <w:numId w:val="19"/>
        </w:numPr>
        <w:suppressLineNumbers/>
        <w:tabs>
          <w:tab w:val="clear" w:pos="2591"/>
        </w:tabs>
        <w:suppressAutoHyphens/>
        <w:spacing w:before="120" w:after="120"/>
        <w:ind w:left="720" w:firstLine="720"/>
        <w:rPr>
          <w:kern w:val="22"/>
          <w:lang w:val="fr-CA"/>
        </w:rPr>
      </w:pPr>
      <w:r w:rsidRPr="009700CF">
        <w:rPr>
          <w:i/>
          <w:iCs/>
          <w:kern w:val="22"/>
          <w:szCs w:val="22"/>
          <w:lang w:val="fr-CA"/>
        </w:rPr>
        <w:t xml:space="preserve">Reconnaît </w:t>
      </w:r>
      <w:r w:rsidRPr="009700CF">
        <w:rPr>
          <w:iCs/>
          <w:kern w:val="22"/>
          <w:szCs w:val="22"/>
          <w:lang w:val="fr-CA"/>
        </w:rPr>
        <w:t>la nécessité de soutenir davantage l’évaluation des risques et la gestion des risques, notamment en renforçant les capacités en ressources humaines et en facilitant l’accès à des ressources financières suffisantes et une infrastructure technique adéquate</w:t>
      </w:r>
      <w:r w:rsidR="00BE752D">
        <w:rPr>
          <w:iCs/>
          <w:kern w:val="22"/>
          <w:szCs w:val="22"/>
          <w:lang w:val="fr-CA"/>
        </w:rPr>
        <w:t> </w:t>
      </w:r>
      <w:r w:rsidR="0042663F" w:rsidRPr="009700CF">
        <w:rPr>
          <w:kern w:val="22"/>
          <w:szCs w:val="22"/>
          <w:lang w:val="fr-CA"/>
        </w:rPr>
        <w:t>;</w:t>
      </w:r>
    </w:p>
    <w:p w14:paraId="3DF15BB6" w14:textId="77777777" w:rsidR="006269CB" w:rsidRPr="009700CF" w:rsidRDefault="006269CB">
      <w:pPr>
        <w:jc w:val="left"/>
        <w:rPr>
          <w:b/>
          <w:bCs/>
          <w:kern w:val="22"/>
          <w:lang w:val="fr-CA"/>
        </w:rPr>
      </w:pPr>
      <w:r w:rsidRPr="009700CF">
        <w:rPr>
          <w:b/>
          <w:bCs/>
          <w:kern w:val="22"/>
          <w:lang w:val="fr-CA"/>
        </w:rPr>
        <w:br w:type="page"/>
      </w:r>
    </w:p>
    <w:p w14:paraId="5AB63B60" w14:textId="7A0E1C6C" w:rsidR="0042663F" w:rsidRPr="009700CF" w:rsidRDefault="0042663F" w:rsidP="00C4544F">
      <w:pPr>
        <w:suppressLineNumbers/>
        <w:suppressAutoHyphens/>
        <w:spacing w:before="120" w:after="120"/>
        <w:ind w:left="1475" w:hanging="454"/>
        <w:jc w:val="center"/>
        <w:rPr>
          <w:b/>
          <w:bCs/>
          <w:kern w:val="22"/>
          <w:lang w:val="fr-CA"/>
        </w:rPr>
      </w:pPr>
      <w:r w:rsidRPr="009700CF">
        <w:rPr>
          <w:b/>
          <w:bCs/>
          <w:kern w:val="22"/>
          <w:lang w:val="fr-CA"/>
        </w:rPr>
        <w:lastRenderedPageBreak/>
        <w:t>D.</w:t>
      </w:r>
      <w:r w:rsidRPr="009700CF">
        <w:rPr>
          <w:b/>
          <w:bCs/>
          <w:kern w:val="22"/>
          <w:lang w:val="fr-CA"/>
        </w:rPr>
        <w:tab/>
      </w:r>
      <w:r w:rsidR="00783BC1" w:rsidRPr="009700CF">
        <w:rPr>
          <w:b/>
          <w:bCs/>
          <w:kern w:val="22"/>
          <w:lang w:val="fr-CA"/>
        </w:rPr>
        <w:t>Organismes vivants modifiés et caractéristiques pouvant avoir des effets nuisibles</w:t>
      </w:r>
    </w:p>
    <w:p w14:paraId="1C10B9E1" w14:textId="46CE20E5" w:rsidR="0042663F" w:rsidRPr="009700CF" w:rsidRDefault="00783BC1" w:rsidP="00C4544F">
      <w:pPr>
        <w:numPr>
          <w:ilvl w:val="2"/>
          <w:numId w:val="19"/>
        </w:numPr>
        <w:suppressLineNumbers/>
        <w:tabs>
          <w:tab w:val="clear" w:pos="2591"/>
        </w:tabs>
        <w:suppressAutoHyphens/>
        <w:spacing w:before="120" w:after="120"/>
        <w:ind w:left="720" w:firstLine="720"/>
        <w:rPr>
          <w:kern w:val="22"/>
          <w:lang w:val="fr-CA"/>
        </w:rPr>
      </w:pPr>
      <w:r w:rsidRPr="009700CF">
        <w:rPr>
          <w:i/>
          <w:iCs/>
          <w:kern w:val="22"/>
          <w:szCs w:val="22"/>
          <w:lang w:val="fr-CA"/>
        </w:rPr>
        <w:t xml:space="preserve">Félicite </w:t>
      </w:r>
      <w:r w:rsidRPr="009700CF">
        <w:rPr>
          <w:iCs/>
          <w:kern w:val="22"/>
          <w:szCs w:val="22"/>
          <w:lang w:val="fr-CA"/>
        </w:rPr>
        <w:t>les nombreuses Parties qui ont mis en place les capacités de détecter, identifier, évaluer et suivre les organismes vivants modifiés et les caractéristiques pouvant avoir des effets nuisibles sur la conservation et l’utilisation durable de la diversité biologique</w:t>
      </w:r>
      <w:r w:rsidR="00BE752D">
        <w:rPr>
          <w:iCs/>
          <w:kern w:val="22"/>
          <w:szCs w:val="22"/>
          <w:lang w:val="fr-CA"/>
        </w:rPr>
        <w:t> </w:t>
      </w:r>
      <w:r w:rsidR="00B0388B" w:rsidRPr="009700CF">
        <w:rPr>
          <w:kern w:val="22"/>
          <w:szCs w:val="22"/>
          <w:lang w:val="fr-CA"/>
        </w:rPr>
        <w:t>;</w:t>
      </w:r>
    </w:p>
    <w:p w14:paraId="4836A7E5" w14:textId="6CD0D5AB" w:rsidR="0042663F" w:rsidRPr="009700CF" w:rsidRDefault="00783BC1" w:rsidP="00C4544F">
      <w:pPr>
        <w:numPr>
          <w:ilvl w:val="2"/>
          <w:numId w:val="19"/>
        </w:numPr>
        <w:suppressLineNumbers/>
        <w:tabs>
          <w:tab w:val="clear" w:pos="2591"/>
        </w:tabs>
        <w:suppressAutoHyphens/>
        <w:spacing w:before="120" w:after="120"/>
        <w:ind w:left="720" w:firstLine="720"/>
        <w:rPr>
          <w:kern w:val="22"/>
          <w:lang w:val="fr-CA"/>
        </w:rPr>
      </w:pPr>
      <w:r w:rsidRPr="009700CF">
        <w:rPr>
          <w:i/>
          <w:iCs/>
          <w:kern w:val="22"/>
          <w:szCs w:val="22"/>
          <w:lang w:val="fr-CA"/>
        </w:rPr>
        <w:t xml:space="preserve">Reconnaît </w:t>
      </w:r>
      <w:r w:rsidRPr="009700CF">
        <w:rPr>
          <w:iCs/>
          <w:kern w:val="22"/>
          <w:szCs w:val="22"/>
          <w:lang w:val="fr-CA"/>
        </w:rPr>
        <w:t xml:space="preserve">toutefois qu’il faut davantage de soutien afin de renforcer les capacités </w:t>
      </w:r>
      <w:r w:rsidR="002934FE">
        <w:rPr>
          <w:iCs/>
          <w:kern w:val="22"/>
          <w:szCs w:val="22"/>
          <w:lang w:val="fr-CA"/>
        </w:rPr>
        <w:t>en</w:t>
      </w:r>
      <w:r w:rsidRPr="009700CF">
        <w:rPr>
          <w:iCs/>
          <w:kern w:val="22"/>
          <w:szCs w:val="22"/>
          <w:lang w:val="fr-CA"/>
        </w:rPr>
        <w:t xml:space="preserve"> ressources humaines et faciliter l’accès à une infrastructure technique adéquate afin de détecter, identifier, évaluer et suivre les organismes vivants modifiés</w:t>
      </w:r>
      <w:r w:rsidR="00BE752D">
        <w:rPr>
          <w:iCs/>
          <w:kern w:val="22"/>
          <w:szCs w:val="22"/>
          <w:lang w:val="fr-CA"/>
        </w:rPr>
        <w:t> </w:t>
      </w:r>
      <w:r w:rsidR="0042663F" w:rsidRPr="009700CF">
        <w:rPr>
          <w:kern w:val="22"/>
          <w:szCs w:val="22"/>
          <w:lang w:val="fr-CA"/>
        </w:rPr>
        <w:t>;</w:t>
      </w:r>
    </w:p>
    <w:p w14:paraId="1E2620D8" w14:textId="21F0ABF0" w:rsidR="0042663F" w:rsidRPr="009700CF" w:rsidRDefault="0042663F" w:rsidP="00C4544F">
      <w:pPr>
        <w:suppressLineNumbers/>
        <w:suppressAutoHyphens/>
        <w:spacing w:before="120" w:after="120"/>
        <w:ind w:left="1440" w:hanging="431"/>
        <w:jc w:val="center"/>
        <w:rPr>
          <w:kern w:val="22"/>
          <w:lang w:val="fr-CA"/>
        </w:rPr>
      </w:pPr>
      <w:r w:rsidRPr="009700CF">
        <w:rPr>
          <w:b/>
          <w:bCs/>
          <w:kern w:val="22"/>
          <w:lang w:val="fr-CA"/>
        </w:rPr>
        <w:t>E.</w:t>
      </w:r>
      <w:r w:rsidR="00261155" w:rsidRPr="009700CF">
        <w:rPr>
          <w:b/>
          <w:bCs/>
          <w:kern w:val="22"/>
          <w:lang w:val="fr-CA"/>
        </w:rPr>
        <w:tab/>
      </w:r>
      <w:r w:rsidR="00783BC1" w:rsidRPr="009700CF">
        <w:rPr>
          <w:b/>
          <w:bCs/>
          <w:kern w:val="22"/>
          <w:lang w:val="fr-CA"/>
        </w:rPr>
        <w:t>Responsabilité et réparation</w:t>
      </w:r>
    </w:p>
    <w:p w14:paraId="37C6B6BE" w14:textId="22A1F137" w:rsidR="0042663F" w:rsidRPr="009700CF" w:rsidRDefault="00783BC1" w:rsidP="00C4544F">
      <w:pPr>
        <w:numPr>
          <w:ilvl w:val="2"/>
          <w:numId w:val="19"/>
        </w:numPr>
        <w:suppressLineNumbers/>
        <w:tabs>
          <w:tab w:val="clear" w:pos="2591"/>
        </w:tabs>
        <w:suppressAutoHyphens/>
        <w:spacing w:before="120" w:after="120"/>
        <w:ind w:left="720" w:firstLine="720"/>
        <w:rPr>
          <w:kern w:val="22"/>
          <w:lang w:val="fr-CA"/>
        </w:rPr>
      </w:pPr>
      <w:r w:rsidRPr="009700CF">
        <w:rPr>
          <w:i/>
          <w:iCs/>
          <w:kern w:val="22"/>
          <w:szCs w:val="22"/>
          <w:lang w:val="fr-CA"/>
        </w:rPr>
        <w:t xml:space="preserve">Prend note avec déception </w:t>
      </w:r>
      <w:r w:rsidR="00CD4714" w:rsidRPr="009700CF">
        <w:rPr>
          <w:iCs/>
          <w:kern w:val="22"/>
          <w:szCs w:val="22"/>
          <w:lang w:val="fr-CA"/>
        </w:rPr>
        <w:t>du faible nombre de Parties au Protocole de Cartagena sur la prévention des risques biotechnologiques ayant ratifié le Protocole additionnel de Nagoya-Kuala Lumpur sur la responsabilité et la réparation</w:t>
      </w:r>
      <w:r w:rsidR="00BE752D">
        <w:rPr>
          <w:iCs/>
          <w:kern w:val="22"/>
          <w:szCs w:val="22"/>
          <w:lang w:val="fr-CA"/>
        </w:rPr>
        <w:t> </w:t>
      </w:r>
      <w:r w:rsidR="0042663F" w:rsidRPr="009700CF">
        <w:rPr>
          <w:kern w:val="22"/>
          <w:szCs w:val="22"/>
          <w:lang w:val="fr-CA"/>
        </w:rPr>
        <w:t>;</w:t>
      </w:r>
    </w:p>
    <w:p w14:paraId="5D5D5A4F" w14:textId="7E43A4D0" w:rsidR="0042663F" w:rsidRPr="009700CF" w:rsidRDefault="00CD4714" w:rsidP="00C4544F">
      <w:pPr>
        <w:numPr>
          <w:ilvl w:val="2"/>
          <w:numId w:val="19"/>
        </w:numPr>
        <w:suppressLineNumbers/>
        <w:tabs>
          <w:tab w:val="clear" w:pos="2591"/>
        </w:tabs>
        <w:suppressAutoHyphens/>
        <w:spacing w:before="120" w:after="120"/>
        <w:ind w:left="720" w:firstLine="720"/>
        <w:rPr>
          <w:kern w:val="22"/>
          <w:lang w:val="fr-CA"/>
        </w:rPr>
      </w:pPr>
      <w:r w:rsidRPr="009700CF">
        <w:rPr>
          <w:i/>
          <w:iCs/>
          <w:kern w:val="22"/>
          <w:szCs w:val="22"/>
          <w:lang w:val="fr-CA"/>
        </w:rPr>
        <w:t xml:space="preserve">Demande </w:t>
      </w:r>
      <w:r w:rsidRPr="009700CF">
        <w:rPr>
          <w:iCs/>
          <w:kern w:val="22"/>
          <w:szCs w:val="22"/>
          <w:lang w:val="fr-CA"/>
        </w:rPr>
        <w:t xml:space="preserve">à la Secrétaire exécutive d’entreprendre des activités de sensibilisation, dans les limites des ressources disponibles, afin de soutenir les efforts de ratification et </w:t>
      </w:r>
      <w:r w:rsidRPr="009700CF">
        <w:rPr>
          <w:i/>
          <w:iCs/>
          <w:kern w:val="22"/>
          <w:szCs w:val="22"/>
          <w:lang w:val="fr-CA"/>
        </w:rPr>
        <w:t xml:space="preserve">invite </w:t>
      </w:r>
      <w:r w:rsidRPr="009700CF">
        <w:rPr>
          <w:iCs/>
          <w:kern w:val="22"/>
          <w:szCs w:val="22"/>
          <w:lang w:val="fr-CA"/>
        </w:rPr>
        <w:t>les autres partenaires à entreprendre des activités de sensibilisation en lien avec le Protocole additionnel</w:t>
      </w:r>
      <w:r w:rsidR="00BE752D">
        <w:rPr>
          <w:iCs/>
          <w:kern w:val="22"/>
          <w:szCs w:val="22"/>
          <w:lang w:val="fr-CA"/>
        </w:rPr>
        <w:t> </w:t>
      </w:r>
      <w:r w:rsidR="0042663F" w:rsidRPr="009700CF">
        <w:rPr>
          <w:kern w:val="22"/>
          <w:szCs w:val="22"/>
          <w:lang w:val="fr-CA"/>
        </w:rPr>
        <w:t>;</w:t>
      </w:r>
    </w:p>
    <w:p w14:paraId="7D9DD24D" w14:textId="20CBEF8D" w:rsidR="0042663F" w:rsidRPr="0070605C" w:rsidRDefault="00CD4714" w:rsidP="00C4544F">
      <w:pPr>
        <w:numPr>
          <w:ilvl w:val="2"/>
          <w:numId w:val="19"/>
        </w:numPr>
        <w:suppressLineNumbers/>
        <w:tabs>
          <w:tab w:val="clear" w:pos="2591"/>
        </w:tabs>
        <w:suppressAutoHyphens/>
        <w:spacing w:before="120" w:after="120"/>
        <w:ind w:left="720" w:firstLine="720"/>
        <w:rPr>
          <w:i/>
          <w:iCs/>
          <w:kern w:val="22"/>
          <w:szCs w:val="22"/>
          <w:lang w:val="fr-CA"/>
        </w:rPr>
      </w:pPr>
      <w:r w:rsidRPr="009700CF">
        <w:rPr>
          <w:i/>
          <w:iCs/>
          <w:kern w:val="22"/>
          <w:szCs w:val="22"/>
          <w:lang w:val="fr-CA"/>
        </w:rPr>
        <w:t xml:space="preserve">Se réjouit </w:t>
      </w:r>
      <w:r w:rsidRPr="009700CF">
        <w:rPr>
          <w:iCs/>
          <w:kern w:val="22"/>
          <w:szCs w:val="22"/>
          <w:lang w:val="fr-CA"/>
        </w:rPr>
        <w:t>des progrès accomplis par les Parties au Protocole additionnel</w:t>
      </w:r>
      <w:r w:rsidR="00E17F32" w:rsidRPr="009700CF">
        <w:rPr>
          <w:iCs/>
          <w:kern w:val="22"/>
          <w:szCs w:val="22"/>
          <w:lang w:val="fr-CA"/>
        </w:rPr>
        <w:t xml:space="preserve"> concernant l’adoption de mesures pour appliquer le Protocole additionnel tout en reconnaissant la nécessité de soutenir les Parties au Protocole additionnel qui connaissent des difficultés à cet égard</w:t>
      </w:r>
      <w:r w:rsidR="00BE752D">
        <w:rPr>
          <w:iCs/>
          <w:kern w:val="22"/>
          <w:szCs w:val="22"/>
          <w:lang w:val="fr-CA"/>
        </w:rPr>
        <w:t> </w:t>
      </w:r>
      <w:r w:rsidR="0042663F" w:rsidRPr="009700CF">
        <w:rPr>
          <w:kern w:val="22"/>
          <w:szCs w:val="22"/>
          <w:lang w:val="fr-CA"/>
        </w:rPr>
        <w:t>;</w:t>
      </w:r>
    </w:p>
    <w:p w14:paraId="26A3FE42" w14:textId="77777777" w:rsidR="0070605C" w:rsidRPr="0070605C" w:rsidRDefault="0070605C" w:rsidP="0070605C">
      <w:pPr>
        <w:pStyle w:val="ListParagraph"/>
        <w:numPr>
          <w:ilvl w:val="0"/>
          <w:numId w:val="38"/>
        </w:numPr>
        <w:suppressLineNumbers/>
        <w:suppressAutoHyphens/>
        <w:spacing w:before="120" w:after="120"/>
        <w:jc w:val="center"/>
        <w:rPr>
          <w:bCs/>
          <w:kern w:val="22"/>
          <w:szCs w:val="22"/>
          <w:lang w:val="fr-CA"/>
        </w:rPr>
      </w:pPr>
      <w:r w:rsidRPr="0070605C">
        <w:rPr>
          <w:b/>
          <w:bCs/>
          <w:kern w:val="22"/>
          <w:szCs w:val="22"/>
          <w:lang w:val="fr-CA"/>
        </w:rPr>
        <w:t xml:space="preserve">Manipulation, transport, emballage et identification </w:t>
      </w:r>
    </w:p>
    <w:p w14:paraId="538168F2" w14:textId="7790FEC8" w:rsidR="0070605C" w:rsidRPr="0070605C" w:rsidRDefault="0070605C" w:rsidP="00C4544F">
      <w:pPr>
        <w:numPr>
          <w:ilvl w:val="2"/>
          <w:numId w:val="19"/>
        </w:numPr>
        <w:suppressLineNumbers/>
        <w:tabs>
          <w:tab w:val="clear" w:pos="2591"/>
        </w:tabs>
        <w:suppressAutoHyphens/>
        <w:spacing w:before="120" w:after="120"/>
        <w:ind w:left="720" w:firstLine="720"/>
        <w:rPr>
          <w:i/>
          <w:iCs/>
          <w:kern w:val="22"/>
          <w:szCs w:val="22"/>
          <w:lang w:val="fr-CA"/>
        </w:rPr>
      </w:pPr>
      <w:r>
        <w:rPr>
          <w:i/>
          <w:iCs/>
          <w:kern w:val="22"/>
          <w:szCs w:val="22"/>
          <w:lang w:val="fr-CA"/>
        </w:rPr>
        <w:t xml:space="preserve">Se réjouit </w:t>
      </w:r>
      <w:r>
        <w:rPr>
          <w:iCs/>
          <w:kern w:val="22"/>
          <w:szCs w:val="22"/>
          <w:lang w:val="fr-CA"/>
        </w:rPr>
        <w:t xml:space="preserve">du fait que presque toutes les Parties aient formé des employés de laboratoire en détection d’organismes vivants modifiés, tout en reconnaissant qu’environ la moitié de ces Parties </w:t>
      </w:r>
      <w:r w:rsidR="002F7680">
        <w:rPr>
          <w:iCs/>
          <w:kern w:val="22"/>
          <w:szCs w:val="22"/>
          <w:lang w:val="fr-CA"/>
        </w:rPr>
        <w:t>ont</w:t>
      </w:r>
      <w:r>
        <w:rPr>
          <w:iCs/>
          <w:kern w:val="22"/>
          <w:szCs w:val="22"/>
          <w:lang w:val="fr-CA"/>
        </w:rPr>
        <w:t xml:space="preserve"> précisé </w:t>
      </w:r>
      <w:r w:rsidR="002F7680">
        <w:rPr>
          <w:iCs/>
          <w:kern w:val="22"/>
          <w:szCs w:val="22"/>
          <w:lang w:val="fr-CA"/>
        </w:rPr>
        <w:t>que plus de formation s’impose ;</w:t>
      </w:r>
    </w:p>
    <w:p w14:paraId="5F9D627D" w14:textId="08489141" w:rsidR="0070605C" w:rsidRPr="0070605C" w:rsidRDefault="002F7680" w:rsidP="0070605C">
      <w:pPr>
        <w:numPr>
          <w:ilvl w:val="2"/>
          <w:numId w:val="19"/>
        </w:numPr>
        <w:suppressLineNumbers/>
        <w:tabs>
          <w:tab w:val="clear" w:pos="2591"/>
        </w:tabs>
        <w:suppressAutoHyphens/>
        <w:spacing w:before="120" w:after="120"/>
        <w:ind w:left="720" w:firstLine="720"/>
        <w:rPr>
          <w:i/>
          <w:iCs/>
          <w:kern w:val="22"/>
          <w:szCs w:val="22"/>
          <w:lang w:val="fr-CA"/>
        </w:rPr>
      </w:pPr>
      <w:r>
        <w:rPr>
          <w:i/>
          <w:iCs/>
          <w:kern w:val="22"/>
          <w:szCs w:val="22"/>
          <w:lang w:val="fr-CA"/>
        </w:rPr>
        <w:t xml:space="preserve">Prend note </w:t>
      </w:r>
      <w:r>
        <w:rPr>
          <w:iCs/>
          <w:kern w:val="22"/>
          <w:szCs w:val="22"/>
          <w:lang w:val="fr-CA"/>
        </w:rPr>
        <w:t>que la plupart des Parties ont déclaré avoir un accès fiable à des laboratoires, en prenant note avec inquiétude que les autres Parties font toujours face à des difficultés et qu’elles ont besoin de soutien à cet égard.</w:t>
      </w:r>
    </w:p>
    <w:p w14:paraId="69092421" w14:textId="76A1CF1D" w:rsidR="0042663F" w:rsidRPr="009700CF" w:rsidRDefault="0042663F" w:rsidP="00C4544F">
      <w:pPr>
        <w:pStyle w:val="ListParagraph"/>
        <w:suppressLineNumbers/>
        <w:suppressAutoHyphens/>
        <w:spacing w:before="120" w:after="120"/>
        <w:ind w:left="1440" w:hanging="431"/>
        <w:contextualSpacing w:val="0"/>
        <w:jc w:val="center"/>
        <w:rPr>
          <w:kern w:val="22"/>
          <w:lang w:val="fr-CA"/>
        </w:rPr>
      </w:pPr>
      <w:r w:rsidRPr="009700CF">
        <w:rPr>
          <w:b/>
          <w:bCs/>
          <w:kern w:val="22"/>
          <w:szCs w:val="22"/>
          <w:lang w:val="fr-CA"/>
        </w:rPr>
        <w:t>G.</w:t>
      </w:r>
      <w:r w:rsidR="000A7E66" w:rsidRPr="009700CF">
        <w:rPr>
          <w:b/>
          <w:bCs/>
          <w:kern w:val="22"/>
          <w:szCs w:val="22"/>
          <w:lang w:val="fr-CA"/>
        </w:rPr>
        <w:tab/>
      </w:r>
      <w:r w:rsidR="00E17F32" w:rsidRPr="009700CF">
        <w:rPr>
          <w:b/>
          <w:bCs/>
          <w:kern w:val="22"/>
          <w:szCs w:val="22"/>
          <w:lang w:val="fr-CA"/>
        </w:rPr>
        <w:t>Facteurs socioéconomiques</w:t>
      </w:r>
    </w:p>
    <w:p w14:paraId="1EBBF2A3" w14:textId="0BC0C37A" w:rsidR="0042663F" w:rsidRPr="009700CF" w:rsidRDefault="00E17F32" w:rsidP="00C4544F">
      <w:pPr>
        <w:numPr>
          <w:ilvl w:val="2"/>
          <w:numId w:val="19"/>
        </w:numPr>
        <w:suppressLineNumbers/>
        <w:tabs>
          <w:tab w:val="clear" w:pos="2591"/>
        </w:tabs>
        <w:suppressAutoHyphens/>
        <w:spacing w:before="120" w:after="120"/>
        <w:ind w:left="720" w:firstLine="720"/>
        <w:rPr>
          <w:kern w:val="22"/>
          <w:lang w:val="fr-CA"/>
        </w:rPr>
      </w:pPr>
      <w:r w:rsidRPr="009700CF">
        <w:rPr>
          <w:i/>
          <w:iCs/>
          <w:kern w:val="22"/>
          <w:szCs w:val="22"/>
          <w:lang w:val="fr-CA"/>
        </w:rPr>
        <w:t xml:space="preserve">Prend note </w:t>
      </w:r>
      <w:r w:rsidRPr="009700CF">
        <w:rPr>
          <w:iCs/>
          <w:kern w:val="22"/>
          <w:szCs w:val="22"/>
          <w:lang w:val="fr-CA"/>
        </w:rPr>
        <w:t xml:space="preserve">qu’environ la moitié des Parties </w:t>
      </w:r>
      <w:r w:rsidR="005726B9">
        <w:rPr>
          <w:iCs/>
          <w:kern w:val="22"/>
          <w:szCs w:val="22"/>
          <w:lang w:val="fr-CA"/>
        </w:rPr>
        <w:t>ont</w:t>
      </w:r>
      <w:r w:rsidRPr="009700CF">
        <w:rPr>
          <w:iCs/>
          <w:kern w:val="22"/>
          <w:szCs w:val="22"/>
          <w:lang w:val="fr-CA"/>
        </w:rPr>
        <w:t xml:space="preserve"> des méthodes ou des exigences spécifiques qui aident à déterminer comment les facteurs socioéconomiques doivent être pris en compte dans la prise de décisions sur les organismes vivants modifiés</w:t>
      </w:r>
      <w:r w:rsidR="00BE752D">
        <w:rPr>
          <w:iCs/>
          <w:kern w:val="22"/>
          <w:szCs w:val="22"/>
          <w:lang w:val="fr-CA"/>
        </w:rPr>
        <w:t> </w:t>
      </w:r>
      <w:r w:rsidR="0042663F" w:rsidRPr="009700CF">
        <w:rPr>
          <w:kern w:val="22"/>
          <w:szCs w:val="22"/>
          <w:lang w:val="fr-CA"/>
        </w:rPr>
        <w:t>;</w:t>
      </w:r>
    </w:p>
    <w:p w14:paraId="6DCCA0E2" w14:textId="1FEAE821" w:rsidR="0042663F" w:rsidRPr="009700CF" w:rsidRDefault="00E17F32" w:rsidP="00C4544F">
      <w:pPr>
        <w:numPr>
          <w:ilvl w:val="2"/>
          <w:numId w:val="19"/>
        </w:numPr>
        <w:suppressLineNumbers/>
        <w:tabs>
          <w:tab w:val="clear" w:pos="2591"/>
        </w:tabs>
        <w:suppressAutoHyphens/>
        <w:spacing w:before="120" w:after="120"/>
        <w:ind w:left="720" w:firstLine="720"/>
        <w:rPr>
          <w:kern w:val="22"/>
          <w:lang w:val="fr-CA"/>
        </w:rPr>
      </w:pPr>
      <w:r w:rsidRPr="009700CF">
        <w:rPr>
          <w:i/>
          <w:iCs/>
          <w:kern w:val="22"/>
          <w:szCs w:val="22"/>
          <w:lang w:val="fr-CA"/>
        </w:rPr>
        <w:t xml:space="preserve">Encourage </w:t>
      </w:r>
      <w:r w:rsidRPr="009700CF">
        <w:rPr>
          <w:iCs/>
          <w:kern w:val="22"/>
          <w:szCs w:val="22"/>
          <w:lang w:val="fr-CA"/>
        </w:rPr>
        <w:t xml:space="preserve">les Parties </w:t>
      </w:r>
      <w:r w:rsidR="00004AF7" w:rsidRPr="009700CF">
        <w:rPr>
          <w:iCs/>
          <w:kern w:val="22"/>
          <w:szCs w:val="22"/>
          <w:lang w:val="fr-CA"/>
        </w:rPr>
        <w:t>à partager les recherches et les informations sur les facteurs socioéconomiques</w:t>
      </w:r>
      <w:r w:rsidR="002934FE">
        <w:rPr>
          <w:iCs/>
          <w:kern w:val="22"/>
          <w:szCs w:val="22"/>
          <w:lang w:val="fr-CA"/>
        </w:rPr>
        <w:t>,</w:t>
      </w:r>
      <w:r w:rsidR="00004AF7" w:rsidRPr="009700CF">
        <w:rPr>
          <w:iCs/>
          <w:kern w:val="22"/>
          <w:szCs w:val="22"/>
          <w:lang w:val="fr-CA"/>
        </w:rPr>
        <w:t xml:space="preserve"> afin d’aider les Parties à tenir compte des facteurs socioéconomiques, conformément avec le paragraphe 1 de l’article 26 du Protocole</w:t>
      </w:r>
      <w:r w:rsidR="00BE752D">
        <w:rPr>
          <w:iCs/>
          <w:kern w:val="22"/>
          <w:szCs w:val="22"/>
          <w:lang w:val="fr-CA"/>
        </w:rPr>
        <w:t> </w:t>
      </w:r>
      <w:r w:rsidR="0042663F" w:rsidRPr="009700CF">
        <w:rPr>
          <w:kern w:val="22"/>
          <w:szCs w:val="22"/>
          <w:lang w:val="fr-CA"/>
        </w:rPr>
        <w:t>;</w:t>
      </w:r>
    </w:p>
    <w:p w14:paraId="12F78079" w14:textId="58092AF5" w:rsidR="0042663F" w:rsidRPr="009700CF" w:rsidRDefault="0042663F" w:rsidP="00C4544F">
      <w:pPr>
        <w:pStyle w:val="ListParagraph"/>
        <w:suppressLineNumbers/>
        <w:suppressAutoHyphens/>
        <w:spacing w:before="120" w:after="120"/>
        <w:ind w:left="2268" w:hanging="567"/>
        <w:contextualSpacing w:val="0"/>
        <w:jc w:val="left"/>
        <w:rPr>
          <w:b/>
          <w:bCs/>
          <w:kern w:val="22"/>
          <w:lang w:val="fr-CA"/>
        </w:rPr>
      </w:pPr>
      <w:r w:rsidRPr="009700CF">
        <w:rPr>
          <w:b/>
          <w:bCs/>
          <w:kern w:val="22"/>
          <w:lang w:val="fr-CA"/>
        </w:rPr>
        <w:t xml:space="preserve">H. </w:t>
      </w:r>
      <w:r w:rsidR="00F905D6" w:rsidRPr="009700CF">
        <w:rPr>
          <w:b/>
          <w:bCs/>
          <w:kern w:val="22"/>
          <w:lang w:val="fr-CA"/>
        </w:rPr>
        <w:tab/>
      </w:r>
      <w:r w:rsidR="00004AF7" w:rsidRPr="009700CF">
        <w:rPr>
          <w:b/>
          <w:bCs/>
          <w:kern w:val="22"/>
          <w:lang w:val="fr-CA"/>
        </w:rPr>
        <w:t>Acheminement, utilisation restreinte, mouvements transfrontières involontaires et mesures d’urgence</w:t>
      </w:r>
    </w:p>
    <w:p w14:paraId="3C0855A8" w14:textId="11D7F1F6" w:rsidR="0042663F" w:rsidRPr="009700CF" w:rsidRDefault="00004AF7" w:rsidP="00C4544F">
      <w:pPr>
        <w:numPr>
          <w:ilvl w:val="2"/>
          <w:numId w:val="19"/>
        </w:numPr>
        <w:suppressLineNumbers/>
        <w:tabs>
          <w:tab w:val="clear" w:pos="2591"/>
        </w:tabs>
        <w:suppressAutoHyphens/>
        <w:spacing w:before="120" w:after="120"/>
        <w:ind w:left="720" w:firstLine="720"/>
        <w:rPr>
          <w:spacing w:val="-2"/>
          <w:kern w:val="22"/>
          <w:lang w:val="fr-CA"/>
        </w:rPr>
      </w:pPr>
      <w:r w:rsidRPr="009700CF">
        <w:rPr>
          <w:i/>
          <w:iCs/>
          <w:spacing w:val="-2"/>
          <w:kern w:val="22"/>
          <w:szCs w:val="22"/>
          <w:lang w:val="fr-CA"/>
        </w:rPr>
        <w:t xml:space="preserve">Se réjouit </w:t>
      </w:r>
      <w:r w:rsidRPr="009700CF">
        <w:rPr>
          <w:iCs/>
          <w:spacing w:val="-2"/>
          <w:kern w:val="22"/>
          <w:szCs w:val="22"/>
          <w:lang w:val="fr-CA"/>
        </w:rPr>
        <w:t>du fait qu’environ les trois quarts des Parties ont des mesures en place afin de réguler l’utilisation restreinte des organismes vivants modifiés et des organismes vivants modifiés en déplacement</w:t>
      </w:r>
      <w:r w:rsidR="00BE752D">
        <w:rPr>
          <w:iCs/>
          <w:spacing w:val="-2"/>
          <w:kern w:val="22"/>
          <w:szCs w:val="22"/>
          <w:lang w:val="fr-CA"/>
        </w:rPr>
        <w:t> </w:t>
      </w:r>
      <w:r w:rsidR="0042663F" w:rsidRPr="009700CF">
        <w:rPr>
          <w:spacing w:val="-2"/>
          <w:kern w:val="22"/>
          <w:szCs w:val="22"/>
          <w:lang w:val="fr-CA"/>
        </w:rPr>
        <w:t>;</w:t>
      </w:r>
    </w:p>
    <w:p w14:paraId="5316D1B3" w14:textId="246A3825" w:rsidR="0042663F" w:rsidRPr="009700CF" w:rsidRDefault="00004AF7" w:rsidP="00C4544F">
      <w:pPr>
        <w:numPr>
          <w:ilvl w:val="2"/>
          <w:numId w:val="19"/>
        </w:numPr>
        <w:suppressLineNumbers/>
        <w:tabs>
          <w:tab w:val="clear" w:pos="2591"/>
        </w:tabs>
        <w:suppressAutoHyphens/>
        <w:spacing w:before="120" w:after="120"/>
        <w:ind w:left="720" w:firstLine="720"/>
        <w:rPr>
          <w:kern w:val="22"/>
          <w:lang w:val="fr-CA"/>
        </w:rPr>
      </w:pPr>
      <w:r w:rsidRPr="009700CF">
        <w:rPr>
          <w:i/>
          <w:iCs/>
          <w:spacing w:val="-2"/>
          <w:kern w:val="22"/>
          <w:szCs w:val="22"/>
          <w:lang w:val="fr-CA"/>
        </w:rPr>
        <w:t xml:space="preserve">Se réjouit également </w:t>
      </w:r>
      <w:r w:rsidRPr="009700CF">
        <w:rPr>
          <w:iCs/>
          <w:spacing w:val="-2"/>
          <w:kern w:val="22"/>
          <w:szCs w:val="22"/>
          <w:lang w:val="fr-CA"/>
        </w:rPr>
        <w:t>du fait que près des trois quarts des Parties ont la capacité de prendre des mesures convenables en cas de mouvements transfrontières involontaires d’organismes vivants modifiés</w:t>
      </w:r>
      <w:r w:rsidR="00BE752D">
        <w:rPr>
          <w:iCs/>
          <w:spacing w:val="-2"/>
          <w:kern w:val="22"/>
          <w:szCs w:val="22"/>
          <w:lang w:val="fr-CA"/>
        </w:rPr>
        <w:t> </w:t>
      </w:r>
      <w:r w:rsidR="0042663F" w:rsidRPr="009700CF">
        <w:rPr>
          <w:spacing w:val="-2"/>
          <w:kern w:val="22"/>
          <w:szCs w:val="22"/>
          <w:lang w:val="fr-CA"/>
        </w:rPr>
        <w:t>;</w:t>
      </w:r>
    </w:p>
    <w:p w14:paraId="5EC43D6D" w14:textId="6456040F" w:rsidR="0042663F" w:rsidRPr="009700CF" w:rsidRDefault="0042663F" w:rsidP="00C4544F">
      <w:pPr>
        <w:pStyle w:val="ListParagraph"/>
        <w:suppressLineNumbers/>
        <w:suppressAutoHyphens/>
        <w:spacing w:before="120" w:after="120"/>
        <w:ind w:left="1440" w:hanging="431"/>
        <w:contextualSpacing w:val="0"/>
        <w:jc w:val="center"/>
        <w:rPr>
          <w:kern w:val="22"/>
          <w:lang w:val="fr-CA"/>
        </w:rPr>
      </w:pPr>
      <w:r w:rsidRPr="009700CF">
        <w:rPr>
          <w:b/>
          <w:bCs/>
          <w:kern w:val="22"/>
          <w:lang w:val="fr-CA"/>
        </w:rPr>
        <w:t xml:space="preserve">I. </w:t>
      </w:r>
      <w:r w:rsidR="00FD4E26" w:rsidRPr="009700CF">
        <w:rPr>
          <w:b/>
          <w:bCs/>
          <w:kern w:val="22"/>
          <w:lang w:val="fr-CA"/>
        </w:rPr>
        <w:tab/>
      </w:r>
      <w:r w:rsidR="00D63992" w:rsidRPr="009700CF">
        <w:rPr>
          <w:b/>
          <w:bCs/>
          <w:kern w:val="22"/>
          <w:lang w:val="fr-CA"/>
        </w:rPr>
        <w:t>Échange de renseignements</w:t>
      </w:r>
    </w:p>
    <w:p w14:paraId="2975597D" w14:textId="323A87FE" w:rsidR="0042663F" w:rsidRPr="009700CF" w:rsidRDefault="00D63992" w:rsidP="00C4544F">
      <w:pPr>
        <w:numPr>
          <w:ilvl w:val="2"/>
          <w:numId w:val="19"/>
        </w:numPr>
        <w:suppressLineNumbers/>
        <w:tabs>
          <w:tab w:val="clear" w:pos="2591"/>
        </w:tabs>
        <w:suppressAutoHyphens/>
        <w:spacing w:before="120" w:after="120"/>
        <w:ind w:left="720" w:firstLine="720"/>
        <w:rPr>
          <w:kern w:val="22"/>
          <w:lang w:val="fr-CA"/>
        </w:rPr>
      </w:pPr>
      <w:r w:rsidRPr="009700CF">
        <w:rPr>
          <w:i/>
          <w:iCs/>
          <w:kern w:val="22"/>
          <w:szCs w:val="22"/>
          <w:lang w:val="fr-CA"/>
        </w:rPr>
        <w:t xml:space="preserve">Prend note </w:t>
      </w:r>
      <w:r w:rsidRPr="009700CF">
        <w:rPr>
          <w:iCs/>
          <w:kern w:val="22"/>
          <w:szCs w:val="22"/>
          <w:lang w:val="fr-CA"/>
        </w:rPr>
        <w:t>des tendances positives en matière d’échange de renseignements au centre d</w:t>
      </w:r>
      <w:r w:rsidR="00BE752D">
        <w:rPr>
          <w:iCs/>
          <w:kern w:val="22"/>
          <w:szCs w:val="22"/>
          <w:lang w:val="fr-CA"/>
        </w:rPr>
        <w:t>’</w:t>
      </w:r>
      <w:r w:rsidRPr="009700CF">
        <w:rPr>
          <w:iCs/>
          <w:kern w:val="22"/>
          <w:szCs w:val="22"/>
          <w:lang w:val="fr-CA"/>
        </w:rPr>
        <w:t>échange sur la prévention des risques biotechnologiques, notamment en ce qui concerne le nombre d’enregistrements nationaux et de renvoi</w:t>
      </w:r>
      <w:r w:rsidR="003D4BA0">
        <w:rPr>
          <w:iCs/>
          <w:kern w:val="22"/>
          <w:szCs w:val="22"/>
          <w:lang w:val="fr-CA"/>
        </w:rPr>
        <w:t>s</w:t>
      </w:r>
      <w:r w:rsidRPr="009700CF">
        <w:rPr>
          <w:iCs/>
          <w:kern w:val="22"/>
          <w:szCs w:val="22"/>
          <w:lang w:val="fr-CA"/>
        </w:rPr>
        <w:t xml:space="preserve"> publiés</w:t>
      </w:r>
      <w:r w:rsidR="003D4BA0">
        <w:rPr>
          <w:iCs/>
          <w:kern w:val="22"/>
          <w:szCs w:val="22"/>
          <w:lang w:val="fr-CA"/>
        </w:rPr>
        <w:t>, ainsi</w:t>
      </w:r>
      <w:r w:rsidRPr="009700CF">
        <w:rPr>
          <w:iCs/>
          <w:kern w:val="22"/>
          <w:szCs w:val="22"/>
          <w:lang w:val="fr-CA"/>
        </w:rPr>
        <w:t xml:space="preserve"> que </w:t>
      </w:r>
      <w:r w:rsidR="003D4BA0">
        <w:rPr>
          <w:iCs/>
          <w:kern w:val="22"/>
          <w:szCs w:val="22"/>
          <w:lang w:val="fr-CA"/>
        </w:rPr>
        <w:t>le</w:t>
      </w:r>
      <w:r w:rsidRPr="009700CF">
        <w:rPr>
          <w:iCs/>
          <w:kern w:val="22"/>
          <w:szCs w:val="22"/>
          <w:lang w:val="fr-CA"/>
        </w:rPr>
        <w:t xml:space="preserve"> nombre de visiteurs</w:t>
      </w:r>
      <w:r w:rsidR="00BE752D">
        <w:rPr>
          <w:iCs/>
          <w:kern w:val="22"/>
          <w:szCs w:val="22"/>
          <w:lang w:val="fr-CA"/>
        </w:rPr>
        <w:t> </w:t>
      </w:r>
      <w:r w:rsidR="0042663F" w:rsidRPr="009700CF">
        <w:rPr>
          <w:kern w:val="22"/>
          <w:szCs w:val="22"/>
          <w:lang w:val="fr-CA"/>
        </w:rPr>
        <w:t>;</w:t>
      </w:r>
    </w:p>
    <w:p w14:paraId="15F6D08D" w14:textId="0A7FDEA3" w:rsidR="0042663F" w:rsidRPr="009700CF" w:rsidRDefault="00D63992" w:rsidP="00C4544F">
      <w:pPr>
        <w:numPr>
          <w:ilvl w:val="2"/>
          <w:numId w:val="19"/>
        </w:numPr>
        <w:suppressLineNumbers/>
        <w:tabs>
          <w:tab w:val="clear" w:pos="2591"/>
        </w:tabs>
        <w:suppressAutoHyphens/>
        <w:spacing w:before="120" w:after="120"/>
        <w:ind w:left="720" w:firstLine="720"/>
        <w:rPr>
          <w:kern w:val="22"/>
          <w:lang w:val="fr-CA"/>
        </w:rPr>
      </w:pPr>
      <w:r w:rsidRPr="009700CF">
        <w:rPr>
          <w:i/>
          <w:iCs/>
          <w:kern w:val="22"/>
          <w:szCs w:val="22"/>
          <w:lang w:val="fr-CA"/>
        </w:rPr>
        <w:lastRenderedPageBreak/>
        <w:t xml:space="preserve">Demande </w:t>
      </w:r>
      <w:r w:rsidRPr="009700CF">
        <w:rPr>
          <w:iCs/>
          <w:kern w:val="22"/>
          <w:szCs w:val="22"/>
          <w:lang w:val="fr-CA"/>
        </w:rPr>
        <w:t>aux Parties et encourage les autres à veiller à ce que les enregistrements demeurent à jour</w:t>
      </w:r>
      <w:r w:rsidR="00BE752D">
        <w:rPr>
          <w:iCs/>
          <w:kern w:val="22"/>
          <w:szCs w:val="22"/>
          <w:lang w:val="fr-CA"/>
        </w:rPr>
        <w:t> </w:t>
      </w:r>
      <w:r w:rsidR="0042663F" w:rsidRPr="009700CF">
        <w:rPr>
          <w:kern w:val="22"/>
          <w:szCs w:val="22"/>
          <w:lang w:val="fr-CA"/>
        </w:rPr>
        <w:t>;</w:t>
      </w:r>
    </w:p>
    <w:p w14:paraId="38AB7748" w14:textId="07A4B057" w:rsidR="0042663F" w:rsidRPr="009700CF" w:rsidRDefault="00D63992" w:rsidP="00C4544F">
      <w:pPr>
        <w:numPr>
          <w:ilvl w:val="2"/>
          <w:numId w:val="19"/>
        </w:numPr>
        <w:suppressLineNumbers/>
        <w:tabs>
          <w:tab w:val="clear" w:pos="2591"/>
        </w:tabs>
        <w:suppressAutoHyphens/>
        <w:spacing w:before="120" w:after="120"/>
        <w:ind w:left="720" w:firstLine="720"/>
        <w:rPr>
          <w:kern w:val="22"/>
          <w:lang w:val="fr-CA"/>
        </w:rPr>
      </w:pPr>
      <w:r w:rsidRPr="009700CF">
        <w:rPr>
          <w:i/>
          <w:iCs/>
          <w:kern w:val="22"/>
          <w:szCs w:val="22"/>
          <w:lang w:val="fr-CA"/>
        </w:rPr>
        <w:t xml:space="preserve">Se réjouit </w:t>
      </w:r>
      <w:r w:rsidRPr="009700CF">
        <w:rPr>
          <w:iCs/>
          <w:kern w:val="22"/>
          <w:szCs w:val="22"/>
          <w:lang w:val="fr-CA"/>
        </w:rPr>
        <w:t>du fait que presque toutes les Parties ont désigné leur correspondant national pour le Protocole de Cartagena et leur correspondant national pour le centre d</w:t>
      </w:r>
      <w:r w:rsidR="00BE752D">
        <w:rPr>
          <w:iCs/>
          <w:kern w:val="22"/>
          <w:szCs w:val="22"/>
          <w:lang w:val="fr-CA"/>
        </w:rPr>
        <w:t>’</w:t>
      </w:r>
      <w:r w:rsidRPr="009700CF">
        <w:rPr>
          <w:iCs/>
          <w:kern w:val="22"/>
          <w:szCs w:val="22"/>
          <w:lang w:val="fr-CA"/>
        </w:rPr>
        <w:t>échange sur la prévention des risques biotechnologiques</w:t>
      </w:r>
      <w:r w:rsidR="00BE752D">
        <w:rPr>
          <w:iCs/>
          <w:kern w:val="22"/>
          <w:szCs w:val="22"/>
          <w:lang w:val="fr-CA"/>
        </w:rPr>
        <w:t> </w:t>
      </w:r>
      <w:r w:rsidR="0042663F" w:rsidRPr="009700CF">
        <w:rPr>
          <w:kern w:val="22"/>
          <w:szCs w:val="22"/>
          <w:lang w:val="fr-CA"/>
        </w:rPr>
        <w:t>;</w:t>
      </w:r>
    </w:p>
    <w:p w14:paraId="250BD8A1" w14:textId="540DB3AD" w:rsidR="0042663F" w:rsidRPr="009700CF" w:rsidRDefault="00D63992" w:rsidP="00C4544F">
      <w:pPr>
        <w:numPr>
          <w:ilvl w:val="2"/>
          <w:numId w:val="19"/>
        </w:numPr>
        <w:suppressLineNumbers/>
        <w:tabs>
          <w:tab w:val="clear" w:pos="2591"/>
        </w:tabs>
        <w:suppressAutoHyphens/>
        <w:spacing w:before="120" w:after="120"/>
        <w:ind w:left="720" w:firstLine="720"/>
        <w:rPr>
          <w:kern w:val="22"/>
          <w:lang w:val="fr-CA"/>
        </w:rPr>
      </w:pPr>
      <w:r w:rsidRPr="009700CF">
        <w:rPr>
          <w:i/>
          <w:iCs/>
          <w:kern w:val="22"/>
          <w:szCs w:val="22"/>
          <w:lang w:val="fr-CA"/>
        </w:rPr>
        <w:t xml:space="preserve">Prend note </w:t>
      </w:r>
      <w:r w:rsidRPr="009700CF">
        <w:rPr>
          <w:iCs/>
          <w:kern w:val="22"/>
          <w:szCs w:val="22"/>
          <w:lang w:val="fr-CA"/>
        </w:rPr>
        <w:t>des progrès accomplis par les Parties co</w:t>
      </w:r>
      <w:r w:rsidR="00594B09" w:rsidRPr="009700CF">
        <w:rPr>
          <w:iCs/>
          <w:kern w:val="22"/>
          <w:szCs w:val="22"/>
          <w:lang w:val="fr-CA"/>
        </w:rPr>
        <w:t>ncernant la désignati</w:t>
      </w:r>
      <w:r w:rsidRPr="009700CF">
        <w:rPr>
          <w:iCs/>
          <w:kern w:val="22"/>
          <w:szCs w:val="22"/>
          <w:lang w:val="fr-CA"/>
        </w:rPr>
        <w:t xml:space="preserve">on de leur point de contact </w:t>
      </w:r>
      <w:r w:rsidR="00594B09" w:rsidRPr="009700CF">
        <w:rPr>
          <w:iCs/>
          <w:kern w:val="22"/>
          <w:szCs w:val="22"/>
          <w:lang w:val="fr-CA"/>
        </w:rPr>
        <w:t>pour la réception des notificati</w:t>
      </w:r>
      <w:r w:rsidRPr="009700CF">
        <w:rPr>
          <w:iCs/>
          <w:kern w:val="22"/>
          <w:szCs w:val="22"/>
          <w:lang w:val="fr-CA"/>
        </w:rPr>
        <w:t>ons au titre de l’article 17 (</w:t>
      </w:r>
      <w:r w:rsidR="00594B09" w:rsidRPr="009700CF">
        <w:rPr>
          <w:iCs/>
          <w:kern w:val="22"/>
          <w:szCs w:val="22"/>
          <w:lang w:val="fr-CA"/>
        </w:rPr>
        <w:t>Mouvements transfrontières involontaires et mesures d’urgence</w:t>
      </w:r>
      <w:r w:rsidR="0042663F" w:rsidRPr="009700CF">
        <w:rPr>
          <w:kern w:val="22"/>
          <w:szCs w:val="22"/>
          <w:lang w:val="fr-CA"/>
        </w:rPr>
        <w:t>)</w:t>
      </w:r>
      <w:r w:rsidR="00BE752D">
        <w:rPr>
          <w:kern w:val="22"/>
          <w:szCs w:val="22"/>
          <w:lang w:val="fr-CA"/>
        </w:rPr>
        <w:t> </w:t>
      </w:r>
      <w:r w:rsidR="0042663F" w:rsidRPr="009700CF">
        <w:rPr>
          <w:kern w:val="22"/>
          <w:szCs w:val="22"/>
          <w:lang w:val="fr-CA"/>
        </w:rPr>
        <w:t>;</w:t>
      </w:r>
    </w:p>
    <w:p w14:paraId="6DA8BD61" w14:textId="1F70790B" w:rsidR="0042663F" w:rsidRPr="009700CF" w:rsidRDefault="00594B09" w:rsidP="00C4544F">
      <w:pPr>
        <w:numPr>
          <w:ilvl w:val="2"/>
          <w:numId w:val="19"/>
        </w:numPr>
        <w:suppressLineNumbers/>
        <w:tabs>
          <w:tab w:val="clear" w:pos="2591"/>
        </w:tabs>
        <w:suppressAutoHyphens/>
        <w:spacing w:before="120" w:after="120"/>
        <w:ind w:left="720" w:firstLine="720"/>
        <w:rPr>
          <w:kern w:val="22"/>
          <w:lang w:val="fr-CA"/>
        </w:rPr>
      </w:pPr>
      <w:r w:rsidRPr="009700CF">
        <w:rPr>
          <w:i/>
          <w:iCs/>
          <w:kern w:val="22"/>
          <w:lang w:val="fr-CA"/>
        </w:rPr>
        <w:t xml:space="preserve">Exhorte </w:t>
      </w:r>
      <w:r w:rsidRPr="009700CF">
        <w:rPr>
          <w:iCs/>
          <w:kern w:val="22"/>
          <w:lang w:val="fr-CA"/>
        </w:rPr>
        <w:t>les Parties qui ne l’ont pas encore entièrement fait</w:t>
      </w:r>
      <w:r w:rsidR="00BE752D">
        <w:rPr>
          <w:iCs/>
          <w:kern w:val="22"/>
          <w:lang w:val="fr-CA"/>
        </w:rPr>
        <w:t>,</w:t>
      </w:r>
      <w:r w:rsidRPr="009700CF">
        <w:rPr>
          <w:iCs/>
          <w:kern w:val="22"/>
          <w:lang w:val="fr-CA"/>
        </w:rPr>
        <w:t xml:space="preserve"> de rendre toutes les informations requises disponibles au</w:t>
      </w:r>
      <w:r w:rsidR="003D4BA0">
        <w:rPr>
          <w:iCs/>
          <w:kern w:val="22"/>
          <w:lang w:val="fr-CA"/>
        </w:rPr>
        <w:t>près du</w:t>
      </w:r>
      <w:r w:rsidRPr="009700CF">
        <w:rPr>
          <w:iCs/>
          <w:kern w:val="22"/>
          <w:lang w:val="fr-CA"/>
        </w:rPr>
        <w:t xml:space="preserve"> centre d</w:t>
      </w:r>
      <w:r w:rsidR="00BE752D">
        <w:rPr>
          <w:iCs/>
          <w:kern w:val="22"/>
          <w:lang w:val="fr-CA"/>
        </w:rPr>
        <w:t>’</w:t>
      </w:r>
      <w:r w:rsidRPr="009700CF">
        <w:rPr>
          <w:iCs/>
          <w:kern w:val="22"/>
          <w:lang w:val="fr-CA"/>
        </w:rPr>
        <w:t xml:space="preserve">échange sur la prévention des risques biotechnologiques et de garder leurs </w:t>
      </w:r>
      <w:r w:rsidR="00BC6E75" w:rsidRPr="009700CF">
        <w:rPr>
          <w:iCs/>
          <w:kern w:val="22"/>
          <w:lang w:val="fr-CA"/>
        </w:rPr>
        <w:t>enregistrements</w:t>
      </w:r>
      <w:r w:rsidRPr="009700CF">
        <w:rPr>
          <w:iCs/>
          <w:kern w:val="22"/>
          <w:lang w:val="fr-CA"/>
        </w:rPr>
        <w:t xml:space="preserve"> à jour, plus particuli</w:t>
      </w:r>
      <w:r w:rsidR="003D4BA0">
        <w:rPr>
          <w:iCs/>
          <w:kern w:val="22"/>
          <w:lang w:val="fr-CA"/>
        </w:rPr>
        <w:t>èrement ceux qui concerne</w:t>
      </w:r>
      <w:r w:rsidR="00BC6E75" w:rsidRPr="009700CF">
        <w:rPr>
          <w:iCs/>
          <w:kern w:val="22"/>
          <w:lang w:val="fr-CA"/>
        </w:rPr>
        <w:t>nt</w:t>
      </w:r>
      <w:r w:rsidRPr="009700CF">
        <w:rPr>
          <w:iCs/>
          <w:kern w:val="22"/>
          <w:lang w:val="fr-CA"/>
        </w:rPr>
        <w:t xml:space="preserve"> : a) les </w:t>
      </w:r>
      <w:r w:rsidR="00BC6E75" w:rsidRPr="009700CF">
        <w:rPr>
          <w:iCs/>
          <w:kern w:val="22"/>
          <w:lang w:val="fr-CA"/>
        </w:rPr>
        <w:t>lois</w:t>
      </w:r>
      <w:r w:rsidRPr="009700CF">
        <w:rPr>
          <w:iCs/>
          <w:kern w:val="22"/>
          <w:lang w:val="fr-CA"/>
        </w:rPr>
        <w:t xml:space="preserve">, réglementations et </w:t>
      </w:r>
      <w:r w:rsidR="00BC6E75" w:rsidRPr="009700CF">
        <w:rPr>
          <w:iCs/>
          <w:kern w:val="22"/>
          <w:lang w:val="fr-CA"/>
        </w:rPr>
        <w:t>lignes directrices</w:t>
      </w:r>
      <w:r w:rsidR="00BE752D">
        <w:rPr>
          <w:iCs/>
          <w:kern w:val="22"/>
          <w:lang w:val="fr-CA"/>
        </w:rPr>
        <w:t> </w:t>
      </w:r>
      <w:r w:rsidR="00BC6E75" w:rsidRPr="009700CF">
        <w:rPr>
          <w:iCs/>
          <w:kern w:val="22"/>
          <w:lang w:val="fr-CA"/>
        </w:rPr>
        <w:t>; b) les sommaires des évaluations des risques</w:t>
      </w:r>
      <w:r w:rsidR="00BE752D">
        <w:rPr>
          <w:iCs/>
          <w:kern w:val="22"/>
          <w:lang w:val="fr-CA"/>
        </w:rPr>
        <w:t> </w:t>
      </w:r>
      <w:r w:rsidR="00BC6E75" w:rsidRPr="009700CF">
        <w:rPr>
          <w:iCs/>
          <w:kern w:val="22"/>
          <w:lang w:val="fr-CA"/>
        </w:rPr>
        <w:t>; c) les décisions finales concernant l’importation ou la libération d’organismes vivants modifiés</w:t>
      </w:r>
      <w:r w:rsidR="00BE752D">
        <w:rPr>
          <w:iCs/>
          <w:kern w:val="22"/>
          <w:lang w:val="fr-CA"/>
        </w:rPr>
        <w:t> </w:t>
      </w:r>
      <w:r w:rsidR="00BC6E75" w:rsidRPr="009700CF">
        <w:rPr>
          <w:iCs/>
          <w:kern w:val="22"/>
          <w:lang w:val="fr-CA"/>
        </w:rPr>
        <w:t>; d) les correspondants nationaux, les points de contact nationaux et les autorités nationales compétentes</w:t>
      </w:r>
      <w:r w:rsidR="00BE752D">
        <w:rPr>
          <w:iCs/>
          <w:kern w:val="22"/>
          <w:lang w:val="fr-CA"/>
        </w:rPr>
        <w:t> </w:t>
      </w:r>
      <w:r w:rsidR="00BC6E75" w:rsidRPr="009700CF">
        <w:rPr>
          <w:iCs/>
          <w:kern w:val="22"/>
          <w:lang w:val="fr-CA"/>
        </w:rPr>
        <w:t>; e) l’information sur les accords ou arrangements bilatéraux, régionaux ou multilatéraux auxquels ils sont parties et f) les informations concernant les mouvements transfrontières illicites d’organismes vivants modifiés</w:t>
      </w:r>
      <w:r w:rsidR="00BE752D">
        <w:rPr>
          <w:iCs/>
          <w:kern w:val="22"/>
          <w:lang w:val="fr-CA"/>
        </w:rPr>
        <w:t> </w:t>
      </w:r>
      <w:r w:rsidR="0042663F" w:rsidRPr="009700CF">
        <w:rPr>
          <w:kern w:val="22"/>
          <w:lang w:val="fr-CA"/>
        </w:rPr>
        <w:t>;</w:t>
      </w:r>
    </w:p>
    <w:p w14:paraId="39B67398" w14:textId="26636DC9" w:rsidR="0042663F" w:rsidRPr="009700CF" w:rsidRDefault="0042663F" w:rsidP="00C4544F">
      <w:pPr>
        <w:pStyle w:val="ListParagraph"/>
        <w:keepNext/>
        <w:suppressLineNumbers/>
        <w:suppressAutoHyphens/>
        <w:spacing w:before="120" w:after="120"/>
        <w:ind w:left="1440" w:hanging="431"/>
        <w:contextualSpacing w:val="0"/>
        <w:jc w:val="center"/>
        <w:rPr>
          <w:kern w:val="22"/>
          <w:lang w:val="fr-CA"/>
        </w:rPr>
      </w:pPr>
      <w:r w:rsidRPr="009700CF">
        <w:rPr>
          <w:b/>
          <w:bCs/>
          <w:kern w:val="22"/>
          <w:lang w:val="fr-CA"/>
        </w:rPr>
        <w:t xml:space="preserve">J. </w:t>
      </w:r>
      <w:r w:rsidR="00D03AF4" w:rsidRPr="009700CF">
        <w:rPr>
          <w:b/>
          <w:bCs/>
          <w:kern w:val="22"/>
          <w:lang w:val="fr-CA"/>
        </w:rPr>
        <w:tab/>
      </w:r>
      <w:r w:rsidR="00BC6E75" w:rsidRPr="009700CF">
        <w:rPr>
          <w:b/>
          <w:bCs/>
          <w:kern w:val="22"/>
          <w:lang w:val="fr-CA"/>
        </w:rPr>
        <w:t>Conformité et examen</w:t>
      </w:r>
    </w:p>
    <w:p w14:paraId="277D53FB" w14:textId="1E695102" w:rsidR="0042663F" w:rsidRPr="009700CF" w:rsidRDefault="00BC6E75" w:rsidP="00C4544F">
      <w:pPr>
        <w:numPr>
          <w:ilvl w:val="2"/>
          <w:numId w:val="19"/>
        </w:numPr>
        <w:suppressLineNumbers/>
        <w:tabs>
          <w:tab w:val="clear" w:pos="2591"/>
        </w:tabs>
        <w:suppressAutoHyphens/>
        <w:spacing w:before="120" w:after="120"/>
        <w:ind w:left="720" w:firstLine="720"/>
        <w:rPr>
          <w:kern w:val="22"/>
          <w:szCs w:val="22"/>
          <w:lang w:val="fr-CA"/>
        </w:rPr>
      </w:pPr>
      <w:r w:rsidRPr="009700CF">
        <w:rPr>
          <w:i/>
          <w:iCs/>
          <w:kern w:val="22"/>
          <w:lang w:val="fr-CA"/>
        </w:rPr>
        <w:t xml:space="preserve">Prend note </w:t>
      </w:r>
      <w:r w:rsidRPr="009700CF">
        <w:rPr>
          <w:iCs/>
          <w:kern w:val="22"/>
          <w:lang w:val="fr-CA"/>
        </w:rPr>
        <w:t xml:space="preserve">des </w:t>
      </w:r>
      <w:r w:rsidR="00631DA4" w:rsidRPr="009700CF">
        <w:rPr>
          <w:iCs/>
          <w:kern w:val="22"/>
          <w:lang w:val="fr-CA"/>
        </w:rPr>
        <w:t>différences marquées dans les progrès accomplis par les Parties afin de respecter leurs principales obligations au titre du Protocole</w:t>
      </w:r>
      <w:r w:rsidR="00BE752D">
        <w:rPr>
          <w:iCs/>
          <w:kern w:val="22"/>
          <w:lang w:val="fr-CA"/>
        </w:rPr>
        <w:t> </w:t>
      </w:r>
      <w:r w:rsidR="0042663F" w:rsidRPr="009700CF">
        <w:rPr>
          <w:kern w:val="22"/>
          <w:lang w:val="fr-CA"/>
        </w:rPr>
        <w:t>;</w:t>
      </w:r>
    </w:p>
    <w:p w14:paraId="0E0B7BC9" w14:textId="61343EC5" w:rsidR="0042663F" w:rsidRPr="009700CF" w:rsidRDefault="00631DA4" w:rsidP="00C4544F">
      <w:pPr>
        <w:numPr>
          <w:ilvl w:val="2"/>
          <w:numId w:val="19"/>
        </w:numPr>
        <w:suppressLineNumbers/>
        <w:tabs>
          <w:tab w:val="clear" w:pos="2591"/>
        </w:tabs>
        <w:suppressAutoHyphens/>
        <w:spacing w:before="120" w:after="120"/>
        <w:ind w:left="720" w:firstLine="720"/>
        <w:rPr>
          <w:kern w:val="22"/>
          <w:szCs w:val="22"/>
          <w:lang w:val="fr-CA"/>
        </w:rPr>
      </w:pPr>
      <w:r w:rsidRPr="009700CF">
        <w:rPr>
          <w:i/>
          <w:iCs/>
          <w:kern w:val="22"/>
          <w:szCs w:val="22"/>
          <w:lang w:val="fr-CA"/>
        </w:rPr>
        <w:t xml:space="preserve">Se réjouit </w:t>
      </w:r>
      <w:r w:rsidRPr="009700CF">
        <w:rPr>
          <w:kern w:val="22"/>
          <w:szCs w:val="22"/>
          <w:lang w:val="fr-CA"/>
        </w:rPr>
        <w:t>des progrès accomplis par les Parties concernant le respect de leurs obligations au titre du Protocole, notamment l’obligation</w:t>
      </w:r>
      <w:r w:rsidR="00BE752D">
        <w:rPr>
          <w:kern w:val="22"/>
          <w:szCs w:val="22"/>
          <w:lang w:val="fr-CA"/>
        </w:rPr>
        <w:t> </w:t>
      </w:r>
      <w:r w:rsidRPr="009700CF">
        <w:rPr>
          <w:kern w:val="22"/>
          <w:szCs w:val="22"/>
          <w:lang w:val="fr-CA"/>
        </w:rPr>
        <w:t>: a) de rendre certaines informations disponibles au</w:t>
      </w:r>
      <w:r w:rsidR="003D4BA0">
        <w:rPr>
          <w:kern w:val="22"/>
          <w:szCs w:val="22"/>
          <w:lang w:val="fr-CA"/>
        </w:rPr>
        <w:t>près du</w:t>
      </w:r>
      <w:r w:rsidRPr="009700CF">
        <w:rPr>
          <w:kern w:val="22"/>
          <w:szCs w:val="22"/>
          <w:lang w:val="fr-CA"/>
        </w:rPr>
        <w:t xml:space="preserve"> centre d</w:t>
      </w:r>
      <w:r w:rsidR="00BE752D">
        <w:rPr>
          <w:kern w:val="22"/>
          <w:szCs w:val="22"/>
          <w:lang w:val="fr-CA"/>
        </w:rPr>
        <w:t>’</w:t>
      </w:r>
      <w:r w:rsidRPr="009700CF">
        <w:rPr>
          <w:kern w:val="22"/>
          <w:szCs w:val="22"/>
          <w:lang w:val="fr-CA"/>
        </w:rPr>
        <w:t xml:space="preserve">échange sur la prévention des risques biotechnologiques </w:t>
      </w:r>
      <w:r w:rsidR="001B1284" w:rsidRPr="009700CF">
        <w:rPr>
          <w:kern w:val="22"/>
          <w:szCs w:val="22"/>
          <w:lang w:val="fr-CA"/>
        </w:rPr>
        <w:t>et b) de désigner les correspondants nationaux et les a</w:t>
      </w:r>
      <w:r w:rsidR="003D4BA0">
        <w:rPr>
          <w:kern w:val="22"/>
          <w:szCs w:val="22"/>
          <w:lang w:val="fr-CA"/>
        </w:rPr>
        <w:t>utorités nationales compétentes</w:t>
      </w:r>
      <w:r w:rsidR="00BE752D">
        <w:rPr>
          <w:kern w:val="22"/>
          <w:szCs w:val="22"/>
          <w:lang w:val="fr-CA"/>
        </w:rPr>
        <w:t> </w:t>
      </w:r>
      <w:r w:rsidR="001B1284" w:rsidRPr="009700CF">
        <w:rPr>
          <w:kern w:val="22"/>
          <w:szCs w:val="22"/>
          <w:lang w:val="fr-CA"/>
        </w:rPr>
        <w:t>;</w:t>
      </w:r>
    </w:p>
    <w:p w14:paraId="699878F4" w14:textId="541F6192" w:rsidR="0042663F" w:rsidRPr="009700CF" w:rsidRDefault="001B1284" w:rsidP="00C4544F">
      <w:pPr>
        <w:numPr>
          <w:ilvl w:val="2"/>
          <w:numId w:val="19"/>
        </w:numPr>
        <w:suppressLineNumbers/>
        <w:tabs>
          <w:tab w:val="clear" w:pos="2591"/>
        </w:tabs>
        <w:suppressAutoHyphens/>
        <w:spacing w:before="120" w:after="120"/>
        <w:ind w:left="720" w:firstLine="720"/>
        <w:rPr>
          <w:kern w:val="22"/>
          <w:szCs w:val="22"/>
          <w:lang w:val="fr-CA"/>
        </w:rPr>
      </w:pPr>
      <w:r w:rsidRPr="009700CF">
        <w:rPr>
          <w:i/>
          <w:iCs/>
          <w:kern w:val="22"/>
          <w:szCs w:val="22"/>
          <w:lang w:val="fr-CA"/>
        </w:rPr>
        <w:t xml:space="preserve">Prend note </w:t>
      </w:r>
      <w:r w:rsidRPr="009700CF">
        <w:rPr>
          <w:iCs/>
          <w:kern w:val="22"/>
          <w:szCs w:val="22"/>
          <w:lang w:val="fr-CA"/>
        </w:rPr>
        <w:t>avec inquiétude que Plusieurs Parties ne respectent pas complètement leurs obligations principales au titre du Protocole, notamment : a) l’obligation de prendre les mesures légales, administratives et autres mesures nécessaires pour appliquer le Protocole et b) l’obligation de remettre un r</w:t>
      </w:r>
      <w:r w:rsidR="009F6856">
        <w:rPr>
          <w:iCs/>
          <w:kern w:val="22"/>
          <w:szCs w:val="22"/>
          <w:lang w:val="fr-CA"/>
        </w:rPr>
        <w:t>apport national selon l’échéancier établi</w:t>
      </w:r>
      <w:r w:rsidR="00BE752D">
        <w:rPr>
          <w:iCs/>
          <w:kern w:val="22"/>
          <w:szCs w:val="22"/>
          <w:lang w:val="fr-CA"/>
        </w:rPr>
        <w:t> </w:t>
      </w:r>
      <w:r w:rsidR="0042663F" w:rsidRPr="009700CF">
        <w:rPr>
          <w:kern w:val="22"/>
          <w:szCs w:val="22"/>
          <w:lang w:val="fr-CA"/>
        </w:rPr>
        <w:t>;</w:t>
      </w:r>
    </w:p>
    <w:p w14:paraId="1965058E" w14:textId="6E1162A7" w:rsidR="0042663F" w:rsidRPr="009700CF" w:rsidRDefault="001B1284" w:rsidP="00C4544F">
      <w:pPr>
        <w:numPr>
          <w:ilvl w:val="2"/>
          <w:numId w:val="19"/>
        </w:numPr>
        <w:suppressLineNumbers/>
        <w:tabs>
          <w:tab w:val="clear" w:pos="2591"/>
        </w:tabs>
        <w:suppressAutoHyphens/>
        <w:spacing w:before="120" w:after="120"/>
        <w:ind w:left="720" w:firstLine="720"/>
        <w:rPr>
          <w:kern w:val="22"/>
          <w:lang w:val="fr-CA"/>
        </w:rPr>
      </w:pPr>
      <w:r w:rsidRPr="009700CF">
        <w:rPr>
          <w:i/>
          <w:iCs/>
          <w:kern w:val="22"/>
          <w:lang w:val="fr-CA"/>
        </w:rPr>
        <w:t xml:space="preserve">Reconnaît </w:t>
      </w:r>
      <w:r w:rsidRPr="009700CF">
        <w:rPr>
          <w:iCs/>
          <w:kern w:val="22"/>
          <w:lang w:val="fr-CA"/>
        </w:rPr>
        <w:t>que les Parties doivent avoir en place des programmes de suivi et d’exécution pour appliquer le Protocole</w:t>
      </w:r>
      <w:r w:rsidR="00BE752D">
        <w:rPr>
          <w:iCs/>
          <w:kern w:val="22"/>
          <w:lang w:val="fr-CA"/>
        </w:rPr>
        <w:t> </w:t>
      </w:r>
      <w:r w:rsidR="0042663F" w:rsidRPr="009700CF">
        <w:rPr>
          <w:kern w:val="22"/>
          <w:lang w:val="fr-CA"/>
        </w:rPr>
        <w:t>;</w:t>
      </w:r>
    </w:p>
    <w:p w14:paraId="5392D50D" w14:textId="2C02860C" w:rsidR="0042663F" w:rsidRPr="009700CF" w:rsidRDefault="001B1284" w:rsidP="00C4544F">
      <w:pPr>
        <w:numPr>
          <w:ilvl w:val="2"/>
          <w:numId w:val="19"/>
        </w:numPr>
        <w:suppressLineNumbers/>
        <w:tabs>
          <w:tab w:val="clear" w:pos="2591"/>
        </w:tabs>
        <w:suppressAutoHyphens/>
        <w:spacing w:before="120" w:after="120"/>
        <w:ind w:left="720" w:firstLine="720"/>
        <w:rPr>
          <w:kern w:val="22"/>
          <w:lang w:val="fr-CA"/>
        </w:rPr>
      </w:pPr>
      <w:r w:rsidRPr="009700CF">
        <w:rPr>
          <w:i/>
          <w:iCs/>
          <w:kern w:val="22"/>
          <w:lang w:val="fr-CA"/>
        </w:rPr>
        <w:t xml:space="preserve">Se réjouit </w:t>
      </w:r>
      <w:r w:rsidRPr="009700CF">
        <w:rPr>
          <w:iCs/>
          <w:kern w:val="22"/>
          <w:lang w:val="fr-CA"/>
        </w:rPr>
        <w:t>du rôle de soutien d</w:t>
      </w:r>
      <w:r w:rsidR="00FC2107">
        <w:rPr>
          <w:iCs/>
          <w:kern w:val="22"/>
          <w:lang w:val="fr-CA"/>
        </w:rPr>
        <w:t>u</w:t>
      </w:r>
      <w:r w:rsidRPr="009700CF">
        <w:rPr>
          <w:iCs/>
          <w:kern w:val="22"/>
          <w:lang w:val="fr-CA"/>
        </w:rPr>
        <w:t xml:space="preserve"> Comité, </w:t>
      </w:r>
      <w:r w:rsidR="00FC2107">
        <w:rPr>
          <w:iCs/>
          <w:kern w:val="22"/>
          <w:lang w:val="fr-CA"/>
        </w:rPr>
        <w:t>exécuté</w:t>
      </w:r>
      <w:r w:rsidRPr="009700CF">
        <w:rPr>
          <w:iCs/>
          <w:kern w:val="22"/>
          <w:lang w:val="fr-CA"/>
        </w:rPr>
        <w:t xml:space="preserve"> au titre de la décision</w:t>
      </w:r>
      <w:r w:rsidR="0042663F" w:rsidRPr="009700CF">
        <w:rPr>
          <w:kern w:val="22"/>
          <w:lang w:val="fr-CA"/>
        </w:rPr>
        <w:t xml:space="preserve"> </w:t>
      </w:r>
      <w:hyperlink r:id="rId17" w:history="1">
        <w:r w:rsidR="0042663F" w:rsidRPr="009700CF">
          <w:rPr>
            <w:rStyle w:val="Hyperlink"/>
            <w:kern w:val="22"/>
            <w:sz w:val="22"/>
            <w:lang w:val="fr-CA"/>
          </w:rPr>
          <w:t>BS</w:t>
        </w:r>
        <w:r w:rsidR="008762CA" w:rsidRPr="009700CF">
          <w:rPr>
            <w:rStyle w:val="Hyperlink"/>
            <w:kern w:val="22"/>
            <w:sz w:val="22"/>
            <w:lang w:val="fr-CA"/>
          </w:rPr>
          <w:noBreakHyphen/>
        </w:r>
        <w:r w:rsidR="0042663F" w:rsidRPr="009700CF">
          <w:rPr>
            <w:rStyle w:val="Hyperlink"/>
            <w:kern w:val="22"/>
            <w:sz w:val="22"/>
            <w:lang w:val="fr-CA"/>
          </w:rPr>
          <w:t>V/1</w:t>
        </w:r>
      </w:hyperlink>
      <w:r w:rsidR="0042663F" w:rsidRPr="009700CF">
        <w:rPr>
          <w:kern w:val="22"/>
          <w:lang w:val="fr-CA"/>
        </w:rPr>
        <w:t xml:space="preserve">, </w:t>
      </w:r>
      <w:r w:rsidRPr="009700CF">
        <w:rPr>
          <w:kern w:val="22"/>
          <w:lang w:val="fr-CA"/>
        </w:rPr>
        <w:t>en tant que contribution aux progrès déclarés par les Parties</w:t>
      </w:r>
      <w:r w:rsidR="00FD0539" w:rsidRPr="009700CF">
        <w:rPr>
          <w:kern w:val="22"/>
          <w:lang w:val="fr-CA"/>
        </w:rPr>
        <w:t xml:space="preserve"> en ce qui a trait au respect de leurs obligati</w:t>
      </w:r>
      <w:r w:rsidRPr="009700CF">
        <w:rPr>
          <w:kern w:val="22"/>
          <w:lang w:val="fr-CA"/>
        </w:rPr>
        <w:t>ons au titre du Protocole</w:t>
      </w:r>
      <w:r w:rsidR="00BE752D">
        <w:rPr>
          <w:kern w:val="22"/>
          <w:lang w:val="fr-CA"/>
        </w:rPr>
        <w:t> </w:t>
      </w:r>
      <w:r w:rsidR="0042663F" w:rsidRPr="009700CF">
        <w:rPr>
          <w:kern w:val="22"/>
          <w:lang w:val="fr-CA"/>
        </w:rPr>
        <w:t>;</w:t>
      </w:r>
    </w:p>
    <w:p w14:paraId="15B03852" w14:textId="77DD4B0E" w:rsidR="0042663F" w:rsidRPr="009700CF" w:rsidRDefault="00FD0539" w:rsidP="00C4544F">
      <w:pPr>
        <w:numPr>
          <w:ilvl w:val="2"/>
          <w:numId w:val="19"/>
        </w:numPr>
        <w:suppressLineNumbers/>
        <w:tabs>
          <w:tab w:val="clear" w:pos="2591"/>
        </w:tabs>
        <w:suppressAutoHyphens/>
        <w:spacing w:before="120" w:after="120"/>
        <w:ind w:left="720" w:firstLine="720"/>
        <w:rPr>
          <w:snapToGrid w:val="0"/>
          <w:kern w:val="22"/>
          <w:szCs w:val="22"/>
          <w:lang w:val="fr-CA"/>
        </w:rPr>
      </w:pPr>
      <w:r w:rsidRPr="009700CF">
        <w:rPr>
          <w:i/>
          <w:iCs/>
          <w:kern w:val="22"/>
          <w:lang w:val="fr-CA"/>
        </w:rPr>
        <w:t xml:space="preserve">Demande </w:t>
      </w:r>
      <w:r w:rsidRPr="009700CF">
        <w:rPr>
          <w:iCs/>
          <w:kern w:val="22"/>
          <w:lang w:val="fr-CA"/>
        </w:rPr>
        <w:t>à la Secrétaire exécutive de continuer à assurer le suivi auprès des Parties qui n’ont pas encore respecté complètement leurs obligations au titre du Protocole, selon qu’il convient et selon l’orientation fournie par le Comité de conformité</w:t>
      </w:r>
      <w:r w:rsidR="00C34A7B" w:rsidRPr="009700CF">
        <w:rPr>
          <w:iCs/>
          <w:kern w:val="22"/>
          <w:lang w:val="fr-CA"/>
        </w:rPr>
        <w:t xml:space="preserve">, et </w:t>
      </w:r>
      <w:r w:rsidR="00C34A7B" w:rsidRPr="009700CF">
        <w:rPr>
          <w:i/>
          <w:iCs/>
          <w:kern w:val="22"/>
          <w:lang w:val="fr-CA"/>
        </w:rPr>
        <w:t xml:space="preserve">prie </w:t>
      </w:r>
      <w:r w:rsidR="00C34A7B" w:rsidRPr="009700CF">
        <w:rPr>
          <w:iCs/>
          <w:kern w:val="22"/>
          <w:lang w:val="fr-CA"/>
        </w:rPr>
        <w:t>les Parties d’offrir leur entière collaboration à cet égard</w:t>
      </w:r>
      <w:r w:rsidR="00BE752D">
        <w:rPr>
          <w:iCs/>
          <w:kern w:val="22"/>
          <w:lang w:val="fr-CA"/>
        </w:rPr>
        <w:t> </w:t>
      </w:r>
      <w:r w:rsidR="0042663F" w:rsidRPr="009700CF">
        <w:rPr>
          <w:kern w:val="22"/>
          <w:lang w:val="fr-CA"/>
        </w:rPr>
        <w:t>;</w:t>
      </w:r>
    </w:p>
    <w:p w14:paraId="10AC4C0B" w14:textId="25082144" w:rsidR="0042663F" w:rsidRPr="009700CF" w:rsidRDefault="0042663F" w:rsidP="00C4544F">
      <w:pPr>
        <w:pStyle w:val="ListParagraph"/>
        <w:suppressLineNumbers/>
        <w:suppressAutoHyphens/>
        <w:spacing w:before="120" w:after="120"/>
        <w:ind w:left="1440" w:hanging="431"/>
        <w:contextualSpacing w:val="0"/>
        <w:jc w:val="center"/>
        <w:rPr>
          <w:kern w:val="22"/>
          <w:lang w:val="fr-CA"/>
        </w:rPr>
      </w:pPr>
      <w:r w:rsidRPr="009700CF">
        <w:rPr>
          <w:b/>
          <w:bCs/>
          <w:kern w:val="22"/>
          <w:lang w:val="fr-CA"/>
        </w:rPr>
        <w:t>K.</w:t>
      </w:r>
      <w:r w:rsidRPr="009700CF">
        <w:rPr>
          <w:b/>
          <w:bCs/>
          <w:kern w:val="22"/>
          <w:lang w:val="fr-CA"/>
        </w:rPr>
        <w:tab/>
      </w:r>
      <w:r w:rsidR="00C34A7B" w:rsidRPr="009700CF">
        <w:rPr>
          <w:b/>
          <w:bCs/>
          <w:kern w:val="22"/>
          <w:lang w:val="fr-CA"/>
        </w:rPr>
        <w:t>Sensibilisation et participation du public, éducation et formation sur la prévention des risques biotechnologiques</w:t>
      </w:r>
    </w:p>
    <w:p w14:paraId="3CEDFC97" w14:textId="7F9549F9" w:rsidR="0042663F" w:rsidRPr="009700CF" w:rsidRDefault="00C34A7B" w:rsidP="00C4544F">
      <w:pPr>
        <w:numPr>
          <w:ilvl w:val="2"/>
          <w:numId w:val="19"/>
        </w:numPr>
        <w:suppressLineNumbers/>
        <w:tabs>
          <w:tab w:val="clear" w:pos="2591"/>
        </w:tabs>
        <w:suppressAutoHyphens/>
        <w:spacing w:before="120" w:after="120"/>
        <w:ind w:left="720" w:firstLine="720"/>
        <w:rPr>
          <w:kern w:val="22"/>
          <w:lang w:val="fr-CA"/>
        </w:rPr>
      </w:pPr>
      <w:r w:rsidRPr="009700CF">
        <w:rPr>
          <w:i/>
          <w:iCs/>
          <w:kern w:val="22"/>
          <w:szCs w:val="22"/>
          <w:lang w:val="fr-CA"/>
        </w:rPr>
        <w:t xml:space="preserve">Souligne </w:t>
      </w:r>
      <w:r w:rsidRPr="009700CF">
        <w:rPr>
          <w:iCs/>
          <w:kern w:val="22"/>
          <w:szCs w:val="22"/>
          <w:lang w:val="fr-CA"/>
        </w:rPr>
        <w:t xml:space="preserve">l’importance de la sensibilisation, de l’éducation et de la participation du public </w:t>
      </w:r>
      <w:r w:rsidR="00FA2822">
        <w:rPr>
          <w:iCs/>
          <w:kern w:val="22"/>
          <w:szCs w:val="22"/>
          <w:lang w:val="fr-CA"/>
        </w:rPr>
        <w:t>à</w:t>
      </w:r>
      <w:r w:rsidRPr="009700CF">
        <w:rPr>
          <w:iCs/>
          <w:kern w:val="22"/>
          <w:szCs w:val="22"/>
          <w:lang w:val="fr-CA"/>
        </w:rPr>
        <w:t xml:space="preserve"> l’application du Protocole, reconnaissant qu’il faut davantage de soutien dans ce domaine</w:t>
      </w:r>
      <w:r w:rsidR="00BE752D">
        <w:rPr>
          <w:iCs/>
          <w:kern w:val="22"/>
          <w:szCs w:val="22"/>
          <w:lang w:val="fr-CA"/>
        </w:rPr>
        <w:t> </w:t>
      </w:r>
      <w:r w:rsidR="0042663F" w:rsidRPr="009700CF">
        <w:rPr>
          <w:kern w:val="22"/>
          <w:szCs w:val="22"/>
          <w:lang w:val="fr-CA"/>
        </w:rPr>
        <w:t>;</w:t>
      </w:r>
    </w:p>
    <w:p w14:paraId="11000859" w14:textId="1D43D942" w:rsidR="0042663F" w:rsidRPr="009700CF" w:rsidRDefault="00C34A7B" w:rsidP="00C4544F">
      <w:pPr>
        <w:numPr>
          <w:ilvl w:val="2"/>
          <w:numId w:val="19"/>
        </w:numPr>
        <w:suppressLineNumbers/>
        <w:tabs>
          <w:tab w:val="clear" w:pos="2591"/>
        </w:tabs>
        <w:suppressAutoHyphens/>
        <w:spacing w:before="120" w:after="120"/>
        <w:ind w:left="720" w:firstLine="720"/>
        <w:rPr>
          <w:kern w:val="22"/>
          <w:lang w:val="fr-CA"/>
        </w:rPr>
      </w:pPr>
      <w:r w:rsidRPr="009700CF">
        <w:rPr>
          <w:i/>
          <w:iCs/>
          <w:kern w:val="22"/>
          <w:szCs w:val="22"/>
          <w:lang w:val="fr-CA"/>
        </w:rPr>
        <w:t xml:space="preserve">Prend note </w:t>
      </w:r>
      <w:r w:rsidRPr="009700CF">
        <w:rPr>
          <w:iCs/>
          <w:kern w:val="22"/>
          <w:szCs w:val="22"/>
          <w:lang w:val="fr-CA"/>
        </w:rPr>
        <w:t xml:space="preserve">des progrès accomplis </w:t>
      </w:r>
      <w:r w:rsidR="00E96D0E" w:rsidRPr="009700CF">
        <w:rPr>
          <w:iCs/>
          <w:kern w:val="22"/>
          <w:szCs w:val="22"/>
          <w:lang w:val="fr-CA"/>
        </w:rPr>
        <w:t>dans le développement de mécanis</w:t>
      </w:r>
      <w:r w:rsidRPr="009700CF">
        <w:rPr>
          <w:iCs/>
          <w:kern w:val="22"/>
          <w:szCs w:val="22"/>
          <w:lang w:val="fr-CA"/>
        </w:rPr>
        <w:t xml:space="preserve">mes de participation du public au processus décisionnel </w:t>
      </w:r>
      <w:r w:rsidR="00FA2822">
        <w:rPr>
          <w:iCs/>
          <w:kern w:val="22"/>
          <w:szCs w:val="22"/>
          <w:lang w:val="fr-CA"/>
        </w:rPr>
        <w:t>visant</w:t>
      </w:r>
      <w:r w:rsidRPr="009700CF">
        <w:rPr>
          <w:iCs/>
          <w:kern w:val="22"/>
          <w:szCs w:val="22"/>
          <w:lang w:val="fr-CA"/>
        </w:rPr>
        <w:t xml:space="preserve"> les organismes vivants modifiés et dans le nombre de Parties ayant des établissem</w:t>
      </w:r>
      <w:r w:rsidR="00E96D0E" w:rsidRPr="009700CF">
        <w:rPr>
          <w:iCs/>
          <w:kern w:val="22"/>
          <w:szCs w:val="22"/>
          <w:lang w:val="fr-CA"/>
        </w:rPr>
        <w:t>e</w:t>
      </w:r>
      <w:r w:rsidRPr="009700CF">
        <w:rPr>
          <w:iCs/>
          <w:kern w:val="22"/>
          <w:szCs w:val="22"/>
          <w:lang w:val="fr-CA"/>
        </w:rPr>
        <w:t>nts d’</w:t>
      </w:r>
      <w:r w:rsidR="00E96D0E" w:rsidRPr="009700CF">
        <w:rPr>
          <w:iCs/>
          <w:kern w:val="22"/>
          <w:szCs w:val="22"/>
          <w:lang w:val="fr-CA"/>
        </w:rPr>
        <w:t xml:space="preserve">enseignement offrant </w:t>
      </w:r>
      <w:r w:rsidRPr="009700CF">
        <w:rPr>
          <w:iCs/>
          <w:kern w:val="22"/>
          <w:szCs w:val="22"/>
          <w:lang w:val="fr-CA"/>
        </w:rPr>
        <w:t>des programmes d’</w:t>
      </w:r>
      <w:r w:rsidR="00E96D0E" w:rsidRPr="009700CF">
        <w:rPr>
          <w:iCs/>
          <w:kern w:val="22"/>
          <w:szCs w:val="22"/>
          <w:lang w:val="fr-CA"/>
        </w:rPr>
        <w:t>éducation et de formati</w:t>
      </w:r>
      <w:r w:rsidRPr="009700CF">
        <w:rPr>
          <w:iCs/>
          <w:kern w:val="22"/>
          <w:szCs w:val="22"/>
          <w:lang w:val="fr-CA"/>
        </w:rPr>
        <w:t>on en prévention des risques biotechnologiques</w:t>
      </w:r>
      <w:r w:rsidR="00BE752D">
        <w:rPr>
          <w:iCs/>
          <w:kern w:val="22"/>
          <w:szCs w:val="22"/>
          <w:lang w:val="fr-CA"/>
        </w:rPr>
        <w:t> </w:t>
      </w:r>
      <w:r w:rsidR="0042663F" w:rsidRPr="009700CF">
        <w:rPr>
          <w:kern w:val="22"/>
          <w:szCs w:val="22"/>
          <w:lang w:val="fr-CA"/>
        </w:rPr>
        <w:t>;</w:t>
      </w:r>
    </w:p>
    <w:p w14:paraId="0F7EF5A9" w14:textId="7A4CE385" w:rsidR="00E96D0E" w:rsidRDefault="00E96D0E" w:rsidP="00FA2822">
      <w:pPr>
        <w:numPr>
          <w:ilvl w:val="2"/>
          <w:numId w:val="19"/>
        </w:numPr>
        <w:suppressLineNumbers/>
        <w:tabs>
          <w:tab w:val="clear" w:pos="2591"/>
        </w:tabs>
        <w:suppressAutoHyphens/>
        <w:spacing w:before="120" w:after="120"/>
        <w:ind w:left="720" w:firstLine="720"/>
        <w:rPr>
          <w:kern w:val="22"/>
          <w:szCs w:val="22"/>
          <w:lang w:val="fr-CA"/>
        </w:rPr>
      </w:pPr>
      <w:r w:rsidRPr="009700CF">
        <w:rPr>
          <w:i/>
          <w:iCs/>
          <w:kern w:val="22"/>
          <w:szCs w:val="22"/>
          <w:lang w:val="fr-CA"/>
        </w:rPr>
        <w:lastRenderedPageBreak/>
        <w:t xml:space="preserve">Encourage </w:t>
      </w:r>
      <w:r w:rsidRPr="009700CF">
        <w:rPr>
          <w:iCs/>
          <w:kern w:val="22"/>
          <w:szCs w:val="22"/>
          <w:lang w:val="fr-CA"/>
        </w:rPr>
        <w:t xml:space="preserve">les Parties et </w:t>
      </w:r>
      <w:r w:rsidRPr="009700CF">
        <w:rPr>
          <w:i/>
          <w:iCs/>
          <w:kern w:val="22"/>
          <w:szCs w:val="22"/>
          <w:lang w:val="fr-CA"/>
        </w:rPr>
        <w:t xml:space="preserve">invite </w:t>
      </w:r>
      <w:r w:rsidRPr="009700CF">
        <w:rPr>
          <w:iCs/>
          <w:kern w:val="22"/>
          <w:szCs w:val="22"/>
          <w:lang w:val="fr-CA"/>
        </w:rPr>
        <w:t>les autres utilisateurs à échanger du matériel pertinent sur la sensibilisation, l’éducation et la participation du public auprès du centre d</w:t>
      </w:r>
      <w:r w:rsidR="00BE752D">
        <w:rPr>
          <w:iCs/>
          <w:kern w:val="22"/>
          <w:szCs w:val="22"/>
          <w:lang w:val="fr-CA"/>
        </w:rPr>
        <w:t>’</w:t>
      </w:r>
      <w:r w:rsidRPr="009700CF">
        <w:rPr>
          <w:iCs/>
          <w:kern w:val="22"/>
          <w:szCs w:val="22"/>
          <w:lang w:val="fr-CA"/>
        </w:rPr>
        <w:t>échange sur la prévention des risques biotechnologiques</w:t>
      </w:r>
      <w:r w:rsidR="00BE752D">
        <w:rPr>
          <w:iCs/>
          <w:kern w:val="22"/>
          <w:szCs w:val="22"/>
          <w:lang w:val="fr-CA"/>
        </w:rPr>
        <w:t> </w:t>
      </w:r>
      <w:r w:rsidR="0042663F" w:rsidRPr="009700CF">
        <w:rPr>
          <w:kern w:val="22"/>
          <w:szCs w:val="22"/>
          <w:lang w:val="fr-CA"/>
        </w:rPr>
        <w:t>;</w:t>
      </w:r>
    </w:p>
    <w:p w14:paraId="55AD5189" w14:textId="44798A2F" w:rsidR="0042663F" w:rsidRPr="009700CF" w:rsidRDefault="0042663F" w:rsidP="00C4544F">
      <w:pPr>
        <w:suppressLineNumbers/>
        <w:suppressAutoHyphens/>
        <w:spacing w:before="120" w:after="120"/>
        <w:ind w:left="1440" w:hanging="431"/>
        <w:jc w:val="center"/>
        <w:rPr>
          <w:b/>
          <w:bCs/>
          <w:kern w:val="22"/>
          <w:szCs w:val="22"/>
          <w:lang w:val="fr-CA"/>
        </w:rPr>
      </w:pPr>
      <w:r w:rsidRPr="009700CF">
        <w:rPr>
          <w:b/>
          <w:bCs/>
          <w:kern w:val="22"/>
          <w:szCs w:val="22"/>
          <w:lang w:val="fr-CA"/>
        </w:rPr>
        <w:t>L.</w:t>
      </w:r>
      <w:r w:rsidR="00A855CF" w:rsidRPr="009700CF">
        <w:rPr>
          <w:b/>
          <w:bCs/>
          <w:kern w:val="22"/>
          <w:szCs w:val="22"/>
          <w:lang w:val="fr-CA"/>
        </w:rPr>
        <w:tab/>
      </w:r>
      <w:r w:rsidR="00E96D0E" w:rsidRPr="009700CF">
        <w:rPr>
          <w:b/>
          <w:bCs/>
          <w:kern w:val="22"/>
          <w:szCs w:val="22"/>
          <w:lang w:val="fr-CA"/>
        </w:rPr>
        <w:t>Vulgarisation et coopération</w:t>
      </w:r>
    </w:p>
    <w:p w14:paraId="1850CF1D" w14:textId="005A6C7C" w:rsidR="00B909D3" w:rsidRPr="009700CF" w:rsidRDefault="00E96D0E" w:rsidP="00C4544F">
      <w:pPr>
        <w:numPr>
          <w:ilvl w:val="2"/>
          <w:numId w:val="19"/>
        </w:numPr>
        <w:suppressLineNumbers/>
        <w:tabs>
          <w:tab w:val="clear" w:pos="2591"/>
        </w:tabs>
        <w:suppressAutoHyphens/>
        <w:spacing w:before="120" w:after="120"/>
        <w:ind w:left="720" w:firstLine="720"/>
        <w:rPr>
          <w:kern w:val="22"/>
          <w:lang w:val="fr-CA"/>
        </w:rPr>
      </w:pPr>
      <w:r w:rsidRPr="009700CF">
        <w:rPr>
          <w:i/>
          <w:iCs/>
          <w:kern w:val="22"/>
          <w:szCs w:val="22"/>
          <w:lang w:val="fr-CA"/>
        </w:rPr>
        <w:t xml:space="preserve">Souligne </w:t>
      </w:r>
      <w:r w:rsidRPr="009700CF">
        <w:rPr>
          <w:iCs/>
          <w:kern w:val="22"/>
          <w:szCs w:val="22"/>
          <w:lang w:val="fr-CA"/>
        </w:rPr>
        <w:t>l’importance de la collaboration entre les Parties en plus de la collaboration entre les organisations intergouvernementales afin de soutenir l’application du Protocole</w:t>
      </w:r>
      <w:r w:rsidR="0042663F" w:rsidRPr="009700CF">
        <w:rPr>
          <w:kern w:val="22"/>
          <w:szCs w:val="22"/>
          <w:lang w:val="fr-CA"/>
        </w:rPr>
        <w:t>.</w:t>
      </w:r>
    </w:p>
    <w:p w14:paraId="0FCDBBED" w14:textId="62AF32A3" w:rsidR="00D728F4" w:rsidRPr="009700CF" w:rsidRDefault="00D728F4" w:rsidP="00C4544F">
      <w:pPr>
        <w:suppressLineNumbers/>
        <w:suppressAutoHyphens/>
        <w:rPr>
          <w:kern w:val="22"/>
          <w:lang w:val="fr-CA"/>
        </w:rPr>
      </w:pPr>
    </w:p>
    <w:p w14:paraId="6B7EA98D" w14:textId="77777777" w:rsidR="00F6586C" w:rsidRPr="009700CF" w:rsidRDefault="00F6586C" w:rsidP="00C4544F">
      <w:pPr>
        <w:pStyle w:val="Para1"/>
        <w:numPr>
          <w:ilvl w:val="0"/>
          <w:numId w:val="0"/>
        </w:numPr>
        <w:suppressLineNumbers/>
        <w:suppressAutoHyphens/>
        <w:rPr>
          <w:kern w:val="22"/>
          <w:lang w:val="fr-CA"/>
        </w:rPr>
      </w:pPr>
    </w:p>
    <w:p w14:paraId="725AB1AC" w14:textId="77777777" w:rsidR="009505C9" w:rsidRPr="009700CF" w:rsidRDefault="009505C9" w:rsidP="00C4544F">
      <w:pPr>
        <w:suppressLineNumbers/>
        <w:suppressAutoHyphens/>
        <w:rPr>
          <w:kern w:val="22"/>
          <w:lang w:val="fr-CA"/>
        </w:rPr>
      </w:pPr>
    </w:p>
    <w:p w14:paraId="15F33B38" w14:textId="77777777" w:rsidR="009D79E9" w:rsidRPr="009700CF" w:rsidRDefault="009D79E9" w:rsidP="00C4544F">
      <w:pPr>
        <w:suppressLineNumbers/>
        <w:suppressAutoHyphens/>
        <w:rPr>
          <w:kern w:val="22"/>
          <w:lang w:val="fr-CA"/>
        </w:rPr>
        <w:sectPr w:rsidR="009D79E9" w:rsidRPr="009700CF" w:rsidSect="00176CEE">
          <w:headerReference w:type="even" r:id="rId18"/>
          <w:headerReference w:type="default" r:id="rId19"/>
          <w:pgSz w:w="12240" w:h="15840"/>
          <w:pgMar w:top="567" w:right="1389" w:bottom="1134" w:left="1389" w:header="709" w:footer="709" w:gutter="0"/>
          <w:cols w:space="708"/>
          <w:titlePg/>
          <w:docGrid w:linePitch="360"/>
        </w:sectPr>
      </w:pPr>
    </w:p>
    <w:p w14:paraId="5BC7CB6E" w14:textId="69A4A739" w:rsidR="00A855CF" w:rsidRPr="009700CF" w:rsidRDefault="000F1A13" w:rsidP="00C4544F">
      <w:pPr>
        <w:suppressLineNumbers/>
        <w:suppressAutoHyphens/>
        <w:jc w:val="center"/>
        <w:outlineLvl w:val="0"/>
        <w:rPr>
          <w:i/>
          <w:iCs/>
          <w:kern w:val="22"/>
          <w:lang w:val="fr-CA"/>
        </w:rPr>
      </w:pPr>
      <w:r w:rsidRPr="009700CF">
        <w:rPr>
          <w:i/>
          <w:iCs/>
          <w:kern w:val="22"/>
          <w:lang w:val="fr-CA"/>
        </w:rPr>
        <w:lastRenderedPageBreak/>
        <w:t>Annex</w:t>
      </w:r>
      <w:r w:rsidR="001F0385" w:rsidRPr="009700CF">
        <w:rPr>
          <w:i/>
          <w:iCs/>
          <w:kern w:val="22"/>
          <w:lang w:val="fr-CA"/>
        </w:rPr>
        <w:t>e</w:t>
      </w:r>
      <w:r w:rsidRPr="009700CF">
        <w:rPr>
          <w:i/>
          <w:iCs/>
          <w:kern w:val="22"/>
          <w:lang w:val="fr-CA"/>
        </w:rPr>
        <w:t xml:space="preserve"> I</w:t>
      </w:r>
    </w:p>
    <w:p w14:paraId="602F4AB7" w14:textId="0A6804CF" w:rsidR="000F1A13" w:rsidRPr="009700CF" w:rsidRDefault="007B7959" w:rsidP="00C4544F">
      <w:pPr>
        <w:pStyle w:val="Heading1"/>
        <w:suppressLineNumbers/>
        <w:tabs>
          <w:tab w:val="clear" w:pos="720"/>
        </w:tabs>
        <w:suppressAutoHyphens/>
        <w:spacing w:before="120"/>
        <w:rPr>
          <w:kern w:val="22"/>
          <w:lang w:val="fr-CA"/>
        </w:rPr>
      </w:pPr>
      <w:r>
        <w:rPr>
          <w:kern w:val="22"/>
          <w:lang w:val="fr-CA"/>
        </w:rPr>
        <w:t>conclusions de la dix-septième réunion du comité de conformité</w:t>
      </w:r>
      <w:r w:rsidR="001F0385" w:rsidRPr="009700CF">
        <w:rPr>
          <w:kern w:val="22"/>
          <w:lang w:val="fr-CA"/>
        </w:rPr>
        <w:t xml:space="preserve"> concernant la quatrième évaluation et examen du protocole et l’évaluation finale du Plan stratégique pour le protocole de cartagena</w:t>
      </w:r>
    </w:p>
    <w:p w14:paraId="115232D0" w14:textId="01BC4158" w:rsidR="000F1A13" w:rsidRPr="009700CF" w:rsidRDefault="001F0385" w:rsidP="00C4544F">
      <w:pPr>
        <w:suppressLineNumbers/>
        <w:suppressAutoHyphens/>
        <w:rPr>
          <w:b/>
          <w:bCs/>
          <w:kern w:val="22"/>
          <w:lang w:val="fr-CA"/>
        </w:rPr>
      </w:pPr>
      <w:r w:rsidRPr="009700CF">
        <w:rPr>
          <w:b/>
          <w:bCs/>
          <w:kern w:val="22"/>
          <w:lang w:val="fr-CA"/>
        </w:rPr>
        <w:t>Domaine</w:t>
      </w:r>
      <w:r w:rsidR="000F1A13" w:rsidRPr="009700CF">
        <w:rPr>
          <w:b/>
          <w:bCs/>
          <w:kern w:val="22"/>
          <w:lang w:val="fr-CA"/>
        </w:rPr>
        <w:t xml:space="preserve"> J</w:t>
      </w:r>
      <w:r w:rsidR="00BE752D">
        <w:rPr>
          <w:b/>
          <w:bCs/>
          <w:kern w:val="22"/>
          <w:lang w:val="fr-CA"/>
        </w:rPr>
        <w:t> </w:t>
      </w:r>
      <w:r w:rsidRPr="009700CF">
        <w:rPr>
          <w:b/>
          <w:bCs/>
          <w:kern w:val="22"/>
          <w:lang w:val="fr-CA"/>
        </w:rPr>
        <w:t xml:space="preserve">: Conformité et examen (objectifs opérationnels </w:t>
      </w:r>
      <w:r w:rsidR="000F1A13" w:rsidRPr="009700CF">
        <w:rPr>
          <w:b/>
          <w:bCs/>
          <w:kern w:val="22"/>
          <w:lang w:val="fr-CA"/>
        </w:rPr>
        <w:t xml:space="preserve">3.1 </w:t>
      </w:r>
      <w:r w:rsidRPr="009700CF">
        <w:rPr>
          <w:b/>
          <w:bCs/>
          <w:kern w:val="22"/>
          <w:lang w:val="fr-CA"/>
        </w:rPr>
        <w:t>et</w:t>
      </w:r>
      <w:r w:rsidR="000F1A13" w:rsidRPr="009700CF">
        <w:rPr>
          <w:b/>
          <w:bCs/>
          <w:kern w:val="22"/>
          <w:lang w:val="fr-CA"/>
        </w:rPr>
        <w:t xml:space="preserve"> 3.2)</w:t>
      </w:r>
    </w:p>
    <w:p w14:paraId="1974115C" w14:textId="235D3F79" w:rsidR="000F1A13" w:rsidRPr="009700CF" w:rsidRDefault="00D9539F" w:rsidP="00C4544F">
      <w:pPr>
        <w:pStyle w:val="Para1"/>
        <w:numPr>
          <w:ilvl w:val="0"/>
          <w:numId w:val="30"/>
        </w:numPr>
        <w:suppressLineNumbers/>
        <w:suppressAutoHyphens/>
        <w:ind w:left="0" w:firstLine="0"/>
        <w:rPr>
          <w:kern w:val="22"/>
          <w:szCs w:val="22"/>
          <w:lang w:val="fr-CA"/>
        </w:rPr>
      </w:pPr>
      <w:r w:rsidRPr="009700CF">
        <w:rPr>
          <w:kern w:val="22"/>
          <w:lang w:val="fr-CA"/>
        </w:rPr>
        <w:t xml:space="preserve">Le Comité a examiné les informations présentées dans le document de travail, dont le sommaire des progrès accomplis </w:t>
      </w:r>
      <w:r w:rsidR="007B7959">
        <w:rPr>
          <w:kern w:val="22"/>
          <w:lang w:val="fr-CA"/>
        </w:rPr>
        <w:t>pour les</w:t>
      </w:r>
      <w:r w:rsidRPr="009700CF">
        <w:rPr>
          <w:kern w:val="22"/>
          <w:lang w:val="fr-CA"/>
        </w:rPr>
        <w:t xml:space="preserve"> différents indicateurs liés à l’objectif 3.1 du Plan stratégique pour le Protocole de Cartagena. Il a constaté d’importantes différences dans les progrès pour les indicateurs liés au respect des principales obligations au titre du Protocole par les Parties. Il a reconnu les progrès accomplis par les Parties à rendre certaines </w:t>
      </w:r>
      <w:r w:rsidR="007B472A" w:rsidRPr="009700CF">
        <w:rPr>
          <w:kern w:val="22"/>
          <w:lang w:val="fr-CA"/>
        </w:rPr>
        <w:t>informations</w:t>
      </w:r>
      <w:r w:rsidRPr="009700CF">
        <w:rPr>
          <w:kern w:val="22"/>
          <w:lang w:val="fr-CA"/>
        </w:rPr>
        <w:t xml:space="preserve"> disponibles au</w:t>
      </w:r>
      <w:r w:rsidR="007B7959">
        <w:rPr>
          <w:kern w:val="22"/>
          <w:lang w:val="fr-CA"/>
        </w:rPr>
        <w:t>près du</w:t>
      </w:r>
      <w:r w:rsidRPr="009700CF">
        <w:rPr>
          <w:kern w:val="22"/>
          <w:lang w:val="fr-CA"/>
        </w:rPr>
        <w:t xml:space="preserve"> centre d</w:t>
      </w:r>
      <w:r w:rsidR="00BE752D">
        <w:rPr>
          <w:kern w:val="22"/>
          <w:lang w:val="fr-CA"/>
        </w:rPr>
        <w:t>’</w:t>
      </w:r>
      <w:r w:rsidRPr="009700CF">
        <w:rPr>
          <w:kern w:val="22"/>
          <w:lang w:val="fr-CA"/>
        </w:rPr>
        <w:t xml:space="preserve">échange sur la prévention des risques biotechnologiques (par exemple </w:t>
      </w:r>
      <w:r w:rsidR="006C2C0A">
        <w:rPr>
          <w:kern w:val="22"/>
          <w:lang w:val="fr-CA"/>
        </w:rPr>
        <w:t>en lien avec</w:t>
      </w:r>
      <w:r w:rsidR="007B472A" w:rsidRPr="009700CF">
        <w:rPr>
          <w:kern w:val="22"/>
          <w:lang w:val="fr-CA"/>
        </w:rPr>
        <w:t xml:space="preserve"> les décisions sur l’importation d’organismes vivants modifiés (OVM) aux fins d’introduction intentionnelle dans l’environnement) et concernant la désignation d</w:t>
      </w:r>
      <w:r w:rsidR="007B7959">
        <w:rPr>
          <w:kern w:val="22"/>
          <w:lang w:val="fr-CA"/>
        </w:rPr>
        <w:t>es correspondants nationaux et d</w:t>
      </w:r>
      <w:r w:rsidR="007B472A" w:rsidRPr="009700CF">
        <w:rPr>
          <w:kern w:val="22"/>
          <w:lang w:val="fr-CA"/>
        </w:rPr>
        <w:t>es autorités nationales compétentes. Par contre, il a aussi constaté les faibles progrès accomp</w:t>
      </w:r>
      <w:r w:rsidR="00257A03" w:rsidRPr="009700CF">
        <w:rPr>
          <w:kern w:val="22"/>
          <w:lang w:val="fr-CA"/>
        </w:rPr>
        <w:t>li</w:t>
      </w:r>
      <w:r w:rsidR="007B472A" w:rsidRPr="009700CF">
        <w:rPr>
          <w:kern w:val="22"/>
          <w:lang w:val="fr-CA"/>
        </w:rPr>
        <w:t>s dans d’autres domaines, notamment en ce qui concerne le respect de l’obligation de prendre les mesures légales, administratives et autres mesures nécessai</w:t>
      </w:r>
      <w:r w:rsidR="00257A03" w:rsidRPr="009700CF">
        <w:rPr>
          <w:kern w:val="22"/>
          <w:lang w:val="fr-CA"/>
        </w:rPr>
        <w:t xml:space="preserve">res pour appliquer le Protocole et l’obligation de remettre un rapport national à la date prévue. Le Comité a discuté de l’importance pour les Parties d’avoir en place des programmes de suivi et d’exécution pour l’application du Protocole et </w:t>
      </w:r>
      <w:r w:rsidR="007B7959">
        <w:rPr>
          <w:kern w:val="22"/>
          <w:lang w:val="fr-CA"/>
        </w:rPr>
        <w:t xml:space="preserve">du fait </w:t>
      </w:r>
      <w:r w:rsidR="00257A03" w:rsidRPr="009700CF">
        <w:rPr>
          <w:kern w:val="22"/>
          <w:lang w:val="fr-CA"/>
        </w:rPr>
        <w:t>que des efforts supplémentaires pourraient être nécessaires à cet égard</w:t>
      </w:r>
      <w:r w:rsidR="000F1A13" w:rsidRPr="009700CF">
        <w:rPr>
          <w:kern w:val="22"/>
          <w:lang w:val="fr-CA"/>
        </w:rPr>
        <w:t>.</w:t>
      </w:r>
    </w:p>
    <w:p w14:paraId="14CAA7F4" w14:textId="718E8FE4" w:rsidR="000F1A13" w:rsidRPr="009700CF" w:rsidRDefault="00257A03" w:rsidP="00C4544F">
      <w:pPr>
        <w:pStyle w:val="Para1"/>
        <w:keepNext/>
        <w:numPr>
          <w:ilvl w:val="0"/>
          <w:numId w:val="30"/>
        </w:numPr>
        <w:suppressLineNumbers/>
        <w:tabs>
          <w:tab w:val="left" w:pos="709"/>
        </w:tabs>
        <w:suppressAutoHyphens/>
        <w:kinsoku w:val="0"/>
        <w:overflowPunct w:val="0"/>
        <w:autoSpaceDE w:val="0"/>
        <w:autoSpaceDN w:val="0"/>
        <w:adjustRightInd w:val="0"/>
        <w:snapToGrid w:val="0"/>
        <w:ind w:left="0" w:firstLine="0"/>
        <w:rPr>
          <w:kern w:val="22"/>
          <w:szCs w:val="22"/>
          <w:lang w:val="fr-CA"/>
        </w:rPr>
      </w:pPr>
      <w:r w:rsidRPr="009700CF">
        <w:rPr>
          <w:kern w:val="22"/>
          <w:szCs w:val="22"/>
          <w:lang w:val="fr-CA"/>
        </w:rPr>
        <w:t xml:space="preserve">Le Comité a reconnu que le Plan stratégique lui a permis d’examiner systématiquement les progrès accomplis par les Parties </w:t>
      </w:r>
      <w:r w:rsidR="008654B1" w:rsidRPr="009700CF">
        <w:rPr>
          <w:kern w:val="22"/>
          <w:szCs w:val="22"/>
          <w:lang w:val="fr-CA"/>
        </w:rPr>
        <w:t>en lien avec différentes obligations principales au titre du Protocole et d’examiner son rôle de soutien aux Parties à cet égard</w:t>
      </w:r>
      <w:r w:rsidR="000F1A13" w:rsidRPr="009700CF">
        <w:rPr>
          <w:kern w:val="22"/>
          <w:szCs w:val="22"/>
          <w:lang w:val="fr-CA"/>
        </w:rPr>
        <w:t>.</w:t>
      </w:r>
    </w:p>
    <w:p w14:paraId="3D99F197" w14:textId="38F4B92B" w:rsidR="000F1A13" w:rsidRPr="009700CF" w:rsidRDefault="008654B1" w:rsidP="00C4544F">
      <w:pPr>
        <w:pStyle w:val="Para1"/>
        <w:keepNext/>
        <w:numPr>
          <w:ilvl w:val="0"/>
          <w:numId w:val="30"/>
        </w:numPr>
        <w:suppressLineNumbers/>
        <w:tabs>
          <w:tab w:val="left" w:pos="709"/>
        </w:tabs>
        <w:suppressAutoHyphens/>
        <w:kinsoku w:val="0"/>
        <w:overflowPunct w:val="0"/>
        <w:autoSpaceDE w:val="0"/>
        <w:autoSpaceDN w:val="0"/>
        <w:adjustRightInd w:val="0"/>
        <w:snapToGrid w:val="0"/>
        <w:ind w:left="0" w:firstLine="0"/>
        <w:rPr>
          <w:kern w:val="22"/>
          <w:szCs w:val="22"/>
          <w:lang w:val="fr-CA"/>
        </w:rPr>
      </w:pPr>
      <w:r w:rsidRPr="009700CF">
        <w:rPr>
          <w:kern w:val="22"/>
          <w:szCs w:val="22"/>
          <w:lang w:val="fr-CA"/>
        </w:rPr>
        <w:t>Le Comité a reconnu que ses travaux ont contribué aux progrès accomplis dans la réalisation de l’objectif opérationnel 3.1. Il a pris note que ses activités ont surtout</w:t>
      </w:r>
      <w:r w:rsidR="004F372A" w:rsidRPr="009700CF">
        <w:rPr>
          <w:kern w:val="22"/>
          <w:szCs w:val="22"/>
          <w:lang w:val="fr-CA"/>
        </w:rPr>
        <w:t xml:space="preserve"> </w:t>
      </w:r>
      <w:r w:rsidRPr="009700CF">
        <w:rPr>
          <w:kern w:val="22"/>
          <w:szCs w:val="22"/>
          <w:lang w:val="fr-CA"/>
        </w:rPr>
        <w:t xml:space="preserve">porté sur plusieurs obligations principales au titre du Protocole, notamment en ce qui concerne : a) le respect de l’obligation de remettre des rapports </w:t>
      </w:r>
      <w:r w:rsidR="004F372A" w:rsidRPr="009700CF">
        <w:rPr>
          <w:kern w:val="22"/>
          <w:szCs w:val="22"/>
          <w:lang w:val="fr-CA"/>
        </w:rPr>
        <w:t>nationaux</w:t>
      </w:r>
      <w:r w:rsidR="00BE752D">
        <w:rPr>
          <w:kern w:val="22"/>
          <w:szCs w:val="22"/>
          <w:lang w:val="fr-CA"/>
        </w:rPr>
        <w:t> </w:t>
      </w:r>
      <w:r w:rsidRPr="009700CF">
        <w:rPr>
          <w:kern w:val="22"/>
          <w:szCs w:val="22"/>
          <w:lang w:val="fr-CA"/>
        </w:rPr>
        <w:t>; b) l’obligation d’adopter les mesures nécessaires à l’application du Protocole</w:t>
      </w:r>
      <w:r w:rsidR="00BE752D">
        <w:rPr>
          <w:kern w:val="22"/>
          <w:szCs w:val="22"/>
          <w:lang w:val="fr-CA"/>
        </w:rPr>
        <w:t> </w:t>
      </w:r>
      <w:r w:rsidRPr="009700CF">
        <w:rPr>
          <w:kern w:val="22"/>
          <w:szCs w:val="22"/>
          <w:lang w:val="fr-CA"/>
        </w:rPr>
        <w:t xml:space="preserve">; c) l’obligation de désigner des correspondants nationaux et d) l’obligation de </w:t>
      </w:r>
      <w:r w:rsidR="004F372A" w:rsidRPr="009700CF">
        <w:rPr>
          <w:kern w:val="22"/>
          <w:szCs w:val="22"/>
          <w:lang w:val="fr-CA"/>
        </w:rPr>
        <w:t>mettre</w:t>
      </w:r>
      <w:r w:rsidRPr="009700CF">
        <w:rPr>
          <w:kern w:val="22"/>
          <w:szCs w:val="22"/>
          <w:lang w:val="fr-CA"/>
        </w:rPr>
        <w:t xml:space="preserve"> l’information obligatoire</w:t>
      </w:r>
      <w:r w:rsidR="000F1A13" w:rsidRPr="009700CF">
        <w:rPr>
          <w:kern w:val="22"/>
          <w:szCs w:val="22"/>
          <w:lang w:val="fr-CA"/>
        </w:rPr>
        <w:t xml:space="preserve"> </w:t>
      </w:r>
      <w:r w:rsidR="004F372A" w:rsidRPr="009700CF">
        <w:rPr>
          <w:kern w:val="22"/>
          <w:szCs w:val="22"/>
          <w:lang w:val="fr-CA"/>
        </w:rPr>
        <w:t>à la disposition du centre d</w:t>
      </w:r>
      <w:r w:rsidR="00BE752D">
        <w:rPr>
          <w:kern w:val="22"/>
          <w:szCs w:val="22"/>
          <w:lang w:val="fr-CA"/>
        </w:rPr>
        <w:t>’</w:t>
      </w:r>
      <w:r w:rsidR="004F372A" w:rsidRPr="009700CF">
        <w:rPr>
          <w:kern w:val="22"/>
          <w:szCs w:val="22"/>
          <w:lang w:val="fr-CA"/>
        </w:rPr>
        <w:t xml:space="preserve">échange sur la prévention des risques biotechnologiques. Le Comité a rappelé qu’il avait pris des mesures progressives depuis la décision </w:t>
      </w:r>
      <w:r w:rsidR="000F1A13" w:rsidRPr="009700CF">
        <w:rPr>
          <w:kern w:val="22"/>
          <w:szCs w:val="22"/>
          <w:lang w:val="fr-CA"/>
        </w:rPr>
        <w:t>BS-V/1</w:t>
      </w:r>
      <w:r w:rsidR="000F1A13" w:rsidRPr="009700CF">
        <w:rPr>
          <w:rStyle w:val="FootnoteReference"/>
          <w:rFonts w:eastAsiaTheme="majorEastAsia"/>
          <w:kern w:val="22"/>
          <w:szCs w:val="22"/>
          <w:lang w:val="fr-CA"/>
        </w:rPr>
        <w:footnoteReference w:id="10"/>
      </w:r>
      <w:r w:rsidR="000F1A13" w:rsidRPr="009700CF">
        <w:rPr>
          <w:kern w:val="22"/>
          <w:szCs w:val="22"/>
          <w:lang w:val="fr-CA"/>
        </w:rPr>
        <w:t xml:space="preserve"> </w:t>
      </w:r>
      <w:r w:rsidR="004F372A" w:rsidRPr="009700CF">
        <w:rPr>
          <w:kern w:val="22"/>
          <w:szCs w:val="22"/>
          <w:lang w:val="fr-CA"/>
        </w:rPr>
        <w:t xml:space="preserve">pour assurer le respect des obligations dans ces domaines et </w:t>
      </w:r>
      <w:r w:rsidR="007A6411">
        <w:rPr>
          <w:kern w:val="22"/>
          <w:szCs w:val="22"/>
          <w:lang w:val="fr-CA"/>
        </w:rPr>
        <w:t>que son rôle de contribuer au</w:t>
      </w:r>
      <w:r w:rsidR="004F372A" w:rsidRPr="009700CF">
        <w:rPr>
          <w:kern w:val="22"/>
          <w:szCs w:val="22"/>
          <w:lang w:val="fr-CA"/>
        </w:rPr>
        <w:t xml:space="preserve"> succès des Parties </w:t>
      </w:r>
      <w:r w:rsidR="007A6411">
        <w:rPr>
          <w:kern w:val="22"/>
          <w:szCs w:val="22"/>
          <w:lang w:val="fr-CA"/>
        </w:rPr>
        <w:t>a été bien reçu</w:t>
      </w:r>
      <w:r w:rsidR="004F372A" w:rsidRPr="009700CF">
        <w:rPr>
          <w:kern w:val="22"/>
          <w:szCs w:val="22"/>
          <w:lang w:val="fr-CA"/>
        </w:rPr>
        <w:t xml:space="preserve"> par la Conférence des Parties siégeant en tant que réunion des Parties au Protocole. Le Comité a souligné l’importance de communiquer le contexte de ses recommandations à la Conférence des Parties siégeant en tant que réunion des Parties au Protocole</w:t>
      </w:r>
      <w:r w:rsidR="000F1A13" w:rsidRPr="009700CF">
        <w:rPr>
          <w:kern w:val="22"/>
          <w:szCs w:val="22"/>
          <w:lang w:val="fr-CA"/>
        </w:rPr>
        <w:t>.</w:t>
      </w:r>
    </w:p>
    <w:p w14:paraId="55D5FF4D" w14:textId="30F6B1F5" w:rsidR="000F1A13" w:rsidRPr="009700CF" w:rsidRDefault="004F372A" w:rsidP="00C4544F">
      <w:pPr>
        <w:pStyle w:val="Para1"/>
        <w:keepNext/>
        <w:numPr>
          <w:ilvl w:val="0"/>
          <w:numId w:val="30"/>
        </w:numPr>
        <w:suppressLineNumbers/>
        <w:tabs>
          <w:tab w:val="left" w:pos="709"/>
        </w:tabs>
        <w:suppressAutoHyphens/>
        <w:kinsoku w:val="0"/>
        <w:overflowPunct w:val="0"/>
        <w:autoSpaceDE w:val="0"/>
        <w:autoSpaceDN w:val="0"/>
        <w:adjustRightInd w:val="0"/>
        <w:snapToGrid w:val="0"/>
        <w:ind w:left="0" w:firstLine="0"/>
        <w:rPr>
          <w:kern w:val="22"/>
          <w:szCs w:val="22"/>
          <w:lang w:val="fr-CA"/>
        </w:rPr>
      </w:pPr>
      <w:r w:rsidRPr="009700CF">
        <w:rPr>
          <w:kern w:val="22"/>
          <w:szCs w:val="22"/>
          <w:lang w:val="fr-CA"/>
        </w:rPr>
        <w:t xml:space="preserve">Le Comité a pris note avec déception que </w:t>
      </w:r>
      <w:r w:rsidR="0092503A" w:rsidRPr="009700CF">
        <w:rPr>
          <w:kern w:val="22"/>
          <w:szCs w:val="22"/>
          <w:lang w:val="fr-CA"/>
        </w:rPr>
        <w:t xml:space="preserve">bien que </w:t>
      </w:r>
      <w:r w:rsidRPr="009700CF">
        <w:rPr>
          <w:kern w:val="22"/>
          <w:szCs w:val="22"/>
          <w:lang w:val="fr-CA"/>
        </w:rPr>
        <w:t>l’application du Protocole demeur</w:t>
      </w:r>
      <w:r w:rsidR="0092503A" w:rsidRPr="009700CF">
        <w:rPr>
          <w:kern w:val="22"/>
          <w:szCs w:val="22"/>
          <w:lang w:val="fr-CA"/>
        </w:rPr>
        <w:t>e</w:t>
      </w:r>
      <w:r w:rsidRPr="009700CF">
        <w:rPr>
          <w:kern w:val="22"/>
          <w:szCs w:val="22"/>
          <w:lang w:val="fr-CA"/>
        </w:rPr>
        <w:t xml:space="preserve"> une difficulté permanente pour plusieurs </w:t>
      </w:r>
      <w:r w:rsidR="0092503A" w:rsidRPr="009700CF">
        <w:rPr>
          <w:kern w:val="22"/>
          <w:szCs w:val="22"/>
          <w:lang w:val="fr-CA"/>
        </w:rPr>
        <w:t>Parties, sa recommandation d’inviter les Parties et les donateurs à offrir un soutien financier aux Parties afin qu’</w:t>
      </w:r>
      <w:r w:rsidR="00061CE0" w:rsidRPr="009700CF">
        <w:rPr>
          <w:kern w:val="22"/>
          <w:szCs w:val="22"/>
          <w:lang w:val="fr-CA"/>
        </w:rPr>
        <w:t>elles puissent respecter leurs obligati</w:t>
      </w:r>
      <w:r w:rsidR="0092503A" w:rsidRPr="009700CF">
        <w:rPr>
          <w:kern w:val="22"/>
          <w:szCs w:val="22"/>
          <w:lang w:val="fr-CA"/>
        </w:rPr>
        <w:t>ons n’a pas entra</w:t>
      </w:r>
      <w:r w:rsidR="00061CE0" w:rsidRPr="009700CF">
        <w:rPr>
          <w:kern w:val="22"/>
          <w:szCs w:val="22"/>
          <w:lang w:val="fr-CA"/>
        </w:rPr>
        <w:t>î</w:t>
      </w:r>
      <w:r w:rsidR="0092503A" w:rsidRPr="009700CF">
        <w:rPr>
          <w:kern w:val="22"/>
          <w:szCs w:val="22"/>
          <w:lang w:val="fr-CA"/>
        </w:rPr>
        <w:t xml:space="preserve">né </w:t>
      </w:r>
      <w:r w:rsidR="00BC0757">
        <w:rPr>
          <w:kern w:val="22"/>
          <w:szCs w:val="22"/>
          <w:lang w:val="fr-CA"/>
        </w:rPr>
        <w:t>d</w:t>
      </w:r>
      <w:r w:rsidR="007A6411">
        <w:rPr>
          <w:kern w:val="22"/>
          <w:szCs w:val="22"/>
          <w:lang w:val="fr-CA"/>
        </w:rPr>
        <w:t>e dégagement</w:t>
      </w:r>
      <w:r w:rsidR="0092503A" w:rsidRPr="009700CF">
        <w:rPr>
          <w:kern w:val="22"/>
          <w:szCs w:val="22"/>
          <w:lang w:val="fr-CA"/>
        </w:rPr>
        <w:t xml:space="preserve"> de fonds à ces fins. Le Comité a également</w:t>
      </w:r>
      <w:r w:rsidR="00061CE0" w:rsidRPr="009700CF">
        <w:rPr>
          <w:kern w:val="22"/>
          <w:szCs w:val="22"/>
          <w:lang w:val="fr-CA"/>
        </w:rPr>
        <w:t xml:space="preserve"> reconnu que les Parties font p</w:t>
      </w:r>
      <w:r w:rsidR="0092503A" w:rsidRPr="009700CF">
        <w:rPr>
          <w:kern w:val="22"/>
          <w:szCs w:val="22"/>
          <w:lang w:val="fr-CA"/>
        </w:rPr>
        <w:t>eut-être face à d’autres difficultés les empêchant de respecter leurs obligations au titr</w:t>
      </w:r>
      <w:r w:rsidR="00061CE0" w:rsidRPr="009700CF">
        <w:rPr>
          <w:kern w:val="22"/>
          <w:szCs w:val="22"/>
          <w:lang w:val="fr-CA"/>
        </w:rPr>
        <w:t>e du Protoc</w:t>
      </w:r>
      <w:r w:rsidR="0092503A" w:rsidRPr="009700CF">
        <w:rPr>
          <w:kern w:val="22"/>
          <w:szCs w:val="22"/>
          <w:lang w:val="fr-CA"/>
        </w:rPr>
        <w:t>ole et qu’il faudrait analyser ces difficultés après la quatrième évaluation et examen du Protocole et l’évaluation finale du Plan stratégique pour le Protocole de Cartagena. Le Comité a rappelé</w:t>
      </w:r>
      <w:r w:rsidR="00061CE0" w:rsidRPr="009700CF">
        <w:rPr>
          <w:kern w:val="22"/>
          <w:szCs w:val="22"/>
          <w:lang w:val="fr-CA"/>
        </w:rPr>
        <w:t xml:space="preserve"> ses discussions antérieures à cet égard, surtout en ce qui concerne une </w:t>
      </w:r>
      <w:r w:rsidR="00061CE0" w:rsidRPr="009700CF">
        <w:rPr>
          <w:kern w:val="22"/>
          <w:szCs w:val="22"/>
          <w:lang w:val="fr-CA"/>
        </w:rPr>
        <w:lastRenderedPageBreak/>
        <w:t xml:space="preserve">enquête antérieure menée en 2018, sur les difficultés qu’éprouvaient les Parties </w:t>
      </w:r>
      <w:r w:rsidR="007A6411">
        <w:rPr>
          <w:kern w:val="22"/>
          <w:szCs w:val="22"/>
          <w:lang w:val="fr-CA"/>
        </w:rPr>
        <w:t>à</w:t>
      </w:r>
      <w:r w:rsidR="00061CE0" w:rsidRPr="009700CF">
        <w:rPr>
          <w:kern w:val="22"/>
          <w:szCs w:val="22"/>
          <w:lang w:val="fr-CA"/>
        </w:rPr>
        <w:t xml:space="preserve"> prendre les mesures légales, administratives et autres mesures nécessaires pour appliquer le Protocole</w:t>
      </w:r>
      <w:r w:rsidR="000F1A13" w:rsidRPr="009700CF">
        <w:rPr>
          <w:kern w:val="22"/>
          <w:szCs w:val="22"/>
          <w:lang w:val="fr-CA"/>
        </w:rPr>
        <w:t>.</w:t>
      </w:r>
      <w:r w:rsidR="000F1A13" w:rsidRPr="009700CF">
        <w:rPr>
          <w:rStyle w:val="FootnoteReference"/>
          <w:rFonts w:eastAsiaTheme="majorEastAsia"/>
          <w:kern w:val="22"/>
          <w:szCs w:val="22"/>
          <w:lang w:val="fr-CA"/>
        </w:rPr>
        <w:footnoteReference w:id="11"/>
      </w:r>
    </w:p>
    <w:p w14:paraId="0DB017D3" w14:textId="58695F81" w:rsidR="000F1A13" w:rsidRPr="009700CF" w:rsidRDefault="00FA44E1" w:rsidP="00C4544F">
      <w:pPr>
        <w:pStyle w:val="Para1"/>
        <w:numPr>
          <w:ilvl w:val="0"/>
          <w:numId w:val="30"/>
        </w:numPr>
        <w:suppressLineNumbers/>
        <w:suppressAutoHyphens/>
        <w:ind w:left="0" w:firstLine="0"/>
        <w:rPr>
          <w:kern w:val="22"/>
          <w:szCs w:val="22"/>
          <w:lang w:val="fr-CA"/>
        </w:rPr>
      </w:pPr>
      <w:r w:rsidRPr="009700CF">
        <w:rPr>
          <w:kern w:val="22"/>
          <w:szCs w:val="22"/>
          <w:lang w:val="fr-CA"/>
        </w:rPr>
        <w:t>Le Comité a reconnu que le fait de ne pas accorder la priorité à la prévention des risques biotechnologiques est un obstacle important. Dans ce contexte, le Comité a rappelé la décision CP-9/7 et réitéré l’importance d’aborder la prévention des risques biotechnologiques dans le cadre mondial de la biodiversité pour l</w:t>
      </w:r>
      <w:r w:rsidR="00BE752D">
        <w:rPr>
          <w:kern w:val="22"/>
          <w:szCs w:val="22"/>
          <w:lang w:val="fr-CA"/>
        </w:rPr>
        <w:t>’</w:t>
      </w:r>
      <w:r w:rsidRPr="009700CF">
        <w:rPr>
          <w:kern w:val="22"/>
          <w:szCs w:val="22"/>
          <w:lang w:val="fr-CA"/>
        </w:rPr>
        <w:t>après-2020, et estime que cela pourrait contribuer à intégrer la prévention des risques biotechnologiques et à hausser le niveau de sensibilisation à la prévention des risques biotechnologiques. Le Comité est également d’avis</w:t>
      </w:r>
      <w:r w:rsidR="00F84B51" w:rsidRPr="009700CF">
        <w:rPr>
          <w:kern w:val="22"/>
          <w:szCs w:val="22"/>
          <w:lang w:val="fr-CA"/>
        </w:rPr>
        <w:t xml:space="preserve"> que le cadre mondial de la biodiversité pour l</w:t>
      </w:r>
      <w:r w:rsidR="00BE752D">
        <w:rPr>
          <w:kern w:val="22"/>
          <w:szCs w:val="22"/>
          <w:lang w:val="fr-CA"/>
        </w:rPr>
        <w:t>’</w:t>
      </w:r>
      <w:r w:rsidR="00F84B51" w:rsidRPr="009700CF">
        <w:rPr>
          <w:kern w:val="22"/>
          <w:szCs w:val="22"/>
          <w:lang w:val="fr-CA"/>
        </w:rPr>
        <w:t>après-2020 devrait comprendre un renvoi au Plan d’application du Protocole de Cartagena et au Plan d’action pour le renforcement des capacités, reconnaissant ainsi que le Protocole peut être pertinent à la réalisation des trois objectifs de la Convention sur la diversité biologique</w:t>
      </w:r>
      <w:r w:rsidR="000F1A13" w:rsidRPr="009700CF">
        <w:rPr>
          <w:kern w:val="22"/>
          <w:szCs w:val="22"/>
          <w:lang w:val="fr-CA"/>
        </w:rPr>
        <w:t>.</w:t>
      </w:r>
    </w:p>
    <w:p w14:paraId="378EADE1" w14:textId="1EAA0B9F" w:rsidR="000F1A13" w:rsidRPr="009700CF" w:rsidRDefault="00F84B51" w:rsidP="00C4544F">
      <w:pPr>
        <w:pStyle w:val="Para1"/>
        <w:numPr>
          <w:ilvl w:val="0"/>
          <w:numId w:val="30"/>
        </w:numPr>
        <w:suppressLineNumbers/>
        <w:suppressAutoHyphens/>
        <w:ind w:left="0" w:firstLine="0"/>
        <w:rPr>
          <w:kern w:val="22"/>
          <w:szCs w:val="22"/>
          <w:lang w:val="fr-CA"/>
        </w:rPr>
      </w:pPr>
      <w:r w:rsidRPr="009700CF">
        <w:rPr>
          <w:kern w:val="22"/>
          <w:szCs w:val="22"/>
          <w:lang w:val="fr-CA"/>
        </w:rPr>
        <w:t xml:space="preserve">Le Comité a constaté que l’analyse de la quatrième évaluation et examen du Protocole et </w:t>
      </w:r>
      <w:r w:rsidR="00BC0757">
        <w:rPr>
          <w:kern w:val="22"/>
          <w:szCs w:val="22"/>
          <w:lang w:val="fr-CA"/>
        </w:rPr>
        <w:t xml:space="preserve">de </w:t>
      </w:r>
      <w:r w:rsidRPr="009700CF">
        <w:rPr>
          <w:kern w:val="22"/>
          <w:szCs w:val="22"/>
          <w:lang w:val="fr-CA"/>
        </w:rPr>
        <w:t xml:space="preserve">l’évaluation finale du Plan stratégique </w:t>
      </w:r>
      <w:r w:rsidR="00BC0757">
        <w:rPr>
          <w:kern w:val="22"/>
          <w:szCs w:val="22"/>
          <w:lang w:val="fr-CA"/>
        </w:rPr>
        <w:t>est</w:t>
      </w:r>
      <w:r w:rsidRPr="009700CF">
        <w:rPr>
          <w:kern w:val="22"/>
          <w:szCs w:val="22"/>
          <w:lang w:val="fr-CA"/>
        </w:rPr>
        <w:t xml:space="preserve"> fondé</w:t>
      </w:r>
      <w:r w:rsidR="00BC0757">
        <w:rPr>
          <w:kern w:val="22"/>
          <w:szCs w:val="22"/>
          <w:lang w:val="fr-CA"/>
        </w:rPr>
        <w:t>e</w:t>
      </w:r>
      <w:r w:rsidRPr="009700CF">
        <w:rPr>
          <w:kern w:val="22"/>
          <w:szCs w:val="22"/>
          <w:lang w:val="fr-CA"/>
        </w:rPr>
        <w:t xml:space="preserve"> sur le petit nombre de</w:t>
      </w:r>
      <w:r w:rsidR="00BC0757">
        <w:rPr>
          <w:kern w:val="22"/>
          <w:szCs w:val="22"/>
          <w:lang w:val="fr-CA"/>
        </w:rPr>
        <w:t xml:space="preserve"> rapports nationaux reçus au 15 </w:t>
      </w:r>
      <w:r w:rsidRPr="009700CF">
        <w:rPr>
          <w:kern w:val="22"/>
          <w:szCs w:val="22"/>
          <w:lang w:val="fr-CA"/>
        </w:rPr>
        <w:t>janvier 2020 et qu’une mise à jour de l’analyse pourrait être nécessaire à une date ultérieure</w:t>
      </w:r>
      <w:r w:rsidR="00A65E4E" w:rsidRPr="009700CF">
        <w:rPr>
          <w:kern w:val="22"/>
          <w:szCs w:val="22"/>
          <w:lang w:val="fr-CA"/>
        </w:rPr>
        <w:t>.</w:t>
      </w:r>
    </w:p>
    <w:p w14:paraId="72633732" w14:textId="0AFA1353" w:rsidR="00A855CF" w:rsidRPr="009700CF" w:rsidRDefault="00A855CF" w:rsidP="00C4544F">
      <w:pPr>
        <w:suppressLineNumbers/>
        <w:suppressAutoHyphens/>
        <w:jc w:val="left"/>
        <w:rPr>
          <w:b/>
          <w:bCs/>
          <w:i/>
          <w:iCs/>
          <w:kern w:val="22"/>
          <w:lang w:val="fr-CA"/>
        </w:rPr>
      </w:pPr>
      <w:r w:rsidRPr="009700CF">
        <w:rPr>
          <w:b/>
          <w:bCs/>
          <w:i/>
          <w:iCs/>
          <w:kern w:val="22"/>
          <w:lang w:val="fr-CA"/>
        </w:rPr>
        <w:br w:type="page"/>
      </w:r>
    </w:p>
    <w:p w14:paraId="58340B5B" w14:textId="5D81AA82" w:rsidR="00A855CF" w:rsidRPr="009700CF" w:rsidRDefault="008E20A8" w:rsidP="00C4544F">
      <w:pPr>
        <w:suppressLineNumbers/>
        <w:suppressAutoHyphens/>
        <w:jc w:val="center"/>
        <w:outlineLvl w:val="0"/>
        <w:rPr>
          <w:i/>
          <w:iCs/>
          <w:kern w:val="22"/>
          <w:lang w:val="fr-CA"/>
        </w:rPr>
      </w:pPr>
      <w:r w:rsidRPr="009700CF">
        <w:rPr>
          <w:i/>
          <w:iCs/>
          <w:kern w:val="22"/>
          <w:lang w:val="fr-CA"/>
        </w:rPr>
        <w:lastRenderedPageBreak/>
        <w:t>Annex</w:t>
      </w:r>
      <w:r w:rsidR="00E80CE3" w:rsidRPr="009700CF">
        <w:rPr>
          <w:i/>
          <w:iCs/>
          <w:kern w:val="22"/>
          <w:lang w:val="fr-CA"/>
        </w:rPr>
        <w:t>e</w:t>
      </w:r>
      <w:r w:rsidRPr="009700CF">
        <w:rPr>
          <w:i/>
          <w:iCs/>
          <w:kern w:val="22"/>
          <w:lang w:val="fr-CA"/>
        </w:rPr>
        <w:t xml:space="preserve"> </w:t>
      </w:r>
      <w:r w:rsidR="000F1A13" w:rsidRPr="009700CF">
        <w:rPr>
          <w:i/>
          <w:iCs/>
          <w:kern w:val="22"/>
          <w:lang w:val="fr-CA"/>
        </w:rPr>
        <w:t>I</w:t>
      </w:r>
      <w:r w:rsidRPr="009700CF">
        <w:rPr>
          <w:i/>
          <w:iCs/>
          <w:kern w:val="22"/>
          <w:lang w:val="fr-CA"/>
        </w:rPr>
        <w:t>I</w:t>
      </w:r>
    </w:p>
    <w:p w14:paraId="121F1EDB" w14:textId="3836B4B4" w:rsidR="00615225" w:rsidRPr="009700CF" w:rsidRDefault="00E80CE3" w:rsidP="00C4544F">
      <w:pPr>
        <w:pStyle w:val="Heading1"/>
        <w:suppressLineNumbers/>
        <w:tabs>
          <w:tab w:val="clear" w:pos="720"/>
        </w:tabs>
        <w:suppressAutoHyphens/>
        <w:rPr>
          <w:kern w:val="22"/>
          <w:lang w:val="fr-CA"/>
        </w:rPr>
      </w:pPr>
      <w:r w:rsidRPr="009700CF">
        <w:rPr>
          <w:kern w:val="22"/>
          <w:lang w:val="fr-CA"/>
        </w:rPr>
        <w:t xml:space="preserve">conclusions </w:t>
      </w:r>
      <w:r w:rsidR="002A4215">
        <w:rPr>
          <w:kern w:val="22"/>
          <w:lang w:val="fr-CA"/>
        </w:rPr>
        <w:t xml:space="preserve">de la quatorzième réunion </w:t>
      </w:r>
      <w:r w:rsidRPr="009700CF">
        <w:rPr>
          <w:kern w:val="22"/>
          <w:lang w:val="fr-CA"/>
        </w:rPr>
        <w:t>du groupe de liaison sur le protocole de cartagena concernant la quatrième évaluation et examen du protocole et l’évaluation finale du plan stratégique pour le protocole de cartagena</w:t>
      </w:r>
    </w:p>
    <w:p w14:paraId="6FAFEE7E" w14:textId="25BF2732" w:rsidR="006F3493" w:rsidRPr="009700CF" w:rsidRDefault="007135A1" w:rsidP="002A4215">
      <w:pPr>
        <w:pStyle w:val="Para1"/>
        <w:numPr>
          <w:ilvl w:val="0"/>
          <w:numId w:val="22"/>
        </w:numPr>
        <w:suppressLineNumbers/>
        <w:suppressAutoHyphens/>
        <w:jc w:val="center"/>
        <w:rPr>
          <w:b/>
          <w:bCs/>
          <w:kern w:val="22"/>
          <w:szCs w:val="22"/>
          <w:lang w:val="fr-CA"/>
        </w:rPr>
      </w:pPr>
      <w:r w:rsidRPr="009700CF">
        <w:rPr>
          <w:b/>
          <w:bCs/>
          <w:kern w:val="22"/>
          <w:szCs w:val="22"/>
          <w:lang w:val="fr-CA"/>
        </w:rPr>
        <w:t xml:space="preserve">Cadres nationaux de prévention des risques biotechnologiques </w:t>
      </w:r>
      <w:r w:rsidR="002A4215">
        <w:rPr>
          <w:b/>
          <w:bCs/>
          <w:kern w:val="22"/>
          <w:szCs w:val="22"/>
          <w:lang w:val="fr-CA"/>
        </w:rPr>
        <w:br/>
      </w:r>
      <w:r w:rsidRPr="009700CF">
        <w:rPr>
          <w:b/>
          <w:bCs/>
          <w:kern w:val="22"/>
          <w:szCs w:val="22"/>
          <w:lang w:val="fr-CA"/>
        </w:rPr>
        <w:t>(objectifs opérationnels 1.1 et 2</w:t>
      </w:r>
      <w:r w:rsidR="006F3493" w:rsidRPr="009700CF">
        <w:rPr>
          <w:b/>
          <w:bCs/>
          <w:kern w:val="22"/>
          <w:szCs w:val="22"/>
          <w:lang w:val="fr-CA"/>
        </w:rPr>
        <w:t>.1)</w:t>
      </w:r>
    </w:p>
    <w:p w14:paraId="4B5D5487" w14:textId="18E72C4A" w:rsidR="006F3493" w:rsidRPr="009700CF" w:rsidRDefault="007135A1" w:rsidP="00C4544F">
      <w:pPr>
        <w:pStyle w:val="Para1"/>
        <w:numPr>
          <w:ilvl w:val="0"/>
          <w:numId w:val="26"/>
        </w:numPr>
        <w:suppressLineNumbers/>
        <w:suppressAutoHyphens/>
        <w:ind w:left="0" w:firstLine="0"/>
        <w:rPr>
          <w:kern w:val="22"/>
          <w:szCs w:val="22"/>
          <w:lang w:val="fr-CA"/>
        </w:rPr>
      </w:pPr>
      <w:bookmarkStart w:id="2" w:name="_Hlk43132428"/>
      <w:bookmarkStart w:id="3" w:name="_Hlk43132419"/>
      <w:r w:rsidRPr="009700CF">
        <w:rPr>
          <w:kern w:val="22"/>
          <w:szCs w:val="22"/>
          <w:lang w:val="fr-CA"/>
        </w:rPr>
        <w:t xml:space="preserve">Le Groupe de liaison a pris </w:t>
      </w:r>
      <w:r w:rsidR="00AB7719" w:rsidRPr="009700CF">
        <w:rPr>
          <w:kern w:val="22"/>
          <w:szCs w:val="22"/>
          <w:lang w:val="fr-CA"/>
        </w:rPr>
        <w:t>not</w:t>
      </w:r>
      <w:r w:rsidR="002A4215">
        <w:rPr>
          <w:kern w:val="22"/>
          <w:szCs w:val="22"/>
          <w:lang w:val="fr-CA"/>
        </w:rPr>
        <w:t>e</w:t>
      </w:r>
      <w:r w:rsidR="00AB7719" w:rsidRPr="009700CF">
        <w:rPr>
          <w:kern w:val="22"/>
          <w:szCs w:val="22"/>
          <w:lang w:val="fr-CA"/>
        </w:rPr>
        <w:t xml:space="preserve"> avec </w:t>
      </w:r>
      <w:r w:rsidR="002A4215">
        <w:rPr>
          <w:kern w:val="22"/>
          <w:szCs w:val="22"/>
          <w:lang w:val="fr-CA"/>
        </w:rPr>
        <w:t>préoccupation</w:t>
      </w:r>
      <w:r w:rsidR="00AB7719" w:rsidRPr="009700CF">
        <w:rPr>
          <w:kern w:val="22"/>
          <w:szCs w:val="22"/>
          <w:lang w:val="fr-CA"/>
        </w:rPr>
        <w:t xml:space="preserve"> qu’à peine un peu plus</w:t>
      </w:r>
      <w:r w:rsidRPr="009700CF">
        <w:rPr>
          <w:kern w:val="22"/>
          <w:szCs w:val="22"/>
          <w:lang w:val="fr-CA"/>
        </w:rPr>
        <w:t xml:space="preserve"> de la moitié des Parties</w:t>
      </w:r>
      <w:r w:rsidR="002A4215">
        <w:rPr>
          <w:kern w:val="22"/>
          <w:szCs w:val="22"/>
          <w:lang w:val="fr-CA"/>
        </w:rPr>
        <w:t xml:space="preserve"> </w:t>
      </w:r>
      <w:r w:rsidRPr="009700CF">
        <w:rPr>
          <w:kern w:val="22"/>
          <w:szCs w:val="22"/>
          <w:lang w:val="fr-CA"/>
        </w:rPr>
        <w:t xml:space="preserve">(55 p. cent) </w:t>
      </w:r>
      <w:r w:rsidR="005726B9">
        <w:rPr>
          <w:kern w:val="22"/>
          <w:szCs w:val="22"/>
          <w:lang w:val="fr-CA"/>
        </w:rPr>
        <w:t>ont</w:t>
      </w:r>
      <w:r w:rsidR="00AB7719" w:rsidRPr="009700CF">
        <w:rPr>
          <w:kern w:val="22"/>
          <w:szCs w:val="22"/>
          <w:lang w:val="fr-CA"/>
        </w:rPr>
        <w:t xml:space="preserve"> déclaré avoir complètement mis en place les mesures légales, administratives et autres mesures nécessaires au respect de leurs obligations au titre du Protocole. Le Groupe de liaison estime qu’un soutien devrait être offert aux Parties afin qu’elle</w:t>
      </w:r>
      <w:r w:rsidR="00BE752D">
        <w:rPr>
          <w:kern w:val="22"/>
          <w:szCs w:val="22"/>
          <w:lang w:val="fr-CA"/>
        </w:rPr>
        <w:t>s</w:t>
      </w:r>
      <w:r w:rsidR="00AB7719" w:rsidRPr="009700CF">
        <w:rPr>
          <w:kern w:val="22"/>
          <w:szCs w:val="22"/>
          <w:lang w:val="fr-CA"/>
        </w:rPr>
        <w:t xml:space="preserve"> puissent corriger la situation. Le Groupe de liaison a pris note des travaux </w:t>
      </w:r>
      <w:r w:rsidR="005E2E3C">
        <w:rPr>
          <w:kern w:val="22"/>
          <w:szCs w:val="22"/>
          <w:lang w:val="fr-CA"/>
        </w:rPr>
        <w:t>continus</w:t>
      </w:r>
      <w:r w:rsidR="00AB7719" w:rsidRPr="009700CF">
        <w:rPr>
          <w:kern w:val="22"/>
          <w:szCs w:val="22"/>
          <w:lang w:val="fr-CA"/>
        </w:rPr>
        <w:t xml:space="preserve"> du Comité de conformité à cet égard et a reconnu l’importance d’examiner plus </w:t>
      </w:r>
      <w:r w:rsidR="005E2E3C">
        <w:rPr>
          <w:kern w:val="22"/>
          <w:szCs w:val="22"/>
          <w:lang w:val="fr-CA"/>
        </w:rPr>
        <w:t>en</w:t>
      </w:r>
      <w:r w:rsidR="00AB7719" w:rsidRPr="009700CF">
        <w:rPr>
          <w:kern w:val="22"/>
          <w:szCs w:val="22"/>
          <w:lang w:val="fr-CA"/>
        </w:rPr>
        <w:t xml:space="preserve"> profondeur les défis auxque</w:t>
      </w:r>
      <w:r w:rsidR="005E2E3C">
        <w:rPr>
          <w:kern w:val="22"/>
          <w:szCs w:val="22"/>
          <w:lang w:val="fr-CA"/>
        </w:rPr>
        <w:t xml:space="preserve">ls font face </w:t>
      </w:r>
      <w:r w:rsidR="00AB7719" w:rsidRPr="009700CF">
        <w:rPr>
          <w:kern w:val="22"/>
          <w:szCs w:val="22"/>
          <w:lang w:val="fr-CA"/>
        </w:rPr>
        <w:t>les Parties dans ce domaine</w:t>
      </w:r>
      <w:r w:rsidR="006F3493" w:rsidRPr="009700CF">
        <w:rPr>
          <w:kern w:val="22"/>
          <w:szCs w:val="22"/>
          <w:lang w:val="fr-CA"/>
        </w:rPr>
        <w:t>.</w:t>
      </w:r>
      <w:bookmarkEnd w:id="2"/>
    </w:p>
    <w:bookmarkEnd w:id="3"/>
    <w:p w14:paraId="5680A984" w14:textId="44E27BB5" w:rsidR="006F3493" w:rsidRPr="009700CF" w:rsidRDefault="00254073" w:rsidP="00C4544F">
      <w:pPr>
        <w:pStyle w:val="Para1"/>
        <w:numPr>
          <w:ilvl w:val="0"/>
          <w:numId w:val="26"/>
        </w:numPr>
        <w:suppressLineNumbers/>
        <w:suppressAutoHyphens/>
        <w:ind w:left="0" w:firstLine="0"/>
        <w:rPr>
          <w:kern w:val="22"/>
          <w:szCs w:val="22"/>
          <w:lang w:val="fr-CA"/>
        </w:rPr>
      </w:pPr>
      <w:r w:rsidRPr="009700CF">
        <w:rPr>
          <w:kern w:val="22"/>
          <w:szCs w:val="22"/>
          <w:lang w:val="fr-CA"/>
        </w:rPr>
        <w:t xml:space="preserve">Le Groupe de liaison a souligné le besoin de soutien et de ressources supplémentaires pour que toutes les Parties puissent avoir des institutions </w:t>
      </w:r>
      <w:r w:rsidR="005E2E3C">
        <w:rPr>
          <w:kern w:val="22"/>
          <w:szCs w:val="22"/>
          <w:lang w:val="fr-CA"/>
        </w:rPr>
        <w:t>de</w:t>
      </w:r>
      <w:r w:rsidRPr="009700CF">
        <w:rPr>
          <w:kern w:val="22"/>
          <w:szCs w:val="22"/>
          <w:lang w:val="fr-CA"/>
        </w:rPr>
        <w:t xml:space="preserve"> prévention des risques biotechnologiques</w:t>
      </w:r>
      <w:r w:rsidR="005E2E3C">
        <w:rPr>
          <w:kern w:val="22"/>
          <w:szCs w:val="22"/>
          <w:lang w:val="fr-CA"/>
        </w:rPr>
        <w:t xml:space="preserve"> efficaces</w:t>
      </w:r>
      <w:r w:rsidRPr="009700CF">
        <w:rPr>
          <w:kern w:val="22"/>
          <w:szCs w:val="22"/>
          <w:lang w:val="fr-CA"/>
        </w:rPr>
        <w:t xml:space="preserve">, compte tenu de l’importance de leur rôle dans l’application du Protocole. Il a reconnu l’utilité d’intégrer la prévention des risques biotechnologiques et la collaboration entre les institutions, notamment dans les régions. Le Groupe de liaison a également reconnu les progrès déclarés dans la </w:t>
      </w:r>
      <w:r w:rsidR="005E2E3C">
        <w:rPr>
          <w:kern w:val="22"/>
          <w:szCs w:val="22"/>
          <w:lang w:val="fr-CA"/>
        </w:rPr>
        <w:t>mise en place</w:t>
      </w:r>
      <w:r w:rsidRPr="009700CF">
        <w:rPr>
          <w:kern w:val="22"/>
          <w:szCs w:val="22"/>
          <w:lang w:val="fr-CA"/>
        </w:rPr>
        <w:t xml:space="preserve"> d’arrangements administratifs fonctionnels et pris note que presque toutes les Parties (94 p. cent) ont déclaré avoir un effectif permanent chargé d’administrer les fonctions liées à la prévention des risques biotechnologiques</w:t>
      </w:r>
      <w:r w:rsidR="006F3493" w:rsidRPr="009700CF">
        <w:rPr>
          <w:kern w:val="22"/>
          <w:szCs w:val="22"/>
          <w:lang w:val="fr-CA"/>
        </w:rPr>
        <w:t>.</w:t>
      </w:r>
    </w:p>
    <w:p w14:paraId="20F40B11" w14:textId="176A804A" w:rsidR="006F3493" w:rsidRPr="009700CF" w:rsidRDefault="00254073" w:rsidP="00C4544F">
      <w:pPr>
        <w:pStyle w:val="Para1"/>
        <w:numPr>
          <w:ilvl w:val="0"/>
          <w:numId w:val="22"/>
        </w:numPr>
        <w:suppressLineNumbers/>
        <w:suppressAutoHyphens/>
        <w:jc w:val="center"/>
        <w:rPr>
          <w:kern w:val="22"/>
          <w:szCs w:val="22"/>
          <w:lang w:val="fr-CA"/>
        </w:rPr>
      </w:pPr>
      <w:r w:rsidRPr="009700CF">
        <w:rPr>
          <w:b/>
          <w:bCs/>
          <w:kern w:val="22"/>
          <w:szCs w:val="22"/>
          <w:lang w:val="fr-CA"/>
        </w:rPr>
        <w:t>Coordination et soutien (objectif opérationnel</w:t>
      </w:r>
      <w:r w:rsidR="006F3493" w:rsidRPr="009700CF">
        <w:rPr>
          <w:b/>
          <w:bCs/>
          <w:kern w:val="22"/>
          <w:szCs w:val="22"/>
          <w:lang w:val="fr-CA"/>
        </w:rPr>
        <w:t xml:space="preserve"> 1.2)</w:t>
      </w:r>
    </w:p>
    <w:p w14:paraId="4D59440C" w14:textId="03BDF38C" w:rsidR="006F3493" w:rsidRPr="009700CF" w:rsidRDefault="00254073" w:rsidP="00C4544F">
      <w:pPr>
        <w:pStyle w:val="Para1"/>
        <w:numPr>
          <w:ilvl w:val="0"/>
          <w:numId w:val="26"/>
        </w:numPr>
        <w:suppressLineNumbers/>
        <w:suppressAutoHyphens/>
        <w:ind w:left="0" w:firstLine="0"/>
        <w:rPr>
          <w:kern w:val="22"/>
          <w:szCs w:val="22"/>
          <w:lang w:val="fr-CA"/>
        </w:rPr>
      </w:pPr>
      <w:r w:rsidRPr="009700CF">
        <w:rPr>
          <w:kern w:val="22"/>
          <w:szCs w:val="22"/>
          <w:lang w:val="fr-CA"/>
        </w:rPr>
        <w:t xml:space="preserve">Le Groupe de liaison a pris note </w:t>
      </w:r>
      <w:r w:rsidR="00C52DE5" w:rsidRPr="009700CF">
        <w:rPr>
          <w:kern w:val="22"/>
          <w:szCs w:val="22"/>
          <w:lang w:val="fr-CA"/>
        </w:rPr>
        <w:t xml:space="preserve">qu’aucun progrès </w:t>
      </w:r>
      <w:r w:rsidR="00E526F1" w:rsidRPr="009700CF">
        <w:rPr>
          <w:kern w:val="22"/>
          <w:szCs w:val="22"/>
          <w:lang w:val="fr-CA"/>
        </w:rPr>
        <w:t xml:space="preserve">n’a été accompli </w:t>
      </w:r>
      <w:r w:rsidRPr="009700CF">
        <w:rPr>
          <w:kern w:val="22"/>
          <w:szCs w:val="22"/>
          <w:lang w:val="fr-CA"/>
        </w:rPr>
        <w:t>au titre de l’objectif opérationnel 1.2 sur la coordination et le soutien</w:t>
      </w:r>
      <w:r w:rsidR="006F3493" w:rsidRPr="009700CF">
        <w:rPr>
          <w:kern w:val="22"/>
          <w:szCs w:val="22"/>
          <w:lang w:val="fr-CA"/>
        </w:rPr>
        <w:t>.</w:t>
      </w:r>
    </w:p>
    <w:p w14:paraId="74945507" w14:textId="5BC4D761" w:rsidR="006F3493" w:rsidRPr="009700CF" w:rsidRDefault="00254073" w:rsidP="00C4544F">
      <w:pPr>
        <w:pStyle w:val="Para1"/>
        <w:numPr>
          <w:ilvl w:val="0"/>
          <w:numId w:val="26"/>
        </w:numPr>
        <w:suppressLineNumbers/>
        <w:suppressAutoHyphens/>
        <w:ind w:left="0" w:firstLine="0"/>
        <w:rPr>
          <w:kern w:val="22"/>
          <w:szCs w:val="22"/>
          <w:lang w:val="fr-CA"/>
        </w:rPr>
      </w:pPr>
      <w:bookmarkStart w:id="4" w:name="_Hlk43132436"/>
      <w:r w:rsidRPr="009700CF">
        <w:rPr>
          <w:kern w:val="22"/>
          <w:szCs w:val="22"/>
          <w:lang w:val="fr-CA"/>
        </w:rPr>
        <w:t>Le Groupe de liaison a pris note avec inquiétude que peu ou aucun progrès n’a été accompli dans</w:t>
      </w:r>
      <w:r w:rsidR="00E526F1" w:rsidRPr="009700CF">
        <w:rPr>
          <w:kern w:val="22"/>
          <w:szCs w:val="22"/>
          <w:lang w:val="fr-CA"/>
        </w:rPr>
        <w:t xml:space="preserve"> quatre régions pour répondre aux besoins de renforcement des capacités des Parties et a observé qu’aucune Partie de ces régions n’a déclaré que ses besoins de renforcement des capacités </w:t>
      </w:r>
      <w:r w:rsidR="005E2E3C">
        <w:rPr>
          <w:kern w:val="22"/>
          <w:szCs w:val="22"/>
          <w:lang w:val="fr-CA"/>
        </w:rPr>
        <w:t>ont</w:t>
      </w:r>
      <w:r w:rsidR="00E526F1" w:rsidRPr="009700CF">
        <w:rPr>
          <w:kern w:val="22"/>
          <w:szCs w:val="22"/>
          <w:lang w:val="fr-CA"/>
        </w:rPr>
        <w:t xml:space="preserve"> été satisfaits. Le Groupe de liaison a souligné l’importance de renforcer les capacités des Parties pour appliquer le Protocole, sachant que les avancées rapides dans le secteur</w:t>
      </w:r>
      <w:r w:rsidR="00075E25" w:rsidRPr="009700CF">
        <w:rPr>
          <w:kern w:val="22"/>
          <w:szCs w:val="22"/>
          <w:lang w:val="fr-CA"/>
        </w:rPr>
        <w:t xml:space="preserve"> de la biotechnologie exigeront un renforcement permanent des capacités</w:t>
      </w:r>
      <w:r w:rsidR="006F3493" w:rsidRPr="009700CF">
        <w:rPr>
          <w:kern w:val="22"/>
          <w:szCs w:val="22"/>
          <w:lang w:val="fr-CA"/>
        </w:rPr>
        <w:t>.</w:t>
      </w:r>
      <w:bookmarkEnd w:id="4"/>
    </w:p>
    <w:p w14:paraId="798ED11F" w14:textId="2232B7A0" w:rsidR="006F3493" w:rsidRPr="009700CF" w:rsidRDefault="00075E25" w:rsidP="00C4544F">
      <w:pPr>
        <w:pStyle w:val="Para1"/>
        <w:numPr>
          <w:ilvl w:val="0"/>
          <w:numId w:val="26"/>
        </w:numPr>
        <w:suppressLineNumbers/>
        <w:suppressAutoHyphens/>
        <w:ind w:left="0" w:firstLine="0"/>
        <w:rPr>
          <w:kern w:val="22"/>
          <w:szCs w:val="22"/>
          <w:lang w:val="fr-CA"/>
        </w:rPr>
      </w:pPr>
      <w:r w:rsidRPr="009700CF">
        <w:rPr>
          <w:kern w:val="22"/>
          <w:szCs w:val="22"/>
          <w:lang w:val="fr-CA"/>
        </w:rPr>
        <w:t xml:space="preserve">Le Groupe de liaison a reconnu l’importance de la coordination entre les autorités compétentes et à différents niveaux, et </w:t>
      </w:r>
      <w:r w:rsidR="00090678">
        <w:rPr>
          <w:kern w:val="22"/>
          <w:szCs w:val="22"/>
          <w:lang w:val="fr-CA"/>
        </w:rPr>
        <w:t>est</w:t>
      </w:r>
      <w:r w:rsidRPr="009700CF">
        <w:rPr>
          <w:kern w:val="22"/>
          <w:szCs w:val="22"/>
          <w:lang w:val="fr-CA"/>
        </w:rPr>
        <w:t xml:space="preserve"> d’avis que l’intégration de la prévention des risques biotechnolo</w:t>
      </w:r>
      <w:r w:rsidR="00090678">
        <w:rPr>
          <w:kern w:val="22"/>
          <w:szCs w:val="22"/>
          <w:lang w:val="fr-CA"/>
        </w:rPr>
        <w:t>giques pourrait contribuer à l’</w:t>
      </w:r>
      <w:r w:rsidRPr="009700CF">
        <w:rPr>
          <w:kern w:val="22"/>
          <w:szCs w:val="22"/>
          <w:lang w:val="fr-CA"/>
        </w:rPr>
        <w:t>avancement de l’application</w:t>
      </w:r>
      <w:r w:rsidR="006F3493" w:rsidRPr="009700CF">
        <w:rPr>
          <w:kern w:val="22"/>
          <w:szCs w:val="22"/>
          <w:lang w:val="fr-CA"/>
        </w:rPr>
        <w:t>.</w:t>
      </w:r>
    </w:p>
    <w:p w14:paraId="76F97B88" w14:textId="7E2C4771" w:rsidR="006F3493" w:rsidRPr="009700CF" w:rsidRDefault="00075E25" w:rsidP="00C4544F">
      <w:pPr>
        <w:pStyle w:val="Para1"/>
        <w:numPr>
          <w:ilvl w:val="0"/>
          <w:numId w:val="26"/>
        </w:numPr>
        <w:suppressLineNumbers/>
        <w:suppressAutoHyphens/>
        <w:ind w:left="0" w:firstLine="0"/>
        <w:rPr>
          <w:kern w:val="22"/>
          <w:szCs w:val="22"/>
          <w:lang w:val="fr-CA"/>
        </w:rPr>
      </w:pPr>
      <w:r w:rsidRPr="009700CF">
        <w:rPr>
          <w:kern w:val="22"/>
          <w:szCs w:val="22"/>
          <w:lang w:val="fr-CA"/>
        </w:rPr>
        <w:t xml:space="preserve">Le Groupe de liaison a pris note avec inquiétude du nombre décroissant de Parties ayant déclaré avoir accès à des ressources financières supplémentaires </w:t>
      </w:r>
      <w:r w:rsidR="00090678">
        <w:rPr>
          <w:kern w:val="22"/>
          <w:szCs w:val="22"/>
          <w:lang w:val="fr-CA"/>
        </w:rPr>
        <w:t>au-delà de</w:t>
      </w:r>
      <w:r w:rsidR="00D366F7" w:rsidRPr="009700CF">
        <w:rPr>
          <w:kern w:val="22"/>
          <w:szCs w:val="22"/>
          <w:lang w:val="fr-CA"/>
        </w:rPr>
        <w:t xml:space="preserve"> celles prévues </w:t>
      </w:r>
      <w:r w:rsidR="00090678">
        <w:rPr>
          <w:kern w:val="22"/>
          <w:szCs w:val="22"/>
          <w:lang w:val="fr-CA"/>
        </w:rPr>
        <w:t>à leur</w:t>
      </w:r>
      <w:r w:rsidR="00D366F7" w:rsidRPr="009700CF">
        <w:rPr>
          <w:kern w:val="22"/>
          <w:szCs w:val="22"/>
          <w:lang w:val="fr-CA"/>
        </w:rPr>
        <w:t xml:space="preserve"> budget national</w:t>
      </w:r>
      <w:r w:rsidR="006F3493" w:rsidRPr="009700CF">
        <w:rPr>
          <w:kern w:val="22"/>
          <w:szCs w:val="22"/>
          <w:lang w:val="fr-CA"/>
        </w:rPr>
        <w:t>.</w:t>
      </w:r>
    </w:p>
    <w:p w14:paraId="5C05188D" w14:textId="43E5F116" w:rsidR="006F3493" w:rsidRPr="009700CF" w:rsidRDefault="00D366F7" w:rsidP="00C4544F">
      <w:pPr>
        <w:pStyle w:val="Para1"/>
        <w:numPr>
          <w:ilvl w:val="0"/>
          <w:numId w:val="22"/>
        </w:numPr>
        <w:suppressLineNumbers/>
        <w:suppressAutoHyphens/>
        <w:jc w:val="center"/>
        <w:rPr>
          <w:b/>
          <w:bCs/>
          <w:kern w:val="22"/>
          <w:szCs w:val="22"/>
          <w:lang w:val="fr-CA"/>
        </w:rPr>
      </w:pPr>
      <w:r w:rsidRPr="009700CF">
        <w:rPr>
          <w:b/>
          <w:bCs/>
          <w:kern w:val="22"/>
          <w:szCs w:val="22"/>
          <w:lang w:val="fr-CA"/>
        </w:rPr>
        <w:t>Évaluation des risques et gestion des risques (objectifs opérationnels 1.3 et</w:t>
      </w:r>
      <w:r w:rsidR="006F3493" w:rsidRPr="009700CF">
        <w:rPr>
          <w:b/>
          <w:bCs/>
          <w:kern w:val="22"/>
          <w:szCs w:val="22"/>
          <w:lang w:val="fr-CA"/>
        </w:rPr>
        <w:t xml:space="preserve"> 2.2)</w:t>
      </w:r>
    </w:p>
    <w:p w14:paraId="4A8BB4B6" w14:textId="1389748F" w:rsidR="006F3493" w:rsidRPr="009700CF" w:rsidRDefault="00D366F7" w:rsidP="00C4544F">
      <w:pPr>
        <w:pStyle w:val="Para1"/>
        <w:numPr>
          <w:ilvl w:val="0"/>
          <w:numId w:val="26"/>
        </w:numPr>
        <w:suppressLineNumbers/>
        <w:suppressAutoHyphens/>
        <w:ind w:left="0" w:firstLine="0"/>
        <w:rPr>
          <w:kern w:val="22"/>
          <w:szCs w:val="22"/>
          <w:lang w:val="fr-CA"/>
        </w:rPr>
      </w:pPr>
      <w:r w:rsidRPr="009700CF">
        <w:rPr>
          <w:kern w:val="22"/>
          <w:szCs w:val="22"/>
          <w:lang w:val="fr-CA"/>
        </w:rPr>
        <w:t xml:space="preserve">Le Groupe de liaison a pris note des progrès accomplis par les Parties dans la </w:t>
      </w:r>
      <w:r w:rsidR="00090678">
        <w:rPr>
          <w:kern w:val="22"/>
          <w:szCs w:val="22"/>
          <w:lang w:val="fr-CA"/>
        </w:rPr>
        <w:t>réalisation</w:t>
      </w:r>
      <w:r w:rsidRPr="009700CF">
        <w:rPr>
          <w:kern w:val="22"/>
          <w:szCs w:val="22"/>
          <w:lang w:val="fr-CA"/>
        </w:rPr>
        <w:t xml:space="preserve"> d</w:t>
      </w:r>
      <w:r w:rsidR="00090678">
        <w:rPr>
          <w:kern w:val="22"/>
          <w:szCs w:val="22"/>
          <w:lang w:val="fr-CA"/>
        </w:rPr>
        <w:t xml:space="preserve">es </w:t>
      </w:r>
      <w:r w:rsidRPr="009700CF">
        <w:rPr>
          <w:kern w:val="22"/>
          <w:szCs w:val="22"/>
          <w:lang w:val="fr-CA"/>
        </w:rPr>
        <w:t>évaluation</w:t>
      </w:r>
      <w:r w:rsidR="00BE752D">
        <w:rPr>
          <w:kern w:val="22"/>
          <w:szCs w:val="22"/>
          <w:lang w:val="fr-CA"/>
        </w:rPr>
        <w:t>s</w:t>
      </w:r>
      <w:r w:rsidRPr="009700CF">
        <w:rPr>
          <w:kern w:val="22"/>
          <w:szCs w:val="22"/>
          <w:lang w:val="fr-CA"/>
        </w:rPr>
        <w:t xml:space="preserve"> des risques au titre du Protocole. Il s’est réjoui que presque toutes les décisions</w:t>
      </w:r>
      <w:r w:rsidR="006F3493" w:rsidRPr="009700CF">
        <w:rPr>
          <w:rStyle w:val="FootnoteReference"/>
          <w:kern w:val="22"/>
          <w:szCs w:val="22"/>
          <w:lang w:val="fr-CA"/>
        </w:rPr>
        <w:footnoteReference w:id="12"/>
      </w:r>
      <w:r w:rsidR="006F3493" w:rsidRPr="009700CF">
        <w:rPr>
          <w:kern w:val="22"/>
          <w:szCs w:val="22"/>
          <w:lang w:val="fr-CA"/>
        </w:rPr>
        <w:t xml:space="preserve"> </w:t>
      </w:r>
      <w:r w:rsidRPr="009700CF">
        <w:rPr>
          <w:kern w:val="22"/>
          <w:szCs w:val="22"/>
          <w:lang w:val="fr-CA"/>
        </w:rPr>
        <w:t>publié</w:t>
      </w:r>
      <w:r w:rsidR="00BE752D">
        <w:rPr>
          <w:kern w:val="22"/>
          <w:szCs w:val="22"/>
          <w:lang w:val="fr-CA"/>
        </w:rPr>
        <w:t>e</w:t>
      </w:r>
      <w:r w:rsidRPr="009700CF">
        <w:rPr>
          <w:kern w:val="22"/>
          <w:szCs w:val="22"/>
          <w:lang w:val="fr-CA"/>
        </w:rPr>
        <w:t>s au centre d</w:t>
      </w:r>
      <w:r w:rsidR="00BE752D">
        <w:rPr>
          <w:kern w:val="22"/>
          <w:szCs w:val="22"/>
          <w:lang w:val="fr-CA"/>
        </w:rPr>
        <w:t>’</w:t>
      </w:r>
      <w:r w:rsidRPr="009700CF">
        <w:rPr>
          <w:kern w:val="22"/>
          <w:szCs w:val="22"/>
          <w:lang w:val="fr-CA"/>
        </w:rPr>
        <w:t>échange sur la prévention des risques biotechnologiques</w:t>
      </w:r>
      <w:r w:rsidR="00090678">
        <w:rPr>
          <w:kern w:val="22"/>
          <w:szCs w:val="22"/>
          <w:lang w:val="fr-CA"/>
        </w:rPr>
        <w:t xml:space="preserve"> correspond</w:t>
      </w:r>
      <w:r w:rsidRPr="009700CF">
        <w:rPr>
          <w:kern w:val="22"/>
          <w:szCs w:val="22"/>
          <w:lang w:val="fr-CA"/>
        </w:rPr>
        <w:t>ent à un rapport sommaire d’évaluation des risques (96 p. cent)</w:t>
      </w:r>
      <w:r w:rsidR="00E65EBB" w:rsidRPr="009700CF">
        <w:rPr>
          <w:kern w:val="22"/>
          <w:szCs w:val="22"/>
          <w:lang w:val="fr-CA"/>
        </w:rPr>
        <w:t xml:space="preserve"> et </w:t>
      </w:r>
      <w:r w:rsidR="00090678">
        <w:rPr>
          <w:kern w:val="22"/>
          <w:szCs w:val="22"/>
          <w:lang w:val="fr-CA"/>
        </w:rPr>
        <w:t>est</w:t>
      </w:r>
      <w:r w:rsidR="00E65EBB" w:rsidRPr="009700CF">
        <w:rPr>
          <w:kern w:val="22"/>
          <w:szCs w:val="22"/>
          <w:lang w:val="fr-CA"/>
        </w:rPr>
        <w:t xml:space="preserve"> d’avis que la situation </w:t>
      </w:r>
      <w:r w:rsidR="00090678">
        <w:rPr>
          <w:kern w:val="22"/>
          <w:szCs w:val="22"/>
          <w:lang w:val="fr-CA"/>
        </w:rPr>
        <w:t>est</w:t>
      </w:r>
      <w:r w:rsidR="00E65EBB" w:rsidRPr="009700CF">
        <w:rPr>
          <w:kern w:val="22"/>
          <w:szCs w:val="22"/>
          <w:lang w:val="fr-CA"/>
        </w:rPr>
        <w:t xml:space="preserve"> digne de mention compte tenu du nombre accru de décisions publiées au centre d</w:t>
      </w:r>
      <w:r w:rsidR="00BE752D">
        <w:rPr>
          <w:kern w:val="22"/>
          <w:szCs w:val="22"/>
          <w:lang w:val="fr-CA"/>
        </w:rPr>
        <w:t>’</w:t>
      </w:r>
      <w:r w:rsidR="00E65EBB" w:rsidRPr="009700CF">
        <w:rPr>
          <w:kern w:val="22"/>
          <w:szCs w:val="22"/>
          <w:lang w:val="fr-CA"/>
        </w:rPr>
        <w:t>échange sur la prévention des risques biotechnologiques</w:t>
      </w:r>
      <w:r w:rsidR="006F3493" w:rsidRPr="009700CF">
        <w:rPr>
          <w:kern w:val="22"/>
          <w:szCs w:val="22"/>
          <w:lang w:val="fr-CA"/>
        </w:rPr>
        <w:t>.</w:t>
      </w:r>
    </w:p>
    <w:p w14:paraId="6CA07BA3" w14:textId="4D90AF21" w:rsidR="006F3493" w:rsidRPr="009700CF" w:rsidRDefault="00751E3E" w:rsidP="00C4544F">
      <w:pPr>
        <w:pStyle w:val="Para1"/>
        <w:numPr>
          <w:ilvl w:val="0"/>
          <w:numId w:val="26"/>
        </w:numPr>
        <w:suppressLineNumbers/>
        <w:suppressAutoHyphens/>
        <w:ind w:left="0" w:firstLine="0"/>
        <w:rPr>
          <w:kern w:val="22"/>
          <w:szCs w:val="22"/>
          <w:lang w:val="fr-CA"/>
        </w:rPr>
      </w:pPr>
      <w:bookmarkStart w:id="5" w:name="_Hlk39589467"/>
      <w:r w:rsidRPr="009700CF">
        <w:rPr>
          <w:kern w:val="22"/>
          <w:szCs w:val="22"/>
          <w:lang w:val="fr-CA"/>
        </w:rPr>
        <w:lastRenderedPageBreak/>
        <w:t xml:space="preserve">Le Groupe de liaison a bien accueilli les progrès déclarés par les Parties </w:t>
      </w:r>
      <w:r w:rsidR="0065360B">
        <w:rPr>
          <w:kern w:val="22"/>
          <w:szCs w:val="22"/>
          <w:lang w:val="fr-CA"/>
        </w:rPr>
        <w:t>concernant</w:t>
      </w:r>
      <w:r w:rsidRPr="009700CF">
        <w:rPr>
          <w:kern w:val="22"/>
          <w:szCs w:val="22"/>
          <w:lang w:val="fr-CA"/>
        </w:rPr>
        <w:t xml:space="preserve"> l’adoption de méthodes communes pour évaluer les risques et gérer les risques, et dans l’adoption ou l’utilisation</w:t>
      </w:r>
      <w:r w:rsidR="0065360B">
        <w:rPr>
          <w:kern w:val="22"/>
          <w:szCs w:val="22"/>
          <w:lang w:val="fr-CA"/>
        </w:rPr>
        <w:t xml:space="preserve"> de</w:t>
      </w:r>
      <w:r w:rsidRPr="009700CF">
        <w:rPr>
          <w:kern w:val="22"/>
          <w:szCs w:val="22"/>
          <w:lang w:val="fr-CA"/>
        </w:rPr>
        <w:t xml:space="preserve"> documents d’orientation afin de mener des évaluations des</w:t>
      </w:r>
      <w:r w:rsidR="0065360B">
        <w:rPr>
          <w:kern w:val="22"/>
          <w:szCs w:val="22"/>
          <w:lang w:val="fr-CA"/>
        </w:rPr>
        <w:t xml:space="preserve"> risques ou </w:t>
      </w:r>
      <w:r w:rsidRPr="009700CF">
        <w:rPr>
          <w:kern w:val="22"/>
          <w:szCs w:val="22"/>
          <w:lang w:val="fr-CA"/>
        </w:rPr>
        <w:t xml:space="preserve">évaluer les rapports sommaires d’évaluation des risques </w:t>
      </w:r>
      <w:r w:rsidR="0065360B">
        <w:rPr>
          <w:kern w:val="22"/>
          <w:szCs w:val="22"/>
          <w:lang w:val="fr-CA"/>
        </w:rPr>
        <w:t>soumis</w:t>
      </w:r>
      <w:r w:rsidRPr="009700CF">
        <w:rPr>
          <w:kern w:val="22"/>
          <w:szCs w:val="22"/>
          <w:lang w:val="fr-CA"/>
        </w:rPr>
        <w:t xml:space="preserve"> par des déclarants</w:t>
      </w:r>
      <w:r w:rsidR="006F3493" w:rsidRPr="009700CF">
        <w:rPr>
          <w:kern w:val="22"/>
          <w:szCs w:val="22"/>
          <w:lang w:val="fr-CA"/>
        </w:rPr>
        <w:t>.</w:t>
      </w:r>
    </w:p>
    <w:bookmarkEnd w:id="5"/>
    <w:p w14:paraId="63B40E07" w14:textId="0B886F32" w:rsidR="006F3493" w:rsidRPr="009700CF" w:rsidRDefault="00751E3E" w:rsidP="00C4544F">
      <w:pPr>
        <w:pStyle w:val="Para1"/>
        <w:numPr>
          <w:ilvl w:val="0"/>
          <w:numId w:val="26"/>
        </w:numPr>
        <w:suppressLineNumbers/>
        <w:suppressAutoHyphens/>
        <w:ind w:left="0" w:firstLine="0"/>
        <w:rPr>
          <w:kern w:val="22"/>
          <w:szCs w:val="22"/>
          <w:lang w:val="fr-CA"/>
        </w:rPr>
      </w:pPr>
      <w:r w:rsidRPr="009700CF">
        <w:rPr>
          <w:kern w:val="22"/>
          <w:szCs w:val="22"/>
          <w:lang w:val="fr-CA"/>
        </w:rPr>
        <w:t>Le Groupe de liaison a reconnu</w:t>
      </w:r>
      <w:r w:rsidR="00FC3BCA" w:rsidRPr="009700CF">
        <w:rPr>
          <w:kern w:val="22"/>
          <w:szCs w:val="22"/>
          <w:lang w:val="fr-CA"/>
        </w:rPr>
        <w:t xml:space="preserve"> le besoin de soutenir davantag</w:t>
      </w:r>
      <w:r w:rsidRPr="009700CF">
        <w:rPr>
          <w:kern w:val="22"/>
          <w:szCs w:val="22"/>
          <w:lang w:val="fr-CA"/>
        </w:rPr>
        <w:t xml:space="preserve">e ces activités, notamment en </w:t>
      </w:r>
      <w:r w:rsidR="00FC3BCA" w:rsidRPr="009700CF">
        <w:rPr>
          <w:kern w:val="22"/>
          <w:szCs w:val="22"/>
          <w:lang w:val="fr-CA"/>
        </w:rPr>
        <w:t>renforçant</w:t>
      </w:r>
      <w:r w:rsidRPr="009700CF">
        <w:rPr>
          <w:kern w:val="22"/>
          <w:szCs w:val="22"/>
          <w:lang w:val="fr-CA"/>
        </w:rPr>
        <w:t xml:space="preserve"> les capacités </w:t>
      </w:r>
      <w:r w:rsidR="0065360B">
        <w:rPr>
          <w:kern w:val="22"/>
          <w:szCs w:val="22"/>
          <w:lang w:val="fr-CA"/>
        </w:rPr>
        <w:t>en</w:t>
      </w:r>
      <w:r w:rsidR="00FC3BCA" w:rsidRPr="009700CF">
        <w:rPr>
          <w:kern w:val="22"/>
          <w:szCs w:val="22"/>
          <w:lang w:val="fr-CA"/>
        </w:rPr>
        <w:t xml:space="preserve"> ressources humaines et en facilitant l’accès à des ressources financières suffisantes et une infrastructure technique adéquate</w:t>
      </w:r>
      <w:r w:rsidR="006F3493" w:rsidRPr="009700CF">
        <w:rPr>
          <w:kern w:val="22"/>
          <w:szCs w:val="22"/>
          <w:lang w:val="fr-CA"/>
        </w:rPr>
        <w:t>.</w:t>
      </w:r>
    </w:p>
    <w:p w14:paraId="0D8B1F74" w14:textId="66872BBF" w:rsidR="006F3493" w:rsidRPr="009700CF" w:rsidRDefault="00FC3BCA" w:rsidP="00C4544F">
      <w:pPr>
        <w:pStyle w:val="Para1"/>
        <w:numPr>
          <w:ilvl w:val="0"/>
          <w:numId w:val="22"/>
        </w:numPr>
        <w:suppressLineNumbers/>
        <w:suppressAutoHyphens/>
        <w:jc w:val="center"/>
        <w:rPr>
          <w:b/>
          <w:bCs/>
          <w:kern w:val="22"/>
          <w:szCs w:val="22"/>
          <w:lang w:val="fr-CA"/>
        </w:rPr>
      </w:pPr>
      <w:r w:rsidRPr="009700CF">
        <w:rPr>
          <w:b/>
          <w:bCs/>
          <w:kern w:val="22"/>
          <w:szCs w:val="22"/>
          <w:lang w:val="fr-CA"/>
        </w:rPr>
        <w:t>OVM et caractéristiques pouvant avoir des effets nuisibles (objectif opérationnel</w:t>
      </w:r>
      <w:r w:rsidR="006F3493" w:rsidRPr="009700CF">
        <w:rPr>
          <w:b/>
          <w:bCs/>
          <w:kern w:val="22"/>
          <w:szCs w:val="22"/>
          <w:lang w:val="fr-CA"/>
        </w:rPr>
        <w:t xml:space="preserve"> 1.4)</w:t>
      </w:r>
    </w:p>
    <w:p w14:paraId="2D4250C0" w14:textId="1B49510B" w:rsidR="006F3493" w:rsidRPr="009700CF" w:rsidRDefault="00FC3BCA" w:rsidP="00C4544F">
      <w:pPr>
        <w:pStyle w:val="Para1"/>
        <w:numPr>
          <w:ilvl w:val="0"/>
          <w:numId w:val="26"/>
        </w:numPr>
        <w:suppressLineNumbers/>
        <w:suppressAutoHyphens/>
        <w:ind w:left="0" w:firstLine="0"/>
        <w:rPr>
          <w:kern w:val="22"/>
          <w:szCs w:val="22"/>
          <w:lang w:val="fr-CA"/>
        </w:rPr>
      </w:pPr>
      <w:r w:rsidRPr="009700CF">
        <w:rPr>
          <w:kern w:val="22"/>
          <w:szCs w:val="22"/>
          <w:lang w:val="fr-CA"/>
        </w:rPr>
        <w:t xml:space="preserve">Le Groupe de liaison a pris note avec satisfaction que les Parties ont déclaré de façon générale </w:t>
      </w:r>
      <w:r w:rsidR="0065360B">
        <w:rPr>
          <w:kern w:val="22"/>
          <w:szCs w:val="22"/>
          <w:lang w:val="fr-CA"/>
        </w:rPr>
        <w:t>avoir</w:t>
      </w:r>
      <w:r w:rsidRPr="009700CF">
        <w:rPr>
          <w:kern w:val="22"/>
          <w:szCs w:val="22"/>
          <w:lang w:val="fr-CA"/>
        </w:rPr>
        <w:t xml:space="preserve"> les capacités de détecter (79 p. cent), identifier (77 p. cent), évaluer (77 p. cent</w:t>
      </w:r>
      <w:r w:rsidR="0065360B">
        <w:rPr>
          <w:kern w:val="22"/>
          <w:szCs w:val="22"/>
          <w:lang w:val="fr-CA"/>
        </w:rPr>
        <w:t>)</w:t>
      </w:r>
      <w:r w:rsidRPr="009700CF">
        <w:rPr>
          <w:kern w:val="22"/>
          <w:szCs w:val="22"/>
          <w:lang w:val="fr-CA"/>
        </w:rPr>
        <w:t xml:space="preserve"> et suivre </w:t>
      </w:r>
      <w:r w:rsidR="0065360B">
        <w:rPr>
          <w:kern w:val="22"/>
          <w:szCs w:val="22"/>
          <w:lang w:val="fr-CA"/>
        </w:rPr>
        <w:t>(</w:t>
      </w:r>
      <w:r w:rsidRPr="009700CF">
        <w:rPr>
          <w:kern w:val="22"/>
          <w:szCs w:val="22"/>
          <w:lang w:val="fr-CA"/>
        </w:rPr>
        <w:t>71 p. cent) les OVM et les caractéristiques pouvant avoir des effets nuisibles sur la conservation et l’utilisation durable de la diversité biologique. Il s’inquiète toutefois que ces capacités soient limit</w:t>
      </w:r>
      <w:r w:rsidR="0065360B">
        <w:rPr>
          <w:kern w:val="22"/>
          <w:szCs w:val="22"/>
          <w:lang w:val="fr-CA"/>
        </w:rPr>
        <w:t>é</w:t>
      </w:r>
      <w:r w:rsidRPr="009700CF">
        <w:rPr>
          <w:kern w:val="22"/>
          <w:szCs w:val="22"/>
          <w:lang w:val="fr-CA"/>
        </w:rPr>
        <w:t>es dans certain</w:t>
      </w:r>
      <w:r w:rsidR="00BE752D">
        <w:rPr>
          <w:kern w:val="22"/>
          <w:szCs w:val="22"/>
          <w:lang w:val="fr-CA"/>
        </w:rPr>
        <w:t>e</w:t>
      </w:r>
      <w:r w:rsidRPr="009700CF">
        <w:rPr>
          <w:kern w:val="22"/>
          <w:szCs w:val="22"/>
          <w:lang w:val="fr-CA"/>
        </w:rPr>
        <w:t>s régions et qu’un soutien supplémentaire soit nécessaire pour corriger la situation</w:t>
      </w:r>
      <w:r w:rsidR="006F3493" w:rsidRPr="009700CF">
        <w:rPr>
          <w:kern w:val="22"/>
          <w:szCs w:val="22"/>
          <w:lang w:val="fr-CA"/>
        </w:rPr>
        <w:t>.</w:t>
      </w:r>
    </w:p>
    <w:p w14:paraId="6420A4A6" w14:textId="1256DA82" w:rsidR="006F3493" w:rsidRPr="009700CF" w:rsidRDefault="00FC3BCA" w:rsidP="00C4544F">
      <w:pPr>
        <w:pStyle w:val="Para1"/>
        <w:numPr>
          <w:ilvl w:val="0"/>
          <w:numId w:val="22"/>
        </w:numPr>
        <w:suppressLineNumbers/>
        <w:suppressAutoHyphens/>
        <w:jc w:val="center"/>
        <w:rPr>
          <w:b/>
          <w:bCs/>
          <w:kern w:val="22"/>
          <w:szCs w:val="22"/>
          <w:lang w:val="fr-CA"/>
        </w:rPr>
      </w:pPr>
      <w:r w:rsidRPr="009700CF">
        <w:rPr>
          <w:b/>
          <w:bCs/>
          <w:kern w:val="22"/>
          <w:szCs w:val="22"/>
          <w:lang w:val="fr-CA"/>
        </w:rPr>
        <w:t>Responsabilité et réparation (objectifs opérationnels 1.5 et</w:t>
      </w:r>
      <w:r w:rsidR="006F3493" w:rsidRPr="009700CF">
        <w:rPr>
          <w:b/>
          <w:bCs/>
          <w:kern w:val="22"/>
          <w:szCs w:val="22"/>
          <w:lang w:val="fr-CA"/>
        </w:rPr>
        <w:t xml:space="preserve"> 2.4)</w:t>
      </w:r>
    </w:p>
    <w:p w14:paraId="53595868" w14:textId="4049DAE1" w:rsidR="006F3493" w:rsidRPr="009700CF" w:rsidRDefault="00FC3BCA" w:rsidP="00C4544F">
      <w:pPr>
        <w:pStyle w:val="Para1"/>
        <w:numPr>
          <w:ilvl w:val="0"/>
          <w:numId w:val="26"/>
        </w:numPr>
        <w:suppressLineNumbers/>
        <w:suppressAutoHyphens/>
        <w:ind w:left="0" w:firstLine="0"/>
        <w:rPr>
          <w:kern w:val="22"/>
          <w:szCs w:val="22"/>
          <w:lang w:val="fr-CA"/>
        </w:rPr>
      </w:pPr>
      <w:r w:rsidRPr="009700CF">
        <w:rPr>
          <w:kern w:val="22"/>
          <w:szCs w:val="22"/>
          <w:lang w:val="fr-CA"/>
        </w:rPr>
        <w:t xml:space="preserve">Le Groupe de liaison a pris note avec déception que seulement 47 Parties au Protocole de Cartagena avaient ratifié le Protocole additionnel de Nagoya-Kuala Lumpur sur la responsabilité et la réparation. Il a reconnu qu’il </w:t>
      </w:r>
      <w:r w:rsidR="0065360B">
        <w:rPr>
          <w:kern w:val="22"/>
          <w:szCs w:val="22"/>
          <w:lang w:val="fr-CA"/>
        </w:rPr>
        <w:t>faut</w:t>
      </w:r>
      <w:r w:rsidRPr="009700CF">
        <w:rPr>
          <w:kern w:val="22"/>
          <w:szCs w:val="22"/>
          <w:lang w:val="fr-CA"/>
        </w:rPr>
        <w:t xml:space="preserve"> davantage de soutien</w:t>
      </w:r>
      <w:r w:rsidR="00A1456C" w:rsidRPr="009700CF">
        <w:rPr>
          <w:kern w:val="22"/>
          <w:szCs w:val="22"/>
          <w:lang w:val="fr-CA"/>
        </w:rPr>
        <w:t xml:space="preserve"> pour la sensibilisati</w:t>
      </w:r>
      <w:r w:rsidRPr="009700CF">
        <w:rPr>
          <w:kern w:val="22"/>
          <w:szCs w:val="22"/>
          <w:lang w:val="fr-CA"/>
        </w:rPr>
        <w:t>on au Protocole additionnel afin de soutenir les efforts de ratification</w:t>
      </w:r>
      <w:r w:rsidR="006F3493" w:rsidRPr="009700CF">
        <w:rPr>
          <w:kern w:val="22"/>
          <w:szCs w:val="22"/>
          <w:lang w:val="fr-CA"/>
        </w:rPr>
        <w:t>.</w:t>
      </w:r>
    </w:p>
    <w:p w14:paraId="25A18166" w14:textId="532BD907" w:rsidR="006F3493" w:rsidRPr="009700CF" w:rsidRDefault="00A1456C" w:rsidP="00C4544F">
      <w:pPr>
        <w:pStyle w:val="Para1"/>
        <w:numPr>
          <w:ilvl w:val="0"/>
          <w:numId w:val="26"/>
        </w:numPr>
        <w:suppressLineNumbers/>
        <w:suppressAutoHyphens/>
        <w:ind w:left="0" w:firstLine="0"/>
        <w:rPr>
          <w:kern w:val="22"/>
          <w:szCs w:val="22"/>
          <w:lang w:val="fr-CA"/>
        </w:rPr>
      </w:pPr>
      <w:bookmarkStart w:id="6" w:name="_Hlk43132443"/>
      <w:r w:rsidRPr="009700CF">
        <w:rPr>
          <w:kern w:val="22"/>
          <w:szCs w:val="22"/>
          <w:lang w:val="fr-CA"/>
        </w:rPr>
        <w:t xml:space="preserve">Le Groupe de liaison se réjouit du fait que la majorité des Parties au Protocole additionnel (60 p. cent) </w:t>
      </w:r>
      <w:r w:rsidR="0065360B">
        <w:rPr>
          <w:kern w:val="22"/>
          <w:szCs w:val="22"/>
          <w:lang w:val="fr-CA"/>
        </w:rPr>
        <w:t>ait</w:t>
      </w:r>
      <w:r w:rsidRPr="009700CF">
        <w:rPr>
          <w:kern w:val="22"/>
          <w:szCs w:val="22"/>
          <w:lang w:val="fr-CA"/>
        </w:rPr>
        <w:t xml:space="preserve"> complètement mis en place des mesures pour appliquer le Protocole additionnel, </w:t>
      </w:r>
      <w:r w:rsidR="00712916" w:rsidRPr="009700CF">
        <w:rPr>
          <w:kern w:val="22"/>
          <w:szCs w:val="22"/>
          <w:lang w:val="fr-CA"/>
        </w:rPr>
        <w:t xml:space="preserve">tout en reconnaissant qu’un soutien </w:t>
      </w:r>
      <w:r w:rsidR="00421DF3">
        <w:rPr>
          <w:kern w:val="22"/>
          <w:szCs w:val="22"/>
          <w:lang w:val="fr-CA"/>
        </w:rPr>
        <w:t>doit</w:t>
      </w:r>
      <w:r w:rsidR="00712916" w:rsidRPr="009700CF">
        <w:rPr>
          <w:kern w:val="22"/>
          <w:szCs w:val="22"/>
          <w:lang w:val="fr-CA"/>
        </w:rPr>
        <w:t xml:space="preserve"> être offert aux Parties éprouvant des difficultés.</w:t>
      </w:r>
      <w:bookmarkEnd w:id="6"/>
    </w:p>
    <w:p w14:paraId="3FEDE3F2" w14:textId="68671F2F" w:rsidR="006F3493" w:rsidRPr="009700CF" w:rsidRDefault="00712916" w:rsidP="00C4544F">
      <w:pPr>
        <w:pStyle w:val="Para1"/>
        <w:numPr>
          <w:ilvl w:val="0"/>
          <w:numId w:val="22"/>
        </w:numPr>
        <w:suppressLineNumbers/>
        <w:suppressAutoHyphens/>
        <w:jc w:val="center"/>
        <w:rPr>
          <w:b/>
          <w:bCs/>
          <w:kern w:val="22"/>
          <w:szCs w:val="22"/>
          <w:lang w:val="fr-CA"/>
        </w:rPr>
      </w:pPr>
      <w:r w:rsidRPr="009700CF">
        <w:rPr>
          <w:b/>
          <w:bCs/>
          <w:kern w:val="22"/>
          <w:szCs w:val="22"/>
          <w:lang w:val="fr-CA"/>
        </w:rPr>
        <w:t>Manipulation, transport, emballage et identification (objectifs opérationnels 1.6 et</w:t>
      </w:r>
      <w:r w:rsidR="006F3493" w:rsidRPr="009700CF">
        <w:rPr>
          <w:b/>
          <w:bCs/>
          <w:kern w:val="22"/>
          <w:szCs w:val="22"/>
          <w:lang w:val="fr-CA"/>
        </w:rPr>
        <w:t xml:space="preserve"> 2.3)</w:t>
      </w:r>
    </w:p>
    <w:p w14:paraId="244E961B" w14:textId="3119D63E" w:rsidR="006F3493" w:rsidRPr="009700CF" w:rsidRDefault="00712916" w:rsidP="00C4544F">
      <w:pPr>
        <w:pStyle w:val="Para1"/>
        <w:numPr>
          <w:ilvl w:val="0"/>
          <w:numId w:val="26"/>
        </w:numPr>
        <w:suppressLineNumbers/>
        <w:suppressAutoHyphens/>
        <w:ind w:left="0" w:firstLine="0"/>
        <w:rPr>
          <w:kern w:val="22"/>
          <w:szCs w:val="22"/>
          <w:lang w:val="fr-CA"/>
        </w:rPr>
      </w:pPr>
      <w:r w:rsidRPr="009700CF">
        <w:rPr>
          <w:kern w:val="22"/>
          <w:szCs w:val="22"/>
          <w:lang w:val="fr-CA"/>
        </w:rPr>
        <w:t>Le Groupe de liaison s’est réjoui du fait que presque toutes les Parties (96 p. cent)</w:t>
      </w:r>
      <w:r w:rsidR="00421DF3">
        <w:rPr>
          <w:kern w:val="22"/>
          <w:szCs w:val="22"/>
          <w:lang w:val="fr-CA"/>
        </w:rPr>
        <w:t xml:space="preserve"> aient</w:t>
      </w:r>
      <w:r w:rsidRPr="009700CF">
        <w:rPr>
          <w:kern w:val="22"/>
          <w:szCs w:val="22"/>
          <w:lang w:val="fr-CA"/>
        </w:rPr>
        <w:t xml:space="preserve"> déclaré</w:t>
      </w:r>
      <w:r w:rsidR="00421DF3">
        <w:rPr>
          <w:kern w:val="22"/>
          <w:szCs w:val="22"/>
          <w:lang w:val="fr-CA"/>
        </w:rPr>
        <w:t xml:space="preserve"> que </w:t>
      </w:r>
      <w:r w:rsidRPr="009700CF">
        <w:rPr>
          <w:kern w:val="22"/>
          <w:szCs w:val="22"/>
          <w:lang w:val="fr-CA"/>
        </w:rPr>
        <w:t xml:space="preserve">certains membres du personnel </w:t>
      </w:r>
      <w:r w:rsidR="00421DF3">
        <w:rPr>
          <w:kern w:val="22"/>
          <w:szCs w:val="22"/>
          <w:lang w:val="fr-CA"/>
        </w:rPr>
        <w:t xml:space="preserve">de laboratoire ont une formation </w:t>
      </w:r>
      <w:r w:rsidRPr="009700CF">
        <w:rPr>
          <w:kern w:val="22"/>
          <w:szCs w:val="22"/>
          <w:lang w:val="fr-CA"/>
        </w:rPr>
        <w:t xml:space="preserve">en détection des OVM, mais a pris note avec inquiétude qu’environ la moitié de ces Parties </w:t>
      </w:r>
      <w:r w:rsidR="00421DF3">
        <w:rPr>
          <w:kern w:val="22"/>
          <w:szCs w:val="22"/>
          <w:lang w:val="fr-CA"/>
        </w:rPr>
        <w:t>ait</w:t>
      </w:r>
      <w:r w:rsidRPr="009700CF">
        <w:rPr>
          <w:kern w:val="22"/>
          <w:szCs w:val="22"/>
          <w:lang w:val="fr-CA"/>
        </w:rPr>
        <w:t xml:space="preserve"> indiqué que de plus amples activités de formation s’imposent. Le Groupe de liaison a aussi pris note que la plupart des Parties ont déclaré avoir un accès fiable à des laboratoires (87 p. cent). Il a toutefois pris note avec inquiétude </w:t>
      </w:r>
      <w:r w:rsidR="00421DF3">
        <w:rPr>
          <w:kern w:val="22"/>
          <w:szCs w:val="22"/>
          <w:lang w:val="fr-CA"/>
        </w:rPr>
        <w:t xml:space="preserve">que les Parties continuent à éprouver </w:t>
      </w:r>
      <w:r w:rsidR="00DA3E7F" w:rsidRPr="009700CF">
        <w:rPr>
          <w:kern w:val="22"/>
          <w:szCs w:val="22"/>
          <w:lang w:val="fr-CA"/>
        </w:rPr>
        <w:t xml:space="preserve">des difficultés et qu’elles ont besoin de soutien à cet égard, notamment par la collaboration concernant les mouvements transfrontières des OVM </w:t>
      </w:r>
      <w:r w:rsidR="00421DF3">
        <w:rPr>
          <w:kern w:val="22"/>
          <w:szCs w:val="22"/>
          <w:lang w:val="fr-CA"/>
        </w:rPr>
        <w:t>au niveau régional</w:t>
      </w:r>
      <w:r w:rsidR="006F3493" w:rsidRPr="009700CF">
        <w:rPr>
          <w:kern w:val="22"/>
          <w:szCs w:val="22"/>
          <w:lang w:val="fr-CA"/>
        </w:rPr>
        <w:t>.</w:t>
      </w:r>
    </w:p>
    <w:p w14:paraId="75E13F74" w14:textId="58302778" w:rsidR="006F3493" w:rsidRPr="009700CF" w:rsidRDefault="00DA3E7F" w:rsidP="00C4544F">
      <w:pPr>
        <w:pStyle w:val="Para1"/>
        <w:numPr>
          <w:ilvl w:val="0"/>
          <w:numId w:val="22"/>
        </w:numPr>
        <w:suppressLineNumbers/>
        <w:suppressAutoHyphens/>
        <w:jc w:val="center"/>
        <w:rPr>
          <w:b/>
          <w:bCs/>
          <w:kern w:val="22"/>
          <w:szCs w:val="22"/>
          <w:lang w:val="fr-CA"/>
        </w:rPr>
      </w:pPr>
      <w:r w:rsidRPr="009700CF">
        <w:rPr>
          <w:b/>
          <w:bCs/>
          <w:kern w:val="22"/>
          <w:szCs w:val="22"/>
          <w:lang w:val="fr-CA"/>
        </w:rPr>
        <w:t>Facteurs socioéconomiques (objectifs opérationnel</w:t>
      </w:r>
      <w:r w:rsidR="006F3493" w:rsidRPr="009700CF">
        <w:rPr>
          <w:b/>
          <w:bCs/>
          <w:kern w:val="22"/>
          <w:szCs w:val="22"/>
          <w:lang w:val="fr-CA"/>
        </w:rPr>
        <w:t xml:space="preserve"> 1.7)</w:t>
      </w:r>
    </w:p>
    <w:p w14:paraId="5D4C4771" w14:textId="08AFBDFA" w:rsidR="006F3493" w:rsidRPr="009700CF" w:rsidRDefault="00DA3E7F" w:rsidP="00C4544F">
      <w:pPr>
        <w:pStyle w:val="Para1"/>
        <w:numPr>
          <w:ilvl w:val="0"/>
          <w:numId w:val="26"/>
        </w:numPr>
        <w:suppressLineNumbers/>
        <w:suppressAutoHyphens/>
        <w:ind w:left="0" w:firstLine="0"/>
        <w:rPr>
          <w:kern w:val="22"/>
          <w:szCs w:val="22"/>
          <w:lang w:val="fr-CA"/>
        </w:rPr>
      </w:pPr>
      <w:r w:rsidRPr="009700CF">
        <w:rPr>
          <w:kern w:val="22"/>
          <w:szCs w:val="22"/>
          <w:lang w:val="fr-CA"/>
        </w:rPr>
        <w:t>Le Groupe de liaison a pris note qu</w:t>
      </w:r>
      <w:r w:rsidR="00086CFD">
        <w:rPr>
          <w:kern w:val="22"/>
          <w:szCs w:val="22"/>
          <w:lang w:val="fr-CA"/>
        </w:rPr>
        <w:t>’environ la moitié des Parties (</w:t>
      </w:r>
      <w:r w:rsidR="005726B9">
        <w:rPr>
          <w:kern w:val="22"/>
          <w:szCs w:val="22"/>
          <w:lang w:val="fr-CA"/>
        </w:rPr>
        <w:t>52 p. cent) ont</w:t>
      </w:r>
      <w:r w:rsidRPr="009700CF">
        <w:rPr>
          <w:kern w:val="22"/>
          <w:szCs w:val="22"/>
          <w:lang w:val="fr-CA"/>
        </w:rPr>
        <w:t xml:space="preserve"> déclaré avoir adopté des méthodes ou des exigences</w:t>
      </w:r>
      <w:r w:rsidR="008F4D9F" w:rsidRPr="009700CF">
        <w:rPr>
          <w:kern w:val="22"/>
          <w:szCs w:val="22"/>
          <w:lang w:val="fr-CA"/>
        </w:rPr>
        <w:t xml:space="preserve"> particulières </w:t>
      </w:r>
      <w:r w:rsidRPr="009700CF">
        <w:rPr>
          <w:kern w:val="22"/>
          <w:szCs w:val="22"/>
          <w:lang w:val="fr-CA"/>
        </w:rPr>
        <w:t>pour faciliter la prise en compte de fa</w:t>
      </w:r>
      <w:r w:rsidR="008F4D9F" w:rsidRPr="009700CF">
        <w:rPr>
          <w:kern w:val="22"/>
          <w:szCs w:val="22"/>
          <w:lang w:val="fr-CA"/>
        </w:rPr>
        <w:t xml:space="preserve">cteurs socioéconomiques dans la prise de </w:t>
      </w:r>
      <w:r w:rsidRPr="009700CF">
        <w:rPr>
          <w:kern w:val="22"/>
          <w:szCs w:val="22"/>
          <w:lang w:val="fr-CA"/>
        </w:rPr>
        <w:t>décisions concernant les OVM</w:t>
      </w:r>
      <w:r w:rsidR="006F3493" w:rsidRPr="009700CF">
        <w:rPr>
          <w:kern w:val="22"/>
          <w:szCs w:val="22"/>
          <w:lang w:val="fr-CA"/>
        </w:rPr>
        <w:t>.</w:t>
      </w:r>
    </w:p>
    <w:p w14:paraId="525D8F18" w14:textId="23F79DD2" w:rsidR="006F3493" w:rsidRPr="009700CF" w:rsidRDefault="008F4D9F" w:rsidP="00C4544F">
      <w:pPr>
        <w:pStyle w:val="Para1"/>
        <w:numPr>
          <w:ilvl w:val="0"/>
          <w:numId w:val="26"/>
        </w:numPr>
        <w:suppressLineNumbers/>
        <w:suppressAutoHyphens/>
        <w:ind w:left="0" w:firstLine="0"/>
        <w:rPr>
          <w:kern w:val="22"/>
          <w:szCs w:val="22"/>
          <w:lang w:val="fr-CA"/>
        </w:rPr>
      </w:pPr>
      <w:r w:rsidRPr="009700CF">
        <w:rPr>
          <w:kern w:val="22"/>
          <w:szCs w:val="22"/>
          <w:lang w:val="fr-CA"/>
        </w:rPr>
        <w:t>Le Groupe de liaison estime qu’il serait utile de faire un échange de recherches et d’informations sur les facteurs socioéconomiques</w:t>
      </w:r>
      <w:r w:rsidR="00086CFD">
        <w:rPr>
          <w:kern w:val="22"/>
          <w:szCs w:val="22"/>
          <w:lang w:val="fr-CA"/>
        </w:rPr>
        <w:t>,</w:t>
      </w:r>
      <w:r w:rsidRPr="009700CF">
        <w:rPr>
          <w:kern w:val="22"/>
          <w:szCs w:val="22"/>
          <w:lang w:val="fr-CA"/>
        </w:rPr>
        <w:t xml:space="preserve"> afin de soutenir les Parties à cet égard</w:t>
      </w:r>
      <w:r w:rsidR="006F3493" w:rsidRPr="009700CF">
        <w:rPr>
          <w:kern w:val="22"/>
          <w:szCs w:val="22"/>
          <w:lang w:val="fr-CA"/>
        </w:rPr>
        <w:t>.</w:t>
      </w:r>
    </w:p>
    <w:p w14:paraId="6A476BC6" w14:textId="0F8E016F" w:rsidR="006F3493" w:rsidRPr="009700CF" w:rsidRDefault="008F4D9F">
      <w:pPr>
        <w:pStyle w:val="Para1"/>
        <w:numPr>
          <w:ilvl w:val="0"/>
          <w:numId w:val="22"/>
        </w:numPr>
        <w:suppressLineNumbers/>
        <w:suppressAutoHyphens/>
        <w:rPr>
          <w:b/>
          <w:bCs/>
          <w:kern w:val="22"/>
          <w:szCs w:val="22"/>
          <w:lang w:val="fr-CA"/>
        </w:rPr>
      </w:pPr>
      <w:r w:rsidRPr="009700CF">
        <w:rPr>
          <w:b/>
          <w:bCs/>
          <w:kern w:val="22"/>
          <w:szCs w:val="22"/>
          <w:lang w:val="fr-CA"/>
        </w:rPr>
        <w:t>Acheminement, utilisation restreinte, mouvements transfrontières involontaires et mesures d’urgence (objectif opérationnel</w:t>
      </w:r>
      <w:r w:rsidR="006F3493" w:rsidRPr="009700CF">
        <w:rPr>
          <w:b/>
          <w:bCs/>
          <w:kern w:val="22"/>
          <w:szCs w:val="22"/>
          <w:lang w:val="fr-CA"/>
        </w:rPr>
        <w:t xml:space="preserve"> 1.8)</w:t>
      </w:r>
    </w:p>
    <w:p w14:paraId="50FE85E3" w14:textId="2B241831" w:rsidR="006F3493" w:rsidRPr="009700CF" w:rsidRDefault="008F4D9F" w:rsidP="00C4544F">
      <w:pPr>
        <w:pStyle w:val="Para1"/>
        <w:numPr>
          <w:ilvl w:val="0"/>
          <w:numId w:val="26"/>
        </w:numPr>
        <w:suppressLineNumbers/>
        <w:suppressAutoHyphens/>
        <w:ind w:left="0" w:firstLine="0"/>
        <w:rPr>
          <w:kern w:val="22"/>
          <w:szCs w:val="22"/>
          <w:lang w:val="fr-CA"/>
        </w:rPr>
      </w:pPr>
      <w:r w:rsidRPr="009700CF">
        <w:rPr>
          <w:kern w:val="22"/>
          <w:szCs w:val="22"/>
          <w:lang w:val="fr-CA"/>
        </w:rPr>
        <w:t xml:space="preserve">Le Groupe de liaison s’est réjoui du fait que la plupart des Parties </w:t>
      </w:r>
      <w:r w:rsidR="00086CFD">
        <w:rPr>
          <w:kern w:val="22"/>
          <w:szCs w:val="22"/>
          <w:lang w:val="fr-CA"/>
        </w:rPr>
        <w:t>ai</w:t>
      </w:r>
      <w:r w:rsidR="00E90829">
        <w:rPr>
          <w:kern w:val="22"/>
          <w:szCs w:val="22"/>
          <w:lang w:val="fr-CA"/>
        </w:rPr>
        <w:t>en</w:t>
      </w:r>
      <w:r w:rsidR="00742211" w:rsidRPr="009700CF">
        <w:rPr>
          <w:kern w:val="22"/>
          <w:szCs w:val="22"/>
          <w:lang w:val="fr-CA"/>
        </w:rPr>
        <w:t>t déclaré avoir mis des mesures en place pour réguler l’utilisation rest</w:t>
      </w:r>
      <w:r w:rsidR="00086CFD">
        <w:rPr>
          <w:kern w:val="22"/>
          <w:szCs w:val="22"/>
          <w:lang w:val="fr-CA"/>
        </w:rPr>
        <w:t>reinte des OVM (80 p. cent) et d</w:t>
      </w:r>
      <w:r w:rsidR="00742211" w:rsidRPr="009700CF">
        <w:rPr>
          <w:kern w:val="22"/>
          <w:szCs w:val="22"/>
          <w:lang w:val="fr-CA"/>
        </w:rPr>
        <w:t xml:space="preserve">es OVM en déplacement </w:t>
      </w:r>
      <w:r w:rsidR="00CF497E">
        <w:rPr>
          <w:kern w:val="22"/>
          <w:szCs w:val="22"/>
          <w:lang w:val="fr-CA"/>
        </w:rPr>
        <w:t>(</w:t>
      </w:r>
      <w:r w:rsidR="00742211" w:rsidRPr="009700CF">
        <w:rPr>
          <w:kern w:val="22"/>
          <w:szCs w:val="22"/>
          <w:lang w:val="fr-CA"/>
        </w:rPr>
        <w:t>70 p. cent</w:t>
      </w:r>
      <w:r w:rsidR="006F3493" w:rsidRPr="009700CF">
        <w:rPr>
          <w:kern w:val="22"/>
          <w:szCs w:val="22"/>
          <w:lang w:val="fr-CA"/>
        </w:rPr>
        <w:t>).</w:t>
      </w:r>
    </w:p>
    <w:p w14:paraId="4F633213" w14:textId="7C97F160" w:rsidR="006F3493" w:rsidRPr="009700CF" w:rsidRDefault="00742211" w:rsidP="00C4544F">
      <w:pPr>
        <w:pStyle w:val="Para1"/>
        <w:numPr>
          <w:ilvl w:val="0"/>
          <w:numId w:val="26"/>
        </w:numPr>
        <w:suppressLineNumbers/>
        <w:suppressAutoHyphens/>
        <w:ind w:left="0" w:firstLine="0"/>
        <w:rPr>
          <w:kern w:val="22"/>
          <w:szCs w:val="22"/>
          <w:lang w:val="fr-CA"/>
        </w:rPr>
      </w:pPr>
      <w:r w:rsidRPr="009700CF">
        <w:rPr>
          <w:kern w:val="22"/>
          <w:szCs w:val="22"/>
          <w:lang w:val="fr-CA"/>
        </w:rPr>
        <w:t xml:space="preserve">Le Groupe de liaison s’est également réjoui du fait que la plupart des Parties (70 p. cent) </w:t>
      </w:r>
      <w:r w:rsidR="00086CFD">
        <w:rPr>
          <w:kern w:val="22"/>
          <w:szCs w:val="22"/>
          <w:lang w:val="fr-CA"/>
        </w:rPr>
        <w:t>ai</w:t>
      </w:r>
      <w:r w:rsidR="00E90829">
        <w:rPr>
          <w:kern w:val="22"/>
          <w:szCs w:val="22"/>
          <w:lang w:val="fr-CA"/>
        </w:rPr>
        <w:t>en</w:t>
      </w:r>
      <w:r w:rsidR="00086CFD">
        <w:rPr>
          <w:kern w:val="22"/>
          <w:szCs w:val="22"/>
          <w:lang w:val="fr-CA"/>
        </w:rPr>
        <w:t>t</w:t>
      </w:r>
      <w:r w:rsidRPr="009700CF">
        <w:rPr>
          <w:kern w:val="22"/>
          <w:szCs w:val="22"/>
          <w:lang w:val="fr-CA"/>
        </w:rPr>
        <w:t xml:space="preserve"> déclaré avoir la capacité de prendre les mesures nécessaires </w:t>
      </w:r>
      <w:r w:rsidR="00086CFD">
        <w:rPr>
          <w:kern w:val="22"/>
          <w:szCs w:val="22"/>
          <w:lang w:val="fr-CA"/>
        </w:rPr>
        <w:t>lors</w:t>
      </w:r>
      <w:r w:rsidRPr="009700CF">
        <w:rPr>
          <w:kern w:val="22"/>
          <w:szCs w:val="22"/>
          <w:lang w:val="fr-CA"/>
        </w:rPr>
        <w:t xml:space="preserve"> de mouvements transfrontières involontaires d’OVM. Le Groupe de liaison a reconnu l’importance de soutenir les autres Parties dans l’adoption des mesures nécessaires et le renforcement de leurs capacités à cet égard</w:t>
      </w:r>
      <w:r w:rsidR="006F3493" w:rsidRPr="009700CF">
        <w:rPr>
          <w:kern w:val="22"/>
          <w:szCs w:val="22"/>
          <w:lang w:val="fr-CA"/>
        </w:rPr>
        <w:t>.</w:t>
      </w:r>
    </w:p>
    <w:p w14:paraId="1C284631" w14:textId="77777777" w:rsidR="00742211" w:rsidRPr="009700CF" w:rsidRDefault="00742211" w:rsidP="00742211">
      <w:pPr>
        <w:pStyle w:val="Para1"/>
        <w:numPr>
          <w:ilvl w:val="0"/>
          <w:numId w:val="0"/>
        </w:numPr>
        <w:suppressLineNumbers/>
        <w:suppressAutoHyphens/>
        <w:rPr>
          <w:kern w:val="22"/>
          <w:szCs w:val="22"/>
          <w:lang w:val="fr-CA"/>
        </w:rPr>
      </w:pPr>
    </w:p>
    <w:p w14:paraId="2B84F039" w14:textId="384F696D" w:rsidR="006F3493" w:rsidRPr="009700CF" w:rsidRDefault="00742211" w:rsidP="00C4544F">
      <w:pPr>
        <w:pStyle w:val="Para1"/>
        <w:numPr>
          <w:ilvl w:val="0"/>
          <w:numId w:val="22"/>
        </w:numPr>
        <w:suppressLineNumbers/>
        <w:suppressAutoHyphens/>
        <w:jc w:val="center"/>
        <w:rPr>
          <w:b/>
          <w:bCs/>
          <w:kern w:val="22"/>
          <w:szCs w:val="22"/>
          <w:lang w:val="fr-CA"/>
        </w:rPr>
      </w:pPr>
      <w:r w:rsidRPr="009700CF">
        <w:rPr>
          <w:b/>
          <w:bCs/>
          <w:kern w:val="22"/>
          <w:szCs w:val="22"/>
          <w:lang w:val="fr-CA"/>
        </w:rPr>
        <w:lastRenderedPageBreak/>
        <w:t>Échange de renseignements (objectifs opérationnels 2.6, 4.1 et</w:t>
      </w:r>
      <w:r w:rsidR="006F3493" w:rsidRPr="009700CF">
        <w:rPr>
          <w:b/>
          <w:bCs/>
          <w:kern w:val="22"/>
          <w:szCs w:val="22"/>
          <w:lang w:val="fr-CA"/>
        </w:rPr>
        <w:t xml:space="preserve"> 4.2)</w:t>
      </w:r>
    </w:p>
    <w:p w14:paraId="26009513" w14:textId="0C92A583" w:rsidR="006F3493" w:rsidRPr="009700CF" w:rsidRDefault="00742211" w:rsidP="00C4544F">
      <w:pPr>
        <w:pStyle w:val="Para1"/>
        <w:numPr>
          <w:ilvl w:val="0"/>
          <w:numId w:val="26"/>
        </w:numPr>
        <w:suppressLineNumbers/>
        <w:suppressAutoHyphens/>
        <w:ind w:left="0" w:firstLine="0"/>
        <w:rPr>
          <w:kern w:val="22"/>
          <w:szCs w:val="22"/>
          <w:lang w:val="fr-CA"/>
        </w:rPr>
      </w:pPr>
      <w:r w:rsidRPr="009700CF">
        <w:rPr>
          <w:kern w:val="22"/>
          <w:szCs w:val="22"/>
          <w:lang w:val="fr-CA"/>
        </w:rPr>
        <w:t>Le Groupe de liaison a pris note des tendances positives en mati</w:t>
      </w:r>
      <w:r w:rsidR="00FA05BA" w:rsidRPr="009700CF">
        <w:rPr>
          <w:kern w:val="22"/>
          <w:szCs w:val="22"/>
          <w:lang w:val="fr-CA"/>
        </w:rPr>
        <w:t>èr</w:t>
      </w:r>
      <w:r w:rsidRPr="009700CF">
        <w:rPr>
          <w:kern w:val="22"/>
          <w:szCs w:val="22"/>
          <w:lang w:val="fr-CA"/>
        </w:rPr>
        <w:t xml:space="preserve">e d’échange de </w:t>
      </w:r>
      <w:r w:rsidR="00FA05BA" w:rsidRPr="009700CF">
        <w:rPr>
          <w:kern w:val="22"/>
          <w:szCs w:val="22"/>
          <w:lang w:val="fr-CA"/>
        </w:rPr>
        <w:t>renseignements au centre d</w:t>
      </w:r>
      <w:r w:rsidR="00BE752D">
        <w:rPr>
          <w:kern w:val="22"/>
          <w:szCs w:val="22"/>
          <w:lang w:val="fr-CA"/>
        </w:rPr>
        <w:t>’</w:t>
      </w:r>
      <w:r w:rsidR="00FA05BA" w:rsidRPr="009700CF">
        <w:rPr>
          <w:kern w:val="22"/>
          <w:szCs w:val="22"/>
          <w:lang w:val="fr-CA"/>
        </w:rPr>
        <w:t>échange sur la prévention des risques biotechnologiques, notamment en ce qui concerne le nom</w:t>
      </w:r>
      <w:r w:rsidRPr="009700CF">
        <w:rPr>
          <w:kern w:val="22"/>
          <w:szCs w:val="22"/>
          <w:lang w:val="fr-CA"/>
        </w:rPr>
        <w:t xml:space="preserve">bre d’enregistrements nationaux et d’enregistrements de renvoi publiés, ainsi que </w:t>
      </w:r>
      <w:r w:rsidR="00FA05BA" w:rsidRPr="009700CF">
        <w:rPr>
          <w:kern w:val="22"/>
          <w:szCs w:val="22"/>
          <w:lang w:val="fr-CA"/>
        </w:rPr>
        <w:t>le nombre</w:t>
      </w:r>
      <w:r w:rsidRPr="009700CF">
        <w:rPr>
          <w:kern w:val="22"/>
          <w:szCs w:val="22"/>
          <w:lang w:val="fr-CA"/>
        </w:rPr>
        <w:t xml:space="preserve"> de visiteurs. Il a aussi pris note de l</w:t>
      </w:r>
      <w:r w:rsidR="00FA05BA" w:rsidRPr="009700CF">
        <w:rPr>
          <w:kern w:val="22"/>
          <w:szCs w:val="22"/>
          <w:lang w:val="fr-CA"/>
        </w:rPr>
        <w:t>’</w:t>
      </w:r>
      <w:r w:rsidRPr="009700CF">
        <w:rPr>
          <w:kern w:val="22"/>
          <w:szCs w:val="22"/>
          <w:lang w:val="fr-CA"/>
        </w:rPr>
        <w:t xml:space="preserve">importance de veiller </w:t>
      </w:r>
      <w:r w:rsidR="00FA05BA" w:rsidRPr="009700CF">
        <w:rPr>
          <w:kern w:val="22"/>
          <w:szCs w:val="22"/>
          <w:lang w:val="fr-CA"/>
        </w:rPr>
        <w:t>à ce que les enregistrement</w:t>
      </w:r>
      <w:r w:rsidRPr="009700CF">
        <w:rPr>
          <w:kern w:val="22"/>
          <w:szCs w:val="22"/>
          <w:lang w:val="fr-CA"/>
        </w:rPr>
        <w:t>s demeurent à jour</w:t>
      </w:r>
      <w:r w:rsidR="006F3493" w:rsidRPr="009700CF">
        <w:rPr>
          <w:kern w:val="22"/>
          <w:szCs w:val="22"/>
          <w:lang w:val="fr-CA"/>
        </w:rPr>
        <w:t>.</w:t>
      </w:r>
    </w:p>
    <w:p w14:paraId="7F63AF9F" w14:textId="601C15E6" w:rsidR="006F3493" w:rsidRPr="009700CF" w:rsidRDefault="00BE0752" w:rsidP="00C4544F">
      <w:pPr>
        <w:pStyle w:val="Para1"/>
        <w:numPr>
          <w:ilvl w:val="0"/>
          <w:numId w:val="26"/>
        </w:numPr>
        <w:suppressLineNumbers/>
        <w:suppressAutoHyphens/>
        <w:ind w:left="0" w:firstLine="0"/>
        <w:rPr>
          <w:kern w:val="22"/>
          <w:szCs w:val="22"/>
          <w:lang w:val="fr-CA"/>
        </w:rPr>
      </w:pPr>
      <w:r w:rsidRPr="009700CF">
        <w:rPr>
          <w:kern w:val="22"/>
          <w:szCs w:val="22"/>
          <w:lang w:val="fr-CA"/>
        </w:rPr>
        <w:t>Le Groupe de liaison s’est réjoui du fait que toutes les P</w:t>
      </w:r>
      <w:r w:rsidR="00FC5449" w:rsidRPr="009700CF">
        <w:rPr>
          <w:kern w:val="22"/>
          <w:szCs w:val="22"/>
          <w:lang w:val="fr-CA"/>
        </w:rPr>
        <w:t>a</w:t>
      </w:r>
      <w:r w:rsidRPr="009700CF">
        <w:rPr>
          <w:kern w:val="22"/>
          <w:szCs w:val="22"/>
          <w:lang w:val="fr-CA"/>
        </w:rPr>
        <w:t>rties aient désigné leur corres</w:t>
      </w:r>
      <w:r w:rsidR="00FC5449" w:rsidRPr="009700CF">
        <w:rPr>
          <w:kern w:val="22"/>
          <w:szCs w:val="22"/>
          <w:lang w:val="fr-CA"/>
        </w:rPr>
        <w:t>pondant national pour le Protoco</w:t>
      </w:r>
      <w:r w:rsidRPr="009700CF">
        <w:rPr>
          <w:kern w:val="22"/>
          <w:szCs w:val="22"/>
          <w:lang w:val="fr-CA"/>
        </w:rPr>
        <w:t>le de Cartagena (92 p. cent</w:t>
      </w:r>
      <w:r w:rsidR="00086CFD">
        <w:rPr>
          <w:kern w:val="22"/>
          <w:szCs w:val="22"/>
          <w:lang w:val="fr-CA"/>
        </w:rPr>
        <w:t xml:space="preserve">) </w:t>
      </w:r>
      <w:r w:rsidRPr="009700CF">
        <w:rPr>
          <w:kern w:val="22"/>
          <w:szCs w:val="22"/>
          <w:lang w:val="fr-CA"/>
        </w:rPr>
        <w:t>et leur correspondant national pour le centre d</w:t>
      </w:r>
      <w:r w:rsidR="00BE752D">
        <w:rPr>
          <w:kern w:val="22"/>
          <w:szCs w:val="22"/>
          <w:lang w:val="fr-CA"/>
        </w:rPr>
        <w:t>’</w:t>
      </w:r>
      <w:r w:rsidRPr="009700CF">
        <w:rPr>
          <w:kern w:val="22"/>
          <w:szCs w:val="22"/>
          <w:lang w:val="fr-CA"/>
        </w:rPr>
        <w:t xml:space="preserve">échange sur la prévention des risques biotechnologiques (97 p. cent). Le Groupe de liaison a pris note des progrès accomplis par les Parties </w:t>
      </w:r>
      <w:r w:rsidR="00FC5449" w:rsidRPr="009700CF">
        <w:rPr>
          <w:kern w:val="22"/>
          <w:szCs w:val="22"/>
          <w:lang w:val="fr-CA"/>
        </w:rPr>
        <w:t>dans la désignati</w:t>
      </w:r>
      <w:r w:rsidRPr="009700CF">
        <w:rPr>
          <w:kern w:val="22"/>
          <w:szCs w:val="22"/>
          <w:lang w:val="fr-CA"/>
        </w:rPr>
        <w:t xml:space="preserve">on de leur point de contact </w:t>
      </w:r>
      <w:r w:rsidR="00FC5449" w:rsidRPr="009700CF">
        <w:rPr>
          <w:kern w:val="22"/>
          <w:szCs w:val="22"/>
          <w:lang w:val="fr-CA"/>
        </w:rPr>
        <w:t>pour la réception des notificati</w:t>
      </w:r>
      <w:r w:rsidRPr="009700CF">
        <w:rPr>
          <w:kern w:val="22"/>
          <w:szCs w:val="22"/>
          <w:lang w:val="fr-CA"/>
        </w:rPr>
        <w:t>ons au titre de l’</w:t>
      </w:r>
      <w:r w:rsidR="00086CFD">
        <w:rPr>
          <w:kern w:val="22"/>
          <w:szCs w:val="22"/>
          <w:lang w:val="fr-CA"/>
        </w:rPr>
        <w:t>article 17 (M</w:t>
      </w:r>
      <w:r w:rsidRPr="009700CF">
        <w:rPr>
          <w:kern w:val="22"/>
          <w:szCs w:val="22"/>
          <w:lang w:val="fr-CA"/>
        </w:rPr>
        <w:t>ouvements transfrontières involontaires et mesures d’urgence), mais a reconnu qu’</w:t>
      </w:r>
      <w:r w:rsidR="00FC5449" w:rsidRPr="009700CF">
        <w:rPr>
          <w:kern w:val="22"/>
          <w:szCs w:val="22"/>
          <w:lang w:val="fr-CA"/>
        </w:rPr>
        <w:t>en</w:t>
      </w:r>
      <w:r w:rsidRPr="009700CF">
        <w:rPr>
          <w:kern w:val="22"/>
          <w:szCs w:val="22"/>
          <w:lang w:val="fr-CA"/>
        </w:rPr>
        <w:t xml:space="preserve">viron le tiers des Parties (32 p. cent) ne l’a pas encore fait et </w:t>
      </w:r>
      <w:r w:rsidR="00FC5449" w:rsidRPr="009700CF">
        <w:rPr>
          <w:kern w:val="22"/>
          <w:szCs w:val="22"/>
          <w:lang w:val="fr-CA"/>
        </w:rPr>
        <w:t xml:space="preserve">que cela demeure un problème </w:t>
      </w:r>
      <w:r w:rsidR="00CF497E">
        <w:rPr>
          <w:kern w:val="22"/>
          <w:szCs w:val="22"/>
          <w:lang w:val="fr-CA"/>
        </w:rPr>
        <w:t>à</w:t>
      </w:r>
      <w:r w:rsidR="00FC5449" w:rsidRPr="009700CF">
        <w:rPr>
          <w:kern w:val="22"/>
          <w:szCs w:val="22"/>
          <w:lang w:val="fr-CA"/>
        </w:rPr>
        <w:t xml:space="preserve"> régl</w:t>
      </w:r>
      <w:r w:rsidR="00CF497E">
        <w:rPr>
          <w:kern w:val="22"/>
          <w:szCs w:val="22"/>
          <w:lang w:val="fr-CA"/>
        </w:rPr>
        <w:t>er</w:t>
      </w:r>
      <w:r w:rsidR="006F3493" w:rsidRPr="009700CF">
        <w:rPr>
          <w:kern w:val="22"/>
          <w:szCs w:val="22"/>
          <w:lang w:val="fr-CA"/>
        </w:rPr>
        <w:t>.</w:t>
      </w:r>
    </w:p>
    <w:p w14:paraId="2E557008" w14:textId="3C2C1DFB" w:rsidR="006F3493" w:rsidRPr="009700CF" w:rsidRDefault="00FC5449" w:rsidP="00C4544F">
      <w:pPr>
        <w:pStyle w:val="Para1"/>
        <w:keepNext/>
        <w:numPr>
          <w:ilvl w:val="0"/>
          <w:numId w:val="22"/>
        </w:numPr>
        <w:suppressLineNumbers/>
        <w:suppressAutoHyphens/>
        <w:ind w:left="714" w:hanging="357"/>
        <w:jc w:val="center"/>
        <w:rPr>
          <w:b/>
          <w:bCs/>
          <w:kern w:val="22"/>
          <w:szCs w:val="22"/>
          <w:lang w:val="fr-CA"/>
        </w:rPr>
      </w:pPr>
      <w:r w:rsidRPr="009700CF">
        <w:rPr>
          <w:b/>
          <w:bCs/>
          <w:kern w:val="22"/>
          <w:szCs w:val="22"/>
          <w:lang w:val="fr-CA"/>
        </w:rPr>
        <w:t>Conformité et examen (objectif opérationnel 3.1 et</w:t>
      </w:r>
      <w:r w:rsidR="006F3493" w:rsidRPr="009700CF">
        <w:rPr>
          <w:b/>
          <w:bCs/>
          <w:kern w:val="22"/>
          <w:szCs w:val="22"/>
          <w:lang w:val="fr-CA"/>
        </w:rPr>
        <w:t xml:space="preserve"> 3.2)</w:t>
      </w:r>
    </w:p>
    <w:p w14:paraId="1EB7B3C2" w14:textId="6C13EAD4" w:rsidR="006F3493" w:rsidRPr="009700CF" w:rsidRDefault="00FC5449" w:rsidP="00C4544F">
      <w:pPr>
        <w:pStyle w:val="Para1"/>
        <w:numPr>
          <w:ilvl w:val="0"/>
          <w:numId w:val="26"/>
        </w:numPr>
        <w:suppressLineNumbers/>
        <w:suppressAutoHyphens/>
        <w:ind w:left="0" w:firstLine="0"/>
        <w:rPr>
          <w:kern w:val="22"/>
          <w:szCs w:val="22"/>
          <w:lang w:val="fr-CA"/>
        </w:rPr>
      </w:pPr>
      <w:r w:rsidRPr="009700CF">
        <w:rPr>
          <w:kern w:val="22"/>
          <w:szCs w:val="22"/>
          <w:lang w:val="fr-CA"/>
        </w:rPr>
        <w:t>Le Groupe de liaison a rappelé que le Comité de conformité avait examiné les progrès accomplis à l’égard de l’objectif opérationnel 3.1 et dans ce contexte, avait examiné les tendances dans la remise des rapports nationaux au cours des différents cycles de présentation de rapports par rapport à la valeur de référence</w:t>
      </w:r>
      <w:r w:rsidR="006F3493" w:rsidRPr="009700CF">
        <w:rPr>
          <w:kern w:val="22"/>
          <w:szCs w:val="22"/>
          <w:lang w:val="fr-CA"/>
        </w:rPr>
        <w:t>.</w:t>
      </w:r>
    </w:p>
    <w:p w14:paraId="0877CC95" w14:textId="339B658E" w:rsidR="006F3493" w:rsidRPr="009700CF" w:rsidRDefault="00FC5449" w:rsidP="00C4544F">
      <w:pPr>
        <w:pStyle w:val="Para1"/>
        <w:numPr>
          <w:ilvl w:val="0"/>
          <w:numId w:val="26"/>
        </w:numPr>
        <w:suppressLineNumbers/>
        <w:suppressAutoHyphens/>
        <w:ind w:left="0" w:firstLine="0"/>
        <w:rPr>
          <w:kern w:val="22"/>
          <w:szCs w:val="22"/>
          <w:lang w:val="fr-CA"/>
        </w:rPr>
      </w:pPr>
      <w:r w:rsidRPr="009700CF">
        <w:rPr>
          <w:kern w:val="22"/>
          <w:szCs w:val="22"/>
          <w:lang w:val="fr-CA"/>
        </w:rPr>
        <w:t>Le Groupe de liaison a pris note avec déception</w:t>
      </w:r>
      <w:r w:rsidR="00476DBE" w:rsidRPr="009700CF">
        <w:rPr>
          <w:kern w:val="22"/>
          <w:szCs w:val="22"/>
          <w:lang w:val="fr-CA"/>
        </w:rPr>
        <w:t xml:space="preserve"> du faible nombre de quatrièmes rapports nationaux remis depuis </w:t>
      </w:r>
      <w:r w:rsidR="00086CFD">
        <w:rPr>
          <w:kern w:val="22"/>
          <w:szCs w:val="22"/>
          <w:lang w:val="fr-CA"/>
        </w:rPr>
        <w:t xml:space="preserve">à </w:t>
      </w:r>
      <w:r w:rsidR="00476DBE" w:rsidRPr="009700CF">
        <w:rPr>
          <w:kern w:val="22"/>
          <w:szCs w:val="22"/>
          <w:lang w:val="fr-CA"/>
        </w:rPr>
        <w:t>la date d’échéance pour l’analyse de la quatrième évaluation et examen du Protocole (99 rapports) et l’évaluation finale du Plan stratégique et que ceci aurait pu influencer l’état et les tendances reconnus. Il estime qu’une mise à jour de l’analyse pourrait être nécessaire à une date ultérieure</w:t>
      </w:r>
      <w:r w:rsidR="006F3493" w:rsidRPr="009700CF">
        <w:rPr>
          <w:kern w:val="22"/>
          <w:szCs w:val="22"/>
          <w:lang w:val="fr-CA"/>
        </w:rPr>
        <w:t>.</w:t>
      </w:r>
    </w:p>
    <w:p w14:paraId="76F01EF5" w14:textId="415E54B4" w:rsidR="006F3493" w:rsidRPr="009700CF" w:rsidRDefault="00476DBE" w:rsidP="00C4544F">
      <w:pPr>
        <w:pStyle w:val="Para1"/>
        <w:numPr>
          <w:ilvl w:val="0"/>
          <w:numId w:val="26"/>
        </w:numPr>
        <w:suppressLineNumbers/>
        <w:suppressAutoHyphens/>
        <w:ind w:left="0" w:firstLine="0"/>
        <w:rPr>
          <w:kern w:val="22"/>
          <w:szCs w:val="22"/>
          <w:lang w:val="fr-CA"/>
        </w:rPr>
      </w:pPr>
      <w:r w:rsidRPr="009700CF">
        <w:rPr>
          <w:kern w:val="22"/>
          <w:szCs w:val="22"/>
          <w:lang w:val="fr-CA"/>
        </w:rPr>
        <w:t xml:space="preserve">Le Groupe de liaison </w:t>
      </w:r>
      <w:r w:rsidR="000D1450">
        <w:rPr>
          <w:kern w:val="22"/>
          <w:szCs w:val="22"/>
          <w:lang w:val="fr-CA"/>
        </w:rPr>
        <w:t>est conscient</w:t>
      </w:r>
      <w:r w:rsidRPr="009700CF">
        <w:rPr>
          <w:kern w:val="22"/>
          <w:szCs w:val="22"/>
          <w:lang w:val="fr-CA"/>
        </w:rPr>
        <w:t xml:space="preserve"> qu’il existe une foule de raisons qui </w:t>
      </w:r>
      <w:r w:rsidR="00021BF6" w:rsidRPr="009700CF">
        <w:rPr>
          <w:kern w:val="22"/>
          <w:szCs w:val="22"/>
          <w:lang w:val="fr-CA"/>
        </w:rPr>
        <w:t>pourraient</w:t>
      </w:r>
      <w:r w:rsidRPr="009700CF">
        <w:rPr>
          <w:kern w:val="22"/>
          <w:szCs w:val="22"/>
          <w:lang w:val="fr-CA"/>
        </w:rPr>
        <w:t xml:space="preserve"> expliquer le faible nombre de quatrièmes rapports nationaux remis et </w:t>
      </w:r>
      <w:r w:rsidR="000D1450">
        <w:rPr>
          <w:kern w:val="22"/>
          <w:szCs w:val="22"/>
          <w:lang w:val="fr-CA"/>
        </w:rPr>
        <w:t xml:space="preserve">a reconnu </w:t>
      </w:r>
      <w:r w:rsidRPr="009700CF">
        <w:rPr>
          <w:kern w:val="22"/>
          <w:szCs w:val="22"/>
          <w:lang w:val="fr-CA"/>
        </w:rPr>
        <w:t xml:space="preserve">les travaux permanents du Comité de conformité à cet égard. </w:t>
      </w:r>
      <w:r w:rsidR="00021BF6" w:rsidRPr="009700CF">
        <w:rPr>
          <w:kern w:val="22"/>
          <w:szCs w:val="22"/>
          <w:lang w:val="fr-CA"/>
        </w:rPr>
        <w:t xml:space="preserve">Le Groupe de liaison a souligné l’importance d’obtenir </w:t>
      </w:r>
      <w:r w:rsidR="00F6168E">
        <w:rPr>
          <w:kern w:val="22"/>
          <w:szCs w:val="22"/>
          <w:lang w:val="fr-CA"/>
        </w:rPr>
        <w:t>l’accès au financement au</w:t>
      </w:r>
      <w:r w:rsidR="00021BF6" w:rsidRPr="009700CF">
        <w:rPr>
          <w:kern w:val="22"/>
          <w:szCs w:val="22"/>
          <w:lang w:val="fr-CA"/>
        </w:rPr>
        <w:t xml:space="preserve"> moment opportun afin de soutenir les Parties admissibles </w:t>
      </w:r>
      <w:r w:rsidR="00F6168E">
        <w:rPr>
          <w:kern w:val="22"/>
          <w:szCs w:val="22"/>
          <w:lang w:val="fr-CA"/>
        </w:rPr>
        <w:t>dans la préparation de</w:t>
      </w:r>
      <w:r w:rsidR="00021BF6" w:rsidRPr="009700CF">
        <w:rPr>
          <w:kern w:val="22"/>
          <w:szCs w:val="22"/>
          <w:lang w:val="fr-CA"/>
        </w:rPr>
        <w:t xml:space="preserve"> leurs rapports nationaux. Il a souligné que les Parties admissibles doivent remettre une lettre d’engagement au PNUE dans un délai raisonnable. Le Groupe de liaison a suggéré qu’une date ferme de remise des lettres d’engagement soit fixée pour les futurs cycles de présentation des rapports et que les projets de rapports soient présentés très rapidement </w:t>
      </w:r>
      <w:r w:rsidR="00F6168E">
        <w:rPr>
          <w:kern w:val="22"/>
          <w:szCs w:val="22"/>
          <w:lang w:val="fr-CA"/>
        </w:rPr>
        <w:t xml:space="preserve">au FEM </w:t>
      </w:r>
      <w:r w:rsidR="00021BF6" w:rsidRPr="009700CF">
        <w:rPr>
          <w:kern w:val="22"/>
          <w:szCs w:val="22"/>
          <w:lang w:val="fr-CA"/>
        </w:rPr>
        <w:t xml:space="preserve">par la suite </w:t>
      </w:r>
      <w:r w:rsidR="00F6168E">
        <w:rPr>
          <w:kern w:val="22"/>
          <w:szCs w:val="22"/>
          <w:lang w:val="fr-CA"/>
        </w:rPr>
        <w:t>pour</w:t>
      </w:r>
      <w:r w:rsidR="00021BF6" w:rsidRPr="009700CF">
        <w:rPr>
          <w:kern w:val="22"/>
          <w:szCs w:val="22"/>
          <w:lang w:val="fr-CA"/>
        </w:rPr>
        <w:t xml:space="preserve"> approbation</w:t>
      </w:r>
      <w:r w:rsidR="006F3493" w:rsidRPr="009700CF">
        <w:rPr>
          <w:kern w:val="22"/>
          <w:szCs w:val="22"/>
          <w:lang w:val="fr-CA"/>
        </w:rPr>
        <w:t>.</w:t>
      </w:r>
    </w:p>
    <w:p w14:paraId="74E08AFF" w14:textId="5E07E78F" w:rsidR="006F3493" w:rsidRPr="009700CF" w:rsidRDefault="003613BD">
      <w:pPr>
        <w:pStyle w:val="Para1"/>
        <w:numPr>
          <w:ilvl w:val="0"/>
          <w:numId w:val="22"/>
        </w:numPr>
        <w:suppressLineNumbers/>
        <w:suppressAutoHyphens/>
        <w:rPr>
          <w:b/>
          <w:bCs/>
          <w:kern w:val="22"/>
          <w:szCs w:val="22"/>
          <w:lang w:val="fr-CA"/>
        </w:rPr>
      </w:pPr>
      <w:r w:rsidRPr="009700CF">
        <w:rPr>
          <w:b/>
          <w:bCs/>
          <w:kern w:val="22"/>
          <w:szCs w:val="22"/>
          <w:lang w:val="fr-CA"/>
        </w:rPr>
        <w:t>Sensibilisation et participation du public, éducation et formation sur la prévention des risques biotechnologiques (objectifs opérationnels</w:t>
      </w:r>
      <w:r w:rsidR="006F3493" w:rsidRPr="009700CF">
        <w:rPr>
          <w:b/>
          <w:bCs/>
          <w:kern w:val="22"/>
          <w:szCs w:val="22"/>
          <w:lang w:val="fr-CA"/>
        </w:rPr>
        <w:t xml:space="preserve"> 2.5, 2.7 </w:t>
      </w:r>
      <w:r w:rsidR="00E90829">
        <w:rPr>
          <w:b/>
          <w:bCs/>
          <w:kern w:val="22"/>
          <w:szCs w:val="22"/>
          <w:lang w:val="fr-CA"/>
        </w:rPr>
        <w:t>et</w:t>
      </w:r>
      <w:r w:rsidR="006F3493" w:rsidRPr="009700CF">
        <w:rPr>
          <w:b/>
          <w:bCs/>
          <w:kern w:val="22"/>
          <w:szCs w:val="22"/>
          <w:lang w:val="fr-CA"/>
        </w:rPr>
        <w:t xml:space="preserve"> 4.3)</w:t>
      </w:r>
    </w:p>
    <w:p w14:paraId="65414B5A" w14:textId="3CA240C3" w:rsidR="006F3493" w:rsidRPr="009700CF" w:rsidRDefault="003613BD" w:rsidP="00C4544F">
      <w:pPr>
        <w:pStyle w:val="Para1"/>
        <w:numPr>
          <w:ilvl w:val="0"/>
          <w:numId w:val="26"/>
        </w:numPr>
        <w:suppressLineNumbers/>
        <w:suppressAutoHyphens/>
        <w:ind w:left="0" w:firstLine="0"/>
        <w:rPr>
          <w:kern w:val="22"/>
          <w:szCs w:val="22"/>
          <w:lang w:val="fr-CA"/>
        </w:rPr>
      </w:pPr>
      <w:r w:rsidRPr="009700CF">
        <w:rPr>
          <w:kern w:val="22"/>
          <w:szCs w:val="22"/>
          <w:lang w:val="fr-CA"/>
        </w:rPr>
        <w:t xml:space="preserve">Le Groupe de liaison a pris note des progrès pour certains indicateurs </w:t>
      </w:r>
      <w:r w:rsidR="000D1450">
        <w:rPr>
          <w:kern w:val="22"/>
          <w:szCs w:val="22"/>
          <w:lang w:val="fr-CA"/>
        </w:rPr>
        <w:t>sur le sujet</w:t>
      </w:r>
      <w:r w:rsidRPr="009700CF">
        <w:rPr>
          <w:kern w:val="22"/>
          <w:szCs w:val="22"/>
          <w:lang w:val="fr-CA"/>
        </w:rPr>
        <w:t xml:space="preserve"> et reconnu l’importance de la sensibilisation, l’éducation et la participation du public pour l’application du Protocole. Il a reconnu qu’un soutien supplémentaire à cet égard était nécessaire</w:t>
      </w:r>
      <w:r w:rsidR="006F3493" w:rsidRPr="009700CF">
        <w:rPr>
          <w:kern w:val="22"/>
          <w:szCs w:val="22"/>
          <w:lang w:val="fr-CA"/>
        </w:rPr>
        <w:t>.</w:t>
      </w:r>
    </w:p>
    <w:p w14:paraId="14F49922" w14:textId="3497234D" w:rsidR="006F3493" w:rsidRPr="009700CF" w:rsidRDefault="003613BD" w:rsidP="00C4544F">
      <w:pPr>
        <w:pStyle w:val="Para1"/>
        <w:numPr>
          <w:ilvl w:val="0"/>
          <w:numId w:val="26"/>
        </w:numPr>
        <w:suppressLineNumbers/>
        <w:suppressAutoHyphens/>
        <w:ind w:left="0" w:firstLine="0"/>
        <w:rPr>
          <w:kern w:val="22"/>
          <w:szCs w:val="22"/>
          <w:lang w:val="fr-CA"/>
        </w:rPr>
      </w:pPr>
      <w:bookmarkStart w:id="7" w:name="_Hlk43132483"/>
      <w:r w:rsidRPr="009700CF">
        <w:rPr>
          <w:kern w:val="22"/>
          <w:szCs w:val="22"/>
          <w:lang w:val="fr-CA"/>
        </w:rPr>
        <w:t>Le Groupe de liaison a pris note que les Parties avaient accompli certains progrès dans la mise en place de mécanismes entièrement fonctionnels pour la participation du public à la prise de décisions sur les OVM, et a suggéré de faire plus d’efforts à cet égard</w:t>
      </w:r>
      <w:r w:rsidR="006F3493" w:rsidRPr="009700CF">
        <w:rPr>
          <w:kern w:val="22"/>
          <w:szCs w:val="22"/>
          <w:lang w:val="fr-CA"/>
        </w:rPr>
        <w:t>.</w:t>
      </w:r>
    </w:p>
    <w:p w14:paraId="06A3743D" w14:textId="153A44F4" w:rsidR="006F3493" w:rsidRPr="009700CF" w:rsidRDefault="00631195" w:rsidP="00C4544F">
      <w:pPr>
        <w:pStyle w:val="Para1"/>
        <w:numPr>
          <w:ilvl w:val="0"/>
          <w:numId w:val="26"/>
        </w:numPr>
        <w:suppressLineNumbers/>
        <w:suppressAutoHyphens/>
        <w:ind w:left="0" w:firstLine="0"/>
        <w:rPr>
          <w:kern w:val="22"/>
          <w:szCs w:val="22"/>
          <w:lang w:val="fr-CA"/>
        </w:rPr>
      </w:pPr>
      <w:r w:rsidRPr="009700CF">
        <w:rPr>
          <w:kern w:val="22"/>
          <w:szCs w:val="22"/>
          <w:lang w:val="fr-CA"/>
        </w:rPr>
        <w:t xml:space="preserve">Le Groupe de liaison </w:t>
      </w:r>
      <w:r w:rsidR="00F6168E">
        <w:rPr>
          <w:kern w:val="22"/>
          <w:szCs w:val="22"/>
          <w:lang w:val="fr-CA"/>
        </w:rPr>
        <w:t>estime</w:t>
      </w:r>
      <w:r w:rsidRPr="009700CF">
        <w:rPr>
          <w:kern w:val="22"/>
          <w:szCs w:val="22"/>
          <w:lang w:val="fr-CA"/>
        </w:rPr>
        <w:t xml:space="preserve"> que les sites Web nationaux et les bases de données interrogeables pourraient être utiles pour la promotion et la facilitation de la sensibilisation du public</w:t>
      </w:r>
      <w:r w:rsidR="006F3493" w:rsidRPr="009700CF">
        <w:rPr>
          <w:kern w:val="22"/>
          <w:szCs w:val="22"/>
          <w:lang w:val="fr-CA"/>
        </w:rPr>
        <w:t>.</w:t>
      </w:r>
    </w:p>
    <w:p w14:paraId="47AEF531" w14:textId="519A7793" w:rsidR="006F3493" w:rsidRPr="009700CF" w:rsidRDefault="00631195" w:rsidP="00C4544F">
      <w:pPr>
        <w:pStyle w:val="Para1"/>
        <w:numPr>
          <w:ilvl w:val="0"/>
          <w:numId w:val="26"/>
        </w:numPr>
        <w:suppressLineNumbers/>
        <w:suppressAutoHyphens/>
        <w:ind w:left="0" w:firstLine="0"/>
        <w:rPr>
          <w:kern w:val="22"/>
          <w:szCs w:val="22"/>
          <w:lang w:val="fr-CA"/>
        </w:rPr>
      </w:pPr>
      <w:r w:rsidRPr="009700CF">
        <w:rPr>
          <w:kern w:val="22"/>
          <w:szCs w:val="22"/>
          <w:lang w:val="fr-CA"/>
        </w:rPr>
        <w:t>Le Groupe de liaison s’est réjoui du grand nombre de Parties (86 p</w:t>
      </w:r>
      <w:r w:rsidR="00F6168E">
        <w:rPr>
          <w:kern w:val="22"/>
          <w:szCs w:val="22"/>
          <w:lang w:val="fr-CA"/>
        </w:rPr>
        <w:t>.</w:t>
      </w:r>
      <w:r w:rsidRPr="009700CF">
        <w:rPr>
          <w:kern w:val="22"/>
          <w:szCs w:val="22"/>
          <w:lang w:val="fr-CA"/>
        </w:rPr>
        <w:t> cent) ayant déclaré avoir des établissements d’enseignement qui offrent des programmes d’éducation et de formation sur la prévention des risques biotechnologiques. Le Groupe a suggéré d’encourager les Parties à partager le matériel éducatif et autre par le biais du centre d</w:t>
      </w:r>
      <w:r w:rsidR="00BE752D">
        <w:rPr>
          <w:kern w:val="22"/>
          <w:szCs w:val="22"/>
          <w:lang w:val="fr-CA"/>
        </w:rPr>
        <w:t>’</w:t>
      </w:r>
      <w:r w:rsidRPr="009700CF">
        <w:rPr>
          <w:kern w:val="22"/>
          <w:szCs w:val="22"/>
          <w:lang w:val="fr-CA"/>
        </w:rPr>
        <w:t>échange sur la prévention des risques biotechnologiques</w:t>
      </w:r>
      <w:r w:rsidR="006F3493" w:rsidRPr="009700CF">
        <w:rPr>
          <w:kern w:val="22"/>
          <w:szCs w:val="22"/>
          <w:lang w:val="fr-CA"/>
        </w:rPr>
        <w:t>.</w:t>
      </w:r>
    </w:p>
    <w:bookmarkEnd w:id="7"/>
    <w:p w14:paraId="1E013903" w14:textId="064661BA" w:rsidR="006F3493" w:rsidRPr="009700CF" w:rsidRDefault="00631195" w:rsidP="00C4544F">
      <w:pPr>
        <w:pStyle w:val="Para1"/>
        <w:numPr>
          <w:ilvl w:val="0"/>
          <w:numId w:val="22"/>
        </w:numPr>
        <w:suppressLineNumbers/>
        <w:suppressAutoHyphens/>
        <w:jc w:val="center"/>
        <w:rPr>
          <w:b/>
          <w:bCs/>
          <w:kern w:val="22"/>
          <w:szCs w:val="22"/>
          <w:lang w:val="fr-CA"/>
        </w:rPr>
      </w:pPr>
      <w:r w:rsidRPr="009700CF">
        <w:rPr>
          <w:b/>
          <w:bCs/>
          <w:kern w:val="22"/>
          <w:szCs w:val="22"/>
          <w:lang w:val="fr-CA"/>
        </w:rPr>
        <w:t>Vulgarisation et coopération (objectifs opérationnels 5.1, 5.2 et 5.3</w:t>
      </w:r>
      <w:r w:rsidR="006F3493" w:rsidRPr="009700CF">
        <w:rPr>
          <w:b/>
          <w:bCs/>
          <w:kern w:val="22"/>
          <w:szCs w:val="22"/>
          <w:lang w:val="fr-CA"/>
        </w:rPr>
        <w:t>)</w:t>
      </w:r>
    </w:p>
    <w:p w14:paraId="2FF4E442" w14:textId="11C47952" w:rsidR="006F3493" w:rsidRPr="009700CF" w:rsidRDefault="00C75318" w:rsidP="00C4544F">
      <w:pPr>
        <w:pStyle w:val="Para1"/>
        <w:numPr>
          <w:ilvl w:val="0"/>
          <w:numId w:val="26"/>
        </w:numPr>
        <w:suppressLineNumbers/>
        <w:suppressAutoHyphens/>
        <w:ind w:left="0" w:firstLine="0"/>
        <w:rPr>
          <w:kern w:val="22"/>
          <w:szCs w:val="22"/>
          <w:lang w:val="fr-CA"/>
        </w:rPr>
      </w:pPr>
      <w:bookmarkStart w:id="8" w:name="_Hlk39593911"/>
      <w:r w:rsidRPr="009700CF">
        <w:rPr>
          <w:kern w:val="22"/>
          <w:szCs w:val="22"/>
          <w:lang w:val="fr-CA"/>
        </w:rPr>
        <w:t>Le Groupe de liaison a pris note de l’importance de la coopération entre les Parties en plus de la coopération entre les organisations intergouvernementales</w:t>
      </w:r>
      <w:r w:rsidR="006F3493" w:rsidRPr="009700CF">
        <w:rPr>
          <w:kern w:val="22"/>
          <w:szCs w:val="22"/>
          <w:lang w:val="fr-CA"/>
        </w:rPr>
        <w:t>.</w:t>
      </w:r>
    </w:p>
    <w:bookmarkEnd w:id="8"/>
    <w:p w14:paraId="0A9B8313" w14:textId="343E048B" w:rsidR="00361328" w:rsidRPr="009700CF" w:rsidRDefault="00ED2B9E" w:rsidP="00C4544F">
      <w:pPr>
        <w:suppressLineNumbers/>
        <w:suppressAutoHyphens/>
        <w:jc w:val="center"/>
        <w:rPr>
          <w:kern w:val="22"/>
          <w:lang w:val="fr-CA"/>
        </w:rPr>
      </w:pPr>
      <w:r w:rsidRPr="009700CF">
        <w:rPr>
          <w:kern w:val="22"/>
          <w:lang w:val="fr-CA"/>
        </w:rPr>
        <w:lastRenderedPageBreak/>
        <w:t>______</w:t>
      </w:r>
      <w:r w:rsidR="00741FAF" w:rsidRPr="009700CF">
        <w:rPr>
          <w:kern w:val="22"/>
          <w:lang w:val="fr-CA"/>
        </w:rPr>
        <w:t>____</w:t>
      </w:r>
    </w:p>
    <w:sectPr w:rsidR="00361328" w:rsidRPr="009700CF" w:rsidSect="00534681">
      <w:pgSz w:w="12240" w:h="15840"/>
      <w:pgMar w:top="567" w:right="1389" w:bottom="1134" w:left="13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09A30" w14:textId="77777777" w:rsidR="000C7065" w:rsidRDefault="000C7065" w:rsidP="00CF1848">
      <w:r>
        <w:separator/>
      </w:r>
    </w:p>
  </w:endnote>
  <w:endnote w:type="continuationSeparator" w:id="0">
    <w:p w14:paraId="675068C1" w14:textId="77777777" w:rsidR="000C7065" w:rsidRDefault="000C7065"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DF386" w14:textId="77777777" w:rsidR="000C7065" w:rsidRDefault="000C7065" w:rsidP="00CF1848">
      <w:r>
        <w:separator/>
      </w:r>
    </w:p>
  </w:footnote>
  <w:footnote w:type="continuationSeparator" w:id="0">
    <w:p w14:paraId="7DFB0E6F" w14:textId="77777777" w:rsidR="000C7065" w:rsidRDefault="000C7065" w:rsidP="00CF1848">
      <w:r>
        <w:continuationSeparator/>
      </w:r>
    </w:p>
  </w:footnote>
  <w:footnote w:id="1">
    <w:p w14:paraId="090FA45E" w14:textId="12412474" w:rsidR="00BE752D" w:rsidRPr="00215740" w:rsidRDefault="00BE752D" w:rsidP="00C4544F">
      <w:pPr>
        <w:pStyle w:val="FootnoteText"/>
        <w:suppressLineNumbers/>
        <w:suppressAutoHyphens/>
        <w:ind w:firstLine="0"/>
        <w:jc w:val="left"/>
        <w:rPr>
          <w:kern w:val="18"/>
          <w:szCs w:val="18"/>
          <w:lang w:val="fr-CA"/>
        </w:rPr>
      </w:pPr>
      <w:r w:rsidRPr="00215740">
        <w:rPr>
          <w:rStyle w:val="FootnoteReference"/>
          <w:kern w:val="18"/>
          <w:sz w:val="18"/>
          <w:szCs w:val="18"/>
          <w:lang w:val="fr-CA"/>
        </w:rPr>
        <w:t>*</w:t>
      </w:r>
      <w:r w:rsidRPr="00215740">
        <w:rPr>
          <w:kern w:val="18"/>
          <w:szCs w:val="18"/>
          <w:lang w:val="fr-CA"/>
        </w:rPr>
        <w:t xml:space="preserve"> CBD/SBI/3/1.</w:t>
      </w:r>
    </w:p>
  </w:footnote>
  <w:footnote w:id="2">
    <w:p w14:paraId="2F6642AD" w14:textId="35638249" w:rsidR="00BE752D" w:rsidRPr="003B5A98" w:rsidRDefault="00BE752D" w:rsidP="003B5A98">
      <w:pPr>
        <w:pStyle w:val="FootnoteText"/>
        <w:suppressLineNumbers/>
        <w:suppressAutoHyphens/>
        <w:ind w:firstLine="0"/>
        <w:jc w:val="left"/>
        <w:rPr>
          <w:kern w:val="18"/>
          <w:szCs w:val="18"/>
          <w:lang w:val="fr-CA"/>
        </w:rPr>
      </w:pPr>
      <w:r w:rsidRPr="00C4544F">
        <w:rPr>
          <w:rStyle w:val="FootnoteReference"/>
          <w:kern w:val="18"/>
          <w:sz w:val="18"/>
          <w:szCs w:val="18"/>
        </w:rPr>
        <w:footnoteRef/>
      </w:r>
      <w:r w:rsidRPr="003B5A98">
        <w:rPr>
          <w:kern w:val="18"/>
          <w:szCs w:val="18"/>
          <w:lang w:val="fr-CA"/>
        </w:rPr>
        <w:t xml:space="preserve"> </w:t>
      </w:r>
      <w:r>
        <w:rPr>
          <w:kern w:val="18"/>
          <w:szCs w:val="18"/>
          <w:lang w:val="fr-CA"/>
        </w:rPr>
        <w:t>Mesuré à la fin du quatrième cycle de présentation des rapports</w:t>
      </w:r>
      <w:r w:rsidRPr="003B5A98">
        <w:rPr>
          <w:kern w:val="18"/>
          <w:szCs w:val="18"/>
          <w:lang w:val="fr-CA"/>
        </w:rPr>
        <w:t>.</w:t>
      </w:r>
    </w:p>
  </w:footnote>
  <w:footnote w:id="3">
    <w:p w14:paraId="4A9C2A6F" w14:textId="2AF80DCB" w:rsidR="00BE752D" w:rsidRPr="003B5A98" w:rsidRDefault="00BE752D" w:rsidP="00C4544F">
      <w:pPr>
        <w:pStyle w:val="FootnoteText"/>
        <w:suppressLineNumbers/>
        <w:suppressAutoHyphens/>
        <w:ind w:firstLine="0"/>
        <w:jc w:val="left"/>
        <w:rPr>
          <w:kern w:val="18"/>
          <w:szCs w:val="18"/>
          <w:lang w:val="fr-CA"/>
        </w:rPr>
      </w:pPr>
      <w:r w:rsidRPr="003B5A98">
        <w:rPr>
          <w:rStyle w:val="FootnoteReference"/>
          <w:kern w:val="18"/>
          <w:sz w:val="18"/>
          <w:szCs w:val="18"/>
          <w:lang w:val="fr-CA"/>
        </w:rPr>
        <w:footnoteRef/>
      </w:r>
      <w:r w:rsidRPr="003B5A98">
        <w:rPr>
          <w:kern w:val="18"/>
          <w:szCs w:val="18"/>
          <w:lang w:val="fr-CA"/>
        </w:rPr>
        <w:t xml:space="preserve"> </w:t>
      </w:r>
      <w:r>
        <w:rPr>
          <w:kern w:val="18"/>
          <w:szCs w:val="18"/>
          <w:lang w:val="fr-CA"/>
        </w:rPr>
        <w:t>L’analyse utilisée pour établir les données de référence a été effectuée à partir des deuxièmes rapports nationaux reçus au 31 décembre 2011</w:t>
      </w:r>
      <w:r w:rsidRPr="00CE5530">
        <w:rPr>
          <w:kern w:val="18"/>
          <w:szCs w:val="18"/>
          <w:lang w:val="fr-CA"/>
        </w:rPr>
        <w:t xml:space="preserve"> (UNEP/CBD/BS/COP-MOP/6/17/Add.1). </w:t>
      </w:r>
      <w:r>
        <w:rPr>
          <w:kern w:val="18"/>
          <w:szCs w:val="18"/>
          <w:lang w:val="fr-CA"/>
        </w:rPr>
        <w:t>L’Enquête a été réalisée en 2013. Les résultats de l’Enquête sont publiés sur le site : http://bch.cbd.int/database/reports/surveyonindicators.sthtml</w:t>
      </w:r>
      <w:r w:rsidRPr="003B5A98">
        <w:rPr>
          <w:kern w:val="18"/>
          <w:szCs w:val="18"/>
          <w:lang w:val="fr-CA"/>
        </w:rPr>
        <w:t>.</w:t>
      </w:r>
    </w:p>
  </w:footnote>
  <w:footnote w:id="4">
    <w:p w14:paraId="039ECAFF" w14:textId="595C742E" w:rsidR="00BE752D" w:rsidRPr="003B5A98" w:rsidRDefault="00BE752D" w:rsidP="00C4544F">
      <w:pPr>
        <w:pStyle w:val="FootnoteText"/>
        <w:suppressLineNumbers/>
        <w:tabs>
          <w:tab w:val="left" w:pos="270"/>
        </w:tabs>
        <w:suppressAutoHyphens/>
        <w:snapToGrid w:val="0"/>
        <w:ind w:firstLine="0"/>
        <w:jc w:val="left"/>
        <w:rPr>
          <w:snapToGrid w:val="0"/>
          <w:kern w:val="18"/>
          <w:szCs w:val="18"/>
          <w:lang w:val="fr-CA"/>
        </w:rPr>
      </w:pPr>
      <w:r w:rsidRPr="003B5A98">
        <w:rPr>
          <w:rStyle w:val="FootnoteReference"/>
          <w:snapToGrid w:val="0"/>
          <w:kern w:val="18"/>
          <w:sz w:val="18"/>
          <w:szCs w:val="18"/>
          <w:lang w:val="fr-CA"/>
        </w:rPr>
        <w:footnoteRef/>
      </w:r>
      <w:r w:rsidRPr="003B5A98">
        <w:rPr>
          <w:snapToGrid w:val="0"/>
          <w:kern w:val="18"/>
          <w:szCs w:val="18"/>
          <w:lang w:val="fr-CA"/>
        </w:rPr>
        <w:t xml:space="preserve"> </w:t>
      </w:r>
      <w:r w:rsidRPr="00ED682D">
        <w:rPr>
          <w:szCs w:val="18"/>
          <w:lang w:val="fr-CA"/>
        </w:rPr>
        <w:t>L’outil d’analyse des rappor</w:t>
      </w:r>
      <w:r>
        <w:rPr>
          <w:szCs w:val="18"/>
          <w:lang w:val="fr-CA"/>
        </w:rPr>
        <w:t>ts est publ</w:t>
      </w:r>
      <w:r w:rsidRPr="00ED682D">
        <w:rPr>
          <w:szCs w:val="18"/>
          <w:lang w:val="fr-CA"/>
        </w:rPr>
        <w:t>ié sur le site</w:t>
      </w:r>
      <w:r>
        <w:rPr>
          <w:szCs w:val="18"/>
          <w:lang w:val="fr-CA"/>
        </w:rPr>
        <w:t xml:space="preserve"> </w:t>
      </w:r>
      <w:r>
        <w:rPr>
          <w:kern w:val="18"/>
          <w:szCs w:val="18"/>
          <w:lang w:val="fr-CA"/>
        </w:rPr>
        <w:t>http://bch.cbd.int/database/reports/analyzer. Cet outil facilite la comparaison des informations fournies dans les quatrièmes, troisièmes et deuxièmes rapports nationaux, ainsi que dans l’Enquête</w:t>
      </w:r>
      <w:r w:rsidRPr="003B5A98">
        <w:rPr>
          <w:snapToGrid w:val="0"/>
          <w:kern w:val="18"/>
          <w:szCs w:val="18"/>
          <w:lang w:val="fr-CA"/>
        </w:rPr>
        <w:t>.</w:t>
      </w:r>
    </w:p>
  </w:footnote>
  <w:footnote w:id="5">
    <w:p w14:paraId="1DDD50D9" w14:textId="4AE1E852" w:rsidR="00BE752D" w:rsidRPr="003B5A98" w:rsidRDefault="00BE752D" w:rsidP="003B5A98">
      <w:pPr>
        <w:pStyle w:val="FootnoteText"/>
        <w:ind w:firstLine="0"/>
        <w:rPr>
          <w:szCs w:val="18"/>
          <w:lang w:val="fr-CA"/>
        </w:rPr>
      </w:pPr>
      <w:r w:rsidRPr="003B5A98">
        <w:rPr>
          <w:rStyle w:val="FootnoteReference"/>
          <w:szCs w:val="18"/>
          <w:lang w:val="fr-CA"/>
        </w:rPr>
        <w:footnoteRef/>
      </w:r>
      <w:r w:rsidRPr="003B5A98">
        <w:rPr>
          <w:szCs w:val="18"/>
          <w:lang w:val="fr-CA"/>
        </w:rPr>
        <w:t xml:space="preserve"> La grille est publiée sur le site </w:t>
      </w:r>
      <w:r w:rsidRPr="003B5A98">
        <w:rPr>
          <w:kern w:val="18"/>
          <w:szCs w:val="18"/>
          <w:lang w:val="fr-CA"/>
        </w:rPr>
        <w:t>http://bch.cbd.int/protocol/issues/final_evaluation.shtml.</w:t>
      </w:r>
    </w:p>
  </w:footnote>
  <w:footnote w:id="6">
    <w:p w14:paraId="76E5C21A" w14:textId="1AE4127C" w:rsidR="00BE752D" w:rsidRPr="0097392C" w:rsidRDefault="00BE752D" w:rsidP="00C4544F">
      <w:pPr>
        <w:pStyle w:val="FootnoteText"/>
        <w:suppressLineNumbers/>
        <w:suppressAutoHyphens/>
        <w:ind w:firstLine="0"/>
        <w:jc w:val="left"/>
        <w:rPr>
          <w:kern w:val="18"/>
          <w:szCs w:val="18"/>
          <w:lang w:val="fr-CA"/>
        </w:rPr>
      </w:pPr>
      <w:r w:rsidRPr="00C4544F">
        <w:rPr>
          <w:rStyle w:val="FootnoteReference"/>
          <w:kern w:val="18"/>
          <w:sz w:val="18"/>
          <w:szCs w:val="18"/>
        </w:rPr>
        <w:footnoteRef/>
      </w:r>
      <w:r w:rsidRPr="0097392C">
        <w:rPr>
          <w:kern w:val="18"/>
          <w:szCs w:val="18"/>
          <w:lang w:val="fr-CA"/>
        </w:rPr>
        <w:t xml:space="preserve"> </w:t>
      </w:r>
      <w:r>
        <w:rPr>
          <w:kern w:val="18"/>
          <w:szCs w:val="18"/>
          <w:lang w:val="fr-CA"/>
        </w:rPr>
        <w:t>L’analyse comparative des données d’information pour la troisième évaluation et examen du Protocole et l’évaluation à mi-mandat du Plan stratégique a été préparée à partir des données de 105 rapports nationaux (voir le document</w:t>
      </w:r>
      <w:r w:rsidRPr="0097392C">
        <w:rPr>
          <w:kern w:val="18"/>
          <w:szCs w:val="18"/>
          <w:lang w:val="fr-CA"/>
        </w:rPr>
        <w:t>: UNEP/CBD/SBI/1/4</w:t>
      </w:r>
      <w:r>
        <w:rPr>
          <w:kern w:val="18"/>
          <w:szCs w:val="18"/>
          <w:lang w:val="fr-CA"/>
        </w:rPr>
        <w:t>)</w:t>
      </w:r>
      <w:r w:rsidRPr="0097392C">
        <w:rPr>
          <w:kern w:val="18"/>
          <w:szCs w:val="18"/>
          <w:lang w:val="fr-CA"/>
        </w:rPr>
        <w:t>.</w:t>
      </w:r>
    </w:p>
  </w:footnote>
  <w:footnote w:id="7">
    <w:p w14:paraId="6A3E0D1B" w14:textId="71AD68B6" w:rsidR="00BE752D" w:rsidRPr="0097392C" w:rsidRDefault="00BE752D" w:rsidP="00C4544F">
      <w:pPr>
        <w:pStyle w:val="FootnoteText"/>
        <w:suppressLineNumbers/>
        <w:suppressAutoHyphens/>
        <w:ind w:firstLine="0"/>
        <w:jc w:val="left"/>
        <w:rPr>
          <w:kern w:val="18"/>
          <w:szCs w:val="18"/>
          <w:lang w:val="fr-CA"/>
        </w:rPr>
      </w:pPr>
      <w:r w:rsidRPr="0097392C">
        <w:rPr>
          <w:rStyle w:val="FootnoteReference"/>
          <w:kern w:val="18"/>
          <w:sz w:val="18"/>
          <w:szCs w:val="18"/>
          <w:lang w:val="fr-CA"/>
        </w:rPr>
        <w:footnoteRef/>
      </w:r>
      <w:r w:rsidRPr="0097392C">
        <w:rPr>
          <w:kern w:val="18"/>
          <w:szCs w:val="18"/>
          <w:lang w:val="fr-CA"/>
        </w:rPr>
        <w:t xml:space="preserve"> </w:t>
      </w:r>
      <w:r>
        <w:rPr>
          <w:kern w:val="18"/>
          <w:szCs w:val="18"/>
          <w:lang w:val="fr-CA"/>
        </w:rPr>
        <w:t>Les recommandations sont présentées dans le rapport de synthèse des travaux du Comité à ses seizième et dix-septième réunions, qui avait été mis à la disposition de la Conférence des Parties siégeant en tant que réunion des Parties au Protocole à sa dixième réunion</w:t>
      </w:r>
      <w:r w:rsidRPr="0097392C">
        <w:rPr>
          <w:kern w:val="18"/>
          <w:szCs w:val="18"/>
          <w:lang w:val="fr-CA"/>
        </w:rPr>
        <w:t xml:space="preserve">. </w:t>
      </w:r>
    </w:p>
  </w:footnote>
  <w:footnote w:id="8">
    <w:p w14:paraId="72E79266" w14:textId="6476C62E" w:rsidR="00BE752D" w:rsidRPr="00FB3881" w:rsidRDefault="00BE752D" w:rsidP="00C4544F">
      <w:pPr>
        <w:pStyle w:val="FootnoteText"/>
        <w:suppressLineNumbers/>
        <w:suppressAutoHyphens/>
        <w:ind w:firstLine="0"/>
        <w:jc w:val="left"/>
        <w:rPr>
          <w:kern w:val="18"/>
          <w:szCs w:val="18"/>
          <w:lang w:val="fr-CA"/>
        </w:rPr>
      </w:pPr>
      <w:r w:rsidRPr="00C4544F">
        <w:rPr>
          <w:rStyle w:val="FootnoteReference"/>
          <w:kern w:val="18"/>
          <w:sz w:val="18"/>
          <w:szCs w:val="18"/>
        </w:rPr>
        <w:footnoteRef/>
      </w:r>
      <w:r w:rsidRPr="00FB3881">
        <w:rPr>
          <w:kern w:val="18"/>
          <w:szCs w:val="18"/>
          <w:lang w:val="fr-CA"/>
        </w:rPr>
        <w:t xml:space="preserve"> </w:t>
      </w:r>
      <w:r>
        <w:rPr>
          <w:kern w:val="18"/>
          <w:szCs w:val="18"/>
          <w:lang w:val="fr-CA"/>
        </w:rPr>
        <w:t>C’est la raison pour laquelle</w:t>
      </w:r>
      <w:r w:rsidRPr="003470E4">
        <w:rPr>
          <w:kern w:val="18"/>
          <w:szCs w:val="18"/>
          <w:lang w:val="fr-CA"/>
        </w:rPr>
        <w:t xml:space="preserve"> les décisions des Parties concernant les mouvements</w:t>
      </w:r>
      <w:r>
        <w:rPr>
          <w:kern w:val="18"/>
          <w:szCs w:val="18"/>
          <w:lang w:val="fr-CA"/>
        </w:rPr>
        <w:t xml:space="preserve"> transfrontières des OVM aux fins d’</w:t>
      </w:r>
      <w:r w:rsidRPr="003470E4">
        <w:rPr>
          <w:kern w:val="18"/>
          <w:szCs w:val="18"/>
          <w:lang w:val="fr-CA"/>
        </w:rPr>
        <w:t xml:space="preserve">introduction intentionnelle dans l’environnement (au titre de l’article 11 du Protocole) et </w:t>
      </w:r>
      <w:r>
        <w:rPr>
          <w:kern w:val="18"/>
          <w:szCs w:val="18"/>
          <w:lang w:val="fr-CA"/>
        </w:rPr>
        <w:t>les décisions</w:t>
      </w:r>
      <w:r w:rsidRPr="003470E4">
        <w:rPr>
          <w:kern w:val="18"/>
          <w:szCs w:val="18"/>
          <w:lang w:val="fr-CA"/>
        </w:rPr>
        <w:t xml:space="preserve"> concernant l’importation ou l’utilisation au pays des OVM destinés directement à l’alim</w:t>
      </w:r>
      <w:r>
        <w:rPr>
          <w:kern w:val="18"/>
          <w:szCs w:val="18"/>
          <w:lang w:val="fr-CA"/>
        </w:rPr>
        <w:t xml:space="preserve">entation humaine ou animale ou </w:t>
      </w:r>
      <w:r w:rsidRPr="003470E4">
        <w:rPr>
          <w:kern w:val="18"/>
          <w:szCs w:val="18"/>
          <w:lang w:val="fr-CA"/>
        </w:rPr>
        <w:t>à la transformation (au titre de l’article 11 du Protocole ou du cadre national) ont été examinées. Des vérifications ont été faites en lien avec ces décision</w:t>
      </w:r>
      <w:r>
        <w:rPr>
          <w:kern w:val="18"/>
          <w:szCs w:val="18"/>
          <w:lang w:val="fr-CA"/>
        </w:rPr>
        <w:t>,</w:t>
      </w:r>
      <w:r w:rsidRPr="003470E4">
        <w:rPr>
          <w:kern w:val="18"/>
          <w:szCs w:val="18"/>
          <w:lang w:val="fr-CA"/>
        </w:rPr>
        <w:t xml:space="preserve"> afin de savoir si un rapport correspondant sur l’évaluation des risques avait été remis au centre d'échange sur la prévention des risques biotechnologiques</w:t>
      </w:r>
      <w:r w:rsidRPr="00FB3881">
        <w:rPr>
          <w:kern w:val="18"/>
          <w:szCs w:val="18"/>
          <w:lang w:val="fr-CA"/>
        </w:rPr>
        <w:t>.</w:t>
      </w:r>
    </w:p>
  </w:footnote>
  <w:footnote w:id="9">
    <w:p w14:paraId="6755CF85" w14:textId="5577A638" w:rsidR="00BE752D" w:rsidRPr="00D70C1C" w:rsidRDefault="00BE752D" w:rsidP="00C4544F">
      <w:pPr>
        <w:pStyle w:val="FootnoteText"/>
        <w:suppressLineNumbers/>
        <w:suppressAutoHyphens/>
        <w:ind w:firstLine="0"/>
        <w:jc w:val="left"/>
        <w:rPr>
          <w:kern w:val="18"/>
          <w:szCs w:val="18"/>
          <w:lang w:val="fr-CA"/>
        </w:rPr>
      </w:pPr>
      <w:r w:rsidRPr="00C4544F">
        <w:rPr>
          <w:rStyle w:val="FootnoteReference"/>
          <w:kern w:val="18"/>
          <w:sz w:val="18"/>
          <w:szCs w:val="18"/>
        </w:rPr>
        <w:footnoteRef/>
      </w:r>
      <w:r w:rsidRPr="00B971E5">
        <w:rPr>
          <w:kern w:val="18"/>
          <w:szCs w:val="18"/>
          <w:lang w:val="fr-CA"/>
        </w:rPr>
        <w:t xml:space="preserve"> </w:t>
      </w:r>
      <w:r w:rsidRPr="00D70C1C">
        <w:rPr>
          <w:kern w:val="18"/>
          <w:szCs w:val="18"/>
          <w:lang w:val="fr-CA"/>
        </w:rPr>
        <w:t>Ces décisions portent sur les mouvements transfrontières d</w:t>
      </w:r>
      <w:r w:rsidR="009F4E09">
        <w:rPr>
          <w:kern w:val="18"/>
          <w:szCs w:val="18"/>
          <w:lang w:val="fr-CA"/>
        </w:rPr>
        <w:t>’</w:t>
      </w:r>
      <w:r w:rsidRPr="00D70C1C">
        <w:rPr>
          <w:kern w:val="18"/>
          <w:szCs w:val="18"/>
          <w:lang w:val="fr-CA"/>
        </w:rPr>
        <w:t>OVM aux fins d’introduction intentionnelle dans l’environnement (au titre de l’article 10 du Protocole) et l’importation ou l’utilisation au pays d’OVM destinés à être utilisés directement pour l’alimentation humaine ou animale ou la transformation (au titre de l’article 11 du Protocole ou du cadre national).</w:t>
      </w:r>
    </w:p>
  </w:footnote>
  <w:footnote w:id="10">
    <w:p w14:paraId="77B15B5D" w14:textId="1F653343" w:rsidR="00BE752D" w:rsidRPr="00061CE0" w:rsidRDefault="00BE752D" w:rsidP="00C4544F">
      <w:pPr>
        <w:pStyle w:val="FootnoteText"/>
        <w:suppressLineNumbers/>
        <w:suppressAutoHyphens/>
        <w:ind w:firstLine="0"/>
        <w:jc w:val="left"/>
        <w:rPr>
          <w:kern w:val="18"/>
          <w:szCs w:val="18"/>
          <w:lang w:val="fr-CA"/>
        </w:rPr>
      </w:pPr>
      <w:r w:rsidRPr="00C4544F">
        <w:rPr>
          <w:rStyle w:val="FootnoteReference"/>
          <w:rFonts w:eastAsiaTheme="majorEastAsia"/>
          <w:kern w:val="18"/>
          <w:sz w:val="18"/>
          <w:szCs w:val="18"/>
        </w:rPr>
        <w:footnoteRef/>
      </w:r>
      <w:r w:rsidRPr="00061CE0">
        <w:rPr>
          <w:kern w:val="18"/>
          <w:szCs w:val="18"/>
          <w:lang w:val="fr-CA"/>
        </w:rPr>
        <w:t xml:space="preserve"> </w:t>
      </w:r>
      <w:r w:rsidRPr="00BC0757">
        <w:rPr>
          <w:kern w:val="18"/>
          <w:szCs w:val="18"/>
          <w:lang w:val="fr-CA"/>
        </w:rPr>
        <w:t>La décision BS-V/1 a permis au Comité d’envisager de prendre certaines mesures au titre de la partie VI des procédures et mécanismes pour la conformité (annexe à la décision BS-1/7) lorsqu’une Partie omet de remettre son rapport national ou que des informations du centre d'échange sur la prévention des risques biotechnologiques ont été reçues par le biais d’un rapport national ou par le Secrétariat, indiquant que la Partie en question éprouve des difficultés à respecter ses obligations au titre du Protocole</w:t>
      </w:r>
      <w:r w:rsidRPr="00061CE0">
        <w:rPr>
          <w:kern w:val="18"/>
          <w:szCs w:val="18"/>
          <w:lang w:val="fr-CA"/>
        </w:rPr>
        <w:t>.</w:t>
      </w:r>
    </w:p>
  </w:footnote>
  <w:footnote w:id="11">
    <w:p w14:paraId="6A0AFBB0" w14:textId="629A7130" w:rsidR="00BE752D" w:rsidRPr="0070605C" w:rsidRDefault="00BE752D" w:rsidP="00C4544F">
      <w:pPr>
        <w:pStyle w:val="FootnoteText"/>
        <w:suppressLineNumbers/>
        <w:suppressAutoHyphens/>
        <w:ind w:firstLine="0"/>
        <w:jc w:val="left"/>
        <w:rPr>
          <w:kern w:val="18"/>
          <w:szCs w:val="18"/>
          <w:lang w:val="fr-CA"/>
        </w:rPr>
      </w:pPr>
      <w:r w:rsidRPr="00C4544F">
        <w:rPr>
          <w:rStyle w:val="FootnoteReference"/>
          <w:rFonts w:eastAsiaTheme="majorEastAsia"/>
          <w:kern w:val="18"/>
          <w:sz w:val="18"/>
          <w:szCs w:val="18"/>
        </w:rPr>
        <w:footnoteRef/>
      </w:r>
      <w:r w:rsidRPr="0070605C">
        <w:rPr>
          <w:kern w:val="18"/>
          <w:szCs w:val="18"/>
          <w:lang w:val="fr-CA"/>
        </w:rPr>
        <w:t xml:space="preserve"> CBD/CP/CC/15/4.</w:t>
      </w:r>
    </w:p>
  </w:footnote>
  <w:footnote w:id="12">
    <w:p w14:paraId="60E58C58" w14:textId="6DDF4B81" w:rsidR="00BE752D" w:rsidRPr="00E65EBB" w:rsidRDefault="00BE752D" w:rsidP="00C4544F">
      <w:pPr>
        <w:pStyle w:val="FootnoteText"/>
        <w:suppressLineNumbers/>
        <w:suppressAutoHyphens/>
        <w:ind w:firstLine="0"/>
        <w:jc w:val="left"/>
        <w:rPr>
          <w:kern w:val="18"/>
          <w:szCs w:val="18"/>
          <w:lang w:val="fr-CA"/>
        </w:rPr>
      </w:pPr>
      <w:r w:rsidRPr="00C4544F">
        <w:rPr>
          <w:rStyle w:val="FootnoteReference"/>
          <w:kern w:val="18"/>
          <w:sz w:val="18"/>
          <w:szCs w:val="18"/>
        </w:rPr>
        <w:footnoteRef/>
      </w:r>
      <w:r w:rsidRPr="00E65EBB">
        <w:rPr>
          <w:kern w:val="18"/>
          <w:szCs w:val="18"/>
          <w:lang w:val="fr-CA"/>
        </w:rPr>
        <w:t xml:space="preserve"> </w:t>
      </w:r>
      <w:r>
        <w:rPr>
          <w:kern w:val="18"/>
          <w:szCs w:val="18"/>
          <w:lang w:val="fr-CA"/>
        </w:rPr>
        <w:t>C’est la raison pour laquelle les décisions concernant les mouvements transfrontières des OVM destinés à être introduits dans l’environnement (au titre de l’article 10 du Protocole) et les décisions sur l’importation ou l’utilisation au pays d’OVM destinés à être utilisés directement pour l’alimentation humaine ou animale ou la transformation (au titre de l’article 11 du Protocole ou du cadre national) ont été examinées</w:t>
      </w:r>
      <w:r w:rsidRPr="00E65EBB">
        <w:rPr>
          <w:kern w:val="18"/>
          <w:szCs w:val="18"/>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7C45C677" w:rsidR="00BE752D" w:rsidRPr="00134846" w:rsidRDefault="00BE752D" w:rsidP="00534681">
        <w:pPr>
          <w:pStyle w:val="Header"/>
          <w:rPr>
            <w:lang w:val="fr-FR"/>
          </w:rPr>
        </w:pPr>
        <w:r>
          <w:rPr>
            <w:lang w:val="fr-FR"/>
          </w:rPr>
          <w:t>CBD/SBI/3/3</w:t>
        </w:r>
      </w:p>
    </w:sdtContent>
  </w:sdt>
  <w:p w14:paraId="1E0FDE0B" w14:textId="77777777" w:rsidR="00BE752D" w:rsidRPr="00134846" w:rsidRDefault="00BE752D"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392947">
      <w:rPr>
        <w:noProof/>
        <w:lang w:val="fr-FR"/>
      </w:rPr>
      <w:t>18</w:t>
    </w:r>
    <w:r>
      <w:rPr>
        <w:noProof/>
      </w:rPr>
      <w:fldChar w:fldCharType="end"/>
    </w:r>
  </w:p>
  <w:p w14:paraId="61C60697" w14:textId="77777777" w:rsidR="00BE752D" w:rsidRPr="00134846" w:rsidRDefault="00BE752D">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578C5A97" w:rsidR="00BE752D" w:rsidRPr="00134846" w:rsidRDefault="00BE752D" w:rsidP="00C4544F">
        <w:pPr>
          <w:pStyle w:val="Header"/>
          <w:jc w:val="right"/>
          <w:rPr>
            <w:lang w:val="fr-FR"/>
          </w:rPr>
        </w:pPr>
        <w:r>
          <w:rPr>
            <w:lang w:val="fr-FR"/>
          </w:rPr>
          <w:t>CBD/SBI/3/3</w:t>
        </w:r>
      </w:p>
    </w:sdtContent>
  </w:sdt>
  <w:p w14:paraId="64AE8439" w14:textId="77777777" w:rsidR="00BE752D" w:rsidRPr="00134846" w:rsidRDefault="00BE752D" w:rsidP="00C4544F">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392947">
      <w:rPr>
        <w:noProof/>
        <w:lang w:val="fr-FR"/>
      </w:rPr>
      <w:t>19</w:t>
    </w:r>
    <w:r>
      <w:rPr>
        <w:noProof/>
      </w:rPr>
      <w:fldChar w:fldCharType="end"/>
    </w:r>
  </w:p>
  <w:p w14:paraId="16137B8A" w14:textId="77777777" w:rsidR="00BE752D" w:rsidRPr="00134846" w:rsidRDefault="00BE752D" w:rsidP="00C4544F">
    <w:pPr>
      <w:pStyle w:val="Header"/>
      <w:jc w:val="righ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687B"/>
    <w:multiLevelType w:val="hybridMultilevel"/>
    <w:tmpl w:val="8EC8062C"/>
    <w:lvl w:ilvl="0" w:tplc="1009000F">
      <w:start w:val="1"/>
      <w:numFmt w:val="decimal"/>
      <w:lvlText w:val="%1."/>
      <w:lvlJc w:val="left"/>
      <w:pPr>
        <w:ind w:left="1772" w:hanging="360"/>
      </w:pPr>
      <w:rPr>
        <w:rFonts w:hint="default"/>
      </w:rPr>
    </w:lvl>
    <w:lvl w:ilvl="1" w:tplc="10090019" w:tentative="1">
      <w:start w:val="1"/>
      <w:numFmt w:val="lowerLetter"/>
      <w:lvlText w:val="%2."/>
      <w:lvlJc w:val="left"/>
      <w:pPr>
        <w:ind w:left="2492" w:hanging="360"/>
      </w:pPr>
    </w:lvl>
    <w:lvl w:ilvl="2" w:tplc="1009001B">
      <w:start w:val="1"/>
      <w:numFmt w:val="lowerRoman"/>
      <w:lvlText w:val="%3."/>
      <w:lvlJc w:val="right"/>
      <w:pPr>
        <w:ind w:left="3212" w:hanging="180"/>
      </w:pPr>
    </w:lvl>
    <w:lvl w:ilvl="3" w:tplc="1009000F" w:tentative="1">
      <w:start w:val="1"/>
      <w:numFmt w:val="decimal"/>
      <w:lvlText w:val="%4."/>
      <w:lvlJc w:val="left"/>
      <w:pPr>
        <w:ind w:left="3932" w:hanging="360"/>
      </w:pPr>
    </w:lvl>
    <w:lvl w:ilvl="4" w:tplc="10090019" w:tentative="1">
      <w:start w:val="1"/>
      <w:numFmt w:val="lowerLetter"/>
      <w:lvlText w:val="%5."/>
      <w:lvlJc w:val="left"/>
      <w:pPr>
        <w:ind w:left="4652" w:hanging="360"/>
      </w:pPr>
    </w:lvl>
    <w:lvl w:ilvl="5" w:tplc="1009001B" w:tentative="1">
      <w:start w:val="1"/>
      <w:numFmt w:val="lowerRoman"/>
      <w:lvlText w:val="%6."/>
      <w:lvlJc w:val="right"/>
      <w:pPr>
        <w:ind w:left="5372" w:hanging="180"/>
      </w:pPr>
    </w:lvl>
    <w:lvl w:ilvl="6" w:tplc="1009000F" w:tentative="1">
      <w:start w:val="1"/>
      <w:numFmt w:val="decimal"/>
      <w:lvlText w:val="%7."/>
      <w:lvlJc w:val="left"/>
      <w:pPr>
        <w:ind w:left="6092" w:hanging="360"/>
      </w:pPr>
    </w:lvl>
    <w:lvl w:ilvl="7" w:tplc="10090019" w:tentative="1">
      <w:start w:val="1"/>
      <w:numFmt w:val="lowerLetter"/>
      <w:lvlText w:val="%8."/>
      <w:lvlJc w:val="left"/>
      <w:pPr>
        <w:ind w:left="6812" w:hanging="360"/>
      </w:pPr>
    </w:lvl>
    <w:lvl w:ilvl="8" w:tplc="1009001B" w:tentative="1">
      <w:start w:val="1"/>
      <w:numFmt w:val="lowerRoman"/>
      <w:lvlText w:val="%9."/>
      <w:lvlJc w:val="right"/>
      <w:pPr>
        <w:ind w:left="7532" w:hanging="180"/>
      </w:pPr>
    </w:lvl>
  </w:abstractNum>
  <w:abstractNum w:abstractNumId="1" w15:restartNumberingAfterBreak="0">
    <w:nsid w:val="06966ADA"/>
    <w:multiLevelType w:val="hybridMultilevel"/>
    <w:tmpl w:val="8EC8062C"/>
    <w:lvl w:ilvl="0" w:tplc="1009000F">
      <w:start w:val="1"/>
      <w:numFmt w:val="decimal"/>
      <w:lvlText w:val="%1."/>
      <w:lvlJc w:val="left"/>
      <w:pPr>
        <w:ind w:left="1772" w:hanging="360"/>
      </w:pPr>
      <w:rPr>
        <w:rFonts w:hint="default"/>
      </w:rPr>
    </w:lvl>
    <w:lvl w:ilvl="1" w:tplc="10090019" w:tentative="1">
      <w:start w:val="1"/>
      <w:numFmt w:val="lowerLetter"/>
      <w:lvlText w:val="%2."/>
      <w:lvlJc w:val="left"/>
      <w:pPr>
        <w:ind w:left="2492" w:hanging="360"/>
      </w:pPr>
    </w:lvl>
    <w:lvl w:ilvl="2" w:tplc="1009001B">
      <w:start w:val="1"/>
      <w:numFmt w:val="lowerRoman"/>
      <w:lvlText w:val="%3."/>
      <w:lvlJc w:val="right"/>
      <w:pPr>
        <w:ind w:left="3212" w:hanging="180"/>
      </w:pPr>
    </w:lvl>
    <w:lvl w:ilvl="3" w:tplc="1009000F" w:tentative="1">
      <w:start w:val="1"/>
      <w:numFmt w:val="decimal"/>
      <w:lvlText w:val="%4."/>
      <w:lvlJc w:val="left"/>
      <w:pPr>
        <w:ind w:left="3932" w:hanging="360"/>
      </w:pPr>
    </w:lvl>
    <w:lvl w:ilvl="4" w:tplc="10090019" w:tentative="1">
      <w:start w:val="1"/>
      <w:numFmt w:val="lowerLetter"/>
      <w:lvlText w:val="%5."/>
      <w:lvlJc w:val="left"/>
      <w:pPr>
        <w:ind w:left="4652" w:hanging="360"/>
      </w:pPr>
    </w:lvl>
    <w:lvl w:ilvl="5" w:tplc="1009001B" w:tentative="1">
      <w:start w:val="1"/>
      <w:numFmt w:val="lowerRoman"/>
      <w:lvlText w:val="%6."/>
      <w:lvlJc w:val="right"/>
      <w:pPr>
        <w:ind w:left="5372" w:hanging="180"/>
      </w:pPr>
    </w:lvl>
    <w:lvl w:ilvl="6" w:tplc="1009000F" w:tentative="1">
      <w:start w:val="1"/>
      <w:numFmt w:val="decimal"/>
      <w:lvlText w:val="%7."/>
      <w:lvlJc w:val="left"/>
      <w:pPr>
        <w:ind w:left="6092" w:hanging="360"/>
      </w:pPr>
    </w:lvl>
    <w:lvl w:ilvl="7" w:tplc="10090019" w:tentative="1">
      <w:start w:val="1"/>
      <w:numFmt w:val="lowerLetter"/>
      <w:lvlText w:val="%8."/>
      <w:lvlJc w:val="left"/>
      <w:pPr>
        <w:ind w:left="6812" w:hanging="360"/>
      </w:pPr>
    </w:lvl>
    <w:lvl w:ilvl="8" w:tplc="1009001B" w:tentative="1">
      <w:start w:val="1"/>
      <w:numFmt w:val="lowerRoman"/>
      <w:lvlText w:val="%9."/>
      <w:lvlJc w:val="right"/>
      <w:pPr>
        <w:ind w:left="7532" w:hanging="180"/>
      </w:pPr>
    </w:lvl>
  </w:abstractNum>
  <w:abstractNum w:abstractNumId="2" w15:restartNumberingAfterBreak="0">
    <w:nsid w:val="0A2B509C"/>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50F30"/>
    <w:multiLevelType w:val="multilevel"/>
    <w:tmpl w:val="4E18595C"/>
    <w:lvl w:ilvl="0">
      <w:start w:val="1"/>
      <w:numFmt w:val="decimal"/>
      <w:lvlText w:val="%1."/>
      <w:lvlJc w:val="left"/>
      <w:pPr>
        <w:tabs>
          <w:tab w:val="num" w:pos="3240"/>
        </w:tabs>
        <w:ind w:left="3240" w:hanging="360"/>
      </w:pPr>
      <w:rPr>
        <w:b w:val="0"/>
        <w:bCs/>
        <w:i w:val="0"/>
        <w:iCs/>
      </w:rPr>
    </w:lvl>
    <w:lvl w:ilvl="1">
      <w:start w:val="1"/>
      <w:numFmt w:val="decimal"/>
      <w:lvlText w:val="%2."/>
      <w:lvlJc w:val="left"/>
      <w:pPr>
        <w:tabs>
          <w:tab w:val="num" w:pos="3960"/>
        </w:tabs>
        <w:ind w:left="3960" w:hanging="360"/>
      </w:pPr>
    </w:lvl>
    <w:lvl w:ilvl="2">
      <w:start w:val="1"/>
      <w:numFmt w:val="upperLetter"/>
      <w:lvlText w:val="%3."/>
      <w:lvlJc w:val="left"/>
      <w:pPr>
        <w:ind w:left="4680" w:hanging="360"/>
      </w:pPr>
      <w:rPr>
        <w:rFonts w:hint="default"/>
      </w:rPr>
    </w:lvl>
    <w:lvl w:ilvl="3">
      <w:start w:val="1"/>
      <w:numFmt w:val="lowerLetter"/>
      <w:lvlText w:val="(%4)"/>
      <w:lvlJc w:val="left"/>
      <w:pPr>
        <w:ind w:left="5040" w:firstLine="0"/>
      </w:pPr>
      <w:rPr>
        <w:rFonts w:hint="default"/>
      </w:rPr>
    </w:lvl>
    <w:lvl w:ilvl="4" w:tentative="1">
      <w:start w:val="1"/>
      <w:numFmt w:val="decimal"/>
      <w:lvlText w:val="%5."/>
      <w:lvlJc w:val="left"/>
      <w:pPr>
        <w:tabs>
          <w:tab w:val="num" w:pos="6120"/>
        </w:tabs>
        <w:ind w:left="6120" w:hanging="360"/>
      </w:pPr>
    </w:lvl>
    <w:lvl w:ilvl="5" w:tentative="1">
      <w:start w:val="1"/>
      <w:numFmt w:val="decimal"/>
      <w:lvlText w:val="%6."/>
      <w:lvlJc w:val="left"/>
      <w:pPr>
        <w:tabs>
          <w:tab w:val="num" w:pos="6840"/>
        </w:tabs>
        <w:ind w:left="6840" w:hanging="360"/>
      </w:pPr>
    </w:lvl>
    <w:lvl w:ilvl="6" w:tentative="1">
      <w:start w:val="1"/>
      <w:numFmt w:val="decimal"/>
      <w:lvlText w:val="%7."/>
      <w:lvlJc w:val="left"/>
      <w:pPr>
        <w:tabs>
          <w:tab w:val="num" w:pos="7560"/>
        </w:tabs>
        <w:ind w:left="7560" w:hanging="360"/>
      </w:pPr>
    </w:lvl>
    <w:lvl w:ilvl="7" w:tentative="1">
      <w:start w:val="1"/>
      <w:numFmt w:val="decimal"/>
      <w:lvlText w:val="%8."/>
      <w:lvlJc w:val="left"/>
      <w:pPr>
        <w:tabs>
          <w:tab w:val="num" w:pos="8280"/>
        </w:tabs>
        <w:ind w:left="8280" w:hanging="360"/>
      </w:pPr>
    </w:lvl>
    <w:lvl w:ilvl="8" w:tentative="1">
      <w:start w:val="1"/>
      <w:numFmt w:val="decimal"/>
      <w:lvlText w:val="%9."/>
      <w:lvlJc w:val="left"/>
      <w:pPr>
        <w:tabs>
          <w:tab w:val="num" w:pos="9000"/>
        </w:tabs>
        <w:ind w:left="9000" w:hanging="360"/>
      </w:pPr>
    </w:lvl>
  </w:abstractNum>
  <w:abstractNum w:abstractNumId="6" w15:restartNumberingAfterBreak="0">
    <w:nsid w:val="13FB3A59"/>
    <w:multiLevelType w:val="hybridMultilevel"/>
    <w:tmpl w:val="8EC8062C"/>
    <w:lvl w:ilvl="0" w:tplc="1009000F">
      <w:start w:val="1"/>
      <w:numFmt w:val="decimal"/>
      <w:lvlText w:val="%1."/>
      <w:lvlJc w:val="left"/>
      <w:pPr>
        <w:ind w:left="1772" w:hanging="360"/>
      </w:pPr>
      <w:rPr>
        <w:rFonts w:hint="default"/>
      </w:rPr>
    </w:lvl>
    <w:lvl w:ilvl="1" w:tplc="10090019" w:tentative="1">
      <w:start w:val="1"/>
      <w:numFmt w:val="lowerLetter"/>
      <w:lvlText w:val="%2."/>
      <w:lvlJc w:val="left"/>
      <w:pPr>
        <w:ind w:left="2492" w:hanging="360"/>
      </w:pPr>
    </w:lvl>
    <w:lvl w:ilvl="2" w:tplc="1009001B">
      <w:start w:val="1"/>
      <w:numFmt w:val="lowerRoman"/>
      <w:lvlText w:val="%3."/>
      <w:lvlJc w:val="right"/>
      <w:pPr>
        <w:ind w:left="3212" w:hanging="180"/>
      </w:pPr>
    </w:lvl>
    <w:lvl w:ilvl="3" w:tplc="1009000F" w:tentative="1">
      <w:start w:val="1"/>
      <w:numFmt w:val="decimal"/>
      <w:lvlText w:val="%4."/>
      <w:lvlJc w:val="left"/>
      <w:pPr>
        <w:ind w:left="3932" w:hanging="360"/>
      </w:pPr>
    </w:lvl>
    <w:lvl w:ilvl="4" w:tplc="10090019" w:tentative="1">
      <w:start w:val="1"/>
      <w:numFmt w:val="lowerLetter"/>
      <w:lvlText w:val="%5."/>
      <w:lvlJc w:val="left"/>
      <w:pPr>
        <w:ind w:left="4652" w:hanging="360"/>
      </w:pPr>
    </w:lvl>
    <w:lvl w:ilvl="5" w:tplc="1009001B" w:tentative="1">
      <w:start w:val="1"/>
      <w:numFmt w:val="lowerRoman"/>
      <w:lvlText w:val="%6."/>
      <w:lvlJc w:val="right"/>
      <w:pPr>
        <w:ind w:left="5372" w:hanging="180"/>
      </w:pPr>
    </w:lvl>
    <w:lvl w:ilvl="6" w:tplc="1009000F" w:tentative="1">
      <w:start w:val="1"/>
      <w:numFmt w:val="decimal"/>
      <w:lvlText w:val="%7."/>
      <w:lvlJc w:val="left"/>
      <w:pPr>
        <w:ind w:left="6092" w:hanging="360"/>
      </w:pPr>
    </w:lvl>
    <w:lvl w:ilvl="7" w:tplc="10090019" w:tentative="1">
      <w:start w:val="1"/>
      <w:numFmt w:val="lowerLetter"/>
      <w:lvlText w:val="%8."/>
      <w:lvlJc w:val="left"/>
      <w:pPr>
        <w:ind w:left="6812" w:hanging="360"/>
      </w:pPr>
    </w:lvl>
    <w:lvl w:ilvl="8" w:tplc="1009001B" w:tentative="1">
      <w:start w:val="1"/>
      <w:numFmt w:val="lowerRoman"/>
      <w:lvlText w:val="%9."/>
      <w:lvlJc w:val="right"/>
      <w:pPr>
        <w:ind w:left="7532" w:hanging="180"/>
      </w:pPr>
    </w:lvl>
  </w:abstractNum>
  <w:abstractNum w:abstractNumId="7"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49D6445"/>
    <w:multiLevelType w:val="multilevel"/>
    <w:tmpl w:val="8410BE3A"/>
    <w:lvl w:ilvl="0">
      <w:start w:val="1"/>
      <w:numFmt w:val="decimal"/>
      <w:lvlText w:val="%1."/>
      <w:lvlJc w:val="left"/>
      <w:pPr>
        <w:tabs>
          <w:tab w:val="num" w:pos="644"/>
        </w:tabs>
        <w:ind w:left="284" w:firstLine="0"/>
      </w:pPr>
      <w:rPr>
        <w:rFonts w:ascii="Times New Roman" w:hAnsi="Times New Roman" w:cs="Times New Roman" w:hint="default"/>
        <w:b w:val="0"/>
        <w:i w:val="0"/>
        <w:sz w:val="22"/>
        <w:lang w:val="en-GB"/>
      </w:rPr>
    </w:lvl>
    <w:lvl w:ilvl="1">
      <w:start w:val="1"/>
      <w:numFmt w:val="lowerLetter"/>
      <w:lvlText w:val="(%2)"/>
      <w:lvlJc w:val="left"/>
      <w:pPr>
        <w:tabs>
          <w:tab w:val="num" w:pos="1570"/>
        </w:tabs>
        <w:ind w:left="490" w:firstLine="720"/>
      </w:pPr>
      <w:rPr>
        <w:rFonts w:hint="default"/>
        <w:b w:val="0"/>
        <w:bCs w:val="0"/>
        <w:i w:val="0"/>
        <w:iCs/>
      </w:rPr>
    </w:lvl>
    <w:lvl w:ilvl="2">
      <w:start w:val="1"/>
      <w:numFmt w:val="decimal"/>
      <w:lvlText w:val="%3."/>
      <w:lvlJc w:val="lef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2EF46F3"/>
    <w:multiLevelType w:val="multilevel"/>
    <w:tmpl w:val="BB6A7202"/>
    <w:lvl w:ilvl="0">
      <w:start w:val="1"/>
      <w:numFmt w:val="upperLetter"/>
      <w:lvlText w:val="%1."/>
      <w:lvlJc w:val="left"/>
      <w:pPr>
        <w:tabs>
          <w:tab w:val="num" w:pos="2070"/>
        </w:tabs>
        <w:ind w:left="2070" w:hanging="360"/>
      </w:pPr>
      <w:rPr>
        <w:rFonts w:hint="default"/>
        <w:b/>
        <w:bCs/>
        <w:i w:val="0"/>
        <w:iCs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38E4499C"/>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9678F9"/>
    <w:multiLevelType w:val="multilevel"/>
    <w:tmpl w:val="E92E1732"/>
    <w:lvl w:ilvl="0">
      <w:start w:val="4"/>
      <w:numFmt w:val="upperLetter"/>
      <w:lvlText w:val="%1."/>
      <w:lvlJc w:val="left"/>
      <w:pPr>
        <w:tabs>
          <w:tab w:val="num" w:pos="2070"/>
        </w:tabs>
        <w:ind w:left="2070" w:hanging="360"/>
      </w:pPr>
      <w:rPr>
        <w:rFonts w:hint="default"/>
        <w:b/>
        <w:bCs/>
        <w:i w:val="0"/>
        <w:iCs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3EE64312"/>
    <w:multiLevelType w:val="multilevel"/>
    <w:tmpl w:val="A14A2A76"/>
    <w:lvl w:ilvl="0">
      <w:start w:val="1"/>
      <w:numFmt w:val="upperLetter"/>
      <w:lvlText w:val="%1."/>
      <w:lvlJc w:val="left"/>
      <w:pPr>
        <w:tabs>
          <w:tab w:val="num" w:pos="2070"/>
        </w:tabs>
        <w:ind w:left="2070" w:hanging="360"/>
      </w:pPr>
      <w:rPr>
        <w:b/>
        <w:bCs/>
        <w:i w:val="0"/>
        <w:iCs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95B5A79"/>
    <w:multiLevelType w:val="multilevel"/>
    <w:tmpl w:val="002870D8"/>
    <w:lvl w:ilvl="0">
      <w:start w:val="6"/>
      <w:numFmt w:val="upperLetter"/>
      <w:lvlText w:val="%1."/>
      <w:lvlJc w:val="left"/>
      <w:pPr>
        <w:tabs>
          <w:tab w:val="num" w:pos="2070"/>
        </w:tabs>
        <w:ind w:left="2070" w:hanging="360"/>
      </w:pPr>
      <w:rPr>
        <w:rFonts w:hint="default"/>
        <w:b/>
        <w:bCs/>
        <w:i w:val="0"/>
        <w:iCs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2CC2B0D"/>
    <w:multiLevelType w:val="hybridMultilevel"/>
    <w:tmpl w:val="BCEE72E8"/>
    <w:lvl w:ilvl="0" w:tplc="CBAE590A">
      <w:start w:val="1"/>
      <w:numFmt w:val="upperLetter"/>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2E35E6"/>
    <w:multiLevelType w:val="multilevel"/>
    <w:tmpl w:val="C48E10EC"/>
    <w:lvl w:ilvl="0">
      <w:start w:val="1"/>
      <w:numFmt w:val="decimal"/>
      <w:lvlText w:val="%1."/>
      <w:lvlJc w:val="left"/>
      <w:pPr>
        <w:tabs>
          <w:tab w:val="num" w:pos="3763"/>
        </w:tabs>
        <w:ind w:left="3403"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Letter"/>
      <w:lvlText w:val="(%3)"/>
      <w:lvlJc w:val="left"/>
      <w:pPr>
        <w:tabs>
          <w:tab w:val="num" w:pos="5747"/>
        </w:tabs>
        <w:ind w:left="5747" w:hanging="360"/>
      </w:pPr>
      <w:rPr>
        <w:rFonts w:hint="default"/>
        <w:b w:val="0"/>
        <w:i w:val="0"/>
        <w:caps w:val="0"/>
        <w:strike w:val="0"/>
        <w:dstrike w:val="0"/>
        <w:vanish w:val="0"/>
        <w:webHidden w:val="0"/>
        <w:color w:val="auto"/>
        <w:sz w:val="22"/>
        <w:u w:val="none"/>
        <w:effect w:val="none"/>
        <w:vertAlign w:val="baseline"/>
        <w:specVanish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91E6DB4"/>
    <w:multiLevelType w:val="hybridMultilevel"/>
    <w:tmpl w:val="DA06A094"/>
    <w:lvl w:ilvl="0" w:tplc="72AA561C">
      <w:start w:val="2"/>
      <w:numFmt w:val="upperLetter"/>
      <w:lvlText w:val="%1."/>
      <w:lvlJc w:val="left"/>
      <w:pPr>
        <w:ind w:left="2132" w:hanging="360"/>
      </w:pPr>
      <w:rPr>
        <w:rFonts w:hint="default"/>
      </w:rPr>
    </w:lvl>
    <w:lvl w:ilvl="1" w:tplc="10090019" w:tentative="1">
      <w:start w:val="1"/>
      <w:numFmt w:val="lowerLetter"/>
      <w:lvlText w:val="%2."/>
      <w:lvlJc w:val="left"/>
      <w:pPr>
        <w:ind w:left="2852" w:hanging="360"/>
      </w:pPr>
    </w:lvl>
    <w:lvl w:ilvl="2" w:tplc="1009001B" w:tentative="1">
      <w:start w:val="1"/>
      <w:numFmt w:val="lowerRoman"/>
      <w:lvlText w:val="%3."/>
      <w:lvlJc w:val="right"/>
      <w:pPr>
        <w:ind w:left="3572" w:hanging="180"/>
      </w:pPr>
    </w:lvl>
    <w:lvl w:ilvl="3" w:tplc="1009000F" w:tentative="1">
      <w:start w:val="1"/>
      <w:numFmt w:val="decimal"/>
      <w:lvlText w:val="%4."/>
      <w:lvlJc w:val="left"/>
      <w:pPr>
        <w:ind w:left="4292" w:hanging="360"/>
      </w:pPr>
    </w:lvl>
    <w:lvl w:ilvl="4" w:tplc="10090019" w:tentative="1">
      <w:start w:val="1"/>
      <w:numFmt w:val="lowerLetter"/>
      <w:lvlText w:val="%5."/>
      <w:lvlJc w:val="left"/>
      <w:pPr>
        <w:ind w:left="5012" w:hanging="360"/>
      </w:pPr>
    </w:lvl>
    <w:lvl w:ilvl="5" w:tplc="1009001B" w:tentative="1">
      <w:start w:val="1"/>
      <w:numFmt w:val="lowerRoman"/>
      <w:lvlText w:val="%6."/>
      <w:lvlJc w:val="right"/>
      <w:pPr>
        <w:ind w:left="5732" w:hanging="180"/>
      </w:pPr>
    </w:lvl>
    <w:lvl w:ilvl="6" w:tplc="1009000F" w:tentative="1">
      <w:start w:val="1"/>
      <w:numFmt w:val="decimal"/>
      <w:lvlText w:val="%7."/>
      <w:lvlJc w:val="left"/>
      <w:pPr>
        <w:ind w:left="6452" w:hanging="360"/>
      </w:pPr>
    </w:lvl>
    <w:lvl w:ilvl="7" w:tplc="10090019" w:tentative="1">
      <w:start w:val="1"/>
      <w:numFmt w:val="lowerLetter"/>
      <w:lvlText w:val="%8."/>
      <w:lvlJc w:val="left"/>
      <w:pPr>
        <w:ind w:left="7172" w:hanging="360"/>
      </w:pPr>
    </w:lvl>
    <w:lvl w:ilvl="8" w:tplc="1009001B" w:tentative="1">
      <w:start w:val="1"/>
      <w:numFmt w:val="lowerRoman"/>
      <w:lvlText w:val="%9."/>
      <w:lvlJc w:val="right"/>
      <w:pPr>
        <w:ind w:left="7892" w:hanging="180"/>
      </w:pPr>
    </w:lvl>
  </w:abstractNum>
  <w:abstractNum w:abstractNumId="2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E23244"/>
    <w:multiLevelType w:val="multilevel"/>
    <w:tmpl w:val="6F046C98"/>
    <w:lvl w:ilvl="0">
      <w:start w:val="1"/>
      <w:numFmt w:val="decimal"/>
      <w:lvlText w:val="%1."/>
      <w:lvlJc w:val="left"/>
      <w:pPr>
        <w:tabs>
          <w:tab w:val="num" w:pos="644"/>
        </w:tabs>
        <w:ind w:left="284" w:firstLine="0"/>
      </w:pPr>
      <w:rPr>
        <w:rFonts w:ascii="Times New Roman" w:hAnsi="Times New Roman" w:cs="Times New Roman" w:hint="default"/>
        <w:b w:val="0"/>
        <w:i w:val="0"/>
        <w:sz w:val="22"/>
        <w:lang w:val="en-GB"/>
      </w:rPr>
    </w:lvl>
    <w:lvl w:ilvl="1">
      <w:start w:val="1"/>
      <w:numFmt w:val="lowerLetter"/>
      <w:lvlText w:val="%2)"/>
      <w:lvlJc w:val="left"/>
      <w:pPr>
        <w:tabs>
          <w:tab w:val="num" w:pos="1570"/>
        </w:tabs>
        <w:ind w:left="490" w:firstLine="720"/>
      </w:pPr>
      <w:rPr>
        <w:rFonts w:ascii="Times New Roman" w:eastAsia="Times New Roman" w:hAnsi="Times New Roman" w:cs="Times New Roman" w:hint="default"/>
        <w:b w:val="0"/>
        <w:bCs w:val="0"/>
        <w:i w:val="0"/>
        <w:iCs/>
      </w:rPr>
    </w:lvl>
    <w:lvl w:ilvl="2">
      <w:start w:val="1"/>
      <w:numFmt w:val="decimal"/>
      <w:lvlText w:val="%3."/>
      <w:lvlJc w:val="left"/>
      <w:pPr>
        <w:tabs>
          <w:tab w:val="num" w:pos="2591"/>
        </w:tabs>
        <w:ind w:left="2591" w:hanging="431"/>
      </w:pPr>
      <w:rPr>
        <w:rFonts w:hint="default"/>
        <w:b w:val="0"/>
        <w:bCs w:val="0"/>
        <w:i w:val="0"/>
        <w:iCs w:val="0"/>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5" w15:restartNumberingAfterBreak="0">
    <w:nsid w:val="70D31622"/>
    <w:multiLevelType w:val="hybridMultilevel"/>
    <w:tmpl w:val="FF2AB33C"/>
    <w:lvl w:ilvl="0" w:tplc="1D06E612">
      <w:start w:val="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1940D8E"/>
    <w:multiLevelType w:val="multilevel"/>
    <w:tmpl w:val="2F0C5584"/>
    <w:lvl w:ilvl="0">
      <w:start w:val="5"/>
      <w:numFmt w:val="upperLetter"/>
      <w:lvlText w:val="%1."/>
      <w:lvlJc w:val="left"/>
      <w:pPr>
        <w:tabs>
          <w:tab w:val="num" w:pos="630"/>
        </w:tabs>
        <w:ind w:left="630" w:hanging="360"/>
      </w:pPr>
      <w:rPr>
        <w:rFonts w:hint="default"/>
        <w:b/>
        <w:bCs/>
        <w:i w:val="0"/>
        <w:iCs w:val="0"/>
      </w:rPr>
    </w:lvl>
    <w:lvl w:ilvl="1">
      <w:start w:val="1"/>
      <w:numFmt w:val="decimal"/>
      <w:lvlText w:val="%2."/>
      <w:lvlJc w:val="left"/>
      <w:pPr>
        <w:tabs>
          <w:tab w:val="num" w:pos="0"/>
        </w:tabs>
        <w:ind w:left="0" w:hanging="360"/>
      </w:pPr>
      <w:rPr>
        <w:rFonts w:hint="default"/>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880"/>
        </w:tabs>
        <w:ind w:left="2880" w:hanging="360"/>
      </w:pPr>
      <w:rPr>
        <w:rFonts w:hint="default"/>
      </w:rPr>
    </w:lvl>
    <w:lvl w:ilvl="6">
      <w:start w:val="1"/>
      <w:numFmt w:val="decimal"/>
      <w:lvlText w:val="%7."/>
      <w:lvlJc w:val="left"/>
      <w:pPr>
        <w:tabs>
          <w:tab w:val="num" w:pos="3600"/>
        </w:tabs>
        <w:ind w:left="3600" w:hanging="360"/>
      </w:pPr>
      <w:rPr>
        <w:rFonts w:hint="default"/>
      </w:rPr>
    </w:lvl>
    <w:lvl w:ilvl="7">
      <w:start w:val="1"/>
      <w:numFmt w:val="decimal"/>
      <w:lvlText w:val="%8."/>
      <w:lvlJc w:val="left"/>
      <w:pPr>
        <w:tabs>
          <w:tab w:val="num" w:pos="4320"/>
        </w:tabs>
        <w:ind w:left="4320" w:hanging="360"/>
      </w:pPr>
      <w:rPr>
        <w:rFonts w:hint="default"/>
      </w:rPr>
    </w:lvl>
    <w:lvl w:ilvl="8">
      <w:start w:val="1"/>
      <w:numFmt w:val="decimal"/>
      <w:lvlText w:val="%9."/>
      <w:lvlJc w:val="left"/>
      <w:pPr>
        <w:tabs>
          <w:tab w:val="num" w:pos="5040"/>
        </w:tabs>
        <w:ind w:left="5040" w:hanging="360"/>
      </w:pPr>
      <w:rPr>
        <w:rFonts w:hint="default"/>
      </w:rPr>
    </w:lvl>
  </w:abstractNum>
  <w:abstractNum w:abstractNumId="27"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F53D4B"/>
    <w:multiLevelType w:val="multilevel"/>
    <w:tmpl w:val="945050A2"/>
    <w:lvl w:ilvl="0">
      <w:start w:val="1"/>
      <w:numFmt w:val="upperLetter"/>
      <w:lvlText w:val="%1."/>
      <w:lvlJc w:val="left"/>
      <w:pPr>
        <w:tabs>
          <w:tab w:val="num" w:pos="2070"/>
        </w:tabs>
        <w:ind w:left="2070" w:hanging="360"/>
      </w:pPr>
      <w:rPr>
        <w:rFonts w:hint="default"/>
        <w:b/>
        <w:bCs/>
        <w:i w:val="0"/>
        <w:iCs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9"/>
  </w:num>
  <w:num w:numId="2">
    <w:abstractNumId w:val="17"/>
  </w:num>
  <w:num w:numId="3">
    <w:abstractNumId w:val="14"/>
  </w:num>
  <w:num w:numId="4">
    <w:abstractNumId w:val="17"/>
  </w:num>
  <w:num w:numId="5">
    <w:abstractNumId w:val="15"/>
  </w:num>
  <w:num w:numId="6">
    <w:abstractNumId w:val="3"/>
  </w:num>
  <w:num w:numId="7">
    <w:abstractNumId w:val="7"/>
  </w:num>
  <w:num w:numId="8">
    <w:abstractNumId w:val="14"/>
    <w:lvlOverride w:ilvl="0">
      <w:startOverride w:val="1"/>
    </w:lvlOverride>
  </w:num>
  <w:num w:numId="9">
    <w:abstractNumId w:val="23"/>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20"/>
  </w:num>
  <w:num w:numId="15">
    <w:abstractNumId w:val="19"/>
  </w:num>
  <w:num w:numId="16">
    <w:abstractNumId w:val="4"/>
  </w:num>
  <w:num w:numId="17">
    <w:abstractNumId w:val="27"/>
  </w:num>
  <w:num w:numId="18">
    <w:abstractNumId w:val="28"/>
  </w:num>
  <w:num w:numId="19">
    <w:abstractNumId w:val="24"/>
  </w:num>
  <w:num w:numId="20">
    <w:abstractNumId w:val="2"/>
  </w:num>
  <w:num w:numId="21">
    <w:abstractNumId w:val="5"/>
  </w:num>
  <w:num w:numId="22">
    <w:abstractNumId w:val="18"/>
  </w:num>
  <w:num w:numId="23">
    <w:abstractNumId w:val="25"/>
  </w:num>
  <w:num w:numId="24">
    <w:abstractNumId w:val="11"/>
  </w:num>
  <w:num w:numId="25">
    <w:abstractNumId w:val="1"/>
  </w:num>
  <w:num w:numId="26">
    <w:abstractNumId w:val="6"/>
  </w:num>
  <w:num w:numId="27">
    <w:abstractNumId w:val="17"/>
  </w:num>
  <w:num w:numId="28">
    <w:abstractNumId w:val="17"/>
  </w:num>
  <w:num w:numId="29">
    <w:abstractNumId w:val="22"/>
  </w:num>
  <w:num w:numId="30">
    <w:abstractNumId w:val="0"/>
  </w:num>
  <w:num w:numId="31">
    <w:abstractNumId w:val="17"/>
  </w:num>
  <w:num w:numId="32">
    <w:abstractNumId w:val="21"/>
  </w:num>
  <w:num w:numId="33">
    <w:abstractNumId w:val="8"/>
  </w:num>
  <w:num w:numId="34">
    <w:abstractNumId w:val="10"/>
  </w:num>
  <w:num w:numId="35">
    <w:abstractNumId w:val="13"/>
  </w:num>
  <w:num w:numId="36">
    <w:abstractNumId w:val="29"/>
  </w:num>
  <w:num w:numId="37">
    <w:abstractNumId w:val="12"/>
  </w:num>
  <w:num w:numId="38">
    <w:abstractNumId w:val="26"/>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1F26"/>
    <w:rsid w:val="00004AF7"/>
    <w:rsid w:val="00004D9C"/>
    <w:rsid w:val="00007C9F"/>
    <w:rsid w:val="00010A0C"/>
    <w:rsid w:val="00010C36"/>
    <w:rsid w:val="00011BDB"/>
    <w:rsid w:val="00012065"/>
    <w:rsid w:val="000138B3"/>
    <w:rsid w:val="00014A42"/>
    <w:rsid w:val="00015CE1"/>
    <w:rsid w:val="00020080"/>
    <w:rsid w:val="0002039C"/>
    <w:rsid w:val="00021BF6"/>
    <w:rsid w:val="00021C19"/>
    <w:rsid w:val="00021F4C"/>
    <w:rsid w:val="0002201E"/>
    <w:rsid w:val="000276F0"/>
    <w:rsid w:val="00027A1B"/>
    <w:rsid w:val="00027DA4"/>
    <w:rsid w:val="0003455C"/>
    <w:rsid w:val="00040F85"/>
    <w:rsid w:val="0004434C"/>
    <w:rsid w:val="0004635B"/>
    <w:rsid w:val="000465FF"/>
    <w:rsid w:val="0004668C"/>
    <w:rsid w:val="000514B6"/>
    <w:rsid w:val="00051B66"/>
    <w:rsid w:val="00053502"/>
    <w:rsid w:val="00053F0E"/>
    <w:rsid w:val="00056914"/>
    <w:rsid w:val="00060523"/>
    <w:rsid w:val="00061CE0"/>
    <w:rsid w:val="00062C57"/>
    <w:rsid w:val="000664BA"/>
    <w:rsid w:val="00066C2C"/>
    <w:rsid w:val="00066D60"/>
    <w:rsid w:val="000676BB"/>
    <w:rsid w:val="0007048F"/>
    <w:rsid w:val="0007171B"/>
    <w:rsid w:val="0007222F"/>
    <w:rsid w:val="00074005"/>
    <w:rsid w:val="00074475"/>
    <w:rsid w:val="00074EB5"/>
    <w:rsid w:val="00075E25"/>
    <w:rsid w:val="0007636F"/>
    <w:rsid w:val="0007671A"/>
    <w:rsid w:val="00077ECF"/>
    <w:rsid w:val="00077FD2"/>
    <w:rsid w:val="00080326"/>
    <w:rsid w:val="000810F0"/>
    <w:rsid w:val="00081F75"/>
    <w:rsid w:val="00083D5F"/>
    <w:rsid w:val="00084E53"/>
    <w:rsid w:val="00085A27"/>
    <w:rsid w:val="0008603A"/>
    <w:rsid w:val="00086284"/>
    <w:rsid w:val="00086CFD"/>
    <w:rsid w:val="00086E63"/>
    <w:rsid w:val="00087BA2"/>
    <w:rsid w:val="00090678"/>
    <w:rsid w:val="00092D63"/>
    <w:rsid w:val="00095A7C"/>
    <w:rsid w:val="00095B46"/>
    <w:rsid w:val="000973EC"/>
    <w:rsid w:val="000A125D"/>
    <w:rsid w:val="000A1861"/>
    <w:rsid w:val="000A25AD"/>
    <w:rsid w:val="000A2A78"/>
    <w:rsid w:val="000A4C65"/>
    <w:rsid w:val="000A53AD"/>
    <w:rsid w:val="000A67AB"/>
    <w:rsid w:val="000A7806"/>
    <w:rsid w:val="000A7E66"/>
    <w:rsid w:val="000B1A32"/>
    <w:rsid w:val="000B22EF"/>
    <w:rsid w:val="000B644F"/>
    <w:rsid w:val="000B652F"/>
    <w:rsid w:val="000C0402"/>
    <w:rsid w:val="000C2905"/>
    <w:rsid w:val="000C7065"/>
    <w:rsid w:val="000D01FA"/>
    <w:rsid w:val="000D1450"/>
    <w:rsid w:val="000D277B"/>
    <w:rsid w:val="000D27D6"/>
    <w:rsid w:val="000D52E5"/>
    <w:rsid w:val="000D5FCE"/>
    <w:rsid w:val="000D74E6"/>
    <w:rsid w:val="000D7ADA"/>
    <w:rsid w:val="000E101D"/>
    <w:rsid w:val="000E382D"/>
    <w:rsid w:val="000E3A0F"/>
    <w:rsid w:val="000E4404"/>
    <w:rsid w:val="000E5643"/>
    <w:rsid w:val="000E673A"/>
    <w:rsid w:val="000E706E"/>
    <w:rsid w:val="000F03AE"/>
    <w:rsid w:val="000F1A13"/>
    <w:rsid w:val="000F26AC"/>
    <w:rsid w:val="000F28F7"/>
    <w:rsid w:val="000F4E57"/>
    <w:rsid w:val="000F55A9"/>
    <w:rsid w:val="000F6A09"/>
    <w:rsid w:val="000F6A13"/>
    <w:rsid w:val="000F6C3A"/>
    <w:rsid w:val="000F74F5"/>
    <w:rsid w:val="000F7553"/>
    <w:rsid w:val="001003CA"/>
    <w:rsid w:val="001033E5"/>
    <w:rsid w:val="001043B9"/>
    <w:rsid w:val="001045CE"/>
    <w:rsid w:val="00105372"/>
    <w:rsid w:val="00106C67"/>
    <w:rsid w:val="00107DE2"/>
    <w:rsid w:val="00111251"/>
    <w:rsid w:val="0011131C"/>
    <w:rsid w:val="00112E03"/>
    <w:rsid w:val="001134CD"/>
    <w:rsid w:val="001155AF"/>
    <w:rsid w:val="001177D9"/>
    <w:rsid w:val="00123D0F"/>
    <w:rsid w:val="00126ABD"/>
    <w:rsid w:val="001307FC"/>
    <w:rsid w:val="001312AD"/>
    <w:rsid w:val="00131E7A"/>
    <w:rsid w:val="00132354"/>
    <w:rsid w:val="00134846"/>
    <w:rsid w:val="00135866"/>
    <w:rsid w:val="00136ED8"/>
    <w:rsid w:val="00143141"/>
    <w:rsid w:val="001521F7"/>
    <w:rsid w:val="00152392"/>
    <w:rsid w:val="00154268"/>
    <w:rsid w:val="00154F85"/>
    <w:rsid w:val="0015587D"/>
    <w:rsid w:val="00155EF6"/>
    <w:rsid w:val="0015772F"/>
    <w:rsid w:val="00161CC1"/>
    <w:rsid w:val="001709EA"/>
    <w:rsid w:val="0017187B"/>
    <w:rsid w:val="00171BF2"/>
    <w:rsid w:val="00172AF6"/>
    <w:rsid w:val="00174371"/>
    <w:rsid w:val="00174BC5"/>
    <w:rsid w:val="001764C8"/>
    <w:rsid w:val="00176CEE"/>
    <w:rsid w:val="00180865"/>
    <w:rsid w:val="0018414D"/>
    <w:rsid w:val="001844B3"/>
    <w:rsid w:val="00184D8C"/>
    <w:rsid w:val="001850BE"/>
    <w:rsid w:val="00186DD8"/>
    <w:rsid w:val="00187AF7"/>
    <w:rsid w:val="00190445"/>
    <w:rsid w:val="00190902"/>
    <w:rsid w:val="00191A2F"/>
    <w:rsid w:val="0019724C"/>
    <w:rsid w:val="001A07C7"/>
    <w:rsid w:val="001A4662"/>
    <w:rsid w:val="001A5DDE"/>
    <w:rsid w:val="001A6307"/>
    <w:rsid w:val="001A734B"/>
    <w:rsid w:val="001B09BE"/>
    <w:rsid w:val="001B1284"/>
    <w:rsid w:val="001B13FE"/>
    <w:rsid w:val="001B3CDB"/>
    <w:rsid w:val="001B5F58"/>
    <w:rsid w:val="001B69A6"/>
    <w:rsid w:val="001B79A9"/>
    <w:rsid w:val="001B7C24"/>
    <w:rsid w:val="001C2970"/>
    <w:rsid w:val="001C5E25"/>
    <w:rsid w:val="001C69D8"/>
    <w:rsid w:val="001C76A6"/>
    <w:rsid w:val="001D199C"/>
    <w:rsid w:val="001D346F"/>
    <w:rsid w:val="001D3EC6"/>
    <w:rsid w:val="001E39D6"/>
    <w:rsid w:val="001E5881"/>
    <w:rsid w:val="001E7F17"/>
    <w:rsid w:val="001F0385"/>
    <w:rsid w:val="001F1ECE"/>
    <w:rsid w:val="001F24CC"/>
    <w:rsid w:val="001F746E"/>
    <w:rsid w:val="001F763B"/>
    <w:rsid w:val="00200433"/>
    <w:rsid w:val="00200B8E"/>
    <w:rsid w:val="00203850"/>
    <w:rsid w:val="00203EC5"/>
    <w:rsid w:val="00211129"/>
    <w:rsid w:val="0021289F"/>
    <w:rsid w:val="00215740"/>
    <w:rsid w:val="00216ACA"/>
    <w:rsid w:val="00217259"/>
    <w:rsid w:val="0022099B"/>
    <w:rsid w:val="00220A64"/>
    <w:rsid w:val="00221524"/>
    <w:rsid w:val="00221A8A"/>
    <w:rsid w:val="00221E8C"/>
    <w:rsid w:val="0022636C"/>
    <w:rsid w:val="00230550"/>
    <w:rsid w:val="002316DD"/>
    <w:rsid w:val="00232E89"/>
    <w:rsid w:val="00234D17"/>
    <w:rsid w:val="002360E1"/>
    <w:rsid w:val="00240123"/>
    <w:rsid w:val="00240DEC"/>
    <w:rsid w:val="00240FD6"/>
    <w:rsid w:val="002428AD"/>
    <w:rsid w:val="0024319B"/>
    <w:rsid w:val="002510FC"/>
    <w:rsid w:val="00253FBF"/>
    <w:rsid w:val="00254073"/>
    <w:rsid w:val="00254DCB"/>
    <w:rsid w:val="0025644D"/>
    <w:rsid w:val="00256C4D"/>
    <w:rsid w:val="002577BD"/>
    <w:rsid w:val="00257A03"/>
    <w:rsid w:val="00261155"/>
    <w:rsid w:val="0026173E"/>
    <w:rsid w:val="00262701"/>
    <w:rsid w:val="00262A3C"/>
    <w:rsid w:val="00264F30"/>
    <w:rsid w:val="00266A58"/>
    <w:rsid w:val="002677DF"/>
    <w:rsid w:val="00267CC2"/>
    <w:rsid w:val="00267EE2"/>
    <w:rsid w:val="00270F41"/>
    <w:rsid w:val="002722AC"/>
    <w:rsid w:val="0027266E"/>
    <w:rsid w:val="00272CA8"/>
    <w:rsid w:val="00272E61"/>
    <w:rsid w:val="00276097"/>
    <w:rsid w:val="00276BEC"/>
    <w:rsid w:val="00283254"/>
    <w:rsid w:val="00283D2E"/>
    <w:rsid w:val="00283F07"/>
    <w:rsid w:val="002840B5"/>
    <w:rsid w:val="0028505A"/>
    <w:rsid w:val="00287C96"/>
    <w:rsid w:val="00290C05"/>
    <w:rsid w:val="00291ACD"/>
    <w:rsid w:val="0029246E"/>
    <w:rsid w:val="002934FE"/>
    <w:rsid w:val="00294588"/>
    <w:rsid w:val="00294FE0"/>
    <w:rsid w:val="0029710C"/>
    <w:rsid w:val="00297D4A"/>
    <w:rsid w:val="002A0360"/>
    <w:rsid w:val="002A0FCD"/>
    <w:rsid w:val="002A4215"/>
    <w:rsid w:val="002B27A0"/>
    <w:rsid w:val="002B60E7"/>
    <w:rsid w:val="002C0243"/>
    <w:rsid w:val="002C2748"/>
    <w:rsid w:val="002C48DC"/>
    <w:rsid w:val="002C7264"/>
    <w:rsid w:val="002D2BCF"/>
    <w:rsid w:val="002D36F1"/>
    <w:rsid w:val="002D42AD"/>
    <w:rsid w:val="002E45D0"/>
    <w:rsid w:val="002E5B75"/>
    <w:rsid w:val="002E636E"/>
    <w:rsid w:val="002E6D66"/>
    <w:rsid w:val="002F0EA2"/>
    <w:rsid w:val="002F5248"/>
    <w:rsid w:val="002F7680"/>
    <w:rsid w:val="0030169D"/>
    <w:rsid w:val="00302176"/>
    <w:rsid w:val="00302427"/>
    <w:rsid w:val="00303FE1"/>
    <w:rsid w:val="00304837"/>
    <w:rsid w:val="003060EB"/>
    <w:rsid w:val="003066DC"/>
    <w:rsid w:val="00306C30"/>
    <w:rsid w:val="00306F88"/>
    <w:rsid w:val="00307A48"/>
    <w:rsid w:val="003144F4"/>
    <w:rsid w:val="00314F71"/>
    <w:rsid w:val="003153EB"/>
    <w:rsid w:val="003156AE"/>
    <w:rsid w:val="003171F1"/>
    <w:rsid w:val="0032024B"/>
    <w:rsid w:val="003212F7"/>
    <w:rsid w:val="00321985"/>
    <w:rsid w:val="003251F6"/>
    <w:rsid w:val="00325C66"/>
    <w:rsid w:val="003269FF"/>
    <w:rsid w:val="00326C01"/>
    <w:rsid w:val="00330FE5"/>
    <w:rsid w:val="0033359C"/>
    <w:rsid w:val="00333A20"/>
    <w:rsid w:val="003348CE"/>
    <w:rsid w:val="003355F8"/>
    <w:rsid w:val="00336A10"/>
    <w:rsid w:val="00340B55"/>
    <w:rsid w:val="003428AA"/>
    <w:rsid w:val="00342B60"/>
    <w:rsid w:val="0034399B"/>
    <w:rsid w:val="003458A3"/>
    <w:rsid w:val="003470E4"/>
    <w:rsid w:val="003471BE"/>
    <w:rsid w:val="00351205"/>
    <w:rsid w:val="003608AE"/>
    <w:rsid w:val="00360CC9"/>
    <w:rsid w:val="00361328"/>
    <w:rsid w:val="003613BD"/>
    <w:rsid w:val="00361945"/>
    <w:rsid w:val="00362658"/>
    <w:rsid w:val="00364142"/>
    <w:rsid w:val="00365BB0"/>
    <w:rsid w:val="00370C96"/>
    <w:rsid w:val="00372F74"/>
    <w:rsid w:val="003731DB"/>
    <w:rsid w:val="00374ABA"/>
    <w:rsid w:val="00374BEE"/>
    <w:rsid w:val="00376050"/>
    <w:rsid w:val="00376FBF"/>
    <w:rsid w:val="0037787B"/>
    <w:rsid w:val="00384FEF"/>
    <w:rsid w:val="003862A0"/>
    <w:rsid w:val="00387120"/>
    <w:rsid w:val="00390025"/>
    <w:rsid w:val="00390D5B"/>
    <w:rsid w:val="00390F5F"/>
    <w:rsid w:val="00392947"/>
    <w:rsid w:val="003948DC"/>
    <w:rsid w:val="00395DCF"/>
    <w:rsid w:val="00397EF9"/>
    <w:rsid w:val="003A0108"/>
    <w:rsid w:val="003A164E"/>
    <w:rsid w:val="003A1FDC"/>
    <w:rsid w:val="003A24CA"/>
    <w:rsid w:val="003A5890"/>
    <w:rsid w:val="003B0DC1"/>
    <w:rsid w:val="003B0DE2"/>
    <w:rsid w:val="003B141B"/>
    <w:rsid w:val="003B191B"/>
    <w:rsid w:val="003B19AC"/>
    <w:rsid w:val="003B233B"/>
    <w:rsid w:val="003B5453"/>
    <w:rsid w:val="003B5A98"/>
    <w:rsid w:val="003B67EC"/>
    <w:rsid w:val="003B6F20"/>
    <w:rsid w:val="003C03BB"/>
    <w:rsid w:val="003C1745"/>
    <w:rsid w:val="003C4A32"/>
    <w:rsid w:val="003C66B1"/>
    <w:rsid w:val="003C70BE"/>
    <w:rsid w:val="003C7431"/>
    <w:rsid w:val="003D04BF"/>
    <w:rsid w:val="003D23C6"/>
    <w:rsid w:val="003D429B"/>
    <w:rsid w:val="003D4BA0"/>
    <w:rsid w:val="003D5034"/>
    <w:rsid w:val="003D54C6"/>
    <w:rsid w:val="003D66A8"/>
    <w:rsid w:val="003E0CE0"/>
    <w:rsid w:val="003E41C6"/>
    <w:rsid w:val="003E51B9"/>
    <w:rsid w:val="003E5622"/>
    <w:rsid w:val="003E6444"/>
    <w:rsid w:val="003E67FB"/>
    <w:rsid w:val="003E70D6"/>
    <w:rsid w:val="003F2CCF"/>
    <w:rsid w:val="003F3001"/>
    <w:rsid w:val="003F7224"/>
    <w:rsid w:val="004018F7"/>
    <w:rsid w:val="004028D5"/>
    <w:rsid w:val="004028FF"/>
    <w:rsid w:val="00402B2D"/>
    <w:rsid w:val="004030D1"/>
    <w:rsid w:val="004032A7"/>
    <w:rsid w:val="00403958"/>
    <w:rsid w:val="00406FE0"/>
    <w:rsid w:val="00410D4F"/>
    <w:rsid w:val="0041278D"/>
    <w:rsid w:val="004138E1"/>
    <w:rsid w:val="00414BE2"/>
    <w:rsid w:val="00414C90"/>
    <w:rsid w:val="0041687A"/>
    <w:rsid w:val="004175F7"/>
    <w:rsid w:val="00417977"/>
    <w:rsid w:val="004207B8"/>
    <w:rsid w:val="00421DF3"/>
    <w:rsid w:val="00423807"/>
    <w:rsid w:val="00426471"/>
    <w:rsid w:val="0042663F"/>
    <w:rsid w:val="00426FC5"/>
    <w:rsid w:val="00427D21"/>
    <w:rsid w:val="00432273"/>
    <w:rsid w:val="00432C39"/>
    <w:rsid w:val="00434B3A"/>
    <w:rsid w:val="00435B24"/>
    <w:rsid w:val="00435ED7"/>
    <w:rsid w:val="00436AEF"/>
    <w:rsid w:val="0043724C"/>
    <w:rsid w:val="00437CB1"/>
    <w:rsid w:val="004403CF"/>
    <w:rsid w:val="00440D86"/>
    <w:rsid w:val="00442133"/>
    <w:rsid w:val="00442FCF"/>
    <w:rsid w:val="004444F6"/>
    <w:rsid w:val="004455E4"/>
    <w:rsid w:val="004508DD"/>
    <w:rsid w:val="004511DB"/>
    <w:rsid w:val="00451CE3"/>
    <w:rsid w:val="00452042"/>
    <w:rsid w:val="0045515B"/>
    <w:rsid w:val="004570DC"/>
    <w:rsid w:val="004610F0"/>
    <w:rsid w:val="004644C2"/>
    <w:rsid w:val="004661D3"/>
    <w:rsid w:val="0046781A"/>
    <w:rsid w:val="00467F9C"/>
    <w:rsid w:val="00470420"/>
    <w:rsid w:val="004735AB"/>
    <w:rsid w:val="0047486F"/>
    <w:rsid w:val="00476292"/>
    <w:rsid w:val="004768DA"/>
    <w:rsid w:val="00476DBE"/>
    <w:rsid w:val="00477470"/>
    <w:rsid w:val="00482041"/>
    <w:rsid w:val="00482805"/>
    <w:rsid w:val="00482E31"/>
    <w:rsid w:val="00482FE7"/>
    <w:rsid w:val="00490666"/>
    <w:rsid w:val="00491632"/>
    <w:rsid w:val="004917EC"/>
    <w:rsid w:val="00491E74"/>
    <w:rsid w:val="0049407E"/>
    <w:rsid w:val="00494EB8"/>
    <w:rsid w:val="004A3F61"/>
    <w:rsid w:val="004A540A"/>
    <w:rsid w:val="004B00EB"/>
    <w:rsid w:val="004B1AF9"/>
    <w:rsid w:val="004B1C56"/>
    <w:rsid w:val="004B32F4"/>
    <w:rsid w:val="004C241E"/>
    <w:rsid w:val="004C2B23"/>
    <w:rsid w:val="004C3558"/>
    <w:rsid w:val="004C3E54"/>
    <w:rsid w:val="004C4402"/>
    <w:rsid w:val="004C55A6"/>
    <w:rsid w:val="004C7B3F"/>
    <w:rsid w:val="004D2D5E"/>
    <w:rsid w:val="004D36C8"/>
    <w:rsid w:val="004D4035"/>
    <w:rsid w:val="004D731B"/>
    <w:rsid w:val="004E0DA1"/>
    <w:rsid w:val="004E561C"/>
    <w:rsid w:val="004E7765"/>
    <w:rsid w:val="004E7959"/>
    <w:rsid w:val="004F0410"/>
    <w:rsid w:val="004F2422"/>
    <w:rsid w:val="004F33EB"/>
    <w:rsid w:val="004F372A"/>
    <w:rsid w:val="004F3C81"/>
    <w:rsid w:val="004F4970"/>
    <w:rsid w:val="004F64D1"/>
    <w:rsid w:val="004F6515"/>
    <w:rsid w:val="00504574"/>
    <w:rsid w:val="00504EA2"/>
    <w:rsid w:val="005064EE"/>
    <w:rsid w:val="005071CB"/>
    <w:rsid w:val="0051069E"/>
    <w:rsid w:val="0051088E"/>
    <w:rsid w:val="00515F33"/>
    <w:rsid w:val="0051777B"/>
    <w:rsid w:val="00522DB5"/>
    <w:rsid w:val="00523356"/>
    <w:rsid w:val="00525B4E"/>
    <w:rsid w:val="00530721"/>
    <w:rsid w:val="00533AA4"/>
    <w:rsid w:val="00533E98"/>
    <w:rsid w:val="00534681"/>
    <w:rsid w:val="00534D92"/>
    <w:rsid w:val="00534E91"/>
    <w:rsid w:val="00534E9B"/>
    <w:rsid w:val="005356E5"/>
    <w:rsid w:val="00536A97"/>
    <w:rsid w:val="00536C7C"/>
    <w:rsid w:val="00536D03"/>
    <w:rsid w:val="00537009"/>
    <w:rsid w:val="0053761A"/>
    <w:rsid w:val="00540911"/>
    <w:rsid w:val="0054177E"/>
    <w:rsid w:val="00543E94"/>
    <w:rsid w:val="00544EA9"/>
    <w:rsid w:val="00545904"/>
    <w:rsid w:val="005471C2"/>
    <w:rsid w:val="005510A5"/>
    <w:rsid w:val="00551841"/>
    <w:rsid w:val="00551B35"/>
    <w:rsid w:val="00553795"/>
    <w:rsid w:val="0055401F"/>
    <w:rsid w:val="00554F48"/>
    <w:rsid w:val="00555AB7"/>
    <w:rsid w:val="0055782C"/>
    <w:rsid w:val="00561815"/>
    <w:rsid w:val="005620B7"/>
    <w:rsid w:val="00563442"/>
    <w:rsid w:val="005639CF"/>
    <w:rsid w:val="00565B42"/>
    <w:rsid w:val="00566A2C"/>
    <w:rsid w:val="005704BE"/>
    <w:rsid w:val="005726B9"/>
    <w:rsid w:val="0057338B"/>
    <w:rsid w:val="00574B80"/>
    <w:rsid w:val="00575A11"/>
    <w:rsid w:val="0057694F"/>
    <w:rsid w:val="00577CFF"/>
    <w:rsid w:val="0058216A"/>
    <w:rsid w:val="00585440"/>
    <w:rsid w:val="00587278"/>
    <w:rsid w:val="00591F0E"/>
    <w:rsid w:val="0059223A"/>
    <w:rsid w:val="00594B09"/>
    <w:rsid w:val="00596CB8"/>
    <w:rsid w:val="0059729D"/>
    <w:rsid w:val="005A0395"/>
    <w:rsid w:val="005A155F"/>
    <w:rsid w:val="005A4C40"/>
    <w:rsid w:val="005A4EB3"/>
    <w:rsid w:val="005A4FE9"/>
    <w:rsid w:val="005B142A"/>
    <w:rsid w:val="005B2429"/>
    <w:rsid w:val="005B3A84"/>
    <w:rsid w:val="005B407C"/>
    <w:rsid w:val="005B7B7D"/>
    <w:rsid w:val="005C01DB"/>
    <w:rsid w:val="005C12DC"/>
    <w:rsid w:val="005C44BB"/>
    <w:rsid w:val="005C4CE6"/>
    <w:rsid w:val="005C6B88"/>
    <w:rsid w:val="005D6F12"/>
    <w:rsid w:val="005E2E3C"/>
    <w:rsid w:val="005E558C"/>
    <w:rsid w:val="005E61B0"/>
    <w:rsid w:val="005E74AB"/>
    <w:rsid w:val="005F2ADF"/>
    <w:rsid w:val="005F2AFA"/>
    <w:rsid w:val="005F4170"/>
    <w:rsid w:val="005F42AF"/>
    <w:rsid w:val="005F537B"/>
    <w:rsid w:val="005F6CBB"/>
    <w:rsid w:val="00604687"/>
    <w:rsid w:val="00605410"/>
    <w:rsid w:val="00605562"/>
    <w:rsid w:val="006069E8"/>
    <w:rsid w:val="0060703B"/>
    <w:rsid w:val="006072BB"/>
    <w:rsid w:val="00607806"/>
    <w:rsid w:val="00610399"/>
    <w:rsid w:val="006106AC"/>
    <w:rsid w:val="00611980"/>
    <w:rsid w:val="006122BA"/>
    <w:rsid w:val="0061258E"/>
    <w:rsid w:val="00614019"/>
    <w:rsid w:val="0061421F"/>
    <w:rsid w:val="006147E6"/>
    <w:rsid w:val="00615225"/>
    <w:rsid w:val="00615A0C"/>
    <w:rsid w:val="00615E2C"/>
    <w:rsid w:val="00616DF1"/>
    <w:rsid w:val="00617420"/>
    <w:rsid w:val="00617581"/>
    <w:rsid w:val="00617AC0"/>
    <w:rsid w:val="006224A6"/>
    <w:rsid w:val="0062298C"/>
    <w:rsid w:val="00623194"/>
    <w:rsid w:val="0062533A"/>
    <w:rsid w:val="006268E2"/>
    <w:rsid w:val="006269CB"/>
    <w:rsid w:val="00631195"/>
    <w:rsid w:val="0063124E"/>
    <w:rsid w:val="0063126B"/>
    <w:rsid w:val="00631DA4"/>
    <w:rsid w:val="006329C1"/>
    <w:rsid w:val="00633A2D"/>
    <w:rsid w:val="00635604"/>
    <w:rsid w:val="00637AE5"/>
    <w:rsid w:val="00640076"/>
    <w:rsid w:val="00640CF2"/>
    <w:rsid w:val="0064312D"/>
    <w:rsid w:val="00647049"/>
    <w:rsid w:val="006503B2"/>
    <w:rsid w:val="006522EC"/>
    <w:rsid w:val="0065360B"/>
    <w:rsid w:val="00656344"/>
    <w:rsid w:val="006564BC"/>
    <w:rsid w:val="00656D24"/>
    <w:rsid w:val="00657F53"/>
    <w:rsid w:val="006602C6"/>
    <w:rsid w:val="0066167A"/>
    <w:rsid w:val="00661D54"/>
    <w:rsid w:val="006622DA"/>
    <w:rsid w:val="00662784"/>
    <w:rsid w:val="00662B5F"/>
    <w:rsid w:val="0066309A"/>
    <w:rsid w:val="006637C4"/>
    <w:rsid w:val="006670A8"/>
    <w:rsid w:val="006706B7"/>
    <w:rsid w:val="006707B9"/>
    <w:rsid w:val="0067139E"/>
    <w:rsid w:val="00672193"/>
    <w:rsid w:val="0067463E"/>
    <w:rsid w:val="00681E83"/>
    <w:rsid w:val="0068329D"/>
    <w:rsid w:val="006833E7"/>
    <w:rsid w:val="00686B8C"/>
    <w:rsid w:val="006900E4"/>
    <w:rsid w:val="006900F1"/>
    <w:rsid w:val="00694505"/>
    <w:rsid w:val="00696DA0"/>
    <w:rsid w:val="006A12FB"/>
    <w:rsid w:val="006A5DAC"/>
    <w:rsid w:val="006A60AE"/>
    <w:rsid w:val="006A7375"/>
    <w:rsid w:val="006A779C"/>
    <w:rsid w:val="006A7D75"/>
    <w:rsid w:val="006B0BA8"/>
    <w:rsid w:val="006B1384"/>
    <w:rsid w:val="006B2290"/>
    <w:rsid w:val="006B2A2F"/>
    <w:rsid w:val="006B32AC"/>
    <w:rsid w:val="006B3CA8"/>
    <w:rsid w:val="006B3E9D"/>
    <w:rsid w:val="006B5A83"/>
    <w:rsid w:val="006B74A6"/>
    <w:rsid w:val="006C2C0A"/>
    <w:rsid w:val="006C3323"/>
    <w:rsid w:val="006C3F46"/>
    <w:rsid w:val="006C5FE2"/>
    <w:rsid w:val="006C625C"/>
    <w:rsid w:val="006D04C5"/>
    <w:rsid w:val="006D5587"/>
    <w:rsid w:val="006D7D67"/>
    <w:rsid w:val="006E0BD3"/>
    <w:rsid w:val="006E1013"/>
    <w:rsid w:val="006E14A9"/>
    <w:rsid w:val="006E38A3"/>
    <w:rsid w:val="006E7DD8"/>
    <w:rsid w:val="006F0EF8"/>
    <w:rsid w:val="006F214C"/>
    <w:rsid w:val="006F23CC"/>
    <w:rsid w:val="006F2A7E"/>
    <w:rsid w:val="006F3493"/>
    <w:rsid w:val="006F4D79"/>
    <w:rsid w:val="006F5B7D"/>
    <w:rsid w:val="006F5FB5"/>
    <w:rsid w:val="006F6F4F"/>
    <w:rsid w:val="006F70AC"/>
    <w:rsid w:val="007017D0"/>
    <w:rsid w:val="00704E67"/>
    <w:rsid w:val="00705967"/>
    <w:rsid w:val="0070605C"/>
    <w:rsid w:val="007078D0"/>
    <w:rsid w:val="00712916"/>
    <w:rsid w:val="007135A1"/>
    <w:rsid w:val="007136DC"/>
    <w:rsid w:val="00714143"/>
    <w:rsid w:val="007144AB"/>
    <w:rsid w:val="007172A6"/>
    <w:rsid w:val="00717D88"/>
    <w:rsid w:val="007203B2"/>
    <w:rsid w:val="0072090C"/>
    <w:rsid w:val="0072775C"/>
    <w:rsid w:val="00727A1E"/>
    <w:rsid w:val="007315DC"/>
    <w:rsid w:val="007324E1"/>
    <w:rsid w:val="007325BE"/>
    <w:rsid w:val="0073635E"/>
    <w:rsid w:val="00736AA5"/>
    <w:rsid w:val="0073720F"/>
    <w:rsid w:val="007377A7"/>
    <w:rsid w:val="00737FCE"/>
    <w:rsid w:val="00741FAF"/>
    <w:rsid w:val="00742211"/>
    <w:rsid w:val="00745F17"/>
    <w:rsid w:val="00751764"/>
    <w:rsid w:val="00751E3E"/>
    <w:rsid w:val="00751FAB"/>
    <w:rsid w:val="00753671"/>
    <w:rsid w:val="007552B4"/>
    <w:rsid w:val="00755C3E"/>
    <w:rsid w:val="007627EC"/>
    <w:rsid w:val="0076361C"/>
    <w:rsid w:val="0076361D"/>
    <w:rsid w:val="007645A7"/>
    <w:rsid w:val="00767FD7"/>
    <w:rsid w:val="00771AEF"/>
    <w:rsid w:val="0077208A"/>
    <w:rsid w:val="007723D0"/>
    <w:rsid w:val="00774376"/>
    <w:rsid w:val="00775AAD"/>
    <w:rsid w:val="00775F74"/>
    <w:rsid w:val="0078349B"/>
    <w:rsid w:val="00783BC1"/>
    <w:rsid w:val="00785D00"/>
    <w:rsid w:val="00786056"/>
    <w:rsid w:val="00786AE6"/>
    <w:rsid w:val="00787F00"/>
    <w:rsid w:val="00787F32"/>
    <w:rsid w:val="007942D3"/>
    <w:rsid w:val="007969C6"/>
    <w:rsid w:val="00797DDF"/>
    <w:rsid w:val="007A045F"/>
    <w:rsid w:val="007A0831"/>
    <w:rsid w:val="007A0A52"/>
    <w:rsid w:val="007A109D"/>
    <w:rsid w:val="007A161C"/>
    <w:rsid w:val="007A17EF"/>
    <w:rsid w:val="007A1B30"/>
    <w:rsid w:val="007A32BB"/>
    <w:rsid w:val="007A3F98"/>
    <w:rsid w:val="007A4A66"/>
    <w:rsid w:val="007A6411"/>
    <w:rsid w:val="007A6AE8"/>
    <w:rsid w:val="007A7CFE"/>
    <w:rsid w:val="007B08ED"/>
    <w:rsid w:val="007B1267"/>
    <w:rsid w:val="007B198D"/>
    <w:rsid w:val="007B2099"/>
    <w:rsid w:val="007B293A"/>
    <w:rsid w:val="007B2957"/>
    <w:rsid w:val="007B40FB"/>
    <w:rsid w:val="007B4471"/>
    <w:rsid w:val="007B472A"/>
    <w:rsid w:val="007B5A49"/>
    <w:rsid w:val="007B6C09"/>
    <w:rsid w:val="007B7716"/>
    <w:rsid w:val="007B7741"/>
    <w:rsid w:val="007B7747"/>
    <w:rsid w:val="007B7959"/>
    <w:rsid w:val="007B7F1D"/>
    <w:rsid w:val="007C029C"/>
    <w:rsid w:val="007C163D"/>
    <w:rsid w:val="007C67B7"/>
    <w:rsid w:val="007D0357"/>
    <w:rsid w:val="007D189C"/>
    <w:rsid w:val="007D34C9"/>
    <w:rsid w:val="007D3B0C"/>
    <w:rsid w:val="007D423C"/>
    <w:rsid w:val="007D52E3"/>
    <w:rsid w:val="007D6D30"/>
    <w:rsid w:val="007D6F8F"/>
    <w:rsid w:val="007D7035"/>
    <w:rsid w:val="007E09DA"/>
    <w:rsid w:val="007E1FD5"/>
    <w:rsid w:val="007E5AA9"/>
    <w:rsid w:val="007E716D"/>
    <w:rsid w:val="007E71C5"/>
    <w:rsid w:val="007E7320"/>
    <w:rsid w:val="007F02AD"/>
    <w:rsid w:val="007F2338"/>
    <w:rsid w:val="007F2571"/>
    <w:rsid w:val="007F4398"/>
    <w:rsid w:val="007F4AC0"/>
    <w:rsid w:val="007F6576"/>
    <w:rsid w:val="007F7A0E"/>
    <w:rsid w:val="0080155E"/>
    <w:rsid w:val="00806A87"/>
    <w:rsid w:val="00807E80"/>
    <w:rsid w:val="0081082A"/>
    <w:rsid w:val="00810D29"/>
    <w:rsid w:val="008115B8"/>
    <w:rsid w:val="00813599"/>
    <w:rsid w:val="0081375B"/>
    <w:rsid w:val="00815D83"/>
    <w:rsid w:val="00816D80"/>
    <w:rsid w:val="00817078"/>
    <w:rsid w:val="008178B6"/>
    <w:rsid w:val="00820997"/>
    <w:rsid w:val="00820EC4"/>
    <w:rsid w:val="008249A1"/>
    <w:rsid w:val="0082541C"/>
    <w:rsid w:val="008269E7"/>
    <w:rsid w:val="00830263"/>
    <w:rsid w:val="008305DB"/>
    <w:rsid w:val="00831C8E"/>
    <w:rsid w:val="008324BB"/>
    <w:rsid w:val="0083402A"/>
    <w:rsid w:val="00835B90"/>
    <w:rsid w:val="00836626"/>
    <w:rsid w:val="008368E7"/>
    <w:rsid w:val="00840A32"/>
    <w:rsid w:val="00840E00"/>
    <w:rsid w:val="0084135B"/>
    <w:rsid w:val="00844D8C"/>
    <w:rsid w:val="00844E64"/>
    <w:rsid w:val="00847625"/>
    <w:rsid w:val="00850C01"/>
    <w:rsid w:val="00850C7F"/>
    <w:rsid w:val="008513EE"/>
    <w:rsid w:val="0085177B"/>
    <w:rsid w:val="00852EE9"/>
    <w:rsid w:val="00855B25"/>
    <w:rsid w:val="008560BB"/>
    <w:rsid w:val="0085675A"/>
    <w:rsid w:val="00860606"/>
    <w:rsid w:val="00862110"/>
    <w:rsid w:val="008624B1"/>
    <w:rsid w:val="00863ABB"/>
    <w:rsid w:val="00864C23"/>
    <w:rsid w:val="008654B1"/>
    <w:rsid w:val="00865B74"/>
    <w:rsid w:val="00866FB6"/>
    <w:rsid w:val="00870C81"/>
    <w:rsid w:val="008714E6"/>
    <w:rsid w:val="0087243E"/>
    <w:rsid w:val="0087332C"/>
    <w:rsid w:val="008762CA"/>
    <w:rsid w:val="008816A2"/>
    <w:rsid w:val="008819FA"/>
    <w:rsid w:val="00881FFE"/>
    <w:rsid w:val="00884D45"/>
    <w:rsid w:val="00884F93"/>
    <w:rsid w:val="00884F99"/>
    <w:rsid w:val="008860A9"/>
    <w:rsid w:val="00890CFD"/>
    <w:rsid w:val="00890F2F"/>
    <w:rsid w:val="00891267"/>
    <w:rsid w:val="00893305"/>
    <w:rsid w:val="008966D3"/>
    <w:rsid w:val="008974F0"/>
    <w:rsid w:val="008A1D90"/>
    <w:rsid w:val="008A469F"/>
    <w:rsid w:val="008A61C3"/>
    <w:rsid w:val="008A68E2"/>
    <w:rsid w:val="008A6E7E"/>
    <w:rsid w:val="008B012A"/>
    <w:rsid w:val="008B1096"/>
    <w:rsid w:val="008B1F26"/>
    <w:rsid w:val="008B42E2"/>
    <w:rsid w:val="008B4FBF"/>
    <w:rsid w:val="008C0C19"/>
    <w:rsid w:val="008C32FB"/>
    <w:rsid w:val="008C4407"/>
    <w:rsid w:val="008C465D"/>
    <w:rsid w:val="008C654E"/>
    <w:rsid w:val="008D0C3E"/>
    <w:rsid w:val="008D10B2"/>
    <w:rsid w:val="008D2D0E"/>
    <w:rsid w:val="008D49EE"/>
    <w:rsid w:val="008D4B34"/>
    <w:rsid w:val="008D4C00"/>
    <w:rsid w:val="008D5C9A"/>
    <w:rsid w:val="008E1198"/>
    <w:rsid w:val="008E20A8"/>
    <w:rsid w:val="008E218E"/>
    <w:rsid w:val="008E27EF"/>
    <w:rsid w:val="008E2B47"/>
    <w:rsid w:val="008E35BE"/>
    <w:rsid w:val="008E479B"/>
    <w:rsid w:val="008F2015"/>
    <w:rsid w:val="008F2A4A"/>
    <w:rsid w:val="008F392E"/>
    <w:rsid w:val="008F4D9F"/>
    <w:rsid w:val="008F5CEF"/>
    <w:rsid w:val="008F6B03"/>
    <w:rsid w:val="008F6F51"/>
    <w:rsid w:val="00900FC3"/>
    <w:rsid w:val="009016A6"/>
    <w:rsid w:val="00902D09"/>
    <w:rsid w:val="00903191"/>
    <w:rsid w:val="00905E30"/>
    <w:rsid w:val="00906E17"/>
    <w:rsid w:val="00907288"/>
    <w:rsid w:val="009073EF"/>
    <w:rsid w:val="00907B79"/>
    <w:rsid w:val="00910E68"/>
    <w:rsid w:val="009134FD"/>
    <w:rsid w:val="00913A9A"/>
    <w:rsid w:val="00913F42"/>
    <w:rsid w:val="009222D2"/>
    <w:rsid w:val="00923DED"/>
    <w:rsid w:val="00924128"/>
    <w:rsid w:val="0092503A"/>
    <w:rsid w:val="00926CBE"/>
    <w:rsid w:val="00926FC1"/>
    <w:rsid w:val="009277CD"/>
    <w:rsid w:val="00927CB8"/>
    <w:rsid w:val="00930BA1"/>
    <w:rsid w:val="0093169E"/>
    <w:rsid w:val="00932DA1"/>
    <w:rsid w:val="00936F87"/>
    <w:rsid w:val="00940340"/>
    <w:rsid w:val="009430A4"/>
    <w:rsid w:val="00944FF7"/>
    <w:rsid w:val="00947B64"/>
    <w:rsid w:val="0095022D"/>
    <w:rsid w:val="009505C9"/>
    <w:rsid w:val="00950752"/>
    <w:rsid w:val="00950DB4"/>
    <w:rsid w:val="00953259"/>
    <w:rsid w:val="0095515F"/>
    <w:rsid w:val="009557C4"/>
    <w:rsid w:val="00960863"/>
    <w:rsid w:val="00961455"/>
    <w:rsid w:val="0096364B"/>
    <w:rsid w:val="0096604F"/>
    <w:rsid w:val="00966424"/>
    <w:rsid w:val="009666C7"/>
    <w:rsid w:val="00967445"/>
    <w:rsid w:val="00967978"/>
    <w:rsid w:val="00967A20"/>
    <w:rsid w:val="009700CF"/>
    <w:rsid w:val="009731F3"/>
    <w:rsid w:val="00973491"/>
    <w:rsid w:val="009737E9"/>
    <w:rsid w:val="0097392C"/>
    <w:rsid w:val="00974B4E"/>
    <w:rsid w:val="00975DDF"/>
    <w:rsid w:val="0097613C"/>
    <w:rsid w:val="00980DD7"/>
    <w:rsid w:val="00981D43"/>
    <w:rsid w:val="00982965"/>
    <w:rsid w:val="00982BB3"/>
    <w:rsid w:val="00985F51"/>
    <w:rsid w:val="0098650B"/>
    <w:rsid w:val="00986C07"/>
    <w:rsid w:val="00991B2E"/>
    <w:rsid w:val="00992C6C"/>
    <w:rsid w:val="00995CF4"/>
    <w:rsid w:val="009960F2"/>
    <w:rsid w:val="009A0EEF"/>
    <w:rsid w:val="009A1374"/>
    <w:rsid w:val="009A22F4"/>
    <w:rsid w:val="009A399B"/>
    <w:rsid w:val="009A3F46"/>
    <w:rsid w:val="009A4B7C"/>
    <w:rsid w:val="009A68C0"/>
    <w:rsid w:val="009B1BF1"/>
    <w:rsid w:val="009B1D67"/>
    <w:rsid w:val="009B268D"/>
    <w:rsid w:val="009B5F66"/>
    <w:rsid w:val="009B64E8"/>
    <w:rsid w:val="009B678B"/>
    <w:rsid w:val="009C1E4D"/>
    <w:rsid w:val="009C214E"/>
    <w:rsid w:val="009C2672"/>
    <w:rsid w:val="009C2DE6"/>
    <w:rsid w:val="009C5ABB"/>
    <w:rsid w:val="009D0C93"/>
    <w:rsid w:val="009D18B9"/>
    <w:rsid w:val="009D2214"/>
    <w:rsid w:val="009D2C17"/>
    <w:rsid w:val="009D5067"/>
    <w:rsid w:val="009D56F1"/>
    <w:rsid w:val="009D6243"/>
    <w:rsid w:val="009D79E9"/>
    <w:rsid w:val="009D7A85"/>
    <w:rsid w:val="009E18B2"/>
    <w:rsid w:val="009E5DC3"/>
    <w:rsid w:val="009F4E09"/>
    <w:rsid w:val="009F6263"/>
    <w:rsid w:val="009F6278"/>
    <w:rsid w:val="009F63C2"/>
    <w:rsid w:val="009F6765"/>
    <w:rsid w:val="009F6856"/>
    <w:rsid w:val="00A01EB9"/>
    <w:rsid w:val="00A03DFA"/>
    <w:rsid w:val="00A07987"/>
    <w:rsid w:val="00A10388"/>
    <w:rsid w:val="00A11887"/>
    <w:rsid w:val="00A144EB"/>
    <w:rsid w:val="00A1456C"/>
    <w:rsid w:val="00A14EF0"/>
    <w:rsid w:val="00A16BD2"/>
    <w:rsid w:val="00A21C3B"/>
    <w:rsid w:val="00A221F7"/>
    <w:rsid w:val="00A3010A"/>
    <w:rsid w:val="00A32268"/>
    <w:rsid w:val="00A330FA"/>
    <w:rsid w:val="00A413EC"/>
    <w:rsid w:val="00A42186"/>
    <w:rsid w:val="00A42336"/>
    <w:rsid w:val="00A42D33"/>
    <w:rsid w:val="00A43F7A"/>
    <w:rsid w:val="00A47829"/>
    <w:rsid w:val="00A5263C"/>
    <w:rsid w:val="00A56068"/>
    <w:rsid w:val="00A566AC"/>
    <w:rsid w:val="00A575E7"/>
    <w:rsid w:val="00A5785A"/>
    <w:rsid w:val="00A612FD"/>
    <w:rsid w:val="00A62FA9"/>
    <w:rsid w:val="00A63C47"/>
    <w:rsid w:val="00A6493E"/>
    <w:rsid w:val="00A6581D"/>
    <w:rsid w:val="00A659A6"/>
    <w:rsid w:val="00A65E4E"/>
    <w:rsid w:val="00A67B6A"/>
    <w:rsid w:val="00A721E9"/>
    <w:rsid w:val="00A725D3"/>
    <w:rsid w:val="00A77B8F"/>
    <w:rsid w:val="00A77DD9"/>
    <w:rsid w:val="00A80B3B"/>
    <w:rsid w:val="00A81538"/>
    <w:rsid w:val="00A821CC"/>
    <w:rsid w:val="00A84126"/>
    <w:rsid w:val="00A855CF"/>
    <w:rsid w:val="00A862CE"/>
    <w:rsid w:val="00A917BD"/>
    <w:rsid w:val="00A9274E"/>
    <w:rsid w:val="00A93B3E"/>
    <w:rsid w:val="00A9501B"/>
    <w:rsid w:val="00AA0591"/>
    <w:rsid w:val="00AA1762"/>
    <w:rsid w:val="00AA2154"/>
    <w:rsid w:val="00AA3824"/>
    <w:rsid w:val="00AA3C90"/>
    <w:rsid w:val="00AA465A"/>
    <w:rsid w:val="00AA50E3"/>
    <w:rsid w:val="00AA6425"/>
    <w:rsid w:val="00AA6F92"/>
    <w:rsid w:val="00AB0FFD"/>
    <w:rsid w:val="00AB4917"/>
    <w:rsid w:val="00AB6934"/>
    <w:rsid w:val="00AB7719"/>
    <w:rsid w:val="00AC1435"/>
    <w:rsid w:val="00AC4C55"/>
    <w:rsid w:val="00AC5C42"/>
    <w:rsid w:val="00AC6B71"/>
    <w:rsid w:val="00AD00C4"/>
    <w:rsid w:val="00AD00CD"/>
    <w:rsid w:val="00AD0F5A"/>
    <w:rsid w:val="00AD1E2A"/>
    <w:rsid w:val="00AD530A"/>
    <w:rsid w:val="00AE2A73"/>
    <w:rsid w:val="00AE3C94"/>
    <w:rsid w:val="00AE5077"/>
    <w:rsid w:val="00AE6E68"/>
    <w:rsid w:val="00AE7605"/>
    <w:rsid w:val="00AF10CA"/>
    <w:rsid w:val="00AF11ED"/>
    <w:rsid w:val="00AF42DE"/>
    <w:rsid w:val="00AF5698"/>
    <w:rsid w:val="00AF60D7"/>
    <w:rsid w:val="00AF6BB9"/>
    <w:rsid w:val="00B00FCB"/>
    <w:rsid w:val="00B015FA"/>
    <w:rsid w:val="00B02B16"/>
    <w:rsid w:val="00B0388B"/>
    <w:rsid w:val="00B05729"/>
    <w:rsid w:val="00B05A4F"/>
    <w:rsid w:val="00B0606C"/>
    <w:rsid w:val="00B0657D"/>
    <w:rsid w:val="00B1159B"/>
    <w:rsid w:val="00B12924"/>
    <w:rsid w:val="00B134B4"/>
    <w:rsid w:val="00B13A88"/>
    <w:rsid w:val="00B146E1"/>
    <w:rsid w:val="00B14D2E"/>
    <w:rsid w:val="00B178F0"/>
    <w:rsid w:val="00B20BE0"/>
    <w:rsid w:val="00B21242"/>
    <w:rsid w:val="00B2195B"/>
    <w:rsid w:val="00B25A26"/>
    <w:rsid w:val="00B25EB8"/>
    <w:rsid w:val="00B2640F"/>
    <w:rsid w:val="00B26BBC"/>
    <w:rsid w:val="00B27A0B"/>
    <w:rsid w:val="00B30C6C"/>
    <w:rsid w:val="00B30DFE"/>
    <w:rsid w:val="00B3266F"/>
    <w:rsid w:val="00B32A38"/>
    <w:rsid w:val="00B3369F"/>
    <w:rsid w:val="00B36557"/>
    <w:rsid w:val="00B3731A"/>
    <w:rsid w:val="00B41FC1"/>
    <w:rsid w:val="00B43DF9"/>
    <w:rsid w:val="00B440A9"/>
    <w:rsid w:val="00B44AC9"/>
    <w:rsid w:val="00B55D07"/>
    <w:rsid w:val="00B56196"/>
    <w:rsid w:val="00B57ADD"/>
    <w:rsid w:val="00B624FD"/>
    <w:rsid w:val="00B639CB"/>
    <w:rsid w:val="00B659DB"/>
    <w:rsid w:val="00B65DC5"/>
    <w:rsid w:val="00B65E71"/>
    <w:rsid w:val="00B74673"/>
    <w:rsid w:val="00B86058"/>
    <w:rsid w:val="00B862DF"/>
    <w:rsid w:val="00B873C7"/>
    <w:rsid w:val="00B877D7"/>
    <w:rsid w:val="00B905EE"/>
    <w:rsid w:val="00B909D3"/>
    <w:rsid w:val="00B90CD8"/>
    <w:rsid w:val="00B914BB"/>
    <w:rsid w:val="00B92758"/>
    <w:rsid w:val="00B94E6C"/>
    <w:rsid w:val="00B9627A"/>
    <w:rsid w:val="00B96976"/>
    <w:rsid w:val="00B971E5"/>
    <w:rsid w:val="00BA09DC"/>
    <w:rsid w:val="00BA4A55"/>
    <w:rsid w:val="00BA5740"/>
    <w:rsid w:val="00BA63A3"/>
    <w:rsid w:val="00BB1548"/>
    <w:rsid w:val="00BB1C32"/>
    <w:rsid w:val="00BB4606"/>
    <w:rsid w:val="00BB64A9"/>
    <w:rsid w:val="00BC0439"/>
    <w:rsid w:val="00BC0757"/>
    <w:rsid w:val="00BC1CA2"/>
    <w:rsid w:val="00BC209D"/>
    <w:rsid w:val="00BC24E6"/>
    <w:rsid w:val="00BC662A"/>
    <w:rsid w:val="00BC6E75"/>
    <w:rsid w:val="00BD19E9"/>
    <w:rsid w:val="00BD21C1"/>
    <w:rsid w:val="00BD2219"/>
    <w:rsid w:val="00BD2791"/>
    <w:rsid w:val="00BD2F94"/>
    <w:rsid w:val="00BD45A5"/>
    <w:rsid w:val="00BD52BC"/>
    <w:rsid w:val="00BD5DB4"/>
    <w:rsid w:val="00BD767C"/>
    <w:rsid w:val="00BD7AF0"/>
    <w:rsid w:val="00BE06A0"/>
    <w:rsid w:val="00BE0752"/>
    <w:rsid w:val="00BE3013"/>
    <w:rsid w:val="00BE3EAF"/>
    <w:rsid w:val="00BE752D"/>
    <w:rsid w:val="00BE7BAB"/>
    <w:rsid w:val="00BF2482"/>
    <w:rsid w:val="00BF3A48"/>
    <w:rsid w:val="00BF43AD"/>
    <w:rsid w:val="00BF68E1"/>
    <w:rsid w:val="00BF691E"/>
    <w:rsid w:val="00C02984"/>
    <w:rsid w:val="00C03A8A"/>
    <w:rsid w:val="00C041A2"/>
    <w:rsid w:val="00C05CCF"/>
    <w:rsid w:val="00C05E7E"/>
    <w:rsid w:val="00C06791"/>
    <w:rsid w:val="00C10223"/>
    <w:rsid w:val="00C11EC2"/>
    <w:rsid w:val="00C12E25"/>
    <w:rsid w:val="00C1431A"/>
    <w:rsid w:val="00C15666"/>
    <w:rsid w:val="00C204D5"/>
    <w:rsid w:val="00C210D1"/>
    <w:rsid w:val="00C23D2F"/>
    <w:rsid w:val="00C30CEE"/>
    <w:rsid w:val="00C34A7B"/>
    <w:rsid w:val="00C36FC4"/>
    <w:rsid w:val="00C4029C"/>
    <w:rsid w:val="00C41290"/>
    <w:rsid w:val="00C41864"/>
    <w:rsid w:val="00C437CC"/>
    <w:rsid w:val="00C443BD"/>
    <w:rsid w:val="00C44C0C"/>
    <w:rsid w:val="00C451C5"/>
    <w:rsid w:val="00C4544F"/>
    <w:rsid w:val="00C46B9B"/>
    <w:rsid w:val="00C474FD"/>
    <w:rsid w:val="00C47BBD"/>
    <w:rsid w:val="00C5125E"/>
    <w:rsid w:val="00C521ED"/>
    <w:rsid w:val="00C52DE5"/>
    <w:rsid w:val="00C53D1C"/>
    <w:rsid w:val="00C54AC3"/>
    <w:rsid w:val="00C55168"/>
    <w:rsid w:val="00C55C37"/>
    <w:rsid w:val="00C579A1"/>
    <w:rsid w:val="00C62427"/>
    <w:rsid w:val="00C66BC7"/>
    <w:rsid w:val="00C673B8"/>
    <w:rsid w:val="00C712FF"/>
    <w:rsid w:val="00C723D2"/>
    <w:rsid w:val="00C726A3"/>
    <w:rsid w:val="00C737BD"/>
    <w:rsid w:val="00C73C04"/>
    <w:rsid w:val="00C73C07"/>
    <w:rsid w:val="00C74EA8"/>
    <w:rsid w:val="00C75318"/>
    <w:rsid w:val="00C7799C"/>
    <w:rsid w:val="00C8195B"/>
    <w:rsid w:val="00C82233"/>
    <w:rsid w:val="00C82345"/>
    <w:rsid w:val="00C82E54"/>
    <w:rsid w:val="00C8652E"/>
    <w:rsid w:val="00C86D22"/>
    <w:rsid w:val="00C872C7"/>
    <w:rsid w:val="00C9161D"/>
    <w:rsid w:val="00C94B27"/>
    <w:rsid w:val="00CA03DB"/>
    <w:rsid w:val="00CA0C1D"/>
    <w:rsid w:val="00CA12D3"/>
    <w:rsid w:val="00CA1ED9"/>
    <w:rsid w:val="00CA2855"/>
    <w:rsid w:val="00CA2E75"/>
    <w:rsid w:val="00CA2FB9"/>
    <w:rsid w:val="00CA41BA"/>
    <w:rsid w:val="00CA71C0"/>
    <w:rsid w:val="00CB0ABA"/>
    <w:rsid w:val="00CB4A43"/>
    <w:rsid w:val="00CB7285"/>
    <w:rsid w:val="00CB76B8"/>
    <w:rsid w:val="00CC7426"/>
    <w:rsid w:val="00CD0385"/>
    <w:rsid w:val="00CD0BF9"/>
    <w:rsid w:val="00CD1318"/>
    <w:rsid w:val="00CD1CFD"/>
    <w:rsid w:val="00CD2811"/>
    <w:rsid w:val="00CD4714"/>
    <w:rsid w:val="00CD6D77"/>
    <w:rsid w:val="00CE09E0"/>
    <w:rsid w:val="00CE2E80"/>
    <w:rsid w:val="00CE7F6E"/>
    <w:rsid w:val="00CF084B"/>
    <w:rsid w:val="00CF1848"/>
    <w:rsid w:val="00CF23AF"/>
    <w:rsid w:val="00CF477A"/>
    <w:rsid w:val="00CF497E"/>
    <w:rsid w:val="00CF6F4B"/>
    <w:rsid w:val="00CF70B7"/>
    <w:rsid w:val="00CF7BB4"/>
    <w:rsid w:val="00D00460"/>
    <w:rsid w:val="00D02603"/>
    <w:rsid w:val="00D026E5"/>
    <w:rsid w:val="00D030E7"/>
    <w:rsid w:val="00D0315D"/>
    <w:rsid w:val="00D03AF4"/>
    <w:rsid w:val="00D0765C"/>
    <w:rsid w:val="00D12044"/>
    <w:rsid w:val="00D12AFB"/>
    <w:rsid w:val="00D12B02"/>
    <w:rsid w:val="00D132EF"/>
    <w:rsid w:val="00D23A28"/>
    <w:rsid w:val="00D24702"/>
    <w:rsid w:val="00D25732"/>
    <w:rsid w:val="00D25A0B"/>
    <w:rsid w:val="00D27829"/>
    <w:rsid w:val="00D300F2"/>
    <w:rsid w:val="00D30491"/>
    <w:rsid w:val="00D30CF2"/>
    <w:rsid w:val="00D31DE0"/>
    <w:rsid w:val="00D33EFC"/>
    <w:rsid w:val="00D366F7"/>
    <w:rsid w:val="00D3784F"/>
    <w:rsid w:val="00D37D0F"/>
    <w:rsid w:val="00D40DBC"/>
    <w:rsid w:val="00D41F3E"/>
    <w:rsid w:val="00D42DAD"/>
    <w:rsid w:val="00D436B7"/>
    <w:rsid w:val="00D459A6"/>
    <w:rsid w:val="00D46EAA"/>
    <w:rsid w:val="00D47B3C"/>
    <w:rsid w:val="00D5007F"/>
    <w:rsid w:val="00D512C8"/>
    <w:rsid w:val="00D54955"/>
    <w:rsid w:val="00D5501B"/>
    <w:rsid w:val="00D55AB9"/>
    <w:rsid w:val="00D5607D"/>
    <w:rsid w:val="00D56B27"/>
    <w:rsid w:val="00D61160"/>
    <w:rsid w:val="00D63413"/>
    <w:rsid w:val="00D63992"/>
    <w:rsid w:val="00D64677"/>
    <w:rsid w:val="00D64A73"/>
    <w:rsid w:val="00D64C60"/>
    <w:rsid w:val="00D7063C"/>
    <w:rsid w:val="00D70C1C"/>
    <w:rsid w:val="00D728F4"/>
    <w:rsid w:val="00D73678"/>
    <w:rsid w:val="00D75CE6"/>
    <w:rsid w:val="00D76A18"/>
    <w:rsid w:val="00D80849"/>
    <w:rsid w:val="00D817CC"/>
    <w:rsid w:val="00D822B1"/>
    <w:rsid w:val="00D82E8F"/>
    <w:rsid w:val="00D831D6"/>
    <w:rsid w:val="00D84BEE"/>
    <w:rsid w:val="00D8648B"/>
    <w:rsid w:val="00D86E8A"/>
    <w:rsid w:val="00D87974"/>
    <w:rsid w:val="00D9083E"/>
    <w:rsid w:val="00D90AA1"/>
    <w:rsid w:val="00D92353"/>
    <w:rsid w:val="00D9292D"/>
    <w:rsid w:val="00D9539F"/>
    <w:rsid w:val="00D95AFB"/>
    <w:rsid w:val="00D973E9"/>
    <w:rsid w:val="00D975C2"/>
    <w:rsid w:val="00DA0371"/>
    <w:rsid w:val="00DA141C"/>
    <w:rsid w:val="00DA23F2"/>
    <w:rsid w:val="00DA2820"/>
    <w:rsid w:val="00DA3E7F"/>
    <w:rsid w:val="00DA400C"/>
    <w:rsid w:val="00DA4A69"/>
    <w:rsid w:val="00DA4C0B"/>
    <w:rsid w:val="00DA5B55"/>
    <w:rsid w:val="00DA5CD5"/>
    <w:rsid w:val="00DA6394"/>
    <w:rsid w:val="00DA67E1"/>
    <w:rsid w:val="00DB0025"/>
    <w:rsid w:val="00DB024D"/>
    <w:rsid w:val="00DB0695"/>
    <w:rsid w:val="00DB1DA0"/>
    <w:rsid w:val="00DB2559"/>
    <w:rsid w:val="00DB7061"/>
    <w:rsid w:val="00DB7114"/>
    <w:rsid w:val="00DB72DE"/>
    <w:rsid w:val="00DC134E"/>
    <w:rsid w:val="00DC13CB"/>
    <w:rsid w:val="00DC2793"/>
    <w:rsid w:val="00DC40FF"/>
    <w:rsid w:val="00DC50B2"/>
    <w:rsid w:val="00DC5BA2"/>
    <w:rsid w:val="00DC76C5"/>
    <w:rsid w:val="00DC76E0"/>
    <w:rsid w:val="00DD118C"/>
    <w:rsid w:val="00DD1B66"/>
    <w:rsid w:val="00DD1D59"/>
    <w:rsid w:val="00DD3DC1"/>
    <w:rsid w:val="00DD4230"/>
    <w:rsid w:val="00DE24F6"/>
    <w:rsid w:val="00DE44FD"/>
    <w:rsid w:val="00DE767F"/>
    <w:rsid w:val="00DE7C13"/>
    <w:rsid w:val="00DF11FC"/>
    <w:rsid w:val="00DF3C64"/>
    <w:rsid w:val="00DF3CA8"/>
    <w:rsid w:val="00DF416D"/>
    <w:rsid w:val="00DF65DC"/>
    <w:rsid w:val="00E0134F"/>
    <w:rsid w:val="00E019BF"/>
    <w:rsid w:val="00E0466A"/>
    <w:rsid w:val="00E04D78"/>
    <w:rsid w:val="00E065E3"/>
    <w:rsid w:val="00E116F5"/>
    <w:rsid w:val="00E11B66"/>
    <w:rsid w:val="00E12A75"/>
    <w:rsid w:val="00E12FAA"/>
    <w:rsid w:val="00E134E4"/>
    <w:rsid w:val="00E14860"/>
    <w:rsid w:val="00E15E40"/>
    <w:rsid w:val="00E16451"/>
    <w:rsid w:val="00E17F32"/>
    <w:rsid w:val="00E23D1A"/>
    <w:rsid w:val="00E24B27"/>
    <w:rsid w:val="00E317CB"/>
    <w:rsid w:val="00E31DA4"/>
    <w:rsid w:val="00E320B5"/>
    <w:rsid w:val="00E341ED"/>
    <w:rsid w:val="00E34654"/>
    <w:rsid w:val="00E3714F"/>
    <w:rsid w:val="00E37278"/>
    <w:rsid w:val="00E41BDA"/>
    <w:rsid w:val="00E42463"/>
    <w:rsid w:val="00E426CB"/>
    <w:rsid w:val="00E44A27"/>
    <w:rsid w:val="00E45E14"/>
    <w:rsid w:val="00E514C6"/>
    <w:rsid w:val="00E51A35"/>
    <w:rsid w:val="00E526F1"/>
    <w:rsid w:val="00E53517"/>
    <w:rsid w:val="00E53F2E"/>
    <w:rsid w:val="00E53FDD"/>
    <w:rsid w:val="00E558B3"/>
    <w:rsid w:val="00E56268"/>
    <w:rsid w:val="00E615C4"/>
    <w:rsid w:val="00E62139"/>
    <w:rsid w:val="00E63ED6"/>
    <w:rsid w:val="00E65EBB"/>
    <w:rsid w:val="00E66235"/>
    <w:rsid w:val="00E67348"/>
    <w:rsid w:val="00E6741B"/>
    <w:rsid w:val="00E71514"/>
    <w:rsid w:val="00E73F9D"/>
    <w:rsid w:val="00E80CE3"/>
    <w:rsid w:val="00E80EAD"/>
    <w:rsid w:val="00E817D4"/>
    <w:rsid w:val="00E83719"/>
    <w:rsid w:val="00E83C24"/>
    <w:rsid w:val="00E861FD"/>
    <w:rsid w:val="00E86FE9"/>
    <w:rsid w:val="00E8738F"/>
    <w:rsid w:val="00E87712"/>
    <w:rsid w:val="00E90829"/>
    <w:rsid w:val="00E926A4"/>
    <w:rsid w:val="00E9318D"/>
    <w:rsid w:val="00E9393B"/>
    <w:rsid w:val="00E93B2B"/>
    <w:rsid w:val="00E94949"/>
    <w:rsid w:val="00E9563D"/>
    <w:rsid w:val="00E95F4E"/>
    <w:rsid w:val="00E96D0E"/>
    <w:rsid w:val="00E96FDB"/>
    <w:rsid w:val="00EB1030"/>
    <w:rsid w:val="00EB39FF"/>
    <w:rsid w:val="00EB571C"/>
    <w:rsid w:val="00EC5436"/>
    <w:rsid w:val="00ED20BE"/>
    <w:rsid w:val="00ED2923"/>
    <w:rsid w:val="00ED2B9E"/>
    <w:rsid w:val="00ED2DCA"/>
    <w:rsid w:val="00ED32CE"/>
    <w:rsid w:val="00ED41D0"/>
    <w:rsid w:val="00ED49A1"/>
    <w:rsid w:val="00ED57CE"/>
    <w:rsid w:val="00ED61CD"/>
    <w:rsid w:val="00ED6FBE"/>
    <w:rsid w:val="00ED7BD4"/>
    <w:rsid w:val="00EE058A"/>
    <w:rsid w:val="00EE3AA2"/>
    <w:rsid w:val="00EE6B1D"/>
    <w:rsid w:val="00EE6C4F"/>
    <w:rsid w:val="00EE7D87"/>
    <w:rsid w:val="00EF035D"/>
    <w:rsid w:val="00EF4239"/>
    <w:rsid w:val="00EF6AC6"/>
    <w:rsid w:val="00F042BF"/>
    <w:rsid w:val="00F05CCD"/>
    <w:rsid w:val="00F05FDF"/>
    <w:rsid w:val="00F064EE"/>
    <w:rsid w:val="00F075ED"/>
    <w:rsid w:val="00F10A03"/>
    <w:rsid w:val="00F13D31"/>
    <w:rsid w:val="00F15C28"/>
    <w:rsid w:val="00F20156"/>
    <w:rsid w:val="00F204AA"/>
    <w:rsid w:val="00F213E5"/>
    <w:rsid w:val="00F22271"/>
    <w:rsid w:val="00F24374"/>
    <w:rsid w:val="00F25362"/>
    <w:rsid w:val="00F26402"/>
    <w:rsid w:val="00F27059"/>
    <w:rsid w:val="00F30572"/>
    <w:rsid w:val="00F30A7B"/>
    <w:rsid w:val="00F313B9"/>
    <w:rsid w:val="00F3330F"/>
    <w:rsid w:val="00F35685"/>
    <w:rsid w:val="00F35D0A"/>
    <w:rsid w:val="00F37D0E"/>
    <w:rsid w:val="00F41164"/>
    <w:rsid w:val="00F41A59"/>
    <w:rsid w:val="00F43140"/>
    <w:rsid w:val="00F51CF1"/>
    <w:rsid w:val="00F5213C"/>
    <w:rsid w:val="00F522F0"/>
    <w:rsid w:val="00F53193"/>
    <w:rsid w:val="00F547B0"/>
    <w:rsid w:val="00F54B59"/>
    <w:rsid w:val="00F561A2"/>
    <w:rsid w:val="00F562EE"/>
    <w:rsid w:val="00F562FE"/>
    <w:rsid w:val="00F6155B"/>
    <w:rsid w:val="00F6168E"/>
    <w:rsid w:val="00F64CCC"/>
    <w:rsid w:val="00F6586C"/>
    <w:rsid w:val="00F75D3F"/>
    <w:rsid w:val="00F77AB4"/>
    <w:rsid w:val="00F77C1E"/>
    <w:rsid w:val="00F837D8"/>
    <w:rsid w:val="00F84063"/>
    <w:rsid w:val="00F84B51"/>
    <w:rsid w:val="00F905D6"/>
    <w:rsid w:val="00F91774"/>
    <w:rsid w:val="00F94774"/>
    <w:rsid w:val="00F94E25"/>
    <w:rsid w:val="00F95C78"/>
    <w:rsid w:val="00F96FB4"/>
    <w:rsid w:val="00F97FAA"/>
    <w:rsid w:val="00FA05BA"/>
    <w:rsid w:val="00FA0F3E"/>
    <w:rsid w:val="00FA2822"/>
    <w:rsid w:val="00FA295F"/>
    <w:rsid w:val="00FA3BE3"/>
    <w:rsid w:val="00FA44E1"/>
    <w:rsid w:val="00FA663B"/>
    <w:rsid w:val="00FA6814"/>
    <w:rsid w:val="00FA6D52"/>
    <w:rsid w:val="00FB1B89"/>
    <w:rsid w:val="00FB32EF"/>
    <w:rsid w:val="00FB352B"/>
    <w:rsid w:val="00FB3881"/>
    <w:rsid w:val="00FB7BD0"/>
    <w:rsid w:val="00FC0498"/>
    <w:rsid w:val="00FC2107"/>
    <w:rsid w:val="00FC26AF"/>
    <w:rsid w:val="00FC3BCA"/>
    <w:rsid w:val="00FC431B"/>
    <w:rsid w:val="00FC53DB"/>
    <w:rsid w:val="00FC5449"/>
    <w:rsid w:val="00FC7D60"/>
    <w:rsid w:val="00FD0539"/>
    <w:rsid w:val="00FD2FAC"/>
    <w:rsid w:val="00FD43F0"/>
    <w:rsid w:val="00FD4E26"/>
    <w:rsid w:val="00FD6668"/>
    <w:rsid w:val="00FD730E"/>
    <w:rsid w:val="00FE00E6"/>
    <w:rsid w:val="00FE17E6"/>
    <w:rsid w:val="00FE2BE2"/>
    <w:rsid w:val="00FE31FC"/>
    <w:rsid w:val="00FE3FD6"/>
    <w:rsid w:val="00FE4878"/>
    <w:rsid w:val="00FE53F5"/>
    <w:rsid w:val="00FE57C0"/>
    <w:rsid w:val="00FE7787"/>
    <w:rsid w:val="00FF0026"/>
    <w:rsid w:val="00FF1490"/>
    <w:rsid w:val="00FF167B"/>
    <w:rsid w:val="00FF38B4"/>
    <w:rsid w:val="00FF4005"/>
    <w:rsid w:val="00FF78E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344B5DE"/>
  <w15:docId w15:val="{F549223A-EC6C-4955-94A0-F2DDF3FF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31"/>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character" w:customStyle="1" w:styleId="UnresolvedMention1">
    <w:name w:val="Unresolved Mention1"/>
    <w:basedOn w:val="DefaultParagraphFont"/>
    <w:uiPriority w:val="99"/>
    <w:semiHidden/>
    <w:unhideWhenUsed/>
    <w:rsid w:val="00D41F3E"/>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230550"/>
    <w:pPr>
      <w:spacing w:after="160" w:line="240" w:lineRule="exact"/>
      <w:jc w:val="left"/>
    </w:pPr>
    <w:rPr>
      <w:rFonts w:asciiTheme="minorHAnsi" w:eastAsiaTheme="minorEastAsia" w:hAnsiTheme="minorHAnsi" w:cstheme="minorBidi"/>
      <w:vertAlign w:val="superscript"/>
      <w:lang w:val="fr-CA"/>
    </w:rPr>
  </w:style>
  <w:style w:type="paragraph" w:styleId="CommentSubject">
    <w:name w:val="annotation subject"/>
    <w:basedOn w:val="CommentText"/>
    <w:next w:val="CommentText"/>
    <w:link w:val="CommentSubjectChar"/>
    <w:uiPriority w:val="99"/>
    <w:semiHidden/>
    <w:unhideWhenUsed/>
    <w:rsid w:val="0059729D"/>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59729D"/>
    <w:rPr>
      <w:rFonts w:ascii="Times New Roman" w:eastAsia="Times New Roman" w:hAnsi="Times New Roman" w:cs="Times New Roman"/>
      <w:b/>
      <w:bCs/>
      <w:sz w:val="20"/>
      <w:szCs w:val="20"/>
      <w:lang w:val="en-GB"/>
    </w:rPr>
  </w:style>
  <w:style w:type="paragraph" w:styleId="Revision">
    <w:name w:val="Revision"/>
    <w:hidden/>
    <w:uiPriority w:val="99"/>
    <w:semiHidden/>
    <w:rsid w:val="0007636F"/>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547990">
      <w:bodyDiv w:val="1"/>
      <w:marLeft w:val="0"/>
      <w:marRight w:val="0"/>
      <w:marTop w:val="0"/>
      <w:marBottom w:val="0"/>
      <w:divBdr>
        <w:top w:val="none" w:sz="0" w:space="0" w:color="auto"/>
        <w:left w:val="none" w:sz="0" w:space="0" w:color="auto"/>
        <w:bottom w:val="none" w:sz="0" w:space="0" w:color="auto"/>
        <w:right w:val="none" w:sz="0" w:space="0" w:color="auto"/>
      </w:divBdr>
    </w:div>
    <w:div w:id="1141969296">
      <w:bodyDiv w:val="1"/>
      <w:marLeft w:val="0"/>
      <w:marRight w:val="0"/>
      <w:marTop w:val="0"/>
      <w:marBottom w:val="0"/>
      <w:divBdr>
        <w:top w:val="none" w:sz="0" w:space="0" w:color="auto"/>
        <w:left w:val="none" w:sz="0" w:space="0" w:color="auto"/>
        <w:bottom w:val="none" w:sz="0" w:space="0" w:color="auto"/>
        <w:right w:val="none" w:sz="0" w:space="0" w:color="auto"/>
      </w:divBdr>
    </w:div>
    <w:div w:id="1637029702">
      <w:bodyDiv w:val="1"/>
      <w:marLeft w:val="0"/>
      <w:marRight w:val="0"/>
      <w:marTop w:val="0"/>
      <w:marBottom w:val="0"/>
      <w:divBdr>
        <w:top w:val="none" w:sz="0" w:space="0" w:color="auto"/>
        <w:left w:val="none" w:sz="0" w:space="0" w:color="auto"/>
        <w:bottom w:val="none" w:sz="0" w:space="0" w:color="auto"/>
        <w:right w:val="none" w:sz="0" w:space="0" w:color="auto"/>
      </w:divBdr>
    </w:div>
    <w:div w:id="1726446067">
      <w:bodyDiv w:val="1"/>
      <w:marLeft w:val="0"/>
      <w:marRight w:val="0"/>
      <w:marTop w:val="0"/>
      <w:marBottom w:val="0"/>
      <w:divBdr>
        <w:top w:val="none" w:sz="0" w:space="0" w:color="auto"/>
        <w:left w:val="none" w:sz="0" w:space="0" w:color="auto"/>
        <w:bottom w:val="none" w:sz="0" w:space="0" w:color="auto"/>
        <w:right w:val="none" w:sz="0" w:space="0" w:color="auto"/>
      </w:divBdr>
      <w:divsChild>
        <w:div w:id="396129988">
          <w:marLeft w:val="0"/>
          <w:marRight w:val="0"/>
          <w:marTop w:val="0"/>
          <w:marBottom w:val="0"/>
          <w:divBdr>
            <w:top w:val="none" w:sz="0" w:space="0" w:color="auto"/>
            <w:left w:val="none" w:sz="0" w:space="0" w:color="auto"/>
            <w:bottom w:val="none" w:sz="0" w:space="0" w:color="auto"/>
            <w:right w:val="none" w:sz="0" w:space="0" w:color="auto"/>
          </w:divBdr>
        </w:div>
      </w:divsChild>
    </w:div>
    <w:div w:id="19634148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ecisions/mop/" TargetMode="External"/><Relationship Id="rId2" Type="http://schemas.openxmlformats.org/officeDocument/2006/relationships/customXml" Target="../customXml/item2.xml"/><Relationship Id="rId16" Type="http://schemas.openxmlformats.org/officeDocument/2006/relationships/hyperlink" Target="https://www.cbd.int/doc/decisions/cp-mop-09/cp-mop-09-dec-06-fr.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bch.cbd.int/protocol/decisions/?decisionID=12329"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33784"/>
    <w:rsid w:val="000F6DE2"/>
    <w:rsid w:val="0011769A"/>
    <w:rsid w:val="00125FDF"/>
    <w:rsid w:val="00180D62"/>
    <w:rsid w:val="00201389"/>
    <w:rsid w:val="002E6DDD"/>
    <w:rsid w:val="0046422C"/>
    <w:rsid w:val="004760CF"/>
    <w:rsid w:val="0049131D"/>
    <w:rsid w:val="004C646E"/>
    <w:rsid w:val="004E092F"/>
    <w:rsid w:val="00500A2B"/>
    <w:rsid w:val="005269FE"/>
    <w:rsid w:val="0058288D"/>
    <w:rsid w:val="00660AB2"/>
    <w:rsid w:val="00665C6B"/>
    <w:rsid w:val="006801B3"/>
    <w:rsid w:val="00680FFC"/>
    <w:rsid w:val="006A7353"/>
    <w:rsid w:val="007E3969"/>
    <w:rsid w:val="008079A2"/>
    <w:rsid w:val="00810A55"/>
    <w:rsid w:val="008C6619"/>
    <w:rsid w:val="008D420E"/>
    <w:rsid w:val="00924780"/>
    <w:rsid w:val="0098642F"/>
    <w:rsid w:val="009B2CEE"/>
    <w:rsid w:val="009C4601"/>
    <w:rsid w:val="00AE42F4"/>
    <w:rsid w:val="00B415DA"/>
    <w:rsid w:val="00B835BE"/>
    <w:rsid w:val="00C8104B"/>
    <w:rsid w:val="00C82BF0"/>
    <w:rsid w:val="00D31D12"/>
    <w:rsid w:val="00D73D72"/>
    <w:rsid w:val="00D936C4"/>
    <w:rsid w:val="00E03B14"/>
    <w:rsid w:val="00F36D5C"/>
    <w:rsid w:val="00F74B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C6B"/>
    <w:rPr>
      <w:color w:val="808080"/>
    </w:rPr>
  </w:style>
  <w:style w:type="paragraph" w:customStyle="1" w:styleId="B0BC6958BF87464E9253B5F06843757E">
    <w:name w:val="B0BC6958BF87464E9253B5F06843757E"/>
    <w:rsid w:val="00665C6B"/>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8F7D463F-ACFD-44DE-8D4C-6433F6192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A8C307-BA7E-4B90-93EB-5C5AA1EF5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1091</TotalTime>
  <Pages>19</Pages>
  <Words>9458</Words>
  <Characters>53912</Characters>
  <Application>Microsoft Office Word</Application>
  <DocSecurity>0</DocSecurity>
  <Lines>449</Lines>
  <Paragraphs>126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ÉVALUATION ET examen de l’efficacité du protocole de cartagena</vt:lpstr>
      <vt:lpstr>Assessment and review of the effectiveness of the Cartagena Protocol</vt:lpstr>
    </vt:vector>
  </TitlesOfParts>
  <Company>SCBD</Company>
  <LinksUpToDate>false</LinksUpToDate>
  <CharactersWithSpaces>63244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ÉVALUATION ET examen de l’efficacité du protocole de cartagena</dc:title>
  <dc:subject>CBD/SBI/3/3</dc:subject>
  <dc:creator>SCBD</dc:creator>
  <cp:keywords>Subsidiary Body on Implementation, Implementation of the Convention</cp:keywords>
  <dc:description/>
  <cp:lastModifiedBy>Xue He Yan</cp:lastModifiedBy>
  <cp:revision>27</cp:revision>
  <cp:lastPrinted>2020-09-28T11:42:00Z</cp:lastPrinted>
  <dcterms:created xsi:type="dcterms:W3CDTF">2020-09-22T11:02:00Z</dcterms:created>
  <dcterms:modified xsi:type="dcterms:W3CDTF">2020-09-30T16:29:00Z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