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7F14AC" w:rsidTr="00CF1848">
        <w:trPr>
          <w:trHeight w:val="709"/>
        </w:trPr>
        <w:tc>
          <w:tcPr>
            <w:tcW w:w="976" w:type="dxa"/>
            <w:tcBorders>
              <w:bottom w:val="single" w:sz="12" w:space="0" w:color="auto"/>
            </w:tcBorders>
          </w:tcPr>
          <w:p w:rsidR="00C9161D" w:rsidRPr="00704524" w:rsidRDefault="00C9161D">
            <w:pPr>
              <w:rPr>
                <w:snapToGrid w:val="0"/>
                <w:kern w:val="22"/>
              </w:rPr>
            </w:pPr>
            <w:bookmarkStart w:id="0" w:name="_GoBack"/>
            <w:bookmarkEnd w:id="0"/>
            <w:r w:rsidRPr="00704524">
              <w:rPr>
                <w:noProof/>
                <w:snapToGrid w:val="0"/>
                <w:kern w:val="22"/>
                <w:lang w:eastAsia="zh-CN"/>
              </w:rPr>
              <w:drawing>
                <wp:inline distT="0" distB="0" distL="0" distR="0" wp14:anchorId="1DAF93B7" wp14:editId="73C29796">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Pr="00704524" w:rsidRDefault="00C9161D">
            <w:pPr>
              <w:rPr>
                <w:snapToGrid w:val="0"/>
                <w:kern w:val="22"/>
              </w:rPr>
            </w:pPr>
            <w:r w:rsidRPr="00704524">
              <w:rPr>
                <w:noProof/>
                <w:snapToGrid w:val="0"/>
                <w:kern w:val="22"/>
                <w:lang w:eastAsia="zh-CN"/>
              </w:rPr>
              <w:drawing>
                <wp:inline distT="0" distB="0" distL="0" distR="0" wp14:anchorId="2685D367" wp14:editId="770BD3A2">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704524" w:rsidRDefault="00C9161D" w:rsidP="00C9161D">
            <w:pPr>
              <w:jc w:val="right"/>
              <w:rPr>
                <w:rFonts w:ascii="Arial" w:hAnsi="Arial" w:cs="Arial"/>
                <w:b/>
                <w:snapToGrid w:val="0"/>
                <w:kern w:val="22"/>
                <w:sz w:val="32"/>
                <w:szCs w:val="32"/>
              </w:rPr>
            </w:pPr>
            <w:r w:rsidRPr="00704524">
              <w:rPr>
                <w:rFonts w:ascii="Arial" w:hAnsi="Arial" w:cs="Arial"/>
                <w:b/>
                <w:snapToGrid w:val="0"/>
                <w:kern w:val="22"/>
                <w:sz w:val="32"/>
                <w:szCs w:val="32"/>
              </w:rPr>
              <w:t>CBD</w:t>
            </w:r>
          </w:p>
        </w:tc>
      </w:tr>
      <w:tr w:rsidR="00C9161D" w:rsidRPr="007F14AC" w:rsidTr="00CF1848">
        <w:tc>
          <w:tcPr>
            <w:tcW w:w="6117" w:type="dxa"/>
            <w:gridSpan w:val="2"/>
            <w:tcBorders>
              <w:top w:val="single" w:sz="12" w:space="0" w:color="auto"/>
              <w:bottom w:val="single" w:sz="36" w:space="0" w:color="auto"/>
            </w:tcBorders>
            <w:vAlign w:val="center"/>
          </w:tcPr>
          <w:p w:rsidR="00C9161D" w:rsidRPr="00704524" w:rsidRDefault="00C9161D" w:rsidP="00C9161D">
            <w:pPr>
              <w:rPr>
                <w:snapToGrid w:val="0"/>
                <w:kern w:val="22"/>
              </w:rPr>
            </w:pPr>
            <w:r w:rsidRPr="00704524">
              <w:rPr>
                <w:noProof/>
                <w:snapToGrid w:val="0"/>
                <w:kern w:val="22"/>
                <w:lang w:eastAsia="zh-CN"/>
              </w:rPr>
              <w:drawing>
                <wp:inline distT="0" distB="0" distL="0" distR="0" wp14:anchorId="7224463A" wp14:editId="74A7160E">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704524" w:rsidRDefault="00C9161D" w:rsidP="002411C8">
            <w:pPr>
              <w:ind w:left="750"/>
              <w:rPr>
                <w:snapToGrid w:val="0"/>
                <w:kern w:val="22"/>
                <w:szCs w:val="22"/>
              </w:rPr>
            </w:pPr>
            <w:r w:rsidRPr="00704524">
              <w:rPr>
                <w:snapToGrid w:val="0"/>
                <w:kern w:val="22"/>
                <w:szCs w:val="22"/>
              </w:rPr>
              <w:t>Distr.</w:t>
            </w:r>
          </w:p>
          <w:p w:rsidR="00C9161D" w:rsidRPr="00704524" w:rsidRDefault="00480259" w:rsidP="002411C8">
            <w:pPr>
              <w:ind w:left="750"/>
              <w:rPr>
                <w:snapToGrid w:val="0"/>
                <w:kern w:val="22"/>
                <w:szCs w:val="22"/>
              </w:rPr>
            </w:pPr>
            <w:sdt>
              <w:sdtPr>
                <w:rPr>
                  <w:snapToGrid w:val="0"/>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575FBF" w:rsidRPr="00704524">
                  <w:rPr>
                    <w:snapToGrid w:val="0"/>
                    <w:kern w:val="22"/>
                    <w:szCs w:val="22"/>
                  </w:rPr>
                  <w:t>GENERAL</w:t>
                </w:r>
              </w:sdtContent>
            </w:sdt>
          </w:p>
          <w:p w:rsidR="00C9161D" w:rsidRPr="00704524" w:rsidRDefault="00C9161D" w:rsidP="002411C8">
            <w:pPr>
              <w:ind w:left="750"/>
              <w:rPr>
                <w:snapToGrid w:val="0"/>
                <w:kern w:val="22"/>
                <w:szCs w:val="22"/>
              </w:rPr>
            </w:pPr>
          </w:p>
          <w:p w:rsidR="00C9161D" w:rsidRPr="00704524" w:rsidRDefault="00480259" w:rsidP="002411C8">
            <w:pPr>
              <w:ind w:left="750"/>
              <w:rPr>
                <w:snapToGrid w:val="0"/>
                <w:kern w:val="22"/>
                <w:szCs w:val="22"/>
              </w:rPr>
            </w:pPr>
            <w:sdt>
              <w:sdtPr>
                <w:rPr>
                  <w:snapToGrid w:val="0"/>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575FBF" w:rsidRPr="00704524">
                  <w:rPr>
                    <w:snapToGrid w:val="0"/>
                    <w:kern w:val="22"/>
                    <w:szCs w:val="22"/>
                  </w:rPr>
                  <w:t>CBD/DSI/AHTEG/2018/1/1</w:t>
                </w:r>
                <w:r w:rsidR="005C58C1" w:rsidRPr="00704524">
                  <w:rPr>
                    <w:snapToGrid w:val="0"/>
                    <w:kern w:val="22"/>
                    <w:szCs w:val="22"/>
                  </w:rPr>
                  <w:t>/Add.1</w:t>
                </w:r>
              </w:sdtContent>
            </w:sdt>
          </w:p>
          <w:p w:rsidR="00C9161D" w:rsidRPr="00704524" w:rsidRDefault="00480259" w:rsidP="002411C8">
            <w:pPr>
              <w:ind w:left="750"/>
              <w:rPr>
                <w:snapToGrid w:val="0"/>
                <w:kern w:val="22"/>
                <w:szCs w:val="22"/>
              </w:rPr>
            </w:pPr>
            <w:sdt>
              <w:sdtPr>
                <w:rPr>
                  <w:snapToGrid w:val="0"/>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7-12-20T00:00:00Z">
                  <w:dateFormat w:val="d MMMM yyyy"/>
                  <w:lid w:val="en-US"/>
                  <w:storeMappedDataAs w:val="dateTime"/>
                  <w:calendar w:val="gregorian"/>
                </w:date>
              </w:sdtPr>
              <w:sdtEndPr/>
              <w:sdtContent>
                <w:r w:rsidR="00575FBF" w:rsidRPr="00704524">
                  <w:rPr>
                    <w:snapToGrid w:val="0"/>
                    <w:kern w:val="22"/>
                    <w:szCs w:val="22"/>
                  </w:rPr>
                  <w:t>20</w:t>
                </w:r>
                <w:r w:rsidR="007E09DA" w:rsidRPr="00704524">
                  <w:rPr>
                    <w:snapToGrid w:val="0"/>
                    <w:kern w:val="22"/>
                    <w:szCs w:val="22"/>
                  </w:rPr>
                  <w:t xml:space="preserve"> December 2017</w:t>
                </w:r>
              </w:sdtContent>
            </w:sdt>
          </w:p>
          <w:p w:rsidR="00C9161D" w:rsidRPr="00704524" w:rsidRDefault="00C9161D" w:rsidP="002411C8">
            <w:pPr>
              <w:ind w:left="750"/>
              <w:rPr>
                <w:snapToGrid w:val="0"/>
                <w:kern w:val="22"/>
                <w:szCs w:val="22"/>
              </w:rPr>
            </w:pPr>
          </w:p>
          <w:p w:rsidR="00C9161D" w:rsidRPr="00704524" w:rsidRDefault="00C9161D" w:rsidP="002411C8">
            <w:pPr>
              <w:ind w:left="750"/>
              <w:rPr>
                <w:snapToGrid w:val="0"/>
                <w:kern w:val="22"/>
                <w:szCs w:val="22"/>
              </w:rPr>
            </w:pPr>
            <w:r w:rsidRPr="00704524">
              <w:rPr>
                <w:snapToGrid w:val="0"/>
                <w:kern w:val="22"/>
                <w:szCs w:val="22"/>
              </w:rPr>
              <w:t>ENGLISH</w:t>
            </w:r>
            <w:r w:rsidR="00AE5758" w:rsidRPr="00704524">
              <w:rPr>
                <w:snapToGrid w:val="0"/>
                <w:kern w:val="22"/>
                <w:szCs w:val="22"/>
              </w:rPr>
              <w:t xml:space="preserve"> ONLY</w:t>
            </w:r>
          </w:p>
          <w:p w:rsidR="00C9161D" w:rsidRPr="00704524" w:rsidRDefault="00C9161D">
            <w:pPr>
              <w:rPr>
                <w:snapToGrid w:val="0"/>
                <w:kern w:val="22"/>
                <w:szCs w:val="22"/>
              </w:rPr>
            </w:pPr>
          </w:p>
        </w:tc>
      </w:tr>
    </w:tbl>
    <w:p w:rsidR="00575FBF" w:rsidRPr="00704524" w:rsidRDefault="00575FBF" w:rsidP="00575FBF">
      <w:pPr>
        <w:pStyle w:val="Cornernotation"/>
        <w:ind w:right="4965"/>
        <w:rPr>
          <w:caps/>
          <w:snapToGrid w:val="0"/>
          <w:kern w:val="22"/>
          <w:szCs w:val="22"/>
        </w:rPr>
      </w:pPr>
      <w:r w:rsidRPr="00704524">
        <w:rPr>
          <w:caps/>
          <w:snapToGrid w:val="0"/>
          <w:kern w:val="22"/>
          <w:szCs w:val="22"/>
        </w:rPr>
        <w:t>ad hoc technical expert group on digital sequence information on genetic resources</w:t>
      </w:r>
    </w:p>
    <w:p w:rsidR="00575FBF" w:rsidRPr="00704524" w:rsidRDefault="00575FBF" w:rsidP="00575FBF">
      <w:pPr>
        <w:pStyle w:val="Cornernotation"/>
        <w:ind w:right="3548"/>
        <w:rPr>
          <w:snapToGrid w:val="0"/>
          <w:kern w:val="22"/>
          <w:szCs w:val="22"/>
        </w:rPr>
      </w:pPr>
      <w:r w:rsidRPr="00704524">
        <w:rPr>
          <w:snapToGrid w:val="0"/>
          <w:kern w:val="22"/>
          <w:szCs w:val="22"/>
        </w:rPr>
        <w:t>Montreal, Canada, 13-16 February 2018</w:t>
      </w:r>
    </w:p>
    <w:p w:rsidR="00C9161D" w:rsidRPr="00704524" w:rsidRDefault="00C9161D" w:rsidP="00C9161D">
      <w:pPr>
        <w:rPr>
          <w:snapToGrid w:val="0"/>
          <w:kern w:val="22"/>
          <w:szCs w:val="22"/>
        </w:rPr>
      </w:pPr>
    </w:p>
    <w:p w:rsidR="00C9161D" w:rsidRPr="00704524" w:rsidRDefault="00480259" w:rsidP="00C9161D">
      <w:pPr>
        <w:jc w:val="center"/>
        <w:rPr>
          <w:b/>
          <w:caps/>
          <w:snapToGrid w:val="0"/>
          <w:kern w:val="22"/>
          <w:szCs w:val="22"/>
        </w:rPr>
      </w:pPr>
      <w:sdt>
        <w:sdtPr>
          <w:rPr>
            <w:b/>
            <w:bCs/>
            <w:caps/>
            <w:snapToGrid w:val="0"/>
            <w:kern w:val="2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7F14AC" w:rsidRPr="00704524">
            <w:rPr>
              <w:b/>
              <w:bCs/>
              <w:caps/>
              <w:snapToGrid w:val="0"/>
              <w:kern w:val="22"/>
              <w:szCs w:val="22"/>
            </w:rPr>
            <w:t>Annotated provisional agenda</w:t>
          </w:r>
        </w:sdtContent>
      </w:sdt>
    </w:p>
    <w:p w:rsidR="005C58C1" w:rsidRPr="00704524" w:rsidRDefault="00C52596" w:rsidP="00704524">
      <w:pPr>
        <w:pStyle w:val="Heading1"/>
        <w:spacing w:before="120"/>
        <w:rPr>
          <w:bCs/>
          <w:snapToGrid w:val="0"/>
          <w:kern w:val="22"/>
          <w:szCs w:val="22"/>
        </w:rPr>
      </w:pPr>
      <w:r w:rsidRPr="00704524">
        <w:rPr>
          <w:bCs/>
          <w:snapToGrid w:val="0"/>
          <w:kern w:val="22"/>
          <w:szCs w:val="22"/>
        </w:rPr>
        <w:t>Introduction</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With financial support from Canada and the European Union, a meeting of the Ad Hoc Technical Expert Group on Digital Sequence Information on Genetic Resources will be convened at the offices of the Secretariat of the Convention on Biological Diversity from 13 to 16 February 2018.</w:t>
      </w:r>
      <w:r w:rsidRPr="00297698">
        <w:rPr>
          <w:kern w:val="22"/>
          <w:szCs w:val="22"/>
        </w:rPr>
        <w:t xml:space="preserve"> Regis</w:t>
      </w:r>
      <w:r w:rsidRPr="00704524">
        <w:rPr>
          <w:kern w:val="22"/>
          <w:szCs w:val="22"/>
        </w:rPr>
        <w:t>tration of participants will take place upon arrival at the meeting venue, starting at 9.00 a.m. on the opening day.</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 xml:space="preserve">An information note containing details regarding logistical arrangements for the meeting, including registration, information on travel, visa requirements, accommodation and other matters will be available at: </w:t>
      </w:r>
      <w:hyperlink r:id="rId12" w:history="1">
        <w:r w:rsidRPr="00704524">
          <w:rPr>
            <w:rStyle w:val="Hyperlink"/>
            <w:kern w:val="22"/>
            <w:szCs w:val="22"/>
          </w:rPr>
          <w:t>https://www.cbd.int/meetings/DSI-AHTEG-2018-01</w:t>
        </w:r>
      </w:hyperlink>
      <w:r w:rsidRPr="00704524">
        <w:rPr>
          <w:kern w:val="22"/>
          <w:szCs w:val="22"/>
        </w:rPr>
        <w:t>.</w:t>
      </w:r>
    </w:p>
    <w:p w:rsidR="005C58C1" w:rsidRPr="00704524" w:rsidRDefault="00C52596" w:rsidP="00704524">
      <w:pPr>
        <w:pStyle w:val="Heading1"/>
        <w:spacing w:before="120"/>
        <w:rPr>
          <w:bCs/>
          <w:snapToGrid w:val="0"/>
          <w:kern w:val="22"/>
          <w:szCs w:val="22"/>
        </w:rPr>
      </w:pPr>
      <w:r w:rsidRPr="00704524">
        <w:rPr>
          <w:bCs/>
          <w:snapToGrid w:val="0"/>
          <w:kern w:val="22"/>
          <w:szCs w:val="22"/>
        </w:rPr>
        <w:t>Background</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 xml:space="preserve">The Conference of the Parties to the Convention on Biological Diversity </w:t>
      </w:r>
      <w:r w:rsidR="00D44A72" w:rsidRPr="00704524">
        <w:rPr>
          <w:kern w:val="22"/>
          <w:szCs w:val="22"/>
        </w:rPr>
        <w:t xml:space="preserve">at its thirteenth meeting </w:t>
      </w:r>
      <w:r w:rsidRPr="00704524">
        <w:rPr>
          <w:kern w:val="22"/>
          <w:szCs w:val="22"/>
        </w:rPr>
        <w:t>and the Conference of the Parties serving as the meeting of the Parties to the Nagoya Protocol on Access and Benefit-Sharing</w:t>
      </w:r>
      <w:r w:rsidR="00D44A72" w:rsidRPr="00704524">
        <w:rPr>
          <w:kern w:val="22"/>
          <w:szCs w:val="22"/>
        </w:rPr>
        <w:t xml:space="preserve"> at its</w:t>
      </w:r>
      <w:r w:rsidRPr="00704524">
        <w:rPr>
          <w:kern w:val="22"/>
          <w:szCs w:val="22"/>
        </w:rPr>
        <w:t xml:space="preserve"> </w:t>
      </w:r>
      <w:r w:rsidR="00D44A72" w:rsidRPr="00704524">
        <w:rPr>
          <w:kern w:val="22"/>
          <w:szCs w:val="22"/>
        </w:rPr>
        <w:t xml:space="preserve">second meeting </w:t>
      </w:r>
      <w:r w:rsidRPr="00704524">
        <w:rPr>
          <w:kern w:val="22"/>
          <w:szCs w:val="22"/>
        </w:rPr>
        <w:t>each adopted decisions on digital sequence information on genetic resources in which they recognized the need for a coordinated and non-duplicative approach on this matter under the Convention and the Nagoya Protocol (decisions XIII/16 and NP-2/14, respectively). They decided to consider</w:t>
      </w:r>
      <w:r w:rsidR="00D77D5F" w:rsidRPr="00704524">
        <w:rPr>
          <w:kern w:val="22"/>
          <w:szCs w:val="22"/>
        </w:rPr>
        <w:t>,</w:t>
      </w:r>
      <w:r w:rsidRPr="00704524">
        <w:rPr>
          <w:kern w:val="22"/>
          <w:szCs w:val="22"/>
        </w:rPr>
        <w:t xml:space="preserve"> at the fourteenth meeting of the Conference of the Parties and the third meeting of the Parties to the Nagoya Protocol</w:t>
      </w:r>
      <w:r w:rsidR="00D77D5F" w:rsidRPr="00704524">
        <w:rPr>
          <w:kern w:val="22"/>
          <w:szCs w:val="22"/>
        </w:rPr>
        <w:t>,</w:t>
      </w:r>
      <w:r w:rsidRPr="00704524">
        <w:rPr>
          <w:kern w:val="22"/>
          <w:szCs w:val="22"/>
        </w:rPr>
        <w:t xml:space="preserve"> any potential implications of the use of digital sequence information on genetic resources for the three objectives </w:t>
      </w:r>
      <w:r w:rsidR="00D44A72" w:rsidRPr="00704524">
        <w:rPr>
          <w:kern w:val="22"/>
          <w:szCs w:val="22"/>
        </w:rPr>
        <w:t xml:space="preserve">of </w:t>
      </w:r>
      <w:r w:rsidRPr="00704524">
        <w:rPr>
          <w:kern w:val="22"/>
          <w:szCs w:val="22"/>
        </w:rPr>
        <w:t>the Convention, and for the objective of the Nagoya Protocol, respectively.</w:t>
      </w:r>
    </w:p>
    <w:p w:rsidR="005C58C1" w:rsidRPr="00704524" w:rsidRDefault="005C58C1" w:rsidP="003F5A00">
      <w:pPr>
        <w:pStyle w:val="Para1"/>
        <w:numPr>
          <w:ilvl w:val="0"/>
          <w:numId w:val="2"/>
        </w:numPr>
        <w:tabs>
          <w:tab w:val="clear" w:pos="360"/>
          <w:tab w:val="num" w:pos="720"/>
        </w:tabs>
        <w:rPr>
          <w:kern w:val="22"/>
          <w:szCs w:val="22"/>
        </w:rPr>
      </w:pPr>
      <w:r w:rsidRPr="00704524">
        <w:rPr>
          <w:kern w:val="22"/>
          <w:szCs w:val="22"/>
        </w:rPr>
        <w:t xml:space="preserve">The Parties also agreed </w:t>
      </w:r>
      <w:r w:rsidR="0058369A" w:rsidRPr="00704524">
        <w:rPr>
          <w:kern w:val="22"/>
          <w:szCs w:val="22"/>
        </w:rPr>
        <w:t xml:space="preserve">on </w:t>
      </w:r>
      <w:r w:rsidRPr="00704524">
        <w:rPr>
          <w:kern w:val="22"/>
          <w:szCs w:val="22"/>
        </w:rPr>
        <w:t>a process to facilitate consideration of this matter. The process included:</w:t>
      </w:r>
    </w:p>
    <w:p w:rsidR="005C58C1" w:rsidRPr="00704524" w:rsidRDefault="005C58C1" w:rsidP="005C58C1">
      <w:pPr>
        <w:pStyle w:val="Para1"/>
        <w:numPr>
          <w:ilvl w:val="1"/>
          <w:numId w:val="2"/>
        </w:numPr>
        <w:rPr>
          <w:kern w:val="22"/>
          <w:szCs w:val="22"/>
        </w:rPr>
      </w:pPr>
      <w:r w:rsidRPr="00704524">
        <w:rPr>
          <w:kern w:val="22"/>
          <w:szCs w:val="22"/>
        </w:rPr>
        <w:t>An invitation to Parties, other Governments, indigenous peoples and local communities, and relevant organizations and stakeholders to submit views and relevant information to the Executive Secretary on the potential implications of the use of digital sequence information on genetic resources for the three objectives of the Convention (decision XIII/16, para</w:t>
      </w:r>
      <w:r w:rsidR="00D44A72" w:rsidRPr="00704524">
        <w:rPr>
          <w:kern w:val="22"/>
          <w:szCs w:val="22"/>
        </w:rPr>
        <w:t>.</w:t>
      </w:r>
      <w:r w:rsidRPr="00704524">
        <w:rPr>
          <w:kern w:val="22"/>
          <w:szCs w:val="22"/>
        </w:rPr>
        <w:t xml:space="preserve"> 2);</w:t>
      </w:r>
    </w:p>
    <w:p w:rsidR="005C58C1" w:rsidRPr="00704524" w:rsidRDefault="005C58C1" w:rsidP="005C58C1">
      <w:pPr>
        <w:pStyle w:val="Para1"/>
        <w:numPr>
          <w:ilvl w:val="1"/>
          <w:numId w:val="2"/>
        </w:numPr>
        <w:rPr>
          <w:kern w:val="22"/>
          <w:szCs w:val="22"/>
        </w:rPr>
      </w:pPr>
      <w:r w:rsidRPr="00704524">
        <w:rPr>
          <w:kern w:val="22"/>
          <w:szCs w:val="22"/>
        </w:rPr>
        <w:t>An invitation to Parties, other Governments, indigenous peoples and local communities, and relevant organizations and stakeholders to include information relevant to the Nagoya Protocol in the views and information submitted (decision NP-2/14, para</w:t>
      </w:r>
      <w:r w:rsidR="00D44A72" w:rsidRPr="00704524">
        <w:rPr>
          <w:kern w:val="22"/>
          <w:szCs w:val="22"/>
        </w:rPr>
        <w:t>.</w:t>
      </w:r>
      <w:r w:rsidRPr="00704524">
        <w:rPr>
          <w:kern w:val="22"/>
          <w:szCs w:val="22"/>
        </w:rPr>
        <w:t xml:space="preserve"> 2);</w:t>
      </w:r>
    </w:p>
    <w:p w:rsidR="005C58C1" w:rsidRPr="00704524" w:rsidRDefault="005C58C1" w:rsidP="005C58C1">
      <w:pPr>
        <w:pStyle w:val="Para1"/>
        <w:numPr>
          <w:ilvl w:val="1"/>
          <w:numId w:val="2"/>
        </w:numPr>
        <w:rPr>
          <w:kern w:val="22"/>
          <w:szCs w:val="22"/>
        </w:rPr>
      </w:pPr>
      <w:bookmarkStart w:id="1" w:name="_Ref502263896"/>
      <w:r w:rsidRPr="00704524">
        <w:rPr>
          <w:kern w:val="22"/>
          <w:szCs w:val="22"/>
        </w:rPr>
        <w:t>A request to the Executive Secretary to prepare a compilation and synthesis of the views and information submitted, including the information gathered from engagement with relevant ongoing processes and policy debates (decision XIII/16, para</w:t>
      </w:r>
      <w:r w:rsidR="00D44A72" w:rsidRPr="00704524">
        <w:rPr>
          <w:kern w:val="22"/>
          <w:szCs w:val="22"/>
        </w:rPr>
        <w:t>.</w:t>
      </w:r>
      <w:r w:rsidRPr="00704524">
        <w:rPr>
          <w:kern w:val="22"/>
          <w:szCs w:val="22"/>
        </w:rPr>
        <w:t xml:space="preserve"> 3(a)</w:t>
      </w:r>
      <w:r w:rsidR="0058369A" w:rsidRPr="00704524">
        <w:rPr>
          <w:kern w:val="22"/>
          <w:szCs w:val="22"/>
        </w:rPr>
        <w:t>;</w:t>
      </w:r>
      <w:r w:rsidRPr="00704524">
        <w:rPr>
          <w:kern w:val="22"/>
          <w:szCs w:val="22"/>
        </w:rPr>
        <w:t xml:space="preserve"> see also </w:t>
      </w:r>
      <w:r w:rsidR="0093258C" w:rsidRPr="00704524">
        <w:rPr>
          <w:kern w:val="22"/>
          <w:szCs w:val="22"/>
        </w:rPr>
        <w:t>para. </w:t>
      </w:r>
      <w:r w:rsidR="0093258C" w:rsidRPr="00704524">
        <w:rPr>
          <w:kern w:val="22"/>
          <w:szCs w:val="22"/>
        </w:rPr>
        <w:fldChar w:fldCharType="begin"/>
      </w:r>
      <w:r w:rsidR="0093258C" w:rsidRPr="00704524">
        <w:rPr>
          <w:kern w:val="22"/>
          <w:szCs w:val="22"/>
        </w:rPr>
        <w:instrText xml:space="preserve"> REF _Ref502262640 \r \h </w:instrText>
      </w:r>
      <w:r w:rsidR="008F64C6" w:rsidRPr="0025284F">
        <w:rPr>
          <w:kern w:val="22"/>
          <w:szCs w:val="22"/>
        </w:rPr>
        <w:instrText xml:space="preserve"> \* MERGEFORMAT </w:instrText>
      </w:r>
      <w:r w:rsidR="0093258C" w:rsidRPr="00704524">
        <w:rPr>
          <w:kern w:val="22"/>
          <w:szCs w:val="22"/>
        </w:rPr>
      </w:r>
      <w:r w:rsidR="0093258C" w:rsidRPr="00704524">
        <w:rPr>
          <w:kern w:val="22"/>
          <w:szCs w:val="22"/>
        </w:rPr>
        <w:fldChar w:fldCharType="separate"/>
      </w:r>
      <w:r w:rsidR="0093258C" w:rsidRPr="00704524">
        <w:rPr>
          <w:kern w:val="22"/>
          <w:szCs w:val="22"/>
          <w:cs/>
        </w:rPr>
        <w:t>‎</w:t>
      </w:r>
      <w:r w:rsidR="0093258C" w:rsidRPr="00704524">
        <w:rPr>
          <w:kern w:val="22"/>
          <w:szCs w:val="22"/>
        </w:rPr>
        <w:t>16</w:t>
      </w:r>
      <w:r w:rsidR="0093258C" w:rsidRPr="00704524">
        <w:rPr>
          <w:kern w:val="22"/>
          <w:szCs w:val="22"/>
        </w:rPr>
        <w:fldChar w:fldCharType="end"/>
      </w:r>
      <w:r w:rsidR="0093258C" w:rsidRPr="00704524">
        <w:rPr>
          <w:kern w:val="22"/>
          <w:szCs w:val="22"/>
        </w:rPr>
        <w:t xml:space="preserve"> </w:t>
      </w:r>
      <w:r w:rsidRPr="00704524">
        <w:rPr>
          <w:kern w:val="22"/>
          <w:szCs w:val="22"/>
        </w:rPr>
        <w:t>below);</w:t>
      </w:r>
      <w:bookmarkEnd w:id="1"/>
    </w:p>
    <w:p w:rsidR="005C58C1" w:rsidRPr="00704524" w:rsidRDefault="005C58C1" w:rsidP="005C58C1">
      <w:pPr>
        <w:pStyle w:val="Para1"/>
        <w:numPr>
          <w:ilvl w:val="1"/>
          <w:numId w:val="2"/>
        </w:numPr>
        <w:rPr>
          <w:kern w:val="22"/>
          <w:szCs w:val="22"/>
        </w:rPr>
      </w:pPr>
      <w:r w:rsidRPr="00704524">
        <w:rPr>
          <w:kern w:val="22"/>
          <w:szCs w:val="22"/>
        </w:rPr>
        <w:t>A request to the Executive Secretary to commission a fact-finding and scoping study to clarify terminology and concepts and to assess the extent and the terms and conditions of the use of digital sequence information on genetic resources in the context of the Convention and the Nagoya Protocol;</w:t>
      </w:r>
    </w:p>
    <w:p w:rsidR="005C58C1" w:rsidRPr="00704524" w:rsidRDefault="005C58C1" w:rsidP="005C58C1">
      <w:pPr>
        <w:pStyle w:val="Para1"/>
        <w:numPr>
          <w:ilvl w:val="1"/>
          <w:numId w:val="2"/>
        </w:numPr>
        <w:rPr>
          <w:kern w:val="22"/>
          <w:szCs w:val="22"/>
        </w:rPr>
      </w:pPr>
      <w:r w:rsidRPr="00704524">
        <w:rPr>
          <w:kern w:val="22"/>
          <w:szCs w:val="22"/>
        </w:rPr>
        <w:lastRenderedPageBreak/>
        <w:t xml:space="preserve">The establishment of an </w:t>
      </w:r>
      <w:r w:rsidR="00D44A72" w:rsidRPr="00704524">
        <w:rPr>
          <w:kern w:val="22"/>
          <w:szCs w:val="22"/>
        </w:rPr>
        <w:t>a</w:t>
      </w:r>
      <w:r w:rsidRPr="00704524">
        <w:rPr>
          <w:kern w:val="22"/>
          <w:szCs w:val="22"/>
        </w:rPr>
        <w:t xml:space="preserve">d </w:t>
      </w:r>
      <w:r w:rsidR="00D44A72" w:rsidRPr="00704524">
        <w:rPr>
          <w:kern w:val="22"/>
          <w:szCs w:val="22"/>
        </w:rPr>
        <w:t>h</w:t>
      </w:r>
      <w:r w:rsidRPr="00704524">
        <w:rPr>
          <w:kern w:val="22"/>
          <w:szCs w:val="22"/>
        </w:rPr>
        <w:t xml:space="preserve">oc </w:t>
      </w:r>
      <w:r w:rsidR="00D44A72" w:rsidRPr="00704524">
        <w:rPr>
          <w:kern w:val="22"/>
          <w:szCs w:val="22"/>
        </w:rPr>
        <w:t>t</w:t>
      </w:r>
      <w:r w:rsidRPr="00704524">
        <w:rPr>
          <w:kern w:val="22"/>
          <w:szCs w:val="22"/>
        </w:rPr>
        <w:t xml:space="preserve">echnical </w:t>
      </w:r>
      <w:r w:rsidR="00D44A72" w:rsidRPr="00704524">
        <w:rPr>
          <w:kern w:val="22"/>
          <w:szCs w:val="22"/>
        </w:rPr>
        <w:t>e</w:t>
      </w:r>
      <w:r w:rsidRPr="00704524">
        <w:rPr>
          <w:kern w:val="22"/>
          <w:szCs w:val="22"/>
        </w:rPr>
        <w:t xml:space="preserve">xpert </w:t>
      </w:r>
      <w:r w:rsidR="00D44A72" w:rsidRPr="00704524">
        <w:rPr>
          <w:kern w:val="22"/>
          <w:szCs w:val="22"/>
        </w:rPr>
        <w:t>g</w:t>
      </w:r>
      <w:r w:rsidRPr="00704524">
        <w:rPr>
          <w:kern w:val="22"/>
          <w:szCs w:val="22"/>
        </w:rPr>
        <w:t>roup and a request to the Executive Secretary to convene a meeting of the group in accordance with the terms of reference contained in the annex to decision XIII/16.</w:t>
      </w:r>
    </w:p>
    <w:p w:rsidR="005C58C1" w:rsidRPr="00704524" w:rsidRDefault="005C58C1" w:rsidP="002D0AE3">
      <w:pPr>
        <w:pStyle w:val="Para1"/>
        <w:numPr>
          <w:ilvl w:val="0"/>
          <w:numId w:val="2"/>
        </w:numPr>
        <w:tabs>
          <w:tab w:val="clear" w:pos="360"/>
        </w:tabs>
        <w:rPr>
          <w:kern w:val="22"/>
          <w:szCs w:val="22"/>
        </w:rPr>
      </w:pPr>
      <w:r w:rsidRPr="00704524">
        <w:rPr>
          <w:kern w:val="22"/>
          <w:szCs w:val="22"/>
        </w:rPr>
        <w:t>The terms of reference for the Ad Hoc Technical Expert Group on Digital Sequence Information on Genetic Resources provide that the group shall:</w:t>
      </w:r>
    </w:p>
    <w:p w:rsidR="005C58C1" w:rsidRPr="00704524" w:rsidRDefault="005C58C1" w:rsidP="005C58C1">
      <w:pPr>
        <w:pStyle w:val="Para1"/>
        <w:numPr>
          <w:ilvl w:val="1"/>
          <w:numId w:val="2"/>
        </w:numPr>
        <w:rPr>
          <w:kern w:val="22"/>
          <w:szCs w:val="22"/>
        </w:rPr>
      </w:pPr>
      <w:r w:rsidRPr="00704524">
        <w:rPr>
          <w:kern w:val="22"/>
          <w:szCs w:val="22"/>
        </w:rPr>
        <w:t>Consider the compilation, synthesis and the study referred to in paragraph</w:t>
      </w:r>
      <w:r w:rsidR="00D44A72" w:rsidRPr="00704524">
        <w:rPr>
          <w:kern w:val="22"/>
          <w:szCs w:val="22"/>
        </w:rPr>
        <w:t>s</w:t>
      </w:r>
      <w:r w:rsidRPr="00704524">
        <w:rPr>
          <w:kern w:val="22"/>
          <w:szCs w:val="22"/>
        </w:rPr>
        <w:t xml:space="preserve"> 3(a) and (b) of the decision in order to examine any potential implications of the use of digital sequence information on genetic resources for the three objectives of the Convention and the objective of the Nagoya Protocol and implementation to achieve these objectives;</w:t>
      </w:r>
    </w:p>
    <w:p w:rsidR="005C58C1" w:rsidRPr="00704524" w:rsidRDefault="005C58C1" w:rsidP="005C58C1">
      <w:pPr>
        <w:pStyle w:val="Para1"/>
        <w:numPr>
          <w:ilvl w:val="1"/>
          <w:numId w:val="2"/>
        </w:numPr>
        <w:rPr>
          <w:kern w:val="22"/>
          <w:szCs w:val="22"/>
        </w:rPr>
      </w:pPr>
      <w:r w:rsidRPr="00704524">
        <w:rPr>
          <w:kern w:val="22"/>
          <w:szCs w:val="22"/>
        </w:rPr>
        <w:t>Consider the technical scope and legal and scientific implications of existing terminology related to digital sequence information on genetic resources;</w:t>
      </w:r>
    </w:p>
    <w:p w:rsidR="005C58C1" w:rsidRPr="00704524" w:rsidRDefault="005C58C1" w:rsidP="005C58C1">
      <w:pPr>
        <w:pStyle w:val="Para1"/>
        <w:numPr>
          <w:ilvl w:val="1"/>
          <w:numId w:val="2"/>
        </w:numPr>
        <w:rPr>
          <w:kern w:val="22"/>
          <w:szCs w:val="22"/>
        </w:rPr>
      </w:pPr>
      <w:r w:rsidRPr="00704524">
        <w:rPr>
          <w:kern w:val="22"/>
          <w:szCs w:val="22"/>
        </w:rPr>
        <w:t>Identify the different types of digital sequence information on genetic resources that are relevant to the Convention and the Nagoya Protocol;</w:t>
      </w:r>
    </w:p>
    <w:p w:rsidR="005C58C1" w:rsidRPr="00704524" w:rsidRDefault="005C58C1" w:rsidP="005C58C1">
      <w:pPr>
        <w:pStyle w:val="Para1"/>
        <w:numPr>
          <w:ilvl w:val="1"/>
          <w:numId w:val="2"/>
        </w:numPr>
        <w:rPr>
          <w:kern w:val="22"/>
          <w:szCs w:val="22"/>
        </w:rPr>
      </w:pPr>
      <w:r w:rsidRPr="00704524">
        <w:rPr>
          <w:kern w:val="22"/>
          <w:szCs w:val="22"/>
        </w:rPr>
        <w:t>Meet at least once face-to-face, subject to the availability of financial resources, prior to the fourteenth meeting of the Conference of the Parties and make use of online tools to facilitate its work, as appropriate;</w:t>
      </w:r>
    </w:p>
    <w:p w:rsidR="005C58C1" w:rsidRPr="00704524" w:rsidRDefault="005C58C1" w:rsidP="005C58C1">
      <w:pPr>
        <w:pStyle w:val="Para1"/>
        <w:numPr>
          <w:ilvl w:val="1"/>
          <w:numId w:val="2"/>
        </w:numPr>
        <w:rPr>
          <w:kern w:val="22"/>
          <w:szCs w:val="22"/>
        </w:rPr>
      </w:pPr>
      <w:r w:rsidRPr="00704524">
        <w:rPr>
          <w:kern w:val="22"/>
          <w:szCs w:val="22"/>
        </w:rPr>
        <w:t>Submit its outcomes for consideration by a meeting of the Subsidiary Body on Scientific, Technical and Technological Advice to be held prior to the fourteenth meeting of the Conference of the Parties.</w:t>
      </w:r>
    </w:p>
    <w:p w:rsidR="005C58C1" w:rsidRPr="00704524" w:rsidRDefault="005C58C1" w:rsidP="003F5A00">
      <w:pPr>
        <w:pStyle w:val="Para1"/>
        <w:numPr>
          <w:ilvl w:val="0"/>
          <w:numId w:val="2"/>
        </w:numPr>
        <w:tabs>
          <w:tab w:val="clear" w:pos="360"/>
        </w:tabs>
        <w:rPr>
          <w:kern w:val="22"/>
          <w:szCs w:val="22"/>
        </w:rPr>
      </w:pPr>
      <w:r w:rsidRPr="00704524">
        <w:rPr>
          <w:kern w:val="22"/>
          <w:szCs w:val="22"/>
        </w:rPr>
        <w:t xml:space="preserve">In decision NP-2/14, paragraph 5, the Parties to the Nagoya Protocol decided that the </w:t>
      </w:r>
      <w:r w:rsidR="003C6863" w:rsidRPr="00704524">
        <w:rPr>
          <w:kern w:val="22"/>
          <w:szCs w:val="22"/>
        </w:rPr>
        <w:t xml:space="preserve">Ad Hoc Technical Expert Group </w:t>
      </w:r>
      <w:r w:rsidR="009178C5" w:rsidRPr="00704524">
        <w:rPr>
          <w:kern w:val="22"/>
          <w:szCs w:val="22"/>
        </w:rPr>
        <w:t>(</w:t>
      </w:r>
      <w:r w:rsidRPr="00704524">
        <w:rPr>
          <w:kern w:val="22"/>
          <w:szCs w:val="22"/>
        </w:rPr>
        <w:t>AHTEG</w:t>
      </w:r>
      <w:r w:rsidR="009178C5" w:rsidRPr="00704524">
        <w:rPr>
          <w:kern w:val="22"/>
          <w:szCs w:val="22"/>
        </w:rPr>
        <w:t>)</w:t>
      </w:r>
      <w:r w:rsidRPr="00704524">
        <w:rPr>
          <w:kern w:val="22"/>
          <w:szCs w:val="22"/>
        </w:rPr>
        <w:t xml:space="preserve"> would also serve the Nagoya Protocol by considering the information relevant to the Protocol in the compilation, synthesis and study prepared in accordance with decision XIII/16, paragraph</w:t>
      </w:r>
      <w:r w:rsidR="00934E22" w:rsidRPr="00704524">
        <w:rPr>
          <w:kern w:val="22"/>
          <w:szCs w:val="22"/>
        </w:rPr>
        <w:t> </w:t>
      </w:r>
      <w:r w:rsidRPr="00704524">
        <w:rPr>
          <w:kern w:val="22"/>
          <w:szCs w:val="22"/>
        </w:rPr>
        <w:t>3.</w:t>
      </w:r>
    </w:p>
    <w:p w:rsidR="005C58C1" w:rsidRPr="00704524" w:rsidRDefault="005C58C1" w:rsidP="005C58C1">
      <w:pPr>
        <w:pStyle w:val="Para1"/>
        <w:numPr>
          <w:ilvl w:val="0"/>
          <w:numId w:val="2"/>
        </w:numPr>
        <w:tabs>
          <w:tab w:val="clear" w:pos="360"/>
        </w:tabs>
        <w:rPr>
          <w:kern w:val="22"/>
          <w:szCs w:val="22"/>
        </w:rPr>
      </w:pPr>
      <w:r w:rsidRPr="00704524">
        <w:rPr>
          <w:kern w:val="22"/>
          <w:szCs w:val="22"/>
        </w:rPr>
        <w:t>Decision XIII/16 requested the Subsidiary Body on Scientific, Technical and Technological Advice to consider the outcomes of the AHTEG and to make a recommendation on the potential implications of the use of digital sequence information on genetic resources for the three objectives of the Convention for the consideration of the Conference of the Parties at its fourteenth meeting (para</w:t>
      </w:r>
      <w:r w:rsidR="00197651" w:rsidRPr="00704524">
        <w:rPr>
          <w:kern w:val="22"/>
          <w:szCs w:val="22"/>
        </w:rPr>
        <w:t>.</w:t>
      </w:r>
      <w:r w:rsidR="00934E22" w:rsidRPr="00704524">
        <w:rPr>
          <w:kern w:val="22"/>
          <w:szCs w:val="22"/>
        </w:rPr>
        <w:t> </w:t>
      </w:r>
      <w:r w:rsidRPr="00704524">
        <w:rPr>
          <w:kern w:val="22"/>
          <w:szCs w:val="22"/>
        </w:rPr>
        <w:t>5). Similarly, decision NP-2/14 requested the Subsidiary Body on Scientific, Technical and Technological Advice to consider the outcomes of the AHTEG and to make a recommendation on the potential implications of the use of digital sequence information on genetic resources for the objective of the Nagoya Protocol for the consideration of the Conference of the Parties serving as the meeting of the Parties to the Nagoya Protocol as its third meeting (para</w:t>
      </w:r>
      <w:r w:rsidR="00197651" w:rsidRPr="00704524">
        <w:rPr>
          <w:kern w:val="22"/>
          <w:szCs w:val="22"/>
        </w:rPr>
        <w:t>.</w:t>
      </w:r>
      <w:r w:rsidR="00934E22" w:rsidRPr="00704524">
        <w:rPr>
          <w:kern w:val="22"/>
          <w:szCs w:val="22"/>
        </w:rPr>
        <w:t> </w:t>
      </w:r>
      <w:r w:rsidRPr="00704524">
        <w:rPr>
          <w:kern w:val="22"/>
          <w:szCs w:val="22"/>
        </w:rPr>
        <w:t>7).</w:t>
      </w:r>
    </w:p>
    <w:p w:rsidR="005C58C1" w:rsidRPr="00704524" w:rsidRDefault="005C58C1" w:rsidP="002D0AE3">
      <w:pPr>
        <w:pStyle w:val="Para1"/>
        <w:numPr>
          <w:ilvl w:val="0"/>
          <w:numId w:val="2"/>
        </w:numPr>
        <w:tabs>
          <w:tab w:val="clear" w:pos="360"/>
        </w:tabs>
        <w:rPr>
          <w:kern w:val="22"/>
          <w:szCs w:val="22"/>
        </w:rPr>
      </w:pPr>
      <w:r w:rsidRPr="00704524">
        <w:rPr>
          <w:kern w:val="22"/>
          <w:szCs w:val="22"/>
        </w:rPr>
        <w:t>Furthermore, in decision NP-2/5 on cooperation with other international organizations, conventions and initiatives, the Parties to the Nagoya Protocol requested the Executive Secretary to continue to engage with relevant ongoing processes and policy debates to collect information on current discussions on the relationship between the use of digital sequence information on genetic resources and access and benefit-sharing arising out of the utilization of genetic resources, and to include relevant information gathered during these engagements in the compilation of views referred to in paragraph</w:t>
      </w:r>
      <w:r w:rsidR="00E63874" w:rsidRPr="00704524">
        <w:rPr>
          <w:kern w:val="22"/>
          <w:szCs w:val="22"/>
        </w:rPr>
        <w:t> </w:t>
      </w:r>
      <w:r w:rsidRPr="00704524">
        <w:rPr>
          <w:kern w:val="22"/>
          <w:szCs w:val="22"/>
        </w:rPr>
        <w:t>4(c) above.</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In notification 2017-37 of 25 April 2017, the Executive Secretary set out the tentative timeline for the implementation of the activities foreseen in decisions XIII/16 and NP-2/14. The notification also invited the submission of views and information pursuant to paragraph 2 of decision XIII/16 and paragraph 2 of decision NP-2/14.</w:t>
      </w:r>
    </w:p>
    <w:p w:rsidR="005C58C1" w:rsidRPr="00704524" w:rsidRDefault="005C58C1" w:rsidP="002D0AE3">
      <w:pPr>
        <w:pStyle w:val="Para1"/>
        <w:numPr>
          <w:ilvl w:val="0"/>
          <w:numId w:val="2"/>
        </w:numPr>
        <w:tabs>
          <w:tab w:val="clear" w:pos="360"/>
          <w:tab w:val="num" w:pos="720"/>
        </w:tabs>
        <w:rPr>
          <w:kern w:val="22"/>
          <w:szCs w:val="22"/>
        </w:rPr>
      </w:pPr>
      <w:r w:rsidRPr="00704524">
        <w:rPr>
          <w:kern w:val="22"/>
          <w:szCs w:val="22"/>
        </w:rPr>
        <w:t>By notification 2017-049 of 12 June 2017, Parties, other Governments, indigenous peoples and local communities, relevant organizations and stakeholders were invited to nominate experts to the AHTEG. The experts were selected in accordance with the consolidated modus operandi of the Subsidiary Body on Scientific, Technical and Technological Advice (</w:t>
      </w:r>
      <w:r w:rsidR="00C463EC" w:rsidRPr="00704524">
        <w:rPr>
          <w:kern w:val="22"/>
          <w:szCs w:val="22"/>
        </w:rPr>
        <w:t xml:space="preserve">see </w:t>
      </w:r>
      <w:r w:rsidRPr="00704524">
        <w:rPr>
          <w:kern w:val="22"/>
          <w:szCs w:val="22"/>
        </w:rPr>
        <w:t xml:space="preserve">decision VIII/10, annex III), taking into account their expertise and experience and the need to ensure equitable geographical </w:t>
      </w:r>
      <w:r w:rsidRPr="00704524">
        <w:rPr>
          <w:kern w:val="22"/>
          <w:szCs w:val="22"/>
        </w:rPr>
        <w:lastRenderedPageBreak/>
        <w:t>distribution and gender balance. Following consultation with the Bureau of the Subsidiary Body on Scientific, Technical and Technological Advice, the composition of the AHTEG was announced in notification 2017-109 of 20</w:t>
      </w:r>
      <w:r w:rsidR="0087614C" w:rsidRPr="00704524">
        <w:rPr>
          <w:kern w:val="22"/>
          <w:szCs w:val="22"/>
        </w:rPr>
        <w:t> </w:t>
      </w:r>
      <w:r w:rsidRPr="00704524">
        <w:rPr>
          <w:kern w:val="22"/>
          <w:szCs w:val="22"/>
        </w:rPr>
        <w:t>October 2017.</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As requested in decision XIII/16, and with funding from Canada, the European Union and Switzerland, the Executive Secretary commissioned a fact-finding and scoping study to clarify terminology and concepts and to assess the extent and the terms and conditions of the use of digital sequence information on genetic resources in the context of the Convention and the Nagoya Protocol. A draft of the study was made available online for peer review from 8 November to 1 December 2017.</w:t>
      </w:r>
    </w:p>
    <w:p w:rsidR="005C58C1" w:rsidRPr="00704524" w:rsidRDefault="00C52596" w:rsidP="005C58C1">
      <w:pPr>
        <w:pStyle w:val="Heading1"/>
        <w:rPr>
          <w:bCs/>
          <w:snapToGrid w:val="0"/>
          <w:kern w:val="22"/>
          <w:szCs w:val="22"/>
        </w:rPr>
      </w:pPr>
      <w:r w:rsidRPr="00704524">
        <w:rPr>
          <w:bCs/>
          <w:snapToGrid w:val="0"/>
          <w:kern w:val="22"/>
          <w:szCs w:val="22"/>
        </w:rPr>
        <w:t>Item 1.</w:t>
      </w:r>
      <w:r w:rsidRPr="00704524">
        <w:rPr>
          <w:bCs/>
          <w:snapToGrid w:val="0"/>
          <w:kern w:val="22"/>
          <w:szCs w:val="22"/>
        </w:rPr>
        <w:tab/>
      </w:r>
      <w:r w:rsidR="005C58C1" w:rsidRPr="00704524">
        <w:rPr>
          <w:bCs/>
          <w:snapToGrid w:val="0"/>
          <w:kern w:val="22"/>
          <w:szCs w:val="22"/>
        </w:rPr>
        <w:t>Opening of the meeting</w:t>
      </w:r>
    </w:p>
    <w:p w:rsidR="005C58C1" w:rsidRPr="00704524" w:rsidRDefault="005C58C1" w:rsidP="005C58C1">
      <w:pPr>
        <w:pStyle w:val="Para1"/>
        <w:keepNext/>
        <w:numPr>
          <w:ilvl w:val="0"/>
          <w:numId w:val="2"/>
        </w:numPr>
        <w:tabs>
          <w:tab w:val="clear" w:pos="360"/>
        </w:tabs>
        <w:spacing w:before="0"/>
        <w:rPr>
          <w:kern w:val="22"/>
          <w:szCs w:val="22"/>
        </w:rPr>
      </w:pPr>
      <w:r w:rsidRPr="00704524">
        <w:rPr>
          <w:kern w:val="22"/>
          <w:szCs w:val="22"/>
        </w:rPr>
        <w:t>The meeting will be opened by the Executive Secretary or her representative at 9:30 am on Tuesday, 13 February 2018.</w:t>
      </w:r>
    </w:p>
    <w:p w:rsidR="005C58C1" w:rsidRPr="00704524" w:rsidRDefault="00C52596" w:rsidP="005C58C1">
      <w:pPr>
        <w:pStyle w:val="Heading1"/>
        <w:rPr>
          <w:bCs/>
          <w:snapToGrid w:val="0"/>
          <w:kern w:val="22"/>
          <w:szCs w:val="22"/>
        </w:rPr>
      </w:pPr>
      <w:r w:rsidRPr="00704524">
        <w:rPr>
          <w:bCs/>
          <w:snapToGrid w:val="0"/>
          <w:kern w:val="22"/>
          <w:szCs w:val="22"/>
        </w:rPr>
        <w:t>Item 2.</w:t>
      </w:r>
      <w:r w:rsidRPr="00704524">
        <w:rPr>
          <w:bCs/>
          <w:snapToGrid w:val="0"/>
          <w:kern w:val="22"/>
          <w:szCs w:val="22"/>
        </w:rPr>
        <w:tab/>
        <w:t>Organizational matters</w:t>
      </w:r>
    </w:p>
    <w:p w:rsidR="005C58C1" w:rsidRPr="00704524" w:rsidRDefault="005C58C1" w:rsidP="005C58C1">
      <w:pPr>
        <w:pStyle w:val="Para1"/>
        <w:numPr>
          <w:ilvl w:val="0"/>
          <w:numId w:val="2"/>
        </w:numPr>
        <w:tabs>
          <w:tab w:val="clear" w:pos="360"/>
          <w:tab w:val="num" w:pos="720"/>
        </w:tabs>
        <w:spacing w:before="0"/>
        <w:rPr>
          <w:kern w:val="22"/>
          <w:szCs w:val="22"/>
        </w:rPr>
      </w:pPr>
      <w:r w:rsidRPr="00704524">
        <w:rPr>
          <w:kern w:val="22"/>
          <w:szCs w:val="22"/>
        </w:rPr>
        <w:t>The experts will be invited to elect a Chair or Co-Chairs for the meeting.</w:t>
      </w:r>
    </w:p>
    <w:p w:rsidR="005C58C1" w:rsidRPr="00704524" w:rsidRDefault="005C58C1" w:rsidP="005C58C1">
      <w:pPr>
        <w:pStyle w:val="Para1"/>
        <w:numPr>
          <w:ilvl w:val="0"/>
          <w:numId w:val="2"/>
        </w:numPr>
        <w:tabs>
          <w:tab w:val="clear" w:pos="360"/>
        </w:tabs>
        <w:rPr>
          <w:kern w:val="22"/>
          <w:szCs w:val="22"/>
        </w:rPr>
      </w:pPr>
      <w:r w:rsidRPr="00704524">
        <w:rPr>
          <w:kern w:val="22"/>
          <w:szCs w:val="22"/>
        </w:rPr>
        <w:t>The experts will also be invited to adopt the agenda for the meeting on the basis of the provisional agenda prepared by the Executive Secretary (CBD/DSI/AHTEG/2018/1/1). The experts may wish to consider the proposed organization of work as contained in annex I below. The meeting will be conducted in English.</w:t>
      </w:r>
    </w:p>
    <w:p w:rsidR="005C58C1" w:rsidRPr="00704524" w:rsidRDefault="005C58C1" w:rsidP="005C58C1">
      <w:pPr>
        <w:pStyle w:val="Para1"/>
        <w:numPr>
          <w:ilvl w:val="0"/>
          <w:numId w:val="2"/>
        </w:numPr>
        <w:tabs>
          <w:tab w:val="clear" w:pos="360"/>
          <w:tab w:val="num" w:pos="720"/>
        </w:tabs>
        <w:rPr>
          <w:b/>
          <w:bCs/>
          <w:kern w:val="22"/>
          <w:szCs w:val="22"/>
        </w:rPr>
      </w:pPr>
      <w:r w:rsidRPr="00704524">
        <w:rPr>
          <w:kern w:val="22"/>
          <w:szCs w:val="22"/>
        </w:rPr>
        <w:t>A list of documents for the meeting is contained in annex II below. The documents will be made available on the Secretariat’s website at: https://www.cbd.int/meetings/DSI-AHTEG-2018-01.</w:t>
      </w:r>
    </w:p>
    <w:p w:rsidR="005C58C1" w:rsidRPr="00704524" w:rsidRDefault="00592528" w:rsidP="005C58C1">
      <w:pPr>
        <w:pStyle w:val="Heading1longmultiline"/>
        <w:ind w:left="2310" w:hanging="1210"/>
        <w:rPr>
          <w:bCs/>
          <w:snapToGrid w:val="0"/>
          <w:kern w:val="22"/>
          <w:szCs w:val="22"/>
        </w:rPr>
      </w:pPr>
      <w:r w:rsidRPr="00704524">
        <w:rPr>
          <w:bCs/>
          <w:snapToGrid w:val="0"/>
          <w:kern w:val="22"/>
          <w:szCs w:val="22"/>
        </w:rPr>
        <w:t>Item 3.</w:t>
      </w:r>
      <w:r w:rsidRPr="00704524">
        <w:rPr>
          <w:bCs/>
          <w:snapToGrid w:val="0"/>
          <w:kern w:val="22"/>
          <w:szCs w:val="22"/>
        </w:rPr>
        <w:tab/>
        <w:t>Consideration of t</w:t>
      </w:r>
      <w:r w:rsidR="005C58C1" w:rsidRPr="00704524">
        <w:rPr>
          <w:bCs/>
          <w:snapToGrid w:val="0"/>
          <w:kern w:val="22"/>
          <w:szCs w:val="22"/>
        </w:rPr>
        <w:t xml:space="preserve">erminology and </w:t>
      </w:r>
      <w:r w:rsidRPr="00704524">
        <w:rPr>
          <w:bCs/>
          <w:snapToGrid w:val="0"/>
          <w:kern w:val="22"/>
          <w:szCs w:val="22"/>
        </w:rPr>
        <w:t>any</w:t>
      </w:r>
      <w:r w:rsidR="00D42BEC" w:rsidRPr="00704524">
        <w:rPr>
          <w:bCs/>
          <w:snapToGrid w:val="0"/>
          <w:kern w:val="22"/>
          <w:szCs w:val="22"/>
        </w:rPr>
        <w:t xml:space="preserve"> </w:t>
      </w:r>
      <w:r w:rsidRPr="00704524">
        <w:rPr>
          <w:bCs/>
          <w:snapToGrid w:val="0"/>
          <w:kern w:val="22"/>
          <w:szCs w:val="22"/>
        </w:rPr>
        <w:t>potential implications of digital sequence information on genetic resources for the three objectives of the Convention and the objective of the Nagoya Protocol</w:t>
      </w:r>
    </w:p>
    <w:p w:rsidR="005C58C1" w:rsidRPr="00704524" w:rsidRDefault="005C58C1" w:rsidP="005C7BCA">
      <w:pPr>
        <w:pStyle w:val="Para1"/>
        <w:numPr>
          <w:ilvl w:val="0"/>
          <w:numId w:val="2"/>
        </w:numPr>
        <w:tabs>
          <w:tab w:val="clear" w:pos="360"/>
        </w:tabs>
        <w:rPr>
          <w:kern w:val="22"/>
          <w:szCs w:val="22"/>
        </w:rPr>
      </w:pPr>
      <w:bookmarkStart w:id="2" w:name="_Ref502262640"/>
      <w:r w:rsidRPr="00704524">
        <w:rPr>
          <w:kern w:val="22"/>
          <w:szCs w:val="22"/>
        </w:rPr>
        <w:t xml:space="preserve">As </w:t>
      </w:r>
      <w:r w:rsidR="00881F47" w:rsidRPr="00704524">
        <w:rPr>
          <w:kern w:val="22"/>
          <w:szCs w:val="22"/>
        </w:rPr>
        <w:t>indicated</w:t>
      </w:r>
      <w:r w:rsidR="003F5A00" w:rsidRPr="00704524">
        <w:rPr>
          <w:kern w:val="22"/>
          <w:szCs w:val="22"/>
        </w:rPr>
        <w:t xml:space="preserve"> in paragraph </w:t>
      </w:r>
      <w:r w:rsidR="003F5A00" w:rsidRPr="00704524">
        <w:rPr>
          <w:kern w:val="22"/>
          <w:szCs w:val="22"/>
        </w:rPr>
        <w:fldChar w:fldCharType="begin"/>
      </w:r>
      <w:r w:rsidR="003F5A00" w:rsidRPr="00704524">
        <w:rPr>
          <w:kern w:val="22"/>
          <w:szCs w:val="22"/>
        </w:rPr>
        <w:instrText xml:space="preserve"> REF _Ref502263896 \r \h </w:instrText>
      </w:r>
      <w:r w:rsidR="00B01486" w:rsidRPr="00704524">
        <w:rPr>
          <w:kern w:val="22"/>
          <w:szCs w:val="22"/>
        </w:rPr>
        <w:instrText xml:space="preserve"> \* MERGEFORMAT </w:instrText>
      </w:r>
      <w:r w:rsidR="003F5A00" w:rsidRPr="00704524">
        <w:rPr>
          <w:kern w:val="22"/>
          <w:szCs w:val="22"/>
        </w:rPr>
      </w:r>
      <w:r w:rsidR="003F5A00" w:rsidRPr="00704524">
        <w:rPr>
          <w:kern w:val="22"/>
          <w:szCs w:val="22"/>
        </w:rPr>
        <w:fldChar w:fldCharType="separate"/>
      </w:r>
      <w:r w:rsidR="003F5A00" w:rsidRPr="00704524">
        <w:rPr>
          <w:kern w:val="22"/>
          <w:szCs w:val="22"/>
          <w:cs/>
        </w:rPr>
        <w:t>‎</w:t>
      </w:r>
      <w:r w:rsidR="003F5A00" w:rsidRPr="00704524">
        <w:rPr>
          <w:kern w:val="22"/>
          <w:szCs w:val="22"/>
        </w:rPr>
        <w:t>4(c)</w:t>
      </w:r>
      <w:r w:rsidR="003F5A00" w:rsidRPr="00704524">
        <w:rPr>
          <w:kern w:val="22"/>
          <w:szCs w:val="22"/>
        </w:rPr>
        <w:fldChar w:fldCharType="end"/>
      </w:r>
      <w:r w:rsidRPr="00704524">
        <w:rPr>
          <w:kern w:val="22"/>
          <w:szCs w:val="22"/>
        </w:rPr>
        <w:t xml:space="preserve"> above, </w:t>
      </w:r>
      <w:r w:rsidR="003F5A00" w:rsidRPr="00704524">
        <w:rPr>
          <w:kern w:val="22"/>
          <w:szCs w:val="22"/>
        </w:rPr>
        <w:t>the Executive Secretary was requested to prepare a compilation and synthesis of the views and information submitted pursuant to paragraph 2 of decision XIII/16 and paragraph 2 of decision NP-2/14. B</w:t>
      </w:r>
      <w:r w:rsidRPr="00704524">
        <w:rPr>
          <w:kern w:val="22"/>
          <w:szCs w:val="22"/>
        </w:rPr>
        <w:t xml:space="preserve">y notification 2017-37 of 25 April 2017, the Executive Secretary invited the submission of views and information. The full text of the submissions is available online at </w:t>
      </w:r>
      <w:hyperlink r:id="rId13" w:anchor="submissions" w:history="1">
        <w:r w:rsidRPr="00704524">
          <w:rPr>
            <w:rStyle w:val="Hyperlink"/>
            <w:kern w:val="22"/>
            <w:szCs w:val="22"/>
          </w:rPr>
          <w:t>https://www.cbd.int/abs/dsi-gr/ahteg.shtml#submissions</w:t>
        </w:r>
      </w:hyperlink>
      <w:r w:rsidRPr="00704524">
        <w:rPr>
          <w:kern w:val="22"/>
          <w:szCs w:val="22"/>
        </w:rPr>
        <w:t xml:space="preserve">. </w:t>
      </w:r>
      <w:r w:rsidR="005C7BCA" w:rsidRPr="00704524">
        <w:rPr>
          <w:kern w:val="22"/>
          <w:szCs w:val="22"/>
        </w:rPr>
        <w:t>The</w:t>
      </w:r>
      <w:r w:rsidRPr="00704524">
        <w:rPr>
          <w:kern w:val="22"/>
          <w:szCs w:val="22"/>
        </w:rPr>
        <w:t xml:space="preserve"> synthesis will be made available as CBD/DSI/AHTEG/2018/1/2.</w:t>
      </w:r>
      <w:bookmarkEnd w:id="2"/>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In addition, the Executive Secretary commissioned a fact-finding and scoping study to clarify terminology and concepts and to assess the extent and the terms and conditions of the use of digital sequence information on genetic resources in the context of the Convention and the Nagoya Protocol.</w:t>
      </w:r>
    </w:p>
    <w:p w:rsidR="005C58C1" w:rsidRPr="00704524" w:rsidRDefault="005C58C1" w:rsidP="005C58C1">
      <w:pPr>
        <w:pStyle w:val="Para1"/>
        <w:numPr>
          <w:ilvl w:val="0"/>
          <w:numId w:val="2"/>
        </w:numPr>
        <w:tabs>
          <w:tab w:val="clear" w:pos="360"/>
        </w:tabs>
        <w:rPr>
          <w:kern w:val="22"/>
          <w:szCs w:val="22"/>
        </w:rPr>
      </w:pPr>
      <w:r w:rsidRPr="00704524">
        <w:rPr>
          <w:kern w:val="22"/>
          <w:szCs w:val="22"/>
        </w:rPr>
        <w:t xml:space="preserve">A draft of the study was made available online for peer review. The peer review comments received will be available online at: </w:t>
      </w:r>
      <w:hyperlink r:id="rId14" w:history="1">
        <w:r w:rsidRPr="00704524">
          <w:rPr>
            <w:rStyle w:val="Hyperlink"/>
            <w:kern w:val="22"/>
            <w:szCs w:val="22"/>
          </w:rPr>
          <w:t>https://www.cbd.int/abs/dsi-gr/ahteg.shtml</w:t>
        </w:r>
      </w:hyperlink>
      <w:r w:rsidRPr="00704524">
        <w:rPr>
          <w:kern w:val="22"/>
          <w:szCs w:val="22"/>
        </w:rPr>
        <w:t>.</w:t>
      </w:r>
    </w:p>
    <w:p w:rsidR="005C58C1" w:rsidRPr="00704524" w:rsidRDefault="005C58C1" w:rsidP="002D0AE3">
      <w:pPr>
        <w:pStyle w:val="Para1"/>
        <w:numPr>
          <w:ilvl w:val="0"/>
          <w:numId w:val="2"/>
        </w:numPr>
        <w:tabs>
          <w:tab w:val="clear" w:pos="360"/>
        </w:tabs>
        <w:rPr>
          <w:kern w:val="22"/>
          <w:szCs w:val="22"/>
        </w:rPr>
      </w:pPr>
      <w:r w:rsidRPr="00704524">
        <w:rPr>
          <w:kern w:val="22"/>
          <w:szCs w:val="22"/>
        </w:rPr>
        <w:t xml:space="preserve">The study was finalized in </w:t>
      </w:r>
      <w:r w:rsidR="00140A75" w:rsidRPr="00704524">
        <w:rPr>
          <w:kern w:val="22"/>
          <w:szCs w:val="22"/>
        </w:rPr>
        <w:t xml:space="preserve">the </w:t>
      </w:r>
      <w:r w:rsidRPr="00704524">
        <w:rPr>
          <w:kern w:val="22"/>
          <w:szCs w:val="22"/>
        </w:rPr>
        <w:t>light of the comments received and will be made available for the consideration of the AHTEG as CBD/AHTEG/DSI/2018/1/3.</w:t>
      </w:r>
    </w:p>
    <w:p w:rsidR="005C58C1" w:rsidRPr="00704524" w:rsidRDefault="005C58C1" w:rsidP="005C58C1">
      <w:pPr>
        <w:pStyle w:val="Heading2"/>
        <w:rPr>
          <w:i w:val="0"/>
          <w:snapToGrid w:val="0"/>
          <w:kern w:val="22"/>
          <w:szCs w:val="22"/>
        </w:rPr>
      </w:pPr>
      <w:r w:rsidRPr="00704524">
        <w:rPr>
          <w:i w:val="0"/>
          <w:snapToGrid w:val="0"/>
          <w:kern w:val="22"/>
          <w:szCs w:val="22"/>
        </w:rPr>
        <w:t>3.1.</w:t>
      </w:r>
      <w:r w:rsidRPr="00704524">
        <w:rPr>
          <w:i w:val="0"/>
          <w:snapToGrid w:val="0"/>
          <w:kern w:val="22"/>
          <w:szCs w:val="22"/>
        </w:rPr>
        <w:tab/>
        <w:t>Terminology and different types of digital sequence information on genetic resources</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 xml:space="preserve">In adopting the decisions on digital sequence information on genetic resources, the </w:t>
      </w:r>
      <w:r w:rsidR="000902C3" w:rsidRPr="00704524">
        <w:rPr>
          <w:kern w:val="22"/>
          <w:szCs w:val="22"/>
        </w:rPr>
        <w:t xml:space="preserve">Conference of the Parties </w:t>
      </w:r>
      <w:r w:rsidRPr="00704524">
        <w:rPr>
          <w:kern w:val="22"/>
          <w:szCs w:val="22"/>
        </w:rPr>
        <w:t xml:space="preserve">and the </w:t>
      </w:r>
      <w:r w:rsidR="000902C3" w:rsidRPr="00704524">
        <w:rPr>
          <w:kern w:val="22"/>
          <w:szCs w:val="22"/>
        </w:rPr>
        <w:t>Conference of the Parties serving as the meeting of the Parties to the Nagoya Protocol</w:t>
      </w:r>
      <w:r w:rsidRPr="00704524">
        <w:rPr>
          <w:kern w:val="22"/>
          <w:szCs w:val="22"/>
        </w:rPr>
        <w:t xml:space="preserve"> footnoted the term </w:t>
      </w:r>
      <w:r w:rsidR="00EF5628" w:rsidRPr="00704524">
        <w:rPr>
          <w:kern w:val="22"/>
          <w:szCs w:val="22"/>
        </w:rPr>
        <w:t>“</w:t>
      </w:r>
      <w:r w:rsidRPr="00704524">
        <w:rPr>
          <w:kern w:val="22"/>
          <w:szCs w:val="22"/>
        </w:rPr>
        <w:t>digital sequence information</w:t>
      </w:r>
      <w:r w:rsidR="00EF5628" w:rsidRPr="00704524">
        <w:rPr>
          <w:kern w:val="22"/>
          <w:szCs w:val="22"/>
        </w:rPr>
        <w:t>”</w:t>
      </w:r>
      <w:r w:rsidRPr="00704524">
        <w:rPr>
          <w:kern w:val="22"/>
          <w:szCs w:val="22"/>
        </w:rPr>
        <w:t xml:space="preserve"> to indicate that terminology </w:t>
      </w:r>
      <w:r w:rsidR="00EF5628" w:rsidRPr="00704524">
        <w:rPr>
          <w:kern w:val="22"/>
          <w:szCs w:val="22"/>
        </w:rPr>
        <w:t>wa</w:t>
      </w:r>
      <w:r w:rsidRPr="00704524">
        <w:rPr>
          <w:kern w:val="22"/>
          <w:szCs w:val="22"/>
        </w:rPr>
        <w:t>s subject to further discussion in the study and the expert group.</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Under this agenda item, the experts will:</w:t>
      </w:r>
    </w:p>
    <w:p w:rsidR="005C58C1" w:rsidRPr="00704524" w:rsidRDefault="005C58C1" w:rsidP="005C58C1">
      <w:pPr>
        <w:pStyle w:val="Para1"/>
        <w:numPr>
          <w:ilvl w:val="1"/>
          <w:numId w:val="2"/>
        </w:numPr>
        <w:rPr>
          <w:kern w:val="22"/>
          <w:szCs w:val="22"/>
        </w:rPr>
      </w:pPr>
      <w:r w:rsidRPr="00704524">
        <w:rPr>
          <w:kern w:val="22"/>
          <w:szCs w:val="22"/>
        </w:rPr>
        <w:t>Consider the technical scope and legal and scientific implications of existing terminology related to digital sequence information on genetic resources;</w:t>
      </w:r>
    </w:p>
    <w:p w:rsidR="005C58C1" w:rsidRPr="00704524" w:rsidRDefault="005C58C1" w:rsidP="005C58C1">
      <w:pPr>
        <w:pStyle w:val="Para1"/>
        <w:numPr>
          <w:ilvl w:val="1"/>
          <w:numId w:val="2"/>
        </w:numPr>
        <w:rPr>
          <w:kern w:val="22"/>
          <w:szCs w:val="22"/>
        </w:rPr>
      </w:pPr>
      <w:r w:rsidRPr="00704524">
        <w:rPr>
          <w:kern w:val="22"/>
          <w:szCs w:val="22"/>
        </w:rPr>
        <w:t>Identify the different types of digital sequence information on genetic resources that are relevant to the Convention and the Nagoya Protocol.</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 xml:space="preserve">To fulfil these tasks, the experts will be invited to consider </w:t>
      </w:r>
      <w:r w:rsidR="00DD2D70" w:rsidRPr="00704524">
        <w:rPr>
          <w:kern w:val="22"/>
          <w:szCs w:val="22"/>
        </w:rPr>
        <w:t xml:space="preserve">the </w:t>
      </w:r>
      <w:r w:rsidRPr="00704524">
        <w:rPr>
          <w:kern w:val="22"/>
          <w:szCs w:val="22"/>
        </w:rPr>
        <w:t>relevant sections of the synthesis and the study.</w:t>
      </w:r>
    </w:p>
    <w:p w:rsidR="005C58C1" w:rsidRPr="00704524" w:rsidRDefault="005C58C1" w:rsidP="00CC1808">
      <w:pPr>
        <w:pStyle w:val="Heading2"/>
        <w:ind w:left="1440" w:hanging="720"/>
        <w:jc w:val="left"/>
        <w:rPr>
          <w:i w:val="0"/>
          <w:snapToGrid w:val="0"/>
          <w:kern w:val="22"/>
          <w:szCs w:val="22"/>
        </w:rPr>
      </w:pPr>
      <w:r w:rsidRPr="00704524">
        <w:rPr>
          <w:i w:val="0"/>
          <w:snapToGrid w:val="0"/>
          <w:kern w:val="22"/>
          <w:szCs w:val="22"/>
        </w:rPr>
        <w:t>3.2.</w:t>
      </w:r>
      <w:r w:rsidRPr="00704524">
        <w:rPr>
          <w:i w:val="0"/>
          <w:snapToGrid w:val="0"/>
          <w:kern w:val="22"/>
          <w:szCs w:val="22"/>
        </w:rPr>
        <w:tab/>
        <w:t>Potential implications of the use of digital sequence information on genetic resources for conservation of biological diversity and sustainable use of its components</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Under this item, the experts will examine any potential implications of the use of digital sequence information on genetic resources for the conservation of biological diversity and the sustainable use of its components.</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 xml:space="preserve">The experts will be invited to consider </w:t>
      </w:r>
      <w:r w:rsidR="00DD2D70" w:rsidRPr="00704524">
        <w:rPr>
          <w:kern w:val="22"/>
          <w:szCs w:val="22"/>
        </w:rPr>
        <w:t xml:space="preserve">the </w:t>
      </w:r>
      <w:r w:rsidRPr="00704524">
        <w:rPr>
          <w:kern w:val="22"/>
          <w:szCs w:val="22"/>
        </w:rPr>
        <w:t>relevant parts of the study and the synthesis.</w:t>
      </w:r>
    </w:p>
    <w:p w:rsidR="005C58C1" w:rsidRPr="00704524" w:rsidRDefault="005C58C1" w:rsidP="00CC1808">
      <w:pPr>
        <w:pStyle w:val="Heading2"/>
        <w:ind w:left="1440" w:hanging="630"/>
        <w:jc w:val="left"/>
        <w:rPr>
          <w:i w:val="0"/>
          <w:snapToGrid w:val="0"/>
          <w:kern w:val="22"/>
          <w:szCs w:val="22"/>
        </w:rPr>
      </w:pPr>
      <w:r w:rsidRPr="00704524">
        <w:rPr>
          <w:i w:val="0"/>
          <w:snapToGrid w:val="0"/>
          <w:kern w:val="22"/>
          <w:szCs w:val="22"/>
        </w:rPr>
        <w:t>3.3.</w:t>
      </w:r>
      <w:r w:rsidRPr="00704524">
        <w:rPr>
          <w:i w:val="0"/>
          <w:snapToGrid w:val="0"/>
          <w:kern w:val="22"/>
          <w:szCs w:val="22"/>
        </w:rPr>
        <w:tab/>
        <w:t>Potential implications of the use of digital sequence information on genetic resources for the fair and equitable sharing of the benefits arising out of the utilization of genetic resources</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Under this item, the experts will examine any potential implications of the use of digital sequence information on genetic resources for the fair and equitable sharing of the benefits arising out of the utilization of genetic resources.</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 xml:space="preserve">The experts will be invited to consider </w:t>
      </w:r>
      <w:r w:rsidR="00647D4D" w:rsidRPr="00704524">
        <w:rPr>
          <w:kern w:val="22"/>
          <w:szCs w:val="22"/>
        </w:rPr>
        <w:t xml:space="preserve">the </w:t>
      </w:r>
      <w:r w:rsidRPr="00704524">
        <w:rPr>
          <w:kern w:val="22"/>
          <w:szCs w:val="22"/>
        </w:rPr>
        <w:t>relevant parts of the study and the synthesis.</w:t>
      </w:r>
    </w:p>
    <w:p w:rsidR="005C58C1" w:rsidRPr="00704524" w:rsidRDefault="00592528" w:rsidP="005C58C1">
      <w:pPr>
        <w:pStyle w:val="Heading1longmultiline"/>
        <w:ind w:left="0" w:firstLine="0"/>
        <w:jc w:val="center"/>
        <w:rPr>
          <w:bCs/>
          <w:snapToGrid w:val="0"/>
          <w:kern w:val="22"/>
          <w:szCs w:val="22"/>
        </w:rPr>
      </w:pPr>
      <w:r w:rsidRPr="00704524">
        <w:rPr>
          <w:bCs/>
          <w:snapToGrid w:val="0"/>
          <w:kern w:val="22"/>
          <w:szCs w:val="22"/>
        </w:rPr>
        <w:t xml:space="preserve">Item </w:t>
      </w:r>
      <w:r w:rsidR="007A3D63" w:rsidRPr="00704524">
        <w:rPr>
          <w:bCs/>
          <w:snapToGrid w:val="0"/>
          <w:kern w:val="22"/>
          <w:szCs w:val="22"/>
        </w:rPr>
        <w:t>4</w:t>
      </w:r>
      <w:r w:rsidRPr="00704524">
        <w:rPr>
          <w:bCs/>
          <w:snapToGrid w:val="0"/>
          <w:kern w:val="22"/>
          <w:szCs w:val="22"/>
        </w:rPr>
        <w:t>.</w:t>
      </w:r>
      <w:r w:rsidRPr="00704524">
        <w:rPr>
          <w:bCs/>
          <w:snapToGrid w:val="0"/>
          <w:kern w:val="22"/>
          <w:szCs w:val="22"/>
        </w:rPr>
        <w:tab/>
        <w:t>Other matters</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Under this item, experts may raise any other matter relevant to the meeting.</w:t>
      </w:r>
    </w:p>
    <w:p w:rsidR="005C58C1" w:rsidRPr="00704524" w:rsidRDefault="00592528" w:rsidP="005C58C1">
      <w:pPr>
        <w:pStyle w:val="Heading1"/>
        <w:rPr>
          <w:bCs/>
          <w:snapToGrid w:val="0"/>
          <w:kern w:val="22"/>
          <w:szCs w:val="22"/>
        </w:rPr>
      </w:pPr>
      <w:r w:rsidRPr="00704524">
        <w:rPr>
          <w:bCs/>
          <w:snapToGrid w:val="0"/>
          <w:kern w:val="22"/>
          <w:szCs w:val="22"/>
        </w:rPr>
        <w:t xml:space="preserve">Item </w:t>
      </w:r>
      <w:r w:rsidR="007A3D63" w:rsidRPr="00704524">
        <w:rPr>
          <w:bCs/>
          <w:snapToGrid w:val="0"/>
          <w:kern w:val="22"/>
          <w:szCs w:val="22"/>
        </w:rPr>
        <w:t>5</w:t>
      </w:r>
      <w:r w:rsidRPr="00704524">
        <w:rPr>
          <w:bCs/>
          <w:snapToGrid w:val="0"/>
          <w:kern w:val="22"/>
          <w:szCs w:val="22"/>
        </w:rPr>
        <w:t>.</w:t>
      </w:r>
      <w:r w:rsidRPr="00704524">
        <w:rPr>
          <w:bCs/>
          <w:snapToGrid w:val="0"/>
          <w:kern w:val="22"/>
          <w:szCs w:val="22"/>
        </w:rPr>
        <w:tab/>
        <w:t>Adoption of the report</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 xml:space="preserve">The experts will be invited to consider and adopt their report, which will be made available for consideration by the Subsidiary Body on Scientific, Technical and Technological Advice </w:t>
      </w:r>
      <w:r w:rsidR="000902C3" w:rsidRPr="00704524">
        <w:rPr>
          <w:kern w:val="22"/>
          <w:szCs w:val="22"/>
        </w:rPr>
        <w:t>at its twenty-second meeting</w:t>
      </w:r>
      <w:r w:rsidR="00D036AB" w:rsidRPr="00704524">
        <w:rPr>
          <w:kern w:val="22"/>
          <w:szCs w:val="22"/>
        </w:rPr>
        <w:t>,</w:t>
      </w:r>
      <w:r w:rsidR="000902C3" w:rsidRPr="00704524">
        <w:rPr>
          <w:kern w:val="22"/>
          <w:szCs w:val="22"/>
        </w:rPr>
        <w:t xml:space="preserve"> </w:t>
      </w:r>
      <w:r w:rsidRPr="00704524">
        <w:rPr>
          <w:kern w:val="22"/>
          <w:szCs w:val="22"/>
        </w:rPr>
        <w:t>to be held from 2 to 7 July 2018 in Montreal, Canada.</w:t>
      </w:r>
    </w:p>
    <w:p w:rsidR="005C58C1" w:rsidRPr="00704524" w:rsidRDefault="00592528" w:rsidP="005C58C1">
      <w:pPr>
        <w:pStyle w:val="Heading1"/>
        <w:rPr>
          <w:bCs/>
          <w:snapToGrid w:val="0"/>
          <w:kern w:val="22"/>
          <w:szCs w:val="22"/>
        </w:rPr>
      </w:pPr>
      <w:r w:rsidRPr="00704524">
        <w:rPr>
          <w:bCs/>
          <w:snapToGrid w:val="0"/>
          <w:kern w:val="22"/>
          <w:szCs w:val="22"/>
        </w:rPr>
        <w:t xml:space="preserve">Item </w:t>
      </w:r>
      <w:r w:rsidR="007A3D63" w:rsidRPr="00704524">
        <w:rPr>
          <w:bCs/>
          <w:snapToGrid w:val="0"/>
          <w:kern w:val="22"/>
          <w:szCs w:val="22"/>
        </w:rPr>
        <w:t>6</w:t>
      </w:r>
      <w:r w:rsidRPr="00704524">
        <w:rPr>
          <w:bCs/>
          <w:snapToGrid w:val="0"/>
          <w:kern w:val="22"/>
          <w:szCs w:val="22"/>
        </w:rPr>
        <w:t>.</w:t>
      </w:r>
      <w:r w:rsidRPr="00704524">
        <w:rPr>
          <w:bCs/>
          <w:snapToGrid w:val="0"/>
          <w:kern w:val="22"/>
          <w:szCs w:val="22"/>
        </w:rPr>
        <w:tab/>
        <w:t>Closure of the meeting</w:t>
      </w:r>
    </w:p>
    <w:p w:rsidR="005C58C1" w:rsidRPr="00704524" w:rsidRDefault="005C58C1" w:rsidP="005C58C1">
      <w:pPr>
        <w:pStyle w:val="Para1"/>
        <w:numPr>
          <w:ilvl w:val="0"/>
          <w:numId w:val="2"/>
        </w:numPr>
        <w:tabs>
          <w:tab w:val="clear" w:pos="360"/>
          <w:tab w:val="num" w:pos="720"/>
        </w:tabs>
        <w:rPr>
          <w:kern w:val="22"/>
          <w:szCs w:val="22"/>
        </w:rPr>
      </w:pPr>
      <w:r w:rsidRPr="00704524">
        <w:rPr>
          <w:kern w:val="22"/>
          <w:szCs w:val="22"/>
        </w:rPr>
        <w:t>The meeting is expected to close at 5.30 p.m. on Friday, 16 February 2018.</w:t>
      </w:r>
    </w:p>
    <w:p w:rsidR="005C58C1" w:rsidRPr="00704524" w:rsidRDefault="005C58C1" w:rsidP="005C58C1">
      <w:pPr>
        <w:pStyle w:val="Heading2"/>
        <w:keepNext w:val="0"/>
        <w:jc w:val="both"/>
        <w:rPr>
          <w:b w:val="0"/>
          <w:bCs w:val="0"/>
          <w:i w:val="0"/>
          <w:iCs w:val="0"/>
          <w:snapToGrid w:val="0"/>
          <w:kern w:val="22"/>
          <w:szCs w:val="22"/>
        </w:rPr>
      </w:pPr>
    </w:p>
    <w:p w:rsidR="005C58C1" w:rsidRPr="00704524" w:rsidRDefault="005C58C1" w:rsidP="005C58C1">
      <w:pPr>
        <w:pStyle w:val="Para1"/>
        <w:numPr>
          <w:ilvl w:val="0"/>
          <w:numId w:val="0"/>
        </w:numPr>
        <w:rPr>
          <w:kern w:val="22"/>
          <w:szCs w:val="22"/>
        </w:rPr>
      </w:pPr>
    </w:p>
    <w:p w:rsidR="005C58C1" w:rsidRPr="00704524" w:rsidRDefault="005C58C1" w:rsidP="00704524">
      <w:pPr>
        <w:pStyle w:val="Heading-plain"/>
        <w:spacing w:before="0"/>
        <w:rPr>
          <w:snapToGrid w:val="0"/>
          <w:kern w:val="22"/>
          <w:szCs w:val="22"/>
        </w:rPr>
      </w:pPr>
      <w:r w:rsidRPr="00704524">
        <w:rPr>
          <w:i w:val="0"/>
          <w:iCs w:val="0"/>
          <w:snapToGrid w:val="0"/>
          <w:kern w:val="22"/>
          <w:szCs w:val="22"/>
        </w:rPr>
        <w:br w:type="page"/>
      </w:r>
      <w:r w:rsidRPr="00704524">
        <w:rPr>
          <w:snapToGrid w:val="0"/>
          <w:kern w:val="22"/>
          <w:szCs w:val="22"/>
        </w:rPr>
        <w:t>Annex I</w:t>
      </w:r>
    </w:p>
    <w:p w:rsidR="005C58C1" w:rsidRPr="00704524" w:rsidRDefault="001B237E" w:rsidP="00704524">
      <w:pPr>
        <w:pStyle w:val="Heading1"/>
        <w:tabs>
          <w:tab w:val="clear" w:pos="720"/>
        </w:tabs>
        <w:rPr>
          <w:bCs/>
          <w:snapToGrid w:val="0"/>
          <w:kern w:val="22"/>
          <w:szCs w:val="22"/>
        </w:rPr>
      </w:pPr>
      <w:r w:rsidRPr="00704524">
        <w:rPr>
          <w:bCs/>
          <w:snapToGrid w:val="0"/>
          <w:kern w:val="22"/>
          <w:szCs w:val="22"/>
        </w:rPr>
        <w:t>Proposed organization of work</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2"/>
        <w:gridCol w:w="6774"/>
      </w:tblGrid>
      <w:tr w:rsidR="005C58C1" w:rsidRPr="0025284F" w:rsidTr="000D7F48">
        <w:trPr>
          <w:cantSplit/>
          <w:tblHeader/>
          <w:jc w:val="center"/>
        </w:trPr>
        <w:tc>
          <w:tcPr>
            <w:tcW w:w="2802" w:type="dxa"/>
            <w:tcMar>
              <w:top w:w="72" w:type="dxa"/>
              <w:left w:w="115" w:type="dxa"/>
              <w:bottom w:w="72" w:type="dxa"/>
              <w:right w:w="115" w:type="dxa"/>
            </w:tcMar>
          </w:tcPr>
          <w:p w:rsidR="005C58C1" w:rsidRPr="00704524" w:rsidRDefault="005C58C1" w:rsidP="00704524">
            <w:pPr>
              <w:jc w:val="center"/>
              <w:rPr>
                <w:i/>
                <w:iCs/>
                <w:snapToGrid w:val="0"/>
                <w:kern w:val="22"/>
                <w:szCs w:val="22"/>
              </w:rPr>
            </w:pPr>
            <w:r w:rsidRPr="00704524">
              <w:rPr>
                <w:i/>
                <w:iCs/>
                <w:snapToGrid w:val="0"/>
                <w:kern w:val="22"/>
                <w:szCs w:val="22"/>
              </w:rPr>
              <w:t>Date/time</w:t>
            </w:r>
          </w:p>
        </w:tc>
        <w:tc>
          <w:tcPr>
            <w:tcW w:w="6774" w:type="dxa"/>
            <w:tcMar>
              <w:top w:w="72" w:type="dxa"/>
              <w:left w:w="115" w:type="dxa"/>
              <w:bottom w:w="72" w:type="dxa"/>
              <w:right w:w="115" w:type="dxa"/>
            </w:tcMar>
          </w:tcPr>
          <w:p w:rsidR="005C58C1" w:rsidRPr="00704524" w:rsidRDefault="001A5362" w:rsidP="00704524">
            <w:pPr>
              <w:jc w:val="center"/>
              <w:rPr>
                <w:snapToGrid w:val="0"/>
                <w:kern w:val="22"/>
                <w:szCs w:val="22"/>
              </w:rPr>
            </w:pPr>
            <w:r w:rsidRPr="00704524">
              <w:rPr>
                <w:i/>
                <w:snapToGrid w:val="0"/>
                <w:kern w:val="22"/>
                <w:szCs w:val="22"/>
              </w:rPr>
              <w:t>Agenda item</w:t>
            </w:r>
          </w:p>
        </w:tc>
      </w:tr>
      <w:tr w:rsidR="005C58C1" w:rsidRPr="0025284F" w:rsidTr="000D7F48">
        <w:trPr>
          <w:cantSplit/>
          <w:jc w:val="center"/>
        </w:trPr>
        <w:tc>
          <w:tcPr>
            <w:tcW w:w="9576" w:type="dxa"/>
            <w:gridSpan w:val="2"/>
            <w:tcMar>
              <w:top w:w="72" w:type="dxa"/>
              <w:left w:w="115" w:type="dxa"/>
              <w:bottom w:w="72" w:type="dxa"/>
              <w:right w:w="115" w:type="dxa"/>
            </w:tcMar>
          </w:tcPr>
          <w:p w:rsidR="005C58C1" w:rsidRPr="00704524" w:rsidRDefault="005C58C1" w:rsidP="00704524">
            <w:pPr>
              <w:jc w:val="left"/>
              <w:rPr>
                <w:b/>
                <w:snapToGrid w:val="0"/>
                <w:kern w:val="22"/>
                <w:szCs w:val="22"/>
              </w:rPr>
            </w:pPr>
            <w:r w:rsidRPr="00704524">
              <w:rPr>
                <w:b/>
                <w:snapToGrid w:val="0"/>
                <w:kern w:val="22"/>
                <w:szCs w:val="22"/>
              </w:rPr>
              <w:t>Tuesday, 13 February 2018</w:t>
            </w:r>
          </w:p>
        </w:tc>
      </w:tr>
      <w:tr w:rsidR="005C58C1" w:rsidRPr="0025284F" w:rsidTr="000D7F48">
        <w:trPr>
          <w:cantSplit/>
          <w:jc w:val="center"/>
        </w:trPr>
        <w:tc>
          <w:tcPr>
            <w:tcW w:w="2802" w:type="dxa"/>
            <w:tcMar>
              <w:top w:w="72" w:type="dxa"/>
              <w:left w:w="115" w:type="dxa"/>
              <w:bottom w:w="72" w:type="dxa"/>
              <w:right w:w="115" w:type="dxa"/>
            </w:tcMar>
          </w:tcPr>
          <w:p w:rsidR="005C58C1" w:rsidRPr="00704524" w:rsidRDefault="005C58C1" w:rsidP="000D7F48">
            <w:pPr>
              <w:jc w:val="left"/>
              <w:rPr>
                <w:snapToGrid w:val="0"/>
                <w:kern w:val="22"/>
                <w:szCs w:val="22"/>
              </w:rPr>
            </w:pPr>
            <w:r w:rsidRPr="00704524">
              <w:rPr>
                <w:snapToGrid w:val="0"/>
                <w:kern w:val="22"/>
                <w:szCs w:val="22"/>
              </w:rPr>
              <w:t>9.30 a.m. to 12.30 p.m.</w:t>
            </w:r>
          </w:p>
        </w:tc>
        <w:tc>
          <w:tcPr>
            <w:tcW w:w="6774" w:type="dxa"/>
            <w:tcMar>
              <w:top w:w="72" w:type="dxa"/>
              <w:left w:w="115" w:type="dxa"/>
              <w:bottom w:w="72" w:type="dxa"/>
              <w:right w:w="115" w:type="dxa"/>
            </w:tcMar>
          </w:tcPr>
          <w:p w:rsidR="005C58C1" w:rsidRPr="00704524" w:rsidRDefault="005C58C1" w:rsidP="00704524">
            <w:pPr>
              <w:spacing w:after="120"/>
              <w:ind w:left="878" w:hanging="878"/>
              <w:jc w:val="left"/>
              <w:rPr>
                <w:snapToGrid w:val="0"/>
                <w:kern w:val="22"/>
                <w:szCs w:val="22"/>
              </w:rPr>
            </w:pPr>
            <w:r w:rsidRPr="00704524">
              <w:rPr>
                <w:snapToGrid w:val="0"/>
                <w:kern w:val="22"/>
                <w:szCs w:val="22"/>
              </w:rPr>
              <w:t>Item 1.</w:t>
            </w:r>
            <w:r w:rsidRPr="00704524">
              <w:rPr>
                <w:snapToGrid w:val="0"/>
                <w:kern w:val="22"/>
                <w:szCs w:val="22"/>
              </w:rPr>
              <w:tab/>
              <w:t>Opening of the meeting.</w:t>
            </w:r>
          </w:p>
          <w:p w:rsidR="005C58C1" w:rsidRPr="00704524" w:rsidRDefault="005C58C1" w:rsidP="00704524">
            <w:pPr>
              <w:spacing w:after="120"/>
              <w:ind w:left="878" w:hanging="878"/>
              <w:jc w:val="left"/>
              <w:rPr>
                <w:snapToGrid w:val="0"/>
                <w:kern w:val="22"/>
                <w:szCs w:val="22"/>
              </w:rPr>
            </w:pPr>
            <w:r w:rsidRPr="00704524">
              <w:rPr>
                <w:snapToGrid w:val="0"/>
                <w:kern w:val="22"/>
                <w:szCs w:val="22"/>
              </w:rPr>
              <w:t>Item 2.</w:t>
            </w:r>
            <w:r w:rsidR="002D0AE3" w:rsidRPr="00704524">
              <w:rPr>
                <w:snapToGrid w:val="0"/>
                <w:kern w:val="22"/>
                <w:szCs w:val="22"/>
              </w:rPr>
              <w:tab/>
            </w:r>
            <w:r w:rsidRPr="00704524">
              <w:rPr>
                <w:snapToGrid w:val="0"/>
                <w:kern w:val="22"/>
                <w:szCs w:val="22"/>
              </w:rPr>
              <w:t>Organizational matters.</w:t>
            </w:r>
          </w:p>
          <w:p w:rsidR="005C58C1" w:rsidRPr="00704524" w:rsidRDefault="005C58C1" w:rsidP="00704524">
            <w:pPr>
              <w:ind w:left="878" w:hanging="878"/>
              <w:jc w:val="left"/>
              <w:rPr>
                <w:snapToGrid w:val="0"/>
                <w:kern w:val="22"/>
                <w:szCs w:val="22"/>
              </w:rPr>
            </w:pPr>
            <w:r w:rsidRPr="00704524">
              <w:rPr>
                <w:snapToGrid w:val="0"/>
                <w:kern w:val="22"/>
                <w:szCs w:val="22"/>
              </w:rPr>
              <w:t>Item 3.</w:t>
            </w:r>
            <w:r w:rsidR="002D0AE3" w:rsidRPr="0025284F">
              <w:rPr>
                <w:snapToGrid w:val="0"/>
                <w:kern w:val="22"/>
                <w:szCs w:val="22"/>
              </w:rPr>
              <w:tab/>
            </w:r>
            <w:r w:rsidRPr="00704524">
              <w:rPr>
                <w:snapToGrid w:val="0"/>
                <w:kern w:val="22"/>
                <w:szCs w:val="22"/>
              </w:rPr>
              <w:t>Consideration of terminology and potential implications of digital sequence information on genetic resources for the three objectives of the Convention and the objective of the Nagoya Protocol.</w:t>
            </w:r>
          </w:p>
        </w:tc>
      </w:tr>
      <w:tr w:rsidR="005C58C1" w:rsidRPr="0025284F" w:rsidTr="000D7F48">
        <w:trPr>
          <w:cantSplit/>
          <w:jc w:val="center"/>
        </w:trPr>
        <w:tc>
          <w:tcPr>
            <w:tcW w:w="2802" w:type="dxa"/>
            <w:tcMar>
              <w:top w:w="72" w:type="dxa"/>
              <w:left w:w="115" w:type="dxa"/>
              <w:bottom w:w="72" w:type="dxa"/>
              <w:right w:w="115" w:type="dxa"/>
            </w:tcMar>
          </w:tcPr>
          <w:p w:rsidR="005C58C1" w:rsidRPr="00704524" w:rsidRDefault="005C58C1" w:rsidP="00704524">
            <w:pPr>
              <w:jc w:val="left"/>
              <w:rPr>
                <w:snapToGrid w:val="0"/>
                <w:kern w:val="22"/>
                <w:szCs w:val="22"/>
              </w:rPr>
            </w:pPr>
            <w:r w:rsidRPr="00704524">
              <w:rPr>
                <w:snapToGrid w:val="0"/>
                <w:kern w:val="22"/>
                <w:szCs w:val="22"/>
              </w:rPr>
              <w:t>2.30 to 5.30 p.m.</w:t>
            </w:r>
          </w:p>
        </w:tc>
        <w:tc>
          <w:tcPr>
            <w:tcW w:w="6774" w:type="dxa"/>
            <w:tcMar>
              <w:top w:w="72" w:type="dxa"/>
              <w:left w:w="115" w:type="dxa"/>
              <w:bottom w:w="72" w:type="dxa"/>
              <w:right w:w="115" w:type="dxa"/>
            </w:tcMar>
          </w:tcPr>
          <w:p w:rsidR="005C58C1" w:rsidRPr="00704524" w:rsidRDefault="005C58C1" w:rsidP="00704524">
            <w:pPr>
              <w:ind w:left="881" w:hanging="881"/>
              <w:jc w:val="left"/>
              <w:rPr>
                <w:snapToGrid w:val="0"/>
                <w:kern w:val="22"/>
                <w:szCs w:val="22"/>
              </w:rPr>
            </w:pPr>
            <w:r w:rsidRPr="00704524">
              <w:rPr>
                <w:snapToGrid w:val="0"/>
                <w:kern w:val="22"/>
                <w:szCs w:val="22"/>
              </w:rPr>
              <w:t>Item 3.1.</w:t>
            </w:r>
            <w:r w:rsidR="00F11AB8" w:rsidRPr="00704524">
              <w:rPr>
                <w:snapToGrid w:val="0"/>
                <w:kern w:val="22"/>
                <w:szCs w:val="22"/>
              </w:rPr>
              <w:tab/>
            </w:r>
            <w:r w:rsidRPr="00704524">
              <w:rPr>
                <w:snapToGrid w:val="0"/>
                <w:kern w:val="22"/>
                <w:szCs w:val="22"/>
              </w:rPr>
              <w:t>Terminology and different types of digital sequence information on genetic resources.</w:t>
            </w:r>
          </w:p>
        </w:tc>
      </w:tr>
      <w:tr w:rsidR="005C58C1" w:rsidRPr="0025284F" w:rsidTr="000D7F48">
        <w:trPr>
          <w:cantSplit/>
          <w:jc w:val="center"/>
        </w:trPr>
        <w:tc>
          <w:tcPr>
            <w:tcW w:w="9576" w:type="dxa"/>
            <w:gridSpan w:val="2"/>
            <w:tcMar>
              <w:top w:w="72" w:type="dxa"/>
              <w:left w:w="115" w:type="dxa"/>
              <w:bottom w:w="72" w:type="dxa"/>
              <w:right w:w="115" w:type="dxa"/>
            </w:tcMar>
          </w:tcPr>
          <w:p w:rsidR="005C58C1" w:rsidRPr="00704524" w:rsidRDefault="005C58C1" w:rsidP="00704524">
            <w:pPr>
              <w:jc w:val="left"/>
              <w:rPr>
                <w:b/>
                <w:iCs/>
                <w:snapToGrid w:val="0"/>
                <w:kern w:val="22"/>
                <w:szCs w:val="22"/>
              </w:rPr>
            </w:pPr>
            <w:r w:rsidRPr="00704524">
              <w:rPr>
                <w:b/>
                <w:snapToGrid w:val="0"/>
                <w:kern w:val="22"/>
                <w:szCs w:val="22"/>
              </w:rPr>
              <w:t>Wednesday, 14 February 2018</w:t>
            </w:r>
          </w:p>
        </w:tc>
      </w:tr>
      <w:tr w:rsidR="005C58C1" w:rsidRPr="0025284F" w:rsidTr="000D7F48">
        <w:trPr>
          <w:cantSplit/>
          <w:jc w:val="center"/>
        </w:trPr>
        <w:tc>
          <w:tcPr>
            <w:tcW w:w="2802" w:type="dxa"/>
            <w:tcMar>
              <w:top w:w="72" w:type="dxa"/>
              <w:left w:w="115" w:type="dxa"/>
              <w:bottom w:w="72" w:type="dxa"/>
              <w:right w:w="115" w:type="dxa"/>
            </w:tcMar>
          </w:tcPr>
          <w:p w:rsidR="005C58C1" w:rsidRPr="00704524" w:rsidRDefault="005C58C1" w:rsidP="000D7F48">
            <w:pPr>
              <w:jc w:val="left"/>
              <w:rPr>
                <w:snapToGrid w:val="0"/>
                <w:kern w:val="22"/>
                <w:szCs w:val="22"/>
              </w:rPr>
            </w:pPr>
            <w:r w:rsidRPr="00704524">
              <w:rPr>
                <w:snapToGrid w:val="0"/>
                <w:kern w:val="22"/>
                <w:szCs w:val="22"/>
              </w:rPr>
              <w:t>9.30 a.m. to 12.30 p.m.</w:t>
            </w:r>
          </w:p>
        </w:tc>
        <w:tc>
          <w:tcPr>
            <w:tcW w:w="6774" w:type="dxa"/>
            <w:tcMar>
              <w:top w:w="72" w:type="dxa"/>
              <w:left w:w="115" w:type="dxa"/>
              <w:bottom w:w="72" w:type="dxa"/>
              <w:right w:w="115" w:type="dxa"/>
            </w:tcMar>
          </w:tcPr>
          <w:p w:rsidR="005C58C1" w:rsidRPr="00704524" w:rsidRDefault="005C58C1" w:rsidP="000D7F48">
            <w:pPr>
              <w:ind w:left="881" w:hanging="881"/>
              <w:jc w:val="left"/>
              <w:rPr>
                <w:snapToGrid w:val="0"/>
                <w:kern w:val="22"/>
                <w:szCs w:val="22"/>
              </w:rPr>
            </w:pPr>
            <w:r w:rsidRPr="00704524">
              <w:rPr>
                <w:snapToGrid w:val="0"/>
                <w:kern w:val="22"/>
                <w:szCs w:val="22"/>
              </w:rPr>
              <w:t>Item 3.2.</w:t>
            </w:r>
            <w:r w:rsidR="00F11AB8" w:rsidRPr="00704524">
              <w:rPr>
                <w:snapToGrid w:val="0"/>
                <w:kern w:val="22"/>
                <w:szCs w:val="22"/>
              </w:rPr>
              <w:tab/>
            </w:r>
            <w:r w:rsidRPr="00704524">
              <w:rPr>
                <w:snapToGrid w:val="0"/>
                <w:kern w:val="22"/>
                <w:szCs w:val="22"/>
              </w:rPr>
              <w:t>Potential implications of the use of digital sequence information on genetic resources for conservation of biological diversity and sustainable use of its components.</w:t>
            </w:r>
          </w:p>
        </w:tc>
      </w:tr>
      <w:tr w:rsidR="005C58C1" w:rsidRPr="0025284F" w:rsidTr="000D7F48">
        <w:trPr>
          <w:cantSplit/>
          <w:jc w:val="center"/>
        </w:trPr>
        <w:tc>
          <w:tcPr>
            <w:tcW w:w="2802" w:type="dxa"/>
            <w:tcMar>
              <w:top w:w="72" w:type="dxa"/>
              <w:left w:w="115" w:type="dxa"/>
              <w:bottom w:w="72" w:type="dxa"/>
              <w:right w:w="115" w:type="dxa"/>
            </w:tcMar>
          </w:tcPr>
          <w:p w:rsidR="005C58C1" w:rsidRPr="00704524" w:rsidRDefault="005C58C1" w:rsidP="000D7F48">
            <w:pPr>
              <w:jc w:val="left"/>
              <w:rPr>
                <w:snapToGrid w:val="0"/>
                <w:kern w:val="22"/>
                <w:szCs w:val="22"/>
              </w:rPr>
            </w:pPr>
            <w:r w:rsidRPr="00704524">
              <w:rPr>
                <w:snapToGrid w:val="0"/>
                <w:kern w:val="22"/>
                <w:szCs w:val="22"/>
              </w:rPr>
              <w:t>2.30 to 5.30 p.m.</w:t>
            </w:r>
          </w:p>
        </w:tc>
        <w:tc>
          <w:tcPr>
            <w:tcW w:w="6774" w:type="dxa"/>
            <w:tcMar>
              <w:top w:w="72" w:type="dxa"/>
              <w:left w:w="115" w:type="dxa"/>
              <w:bottom w:w="72" w:type="dxa"/>
              <w:right w:w="115" w:type="dxa"/>
            </w:tcMar>
          </w:tcPr>
          <w:p w:rsidR="005C58C1" w:rsidRPr="00704524" w:rsidRDefault="005C58C1" w:rsidP="00704524">
            <w:pPr>
              <w:ind w:left="881" w:hanging="881"/>
              <w:jc w:val="left"/>
              <w:rPr>
                <w:snapToGrid w:val="0"/>
                <w:kern w:val="22"/>
                <w:szCs w:val="22"/>
              </w:rPr>
            </w:pPr>
            <w:r w:rsidRPr="00704524">
              <w:rPr>
                <w:snapToGrid w:val="0"/>
                <w:kern w:val="22"/>
                <w:szCs w:val="22"/>
              </w:rPr>
              <w:t>Item 3.3.</w:t>
            </w:r>
            <w:r w:rsidR="00F11AB8" w:rsidRPr="00704524">
              <w:rPr>
                <w:snapToGrid w:val="0"/>
                <w:kern w:val="22"/>
                <w:szCs w:val="22"/>
              </w:rPr>
              <w:tab/>
            </w:r>
            <w:r w:rsidRPr="00704524">
              <w:rPr>
                <w:snapToGrid w:val="0"/>
                <w:kern w:val="22"/>
                <w:szCs w:val="22"/>
              </w:rPr>
              <w:t>Potential implications of the use of digital sequence information on genetic resources for the fair and equitable sharing of the benefits arising out of the utilization of genetic resources.</w:t>
            </w:r>
          </w:p>
        </w:tc>
      </w:tr>
      <w:tr w:rsidR="005C58C1" w:rsidRPr="0025284F" w:rsidTr="000D7F48">
        <w:trPr>
          <w:cantSplit/>
          <w:jc w:val="center"/>
        </w:trPr>
        <w:tc>
          <w:tcPr>
            <w:tcW w:w="9576" w:type="dxa"/>
            <w:gridSpan w:val="2"/>
            <w:tcMar>
              <w:top w:w="72" w:type="dxa"/>
              <w:left w:w="115" w:type="dxa"/>
              <w:bottom w:w="72" w:type="dxa"/>
              <w:right w:w="115" w:type="dxa"/>
            </w:tcMar>
          </w:tcPr>
          <w:p w:rsidR="005C58C1" w:rsidRPr="00704524" w:rsidRDefault="005C58C1" w:rsidP="00704524">
            <w:pPr>
              <w:jc w:val="left"/>
              <w:rPr>
                <w:b/>
                <w:snapToGrid w:val="0"/>
                <w:kern w:val="22"/>
                <w:szCs w:val="22"/>
              </w:rPr>
            </w:pPr>
            <w:r w:rsidRPr="00704524">
              <w:rPr>
                <w:b/>
                <w:snapToGrid w:val="0"/>
                <w:kern w:val="22"/>
                <w:szCs w:val="22"/>
              </w:rPr>
              <w:t>Thursday, 15 February 2018</w:t>
            </w:r>
          </w:p>
        </w:tc>
      </w:tr>
      <w:tr w:rsidR="005C58C1" w:rsidRPr="0025284F" w:rsidTr="000D7F48">
        <w:trPr>
          <w:cantSplit/>
          <w:jc w:val="center"/>
        </w:trPr>
        <w:tc>
          <w:tcPr>
            <w:tcW w:w="2802" w:type="dxa"/>
            <w:tcMar>
              <w:top w:w="72" w:type="dxa"/>
              <w:left w:w="115" w:type="dxa"/>
              <w:bottom w:w="72" w:type="dxa"/>
              <w:right w:w="115" w:type="dxa"/>
            </w:tcMar>
          </w:tcPr>
          <w:p w:rsidR="005C58C1" w:rsidRPr="00704524" w:rsidRDefault="005C58C1" w:rsidP="000D7F48">
            <w:pPr>
              <w:jc w:val="left"/>
              <w:rPr>
                <w:snapToGrid w:val="0"/>
                <w:kern w:val="22"/>
                <w:szCs w:val="22"/>
              </w:rPr>
            </w:pPr>
            <w:r w:rsidRPr="00704524">
              <w:rPr>
                <w:snapToGrid w:val="0"/>
                <w:kern w:val="22"/>
                <w:szCs w:val="22"/>
              </w:rPr>
              <w:t>9.30 a.m. to 12.30 p.m.</w:t>
            </w:r>
          </w:p>
        </w:tc>
        <w:tc>
          <w:tcPr>
            <w:tcW w:w="6774" w:type="dxa"/>
            <w:tcMar>
              <w:top w:w="72" w:type="dxa"/>
              <w:left w:w="115" w:type="dxa"/>
              <w:bottom w:w="72" w:type="dxa"/>
              <w:right w:w="115" w:type="dxa"/>
            </w:tcMar>
          </w:tcPr>
          <w:p w:rsidR="005C58C1" w:rsidRPr="00704524" w:rsidRDefault="005C58C1" w:rsidP="000D7F48">
            <w:pPr>
              <w:ind w:left="971" w:hanging="971"/>
              <w:jc w:val="left"/>
              <w:rPr>
                <w:i/>
                <w:snapToGrid w:val="0"/>
                <w:kern w:val="22"/>
                <w:szCs w:val="22"/>
              </w:rPr>
            </w:pPr>
            <w:r w:rsidRPr="00704524">
              <w:rPr>
                <w:snapToGrid w:val="0"/>
                <w:kern w:val="22"/>
                <w:szCs w:val="22"/>
              </w:rPr>
              <w:t xml:space="preserve">Item 3.1, 3.2 and 3.2 </w:t>
            </w:r>
            <w:r w:rsidRPr="00704524">
              <w:rPr>
                <w:i/>
                <w:snapToGrid w:val="0"/>
                <w:kern w:val="22"/>
                <w:szCs w:val="22"/>
              </w:rPr>
              <w:t>(Continued)</w:t>
            </w:r>
          </w:p>
        </w:tc>
      </w:tr>
      <w:tr w:rsidR="005C58C1" w:rsidRPr="0025284F" w:rsidTr="000D7F48">
        <w:trPr>
          <w:cantSplit/>
          <w:jc w:val="center"/>
        </w:trPr>
        <w:tc>
          <w:tcPr>
            <w:tcW w:w="2802" w:type="dxa"/>
            <w:tcMar>
              <w:top w:w="72" w:type="dxa"/>
              <w:left w:w="115" w:type="dxa"/>
              <w:bottom w:w="72" w:type="dxa"/>
              <w:right w:w="115" w:type="dxa"/>
            </w:tcMar>
          </w:tcPr>
          <w:p w:rsidR="005C58C1" w:rsidRPr="00704524" w:rsidRDefault="005C58C1" w:rsidP="000D7F48">
            <w:pPr>
              <w:jc w:val="left"/>
              <w:rPr>
                <w:snapToGrid w:val="0"/>
                <w:kern w:val="22"/>
                <w:szCs w:val="22"/>
              </w:rPr>
            </w:pPr>
            <w:r w:rsidRPr="00704524">
              <w:rPr>
                <w:snapToGrid w:val="0"/>
                <w:kern w:val="22"/>
                <w:szCs w:val="22"/>
              </w:rPr>
              <w:t>2.30 to 5.30 p.m.</w:t>
            </w:r>
          </w:p>
        </w:tc>
        <w:tc>
          <w:tcPr>
            <w:tcW w:w="6774" w:type="dxa"/>
            <w:tcMar>
              <w:top w:w="72" w:type="dxa"/>
              <w:left w:w="115" w:type="dxa"/>
              <w:bottom w:w="72" w:type="dxa"/>
              <w:right w:w="115" w:type="dxa"/>
            </w:tcMar>
          </w:tcPr>
          <w:p w:rsidR="005C58C1" w:rsidRPr="00704524" w:rsidRDefault="005C58C1" w:rsidP="00704524">
            <w:pPr>
              <w:jc w:val="left"/>
              <w:rPr>
                <w:snapToGrid w:val="0"/>
                <w:kern w:val="22"/>
                <w:szCs w:val="22"/>
              </w:rPr>
            </w:pPr>
            <w:r w:rsidRPr="00704524">
              <w:rPr>
                <w:snapToGrid w:val="0"/>
                <w:kern w:val="22"/>
                <w:szCs w:val="22"/>
              </w:rPr>
              <w:t xml:space="preserve">Item 3 </w:t>
            </w:r>
            <w:r w:rsidRPr="00704524">
              <w:rPr>
                <w:i/>
                <w:snapToGrid w:val="0"/>
                <w:kern w:val="22"/>
                <w:szCs w:val="22"/>
              </w:rPr>
              <w:t>(Continued, review of draft conclusions)</w:t>
            </w:r>
          </w:p>
        </w:tc>
      </w:tr>
      <w:tr w:rsidR="005C58C1" w:rsidRPr="0025284F" w:rsidTr="000D7F48">
        <w:trPr>
          <w:cantSplit/>
          <w:jc w:val="center"/>
        </w:trPr>
        <w:tc>
          <w:tcPr>
            <w:tcW w:w="9576" w:type="dxa"/>
            <w:gridSpan w:val="2"/>
            <w:tcMar>
              <w:top w:w="72" w:type="dxa"/>
              <w:left w:w="115" w:type="dxa"/>
              <w:bottom w:w="72" w:type="dxa"/>
              <w:right w:w="115" w:type="dxa"/>
            </w:tcMar>
            <w:vAlign w:val="center"/>
          </w:tcPr>
          <w:p w:rsidR="005C58C1" w:rsidRPr="00704524" w:rsidRDefault="005C58C1" w:rsidP="00704524">
            <w:pPr>
              <w:jc w:val="left"/>
              <w:rPr>
                <w:b/>
                <w:snapToGrid w:val="0"/>
                <w:kern w:val="22"/>
                <w:szCs w:val="22"/>
              </w:rPr>
            </w:pPr>
            <w:r w:rsidRPr="00704524">
              <w:rPr>
                <w:b/>
                <w:snapToGrid w:val="0"/>
                <w:kern w:val="22"/>
                <w:szCs w:val="22"/>
              </w:rPr>
              <w:t>Friday, 16 February 2018</w:t>
            </w:r>
          </w:p>
        </w:tc>
      </w:tr>
      <w:tr w:rsidR="005C58C1" w:rsidRPr="0025284F" w:rsidTr="000D7F48">
        <w:trPr>
          <w:cantSplit/>
          <w:jc w:val="center"/>
        </w:trPr>
        <w:tc>
          <w:tcPr>
            <w:tcW w:w="2802" w:type="dxa"/>
            <w:tcMar>
              <w:top w:w="72" w:type="dxa"/>
              <w:left w:w="115" w:type="dxa"/>
              <w:bottom w:w="72" w:type="dxa"/>
              <w:right w:w="115" w:type="dxa"/>
            </w:tcMar>
          </w:tcPr>
          <w:p w:rsidR="005C58C1" w:rsidRPr="00704524" w:rsidRDefault="005C58C1" w:rsidP="000D7F48">
            <w:pPr>
              <w:jc w:val="left"/>
              <w:rPr>
                <w:snapToGrid w:val="0"/>
                <w:kern w:val="22"/>
                <w:szCs w:val="22"/>
              </w:rPr>
            </w:pPr>
            <w:r w:rsidRPr="00704524">
              <w:rPr>
                <w:snapToGrid w:val="0"/>
                <w:kern w:val="22"/>
                <w:szCs w:val="22"/>
              </w:rPr>
              <w:t>9.30 a.m. to 12.30 p.m.</w:t>
            </w:r>
          </w:p>
        </w:tc>
        <w:tc>
          <w:tcPr>
            <w:tcW w:w="6774" w:type="dxa"/>
            <w:tcMar>
              <w:top w:w="72" w:type="dxa"/>
              <w:left w:w="115" w:type="dxa"/>
              <w:bottom w:w="72" w:type="dxa"/>
              <w:right w:w="115" w:type="dxa"/>
            </w:tcMar>
          </w:tcPr>
          <w:p w:rsidR="005C58C1" w:rsidRPr="00704524" w:rsidRDefault="005C58C1" w:rsidP="00704524">
            <w:pPr>
              <w:ind w:left="881" w:hanging="881"/>
              <w:jc w:val="left"/>
              <w:rPr>
                <w:snapToGrid w:val="0"/>
                <w:kern w:val="22"/>
                <w:szCs w:val="22"/>
              </w:rPr>
            </w:pPr>
            <w:r w:rsidRPr="00704524">
              <w:rPr>
                <w:snapToGrid w:val="0"/>
                <w:kern w:val="22"/>
                <w:szCs w:val="22"/>
              </w:rPr>
              <w:t>Item 4.</w:t>
            </w:r>
            <w:r w:rsidR="003772C1" w:rsidRPr="00704524">
              <w:rPr>
                <w:snapToGrid w:val="0"/>
                <w:kern w:val="22"/>
                <w:szCs w:val="22"/>
              </w:rPr>
              <w:tab/>
            </w:r>
            <w:r w:rsidRPr="00704524">
              <w:rPr>
                <w:snapToGrid w:val="0"/>
                <w:kern w:val="22"/>
                <w:szCs w:val="22"/>
              </w:rPr>
              <w:t>Other matters.</w:t>
            </w:r>
          </w:p>
        </w:tc>
      </w:tr>
      <w:tr w:rsidR="005C58C1" w:rsidRPr="0025284F" w:rsidTr="000D7F48">
        <w:trPr>
          <w:cantSplit/>
          <w:jc w:val="center"/>
        </w:trPr>
        <w:tc>
          <w:tcPr>
            <w:tcW w:w="2802" w:type="dxa"/>
            <w:tcMar>
              <w:top w:w="72" w:type="dxa"/>
              <w:left w:w="115" w:type="dxa"/>
              <w:bottom w:w="72" w:type="dxa"/>
              <w:right w:w="115" w:type="dxa"/>
            </w:tcMar>
          </w:tcPr>
          <w:p w:rsidR="005C58C1" w:rsidRPr="00704524" w:rsidRDefault="005C58C1" w:rsidP="000D7F48">
            <w:pPr>
              <w:jc w:val="left"/>
              <w:rPr>
                <w:snapToGrid w:val="0"/>
                <w:kern w:val="22"/>
                <w:szCs w:val="22"/>
              </w:rPr>
            </w:pPr>
            <w:r w:rsidRPr="00704524">
              <w:rPr>
                <w:snapToGrid w:val="0"/>
                <w:kern w:val="22"/>
                <w:szCs w:val="22"/>
              </w:rPr>
              <w:t>2.30 to 5.30 p.m.</w:t>
            </w:r>
          </w:p>
        </w:tc>
        <w:tc>
          <w:tcPr>
            <w:tcW w:w="6774" w:type="dxa"/>
            <w:tcMar>
              <w:top w:w="72" w:type="dxa"/>
              <w:left w:w="115" w:type="dxa"/>
              <w:bottom w:w="72" w:type="dxa"/>
              <w:right w:w="115" w:type="dxa"/>
            </w:tcMar>
          </w:tcPr>
          <w:p w:rsidR="005C58C1" w:rsidRPr="00704524" w:rsidRDefault="005C58C1" w:rsidP="00704524">
            <w:pPr>
              <w:spacing w:after="120"/>
              <w:ind w:left="878" w:hanging="878"/>
              <w:jc w:val="left"/>
              <w:rPr>
                <w:snapToGrid w:val="0"/>
                <w:kern w:val="22"/>
                <w:szCs w:val="22"/>
              </w:rPr>
            </w:pPr>
            <w:r w:rsidRPr="00704524">
              <w:rPr>
                <w:snapToGrid w:val="0"/>
                <w:kern w:val="22"/>
                <w:szCs w:val="22"/>
              </w:rPr>
              <w:t>Item 5.</w:t>
            </w:r>
            <w:r w:rsidR="003772C1" w:rsidRPr="00704524">
              <w:rPr>
                <w:snapToGrid w:val="0"/>
                <w:kern w:val="22"/>
                <w:szCs w:val="22"/>
              </w:rPr>
              <w:tab/>
            </w:r>
            <w:r w:rsidRPr="00704524">
              <w:rPr>
                <w:snapToGrid w:val="0"/>
                <w:kern w:val="22"/>
                <w:szCs w:val="22"/>
              </w:rPr>
              <w:t>Adoption of the report.</w:t>
            </w:r>
          </w:p>
          <w:p w:rsidR="005C58C1" w:rsidRPr="00704524" w:rsidRDefault="005C58C1" w:rsidP="00704524">
            <w:pPr>
              <w:ind w:left="881" w:hanging="881"/>
              <w:jc w:val="left"/>
              <w:rPr>
                <w:snapToGrid w:val="0"/>
                <w:kern w:val="22"/>
                <w:szCs w:val="22"/>
              </w:rPr>
            </w:pPr>
            <w:r w:rsidRPr="00704524">
              <w:rPr>
                <w:snapToGrid w:val="0"/>
                <w:kern w:val="22"/>
                <w:szCs w:val="22"/>
              </w:rPr>
              <w:t>Item 6.</w:t>
            </w:r>
            <w:r w:rsidR="003772C1" w:rsidRPr="00704524">
              <w:rPr>
                <w:snapToGrid w:val="0"/>
                <w:kern w:val="22"/>
                <w:szCs w:val="22"/>
              </w:rPr>
              <w:tab/>
            </w:r>
            <w:r w:rsidRPr="00704524">
              <w:rPr>
                <w:snapToGrid w:val="0"/>
                <w:kern w:val="22"/>
                <w:szCs w:val="22"/>
              </w:rPr>
              <w:t>Closure of the meeting.</w:t>
            </w:r>
          </w:p>
        </w:tc>
      </w:tr>
    </w:tbl>
    <w:p w:rsidR="005C58C1" w:rsidRPr="00704524" w:rsidRDefault="005C58C1" w:rsidP="005C58C1">
      <w:pPr>
        <w:pStyle w:val="Para1"/>
        <w:numPr>
          <w:ilvl w:val="0"/>
          <w:numId w:val="0"/>
        </w:numPr>
        <w:rPr>
          <w:kern w:val="22"/>
          <w:szCs w:val="22"/>
        </w:rPr>
      </w:pPr>
    </w:p>
    <w:p w:rsidR="005C58C1" w:rsidRPr="00704524" w:rsidRDefault="005C58C1" w:rsidP="005C58C1">
      <w:pPr>
        <w:pStyle w:val="Heading-plain"/>
        <w:spacing w:before="0" w:after="240"/>
        <w:rPr>
          <w:snapToGrid w:val="0"/>
          <w:kern w:val="22"/>
          <w:szCs w:val="22"/>
        </w:rPr>
        <w:sectPr w:rsidR="005C58C1" w:rsidRPr="00704524" w:rsidSect="00704524">
          <w:headerReference w:type="even" r:id="rId15"/>
          <w:headerReference w:type="default" r:id="rId16"/>
          <w:footerReference w:type="even" r:id="rId17"/>
          <w:footerReference w:type="first" r:id="rId18"/>
          <w:footnotePr>
            <w:numRestart w:val="eachSect"/>
          </w:footnotePr>
          <w:pgSz w:w="12240" w:h="15840" w:code="1"/>
          <w:pgMar w:top="562" w:right="1440" w:bottom="1138" w:left="1440" w:header="461" w:footer="720" w:gutter="0"/>
          <w:cols w:space="720"/>
          <w:titlePg/>
          <w:docGrid w:linePitch="299"/>
        </w:sectPr>
      </w:pPr>
    </w:p>
    <w:p w:rsidR="005C58C1" w:rsidRPr="00704524" w:rsidRDefault="005C58C1" w:rsidP="005C58C1">
      <w:pPr>
        <w:pStyle w:val="Heading-plain"/>
        <w:spacing w:before="0" w:after="240"/>
        <w:rPr>
          <w:snapToGrid w:val="0"/>
          <w:kern w:val="22"/>
          <w:szCs w:val="22"/>
        </w:rPr>
      </w:pPr>
      <w:r w:rsidRPr="00704524">
        <w:rPr>
          <w:snapToGrid w:val="0"/>
          <w:kern w:val="22"/>
          <w:szCs w:val="22"/>
        </w:rPr>
        <w:t>Annex II</w:t>
      </w:r>
    </w:p>
    <w:p w:rsidR="005C58C1" w:rsidRPr="00704524" w:rsidRDefault="00895542" w:rsidP="005C58C1">
      <w:pPr>
        <w:jc w:val="center"/>
        <w:rPr>
          <w:b/>
          <w:bCs/>
          <w:caps/>
          <w:snapToGrid w:val="0"/>
          <w:kern w:val="22"/>
          <w:szCs w:val="22"/>
        </w:rPr>
      </w:pPr>
      <w:r w:rsidRPr="00704524">
        <w:rPr>
          <w:b/>
          <w:bCs/>
          <w:caps/>
          <w:snapToGrid w:val="0"/>
          <w:kern w:val="22"/>
          <w:szCs w:val="22"/>
        </w:rPr>
        <w:t>Provisional list of documents</w:t>
      </w:r>
    </w:p>
    <w:p w:rsidR="005C58C1" w:rsidRPr="00704524" w:rsidRDefault="005C58C1" w:rsidP="005C58C1">
      <w:pPr>
        <w:jc w:val="center"/>
        <w:rPr>
          <w:b/>
          <w:bCs/>
          <w:smallCaps/>
          <w:snapToGrid w:val="0"/>
          <w:kern w:val="22"/>
          <w:szCs w:val="22"/>
        </w:rPr>
      </w:pPr>
    </w:p>
    <w:p w:rsidR="005C58C1" w:rsidRPr="00704524" w:rsidRDefault="005C58C1" w:rsidP="005C58C1">
      <w:pPr>
        <w:jc w:val="center"/>
        <w:rPr>
          <w:b/>
          <w:bCs/>
          <w:smallCaps/>
          <w:snapToGrid w:val="0"/>
          <w:kern w:val="22"/>
          <w:szCs w:val="22"/>
        </w:rPr>
      </w:pPr>
    </w:p>
    <w:p w:rsidR="005C58C1" w:rsidRPr="0025284F" w:rsidRDefault="005C58C1" w:rsidP="005C58C1">
      <w:pPr>
        <w:spacing w:before="120" w:after="120"/>
        <w:rPr>
          <w:i/>
          <w:iCs/>
          <w:snapToGrid w:val="0"/>
          <w:kern w:val="22"/>
          <w:szCs w:val="22"/>
        </w:rPr>
      </w:pPr>
      <w:r w:rsidRPr="00704524">
        <w:rPr>
          <w:b/>
          <w:bCs/>
          <w:smallCaps/>
          <w:snapToGrid w:val="0"/>
          <w:kern w:val="22"/>
          <w:szCs w:val="22"/>
        </w:rPr>
        <w:tab/>
      </w:r>
      <w:r w:rsidRPr="0025284F">
        <w:rPr>
          <w:i/>
          <w:iCs/>
          <w:snapToGrid w:val="0"/>
          <w:kern w:val="22"/>
          <w:szCs w:val="22"/>
        </w:rPr>
        <w:t>Symbol</w:t>
      </w:r>
      <w:r w:rsidRPr="0025284F">
        <w:rPr>
          <w:i/>
          <w:iCs/>
          <w:snapToGrid w:val="0"/>
          <w:kern w:val="22"/>
          <w:szCs w:val="22"/>
        </w:rPr>
        <w:tab/>
      </w:r>
      <w:r w:rsidRPr="0025284F">
        <w:rPr>
          <w:i/>
          <w:iCs/>
          <w:snapToGrid w:val="0"/>
          <w:kern w:val="22"/>
          <w:szCs w:val="22"/>
        </w:rPr>
        <w:tab/>
      </w:r>
      <w:r w:rsidRPr="0025284F">
        <w:rPr>
          <w:i/>
          <w:iCs/>
          <w:snapToGrid w:val="0"/>
          <w:kern w:val="22"/>
          <w:szCs w:val="22"/>
        </w:rPr>
        <w:tab/>
      </w:r>
      <w:r w:rsidRPr="0025284F">
        <w:rPr>
          <w:i/>
          <w:iCs/>
          <w:snapToGrid w:val="0"/>
          <w:kern w:val="22"/>
          <w:szCs w:val="22"/>
        </w:rPr>
        <w:tab/>
      </w:r>
      <w:r w:rsidRPr="0025284F">
        <w:rPr>
          <w:i/>
          <w:iCs/>
          <w:snapToGrid w:val="0"/>
          <w:kern w:val="22"/>
          <w:szCs w:val="22"/>
        </w:rPr>
        <w:tab/>
      </w:r>
      <w:r w:rsidR="00895542" w:rsidRPr="0025284F">
        <w:rPr>
          <w:i/>
          <w:iCs/>
          <w:snapToGrid w:val="0"/>
          <w:kern w:val="22"/>
          <w:szCs w:val="22"/>
        </w:rPr>
        <w:tab/>
      </w:r>
      <w:r w:rsidRPr="0025284F">
        <w:rPr>
          <w:i/>
          <w:iCs/>
          <w:snapToGrid w:val="0"/>
          <w:kern w:val="22"/>
          <w:szCs w:val="22"/>
        </w:rPr>
        <w:t>Title</w:t>
      </w:r>
    </w:p>
    <w:p w:rsidR="005C58C1" w:rsidRPr="0025284F" w:rsidRDefault="005C58C1" w:rsidP="005C58C1">
      <w:pPr>
        <w:spacing w:before="120" w:after="240"/>
        <w:ind w:left="4320" w:hanging="4320"/>
        <w:rPr>
          <w:snapToGrid w:val="0"/>
          <w:kern w:val="22"/>
          <w:szCs w:val="22"/>
        </w:rPr>
      </w:pPr>
      <w:r w:rsidRPr="0025284F">
        <w:rPr>
          <w:snapToGrid w:val="0"/>
          <w:kern w:val="22"/>
          <w:szCs w:val="22"/>
        </w:rPr>
        <w:t>CBD/DSI/AHTEG/2018/1/1</w:t>
      </w:r>
      <w:r w:rsidRPr="0025284F">
        <w:rPr>
          <w:i/>
          <w:iCs/>
          <w:snapToGrid w:val="0"/>
          <w:kern w:val="22"/>
          <w:szCs w:val="22"/>
        </w:rPr>
        <w:tab/>
      </w:r>
      <w:r w:rsidRPr="0025284F">
        <w:rPr>
          <w:snapToGrid w:val="0"/>
          <w:kern w:val="22"/>
          <w:szCs w:val="22"/>
        </w:rPr>
        <w:t>Provisional agenda</w:t>
      </w:r>
    </w:p>
    <w:p w:rsidR="005C58C1" w:rsidRPr="0025284F" w:rsidRDefault="005C58C1" w:rsidP="000A7B25">
      <w:pPr>
        <w:spacing w:before="120" w:after="240"/>
        <w:ind w:left="4320" w:hanging="4320"/>
        <w:rPr>
          <w:snapToGrid w:val="0"/>
          <w:kern w:val="22"/>
          <w:szCs w:val="22"/>
        </w:rPr>
      </w:pPr>
      <w:r w:rsidRPr="0025284F">
        <w:rPr>
          <w:snapToGrid w:val="0"/>
          <w:kern w:val="22"/>
          <w:szCs w:val="22"/>
        </w:rPr>
        <w:t>CBD/DSI/AHTEG/2018/1/1/Add.1</w:t>
      </w:r>
      <w:r w:rsidRPr="0025284F">
        <w:rPr>
          <w:snapToGrid w:val="0"/>
          <w:kern w:val="22"/>
          <w:szCs w:val="22"/>
        </w:rPr>
        <w:tab/>
        <w:t>Annotat</w:t>
      </w:r>
      <w:r w:rsidR="000A7B25" w:rsidRPr="0025284F">
        <w:rPr>
          <w:snapToGrid w:val="0"/>
          <w:kern w:val="22"/>
          <w:szCs w:val="22"/>
        </w:rPr>
        <w:t>ed</w:t>
      </w:r>
      <w:r w:rsidRPr="0025284F">
        <w:rPr>
          <w:snapToGrid w:val="0"/>
          <w:kern w:val="22"/>
          <w:szCs w:val="22"/>
        </w:rPr>
        <w:t xml:space="preserve"> provisional agenda</w:t>
      </w:r>
    </w:p>
    <w:p w:rsidR="005C58C1" w:rsidRPr="00704524" w:rsidRDefault="005C58C1" w:rsidP="005C58C1">
      <w:pPr>
        <w:spacing w:before="120" w:after="240"/>
        <w:ind w:left="4320" w:hanging="4320"/>
        <w:rPr>
          <w:snapToGrid w:val="0"/>
          <w:kern w:val="22"/>
          <w:szCs w:val="22"/>
        </w:rPr>
      </w:pPr>
      <w:r w:rsidRPr="0025284F">
        <w:rPr>
          <w:snapToGrid w:val="0"/>
          <w:kern w:val="22"/>
          <w:szCs w:val="22"/>
        </w:rPr>
        <w:t>CBD/DSI/AHTEG/2018/1/2</w:t>
      </w:r>
      <w:r w:rsidRPr="00704524">
        <w:rPr>
          <w:snapToGrid w:val="0"/>
          <w:kern w:val="22"/>
          <w:szCs w:val="22"/>
        </w:rPr>
        <w:tab/>
        <w:t>Synthesis of views and information on the potential implications of the use of digital sequence information on genetic resources for the three objectives of the Convention and the objective of the Nagoya Protocol</w:t>
      </w:r>
    </w:p>
    <w:p w:rsidR="005C58C1" w:rsidRPr="00704524" w:rsidRDefault="005C58C1" w:rsidP="005C58C1">
      <w:pPr>
        <w:spacing w:before="120" w:after="240"/>
        <w:ind w:left="4320" w:hanging="4320"/>
        <w:rPr>
          <w:snapToGrid w:val="0"/>
          <w:kern w:val="22"/>
          <w:szCs w:val="22"/>
        </w:rPr>
      </w:pPr>
      <w:r w:rsidRPr="00297698">
        <w:rPr>
          <w:snapToGrid w:val="0"/>
          <w:kern w:val="22"/>
          <w:szCs w:val="22"/>
        </w:rPr>
        <w:t>CBD/DSI</w:t>
      </w:r>
      <w:r w:rsidRPr="00704524">
        <w:rPr>
          <w:snapToGrid w:val="0"/>
          <w:kern w:val="22"/>
          <w:szCs w:val="22"/>
        </w:rPr>
        <w:t>/AHTEG/2018/1/3</w:t>
      </w:r>
      <w:r w:rsidRPr="00704524">
        <w:rPr>
          <w:snapToGrid w:val="0"/>
          <w:kern w:val="22"/>
          <w:szCs w:val="22"/>
        </w:rPr>
        <w:tab/>
        <w:t>Fact-</w:t>
      </w:r>
      <w:r w:rsidR="00FD33D4" w:rsidRPr="00704524">
        <w:rPr>
          <w:snapToGrid w:val="0"/>
          <w:kern w:val="22"/>
          <w:szCs w:val="22"/>
        </w:rPr>
        <w:t>f</w:t>
      </w:r>
      <w:r w:rsidRPr="00704524">
        <w:rPr>
          <w:snapToGrid w:val="0"/>
          <w:kern w:val="22"/>
          <w:szCs w:val="22"/>
        </w:rPr>
        <w:t xml:space="preserve">inding and </w:t>
      </w:r>
      <w:r w:rsidR="00FD33D4" w:rsidRPr="00704524">
        <w:rPr>
          <w:snapToGrid w:val="0"/>
          <w:kern w:val="22"/>
          <w:szCs w:val="22"/>
        </w:rPr>
        <w:t>s</w:t>
      </w:r>
      <w:r w:rsidRPr="00704524">
        <w:rPr>
          <w:snapToGrid w:val="0"/>
          <w:kern w:val="22"/>
          <w:szCs w:val="22"/>
        </w:rPr>
        <w:t xml:space="preserve">coping </w:t>
      </w:r>
      <w:r w:rsidR="00FD33D4" w:rsidRPr="00704524">
        <w:rPr>
          <w:snapToGrid w:val="0"/>
          <w:kern w:val="22"/>
          <w:szCs w:val="22"/>
        </w:rPr>
        <w:t>s</w:t>
      </w:r>
      <w:r w:rsidRPr="00704524">
        <w:rPr>
          <w:snapToGrid w:val="0"/>
          <w:kern w:val="22"/>
          <w:szCs w:val="22"/>
        </w:rPr>
        <w:t xml:space="preserve">tudy on </w:t>
      </w:r>
      <w:r w:rsidR="00FD33D4" w:rsidRPr="00704524">
        <w:rPr>
          <w:snapToGrid w:val="0"/>
          <w:kern w:val="22"/>
          <w:szCs w:val="22"/>
        </w:rPr>
        <w:t>d</w:t>
      </w:r>
      <w:r w:rsidRPr="00704524">
        <w:rPr>
          <w:snapToGrid w:val="0"/>
          <w:kern w:val="22"/>
          <w:szCs w:val="22"/>
        </w:rPr>
        <w:t xml:space="preserve">igital </w:t>
      </w:r>
      <w:r w:rsidR="00FD33D4" w:rsidRPr="00704524">
        <w:rPr>
          <w:snapToGrid w:val="0"/>
          <w:kern w:val="22"/>
          <w:szCs w:val="22"/>
        </w:rPr>
        <w:t>s</w:t>
      </w:r>
      <w:r w:rsidRPr="00704524">
        <w:rPr>
          <w:snapToGrid w:val="0"/>
          <w:kern w:val="22"/>
          <w:szCs w:val="22"/>
        </w:rPr>
        <w:t xml:space="preserve">equence </w:t>
      </w:r>
      <w:r w:rsidR="00FD33D4" w:rsidRPr="00704524">
        <w:rPr>
          <w:snapToGrid w:val="0"/>
          <w:kern w:val="22"/>
          <w:szCs w:val="22"/>
        </w:rPr>
        <w:t>i</w:t>
      </w:r>
      <w:r w:rsidRPr="00704524">
        <w:rPr>
          <w:snapToGrid w:val="0"/>
          <w:kern w:val="22"/>
          <w:szCs w:val="22"/>
        </w:rPr>
        <w:t xml:space="preserve">nformation on </w:t>
      </w:r>
      <w:r w:rsidR="00FD33D4" w:rsidRPr="00704524">
        <w:rPr>
          <w:snapToGrid w:val="0"/>
          <w:kern w:val="22"/>
          <w:szCs w:val="22"/>
        </w:rPr>
        <w:t>g</w:t>
      </w:r>
      <w:r w:rsidRPr="00704524">
        <w:rPr>
          <w:snapToGrid w:val="0"/>
          <w:kern w:val="22"/>
          <w:szCs w:val="22"/>
        </w:rPr>
        <w:t xml:space="preserve">enetic </w:t>
      </w:r>
      <w:r w:rsidR="00FD33D4" w:rsidRPr="00704524">
        <w:rPr>
          <w:snapToGrid w:val="0"/>
          <w:kern w:val="22"/>
          <w:szCs w:val="22"/>
        </w:rPr>
        <w:t>r</w:t>
      </w:r>
      <w:r w:rsidRPr="00704524">
        <w:rPr>
          <w:snapToGrid w:val="0"/>
          <w:kern w:val="22"/>
          <w:szCs w:val="22"/>
        </w:rPr>
        <w:t>esources</w:t>
      </w:r>
    </w:p>
    <w:p w:rsidR="00C9161D" w:rsidRPr="00704524" w:rsidRDefault="00C9161D" w:rsidP="00C9161D">
      <w:pPr>
        <w:rPr>
          <w:snapToGrid w:val="0"/>
          <w:kern w:val="22"/>
          <w:szCs w:val="22"/>
        </w:rPr>
      </w:pPr>
    </w:p>
    <w:p w:rsidR="00C9161D" w:rsidRPr="00704524" w:rsidRDefault="00C9161D" w:rsidP="00C9161D">
      <w:pPr>
        <w:rPr>
          <w:snapToGrid w:val="0"/>
          <w:kern w:val="22"/>
          <w:szCs w:val="22"/>
        </w:rPr>
      </w:pPr>
    </w:p>
    <w:p w:rsidR="00C9161D" w:rsidRPr="00704524" w:rsidRDefault="00C9161D" w:rsidP="00C9161D">
      <w:pPr>
        <w:jc w:val="center"/>
        <w:rPr>
          <w:snapToGrid w:val="0"/>
          <w:kern w:val="22"/>
          <w:szCs w:val="22"/>
        </w:rPr>
      </w:pPr>
      <w:r w:rsidRPr="00704524">
        <w:rPr>
          <w:snapToGrid w:val="0"/>
          <w:kern w:val="22"/>
          <w:szCs w:val="22"/>
        </w:rPr>
        <w:t>__________</w:t>
      </w:r>
    </w:p>
    <w:p w:rsidR="00B3369F" w:rsidRPr="00704524" w:rsidRDefault="00B3369F" w:rsidP="00C9161D">
      <w:pPr>
        <w:rPr>
          <w:snapToGrid w:val="0"/>
          <w:kern w:val="22"/>
        </w:rPr>
      </w:pPr>
    </w:p>
    <w:sectPr w:rsidR="00B3369F" w:rsidRPr="00704524" w:rsidSect="00534681">
      <w:headerReference w:type="even" r:id="rId19"/>
      <w:headerReference w:type="default" r:id="rId20"/>
      <w:pgSz w:w="12240" w:h="15840"/>
      <w:pgMar w:top="567" w:right="1389" w:bottom="1134" w:left="13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55E" w:rsidRDefault="001A455E" w:rsidP="00CF1848">
      <w:r>
        <w:separator/>
      </w:r>
    </w:p>
  </w:endnote>
  <w:endnote w:type="continuationSeparator" w:id="0">
    <w:p w:rsidR="001A455E" w:rsidRDefault="001A455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C1" w:rsidRPr="006F11F8" w:rsidRDefault="005C58C1" w:rsidP="00E6030C">
    <w:pPr>
      <w:pStyle w:val="Footer"/>
      <w:tabs>
        <w:tab w:val="clear" w:pos="4320"/>
        <w:tab w:val="clear" w:pos="8640"/>
      </w:tabs>
      <w:rPr>
        <w:lang w:val="en-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C1" w:rsidRPr="00E6030C" w:rsidRDefault="005C58C1" w:rsidP="0067454B">
    <w:pPr>
      <w:pStyle w:val="Footer"/>
      <w:tabs>
        <w:tab w:val="clear" w:pos="4320"/>
        <w:tab w:val="clear" w:pos="8640"/>
      </w:tabs>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55E" w:rsidRDefault="001A455E" w:rsidP="00CF1848">
      <w:r>
        <w:separator/>
      </w:r>
    </w:p>
  </w:footnote>
  <w:footnote w:type="continuationSeparator" w:id="0">
    <w:p w:rsidR="001A455E" w:rsidRDefault="001A455E"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C1" w:rsidRPr="00704524" w:rsidRDefault="005C58C1" w:rsidP="00E6030C">
    <w:pPr>
      <w:pStyle w:val="Header"/>
      <w:tabs>
        <w:tab w:val="clear" w:pos="4320"/>
        <w:tab w:val="clear" w:pos="8640"/>
      </w:tabs>
      <w:rPr>
        <w:noProof/>
        <w:snapToGrid w:val="0"/>
        <w:kern w:val="22"/>
      </w:rPr>
    </w:pPr>
    <w:r w:rsidRPr="006114A8">
      <w:rPr>
        <w:noProof/>
        <w:snapToGrid w:val="0"/>
        <w:kern w:val="22"/>
      </w:rPr>
      <w:t>CBD/DSI/AHTEG/2018/1/1/Add.1</w:t>
    </w:r>
  </w:p>
  <w:p w:rsidR="005C58C1" w:rsidRPr="00704524" w:rsidRDefault="005C58C1" w:rsidP="00E6030C">
    <w:pPr>
      <w:pStyle w:val="Header"/>
      <w:tabs>
        <w:tab w:val="clear" w:pos="4320"/>
        <w:tab w:val="clear" w:pos="8640"/>
      </w:tabs>
      <w:rPr>
        <w:noProof/>
        <w:snapToGrid w:val="0"/>
        <w:kern w:val="22"/>
      </w:rPr>
    </w:pPr>
    <w:r w:rsidRPr="00704524">
      <w:rPr>
        <w:noProof/>
        <w:snapToGrid w:val="0"/>
        <w:kern w:val="22"/>
      </w:rPr>
      <w:t xml:space="preserve">Page </w:t>
    </w:r>
    <w:r w:rsidRPr="00704524">
      <w:rPr>
        <w:noProof/>
        <w:snapToGrid w:val="0"/>
        <w:kern w:val="22"/>
      </w:rPr>
      <w:fldChar w:fldCharType="begin"/>
    </w:r>
    <w:r w:rsidRPr="00704524">
      <w:rPr>
        <w:noProof/>
        <w:snapToGrid w:val="0"/>
        <w:kern w:val="22"/>
      </w:rPr>
      <w:instrText xml:space="preserve"> PAGE   \* MERGEFORMAT </w:instrText>
    </w:r>
    <w:r w:rsidRPr="00704524">
      <w:rPr>
        <w:noProof/>
        <w:snapToGrid w:val="0"/>
        <w:kern w:val="22"/>
      </w:rPr>
      <w:fldChar w:fldCharType="separate"/>
    </w:r>
    <w:r w:rsidR="00480259">
      <w:rPr>
        <w:noProof/>
        <w:snapToGrid w:val="0"/>
        <w:kern w:val="22"/>
      </w:rPr>
      <w:t>2</w:t>
    </w:r>
    <w:r w:rsidRPr="00704524">
      <w:rPr>
        <w:noProof/>
        <w:snapToGrid w:val="0"/>
        <w:kern w:val="22"/>
      </w:rPr>
      <w:fldChar w:fldCharType="end"/>
    </w:r>
  </w:p>
  <w:p w:rsidR="005C58C1" w:rsidRPr="00704524" w:rsidRDefault="005C58C1" w:rsidP="00E6030C">
    <w:pPr>
      <w:pStyle w:val="Header"/>
      <w:tabs>
        <w:tab w:val="clear" w:pos="4320"/>
        <w:tab w:val="clear" w:pos="8640"/>
      </w:tabs>
      <w:rPr>
        <w:noProof/>
        <w:snapToGrid w:val="0"/>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8C1" w:rsidRPr="00704524" w:rsidRDefault="005C58C1" w:rsidP="00E6030C">
    <w:pPr>
      <w:pStyle w:val="Header"/>
      <w:tabs>
        <w:tab w:val="clear" w:pos="4320"/>
        <w:tab w:val="clear" w:pos="8640"/>
      </w:tabs>
      <w:jc w:val="right"/>
      <w:rPr>
        <w:noProof/>
        <w:snapToGrid w:val="0"/>
        <w:kern w:val="22"/>
      </w:rPr>
    </w:pPr>
    <w:r w:rsidRPr="006114A8">
      <w:rPr>
        <w:noProof/>
        <w:snapToGrid w:val="0"/>
        <w:kern w:val="22"/>
      </w:rPr>
      <w:t>CBD/DSI</w:t>
    </w:r>
    <w:r w:rsidRPr="00704524">
      <w:rPr>
        <w:noProof/>
        <w:snapToGrid w:val="0"/>
        <w:kern w:val="22"/>
      </w:rPr>
      <w:t>/AHTEG/2018/1/1/Add.1</w:t>
    </w:r>
  </w:p>
  <w:p w:rsidR="005C58C1" w:rsidRPr="00704524" w:rsidRDefault="005C58C1" w:rsidP="00E6030C">
    <w:pPr>
      <w:pStyle w:val="Header"/>
      <w:tabs>
        <w:tab w:val="clear" w:pos="4320"/>
        <w:tab w:val="clear" w:pos="8640"/>
      </w:tabs>
      <w:jc w:val="right"/>
      <w:rPr>
        <w:noProof/>
        <w:snapToGrid w:val="0"/>
        <w:kern w:val="22"/>
      </w:rPr>
    </w:pPr>
    <w:r w:rsidRPr="00704524">
      <w:rPr>
        <w:noProof/>
        <w:snapToGrid w:val="0"/>
        <w:kern w:val="22"/>
      </w:rPr>
      <w:t xml:space="preserve">Page </w:t>
    </w:r>
    <w:r w:rsidRPr="00704524">
      <w:rPr>
        <w:noProof/>
        <w:snapToGrid w:val="0"/>
        <w:kern w:val="22"/>
      </w:rPr>
      <w:fldChar w:fldCharType="begin"/>
    </w:r>
    <w:r w:rsidRPr="00704524">
      <w:rPr>
        <w:noProof/>
        <w:snapToGrid w:val="0"/>
        <w:kern w:val="22"/>
      </w:rPr>
      <w:instrText xml:space="preserve"> PAGE   \* MERGEFORMAT </w:instrText>
    </w:r>
    <w:r w:rsidRPr="00704524">
      <w:rPr>
        <w:noProof/>
        <w:snapToGrid w:val="0"/>
        <w:kern w:val="22"/>
      </w:rPr>
      <w:fldChar w:fldCharType="separate"/>
    </w:r>
    <w:r w:rsidR="00480259">
      <w:rPr>
        <w:noProof/>
        <w:snapToGrid w:val="0"/>
        <w:kern w:val="22"/>
      </w:rPr>
      <w:t>5</w:t>
    </w:r>
    <w:r w:rsidRPr="00704524">
      <w:rPr>
        <w:noProof/>
        <w:snapToGrid w:val="0"/>
        <w:kern w:val="22"/>
      </w:rPr>
      <w:fldChar w:fldCharType="end"/>
    </w:r>
  </w:p>
  <w:p w:rsidR="005C58C1" w:rsidRPr="00704524" w:rsidRDefault="005C58C1" w:rsidP="00E6030C">
    <w:pPr>
      <w:pStyle w:val="Header"/>
      <w:tabs>
        <w:tab w:val="clear" w:pos="4320"/>
        <w:tab w:val="clear" w:pos="8640"/>
      </w:tabs>
      <w:jc w:val="right"/>
      <w:rPr>
        <w:noProof/>
        <w:snapToGrid w:val="0"/>
        <w:kern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A20" w:rsidRPr="00E6030C" w:rsidRDefault="001D7A20" w:rsidP="00704524">
    <w:pPr>
      <w:pStyle w:val="Header"/>
      <w:tabs>
        <w:tab w:val="clear" w:pos="4320"/>
        <w:tab w:val="clear" w:pos="8640"/>
      </w:tabs>
      <w:jc w:val="left"/>
      <w:rPr>
        <w:noProof/>
        <w:kern w:val="22"/>
      </w:rPr>
    </w:pPr>
    <w:r w:rsidRPr="00E6030C">
      <w:rPr>
        <w:snapToGrid w:val="0"/>
        <w:kern w:val="22"/>
      </w:rPr>
      <w:t>CBD/</w:t>
    </w:r>
    <w:r>
      <w:rPr>
        <w:snapToGrid w:val="0"/>
        <w:kern w:val="22"/>
      </w:rPr>
      <w:t>DSI</w:t>
    </w:r>
    <w:r w:rsidRPr="00E6030C">
      <w:rPr>
        <w:snapToGrid w:val="0"/>
        <w:kern w:val="22"/>
      </w:rPr>
      <w:t>/</w:t>
    </w:r>
    <w:r>
      <w:rPr>
        <w:snapToGrid w:val="0"/>
        <w:kern w:val="22"/>
      </w:rPr>
      <w:t>AHTEG</w:t>
    </w:r>
    <w:r w:rsidRPr="00E6030C">
      <w:rPr>
        <w:snapToGrid w:val="0"/>
        <w:kern w:val="22"/>
      </w:rPr>
      <w:t>/201</w:t>
    </w:r>
    <w:r>
      <w:rPr>
        <w:snapToGrid w:val="0"/>
        <w:kern w:val="22"/>
      </w:rPr>
      <w:t>8</w:t>
    </w:r>
    <w:r w:rsidRPr="00E6030C">
      <w:rPr>
        <w:snapToGrid w:val="0"/>
        <w:kern w:val="22"/>
      </w:rPr>
      <w:t>/1/1/Add.1</w:t>
    </w:r>
  </w:p>
  <w:p w:rsidR="00534681" w:rsidRDefault="00534681" w:rsidP="00534681">
    <w:pPr>
      <w:pStyle w:val="Header"/>
    </w:pPr>
    <w:r>
      <w:t xml:space="preserve">Page </w:t>
    </w:r>
    <w:r>
      <w:fldChar w:fldCharType="begin"/>
    </w:r>
    <w:r>
      <w:instrText xml:space="preserve"> PAGE   \* MERGEFORMAT </w:instrText>
    </w:r>
    <w:r>
      <w:fldChar w:fldCharType="separate"/>
    </w:r>
    <w:r w:rsidR="00480259">
      <w:rPr>
        <w:noProof/>
      </w:rPr>
      <w:t>6</w:t>
    </w:r>
    <w:r>
      <w:rPr>
        <w:noProof/>
      </w:rPr>
      <w:fldChar w:fldCharType="end"/>
    </w:r>
  </w:p>
  <w:p w:rsidR="00534681" w:rsidRDefault="005346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5C9" w:rsidRDefault="009505C9" w:rsidP="009505C9">
    <w:pPr>
      <w:pStyle w:val="Header"/>
      <w:jc w:val="right"/>
    </w:pPr>
    <w:r>
      <w:t>CBD/WG8J/10/L.</w:t>
    </w:r>
  </w:p>
  <w:p w:rsidR="009505C9" w:rsidRDefault="009505C9" w:rsidP="009505C9">
    <w:pPr>
      <w:pStyle w:val="Header"/>
      <w:jc w:val="right"/>
    </w:pPr>
    <w:r>
      <w:t xml:space="preserve">Page </w:t>
    </w:r>
    <w:r>
      <w:fldChar w:fldCharType="begin"/>
    </w:r>
    <w:r>
      <w:instrText xml:space="preserve"> PAGE   \* MERGEFORMAT </w:instrText>
    </w:r>
    <w:r>
      <w:fldChar w:fldCharType="separate"/>
    </w:r>
    <w:r w:rsidR="008E1DA5">
      <w:rPr>
        <w:noProof/>
      </w:rPr>
      <w:t>7</w:t>
    </w:r>
    <w:r>
      <w:rPr>
        <w:noProof/>
      </w:rPr>
      <w:fldChar w:fldCharType="end"/>
    </w:r>
  </w:p>
  <w:p w:rsidR="009505C9" w:rsidRDefault="00950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10CDE"/>
    <w:multiLevelType w:val="hybridMultilevel"/>
    <w:tmpl w:val="21D67F82"/>
    <w:lvl w:ilvl="0" w:tplc="64E4FB74">
      <w:start w:val="1"/>
      <w:numFmt w:val="decimal"/>
      <w:lvlText w:val="%1."/>
      <w:lvlJc w:val="right"/>
      <w:pPr>
        <w:ind w:left="720" w:hanging="360"/>
      </w:pPr>
      <w:rPr>
        <w:rFonts w:hint="default"/>
      </w:rPr>
    </w:lvl>
    <w:lvl w:ilvl="1" w:tplc="FFFFFFFF">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3DA51863"/>
    <w:multiLevelType w:val="multilevel"/>
    <w:tmpl w:val="7B6A184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5"/>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902C3"/>
    <w:rsid w:val="00095C31"/>
    <w:rsid w:val="000A448A"/>
    <w:rsid w:val="000A7B25"/>
    <w:rsid w:val="000F5492"/>
    <w:rsid w:val="00105372"/>
    <w:rsid w:val="00116A4D"/>
    <w:rsid w:val="00131E7A"/>
    <w:rsid w:val="00140A75"/>
    <w:rsid w:val="0016622E"/>
    <w:rsid w:val="00197651"/>
    <w:rsid w:val="001A084F"/>
    <w:rsid w:val="001A455E"/>
    <w:rsid w:val="001A5362"/>
    <w:rsid w:val="001B237E"/>
    <w:rsid w:val="001D7A20"/>
    <w:rsid w:val="001E341D"/>
    <w:rsid w:val="001E4A52"/>
    <w:rsid w:val="001F73E2"/>
    <w:rsid w:val="002269E9"/>
    <w:rsid w:val="002411C8"/>
    <w:rsid w:val="0025284F"/>
    <w:rsid w:val="00271CF7"/>
    <w:rsid w:val="00277A56"/>
    <w:rsid w:val="00286813"/>
    <w:rsid w:val="00294A72"/>
    <w:rsid w:val="00297698"/>
    <w:rsid w:val="002D0AE3"/>
    <w:rsid w:val="00315ADA"/>
    <w:rsid w:val="00322158"/>
    <w:rsid w:val="00372F74"/>
    <w:rsid w:val="003772C1"/>
    <w:rsid w:val="003C6863"/>
    <w:rsid w:val="003C7677"/>
    <w:rsid w:val="003D1602"/>
    <w:rsid w:val="003D4D4E"/>
    <w:rsid w:val="003E3334"/>
    <w:rsid w:val="003F153B"/>
    <w:rsid w:val="003F5A00"/>
    <w:rsid w:val="0040205E"/>
    <w:rsid w:val="004644C2"/>
    <w:rsid w:val="00465C89"/>
    <w:rsid w:val="00480259"/>
    <w:rsid w:val="004E317A"/>
    <w:rsid w:val="00534681"/>
    <w:rsid w:val="0057070D"/>
    <w:rsid w:val="00574B52"/>
    <w:rsid w:val="00575FBF"/>
    <w:rsid w:val="0058369A"/>
    <w:rsid w:val="00592528"/>
    <w:rsid w:val="005C58C1"/>
    <w:rsid w:val="005C7BCA"/>
    <w:rsid w:val="006114A8"/>
    <w:rsid w:val="00620E3A"/>
    <w:rsid w:val="00647D4D"/>
    <w:rsid w:val="00667891"/>
    <w:rsid w:val="00674FC1"/>
    <w:rsid w:val="00687D74"/>
    <w:rsid w:val="00704524"/>
    <w:rsid w:val="00706F9F"/>
    <w:rsid w:val="00717D88"/>
    <w:rsid w:val="00723CBB"/>
    <w:rsid w:val="007942D3"/>
    <w:rsid w:val="007A3D63"/>
    <w:rsid w:val="007E09DA"/>
    <w:rsid w:val="007F14AC"/>
    <w:rsid w:val="00824BF1"/>
    <w:rsid w:val="0083784D"/>
    <w:rsid w:val="008712B0"/>
    <w:rsid w:val="0087614C"/>
    <w:rsid w:val="00881F47"/>
    <w:rsid w:val="00895542"/>
    <w:rsid w:val="008D78C3"/>
    <w:rsid w:val="008E1DA5"/>
    <w:rsid w:val="008F5B26"/>
    <w:rsid w:val="008F64C6"/>
    <w:rsid w:val="009178C5"/>
    <w:rsid w:val="0093258C"/>
    <w:rsid w:val="00934E22"/>
    <w:rsid w:val="009505C9"/>
    <w:rsid w:val="00972C20"/>
    <w:rsid w:val="00981B97"/>
    <w:rsid w:val="009C6F9D"/>
    <w:rsid w:val="00A60D68"/>
    <w:rsid w:val="00AE5758"/>
    <w:rsid w:val="00B01486"/>
    <w:rsid w:val="00B3369F"/>
    <w:rsid w:val="00B72F32"/>
    <w:rsid w:val="00C13687"/>
    <w:rsid w:val="00C463EC"/>
    <w:rsid w:val="00C52596"/>
    <w:rsid w:val="00C81073"/>
    <w:rsid w:val="00C9161D"/>
    <w:rsid w:val="00C94ECD"/>
    <w:rsid w:val="00CC1808"/>
    <w:rsid w:val="00CF1848"/>
    <w:rsid w:val="00CF2D37"/>
    <w:rsid w:val="00D036AB"/>
    <w:rsid w:val="00D12D68"/>
    <w:rsid w:val="00D247BF"/>
    <w:rsid w:val="00D42BEC"/>
    <w:rsid w:val="00D44A72"/>
    <w:rsid w:val="00D5457D"/>
    <w:rsid w:val="00D76A18"/>
    <w:rsid w:val="00D77D5F"/>
    <w:rsid w:val="00DB44E9"/>
    <w:rsid w:val="00DD2D70"/>
    <w:rsid w:val="00DF1FC6"/>
    <w:rsid w:val="00DF28F1"/>
    <w:rsid w:val="00E44B1C"/>
    <w:rsid w:val="00E63874"/>
    <w:rsid w:val="00E66235"/>
    <w:rsid w:val="00E83C24"/>
    <w:rsid w:val="00EE68C7"/>
    <w:rsid w:val="00EF5628"/>
    <w:rsid w:val="00F00EFF"/>
    <w:rsid w:val="00F11AB8"/>
    <w:rsid w:val="00F526F3"/>
    <w:rsid w:val="00F610D5"/>
    <w:rsid w:val="00F86A2F"/>
    <w:rsid w:val="00F94774"/>
    <w:rsid w:val="00FA4C2F"/>
    <w:rsid w:val="00FA7E74"/>
    <w:rsid w:val="00FD33D4"/>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BB8BF637-6ED0-4722-98B1-09C1778A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7E09DA"/>
    <w:rPr>
      <w:sz w:val="18"/>
      <w:u w:val="single"/>
      <w:vertAlign w:val="baseline"/>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paragraph" w:customStyle="1" w:styleId="Heading-plain">
    <w:name w:val="Heading-plain"/>
    <w:basedOn w:val="Normal"/>
    <w:rsid w:val="005C58C1"/>
    <w:pPr>
      <w:spacing w:before="120" w:after="120"/>
      <w:jc w:val="center"/>
      <w:outlineLvl w:val="0"/>
    </w:pPr>
    <w:rPr>
      <w:i/>
      <w:iCs/>
    </w:rPr>
  </w:style>
  <w:style w:type="character" w:styleId="Hyperlink">
    <w:name w:val="Hyperlink"/>
    <w:rsid w:val="005C58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abs/dsi-gr/ahteg.shtml"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bd.int/meetings/DSI-AHTEG-2018-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abs/dsi-gr/ahteg.shtml"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panose1 w:val="00000000000000000000"/>
    <w:charset w:val="00"/>
    <w:family w:val="swiss"/>
    <w:notTrueType/>
    <w:pitch w:val="variable"/>
    <w:sig w:usb0="00000003" w:usb1="00000000" w:usb2="00000000" w:usb3="00000000" w:csb0="00000001"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5C2A52"/>
    <w:rsid w:val="00810A55"/>
    <w:rsid w:val="008D420E"/>
    <w:rsid w:val="00BB6D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10A5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FA3C7-5FA6-421F-A466-7EFB701C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2146</Words>
  <Characters>12234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Annotated provisional agenda</vt:lpstr>
    </vt:vector>
  </TitlesOfParts>
  <Company>SCBD</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subject>CBD/DSI/AHTEG/2018/1/1/Add.1</dc:subject>
  <dc:creator>SCBD</dc:creator>
  <cp:lastModifiedBy>veronique lefebvre</cp:lastModifiedBy>
  <cp:revision>2</cp:revision>
  <dcterms:created xsi:type="dcterms:W3CDTF">2017-12-29T19:40:00Z</dcterms:created>
  <dcterms:modified xsi:type="dcterms:W3CDTF">2017-12-29T19:40:00Z</dcterms:modified>
  <cp:contentStatus>GENERAL</cp:contentStatus>
</cp:coreProperties>
</file>