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112"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557"/>
      </w:tblGrid>
      <w:tr w:rsidR="00473E89" w:rsidRPr="00CD70B8" w14:paraId="19855437" w14:textId="77777777" w:rsidTr="00E81D8E">
        <w:trPr>
          <w:trHeight w:val="851"/>
        </w:trPr>
        <w:tc>
          <w:tcPr>
            <w:tcW w:w="976" w:type="dxa"/>
            <w:tcBorders>
              <w:bottom w:val="single" w:sz="12" w:space="0" w:color="auto"/>
            </w:tcBorders>
          </w:tcPr>
          <w:p w14:paraId="2D5EDB93" w14:textId="77777777" w:rsidR="00473E89" w:rsidRPr="00CD70B8" w:rsidRDefault="00473E89" w:rsidP="009C377F">
            <w:r w:rsidRPr="00CD70B8">
              <w:rPr>
                <w:noProof/>
              </w:rPr>
              <w:drawing>
                <wp:inline distT="0" distB="0" distL="0" distR="0" wp14:anchorId="13010D47" wp14:editId="2A671271">
                  <wp:extent cx="476494" cy="403200"/>
                  <wp:effectExtent l="0" t="0" r="6350" b="3810"/>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2B1A587E" w14:textId="48C565CB" w:rsidR="00473E89" w:rsidRPr="00CD70B8" w:rsidRDefault="00CD70B8" w:rsidP="009C377F">
            <w:r w:rsidRPr="00CD70B8">
              <w:rPr>
                <w:noProof/>
              </w:rPr>
              <w:drawing>
                <wp:inline distT="0" distB="0" distL="0" distR="0" wp14:anchorId="57DF0498" wp14:editId="21C031FB">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3557" w:type="dxa"/>
            <w:tcBorders>
              <w:bottom w:val="single" w:sz="12" w:space="0" w:color="auto"/>
            </w:tcBorders>
          </w:tcPr>
          <w:p w14:paraId="2CC19531" w14:textId="77777777" w:rsidR="005F6CCB" w:rsidRPr="00CD70B8" w:rsidRDefault="002B0CCA">
            <w:pPr>
              <w:jc w:val="right"/>
              <w:rPr>
                <w:rFonts w:ascii="Arial" w:hAnsi="Arial" w:cs="Arial"/>
                <w:b/>
                <w:sz w:val="32"/>
                <w:szCs w:val="32"/>
              </w:rPr>
            </w:pPr>
            <w:r w:rsidRPr="00CD70B8">
              <w:rPr>
                <w:rFonts w:ascii="Arial" w:hAnsi="Arial" w:cs="Arial"/>
                <w:b/>
                <w:sz w:val="32"/>
                <w:szCs w:val="32"/>
              </w:rPr>
              <w:t>CBD</w:t>
            </w:r>
          </w:p>
        </w:tc>
      </w:tr>
      <w:tr w:rsidR="00C9161D" w:rsidRPr="00CD70B8" w14:paraId="665A293B" w14:textId="77777777" w:rsidTr="00E81D8E">
        <w:tc>
          <w:tcPr>
            <w:tcW w:w="6117" w:type="dxa"/>
            <w:gridSpan w:val="2"/>
            <w:tcBorders>
              <w:top w:val="single" w:sz="12" w:space="0" w:color="auto"/>
              <w:bottom w:val="single" w:sz="36" w:space="0" w:color="auto"/>
            </w:tcBorders>
            <w:vAlign w:val="center"/>
          </w:tcPr>
          <w:p w14:paraId="2AFC8C89" w14:textId="5FFD895E" w:rsidR="00C9161D" w:rsidRPr="00CD70B8" w:rsidRDefault="00CD70B8" w:rsidP="00C9161D">
            <w:r w:rsidRPr="00CD70B8">
              <w:rPr>
                <w:noProof/>
                <w:kern w:val="22"/>
                <w:lang w:eastAsia="fr-CA"/>
              </w:rPr>
              <w:drawing>
                <wp:inline distT="0" distB="0" distL="0" distR="0" wp14:anchorId="1C8BD2F6" wp14:editId="3B28EBDA">
                  <wp:extent cx="2855595" cy="1078230"/>
                  <wp:effectExtent l="0" t="0" r="1905" b="7620"/>
                  <wp:docPr id="1"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5595" cy="1078230"/>
                          </a:xfrm>
                          <a:prstGeom prst="rect">
                            <a:avLst/>
                          </a:prstGeom>
                          <a:noFill/>
                          <a:ln>
                            <a:noFill/>
                          </a:ln>
                        </pic:spPr>
                      </pic:pic>
                    </a:graphicData>
                  </a:graphic>
                </wp:inline>
              </w:drawing>
            </w:r>
          </w:p>
        </w:tc>
        <w:tc>
          <w:tcPr>
            <w:tcW w:w="3557" w:type="dxa"/>
            <w:tcBorders>
              <w:top w:val="single" w:sz="12" w:space="0" w:color="auto"/>
              <w:bottom w:val="single" w:sz="36" w:space="0" w:color="auto"/>
            </w:tcBorders>
          </w:tcPr>
          <w:p w14:paraId="35A83358" w14:textId="77777777" w:rsidR="005F6CCB" w:rsidRPr="00CD70B8" w:rsidRDefault="002B0CCA">
            <w:pPr>
              <w:ind w:left="1215"/>
              <w:rPr>
                <w:szCs w:val="22"/>
              </w:rPr>
            </w:pPr>
            <w:r w:rsidRPr="00CD70B8">
              <w:rPr>
                <w:szCs w:val="22"/>
              </w:rPr>
              <w:t>Distr.</w:t>
            </w:r>
          </w:p>
          <w:p w14:paraId="10C68D11" w14:textId="62B7383F" w:rsidR="005F6CCB" w:rsidRPr="00CD70B8" w:rsidRDefault="002B0CCA">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CD70B8" w:rsidRPr="00CD70B8">
                  <w:rPr>
                    <w:caps/>
                    <w:szCs w:val="22"/>
                  </w:rPr>
                  <w:t>GÉNÉRALE</w:t>
                </w:r>
              </w:sdtContent>
            </w:sdt>
          </w:p>
          <w:p w14:paraId="2C1E6D57" w14:textId="77777777" w:rsidR="00C9161D" w:rsidRPr="00CD70B8" w:rsidRDefault="00C9161D" w:rsidP="00176CEE">
            <w:pPr>
              <w:ind w:left="1215"/>
              <w:rPr>
                <w:szCs w:val="22"/>
              </w:rPr>
            </w:pPr>
          </w:p>
          <w:p w14:paraId="265563DF" w14:textId="77777777" w:rsidR="005F6CCB" w:rsidRPr="00CD70B8" w:rsidRDefault="002B0CCA">
            <w:pPr>
              <w:ind w:left="1215"/>
              <w:rPr>
                <w:szCs w:val="22"/>
              </w:rPr>
            </w:pPr>
            <w:sdt>
              <w:sdtPr>
                <w:rPr>
                  <w:snapToGrid w:val="0"/>
                  <w:color w:val="00000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C7CDC" w:rsidRPr="00CD70B8">
                  <w:rPr>
                    <w:snapToGrid w:val="0"/>
                    <w:color w:val="000000"/>
                    <w:kern w:val="22"/>
                  </w:rPr>
                  <w:t>CBD/CP/MOP/10/6</w:t>
                </w:r>
              </w:sdtContent>
            </w:sdt>
          </w:p>
          <w:p w14:paraId="34E51D81" w14:textId="77777777" w:rsidR="005F6CCB" w:rsidRPr="00CD70B8" w:rsidRDefault="002B0CCA">
            <w:pPr>
              <w:ind w:left="1215"/>
              <w:rPr>
                <w:szCs w:val="22"/>
              </w:rPr>
            </w:pPr>
            <w:r w:rsidRPr="00CD70B8">
              <w:rPr>
                <w:szCs w:val="22"/>
              </w:rPr>
              <w:t xml:space="preserve">17 </w:t>
            </w:r>
            <w:r w:rsidR="00B96810" w:rsidRPr="00CD70B8">
              <w:rPr>
                <w:szCs w:val="22"/>
              </w:rPr>
              <w:t>octobre 2022</w:t>
            </w:r>
          </w:p>
          <w:p w14:paraId="54A9C03E" w14:textId="77777777" w:rsidR="00C9161D" w:rsidRPr="00CD70B8" w:rsidRDefault="00C9161D" w:rsidP="00176CEE">
            <w:pPr>
              <w:ind w:left="1215"/>
              <w:rPr>
                <w:szCs w:val="22"/>
              </w:rPr>
            </w:pPr>
          </w:p>
          <w:p w14:paraId="0F40F753" w14:textId="133377C3" w:rsidR="005F6CCB" w:rsidRPr="00CD70B8" w:rsidRDefault="00B6105D" w:rsidP="00B6105D">
            <w:pPr>
              <w:ind w:left="1215" w:right="-103"/>
              <w:rPr>
                <w:szCs w:val="22"/>
              </w:rPr>
            </w:pPr>
            <w:r w:rsidRPr="00CD70B8">
              <w:rPr>
                <w:szCs w:val="22"/>
              </w:rPr>
              <w:t>FRANÇAIS ORIGINAL</w:t>
            </w:r>
            <w:r w:rsidR="00CD70B8" w:rsidRPr="00CD70B8">
              <w:rPr>
                <w:szCs w:val="22"/>
              </w:rPr>
              <w:t> </w:t>
            </w:r>
            <w:r w:rsidRPr="00CD70B8">
              <w:rPr>
                <w:szCs w:val="22"/>
              </w:rPr>
              <w:t>: ANGLAIS</w:t>
            </w:r>
          </w:p>
          <w:p w14:paraId="4A5CD4BD" w14:textId="77777777" w:rsidR="00C9161D" w:rsidRPr="00CD70B8" w:rsidRDefault="00C9161D"/>
        </w:tc>
      </w:tr>
    </w:tbl>
    <w:p w14:paraId="2CC4CA1E" w14:textId="592DDB3C" w:rsidR="00E81D8E" w:rsidRPr="00CD70B8" w:rsidRDefault="00E81D8E" w:rsidP="00E66946">
      <w:pPr>
        <w:pStyle w:val="Cornernotation"/>
        <w:suppressLineNumbers/>
        <w:suppressAutoHyphens/>
        <w:ind w:left="270" w:right="4075" w:hanging="270"/>
        <w:rPr>
          <w:color w:val="000000"/>
          <w:kern w:val="20"/>
        </w:rPr>
      </w:pPr>
      <w:r w:rsidRPr="00CD70B8">
        <w:rPr>
          <w:color w:val="000000"/>
          <w:kern w:val="20"/>
        </w:rPr>
        <w:t>CONFÉRENCE DES PARTIES À LA CONVENTION SUR LA DIVERSITÉ BIOLOGIQUE SI</w:t>
      </w:r>
      <w:r w:rsidR="00E66946">
        <w:rPr>
          <w:color w:val="000000"/>
          <w:kern w:val="20"/>
        </w:rPr>
        <w:t>É</w:t>
      </w:r>
      <w:r w:rsidRPr="00CD70B8">
        <w:rPr>
          <w:color w:val="000000"/>
          <w:kern w:val="20"/>
        </w:rPr>
        <w:t>GEANT EN TANT QUE RÉUNION DES PARTIES</w:t>
      </w:r>
      <w:r w:rsidR="00E66946">
        <w:rPr>
          <w:color w:val="000000"/>
          <w:kern w:val="20"/>
        </w:rPr>
        <w:t xml:space="preserve"> AU PROTOCOLE DE CARTAG</w:t>
      </w:r>
      <w:r w:rsidR="00ED7945">
        <w:rPr>
          <w:color w:val="000000"/>
          <w:kern w:val="20"/>
        </w:rPr>
        <w:t>E</w:t>
      </w:r>
      <w:r w:rsidR="00E66946">
        <w:rPr>
          <w:color w:val="000000"/>
          <w:kern w:val="20"/>
        </w:rPr>
        <w:t>NA SUR LA PRÉVENTION DES RISQUES BIOTECHNOLOGIQUES</w:t>
      </w:r>
    </w:p>
    <w:p w14:paraId="2F4501FB" w14:textId="309A5BE9" w:rsidR="005F6CCB" w:rsidRPr="00CD70B8" w:rsidRDefault="002B0CCA">
      <w:pPr>
        <w:pStyle w:val="Cornernotation"/>
        <w:suppressLineNumbers/>
        <w:suppressAutoHyphens/>
        <w:ind w:left="270" w:right="3690" w:hanging="270"/>
        <w:rPr>
          <w:color w:val="000000"/>
          <w:kern w:val="20"/>
        </w:rPr>
      </w:pPr>
      <w:r w:rsidRPr="00CD70B8">
        <w:rPr>
          <w:color w:val="000000"/>
          <w:kern w:val="20"/>
        </w:rPr>
        <w:t xml:space="preserve">Dixième </w:t>
      </w:r>
      <w:r w:rsidR="00E21230" w:rsidRPr="00CD70B8">
        <w:rPr>
          <w:color w:val="000000"/>
          <w:kern w:val="20"/>
        </w:rPr>
        <w:t xml:space="preserve">réunion </w:t>
      </w:r>
      <w:r w:rsidR="00DB2733" w:rsidRPr="00CD70B8">
        <w:rPr>
          <w:color w:val="000000"/>
          <w:kern w:val="20"/>
        </w:rPr>
        <w:t>- Partie II</w:t>
      </w:r>
    </w:p>
    <w:p w14:paraId="0569CA70" w14:textId="2F7371C3" w:rsidR="005F6CCB" w:rsidRPr="00CD70B8" w:rsidRDefault="002B0CCA">
      <w:pPr>
        <w:pStyle w:val="Cornernotation"/>
        <w:suppressLineNumbers/>
        <w:suppressAutoHyphens/>
        <w:ind w:left="270" w:right="3690" w:hanging="270"/>
        <w:rPr>
          <w:color w:val="000000"/>
          <w:kern w:val="20"/>
        </w:rPr>
      </w:pPr>
      <w:r w:rsidRPr="00CD70B8">
        <w:rPr>
          <w:color w:val="000000"/>
          <w:kern w:val="20"/>
        </w:rPr>
        <w:t>Montréal, Canada</w:t>
      </w:r>
      <w:r w:rsidR="00734AA3" w:rsidRPr="00CD70B8">
        <w:rPr>
          <w:color w:val="000000"/>
          <w:kern w:val="20"/>
        </w:rPr>
        <w:t xml:space="preserve">, </w:t>
      </w:r>
      <w:r w:rsidR="000D1A1D" w:rsidRPr="00CD70B8">
        <w:rPr>
          <w:color w:val="000000"/>
          <w:kern w:val="20"/>
        </w:rPr>
        <w:t xml:space="preserve">7 </w:t>
      </w:r>
      <w:r w:rsidR="00A60D5F">
        <w:rPr>
          <w:color w:val="000000"/>
          <w:kern w:val="20"/>
        </w:rPr>
        <w:t xml:space="preserve">- </w:t>
      </w:r>
      <w:r w:rsidR="000D1A1D" w:rsidRPr="00CD70B8">
        <w:rPr>
          <w:color w:val="000000"/>
          <w:kern w:val="20"/>
        </w:rPr>
        <w:t xml:space="preserve">19 </w:t>
      </w:r>
      <w:r w:rsidRPr="00CD70B8">
        <w:rPr>
          <w:color w:val="000000"/>
          <w:kern w:val="20"/>
        </w:rPr>
        <w:t xml:space="preserve">décembre </w:t>
      </w:r>
      <w:r w:rsidR="00260D1D" w:rsidRPr="00CD70B8">
        <w:rPr>
          <w:color w:val="000000"/>
          <w:kern w:val="20"/>
        </w:rPr>
        <w:t>2022</w:t>
      </w:r>
    </w:p>
    <w:p w14:paraId="4687CC68" w14:textId="77777777" w:rsidR="005F6CCB" w:rsidRPr="00CD70B8" w:rsidRDefault="00E21230">
      <w:pPr>
        <w:pStyle w:val="Cornernotation"/>
        <w:suppressLineNumbers/>
        <w:suppressAutoHyphens/>
        <w:ind w:left="270" w:right="3690" w:hanging="270"/>
        <w:rPr>
          <w:color w:val="000000"/>
          <w:kern w:val="20"/>
        </w:rPr>
      </w:pPr>
      <w:r w:rsidRPr="00CD70B8">
        <w:rPr>
          <w:color w:val="000000"/>
          <w:kern w:val="20"/>
        </w:rPr>
        <w:t xml:space="preserve">Point 10 de l'ordre du jour </w:t>
      </w:r>
    </w:p>
    <w:p w14:paraId="62B98194" w14:textId="2DEF387C" w:rsidR="005F6CCB" w:rsidRPr="00CD70B8" w:rsidRDefault="002B0CCA">
      <w:pPr>
        <w:keepNext/>
        <w:spacing w:before="120" w:after="240"/>
        <w:jc w:val="center"/>
        <w:rPr>
          <w:rFonts w:ascii="Times New Roman Bold" w:hAnsi="Times New Roman Bold"/>
          <w:b/>
          <w:caps/>
        </w:rPr>
      </w:pPr>
      <w:sdt>
        <w:sdtPr>
          <w:rPr>
            <w:rStyle w:val="Heading2Char"/>
            <w:rFonts w:ascii="Times New Roman Bold" w:hAnsi="Times New Roman Bold"/>
            <w:caps/>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E81D8E" w:rsidRPr="00CD70B8">
            <w:rPr>
              <w:rStyle w:val="Heading2Char"/>
              <w:rFonts w:ascii="Times New Roman Bold" w:hAnsi="Times New Roman Bold"/>
              <w:caps/>
              <w:lang w:val="fr-FR"/>
            </w:rPr>
            <w:t>M</w:t>
          </w:r>
          <w:r w:rsidR="00B6105D" w:rsidRPr="00CD70B8">
            <w:rPr>
              <w:rStyle w:val="Heading2Char"/>
              <w:rFonts w:ascii="Times New Roman Bold" w:hAnsi="Times New Roman Bold"/>
              <w:caps/>
              <w:lang w:val="fr-FR"/>
            </w:rPr>
            <w:t>É</w:t>
          </w:r>
          <w:r w:rsidR="00E81D8E" w:rsidRPr="00CD70B8">
            <w:rPr>
              <w:rStyle w:val="Heading2Char"/>
              <w:rFonts w:ascii="Times New Roman Bold" w:hAnsi="Times New Roman Bold"/>
              <w:caps/>
              <w:lang w:val="fr-FR"/>
            </w:rPr>
            <w:t>CANISME DE FINANCEMENT ET RESSOURCES FINANCI</w:t>
          </w:r>
          <w:r w:rsidR="00B6105D" w:rsidRPr="00CD70B8">
            <w:rPr>
              <w:rStyle w:val="Heading2Char"/>
              <w:rFonts w:ascii="Times New Roman Bold" w:hAnsi="Times New Roman Bold"/>
              <w:caps/>
              <w:lang w:val="fr-FR"/>
            </w:rPr>
            <w:t>È</w:t>
          </w:r>
          <w:r w:rsidR="00E81D8E" w:rsidRPr="00CD70B8">
            <w:rPr>
              <w:rStyle w:val="Heading2Char"/>
              <w:rFonts w:ascii="Times New Roman Bold" w:hAnsi="Times New Roman Bold"/>
              <w:caps/>
              <w:lang w:val="fr-FR"/>
            </w:rPr>
            <w:t>RES (ARTICLE 28)</w:t>
          </w:r>
        </w:sdtContent>
      </w:sdt>
      <w:r w:rsidR="00105372" w:rsidRPr="00CD70B8">
        <w:rPr>
          <w:rFonts w:ascii="Times New Roman Bold" w:hAnsi="Times New Roman Bold"/>
          <w:b/>
          <w:caps/>
        </w:rPr>
        <w:t xml:space="preserve"> </w:t>
      </w:r>
    </w:p>
    <w:p w14:paraId="01ACF5C4" w14:textId="683430F6" w:rsidR="005F6CCB" w:rsidRPr="00CD70B8" w:rsidRDefault="002B0CCA">
      <w:pPr>
        <w:pStyle w:val="heading2notforTOC"/>
        <w:outlineLvl w:val="9"/>
        <w:rPr>
          <w:kern w:val="22"/>
          <w:szCs w:val="22"/>
        </w:rPr>
      </w:pPr>
      <w:r w:rsidRPr="00CD70B8">
        <w:rPr>
          <w:kern w:val="22"/>
          <w:szCs w:val="22"/>
        </w:rPr>
        <w:t xml:space="preserve">Note </w:t>
      </w:r>
      <w:r w:rsidR="001B1B39" w:rsidRPr="00CD70B8">
        <w:rPr>
          <w:kern w:val="22"/>
          <w:szCs w:val="22"/>
        </w:rPr>
        <w:t>de la</w:t>
      </w:r>
      <w:r w:rsidRPr="00CD70B8">
        <w:rPr>
          <w:kern w:val="22"/>
          <w:szCs w:val="22"/>
        </w:rPr>
        <w:t xml:space="preserve"> Secrétaire exécutive</w:t>
      </w:r>
    </w:p>
    <w:p w14:paraId="635D225D" w14:textId="77777777" w:rsidR="005F6CCB" w:rsidRPr="00CD70B8" w:rsidRDefault="002B0CCA">
      <w:pPr>
        <w:pStyle w:val="Para1"/>
        <w:keepNext/>
        <w:numPr>
          <w:ilvl w:val="0"/>
          <w:numId w:val="0"/>
        </w:numPr>
        <w:suppressLineNumbers/>
        <w:suppressAutoHyphens/>
        <w:kinsoku w:val="0"/>
        <w:overflowPunct w:val="0"/>
        <w:autoSpaceDE w:val="0"/>
        <w:autoSpaceDN w:val="0"/>
        <w:snapToGrid w:val="0"/>
        <w:spacing w:before="240"/>
        <w:jc w:val="center"/>
        <w:outlineLvl w:val="0"/>
        <w:rPr>
          <w:rFonts w:ascii="Times New Roman Bold" w:hAnsi="Times New Roman Bold"/>
        </w:rPr>
      </w:pPr>
      <w:r w:rsidRPr="00CD70B8">
        <w:rPr>
          <w:rFonts w:ascii="Times New Roman Bold" w:hAnsi="Times New Roman Bold"/>
          <w:b/>
          <w:caps/>
        </w:rPr>
        <w:t>I.</w:t>
      </w:r>
      <w:r w:rsidRPr="00CD70B8">
        <w:rPr>
          <w:rFonts w:ascii="Times New Roman Bold" w:hAnsi="Times New Roman Bold"/>
          <w:b/>
          <w:caps/>
        </w:rPr>
        <w:tab/>
      </w:r>
      <w:r w:rsidR="00E21230" w:rsidRPr="00CD70B8">
        <w:rPr>
          <w:rFonts w:ascii="Times New Roman Bold" w:hAnsi="Times New Roman Bold"/>
          <w:b/>
          <w:caps/>
        </w:rPr>
        <w:t>Introduction</w:t>
      </w:r>
    </w:p>
    <w:p w14:paraId="06FC328B" w14:textId="7817E618" w:rsidR="005F6CCB" w:rsidRPr="00CD70B8" w:rsidRDefault="002B0CCA">
      <w:pPr>
        <w:pStyle w:val="ListParagraph"/>
        <w:numPr>
          <w:ilvl w:val="0"/>
          <w:numId w:val="6"/>
        </w:numPr>
        <w:tabs>
          <w:tab w:val="clear" w:pos="360"/>
        </w:tabs>
        <w:spacing w:before="120" w:after="120"/>
        <w:contextualSpacing w:val="0"/>
        <w:rPr>
          <w:bCs/>
          <w:snapToGrid w:val="0"/>
          <w:kern w:val="22"/>
          <w:szCs w:val="22"/>
        </w:rPr>
      </w:pPr>
      <w:r w:rsidRPr="00CD70B8">
        <w:rPr>
          <w:bCs/>
          <w:snapToGrid w:val="0"/>
          <w:kern w:val="22"/>
          <w:szCs w:val="22"/>
        </w:rPr>
        <w:t xml:space="preserve">Conformément à l'article 28 du </w:t>
      </w:r>
      <w:r w:rsidR="00FF7B3A" w:rsidRPr="00CD70B8">
        <w:t>Protocole de Cartagena sur la prévention des risques biotechnologiques</w:t>
      </w:r>
      <w:r w:rsidRPr="00CD70B8">
        <w:rPr>
          <w:bCs/>
          <w:snapToGrid w:val="0"/>
          <w:kern w:val="22"/>
          <w:szCs w:val="22"/>
        </w:rPr>
        <w:t xml:space="preserve">, la Conférence des Parties siégeant en tant que Réunion des Parties au Protocole de Cartagena fournit des recommandations à la Conférence des Parties </w:t>
      </w:r>
      <w:r w:rsidR="000B22A4" w:rsidRPr="00CD70B8">
        <w:rPr>
          <w:bCs/>
          <w:snapToGrid w:val="0"/>
          <w:kern w:val="22"/>
          <w:szCs w:val="22"/>
        </w:rPr>
        <w:t xml:space="preserve">à la Convention </w:t>
      </w:r>
      <w:r w:rsidR="00CD70B8" w:rsidRPr="00CD70B8">
        <w:rPr>
          <w:bCs/>
          <w:snapToGrid w:val="0"/>
          <w:kern w:val="22"/>
          <w:szCs w:val="22"/>
        </w:rPr>
        <w:t>au moyen</w:t>
      </w:r>
      <w:r w:rsidRPr="00CD70B8">
        <w:rPr>
          <w:bCs/>
          <w:snapToGrid w:val="0"/>
          <w:kern w:val="22"/>
          <w:szCs w:val="22"/>
        </w:rPr>
        <w:t xml:space="preserve"> de ses décisions sur les questions </w:t>
      </w:r>
      <w:r w:rsidR="00F4787D" w:rsidRPr="00CD70B8">
        <w:rPr>
          <w:bCs/>
          <w:snapToGrid w:val="0"/>
          <w:kern w:val="22"/>
          <w:szCs w:val="22"/>
        </w:rPr>
        <w:t xml:space="preserve">liées </w:t>
      </w:r>
      <w:r w:rsidRPr="00CD70B8">
        <w:rPr>
          <w:bCs/>
          <w:snapToGrid w:val="0"/>
          <w:kern w:val="22"/>
          <w:szCs w:val="22"/>
        </w:rPr>
        <w:t xml:space="preserve">au mécanisme et aux ressources financières. Les décisions sont ensuite examinées par la Conférence des Parties pour être incluses dans ses </w:t>
      </w:r>
      <w:r w:rsidR="00616205">
        <w:rPr>
          <w:szCs w:val="22"/>
        </w:rPr>
        <w:t>orientations</w:t>
      </w:r>
      <w:r w:rsidR="0013259C" w:rsidRPr="00CD70B8">
        <w:rPr>
          <w:bCs/>
          <w:snapToGrid w:val="0"/>
          <w:kern w:val="22"/>
          <w:szCs w:val="22"/>
        </w:rPr>
        <w:t xml:space="preserve"> </w:t>
      </w:r>
      <w:r w:rsidR="0013259C">
        <w:rPr>
          <w:bCs/>
          <w:snapToGrid w:val="0"/>
          <w:kern w:val="22"/>
          <w:szCs w:val="22"/>
        </w:rPr>
        <w:t>à l’intention du</w:t>
      </w:r>
      <w:r w:rsidRPr="00CD70B8">
        <w:rPr>
          <w:bCs/>
          <w:snapToGrid w:val="0"/>
          <w:kern w:val="22"/>
          <w:szCs w:val="22"/>
        </w:rPr>
        <w:t xml:space="preserve"> </w:t>
      </w:r>
      <w:r w:rsidR="00F4787D" w:rsidRPr="00CD70B8">
        <w:rPr>
          <w:bCs/>
          <w:snapToGrid w:val="0"/>
          <w:kern w:val="22"/>
          <w:szCs w:val="22"/>
        </w:rPr>
        <w:t>Fonds pour l'environnement mondial (FEM)</w:t>
      </w:r>
      <w:r w:rsidRPr="00CD70B8">
        <w:rPr>
          <w:bCs/>
          <w:snapToGrid w:val="0"/>
          <w:kern w:val="22"/>
          <w:szCs w:val="22"/>
        </w:rPr>
        <w:t>.</w:t>
      </w:r>
    </w:p>
    <w:p w14:paraId="1391F947" w14:textId="0F04C11D" w:rsidR="00B6105D" w:rsidRPr="00CD70B8" w:rsidRDefault="00B6105D" w:rsidP="00B6105D">
      <w:pPr>
        <w:pStyle w:val="ListParagraph"/>
        <w:numPr>
          <w:ilvl w:val="0"/>
          <w:numId w:val="6"/>
        </w:numPr>
        <w:suppressLineNumbers/>
        <w:tabs>
          <w:tab w:val="clear" w:pos="360"/>
        </w:tabs>
        <w:suppressAutoHyphens/>
        <w:spacing w:before="120" w:after="120"/>
        <w:contextualSpacing w:val="0"/>
        <w:rPr>
          <w:snapToGrid w:val="0"/>
          <w:color w:val="000000"/>
          <w:kern w:val="22"/>
        </w:rPr>
      </w:pPr>
      <w:r w:rsidRPr="00CD70B8">
        <w:t xml:space="preserve">À sa neuvième réunion, dans la </w:t>
      </w:r>
      <w:r w:rsidRPr="00CD70B8">
        <w:rPr>
          <w:kern w:val="22"/>
        </w:rPr>
        <w:t xml:space="preserve">décision </w:t>
      </w:r>
      <w:hyperlink r:id="rId15" w:history="1">
        <w:r w:rsidRPr="00CD70B8">
          <w:rPr>
            <w:rStyle w:val="Hyperlink"/>
            <w:sz w:val="22"/>
          </w:rPr>
          <w:t>CP-9/4</w:t>
        </w:r>
      </w:hyperlink>
      <w:r w:rsidRPr="00CD70B8">
        <w:rPr>
          <w:kern w:val="22"/>
        </w:rPr>
        <w:t xml:space="preserve">, </w:t>
      </w:r>
      <w:r w:rsidRPr="00CD70B8">
        <w:t xml:space="preserve">la Conférence des Parties siégeant en tant que Réunion des Parties au </w:t>
      </w:r>
      <w:r w:rsidR="00FF7B3A">
        <w:t>Protocole de Cartagena</w:t>
      </w:r>
      <w:r w:rsidRPr="00CD70B8">
        <w:t xml:space="preserve"> a exhorté les Parties à donner la priorité aux projets de prévention des risques biotechnologiques lors de la programmation de leurs allocations nationales au titre du Système d'allocation transparente des ressources dans le cadre de la septième </w:t>
      </w:r>
      <w:r w:rsidR="00A93EC6">
        <w:t>reconstitution des ressources du FEM</w:t>
      </w:r>
      <w:r w:rsidRPr="00CD70B8">
        <w:t xml:space="preserve"> (FEM-7), en tenant compte de leurs obligations au titre du </w:t>
      </w:r>
      <w:r w:rsidR="00FF7B3A">
        <w:t>Protocole de Cartagena</w:t>
      </w:r>
      <w:r w:rsidRPr="00CD70B8">
        <w:t xml:space="preserve"> et du Plan stratégique </w:t>
      </w:r>
      <w:r w:rsidR="00E66946">
        <w:t>du</w:t>
      </w:r>
      <w:r w:rsidRPr="00CD70B8">
        <w:t xml:space="preserve"> </w:t>
      </w:r>
      <w:r w:rsidR="00FF7B3A">
        <w:t>Protocole de Cartagena</w:t>
      </w:r>
      <w:r w:rsidRPr="00CD70B8">
        <w:t xml:space="preserve"> pour la période 2011-2020. Dans la même décision, la réunion des Parties a fait des </w:t>
      </w:r>
      <w:r w:rsidRPr="00CD70B8">
        <w:rPr>
          <w:kern w:val="22"/>
        </w:rPr>
        <w:t xml:space="preserve">recommandations à la Conférence des Parties sur les orientations à donner au Fonds pour l'environnement mondial en matière de biosécurité, s'est félicitée de la septième </w:t>
      </w:r>
      <w:r w:rsidR="00A93EC6">
        <w:rPr>
          <w:kern w:val="22"/>
        </w:rPr>
        <w:t>reconstitution des ressources du FEM</w:t>
      </w:r>
      <w:r w:rsidRPr="00CD70B8">
        <w:rPr>
          <w:kern w:val="22"/>
        </w:rPr>
        <w:t xml:space="preserve"> et a exprimé sa reconnaissance aux pays qui ont contribué à la septième reconstitution. </w:t>
      </w:r>
    </w:p>
    <w:p w14:paraId="68A86E09" w14:textId="14F821BF"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kern w:val="22"/>
        </w:rPr>
      </w:pPr>
      <w:r w:rsidRPr="00CD70B8">
        <w:rPr>
          <w:bCs/>
          <w:kern w:val="22"/>
          <w:szCs w:val="22"/>
        </w:rPr>
        <w:t>Le présent document présente des informations rela</w:t>
      </w:r>
      <w:r w:rsidRPr="00CD70B8">
        <w:rPr>
          <w:bCs/>
          <w:kern w:val="22"/>
          <w:szCs w:val="22"/>
        </w:rPr>
        <w:t xml:space="preserve">tives au mécanisme financier </w:t>
      </w:r>
      <w:r w:rsidR="006E6A22" w:rsidRPr="00CD70B8">
        <w:rPr>
          <w:bCs/>
          <w:kern w:val="22"/>
          <w:szCs w:val="22"/>
        </w:rPr>
        <w:t xml:space="preserve">en relation avec </w:t>
      </w:r>
      <w:r w:rsidRPr="00CD70B8">
        <w:rPr>
          <w:bCs/>
          <w:kern w:val="22"/>
          <w:szCs w:val="22"/>
        </w:rPr>
        <w:t xml:space="preserve">le </w:t>
      </w:r>
      <w:r w:rsidR="00FF7B3A">
        <w:rPr>
          <w:bCs/>
          <w:kern w:val="22"/>
          <w:szCs w:val="22"/>
        </w:rPr>
        <w:t>Protocole de Cartagena</w:t>
      </w:r>
      <w:r w:rsidRPr="00CD70B8">
        <w:rPr>
          <w:bCs/>
          <w:kern w:val="22"/>
          <w:szCs w:val="22"/>
        </w:rPr>
        <w:t xml:space="preserve">. La section II </w:t>
      </w:r>
      <w:r w:rsidR="0092796F" w:rsidRPr="00CD70B8">
        <w:rPr>
          <w:bCs/>
          <w:kern w:val="22"/>
          <w:szCs w:val="22"/>
        </w:rPr>
        <w:t xml:space="preserve">comprend, entre autres, des </w:t>
      </w:r>
      <w:r w:rsidRPr="00CD70B8">
        <w:rPr>
          <w:bCs/>
          <w:kern w:val="22"/>
          <w:szCs w:val="22"/>
        </w:rPr>
        <w:t xml:space="preserve">informations sur la </w:t>
      </w:r>
      <w:r w:rsidR="00104458" w:rsidRPr="00CD70B8">
        <w:rPr>
          <w:bCs/>
          <w:kern w:val="22"/>
          <w:szCs w:val="22"/>
        </w:rPr>
        <w:t xml:space="preserve">huitième </w:t>
      </w:r>
      <w:r w:rsidRPr="00CD70B8">
        <w:rPr>
          <w:bCs/>
          <w:kern w:val="22"/>
          <w:szCs w:val="22"/>
        </w:rPr>
        <w:t xml:space="preserve">reconstitution </w:t>
      </w:r>
      <w:r w:rsidR="0088511A" w:rsidRPr="00CD70B8">
        <w:rPr>
          <w:bCs/>
          <w:kern w:val="22"/>
          <w:szCs w:val="22"/>
        </w:rPr>
        <w:t xml:space="preserve">(juillet 2022 à juin 2026) </w:t>
      </w:r>
      <w:r w:rsidR="00A93EC6">
        <w:rPr>
          <w:bCs/>
          <w:kern w:val="22"/>
          <w:szCs w:val="22"/>
        </w:rPr>
        <w:t>des ressources</w:t>
      </w:r>
      <w:r w:rsidR="0088511A" w:rsidRPr="00CD70B8">
        <w:rPr>
          <w:bCs/>
          <w:kern w:val="22"/>
          <w:szCs w:val="22"/>
        </w:rPr>
        <w:t xml:space="preserve"> du FEM </w:t>
      </w:r>
      <w:r w:rsidR="008A70FA" w:rsidRPr="00CD70B8">
        <w:rPr>
          <w:bCs/>
          <w:kern w:val="22"/>
          <w:szCs w:val="22"/>
        </w:rPr>
        <w:t xml:space="preserve">(FEM-8) </w:t>
      </w:r>
      <w:r w:rsidR="0092796F" w:rsidRPr="00CD70B8">
        <w:rPr>
          <w:bCs/>
          <w:kern w:val="22"/>
          <w:szCs w:val="22"/>
        </w:rPr>
        <w:t xml:space="preserve">et la stratégie du FEM-8 en matière de biosécurité. La </w:t>
      </w:r>
      <w:r w:rsidRPr="00CD70B8">
        <w:rPr>
          <w:bCs/>
          <w:kern w:val="22"/>
          <w:szCs w:val="22"/>
        </w:rPr>
        <w:t xml:space="preserve">section III présente les conclusions </w:t>
      </w:r>
      <w:r w:rsidR="00DF6DED" w:rsidRPr="00CD70B8">
        <w:rPr>
          <w:bCs/>
          <w:kern w:val="22"/>
          <w:szCs w:val="22"/>
        </w:rPr>
        <w:t xml:space="preserve">et les principaux résultats du Comité d'examen du respect des dispositions </w:t>
      </w:r>
      <w:r w:rsidR="00FB6826" w:rsidRPr="00CD70B8">
        <w:rPr>
          <w:bCs/>
          <w:kern w:val="22"/>
          <w:szCs w:val="22"/>
        </w:rPr>
        <w:t xml:space="preserve">du </w:t>
      </w:r>
      <w:r w:rsidR="00FF7B3A">
        <w:rPr>
          <w:bCs/>
          <w:kern w:val="22"/>
          <w:szCs w:val="22"/>
        </w:rPr>
        <w:t>Protocole de Cartagena</w:t>
      </w:r>
      <w:r w:rsidR="00DF6DED" w:rsidRPr="00CD70B8">
        <w:rPr>
          <w:bCs/>
          <w:kern w:val="22"/>
          <w:szCs w:val="22"/>
        </w:rPr>
        <w:t xml:space="preserve"> </w:t>
      </w:r>
      <w:r w:rsidR="0092796F" w:rsidRPr="00CD70B8">
        <w:rPr>
          <w:bCs/>
          <w:kern w:val="22"/>
          <w:szCs w:val="22"/>
        </w:rPr>
        <w:t xml:space="preserve">; </w:t>
      </w:r>
      <w:r w:rsidRPr="00CD70B8">
        <w:rPr>
          <w:bCs/>
          <w:kern w:val="22"/>
          <w:szCs w:val="22"/>
        </w:rPr>
        <w:t>et la section IV expose les éléments d'</w:t>
      </w:r>
      <w:r w:rsidR="00604945" w:rsidRPr="00CD70B8">
        <w:rPr>
          <w:bCs/>
          <w:kern w:val="22"/>
          <w:szCs w:val="22"/>
        </w:rPr>
        <w:t xml:space="preserve">un </w:t>
      </w:r>
      <w:r w:rsidRPr="00CD70B8">
        <w:rPr>
          <w:bCs/>
          <w:kern w:val="22"/>
          <w:szCs w:val="22"/>
        </w:rPr>
        <w:t>projet de décision.</w:t>
      </w:r>
      <w:r w:rsidRPr="00CD70B8">
        <w:rPr>
          <w:bCs/>
          <w:kern w:val="22"/>
          <w:szCs w:val="22"/>
        </w:rPr>
        <w:t xml:space="preserve"> </w:t>
      </w:r>
    </w:p>
    <w:p w14:paraId="20924283" w14:textId="744C0260" w:rsidR="005F6CCB" w:rsidRPr="00CD70B8" w:rsidRDefault="002B0CCA">
      <w:pPr>
        <w:pStyle w:val="Para1"/>
        <w:keepNext/>
        <w:numPr>
          <w:ilvl w:val="0"/>
          <w:numId w:val="0"/>
        </w:numPr>
        <w:suppressLineNumbers/>
        <w:suppressAutoHyphens/>
        <w:kinsoku w:val="0"/>
        <w:overflowPunct w:val="0"/>
        <w:autoSpaceDE w:val="0"/>
        <w:autoSpaceDN w:val="0"/>
        <w:snapToGrid w:val="0"/>
        <w:spacing w:before="240"/>
        <w:jc w:val="center"/>
        <w:outlineLvl w:val="0"/>
        <w:rPr>
          <w:rFonts w:ascii="Times New Roman Bold" w:hAnsi="Times New Roman Bold"/>
        </w:rPr>
      </w:pPr>
      <w:r w:rsidRPr="00CD70B8">
        <w:rPr>
          <w:rFonts w:ascii="Times New Roman Bold" w:hAnsi="Times New Roman Bold"/>
          <w:b/>
          <w:caps/>
        </w:rPr>
        <w:t>II.</w:t>
      </w:r>
      <w:r w:rsidRPr="00CD70B8">
        <w:rPr>
          <w:rFonts w:ascii="Times New Roman Bold" w:hAnsi="Times New Roman Bold"/>
          <w:b/>
          <w:caps/>
        </w:rPr>
        <w:tab/>
        <w:t>mécanisme financier</w:t>
      </w:r>
    </w:p>
    <w:p w14:paraId="260E5D01" w14:textId="0FA88317" w:rsidR="005F6CCB" w:rsidRPr="00CD70B8" w:rsidRDefault="002B0CCA">
      <w:pPr>
        <w:pStyle w:val="Para1"/>
        <w:keepNext/>
        <w:numPr>
          <w:ilvl w:val="0"/>
          <w:numId w:val="0"/>
        </w:numPr>
        <w:suppressLineNumbers/>
        <w:suppressAutoHyphens/>
        <w:kinsoku w:val="0"/>
        <w:overflowPunct w:val="0"/>
        <w:autoSpaceDE w:val="0"/>
        <w:autoSpaceDN w:val="0"/>
        <w:snapToGrid w:val="0"/>
        <w:jc w:val="center"/>
        <w:outlineLvl w:val="1"/>
      </w:pPr>
      <w:bookmarkStart w:id="0" w:name="_Hlk525199493"/>
      <w:r w:rsidRPr="00CD70B8">
        <w:rPr>
          <w:b/>
        </w:rPr>
        <w:t>A.</w:t>
      </w:r>
      <w:r w:rsidRPr="00CD70B8">
        <w:rPr>
          <w:b/>
        </w:rPr>
        <w:tab/>
      </w:r>
      <w:r w:rsidR="009B3811" w:rsidRPr="00CD70B8">
        <w:rPr>
          <w:b/>
        </w:rPr>
        <w:t>Appui</w:t>
      </w:r>
      <w:r w:rsidR="002A2540" w:rsidRPr="00CD70B8">
        <w:rPr>
          <w:b/>
        </w:rPr>
        <w:t xml:space="preserve"> du </w:t>
      </w:r>
      <w:r w:rsidR="00B038A5" w:rsidRPr="00CD70B8">
        <w:rPr>
          <w:b/>
        </w:rPr>
        <w:t xml:space="preserve">FEM </w:t>
      </w:r>
      <w:r w:rsidR="009B3811" w:rsidRPr="00CD70B8">
        <w:rPr>
          <w:b/>
        </w:rPr>
        <w:t>en matière de</w:t>
      </w:r>
      <w:r w:rsidR="00B038A5" w:rsidRPr="00CD70B8">
        <w:rPr>
          <w:b/>
        </w:rPr>
        <w:t xml:space="preserve"> biosécurité </w:t>
      </w:r>
      <w:r w:rsidR="00A93EC6">
        <w:rPr>
          <w:b/>
        </w:rPr>
        <w:t>au titre de</w:t>
      </w:r>
      <w:r w:rsidR="006D7171" w:rsidRPr="00CD70B8">
        <w:rPr>
          <w:b/>
        </w:rPr>
        <w:t xml:space="preserve"> </w:t>
      </w:r>
      <w:r w:rsidR="00A93EC6">
        <w:rPr>
          <w:b/>
        </w:rPr>
        <w:t>la</w:t>
      </w:r>
      <w:r w:rsidR="006D7171" w:rsidRPr="00CD70B8">
        <w:rPr>
          <w:b/>
        </w:rPr>
        <w:t xml:space="preserve"> septième reconstitution, 2018-2022</w:t>
      </w:r>
    </w:p>
    <w:p w14:paraId="1012B8CC" w14:textId="444E792F"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pPr>
      <w:r w:rsidRPr="00CD70B8">
        <w:t xml:space="preserve">Pour la </w:t>
      </w:r>
      <w:r w:rsidRPr="00CD70B8">
        <w:rPr>
          <w:bCs/>
          <w:kern w:val="22"/>
          <w:szCs w:val="22"/>
        </w:rPr>
        <w:t xml:space="preserve">période </w:t>
      </w:r>
      <w:r w:rsidRPr="00CD70B8">
        <w:t xml:space="preserve">FEM-7, un total de 1,29 milliard de dollars </w:t>
      </w:r>
      <w:r w:rsidR="001C07A7" w:rsidRPr="00CD70B8">
        <w:t xml:space="preserve">a été </w:t>
      </w:r>
      <w:r w:rsidRPr="00CD70B8">
        <w:t xml:space="preserve">alloué au domaine d'intervention biodiversité, dont 1,03 milliard de dollars </w:t>
      </w:r>
      <w:r w:rsidR="007131DC" w:rsidRPr="00CD70B8">
        <w:t xml:space="preserve">a été </w:t>
      </w:r>
      <w:r w:rsidRPr="00CD70B8">
        <w:t xml:space="preserve">fourni aux pays par le biais du Système d'allocation </w:t>
      </w:r>
      <w:r w:rsidRPr="00CD70B8">
        <w:lastRenderedPageBreak/>
        <w:t>transparente des ressources (STAR).</w:t>
      </w:r>
      <w:r w:rsidR="00E21F01" w:rsidRPr="00CD70B8">
        <w:rPr>
          <w:rStyle w:val="FootnoteReference"/>
        </w:rPr>
        <w:footnoteReference w:id="1"/>
      </w:r>
      <w:r w:rsidR="008D75D5" w:rsidRPr="00CD70B8">
        <w:t xml:space="preserve"> Sur la </w:t>
      </w:r>
      <w:r w:rsidR="00EB233A" w:rsidRPr="00CD70B8">
        <w:t>reconstitution totale (4,4 milliards de dollars)</w:t>
      </w:r>
      <w:r w:rsidR="00D36E91" w:rsidRPr="00CD70B8">
        <w:t xml:space="preserve">, </w:t>
      </w:r>
      <w:r w:rsidR="00584753" w:rsidRPr="00CD70B8">
        <w:t xml:space="preserve">0,2 </w:t>
      </w:r>
      <w:r w:rsidR="00F51164" w:rsidRPr="00CD70B8">
        <w:t xml:space="preserve">% </w:t>
      </w:r>
      <w:r w:rsidR="00584753" w:rsidRPr="00CD70B8">
        <w:t>(8 millions de dollars</w:t>
      </w:r>
      <w:r w:rsidR="00F51164" w:rsidRPr="00CD70B8">
        <w:t>)</w:t>
      </w:r>
      <w:r w:rsidR="00584753" w:rsidRPr="00CD70B8">
        <w:rPr>
          <w:rStyle w:val="FootnoteReference"/>
        </w:rPr>
        <w:footnoteReference w:id="2"/>
      </w:r>
      <w:r w:rsidR="008D75D5" w:rsidRPr="00CD70B8">
        <w:t xml:space="preserve"> a été alloué à </w:t>
      </w:r>
      <w:r w:rsidR="002E6E26" w:rsidRPr="00CD70B8">
        <w:t xml:space="preserve">titre indicatif pour </w:t>
      </w:r>
      <w:r w:rsidR="007131DC" w:rsidRPr="00CD70B8">
        <w:t xml:space="preserve">soutenir la mise en œuvre </w:t>
      </w:r>
      <w:r w:rsidR="008D75D5" w:rsidRPr="00CD70B8">
        <w:t xml:space="preserve">du Protocole de Cartagena. La </w:t>
      </w:r>
      <w:r w:rsidR="008035A8" w:rsidRPr="00CD70B8">
        <w:t xml:space="preserve">stratégie du FEM-7 comprenait également un soutien à la ratification et à la mise en œuvre du Protocole additionnel de Nagoya </w:t>
      </w:r>
      <w:r w:rsidR="00172BB1" w:rsidRPr="00CD70B8">
        <w:rPr>
          <w:kern w:val="22"/>
        </w:rPr>
        <w:t xml:space="preserve">- </w:t>
      </w:r>
      <w:r w:rsidR="008035A8" w:rsidRPr="00CD70B8">
        <w:t xml:space="preserve">Kuala Lumpur sur la responsabilité et la réparation </w:t>
      </w:r>
      <w:r w:rsidR="00A93EC6">
        <w:t>relatif au</w:t>
      </w:r>
      <w:r w:rsidR="008035A8" w:rsidRPr="00CD70B8">
        <w:t xml:space="preserve"> </w:t>
      </w:r>
      <w:r w:rsidR="00A03D42" w:rsidRPr="00CD70B8">
        <w:t>Protocole de Cartagena.</w:t>
      </w:r>
    </w:p>
    <w:p w14:paraId="39481DE3" w14:textId="314C416B"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pPr>
      <w:r w:rsidRPr="00CD70B8">
        <w:t xml:space="preserve">Le soutien </w:t>
      </w:r>
      <w:r w:rsidRPr="00CD70B8">
        <w:rPr>
          <w:bCs/>
          <w:kern w:val="22"/>
          <w:szCs w:val="22"/>
        </w:rPr>
        <w:t xml:space="preserve">à la </w:t>
      </w:r>
      <w:r w:rsidRPr="00CD70B8">
        <w:t xml:space="preserve">mise en œuvre du Protocole de Cartagena </w:t>
      </w:r>
      <w:r w:rsidR="007131DC" w:rsidRPr="00CD70B8">
        <w:t xml:space="preserve">a été </w:t>
      </w:r>
      <w:r w:rsidR="00A93EC6">
        <w:t>assuré</w:t>
      </w:r>
      <w:r w:rsidRPr="00CD70B8">
        <w:t xml:space="preserve"> </w:t>
      </w:r>
      <w:r w:rsidR="00A93EC6">
        <w:t>dans le cadre</w:t>
      </w:r>
      <w:r w:rsidRPr="00CD70B8">
        <w:t xml:space="preserve"> de l'</w:t>
      </w:r>
      <w:r w:rsidRPr="00CD70B8">
        <w:rPr>
          <w:bCs/>
        </w:rPr>
        <w:t xml:space="preserve">objectif 3 </w:t>
      </w:r>
      <w:r w:rsidR="007131DC" w:rsidRPr="00CD70B8">
        <w:rPr>
          <w:bCs/>
        </w:rPr>
        <w:t xml:space="preserve">du domaine d'intervention biodiversité du FEM-7, qui vise à </w:t>
      </w:r>
      <w:r w:rsidRPr="00CD70B8">
        <w:rPr>
          <w:bCs/>
        </w:rPr>
        <w:t>poursuivre l'élaboration de cadres politiques et institutionnels en matière de biodiversité</w:t>
      </w:r>
      <w:r w:rsidR="0014688E" w:rsidRPr="00CD70B8">
        <w:rPr>
          <w:bCs/>
        </w:rPr>
        <w:t xml:space="preserve">. </w:t>
      </w:r>
      <w:r w:rsidRPr="00CD70B8">
        <w:t xml:space="preserve">Au cours de la période couverte </w:t>
      </w:r>
      <w:r w:rsidR="007131DC" w:rsidRPr="00CD70B8">
        <w:t xml:space="preserve">par le rapport du FEM à la </w:t>
      </w:r>
      <w:r w:rsidR="003B7A1A" w:rsidRPr="00CD70B8">
        <w:t xml:space="preserve">quinzième réunion de la Conférence des Parties </w:t>
      </w:r>
      <w:r w:rsidRPr="00CD70B8">
        <w:t>(du 1er juillet 2018 au 31 décembre 2021</w:t>
      </w:r>
      <w:r w:rsidR="0014688E" w:rsidRPr="00CD70B8">
        <w:t xml:space="preserve">), un </w:t>
      </w:r>
      <w:r w:rsidRPr="00CD70B8">
        <w:t xml:space="preserve">projet régional </w:t>
      </w:r>
      <w:r w:rsidR="00A93EC6">
        <w:t>concernant</w:t>
      </w:r>
      <w:r w:rsidRPr="00CD70B8">
        <w:t xml:space="preserve"> trois pays (</w:t>
      </w:r>
      <w:r w:rsidR="001D4FBE" w:rsidRPr="00CD70B8">
        <w:t xml:space="preserve">République démocratique du </w:t>
      </w:r>
      <w:r w:rsidRPr="00CD70B8">
        <w:t xml:space="preserve">Congo, Madagascar et Namibie) et un projet national (République kirghize) </w:t>
      </w:r>
      <w:r w:rsidR="007131DC" w:rsidRPr="00CD70B8">
        <w:t xml:space="preserve">ont été </w:t>
      </w:r>
      <w:r w:rsidRPr="00CD70B8">
        <w:t xml:space="preserve">présentés </w:t>
      </w:r>
      <w:r w:rsidR="00A93EC6">
        <w:t xml:space="preserve">dans le cadre de l’appui à </w:t>
      </w:r>
      <w:r w:rsidRPr="00CD70B8">
        <w:t xml:space="preserve">la mise en œuvre du </w:t>
      </w:r>
      <w:r w:rsidR="00FF7B3A">
        <w:t>Protocole de Cartagena</w:t>
      </w:r>
      <w:r w:rsidRPr="00CD70B8">
        <w:t>. Le FEM a investi 5,3 millions de dollars</w:t>
      </w:r>
      <w:r w:rsidR="001D4FBE" w:rsidRPr="00CD70B8">
        <w:t xml:space="preserve">, </w:t>
      </w:r>
      <w:r w:rsidRPr="00CD70B8">
        <w:t xml:space="preserve">ce qui a permis de mobiliser 13,3 millions de dollars en cofinancement. </w:t>
      </w:r>
    </w:p>
    <w:p w14:paraId="1EAF54A6" w14:textId="72DCE2DE"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pPr>
      <w:r w:rsidRPr="00CD70B8">
        <w:t xml:space="preserve">Au total, </w:t>
      </w:r>
      <w:r w:rsidR="0043269C" w:rsidRPr="00CD70B8">
        <w:t xml:space="preserve">99 pays ont reçu un </w:t>
      </w:r>
      <w:r w:rsidR="00A93EC6">
        <w:t>appui</w:t>
      </w:r>
      <w:r w:rsidR="0043269C" w:rsidRPr="00CD70B8">
        <w:t xml:space="preserve"> pour </w:t>
      </w:r>
      <w:r w:rsidR="00E66946">
        <w:t>élaborer</w:t>
      </w:r>
      <w:r w:rsidR="007131DC" w:rsidRPr="00CD70B8">
        <w:t xml:space="preserve"> et </w:t>
      </w:r>
      <w:r w:rsidR="0043269C" w:rsidRPr="00CD70B8">
        <w:t xml:space="preserve">soumettre leur quatrième rapport national </w:t>
      </w:r>
      <w:r w:rsidR="009E5A23" w:rsidRPr="00CD70B8">
        <w:t xml:space="preserve">au titre du </w:t>
      </w:r>
      <w:r w:rsidR="00FF7B3A">
        <w:t>Protocole de Cartagena</w:t>
      </w:r>
      <w:r w:rsidR="0043269C" w:rsidRPr="00CD70B8">
        <w:t xml:space="preserve">. Le </w:t>
      </w:r>
      <w:r w:rsidR="00862696" w:rsidRPr="00CD70B8">
        <w:t xml:space="preserve">FEM a fourni </w:t>
      </w:r>
      <w:r w:rsidR="00D62490" w:rsidRPr="00CD70B8">
        <w:t xml:space="preserve">ce </w:t>
      </w:r>
      <w:r w:rsidR="00862696" w:rsidRPr="00CD70B8">
        <w:t xml:space="preserve">financement par le biais de deux projets parapluie régionaux pour les quatrièmes rapports nationaux, </w:t>
      </w:r>
      <w:r w:rsidR="00FF7B3A">
        <w:t>« </w:t>
      </w:r>
      <w:r w:rsidR="00862696" w:rsidRPr="00CD70B8">
        <w:rPr>
          <w:i/>
          <w:iCs/>
        </w:rPr>
        <w:t xml:space="preserve">Support to Preparation of the </w:t>
      </w:r>
      <w:r w:rsidR="001F6535" w:rsidRPr="00CD70B8">
        <w:rPr>
          <w:i/>
          <w:iCs/>
        </w:rPr>
        <w:t xml:space="preserve">Fourth </w:t>
      </w:r>
      <w:r w:rsidR="00862696" w:rsidRPr="00CD70B8">
        <w:rPr>
          <w:i/>
          <w:iCs/>
        </w:rPr>
        <w:t>National Biosafety Reports to the Cartagena Protocol on Biosafety</w:t>
      </w:r>
      <w:r w:rsidR="00FF7B3A">
        <w:t> »</w:t>
      </w:r>
      <w:r w:rsidR="00862696" w:rsidRPr="00CD70B8">
        <w:t xml:space="preserve"> (</w:t>
      </w:r>
      <w:r w:rsidR="006E13C6" w:rsidRPr="00CD70B8">
        <w:t>couvrant ensemble l'</w:t>
      </w:r>
      <w:r w:rsidR="00862696" w:rsidRPr="00CD70B8">
        <w:t>Amérique latine et les Caraïbes, l'Europe centrale et orientale</w:t>
      </w:r>
      <w:r w:rsidR="00E279A9" w:rsidRPr="00CD70B8">
        <w:t>, l'</w:t>
      </w:r>
      <w:r w:rsidR="00862696" w:rsidRPr="00CD70B8">
        <w:t xml:space="preserve">Afrique et l'Asie-Pacifique) pour un montant total de subvention du FEM de </w:t>
      </w:r>
      <w:r w:rsidR="00FD5AB2" w:rsidRPr="00CD70B8">
        <w:t xml:space="preserve">2,7 </w:t>
      </w:r>
      <w:r w:rsidR="00862696" w:rsidRPr="00CD70B8">
        <w:t xml:space="preserve">millions de dollars qui a permis de mobiliser </w:t>
      </w:r>
      <w:r w:rsidR="00FD5AB2" w:rsidRPr="00CD70B8">
        <w:t xml:space="preserve">2,35 </w:t>
      </w:r>
      <w:r w:rsidR="00862696" w:rsidRPr="00CD70B8">
        <w:t xml:space="preserve">millions de dollars supplémentaires en cofinancement. </w:t>
      </w:r>
    </w:p>
    <w:p w14:paraId="474F2D36" w14:textId="77777777" w:rsidR="005F6CCB" w:rsidRPr="00CD70B8" w:rsidRDefault="002B0CCA">
      <w:pPr>
        <w:pStyle w:val="Para1"/>
        <w:keepNext/>
        <w:numPr>
          <w:ilvl w:val="0"/>
          <w:numId w:val="0"/>
        </w:numPr>
        <w:suppressLineNumbers/>
        <w:suppressAutoHyphens/>
        <w:kinsoku w:val="0"/>
        <w:overflowPunct w:val="0"/>
        <w:autoSpaceDE w:val="0"/>
        <w:autoSpaceDN w:val="0"/>
        <w:snapToGrid w:val="0"/>
        <w:ind w:left="1440" w:hanging="720"/>
        <w:jc w:val="left"/>
        <w:outlineLvl w:val="1"/>
      </w:pPr>
      <w:bookmarkStart w:id="1" w:name="_Hlk111138497"/>
      <w:bookmarkEnd w:id="0"/>
      <w:r w:rsidRPr="00CD70B8">
        <w:rPr>
          <w:b/>
        </w:rPr>
        <w:t>B.</w:t>
      </w:r>
      <w:r w:rsidRPr="00CD70B8">
        <w:rPr>
          <w:b/>
        </w:rPr>
        <w:tab/>
      </w:r>
      <w:r w:rsidR="00A72C1F" w:rsidRPr="00CD70B8">
        <w:rPr>
          <w:b/>
        </w:rPr>
        <w:t xml:space="preserve">Orientations de la Conférence des Parties </w:t>
      </w:r>
      <w:r w:rsidR="006D7171" w:rsidRPr="00CD70B8">
        <w:rPr>
          <w:b/>
        </w:rPr>
        <w:t xml:space="preserve">au </w:t>
      </w:r>
      <w:r w:rsidR="00A72C1F" w:rsidRPr="00CD70B8">
        <w:rPr>
          <w:b/>
        </w:rPr>
        <w:t>Fonds pour l'environnement mondial</w:t>
      </w:r>
      <w:bookmarkEnd w:id="1"/>
      <w:r w:rsidR="00A72C1F" w:rsidRPr="00CD70B8">
        <w:rPr>
          <w:b/>
        </w:rPr>
        <w:t xml:space="preserve"> </w:t>
      </w:r>
    </w:p>
    <w:p w14:paraId="43864057" w14:textId="188161DE"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rFonts w:asciiTheme="majorBidi" w:eastAsia="MS Mincho" w:hAnsiTheme="majorBidi" w:cstheme="majorBidi"/>
          <w:color w:val="000000"/>
          <w:kern w:val="22"/>
        </w:rPr>
      </w:pPr>
      <w:r w:rsidRPr="00CD70B8">
        <w:rPr>
          <w:rFonts w:asciiTheme="majorBidi" w:eastAsia="MS Mincho" w:hAnsiTheme="majorBidi" w:cstheme="majorBidi"/>
          <w:color w:val="000000"/>
          <w:kern w:val="22"/>
        </w:rPr>
        <w:t xml:space="preserve">Conformément à la décision </w:t>
      </w:r>
      <w:hyperlink r:id="rId16" w:history="1">
        <w:r w:rsidRPr="00CD70B8">
          <w:rPr>
            <w:rStyle w:val="Hyperlink"/>
            <w:rFonts w:asciiTheme="majorBidi" w:eastAsia="MS Mincho" w:hAnsiTheme="majorBidi" w:cstheme="majorBidi"/>
            <w:kern w:val="22"/>
            <w:sz w:val="22"/>
          </w:rPr>
          <w:t>14/23</w:t>
        </w:r>
      </w:hyperlink>
      <w:r w:rsidR="008B3D7D" w:rsidRPr="00CD70B8">
        <w:rPr>
          <w:rFonts w:asciiTheme="majorBidi" w:eastAsia="MS Mincho" w:hAnsiTheme="majorBidi" w:cstheme="majorBidi"/>
          <w:color w:val="000000"/>
          <w:kern w:val="22"/>
        </w:rPr>
        <w:t xml:space="preserve"> (para. 17), </w:t>
      </w:r>
      <w:r w:rsidRPr="00CD70B8">
        <w:rPr>
          <w:rFonts w:asciiTheme="majorBidi" w:eastAsia="MS Mincho" w:hAnsiTheme="majorBidi" w:cstheme="majorBidi"/>
          <w:color w:val="000000"/>
          <w:kern w:val="22"/>
        </w:rPr>
        <w:t xml:space="preserve">l'Organe subsidiaire chargé de l'application, à sa troisième réunion, a </w:t>
      </w:r>
      <w:r w:rsidR="00E66946">
        <w:rPr>
          <w:rFonts w:asciiTheme="majorBidi" w:eastAsia="MS Mincho" w:hAnsiTheme="majorBidi" w:cstheme="majorBidi"/>
          <w:color w:val="000000"/>
          <w:kern w:val="22"/>
        </w:rPr>
        <w:t>élaboré</w:t>
      </w:r>
      <w:r w:rsidRPr="00CD70B8">
        <w:rPr>
          <w:rFonts w:asciiTheme="majorBidi" w:eastAsia="MS Mincho" w:hAnsiTheme="majorBidi" w:cstheme="majorBidi"/>
          <w:color w:val="000000"/>
          <w:kern w:val="22"/>
        </w:rPr>
        <w:t xml:space="preserve"> des propositions pour un</w:t>
      </w:r>
      <w:bookmarkStart w:id="2" w:name="_Hlk111139560"/>
      <w:r w:rsidRPr="00CD70B8">
        <w:rPr>
          <w:rFonts w:asciiTheme="majorBidi" w:eastAsia="MS Mincho" w:hAnsiTheme="majorBidi" w:cstheme="majorBidi"/>
          <w:color w:val="000000"/>
          <w:kern w:val="22"/>
        </w:rPr>
        <w:t xml:space="preserve"> cadre quadriennal de priorités de programme axées sur les résultats pour la huitième période de </w:t>
      </w:r>
      <w:r w:rsidR="00A93EC6">
        <w:rPr>
          <w:rFonts w:asciiTheme="majorBidi" w:eastAsia="MS Mincho" w:hAnsiTheme="majorBidi" w:cstheme="majorBidi"/>
          <w:color w:val="000000"/>
          <w:kern w:val="22"/>
        </w:rPr>
        <w:t>reconstitution des ressources du FEM</w:t>
      </w:r>
      <w:bookmarkEnd w:id="2"/>
      <w:r w:rsidRPr="00CD70B8">
        <w:rPr>
          <w:rFonts w:asciiTheme="majorBidi" w:eastAsia="MS Mincho" w:hAnsiTheme="majorBidi" w:cstheme="majorBidi"/>
          <w:color w:val="000000"/>
          <w:kern w:val="22"/>
        </w:rPr>
        <w:t xml:space="preserve"> pour la Conv</w:t>
      </w:r>
      <w:r w:rsidRPr="00CD70B8">
        <w:rPr>
          <w:rFonts w:asciiTheme="majorBidi" w:eastAsia="MS Mincho" w:hAnsiTheme="majorBidi" w:cstheme="majorBidi"/>
          <w:color w:val="000000"/>
          <w:kern w:val="22"/>
        </w:rPr>
        <w:t>ention et ses Protocoles,</w:t>
      </w:r>
      <w:r w:rsidR="006D5A05" w:rsidRPr="00CD70B8">
        <w:rPr>
          <w:rStyle w:val="FootnoteReference"/>
          <w:rFonts w:asciiTheme="majorBidi" w:eastAsia="MS Mincho" w:hAnsiTheme="majorBidi" w:cstheme="majorBidi"/>
          <w:color w:val="000000"/>
          <w:kern w:val="22"/>
        </w:rPr>
        <w:footnoteReference w:id="3"/>
      </w:r>
      <w:r w:rsidRPr="00CD70B8">
        <w:rPr>
          <w:rFonts w:asciiTheme="majorBidi" w:eastAsia="MS Mincho" w:hAnsiTheme="majorBidi" w:cstheme="majorBidi"/>
          <w:color w:val="000000"/>
          <w:kern w:val="22"/>
        </w:rPr>
        <w:t xml:space="preserve"> aligné sur le projet de cadre mondial de la biodiversité pour l'après-2020. </w:t>
      </w:r>
      <w:r w:rsidR="008B3D7D" w:rsidRPr="00CD70B8">
        <w:rPr>
          <w:rFonts w:asciiTheme="majorBidi" w:eastAsia="MS Mincho" w:hAnsiTheme="majorBidi" w:cstheme="majorBidi"/>
          <w:color w:val="000000"/>
          <w:kern w:val="22"/>
        </w:rPr>
        <w:t>Conformément à la même décision (paragraphe 16), l'</w:t>
      </w:r>
      <w:r w:rsidRPr="00CD70B8">
        <w:rPr>
          <w:rFonts w:asciiTheme="majorBidi" w:eastAsia="MS Mincho" w:hAnsiTheme="majorBidi" w:cstheme="majorBidi"/>
          <w:color w:val="000000"/>
          <w:kern w:val="22"/>
        </w:rPr>
        <w:t xml:space="preserve">Organe subsidiaire a également examiné l'estimation des besoins de financement et d'investissement des Parties éligibles pour la huitième période de </w:t>
      </w:r>
      <w:r w:rsidR="00A93EC6">
        <w:rPr>
          <w:rFonts w:asciiTheme="majorBidi" w:eastAsia="MS Mincho" w:hAnsiTheme="majorBidi" w:cstheme="majorBidi"/>
          <w:color w:val="000000"/>
          <w:kern w:val="22"/>
        </w:rPr>
        <w:t>reconstitution des ressources du FEM</w:t>
      </w:r>
      <w:r w:rsidRPr="00CD70B8">
        <w:rPr>
          <w:rFonts w:asciiTheme="majorBidi" w:eastAsia="MS Mincho" w:hAnsiTheme="majorBidi" w:cstheme="majorBidi"/>
          <w:color w:val="000000"/>
          <w:kern w:val="22"/>
        </w:rPr>
        <w:t xml:space="preserve">. </w:t>
      </w:r>
      <w:r w:rsidR="0008465D" w:rsidRPr="00CD70B8">
        <w:rPr>
          <w:rFonts w:asciiTheme="majorBidi" w:eastAsia="MS Mincho" w:hAnsiTheme="majorBidi" w:cstheme="majorBidi"/>
          <w:color w:val="000000"/>
          <w:kern w:val="22"/>
        </w:rPr>
        <w:t xml:space="preserve">En outre, l'Organe subsidiaire a examiné un projet de mandat pour un sixième examen de l'efficacité du mécanisme financier (voir la sous-section D ci-dessous). </w:t>
      </w:r>
      <w:r w:rsidR="00261B1B" w:rsidRPr="00CD70B8">
        <w:rPr>
          <w:rFonts w:asciiTheme="majorBidi" w:eastAsia="MS Mincho" w:hAnsiTheme="majorBidi" w:cstheme="majorBidi"/>
          <w:color w:val="000000"/>
          <w:kern w:val="22"/>
        </w:rPr>
        <w:t xml:space="preserve">À sa troisième réunion, </w:t>
      </w:r>
      <w:r w:rsidRPr="00CD70B8">
        <w:rPr>
          <w:rFonts w:asciiTheme="majorBidi" w:eastAsia="MS Mincho" w:hAnsiTheme="majorBidi" w:cstheme="majorBidi"/>
          <w:color w:val="000000"/>
          <w:kern w:val="22"/>
        </w:rPr>
        <w:t xml:space="preserve">l'Organe subsidiaire chargé de l'application a adopté une recommandation portant sur ces éléments </w:t>
      </w:r>
      <w:r w:rsidRPr="00CD70B8">
        <w:rPr>
          <w:rFonts w:asciiTheme="majorBidi" w:eastAsia="MS Mincho" w:hAnsiTheme="majorBidi" w:cstheme="majorBidi"/>
          <w:bCs/>
          <w:color w:val="000000"/>
          <w:kern w:val="22"/>
        </w:rPr>
        <w:t>pour examen par la Conférence des Parties à</w:t>
      </w:r>
      <w:r w:rsidRPr="00CD70B8">
        <w:rPr>
          <w:rFonts w:asciiTheme="majorBidi" w:eastAsia="MS Mincho" w:hAnsiTheme="majorBidi" w:cstheme="majorBidi"/>
          <w:bCs/>
          <w:color w:val="000000"/>
          <w:kern w:val="22"/>
        </w:rPr>
        <w:t xml:space="preserve"> sa quinzième réunion </w:t>
      </w:r>
      <w:r w:rsidRPr="00CD70B8">
        <w:rPr>
          <w:rFonts w:asciiTheme="majorBidi" w:eastAsia="MS Mincho" w:hAnsiTheme="majorBidi" w:cstheme="majorBidi"/>
          <w:color w:val="000000"/>
          <w:kern w:val="22"/>
        </w:rPr>
        <w:t xml:space="preserve">(recommandation </w:t>
      </w:r>
      <w:hyperlink r:id="rId17" w:history="1">
        <w:r w:rsidRPr="00CD70B8">
          <w:rPr>
            <w:rStyle w:val="Hyperlink"/>
            <w:rFonts w:asciiTheme="majorBidi" w:eastAsia="MS Mincho" w:hAnsiTheme="majorBidi" w:cstheme="majorBidi"/>
            <w:kern w:val="22"/>
            <w:sz w:val="22"/>
          </w:rPr>
          <w:t>3/7</w:t>
        </w:r>
      </w:hyperlink>
      <w:r w:rsidRPr="00CD70B8">
        <w:rPr>
          <w:rFonts w:asciiTheme="majorBidi" w:eastAsia="MS Mincho" w:hAnsiTheme="majorBidi" w:cstheme="majorBidi"/>
          <w:color w:val="000000"/>
          <w:kern w:val="22"/>
        </w:rPr>
        <w:t>).</w:t>
      </w:r>
    </w:p>
    <w:p w14:paraId="105F2DA3" w14:textId="197CD5CE"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rFonts w:asciiTheme="majorBidi" w:eastAsia="MS Mincho" w:hAnsiTheme="majorBidi" w:cstheme="majorBidi"/>
          <w:color w:val="000000"/>
          <w:kern w:val="22"/>
        </w:rPr>
      </w:pPr>
      <w:r w:rsidRPr="00CD70B8">
        <w:rPr>
          <w:iCs/>
          <w:szCs w:val="22"/>
        </w:rPr>
        <w:t xml:space="preserve">Le </w:t>
      </w:r>
      <w:r w:rsidR="00E955B0" w:rsidRPr="00CD70B8">
        <w:rPr>
          <w:iCs/>
          <w:szCs w:val="22"/>
        </w:rPr>
        <w:t xml:space="preserve">projet de </w:t>
      </w:r>
      <w:r w:rsidRPr="00CD70B8">
        <w:rPr>
          <w:iCs/>
          <w:szCs w:val="22"/>
        </w:rPr>
        <w:t xml:space="preserve">cadre quadriennal </w:t>
      </w:r>
      <w:r w:rsidRPr="00CD70B8">
        <w:rPr>
          <w:bCs/>
          <w:kern w:val="22"/>
          <w:szCs w:val="22"/>
        </w:rPr>
        <w:t xml:space="preserve">axé sur les résultats </w:t>
      </w:r>
      <w:r w:rsidRPr="00CD70B8">
        <w:rPr>
          <w:iCs/>
          <w:szCs w:val="22"/>
        </w:rPr>
        <w:t xml:space="preserve">des priorités du programme pour la </w:t>
      </w:r>
      <w:r w:rsidR="00291ED8" w:rsidRPr="00CD70B8">
        <w:rPr>
          <w:iCs/>
          <w:szCs w:val="22"/>
        </w:rPr>
        <w:t xml:space="preserve">huitième </w:t>
      </w:r>
      <w:r w:rsidRPr="00CD70B8">
        <w:rPr>
          <w:iCs/>
          <w:szCs w:val="22"/>
        </w:rPr>
        <w:t xml:space="preserve">période de </w:t>
      </w:r>
      <w:r w:rsidR="00291ED8" w:rsidRPr="00CD70B8">
        <w:rPr>
          <w:iCs/>
          <w:szCs w:val="22"/>
        </w:rPr>
        <w:t xml:space="preserve">reconstitution </w:t>
      </w:r>
      <w:r w:rsidR="00DB57F0" w:rsidRPr="00CD70B8">
        <w:rPr>
          <w:iCs/>
          <w:szCs w:val="22"/>
        </w:rPr>
        <w:t>(</w:t>
      </w:r>
      <w:r w:rsidRPr="00CD70B8">
        <w:rPr>
          <w:iCs/>
          <w:szCs w:val="22"/>
        </w:rPr>
        <w:t>2022-2026</w:t>
      </w:r>
      <w:r w:rsidR="00DB57F0" w:rsidRPr="00CD70B8">
        <w:rPr>
          <w:iCs/>
          <w:szCs w:val="22"/>
        </w:rPr>
        <w:t xml:space="preserve">) </w:t>
      </w:r>
      <w:r w:rsidRPr="00CD70B8">
        <w:rPr>
          <w:iCs/>
          <w:szCs w:val="22"/>
        </w:rPr>
        <w:t xml:space="preserve">comprend des éléments visant à répondre au plan de mise en œuvre </w:t>
      </w:r>
      <w:r w:rsidR="006E6F29" w:rsidRPr="00CD70B8">
        <w:rPr>
          <w:iCs/>
          <w:szCs w:val="22"/>
        </w:rPr>
        <w:t xml:space="preserve">proposé </w:t>
      </w:r>
      <w:r w:rsidRPr="00CD70B8">
        <w:rPr>
          <w:iCs/>
          <w:szCs w:val="22"/>
        </w:rPr>
        <w:t xml:space="preserve">pour le </w:t>
      </w:r>
      <w:r w:rsidR="00FF7B3A">
        <w:rPr>
          <w:iCs/>
          <w:szCs w:val="22"/>
        </w:rPr>
        <w:t>Protocole de Cartagena</w:t>
      </w:r>
      <w:r w:rsidRPr="00CD70B8">
        <w:rPr>
          <w:iCs/>
          <w:szCs w:val="22"/>
        </w:rPr>
        <w:t xml:space="preserve"> (2021-2030) et au plan d'action pour le renforcement des capacités pour le </w:t>
      </w:r>
      <w:r w:rsidR="00FF7B3A">
        <w:rPr>
          <w:iCs/>
          <w:szCs w:val="22"/>
        </w:rPr>
        <w:t>Protocole de Cartagena</w:t>
      </w:r>
      <w:r w:rsidRPr="00CD70B8">
        <w:rPr>
          <w:iCs/>
          <w:szCs w:val="22"/>
        </w:rPr>
        <w:t xml:space="preserve"> (2021-2030)</w:t>
      </w:r>
      <w:r w:rsidR="00261B1B" w:rsidRPr="00CD70B8">
        <w:rPr>
          <w:iCs/>
          <w:szCs w:val="22"/>
        </w:rPr>
        <w:t>.</w:t>
      </w:r>
    </w:p>
    <w:p w14:paraId="2E668C80" w14:textId="7289D2F8" w:rsidR="005F6CCB" w:rsidRPr="00CD70B8" w:rsidRDefault="006E1F4A">
      <w:pPr>
        <w:keepNext/>
        <w:ind w:left="540" w:right="720"/>
        <w:outlineLvl w:val="2"/>
        <w:rPr>
          <w:i/>
          <w:iCs/>
        </w:rPr>
      </w:pPr>
      <w:r w:rsidRPr="00CD70B8">
        <w:rPr>
          <w:i/>
          <w:iCs/>
        </w:rPr>
        <w:t xml:space="preserve">Estimation des besoins de financement et d'investissement au cours de la huitième </w:t>
      </w:r>
      <w:r w:rsidR="00A93EC6">
        <w:rPr>
          <w:i/>
          <w:iCs/>
        </w:rPr>
        <w:t>reconstitution des ressources du FEM</w:t>
      </w:r>
      <w:r w:rsidR="00264230" w:rsidRPr="00CD70B8">
        <w:rPr>
          <w:i/>
          <w:iCs/>
        </w:rPr>
        <w:t xml:space="preserve"> </w:t>
      </w:r>
    </w:p>
    <w:p w14:paraId="2F28CC83" w14:textId="7A00B244"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rPr>
      </w:pPr>
      <w:r w:rsidRPr="00CD70B8">
        <w:rPr>
          <w:bCs/>
          <w:kern w:val="22"/>
          <w:szCs w:val="22"/>
        </w:rPr>
        <w:t xml:space="preserve">Dans sa décision 14/23, la Conférence des Parties a adopté le mandat pour une évaluation complète du montant des fonds nécessaires à la </w:t>
      </w:r>
      <w:r w:rsidRPr="00CD70B8">
        <w:rPr>
          <w:bCs/>
          <w:kern w:val="22"/>
          <w:szCs w:val="22"/>
        </w:rPr>
        <w:t xml:space="preserve">mise en œuvre de la Convention et de ses Protocoles au cours de la huitième période de </w:t>
      </w:r>
      <w:r w:rsidR="00A93EC6">
        <w:rPr>
          <w:bCs/>
          <w:kern w:val="22"/>
          <w:szCs w:val="22"/>
        </w:rPr>
        <w:t>reconstitution des ressources du FEM</w:t>
      </w:r>
      <w:r w:rsidRPr="00CD70B8">
        <w:rPr>
          <w:bCs/>
          <w:kern w:val="22"/>
          <w:szCs w:val="22"/>
        </w:rPr>
        <w:t xml:space="preserve">. La Conférence des Parties a invité les Parties concernées à soumettre </w:t>
      </w:r>
      <w:r w:rsidR="00FF7B3A">
        <w:rPr>
          <w:bCs/>
          <w:kern w:val="22"/>
          <w:szCs w:val="22"/>
        </w:rPr>
        <w:t>à la</w:t>
      </w:r>
      <w:r w:rsidRPr="00CD70B8">
        <w:rPr>
          <w:bCs/>
          <w:kern w:val="22"/>
          <w:szCs w:val="22"/>
        </w:rPr>
        <w:t xml:space="preserve"> Secrétaire exécuti</w:t>
      </w:r>
      <w:r w:rsidR="00FF7B3A">
        <w:rPr>
          <w:bCs/>
          <w:kern w:val="22"/>
          <w:szCs w:val="22"/>
        </w:rPr>
        <w:t>ve</w:t>
      </w:r>
      <w:r w:rsidRPr="00CD70B8">
        <w:rPr>
          <w:bCs/>
          <w:kern w:val="22"/>
          <w:szCs w:val="22"/>
        </w:rPr>
        <w:t xml:space="preserve"> leur estimation des besoins de fina</w:t>
      </w:r>
      <w:r w:rsidRPr="00CD70B8">
        <w:rPr>
          <w:bCs/>
          <w:kern w:val="22"/>
          <w:szCs w:val="22"/>
        </w:rPr>
        <w:t xml:space="preserve">ncement et d'investissement au titre du mécanisme financier pour la troisième détermination des besoins de financement et d'investissement par la Conférence des Parties à sa quinzième réunion dans le cadre de la huitième </w:t>
      </w:r>
      <w:r w:rsidR="00A93EC6">
        <w:rPr>
          <w:bCs/>
          <w:kern w:val="22"/>
          <w:szCs w:val="22"/>
        </w:rPr>
        <w:t>reconstitution des ressources du FEM</w:t>
      </w:r>
      <w:r w:rsidR="00B63EA6" w:rsidRPr="00CD70B8">
        <w:rPr>
          <w:bCs/>
          <w:kern w:val="22"/>
          <w:szCs w:val="22"/>
        </w:rPr>
        <w:t xml:space="preserve">. Elle a également </w:t>
      </w:r>
      <w:r w:rsidRPr="00CD70B8">
        <w:rPr>
          <w:bCs/>
          <w:kern w:val="22"/>
          <w:szCs w:val="22"/>
        </w:rPr>
        <w:t>demandé à la Secrétaire exécutive, en collaboration avec l'équipe d'experts sous contrat, de préparer une compilation des besoins estimés de financement et d'investissement soumis par les Parties concernées, en s'appuyant sur la méthodo</w:t>
      </w:r>
      <w:r w:rsidRPr="00CD70B8">
        <w:rPr>
          <w:bCs/>
          <w:kern w:val="22"/>
          <w:szCs w:val="22"/>
        </w:rPr>
        <w:t xml:space="preserve">logie et les trois scénarios </w:t>
      </w:r>
      <w:r w:rsidRPr="00CD70B8">
        <w:rPr>
          <w:bCs/>
          <w:kern w:val="22"/>
          <w:szCs w:val="22"/>
        </w:rPr>
        <w:lastRenderedPageBreak/>
        <w:t>utilisés pour la deuxième détermination des besoins de financement et en les affinant, pour examen par l'Organe subsidiaire chargé de l'application à sa troisième réunion, afin de contribuer à la troisième détermination des bes</w:t>
      </w:r>
      <w:r w:rsidRPr="00CD70B8">
        <w:rPr>
          <w:bCs/>
          <w:kern w:val="22"/>
          <w:szCs w:val="22"/>
        </w:rPr>
        <w:t xml:space="preserve">oins de financement par la Conférence des Parties à sa quinzième réunion, en prévision de la huitième </w:t>
      </w:r>
      <w:r w:rsidR="00A93EC6">
        <w:rPr>
          <w:bCs/>
          <w:kern w:val="22"/>
          <w:szCs w:val="22"/>
        </w:rPr>
        <w:t>reconstitution des ressources du FEM</w:t>
      </w:r>
      <w:r w:rsidRPr="00CD70B8">
        <w:rPr>
          <w:bCs/>
          <w:kern w:val="22"/>
          <w:szCs w:val="22"/>
        </w:rPr>
        <w:t>.</w:t>
      </w:r>
    </w:p>
    <w:p w14:paraId="4B3A9867" w14:textId="0107D8B8"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rPr>
      </w:pPr>
      <w:r w:rsidRPr="00CD70B8">
        <w:rPr>
          <w:bCs/>
          <w:kern w:val="22"/>
          <w:szCs w:val="22"/>
        </w:rPr>
        <w:t xml:space="preserve">Le rapport sur l'évaluation complète des </w:t>
      </w:r>
      <w:r w:rsidR="00261B1B" w:rsidRPr="00CD70B8">
        <w:rPr>
          <w:bCs/>
          <w:kern w:val="22"/>
          <w:szCs w:val="22"/>
        </w:rPr>
        <w:t xml:space="preserve">fonds nécessaires à </w:t>
      </w:r>
      <w:r w:rsidRPr="00CD70B8">
        <w:rPr>
          <w:bCs/>
          <w:kern w:val="22"/>
          <w:szCs w:val="22"/>
        </w:rPr>
        <w:t xml:space="preserve">la mise en œuvre de la Convention et de ses Protocoles </w:t>
      </w:r>
      <w:r w:rsidR="00261B1B" w:rsidRPr="00CD70B8">
        <w:rPr>
          <w:bCs/>
          <w:kern w:val="22"/>
          <w:szCs w:val="22"/>
        </w:rPr>
        <w:t xml:space="preserve">au cours de </w:t>
      </w:r>
      <w:r w:rsidRPr="00CD70B8">
        <w:rPr>
          <w:bCs/>
          <w:kern w:val="22"/>
          <w:szCs w:val="22"/>
        </w:rPr>
        <w:t xml:space="preserve">la huitième période de </w:t>
      </w:r>
      <w:r w:rsidR="00A93EC6">
        <w:rPr>
          <w:bCs/>
          <w:kern w:val="22"/>
          <w:szCs w:val="22"/>
        </w:rPr>
        <w:t>reconstitution des ressources du FEM</w:t>
      </w:r>
      <w:r w:rsidRPr="00CD70B8">
        <w:rPr>
          <w:bCs/>
          <w:kern w:val="22"/>
          <w:szCs w:val="22"/>
        </w:rPr>
        <w:t xml:space="preserve">, qui a été </w:t>
      </w:r>
      <w:r w:rsidR="00FF7B3A">
        <w:rPr>
          <w:bCs/>
          <w:kern w:val="22"/>
          <w:szCs w:val="22"/>
        </w:rPr>
        <w:t>élaboré</w:t>
      </w:r>
      <w:r w:rsidRPr="00CD70B8">
        <w:rPr>
          <w:bCs/>
          <w:kern w:val="22"/>
          <w:szCs w:val="22"/>
        </w:rPr>
        <w:t xml:space="preserve"> par les experts contractuels, est </w:t>
      </w:r>
      <w:r w:rsidR="002F4222" w:rsidRPr="00CD70B8">
        <w:rPr>
          <w:bCs/>
          <w:kern w:val="22"/>
          <w:szCs w:val="22"/>
        </w:rPr>
        <w:t xml:space="preserve">disponible </w:t>
      </w:r>
      <w:r w:rsidRPr="00CD70B8">
        <w:rPr>
          <w:bCs/>
          <w:kern w:val="22"/>
          <w:szCs w:val="22"/>
        </w:rPr>
        <w:t>dans le document d'information CBD/SBI/3/INF/44</w:t>
      </w:r>
      <w:r w:rsidR="0083206D" w:rsidRPr="00CD70B8">
        <w:rPr>
          <w:bCs/>
          <w:kern w:val="22"/>
          <w:szCs w:val="22"/>
        </w:rPr>
        <w:t xml:space="preserve">, </w:t>
      </w:r>
      <w:r w:rsidRPr="00CD70B8">
        <w:rPr>
          <w:bCs/>
          <w:kern w:val="22"/>
          <w:szCs w:val="22"/>
        </w:rPr>
        <w:t xml:space="preserve">et le </w:t>
      </w:r>
      <w:r w:rsidR="00261B1B" w:rsidRPr="00CD70B8">
        <w:rPr>
          <w:bCs/>
          <w:kern w:val="22"/>
          <w:szCs w:val="22"/>
        </w:rPr>
        <w:t xml:space="preserve">résumé </w:t>
      </w:r>
      <w:r w:rsidRPr="00CD70B8">
        <w:rPr>
          <w:bCs/>
          <w:kern w:val="22"/>
          <w:szCs w:val="22"/>
        </w:rPr>
        <w:t xml:space="preserve">du rapport </w:t>
      </w:r>
      <w:r w:rsidR="00FF7B3A">
        <w:rPr>
          <w:bCs/>
          <w:kern w:val="22"/>
          <w:szCs w:val="22"/>
        </w:rPr>
        <w:t>figure</w:t>
      </w:r>
      <w:r w:rsidR="002F4222" w:rsidRPr="00CD70B8">
        <w:rPr>
          <w:bCs/>
          <w:kern w:val="22"/>
          <w:szCs w:val="22"/>
        </w:rPr>
        <w:t xml:space="preserve"> </w:t>
      </w:r>
      <w:r w:rsidRPr="00CD70B8">
        <w:rPr>
          <w:bCs/>
          <w:kern w:val="22"/>
          <w:szCs w:val="22"/>
        </w:rPr>
        <w:t xml:space="preserve">dans le document </w:t>
      </w:r>
      <w:r w:rsidR="007B5AD2" w:rsidRPr="00CD70B8">
        <w:rPr>
          <w:bCs/>
          <w:kern w:val="22"/>
          <w:szCs w:val="22"/>
        </w:rPr>
        <w:t>CBD/SBI/3/6/Add.2/Rev.1</w:t>
      </w:r>
      <w:r w:rsidR="006E1F4A" w:rsidRPr="00CD70B8">
        <w:rPr>
          <w:bCs/>
          <w:kern w:val="22"/>
          <w:szCs w:val="22"/>
        </w:rPr>
        <w:t xml:space="preserve">. </w:t>
      </w:r>
      <w:bookmarkStart w:id="3" w:name="_Hlk22815168"/>
      <w:bookmarkEnd w:id="3"/>
    </w:p>
    <w:p w14:paraId="21F586F4" w14:textId="51E69F1C"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rPr>
      </w:pPr>
      <w:r w:rsidRPr="00CD70B8">
        <w:rPr>
          <w:bCs/>
          <w:kern w:val="22"/>
          <w:szCs w:val="22"/>
        </w:rPr>
        <w:t xml:space="preserve">Bien qu'il ait été reconnu que </w:t>
      </w:r>
      <w:r w:rsidR="00261B1B" w:rsidRPr="00CD70B8">
        <w:rPr>
          <w:bCs/>
          <w:kern w:val="22"/>
          <w:szCs w:val="22"/>
        </w:rPr>
        <w:t xml:space="preserve">l'évaluation </w:t>
      </w:r>
      <w:r w:rsidRPr="00CD70B8">
        <w:rPr>
          <w:bCs/>
          <w:kern w:val="22"/>
          <w:szCs w:val="22"/>
        </w:rPr>
        <w:t>était basée sur des données limitées</w:t>
      </w:r>
      <w:r w:rsidR="00B63EA6" w:rsidRPr="00CD70B8">
        <w:rPr>
          <w:bCs/>
          <w:kern w:val="22"/>
          <w:szCs w:val="22"/>
        </w:rPr>
        <w:t xml:space="preserve">, </w:t>
      </w:r>
      <w:r w:rsidR="008A40C1" w:rsidRPr="00CD70B8">
        <w:rPr>
          <w:bCs/>
          <w:kern w:val="22"/>
          <w:szCs w:val="22"/>
        </w:rPr>
        <w:t xml:space="preserve">44 pays au total ont soumis une </w:t>
      </w:r>
      <w:r w:rsidRPr="00CD70B8">
        <w:rPr>
          <w:bCs/>
          <w:kern w:val="22"/>
          <w:szCs w:val="22"/>
        </w:rPr>
        <w:t xml:space="preserve">analyse </w:t>
      </w:r>
      <w:r w:rsidR="00B63EA6" w:rsidRPr="00CD70B8">
        <w:rPr>
          <w:bCs/>
          <w:kern w:val="22"/>
          <w:szCs w:val="22"/>
        </w:rPr>
        <w:t xml:space="preserve">indiquant </w:t>
      </w:r>
      <w:r w:rsidRPr="00CD70B8">
        <w:rPr>
          <w:bCs/>
          <w:kern w:val="22"/>
          <w:szCs w:val="22"/>
        </w:rPr>
        <w:t xml:space="preserve">que </w:t>
      </w:r>
      <w:r w:rsidR="00DF0780" w:rsidRPr="00CD70B8">
        <w:rPr>
          <w:bCs/>
          <w:kern w:val="22"/>
          <w:szCs w:val="22"/>
        </w:rPr>
        <w:t xml:space="preserve">les besoins de financement totaux </w:t>
      </w:r>
      <w:r w:rsidR="003E59F0" w:rsidRPr="00CD70B8">
        <w:rPr>
          <w:bCs/>
          <w:kern w:val="22"/>
          <w:szCs w:val="22"/>
        </w:rPr>
        <w:t xml:space="preserve">pour </w:t>
      </w:r>
      <w:r w:rsidR="00DF0780" w:rsidRPr="00CD70B8">
        <w:rPr>
          <w:bCs/>
          <w:kern w:val="22"/>
          <w:szCs w:val="22"/>
        </w:rPr>
        <w:t xml:space="preserve">210 projets </w:t>
      </w:r>
      <w:r w:rsidR="003E59F0" w:rsidRPr="00CD70B8">
        <w:rPr>
          <w:bCs/>
          <w:kern w:val="22"/>
          <w:szCs w:val="22"/>
        </w:rPr>
        <w:t xml:space="preserve">envisagés </w:t>
      </w:r>
      <w:r w:rsidR="00DF0780" w:rsidRPr="00CD70B8">
        <w:rPr>
          <w:bCs/>
          <w:kern w:val="22"/>
          <w:szCs w:val="22"/>
        </w:rPr>
        <w:t>dans le cadre de l'</w:t>
      </w:r>
      <w:r w:rsidR="003E59F0" w:rsidRPr="00CD70B8">
        <w:rPr>
          <w:bCs/>
          <w:kern w:val="22"/>
          <w:szCs w:val="22"/>
        </w:rPr>
        <w:t xml:space="preserve">enquête </w:t>
      </w:r>
      <w:r w:rsidR="00DF0780" w:rsidRPr="00CD70B8">
        <w:rPr>
          <w:bCs/>
          <w:kern w:val="22"/>
          <w:szCs w:val="22"/>
        </w:rPr>
        <w:t xml:space="preserve">par questionnaire s'élevaient à 4 049 921 897 </w:t>
      </w:r>
      <w:r w:rsidR="00FF7B3A">
        <w:rPr>
          <w:bCs/>
          <w:kern w:val="22"/>
          <w:szCs w:val="22"/>
        </w:rPr>
        <w:t xml:space="preserve">dollars, </w:t>
      </w:r>
      <w:r w:rsidR="00DF0780" w:rsidRPr="00CD70B8">
        <w:rPr>
          <w:bCs/>
          <w:kern w:val="22"/>
          <w:szCs w:val="22"/>
        </w:rPr>
        <w:t xml:space="preserve">21 </w:t>
      </w:r>
      <w:r w:rsidR="006C28E7" w:rsidRPr="00CD70B8">
        <w:rPr>
          <w:bCs/>
          <w:kern w:val="22"/>
          <w:szCs w:val="22"/>
        </w:rPr>
        <w:t xml:space="preserve">% </w:t>
      </w:r>
      <w:r w:rsidR="00E407BE" w:rsidRPr="00CD70B8">
        <w:rPr>
          <w:bCs/>
          <w:kern w:val="22"/>
          <w:szCs w:val="22"/>
        </w:rPr>
        <w:t>des projets</w:t>
      </w:r>
      <w:r w:rsidR="00DF0780" w:rsidRPr="00CD70B8">
        <w:rPr>
          <w:bCs/>
          <w:kern w:val="22"/>
          <w:szCs w:val="22"/>
        </w:rPr>
        <w:t xml:space="preserve"> étant destinés au Protocole de Cartagena. Cependant, comme toutes les Parties </w:t>
      </w:r>
      <w:r w:rsidR="003E59F0" w:rsidRPr="00CD70B8">
        <w:rPr>
          <w:bCs/>
          <w:kern w:val="22"/>
          <w:szCs w:val="22"/>
        </w:rPr>
        <w:t xml:space="preserve">éligibles </w:t>
      </w:r>
      <w:r w:rsidR="00DF0780" w:rsidRPr="00CD70B8">
        <w:rPr>
          <w:bCs/>
          <w:kern w:val="22"/>
          <w:szCs w:val="22"/>
        </w:rPr>
        <w:t xml:space="preserve">n'ont pas soumis de données, trois scénarios différents ont été utilisés pour extrapoler les données des sources existantes et estimer les </w:t>
      </w:r>
      <w:r w:rsidR="00E7070B" w:rsidRPr="00CD70B8">
        <w:rPr>
          <w:bCs/>
          <w:kern w:val="22"/>
          <w:szCs w:val="22"/>
        </w:rPr>
        <w:t>besoins financiers</w:t>
      </w:r>
      <w:r w:rsidR="003E59F0" w:rsidRPr="00CD70B8">
        <w:rPr>
          <w:bCs/>
          <w:kern w:val="22"/>
          <w:szCs w:val="22"/>
        </w:rPr>
        <w:t xml:space="preserve">. Les </w:t>
      </w:r>
      <w:r w:rsidR="00DF0780" w:rsidRPr="00CD70B8">
        <w:rPr>
          <w:bCs/>
          <w:kern w:val="22"/>
          <w:szCs w:val="22"/>
        </w:rPr>
        <w:t xml:space="preserve">trois scénarios ont donné lieu à des </w:t>
      </w:r>
      <w:r w:rsidR="00532E0F" w:rsidRPr="00CD70B8">
        <w:rPr>
          <w:bCs/>
          <w:kern w:val="22"/>
          <w:szCs w:val="22"/>
        </w:rPr>
        <w:t xml:space="preserve">estimations des </w:t>
      </w:r>
      <w:r w:rsidR="00DF0780" w:rsidRPr="00CD70B8">
        <w:rPr>
          <w:bCs/>
          <w:kern w:val="22"/>
          <w:szCs w:val="22"/>
        </w:rPr>
        <w:t xml:space="preserve">besoins financiers du FEM pour la mise en œuvre de la Convention et de ses Protocoles, au cours de la huitième période de reconstitution, </w:t>
      </w:r>
      <w:r w:rsidR="003E59F0" w:rsidRPr="00CD70B8">
        <w:rPr>
          <w:bCs/>
          <w:kern w:val="22"/>
          <w:szCs w:val="22"/>
        </w:rPr>
        <w:t xml:space="preserve">allant </w:t>
      </w:r>
      <w:r w:rsidR="00DF0780" w:rsidRPr="00CD70B8">
        <w:rPr>
          <w:bCs/>
          <w:kern w:val="22"/>
          <w:szCs w:val="22"/>
        </w:rPr>
        <w:t>de 1,5 à 3,7 milliards de dollars.</w:t>
      </w:r>
    </w:p>
    <w:p w14:paraId="634708D1" w14:textId="25F2113A"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pPr>
      <w:r w:rsidRPr="00CD70B8">
        <w:t xml:space="preserve">En ce qui concerne le </w:t>
      </w:r>
      <w:r w:rsidR="00FF7B3A">
        <w:t>Protocole de Cartagena</w:t>
      </w:r>
      <w:r w:rsidRPr="00CD70B8">
        <w:t>, l'équipe d'experts a examiné les données fournies par les pays dans le</w:t>
      </w:r>
      <w:r w:rsidRPr="00CD70B8">
        <w:t xml:space="preserve"> cadre du quatrième rapport national. La question 167 du rapport national</w:t>
      </w:r>
      <w:r w:rsidR="00FF7B3A">
        <w:t>, </w:t>
      </w:r>
      <w:r w:rsidRPr="00CD70B8">
        <w:t xml:space="preserve">liée à l'article 28 sur le </w:t>
      </w:r>
      <w:r w:rsidRPr="00CD70B8">
        <w:rPr>
          <w:bCs/>
          <w:kern w:val="22"/>
          <w:szCs w:val="22"/>
        </w:rPr>
        <w:t xml:space="preserve">mécanisme de </w:t>
      </w:r>
      <w:r w:rsidRPr="00CD70B8">
        <w:t>financement et les ressources financières</w:t>
      </w:r>
      <w:r w:rsidR="0065282E" w:rsidRPr="00CD70B8">
        <w:t xml:space="preserve">, </w:t>
      </w:r>
      <w:r w:rsidR="00BC7217" w:rsidRPr="00CD70B8">
        <w:t xml:space="preserve">demandait aux </w:t>
      </w:r>
      <w:r w:rsidRPr="00CD70B8">
        <w:t xml:space="preserve">pays d'indiquer le </w:t>
      </w:r>
      <w:r w:rsidR="003E59F0" w:rsidRPr="00CD70B8">
        <w:t xml:space="preserve">montant des fonds que </w:t>
      </w:r>
      <w:r w:rsidRPr="00CD70B8">
        <w:t xml:space="preserve">le pays </w:t>
      </w:r>
      <w:r w:rsidR="00A54255" w:rsidRPr="00CD70B8">
        <w:t xml:space="preserve">avait </w:t>
      </w:r>
      <w:r w:rsidRPr="00CD70B8">
        <w:t>mobilisés pour soutenir la mi</w:t>
      </w:r>
      <w:r w:rsidRPr="00CD70B8">
        <w:t>se en œuvre du Protocole au-delà de l'allocation budgétaire nationale ordinaire au cours de la période de référence. Plus de 60 % des pays ont déclaré avoir mobilisé entre quelques milliers de dollars et 500 000 dollars ou plus au cours de la période de ré</w:t>
      </w:r>
      <w:r w:rsidRPr="00CD70B8">
        <w:t xml:space="preserve">férence. Il convient </w:t>
      </w:r>
      <w:r w:rsidR="006406FA" w:rsidRPr="00CD70B8">
        <w:t xml:space="preserve">toutefois de noter que, la </w:t>
      </w:r>
      <w:r w:rsidRPr="00CD70B8">
        <w:t xml:space="preserve">question 167 se limitant aux efforts actuels de mobilisation des ressources par les pays, les rapports nationaux au Protocole ne donnent aucune indication sur les besoins </w:t>
      </w:r>
      <w:r w:rsidRPr="00CD70B8">
        <w:rPr>
          <w:spacing w:val="-1"/>
        </w:rPr>
        <w:t xml:space="preserve">futurs </w:t>
      </w:r>
      <w:r w:rsidRPr="00CD70B8">
        <w:t>estimés du FEM.</w:t>
      </w:r>
    </w:p>
    <w:p w14:paraId="372A3363" w14:textId="552A3FA1" w:rsidR="005F6CCB" w:rsidRPr="00CD70B8" w:rsidRDefault="002B0CCA">
      <w:pPr>
        <w:pStyle w:val="Para1"/>
        <w:keepNext/>
        <w:numPr>
          <w:ilvl w:val="0"/>
          <w:numId w:val="0"/>
        </w:numPr>
        <w:suppressLineNumbers/>
        <w:suppressAutoHyphens/>
        <w:kinsoku w:val="0"/>
        <w:overflowPunct w:val="0"/>
        <w:autoSpaceDE w:val="0"/>
        <w:autoSpaceDN w:val="0"/>
        <w:snapToGrid w:val="0"/>
        <w:jc w:val="center"/>
        <w:outlineLvl w:val="1"/>
      </w:pPr>
      <w:r w:rsidRPr="00CD70B8">
        <w:rPr>
          <w:b/>
        </w:rPr>
        <w:t>C.</w:t>
      </w:r>
      <w:r w:rsidRPr="00CD70B8">
        <w:rPr>
          <w:b/>
        </w:rPr>
        <w:tab/>
      </w:r>
      <w:r w:rsidR="006D7171" w:rsidRPr="00CD70B8">
        <w:rPr>
          <w:b/>
        </w:rPr>
        <w:t xml:space="preserve">Programmation </w:t>
      </w:r>
      <w:r w:rsidR="00FF7B3A">
        <w:rPr>
          <w:b/>
        </w:rPr>
        <w:t>FEM</w:t>
      </w:r>
      <w:r w:rsidR="006D7171" w:rsidRPr="00CD70B8">
        <w:rPr>
          <w:b/>
        </w:rPr>
        <w:t xml:space="preserve">-8 </w:t>
      </w:r>
      <w:r w:rsidR="0078370D">
        <w:rPr>
          <w:b/>
        </w:rPr>
        <w:t xml:space="preserve">en matière de </w:t>
      </w:r>
      <w:r w:rsidR="006D7171" w:rsidRPr="00CD70B8">
        <w:rPr>
          <w:b/>
        </w:rPr>
        <w:t>biosécurité</w:t>
      </w:r>
    </w:p>
    <w:p w14:paraId="6902214C" w14:textId="3243DE0B"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bCs/>
        </w:rPr>
      </w:pPr>
      <w:bookmarkStart w:id="4" w:name="_Hlk111139925"/>
      <w:r w:rsidRPr="00CD70B8">
        <w:rPr>
          <w:bCs/>
        </w:rPr>
        <w:t xml:space="preserve">La </w:t>
      </w:r>
      <w:r w:rsidRPr="00CD70B8">
        <w:rPr>
          <w:bCs/>
          <w:kern w:val="22"/>
          <w:szCs w:val="22"/>
        </w:rPr>
        <w:t xml:space="preserve">négociation </w:t>
      </w:r>
      <w:r w:rsidRPr="00CD70B8">
        <w:rPr>
          <w:bCs/>
        </w:rPr>
        <w:t xml:space="preserve">de la huitième </w:t>
      </w:r>
      <w:r w:rsidR="00A93EC6">
        <w:rPr>
          <w:bCs/>
        </w:rPr>
        <w:t>reconstitution des ressources du FEM</w:t>
      </w:r>
      <w:r w:rsidRPr="00CD70B8">
        <w:rPr>
          <w:bCs/>
        </w:rPr>
        <w:t xml:space="preserve"> a été conclue en avril 2022 et les recommandations politiques et les orientations de programmation pour FEM-8 ont été approuvées par le Conseil du FEM lors de sa 62e réunion en juin 2022. Le soutien aux objectifs de biodiversité et à la mise en œuvre de l</w:t>
      </w:r>
      <w:r w:rsidRPr="00CD70B8">
        <w:rPr>
          <w:bCs/>
        </w:rPr>
        <w:t xml:space="preserve">a Convention et de ses Protocoles est </w:t>
      </w:r>
      <w:r w:rsidR="00FF7B3A">
        <w:rPr>
          <w:bCs/>
        </w:rPr>
        <w:t>énoncé</w:t>
      </w:r>
      <w:r w:rsidRPr="00CD70B8">
        <w:rPr>
          <w:bCs/>
        </w:rPr>
        <w:t xml:space="preserve"> dans le cadre du domaine focal de la biodiversité, d'autres domaines focaux et de programmes intégrés</w:t>
      </w:r>
      <w:r w:rsidR="000B0FEB" w:rsidRPr="00CD70B8">
        <w:rPr>
          <w:bCs/>
        </w:rPr>
        <w:t>.</w:t>
      </w:r>
    </w:p>
    <w:p w14:paraId="11C453A1" w14:textId="20A6A461"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bCs/>
        </w:rPr>
      </w:pPr>
      <w:r w:rsidRPr="00CD70B8">
        <w:t>La</w:t>
      </w:r>
      <w:r w:rsidR="00A93EC6" w:rsidRPr="00A93EC6">
        <w:rPr>
          <w:bCs/>
        </w:rPr>
        <w:t xml:space="preserve"> </w:t>
      </w:r>
      <w:r w:rsidR="00A93EC6" w:rsidRPr="00CD70B8">
        <w:rPr>
          <w:bCs/>
        </w:rPr>
        <w:t>huitième</w:t>
      </w:r>
      <w:r w:rsidRPr="00CD70B8">
        <w:t xml:space="preserve"> reconstitution des ressources </w:t>
      </w:r>
      <w:r w:rsidR="000B0FEB" w:rsidRPr="00CD70B8">
        <w:t>du FEM</w:t>
      </w:r>
      <w:r w:rsidR="009E63FC" w:rsidRPr="00CD70B8">
        <w:softHyphen/>
      </w:r>
      <w:r w:rsidR="0024214D" w:rsidRPr="00CD70B8">
        <w:t xml:space="preserve"> </w:t>
      </w:r>
      <w:r w:rsidR="000F4BA4" w:rsidRPr="00CD70B8">
        <w:t xml:space="preserve">a </w:t>
      </w:r>
      <w:r w:rsidRPr="00CD70B8">
        <w:t xml:space="preserve">alloué </w:t>
      </w:r>
      <w:r w:rsidR="003E59F0" w:rsidRPr="00CD70B8">
        <w:t xml:space="preserve">un </w:t>
      </w:r>
      <w:r w:rsidRPr="00CD70B8">
        <w:t xml:space="preserve">total </w:t>
      </w:r>
      <w:r w:rsidR="003E59F0" w:rsidRPr="00CD70B8">
        <w:t xml:space="preserve">indicatif de </w:t>
      </w:r>
      <w:r w:rsidR="009A08BB" w:rsidRPr="00CD70B8">
        <w:t xml:space="preserve">1,89 milliard de dollars </w:t>
      </w:r>
      <w:r w:rsidRPr="00CD70B8">
        <w:t>au</w:t>
      </w:r>
      <w:r w:rsidRPr="00CD70B8">
        <w:t xml:space="preserve"> domaine d'intervention </w:t>
      </w:r>
      <w:r w:rsidR="00FF7B3A">
        <w:t>b</w:t>
      </w:r>
      <w:r w:rsidRPr="00CD70B8">
        <w:t xml:space="preserve">iodiversité, soit 36 % de l'enveloppe totale des ressources du FEM-8. La biodiversité reste ainsi le domaine d'intervention le plus important et son pourcentage relatif de l'enveloppe financière du FEM passe de 32 pour cent dans </w:t>
      </w:r>
      <w:r w:rsidR="00B83E65" w:rsidRPr="00CD70B8">
        <w:t xml:space="preserve">la septième reconstitution </w:t>
      </w:r>
      <w:r w:rsidRPr="00CD70B8">
        <w:t xml:space="preserve">à 36 pour cent dans la </w:t>
      </w:r>
      <w:r w:rsidR="00B83E65" w:rsidRPr="00CD70B8">
        <w:t>huitième reconstitution</w:t>
      </w:r>
      <w:r w:rsidRPr="00CD70B8">
        <w:t xml:space="preserve">. En termes absolus, cela reflète une augmentation de 46 pour cent des fonds alloués à la biodiversité par rapport au niveau de </w:t>
      </w:r>
      <w:r w:rsidR="00FC51AF" w:rsidRPr="00CD70B8">
        <w:t xml:space="preserve">1,29 milliard de dollars </w:t>
      </w:r>
      <w:r w:rsidRPr="00CD70B8">
        <w:t xml:space="preserve">du FEM-7. </w:t>
      </w:r>
      <w:r w:rsidR="000B0FEB" w:rsidRPr="00CD70B8">
        <w:rPr>
          <w:bCs/>
        </w:rPr>
        <w:t xml:space="preserve">L'allocation indicative des ressources du FEM-8 pour la biodiversité s'inscrit dans le </w:t>
      </w:r>
      <w:r w:rsidR="003E59F0" w:rsidRPr="00CD70B8">
        <w:rPr>
          <w:bCs/>
        </w:rPr>
        <w:t>contexte d'</w:t>
      </w:r>
      <w:r w:rsidR="000B0FEB" w:rsidRPr="00CD70B8">
        <w:rPr>
          <w:bCs/>
        </w:rPr>
        <w:t xml:space="preserve">un montant </w:t>
      </w:r>
      <w:r w:rsidR="00410693" w:rsidRPr="00CD70B8">
        <w:rPr>
          <w:bCs/>
        </w:rPr>
        <w:t xml:space="preserve">total de </w:t>
      </w:r>
      <w:r w:rsidR="003E59F0" w:rsidRPr="00CD70B8">
        <w:rPr>
          <w:bCs/>
        </w:rPr>
        <w:t xml:space="preserve">reconstitution </w:t>
      </w:r>
      <w:r w:rsidR="000B0FEB" w:rsidRPr="00CD70B8">
        <w:rPr>
          <w:bCs/>
        </w:rPr>
        <w:t>record de 5,25 milliards de dollars</w:t>
      </w:r>
      <w:r w:rsidR="00483A0D" w:rsidRPr="00CD70B8">
        <w:rPr>
          <w:bCs/>
        </w:rPr>
        <w:t xml:space="preserve">. </w:t>
      </w:r>
      <w:r w:rsidR="003E59F0" w:rsidRPr="00CD70B8">
        <w:rPr>
          <w:bCs/>
        </w:rPr>
        <w:t xml:space="preserve">Sur le </w:t>
      </w:r>
      <w:r w:rsidR="00024B35" w:rsidRPr="00CD70B8">
        <w:rPr>
          <w:bCs/>
        </w:rPr>
        <w:t xml:space="preserve">total de la </w:t>
      </w:r>
      <w:r w:rsidR="003E59F0" w:rsidRPr="00CD70B8">
        <w:rPr>
          <w:bCs/>
        </w:rPr>
        <w:t>reconstitution</w:t>
      </w:r>
      <w:r w:rsidR="00EA6315" w:rsidRPr="00CD70B8">
        <w:rPr>
          <w:bCs/>
        </w:rPr>
        <w:t xml:space="preserve">, 1,5 pour cent </w:t>
      </w:r>
      <w:r w:rsidR="000B0FEB" w:rsidRPr="00CD70B8">
        <w:rPr>
          <w:bCs/>
        </w:rPr>
        <w:t xml:space="preserve">(81 millions de dollars) est alloué aux deux Protocoles de </w:t>
      </w:r>
      <w:r w:rsidR="007C5937" w:rsidRPr="00CD70B8">
        <w:rPr>
          <w:bCs/>
        </w:rPr>
        <w:t>la Convention</w:t>
      </w:r>
      <w:r w:rsidR="000B0FEB" w:rsidRPr="00CD70B8">
        <w:rPr>
          <w:bCs/>
        </w:rPr>
        <w:t>.</w:t>
      </w:r>
      <w:bookmarkEnd w:id="4"/>
    </w:p>
    <w:p w14:paraId="33C8F3FF" w14:textId="77777777"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pPr>
      <w:r w:rsidRPr="00CD70B8">
        <w:rPr>
          <w:bCs/>
        </w:rPr>
        <w:t>L'</w:t>
      </w:r>
      <w:r w:rsidRPr="00CD70B8">
        <w:rPr>
          <w:bCs/>
          <w:kern w:val="22"/>
          <w:szCs w:val="22"/>
        </w:rPr>
        <w:t xml:space="preserve">objectif </w:t>
      </w:r>
      <w:r w:rsidRPr="00CD70B8">
        <w:rPr>
          <w:bCs/>
        </w:rPr>
        <w:t xml:space="preserve">2 du </w:t>
      </w:r>
      <w:r w:rsidR="00355EA9" w:rsidRPr="00CD70B8">
        <w:rPr>
          <w:bCs/>
        </w:rPr>
        <w:t xml:space="preserve">domaine d'intervention </w:t>
      </w:r>
      <w:r w:rsidR="000B0FEB" w:rsidRPr="00CD70B8">
        <w:rPr>
          <w:bCs/>
        </w:rPr>
        <w:t xml:space="preserve">biodiversité du </w:t>
      </w:r>
      <w:r w:rsidR="002E6E26" w:rsidRPr="00CD70B8">
        <w:rPr>
          <w:bCs/>
        </w:rPr>
        <w:t xml:space="preserve">FEM-8 </w:t>
      </w:r>
      <w:r w:rsidRPr="00CD70B8">
        <w:rPr>
          <w:bCs/>
        </w:rPr>
        <w:t>porte sur le soutien à la mise en œuvre effective du Protocole de Cartagena.</w:t>
      </w:r>
      <w:r w:rsidR="00186B4B" w:rsidRPr="00CD70B8">
        <w:rPr>
          <w:rStyle w:val="FootnoteReference"/>
          <w:bCs/>
        </w:rPr>
        <w:footnoteReference w:id="4"/>
      </w:r>
      <w:r w:rsidRPr="00CD70B8">
        <w:t xml:space="preserve"> Dans le cadre de </w:t>
      </w:r>
      <w:r w:rsidR="00346A4A" w:rsidRPr="00CD70B8">
        <w:t>cet objectif</w:t>
      </w:r>
      <w:r w:rsidRPr="00CD70B8">
        <w:t xml:space="preserve">, le </w:t>
      </w:r>
      <w:r w:rsidR="00036839" w:rsidRPr="00CD70B8">
        <w:t xml:space="preserve">FEM soutiendra la ratification du Protocole par les pays qui ne l'ont pas fait et appuiera la mise en œuvre de cadres nationaux de biosécurité. Le but de l'investissement du FEM est de renforcer les capacités afin que les pays disposent de </w:t>
      </w:r>
      <w:r w:rsidR="00903F98" w:rsidRPr="00CD70B8">
        <w:t xml:space="preserve">cadres nationaux de biosécurité </w:t>
      </w:r>
      <w:r w:rsidR="00036839" w:rsidRPr="00CD70B8">
        <w:t xml:space="preserve">fonctionnels, qu'ils soient en totale conformité avec les exigences du Protocole et qu'ils aient mobilisé les ressources adéquates pour soutenir la mise en œuvre du Protocole. Les Parties seront </w:t>
      </w:r>
      <w:r w:rsidR="00036839" w:rsidRPr="00CD70B8">
        <w:lastRenderedPageBreak/>
        <w:t xml:space="preserve">soutenues pour mettre en œuvre les dispositions du Protocole, notamment le renforcement des capacités liées à l'évaluation et à la gestion des risques dans le </w:t>
      </w:r>
      <w:r w:rsidR="00B42643" w:rsidRPr="00CD70B8">
        <w:t xml:space="preserve">cadre de </w:t>
      </w:r>
      <w:r w:rsidR="00036839" w:rsidRPr="00CD70B8">
        <w:t xml:space="preserve">projets </w:t>
      </w:r>
      <w:r w:rsidR="00B42643" w:rsidRPr="00CD70B8">
        <w:t>menés par les pays</w:t>
      </w:r>
      <w:r w:rsidR="00036839" w:rsidRPr="00CD70B8">
        <w:t xml:space="preserve">, et l'amélioration de la sensibilisation, de l'éducation et de la participation du public concernant le transfert, la manipulation et l'utilisation sans danger des organismes vivants modifiés. En outre, le FEM soutiendra la mise à jour et la révision des </w:t>
      </w:r>
      <w:r w:rsidR="00903F98" w:rsidRPr="00CD70B8">
        <w:t xml:space="preserve">cadres nationaux de biosécurité </w:t>
      </w:r>
      <w:r w:rsidR="00036839" w:rsidRPr="00CD70B8">
        <w:t>existants et des plans d'action de conformité pour s'adapter à la réglementation et à l'utilisation sûre des nouvelles biotechnologies, afin de permettre aux pays d</w:t>
      </w:r>
      <w:r w:rsidR="00E13A87" w:rsidRPr="00CD70B8">
        <w:t>'</w:t>
      </w:r>
      <w:r w:rsidR="00584753" w:rsidRPr="00CD70B8">
        <w:t xml:space="preserve">aborder la </w:t>
      </w:r>
      <w:r w:rsidR="00036839" w:rsidRPr="00CD70B8">
        <w:t>biologie synthétique conformément aux dispositions du Protocole. Le FEM soutiendra des projets thématiques portant sur certaines des dispositions spécifiques du Protocole de Cartagena. Les projets thématiques porteront également sur l'</w:t>
      </w:r>
      <w:r w:rsidR="009C6CFD" w:rsidRPr="00CD70B8">
        <w:t xml:space="preserve">approche intégrée </w:t>
      </w:r>
      <w:r w:rsidR="00036839" w:rsidRPr="00CD70B8">
        <w:t xml:space="preserve">prévue </w:t>
      </w:r>
      <w:r w:rsidR="002E6E26" w:rsidRPr="00CD70B8">
        <w:t xml:space="preserve">dans le projet de cadre mondial de la biodiversité pour l'après-2020 </w:t>
      </w:r>
      <w:r w:rsidR="00036839" w:rsidRPr="00CD70B8">
        <w:t xml:space="preserve">ainsi que dans le plan de mise en œuvre et le plan d'action pour </w:t>
      </w:r>
      <w:r w:rsidR="002E6E26" w:rsidRPr="00CD70B8">
        <w:t xml:space="preserve">le </w:t>
      </w:r>
      <w:r w:rsidR="00036839" w:rsidRPr="00CD70B8">
        <w:t xml:space="preserve">renforcement des capacités </w:t>
      </w:r>
      <w:r w:rsidR="002E6E26" w:rsidRPr="00CD70B8">
        <w:t>du Protocole de Cartagena</w:t>
      </w:r>
      <w:r w:rsidR="00036839" w:rsidRPr="00CD70B8">
        <w:t xml:space="preserve">. </w:t>
      </w:r>
      <w:r w:rsidR="002E6E26" w:rsidRPr="00CD70B8">
        <w:t xml:space="preserve">Ces </w:t>
      </w:r>
      <w:r w:rsidR="00036839" w:rsidRPr="00CD70B8">
        <w:t xml:space="preserve">projets devraient être développés au niveau régional ou sous-régional et s'appuyer sur un ensemble commun de cibles et d'opportunités pour mettre en œuvre le Protocole au-delà du développement et de la mise en œuvre des </w:t>
      </w:r>
      <w:r w:rsidR="00903F98" w:rsidRPr="00CD70B8">
        <w:t>cadres nationaux de biosécurité</w:t>
      </w:r>
      <w:r w:rsidR="00036839" w:rsidRPr="00CD70B8">
        <w:t xml:space="preserve">. Le FEM apportera également son soutien à la ratification et à la mise en œuvre du Protocole additionnel de Nagoya </w:t>
      </w:r>
      <w:r w:rsidR="00172BB1" w:rsidRPr="00CD70B8">
        <w:rPr>
          <w:kern w:val="22"/>
        </w:rPr>
        <w:t xml:space="preserve">- </w:t>
      </w:r>
      <w:r w:rsidR="00036839" w:rsidRPr="00CD70B8">
        <w:t>Kuala Lumpur sur la responsabilité et la réparation. Un accent particulier sera également mis sur le renforcement des capacités et la coopération régionale pour soutenir la mise en œuvre effective du Protocole additionnel. Le Programme intégré des systèmes alimentaires a été identifié comme l'un des investissements de programmation associés qui contribueront à atteindre les cibles d'action du cadre mondial de la biodiversité pour l'après-2020 liées à la biosécurité.</w:t>
      </w:r>
    </w:p>
    <w:p w14:paraId="3F45536E" w14:textId="550577AA"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pPr>
      <w:r w:rsidRPr="00CD70B8">
        <w:t xml:space="preserve">Le Protocole de </w:t>
      </w:r>
      <w:r w:rsidRPr="00CD70B8">
        <w:rPr>
          <w:bCs/>
          <w:kern w:val="22"/>
          <w:szCs w:val="22"/>
        </w:rPr>
        <w:t xml:space="preserve">Cartagena </w:t>
      </w:r>
      <w:r w:rsidRPr="00CD70B8">
        <w:t xml:space="preserve">devrait également bénéficier des activités prioritaires qui seront soutenues </w:t>
      </w:r>
      <w:r w:rsidR="0013259C">
        <w:t>grâce aux</w:t>
      </w:r>
      <w:r w:rsidRPr="00CD70B8">
        <w:t xml:space="preserve"> activités habilitantes</w:t>
      </w:r>
      <w:r w:rsidR="001D3424" w:rsidRPr="00CD70B8">
        <w:t xml:space="preserve">. Un </w:t>
      </w:r>
      <w:r w:rsidR="00FF7B3A">
        <w:t>appui</w:t>
      </w:r>
      <w:r w:rsidRPr="00CD70B8">
        <w:t xml:space="preserve"> sera apporté à la production du rapport national au Protocole de Cartagena dans le cadre </w:t>
      </w:r>
      <w:r w:rsidR="001335EE" w:rsidRPr="00CD70B8">
        <w:t>des activités prévues au titre de l'</w:t>
      </w:r>
      <w:r w:rsidR="00032963" w:rsidRPr="00CD70B8">
        <w:t>objectif 3 du domaine focal de la biodiversité.</w:t>
      </w:r>
    </w:p>
    <w:p w14:paraId="619E7BF9" w14:textId="77777777"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pPr>
      <w:r w:rsidRPr="00CD70B8">
        <w:t>En outre, l</w:t>
      </w:r>
      <w:r w:rsidR="002E6E26" w:rsidRPr="00CD70B8">
        <w:t>'</w:t>
      </w:r>
      <w:r w:rsidRPr="00CD70B8">
        <w:t xml:space="preserve">inclusion d'une cible </w:t>
      </w:r>
      <w:r w:rsidR="005D110E" w:rsidRPr="00CD70B8">
        <w:t xml:space="preserve">spécifique liée à la biosécurité </w:t>
      </w:r>
      <w:r w:rsidRPr="00CD70B8">
        <w:t>dans le ca</w:t>
      </w:r>
      <w:r w:rsidRPr="00CD70B8">
        <w:t xml:space="preserve">dre mondial de la biodiversité pour l'après-2020 </w:t>
      </w:r>
      <w:r w:rsidR="00355323" w:rsidRPr="00CD70B8">
        <w:t xml:space="preserve">offrirait une occasion supplémentaire de </w:t>
      </w:r>
      <w:r w:rsidR="005D110E" w:rsidRPr="00CD70B8">
        <w:t xml:space="preserve">soutenir les activités liées au protocole de Cartagena dans le cadre de la </w:t>
      </w:r>
      <w:r w:rsidR="002E6E26" w:rsidRPr="00CD70B8">
        <w:t>mise en œuvre du cadre mondial</w:t>
      </w:r>
      <w:r w:rsidR="005D110E" w:rsidRPr="00CD70B8">
        <w:t>.</w:t>
      </w:r>
    </w:p>
    <w:p w14:paraId="1806F792" w14:textId="77777777" w:rsidR="005F6CCB" w:rsidRPr="00CD70B8" w:rsidRDefault="002B0CCA">
      <w:pPr>
        <w:pStyle w:val="Para1"/>
        <w:keepNext/>
        <w:numPr>
          <w:ilvl w:val="0"/>
          <w:numId w:val="0"/>
        </w:numPr>
        <w:suppressLineNumbers/>
        <w:suppressAutoHyphens/>
        <w:kinsoku w:val="0"/>
        <w:overflowPunct w:val="0"/>
        <w:autoSpaceDE w:val="0"/>
        <w:autoSpaceDN w:val="0"/>
        <w:snapToGrid w:val="0"/>
        <w:jc w:val="center"/>
        <w:outlineLvl w:val="1"/>
        <w:rPr>
          <w:b/>
        </w:rPr>
      </w:pPr>
      <w:r w:rsidRPr="00CD70B8">
        <w:rPr>
          <w:b/>
        </w:rPr>
        <w:t>D.</w:t>
      </w:r>
      <w:r w:rsidR="007056B7" w:rsidRPr="00CD70B8">
        <w:rPr>
          <w:b/>
        </w:rPr>
        <w:tab/>
      </w:r>
      <w:r w:rsidR="007B458A" w:rsidRPr="00CD70B8">
        <w:rPr>
          <w:b/>
        </w:rPr>
        <w:t>Sixième examen de l'efficacité du mécanisme financier</w:t>
      </w:r>
    </w:p>
    <w:p w14:paraId="5E545608" w14:textId="1B657549"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pPr>
      <w:r w:rsidRPr="00CD70B8">
        <w:t>Da</w:t>
      </w:r>
      <w:r w:rsidRPr="00CD70B8">
        <w:t xml:space="preserve">ns la décision 14/23, les Parties ont prié la Secrétaire exécutive de tenir compte de l'expérience acquise lors des précédents examens de l'efficacité du mécanisme financier </w:t>
      </w:r>
      <w:r w:rsidR="0013259C">
        <w:t>dans l’</w:t>
      </w:r>
      <w:r w:rsidRPr="00CD70B8">
        <w:t>élabor</w:t>
      </w:r>
      <w:r w:rsidR="0013259C">
        <w:t>ation du</w:t>
      </w:r>
      <w:r w:rsidRPr="00CD70B8">
        <w:t xml:space="preserve"> mandat du sixième examen de l'efficacité du mécanisme financ</w:t>
      </w:r>
      <w:r w:rsidRPr="00CD70B8">
        <w:t xml:space="preserve">ier, que la Conférence des Parties examinera à sa quinzième réunion. L'Organe subsidiaire chargé de l'application, à sa troisième réunion, a examiné </w:t>
      </w:r>
      <w:r w:rsidR="00F04592" w:rsidRPr="00CD70B8">
        <w:t xml:space="preserve">le </w:t>
      </w:r>
      <w:r w:rsidRPr="00CD70B8">
        <w:t xml:space="preserve">projet de </w:t>
      </w:r>
      <w:r w:rsidR="006E07F1" w:rsidRPr="00CD70B8">
        <w:t xml:space="preserve">mandat </w:t>
      </w:r>
      <w:r w:rsidR="00F04592" w:rsidRPr="00CD70B8">
        <w:t xml:space="preserve">établi par </w:t>
      </w:r>
      <w:r w:rsidR="0013259C">
        <w:t>l</w:t>
      </w:r>
      <w:r w:rsidR="00B6105D" w:rsidRPr="00CD70B8">
        <w:t>a Secrétaire</w:t>
      </w:r>
      <w:r w:rsidR="00F04592" w:rsidRPr="00CD70B8">
        <w:t xml:space="preserve"> exécuti</w:t>
      </w:r>
      <w:r w:rsidR="00B6105D" w:rsidRPr="00CD70B8">
        <w:t>ve</w:t>
      </w:r>
      <w:r w:rsidR="00F04592" w:rsidRPr="00CD70B8">
        <w:t xml:space="preserve"> et a proposé un mandat </w:t>
      </w:r>
      <w:r w:rsidRPr="00CD70B8">
        <w:t xml:space="preserve">pour examen par la </w:t>
      </w:r>
      <w:r w:rsidR="00F04592" w:rsidRPr="00CD70B8">
        <w:t xml:space="preserve">Conférence des </w:t>
      </w:r>
      <w:r w:rsidRPr="00CD70B8">
        <w:t xml:space="preserve">Parties </w:t>
      </w:r>
      <w:r w:rsidR="00F04592" w:rsidRPr="00CD70B8">
        <w:t>à sa quinzième réunion</w:t>
      </w:r>
      <w:r w:rsidR="00E3761B" w:rsidRPr="00CD70B8">
        <w:t xml:space="preserve">, </w:t>
      </w:r>
      <w:r w:rsidR="00F04592" w:rsidRPr="00CD70B8">
        <w:t>figurant à l'</w:t>
      </w:r>
      <w:r w:rsidR="0094677D" w:rsidRPr="00CD70B8">
        <w:t xml:space="preserve">annexe III de la </w:t>
      </w:r>
      <w:r w:rsidRPr="00CD70B8">
        <w:t xml:space="preserve">recommandation 3/7 </w:t>
      </w:r>
      <w:r w:rsidR="00445E38" w:rsidRPr="00CD70B8">
        <w:t>de l'Organe subsidiaire</w:t>
      </w:r>
      <w:r w:rsidRPr="00CD70B8">
        <w:t>.</w:t>
      </w:r>
    </w:p>
    <w:p w14:paraId="6475615F" w14:textId="7FC1B748"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pPr>
      <w:r w:rsidRPr="00CD70B8">
        <w:t xml:space="preserve">Le sixième examen portera sur l'efficacité du mécanisme financier pour la mise en œuvre de la Convention </w:t>
      </w:r>
      <w:r w:rsidR="00F04592" w:rsidRPr="00CD70B8">
        <w:t xml:space="preserve">et de </w:t>
      </w:r>
      <w:r w:rsidRPr="00CD70B8">
        <w:t>ses Protocoles. À cet égard, les P</w:t>
      </w:r>
      <w:r w:rsidRPr="00CD70B8">
        <w:t xml:space="preserve">arties au </w:t>
      </w:r>
      <w:r w:rsidR="00FF7B3A">
        <w:t>Protocole de Cartagena</w:t>
      </w:r>
      <w:r w:rsidRPr="00CD70B8">
        <w:t xml:space="preserve"> pourraient tirer profit d'une </w:t>
      </w:r>
      <w:r w:rsidR="00E0367F" w:rsidRPr="00CD70B8">
        <w:t xml:space="preserve">participation active </w:t>
      </w:r>
      <w:r w:rsidRPr="00CD70B8">
        <w:t xml:space="preserve">à l'examen et du </w:t>
      </w:r>
      <w:r w:rsidR="00E0367F" w:rsidRPr="00CD70B8">
        <w:t xml:space="preserve">partage de </w:t>
      </w:r>
      <w:r w:rsidRPr="00CD70B8">
        <w:t xml:space="preserve">leurs expériences en matière d'accès et d'utilisation des ressources du FEM. Cet </w:t>
      </w:r>
      <w:r w:rsidR="00575DD7" w:rsidRPr="00CD70B8">
        <w:t xml:space="preserve">examen sera un outil essentiel pour mieux </w:t>
      </w:r>
      <w:r w:rsidR="0010100D" w:rsidRPr="00CD70B8">
        <w:t xml:space="preserve">comprendre </w:t>
      </w:r>
      <w:r w:rsidR="00FF370B" w:rsidRPr="00CD70B8">
        <w:t xml:space="preserve">le contexte spécifique sous-jacent qui a entraîné une faible </w:t>
      </w:r>
      <w:r w:rsidRPr="00CD70B8">
        <w:t xml:space="preserve">utilisation des fonds alloués </w:t>
      </w:r>
      <w:r w:rsidR="00E0367F" w:rsidRPr="00CD70B8">
        <w:t xml:space="preserve">par le FEM </w:t>
      </w:r>
      <w:r w:rsidRPr="00CD70B8">
        <w:t>pour soutenir la mis</w:t>
      </w:r>
      <w:r w:rsidRPr="00CD70B8">
        <w:t xml:space="preserve">e en œuvre du </w:t>
      </w:r>
      <w:r w:rsidR="002907E8" w:rsidRPr="00CD70B8">
        <w:t>Protocole de Cartagena. L'</w:t>
      </w:r>
      <w:r w:rsidR="005D110E" w:rsidRPr="00CD70B8">
        <w:t>examen sera l'</w:t>
      </w:r>
      <w:r w:rsidR="00E0367F" w:rsidRPr="00CD70B8">
        <w:t xml:space="preserve">occasion de </w:t>
      </w:r>
      <w:r w:rsidR="005D110E" w:rsidRPr="00CD70B8">
        <w:t xml:space="preserve">mieux comprendre la contribution des activités de biosécurité aux </w:t>
      </w:r>
      <w:r w:rsidR="00355323" w:rsidRPr="00CD70B8">
        <w:t xml:space="preserve">objectifs stratégiques </w:t>
      </w:r>
      <w:r w:rsidR="0013259C">
        <w:t>relatif à</w:t>
      </w:r>
      <w:r w:rsidR="00663222" w:rsidRPr="00CD70B8">
        <w:t xml:space="preserve"> la </w:t>
      </w:r>
      <w:r w:rsidR="005D110E" w:rsidRPr="00CD70B8">
        <w:t xml:space="preserve">biodiversité </w:t>
      </w:r>
      <w:r w:rsidR="00E13A87" w:rsidRPr="00CD70B8">
        <w:t xml:space="preserve">dans le cadre de la </w:t>
      </w:r>
      <w:r w:rsidR="003C528B" w:rsidRPr="00CD70B8">
        <w:t xml:space="preserve">septième reconstitution </w:t>
      </w:r>
      <w:r w:rsidR="00663222" w:rsidRPr="00CD70B8">
        <w:t xml:space="preserve">et </w:t>
      </w:r>
      <w:r w:rsidR="005323B5" w:rsidRPr="00CD70B8">
        <w:t xml:space="preserve">au </w:t>
      </w:r>
      <w:r w:rsidR="00663222" w:rsidRPr="00CD70B8">
        <w:t xml:space="preserve">renforcement de la </w:t>
      </w:r>
      <w:r w:rsidR="00355323" w:rsidRPr="00CD70B8">
        <w:t>capacité de mise en œuvre du Protocole</w:t>
      </w:r>
      <w:r w:rsidR="00036839" w:rsidRPr="00CD70B8">
        <w:t>.</w:t>
      </w:r>
    </w:p>
    <w:p w14:paraId="06256C02" w14:textId="77777777" w:rsidR="005F6CCB" w:rsidRPr="00CD70B8" w:rsidRDefault="002B0CCA">
      <w:pPr>
        <w:pStyle w:val="Para1"/>
        <w:keepNext/>
        <w:numPr>
          <w:ilvl w:val="0"/>
          <w:numId w:val="0"/>
        </w:numPr>
        <w:suppressLineNumbers/>
        <w:suppressAutoHyphens/>
        <w:kinsoku w:val="0"/>
        <w:overflowPunct w:val="0"/>
        <w:autoSpaceDE w:val="0"/>
        <w:autoSpaceDN w:val="0"/>
        <w:snapToGrid w:val="0"/>
        <w:spacing w:before="240"/>
        <w:jc w:val="center"/>
        <w:outlineLvl w:val="0"/>
        <w:rPr>
          <w:rFonts w:ascii="Times New Roman Bold" w:hAnsi="Times New Roman Bold"/>
        </w:rPr>
      </w:pPr>
      <w:r w:rsidRPr="00CD70B8">
        <w:rPr>
          <w:rFonts w:ascii="Times New Roman Bold" w:hAnsi="Times New Roman Bold"/>
          <w:b/>
          <w:caps/>
        </w:rPr>
        <w:t>III.</w:t>
      </w:r>
      <w:r w:rsidRPr="00CD70B8">
        <w:rPr>
          <w:rFonts w:ascii="Times New Roman Bold" w:hAnsi="Times New Roman Bold"/>
          <w:b/>
          <w:caps/>
        </w:rPr>
        <w:tab/>
      </w:r>
      <w:r w:rsidR="0078484B" w:rsidRPr="00CD70B8">
        <w:rPr>
          <w:rFonts w:ascii="Times New Roman Bold" w:hAnsi="Times New Roman Bold"/>
          <w:b/>
          <w:caps/>
        </w:rPr>
        <w:t>Conclusions</w:t>
      </w:r>
    </w:p>
    <w:p w14:paraId="64AD2AD1" w14:textId="05555246"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rPr>
      </w:pPr>
      <w:r w:rsidRPr="00CD70B8">
        <w:rPr>
          <w:bCs/>
          <w:kern w:val="22"/>
          <w:szCs w:val="22"/>
        </w:rPr>
        <w:t xml:space="preserve">Bien que le </w:t>
      </w:r>
      <w:r w:rsidR="005B781D" w:rsidRPr="00CD70B8">
        <w:rPr>
          <w:bCs/>
          <w:kern w:val="22"/>
          <w:szCs w:val="22"/>
        </w:rPr>
        <w:t>FEM</w:t>
      </w:r>
      <w:r w:rsidRPr="00CD70B8">
        <w:rPr>
          <w:bCs/>
          <w:kern w:val="22"/>
          <w:szCs w:val="22"/>
        </w:rPr>
        <w:t xml:space="preserve">, </w:t>
      </w:r>
      <w:r w:rsidR="0013259C">
        <w:rPr>
          <w:bCs/>
          <w:kern w:val="22"/>
          <w:szCs w:val="22"/>
        </w:rPr>
        <w:t>dans le cadre</w:t>
      </w:r>
      <w:r w:rsidRPr="00CD70B8">
        <w:rPr>
          <w:bCs/>
          <w:kern w:val="22"/>
          <w:szCs w:val="22"/>
        </w:rPr>
        <w:t xml:space="preserve"> de son septième cycle de reconstitution, </w:t>
      </w:r>
      <w:r w:rsidR="00AE524A" w:rsidRPr="00CD70B8">
        <w:rPr>
          <w:bCs/>
          <w:kern w:val="22"/>
          <w:szCs w:val="22"/>
        </w:rPr>
        <w:t xml:space="preserve">ait </w:t>
      </w:r>
      <w:r w:rsidRPr="00CD70B8">
        <w:rPr>
          <w:bCs/>
          <w:kern w:val="22"/>
          <w:szCs w:val="22"/>
        </w:rPr>
        <w:t xml:space="preserve">continué à mettre des </w:t>
      </w:r>
      <w:r w:rsidR="005B781D" w:rsidRPr="00CD70B8">
        <w:rPr>
          <w:bCs/>
          <w:kern w:val="22"/>
          <w:szCs w:val="22"/>
        </w:rPr>
        <w:t xml:space="preserve">fonds à la </w:t>
      </w:r>
      <w:r w:rsidRPr="00CD70B8">
        <w:rPr>
          <w:bCs/>
          <w:kern w:val="22"/>
          <w:szCs w:val="22"/>
        </w:rPr>
        <w:t xml:space="preserve">disposition des </w:t>
      </w:r>
      <w:r w:rsidR="00AE524A" w:rsidRPr="00CD70B8">
        <w:rPr>
          <w:bCs/>
          <w:kern w:val="22"/>
          <w:szCs w:val="22"/>
        </w:rPr>
        <w:t xml:space="preserve">Parties </w:t>
      </w:r>
      <w:r w:rsidRPr="00CD70B8">
        <w:rPr>
          <w:bCs/>
          <w:kern w:val="22"/>
          <w:szCs w:val="22"/>
        </w:rPr>
        <w:t xml:space="preserve">pour la </w:t>
      </w:r>
      <w:r w:rsidR="00AE524A" w:rsidRPr="00CD70B8">
        <w:rPr>
          <w:bCs/>
          <w:kern w:val="22"/>
          <w:szCs w:val="22"/>
        </w:rPr>
        <w:t xml:space="preserve">mise en œuvre du </w:t>
      </w:r>
      <w:r w:rsidR="00FF7B3A">
        <w:rPr>
          <w:bCs/>
          <w:kern w:val="22"/>
          <w:szCs w:val="22"/>
        </w:rPr>
        <w:t>Protocole de Cartagena</w:t>
      </w:r>
      <w:r w:rsidR="00D56992" w:rsidRPr="00CD70B8">
        <w:rPr>
          <w:bCs/>
          <w:kern w:val="22"/>
          <w:szCs w:val="22"/>
        </w:rPr>
        <w:t xml:space="preserve"> </w:t>
      </w:r>
      <w:r w:rsidR="00AE524A" w:rsidRPr="00CD70B8">
        <w:rPr>
          <w:bCs/>
          <w:kern w:val="22"/>
          <w:szCs w:val="22"/>
        </w:rPr>
        <w:t>et du Protocole additionnel de Nagoya-Kuala Lumpur sur la responsabilité et la réparation</w:t>
      </w:r>
      <w:r w:rsidRPr="00CD70B8">
        <w:rPr>
          <w:bCs/>
          <w:kern w:val="22"/>
          <w:szCs w:val="22"/>
        </w:rPr>
        <w:t xml:space="preserve">, </w:t>
      </w:r>
      <w:r w:rsidR="002B5573" w:rsidRPr="00CD70B8">
        <w:rPr>
          <w:bCs/>
          <w:kern w:val="22"/>
          <w:szCs w:val="22"/>
        </w:rPr>
        <w:t xml:space="preserve">l'utilisation de ces </w:t>
      </w:r>
      <w:r w:rsidR="0013259C">
        <w:rPr>
          <w:bCs/>
          <w:kern w:val="22"/>
          <w:szCs w:val="22"/>
        </w:rPr>
        <w:t>fonds</w:t>
      </w:r>
      <w:r w:rsidR="002B5573" w:rsidRPr="00CD70B8">
        <w:rPr>
          <w:bCs/>
          <w:kern w:val="22"/>
          <w:szCs w:val="22"/>
        </w:rPr>
        <w:t xml:space="preserve"> par les Parties a été limitée. Les </w:t>
      </w:r>
      <w:r w:rsidR="00E106AE" w:rsidRPr="00CD70B8">
        <w:rPr>
          <w:bCs/>
          <w:kern w:val="22"/>
          <w:szCs w:val="22"/>
        </w:rPr>
        <w:t xml:space="preserve">processus de ratification ont été directement influencés par le lancement, et surtout l'achèvement, des projets du FEM. </w:t>
      </w:r>
      <w:r w:rsidR="002B5573" w:rsidRPr="00CD70B8">
        <w:rPr>
          <w:bCs/>
          <w:kern w:val="22"/>
          <w:szCs w:val="22"/>
        </w:rPr>
        <w:t xml:space="preserve">Les activités habilitantes soutenues </w:t>
      </w:r>
      <w:r w:rsidR="00E0367F" w:rsidRPr="00CD70B8">
        <w:rPr>
          <w:bCs/>
          <w:kern w:val="22"/>
          <w:szCs w:val="22"/>
        </w:rPr>
        <w:t xml:space="preserve">par le </w:t>
      </w:r>
      <w:r w:rsidR="002B5573" w:rsidRPr="00CD70B8">
        <w:rPr>
          <w:bCs/>
          <w:kern w:val="22"/>
          <w:szCs w:val="22"/>
        </w:rPr>
        <w:t xml:space="preserve">FEM pour </w:t>
      </w:r>
      <w:r w:rsidR="0013259C">
        <w:rPr>
          <w:bCs/>
          <w:kern w:val="22"/>
          <w:szCs w:val="22"/>
        </w:rPr>
        <w:t>l’élaboration</w:t>
      </w:r>
      <w:r w:rsidR="002B5573" w:rsidRPr="00CD70B8">
        <w:rPr>
          <w:bCs/>
          <w:kern w:val="22"/>
          <w:szCs w:val="22"/>
        </w:rPr>
        <w:t xml:space="preserve"> des rapports nationaux et le projet de </w:t>
      </w:r>
      <w:r w:rsidR="00E0367F" w:rsidRPr="00CD70B8">
        <w:rPr>
          <w:bCs/>
          <w:kern w:val="22"/>
          <w:szCs w:val="22"/>
        </w:rPr>
        <w:t xml:space="preserve">troisième phase du Centre d'échange pour la prévention des risques biotechnologiques (CEPRB </w:t>
      </w:r>
      <w:r w:rsidR="002B5573" w:rsidRPr="00CD70B8">
        <w:rPr>
          <w:bCs/>
          <w:kern w:val="22"/>
          <w:szCs w:val="22"/>
        </w:rPr>
        <w:t>III</w:t>
      </w:r>
      <w:r w:rsidR="00E0367F" w:rsidRPr="00CD70B8">
        <w:rPr>
          <w:bCs/>
          <w:kern w:val="22"/>
          <w:szCs w:val="22"/>
        </w:rPr>
        <w:t xml:space="preserve">) </w:t>
      </w:r>
      <w:r w:rsidR="0013259C">
        <w:rPr>
          <w:bCs/>
          <w:kern w:val="22"/>
          <w:szCs w:val="22"/>
        </w:rPr>
        <w:t>contribuent significativement à</w:t>
      </w:r>
      <w:r w:rsidR="002B5573" w:rsidRPr="00CD70B8">
        <w:rPr>
          <w:bCs/>
          <w:kern w:val="22"/>
          <w:szCs w:val="22"/>
        </w:rPr>
        <w:t xml:space="preserve"> la mise en œuvre du Protocole. </w:t>
      </w:r>
    </w:p>
    <w:p w14:paraId="62508690" w14:textId="49E9DCAB"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rPr>
      </w:pPr>
      <w:r w:rsidRPr="00CD70B8">
        <w:rPr>
          <w:bCs/>
          <w:kern w:val="22"/>
          <w:szCs w:val="22"/>
        </w:rPr>
        <w:lastRenderedPageBreak/>
        <w:t xml:space="preserve">Au total, </w:t>
      </w:r>
      <w:r w:rsidR="00AE524A" w:rsidRPr="00CD70B8">
        <w:rPr>
          <w:bCs/>
          <w:kern w:val="22"/>
          <w:szCs w:val="22"/>
        </w:rPr>
        <w:t>71 pays éligibles n'</w:t>
      </w:r>
      <w:r w:rsidR="00172BB1" w:rsidRPr="00CD70B8">
        <w:rPr>
          <w:bCs/>
          <w:kern w:val="22"/>
          <w:szCs w:val="22"/>
        </w:rPr>
        <w:t xml:space="preserve">ont </w:t>
      </w:r>
      <w:r w:rsidR="00AE524A" w:rsidRPr="00CD70B8">
        <w:rPr>
          <w:bCs/>
          <w:kern w:val="22"/>
          <w:szCs w:val="22"/>
        </w:rPr>
        <w:t xml:space="preserve">pas encore demandé </w:t>
      </w:r>
      <w:r w:rsidR="0013259C">
        <w:rPr>
          <w:bCs/>
          <w:kern w:val="22"/>
          <w:szCs w:val="22"/>
        </w:rPr>
        <w:t>d’appui</w:t>
      </w:r>
      <w:r w:rsidR="00AE524A" w:rsidRPr="00CD70B8">
        <w:rPr>
          <w:bCs/>
          <w:kern w:val="22"/>
          <w:szCs w:val="22"/>
        </w:rPr>
        <w:t xml:space="preserve"> pour mettre en œuvre leur </w:t>
      </w:r>
      <w:r w:rsidR="00631673" w:rsidRPr="00CD70B8">
        <w:rPr>
          <w:bCs/>
          <w:kern w:val="22"/>
          <w:szCs w:val="22"/>
        </w:rPr>
        <w:t xml:space="preserve">cadre </w:t>
      </w:r>
      <w:r w:rsidR="00AE524A" w:rsidRPr="00CD70B8">
        <w:rPr>
          <w:bCs/>
          <w:kern w:val="22"/>
          <w:szCs w:val="22"/>
        </w:rPr>
        <w:t xml:space="preserve">national </w:t>
      </w:r>
      <w:r w:rsidR="00631673" w:rsidRPr="00CD70B8">
        <w:rPr>
          <w:bCs/>
          <w:kern w:val="22"/>
          <w:szCs w:val="22"/>
        </w:rPr>
        <w:t xml:space="preserve">de </w:t>
      </w:r>
      <w:r w:rsidR="00AE524A" w:rsidRPr="00CD70B8">
        <w:rPr>
          <w:bCs/>
          <w:kern w:val="22"/>
          <w:szCs w:val="22"/>
        </w:rPr>
        <w:t xml:space="preserve">biosécurité </w:t>
      </w:r>
      <w:r w:rsidR="00E13A87" w:rsidRPr="00CD70B8">
        <w:rPr>
          <w:bCs/>
          <w:kern w:val="22"/>
          <w:szCs w:val="22"/>
        </w:rPr>
        <w:t>en utilisant les modalités du FEM</w:t>
      </w:r>
      <w:r w:rsidR="00631673" w:rsidRPr="00CD70B8">
        <w:rPr>
          <w:bCs/>
          <w:kern w:val="22"/>
          <w:szCs w:val="22"/>
        </w:rPr>
        <w:t xml:space="preserve">. </w:t>
      </w:r>
      <w:r w:rsidR="00BC1696" w:rsidRPr="00CD70B8">
        <w:rPr>
          <w:bCs/>
          <w:kern w:val="22"/>
          <w:szCs w:val="22"/>
        </w:rPr>
        <w:t xml:space="preserve">Cela signifie qu'il y a encore beaucoup de Parties qui pourraient demander un </w:t>
      </w:r>
      <w:r w:rsidR="0013259C">
        <w:rPr>
          <w:bCs/>
          <w:kern w:val="22"/>
          <w:szCs w:val="22"/>
        </w:rPr>
        <w:t>appui</w:t>
      </w:r>
      <w:r w:rsidR="00BC1696" w:rsidRPr="00CD70B8">
        <w:rPr>
          <w:bCs/>
          <w:kern w:val="22"/>
          <w:szCs w:val="22"/>
        </w:rPr>
        <w:t xml:space="preserve">. </w:t>
      </w:r>
    </w:p>
    <w:p w14:paraId="46473F11" w14:textId="79227DC6"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rPr>
      </w:pPr>
      <w:r w:rsidRPr="00CD70B8">
        <w:rPr>
          <w:bCs/>
          <w:kern w:val="22"/>
          <w:szCs w:val="22"/>
        </w:rPr>
        <w:t xml:space="preserve">La structure et le contenu du cadre quadriennal axé sur les résultats des priorités du programme pour la huitième période de </w:t>
      </w:r>
      <w:r w:rsidR="00A93EC6">
        <w:rPr>
          <w:bCs/>
          <w:kern w:val="22"/>
          <w:szCs w:val="22"/>
        </w:rPr>
        <w:t>reconstitution des ressources du FEM</w:t>
      </w:r>
      <w:r w:rsidRPr="00CD70B8">
        <w:rPr>
          <w:bCs/>
          <w:kern w:val="22"/>
          <w:szCs w:val="22"/>
        </w:rPr>
        <w:t xml:space="preserve"> </w:t>
      </w:r>
      <w:r w:rsidR="0033735A" w:rsidRPr="00CD70B8">
        <w:rPr>
          <w:bCs/>
          <w:kern w:val="22"/>
          <w:szCs w:val="22"/>
        </w:rPr>
        <w:t xml:space="preserve">comprennent des </w:t>
      </w:r>
      <w:r w:rsidR="009561F1" w:rsidRPr="00CD70B8">
        <w:rPr>
          <w:bCs/>
          <w:kern w:val="22"/>
          <w:szCs w:val="22"/>
        </w:rPr>
        <w:t xml:space="preserve">éléments </w:t>
      </w:r>
      <w:r w:rsidRPr="00CD70B8">
        <w:rPr>
          <w:bCs/>
          <w:kern w:val="22"/>
          <w:szCs w:val="22"/>
        </w:rPr>
        <w:t xml:space="preserve">du </w:t>
      </w:r>
      <w:r w:rsidR="003B39A9" w:rsidRPr="00CD70B8">
        <w:rPr>
          <w:bCs/>
          <w:kern w:val="22"/>
          <w:szCs w:val="22"/>
        </w:rPr>
        <w:t xml:space="preserve">projet de </w:t>
      </w:r>
      <w:r w:rsidRPr="00CD70B8">
        <w:rPr>
          <w:bCs/>
          <w:kern w:val="22"/>
          <w:szCs w:val="22"/>
        </w:rPr>
        <w:t>plan de mise en œuvre et du plan d'action pour le renfor</w:t>
      </w:r>
      <w:r w:rsidRPr="00CD70B8">
        <w:rPr>
          <w:bCs/>
          <w:kern w:val="22"/>
          <w:szCs w:val="22"/>
        </w:rPr>
        <w:t xml:space="preserve">cement des capacités pour le Protocole de Cartagena (CBD/SBI/3/18) et les résultats de la </w:t>
      </w:r>
      <w:r w:rsidR="00E3751C" w:rsidRPr="00CD70B8">
        <w:rPr>
          <w:bCs/>
          <w:kern w:val="22"/>
          <w:szCs w:val="22"/>
        </w:rPr>
        <w:t xml:space="preserve">quatrième </w:t>
      </w:r>
      <w:r w:rsidRPr="00CD70B8">
        <w:rPr>
          <w:bCs/>
          <w:kern w:val="22"/>
          <w:szCs w:val="22"/>
        </w:rPr>
        <w:t xml:space="preserve">évaluation et du </w:t>
      </w:r>
      <w:r w:rsidR="00E3751C" w:rsidRPr="00CD70B8">
        <w:rPr>
          <w:bCs/>
          <w:kern w:val="22"/>
          <w:szCs w:val="22"/>
        </w:rPr>
        <w:t xml:space="preserve">quatrième </w:t>
      </w:r>
      <w:r w:rsidRPr="00CD70B8">
        <w:rPr>
          <w:bCs/>
          <w:kern w:val="22"/>
          <w:szCs w:val="22"/>
        </w:rPr>
        <w:t xml:space="preserve">examen du </w:t>
      </w:r>
      <w:r w:rsidR="00FF7B3A">
        <w:rPr>
          <w:bCs/>
          <w:kern w:val="22"/>
          <w:szCs w:val="22"/>
        </w:rPr>
        <w:t>Protocole de Cartagena</w:t>
      </w:r>
      <w:r w:rsidR="009561F1" w:rsidRPr="00CD70B8">
        <w:rPr>
          <w:bCs/>
          <w:kern w:val="22"/>
          <w:szCs w:val="22"/>
        </w:rPr>
        <w:t xml:space="preserve">, </w:t>
      </w:r>
      <w:r w:rsidR="0013259C">
        <w:rPr>
          <w:bCs/>
          <w:kern w:val="22"/>
          <w:szCs w:val="22"/>
        </w:rPr>
        <w:t>qui</w:t>
      </w:r>
      <w:r w:rsidR="009561F1" w:rsidRPr="00CD70B8">
        <w:rPr>
          <w:bCs/>
          <w:kern w:val="22"/>
          <w:szCs w:val="22"/>
        </w:rPr>
        <w:t xml:space="preserve"> fournissent tous des informations utiles sur les mesures prises par les Parties en matière de prévention des risques biotechnologiques </w:t>
      </w:r>
      <w:r w:rsidR="0013259C">
        <w:rPr>
          <w:bCs/>
          <w:kern w:val="22"/>
          <w:szCs w:val="22"/>
        </w:rPr>
        <w:t>pouvant</w:t>
      </w:r>
      <w:r w:rsidR="009561F1" w:rsidRPr="00CD70B8">
        <w:rPr>
          <w:bCs/>
          <w:kern w:val="22"/>
          <w:szCs w:val="22"/>
        </w:rPr>
        <w:t xml:space="preserve"> être utiles </w:t>
      </w:r>
      <w:r w:rsidR="0013259C">
        <w:rPr>
          <w:bCs/>
          <w:kern w:val="22"/>
          <w:szCs w:val="22"/>
        </w:rPr>
        <w:t>dans</w:t>
      </w:r>
      <w:r w:rsidR="009561F1" w:rsidRPr="00CD70B8">
        <w:rPr>
          <w:bCs/>
          <w:kern w:val="22"/>
          <w:szCs w:val="22"/>
        </w:rPr>
        <w:t xml:space="preserve"> la planification des prochaines orientations de programmation</w:t>
      </w:r>
      <w:r w:rsidRPr="00CD70B8">
        <w:rPr>
          <w:bCs/>
          <w:kern w:val="22"/>
          <w:szCs w:val="22"/>
        </w:rPr>
        <w:t>.</w:t>
      </w:r>
    </w:p>
    <w:p w14:paraId="364B5993" w14:textId="3241AB2F"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rPr>
      </w:pPr>
      <w:r w:rsidRPr="00CD70B8">
        <w:rPr>
          <w:bCs/>
          <w:kern w:val="22"/>
          <w:szCs w:val="22"/>
        </w:rPr>
        <w:t xml:space="preserve">La biosécurité est un domaine hautement technique et spécialisé. Les compétences requises pour la mise en œuvre complète du </w:t>
      </w:r>
      <w:r w:rsidRPr="00CD70B8">
        <w:rPr>
          <w:bCs/>
          <w:kern w:val="22"/>
          <w:szCs w:val="22"/>
        </w:rPr>
        <w:t>Protocole de Cartagena nécessitent une formation systématique et à long terme du personnel</w:t>
      </w:r>
      <w:r w:rsidR="00E0367F" w:rsidRPr="00CD70B8">
        <w:rPr>
          <w:bCs/>
          <w:kern w:val="22"/>
          <w:szCs w:val="22"/>
        </w:rPr>
        <w:t xml:space="preserve">. </w:t>
      </w:r>
      <w:r w:rsidR="003D7D8A" w:rsidRPr="00CD70B8">
        <w:rPr>
          <w:bCs/>
        </w:rPr>
        <w:t xml:space="preserve">En outre, dans le cadre de la </w:t>
      </w:r>
      <w:r w:rsidR="00D31050" w:rsidRPr="00CD70B8">
        <w:rPr>
          <w:bCs/>
        </w:rPr>
        <w:t xml:space="preserve">quatrième évaluation et du quatrième examen du Protocole et de l'évaluation finale du Plan stratégique pour le </w:t>
      </w:r>
      <w:r w:rsidR="00FF7B3A">
        <w:rPr>
          <w:bCs/>
        </w:rPr>
        <w:t>Protocole de Cartagena</w:t>
      </w:r>
      <w:r w:rsidR="00D31050" w:rsidRPr="00CD70B8">
        <w:rPr>
          <w:bCs/>
        </w:rPr>
        <w:t xml:space="preserve"> pour la période 2011-2020, l'</w:t>
      </w:r>
      <w:r w:rsidR="0094160F" w:rsidRPr="00CD70B8">
        <w:rPr>
          <w:bCs/>
        </w:rPr>
        <w:t>Organe subsidiaire chargé de l'application</w:t>
      </w:r>
      <w:r w:rsidR="007E6F6B" w:rsidRPr="00CD70B8">
        <w:rPr>
          <w:bCs/>
        </w:rPr>
        <w:t xml:space="preserve">, lors de sa troisième réunion, a </w:t>
      </w:r>
      <w:r w:rsidR="00054FC1" w:rsidRPr="00CD70B8">
        <w:rPr>
          <w:bCs/>
        </w:rPr>
        <w:t xml:space="preserve">recommandé à la </w:t>
      </w:r>
      <w:r w:rsidR="00040119" w:rsidRPr="00CD70B8">
        <w:rPr>
          <w:bCs/>
        </w:rPr>
        <w:t xml:space="preserve">Conférence des Parties </w:t>
      </w:r>
      <w:r w:rsidR="003D7D8A" w:rsidRPr="00CD70B8">
        <w:rPr>
          <w:bCs/>
        </w:rPr>
        <w:t xml:space="preserve">siégeant </w:t>
      </w:r>
      <w:r w:rsidR="00040119" w:rsidRPr="00CD70B8">
        <w:rPr>
          <w:bCs/>
        </w:rPr>
        <w:t xml:space="preserve">en tant que Réunion des Parties au Protocole de </w:t>
      </w:r>
      <w:r w:rsidR="003D7D8A" w:rsidRPr="00CD70B8">
        <w:rPr>
          <w:bCs/>
        </w:rPr>
        <w:t xml:space="preserve">noter </w:t>
      </w:r>
      <w:r w:rsidR="0013259C">
        <w:rPr>
          <w:bCs/>
        </w:rPr>
        <w:t xml:space="preserve">en particulier </w:t>
      </w:r>
      <w:r w:rsidR="003D7D8A" w:rsidRPr="00CD70B8">
        <w:rPr>
          <w:bCs/>
        </w:rPr>
        <w:t>que seule la moitié environ des Parties au Protocole avait pleinement mis en place des mesures juridiques, administratives et autres pour la mise en œuvre du Protocole, et d'exhorter les Parties qui ne l'ont pas encore fait à mettre en place leur cadre national de prévention des risques biotechnologiques, en particulier la législation sur la prévention des risques biotechnologiques, en priorité (</w:t>
      </w:r>
      <w:r w:rsidR="00531AEB" w:rsidRPr="00CD70B8">
        <w:rPr>
          <w:bCs/>
        </w:rPr>
        <w:t xml:space="preserve">recommandation 3/2 </w:t>
      </w:r>
      <w:r w:rsidR="00B17F95" w:rsidRPr="00CD70B8">
        <w:rPr>
          <w:bCs/>
        </w:rPr>
        <w:t>de l'Organe subsidiaire</w:t>
      </w:r>
      <w:r w:rsidR="003D7D8A" w:rsidRPr="00CD70B8">
        <w:rPr>
          <w:bCs/>
        </w:rPr>
        <w:t>).</w:t>
      </w:r>
    </w:p>
    <w:p w14:paraId="03B8338C" w14:textId="77777777"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bCs/>
          <w:kern w:val="22"/>
          <w:szCs w:val="22"/>
        </w:rPr>
      </w:pPr>
      <w:r w:rsidRPr="00CD70B8">
        <w:rPr>
          <w:bCs/>
          <w:kern w:val="22"/>
          <w:szCs w:val="22"/>
        </w:rPr>
        <w:t xml:space="preserve">On ignore </w:t>
      </w:r>
      <w:r w:rsidR="00E0367F" w:rsidRPr="00CD70B8">
        <w:rPr>
          <w:bCs/>
          <w:kern w:val="22"/>
          <w:szCs w:val="22"/>
        </w:rPr>
        <w:t xml:space="preserve">clairement </w:t>
      </w:r>
      <w:r w:rsidRPr="00CD70B8">
        <w:rPr>
          <w:bCs/>
          <w:kern w:val="22"/>
          <w:szCs w:val="22"/>
        </w:rPr>
        <w:t xml:space="preserve">à ce stade combien de demandes de projets de biosécurité les Parties soumettront au FEM au cours du </w:t>
      </w:r>
      <w:r w:rsidR="00A73F68" w:rsidRPr="00CD70B8">
        <w:rPr>
          <w:bCs/>
          <w:kern w:val="22"/>
          <w:szCs w:val="22"/>
        </w:rPr>
        <w:t xml:space="preserve">huitième </w:t>
      </w:r>
      <w:r w:rsidRPr="00CD70B8">
        <w:rPr>
          <w:bCs/>
          <w:kern w:val="22"/>
          <w:szCs w:val="22"/>
        </w:rPr>
        <w:t xml:space="preserve">cycle de reconstitution, mais </w:t>
      </w:r>
      <w:r w:rsidR="00AE524A" w:rsidRPr="00CD70B8">
        <w:rPr>
          <w:bCs/>
          <w:kern w:val="22"/>
          <w:szCs w:val="22"/>
        </w:rPr>
        <w:t xml:space="preserve">si ces pays décident d'utiliser une partie de leurs allocations FEM pour la biosécurité, le niveau </w:t>
      </w:r>
      <w:r w:rsidR="00A04CA6" w:rsidRPr="00CD70B8">
        <w:rPr>
          <w:bCs/>
          <w:kern w:val="22"/>
          <w:szCs w:val="22"/>
        </w:rPr>
        <w:t xml:space="preserve">mondial de </w:t>
      </w:r>
      <w:r w:rsidR="00593F3D" w:rsidRPr="00CD70B8">
        <w:rPr>
          <w:bCs/>
          <w:kern w:val="22"/>
          <w:szCs w:val="22"/>
        </w:rPr>
        <w:t xml:space="preserve">mise en œuvre et de </w:t>
      </w:r>
      <w:r w:rsidR="00AE524A" w:rsidRPr="00CD70B8">
        <w:rPr>
          <w:bCs/>
          <w:kern w:val="22"/>
          <w:szCs w:val="22"/>
        </w:rPr>
        <w:t xml:space="preserve">respect du Protocole pourrait s'améliorer considérablement. </w:t>
      </w:r>
      <w:r w:rsidRPr="00CD70B8">
        <w:rPr>
          <w:bCs/>
          <w:kern w:val="22"/>
          <w:szCs w:val="22"/>
        </w:rPr>
        <w:t xml:space="preserve">En outre, la ratification et l'adoption du Protocole additionnel de Nagoya </w:t>
      </w:r>
      <w:r w:rsidR="00651A68" w:rsidRPr="00CD70B8">
        <w:rPr>
          <w:kern w:val="22"/>
        </w:rPr>
        <w:t xml:space="preserve">- </w:t>
      </w:r>
      <w:r w:rsidRPr="00CD70B8">
        <w:rPr>
          <w:bCs/>
          <w:kern w:val="22"/>
          <w:szCs w:val="22"/>
        </w:rPr>
        <w:t>Kuala Lumpur sur la responsabilité et la réparation pourraient également avoir un impact positif si les Pa</w:t>
      </w:r>
      <w:r w:rsidRPr="00CD70B8">
        <w:rPr>
          <w:bCs/>
          <w:kern w:val="22"/>
          <w:szCs w:val="22"/>
        </w:rPr>
        <w:t>rties décident d'utiliser les fonds du FEM pour des projets de biosécurité.</w:t>
      </w:r>
    </w:p>
    <w:p w14:paraId="4C9E3EDA" w14:textId="0B0C3E0F"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bCs/>
        </w:rPr>
      </w:pPr>
      <w:r w:rsidRPr="00CD70B8">
        <w:rPr>
          <w:bCs/>
          <w:kern w:val="22"/>
          <w:szCs w:val="22"/>
        </w:rPr>
        <w:t xml:space="preserve">Les développements concernant la composante de mobilisation des ressources du </w:t>
      </w:r>
      <w:r w:rsidR="00E0367F" w:rsidRPr="00CD70B8">
        <w:rPr>
          <w:bCs/>
          <w:kern w:val="22"/>
          <w:szCs w:val="22"/>
        </w:rPr>
        <w:t xml:space="preserve">cadre </w:t>
      </w:r>
      <w:r w:rsidRPr="00CD70B8">
        <w:rPr>
          <w:bCs/>
          <w:kern w:val="22"/>
          <w:szCs w:val="22"/>
        </w:rPr>
        <w:t>mondial de la biodiversité pour l'après-2020 sont également pertinents pour le Protocole de Cart</w:t>
      </w:r>
      <w:r w:rsidRPr="00CD70B8">
        <w:rPr>
          <w:bCs/>
          <w:kern w:val="22"/>
          <w:szCs w:val="22"/>
        </w:rPr>
        <w:t xml:space="preserve">agena. </w:t>
      </w:r>
      <w:r w:rsidR="003C1C67" w:rsidRPr="00CD70B8">
        <w:rPr>
          <w:bCs/>
          <w:kern w:val="22"/>
          <w:szCs w:val="22"/>
        </w:rPr>
        <w:t xml:space="preserve">Les Parties au </w:t>
      </w:r>
      <w:r w:rsidR="002B5573" w:rsidRPr="00CD70B8">
        <w:rPr>
          <w:bCs/>
          <w:kern w:val="22"/>
          <w:szCs w:val="22"/>
        </w:rPr>
        <w:t xml:space="preserve">Protocole </w:t>
      </w:r>
      <w:r w:rsidR="003C1C67" w:rsidRPr="00CD70B8">
        <w:rPr>
          <w:bCs/>
          <w:kern w:val="22"/>
          <w:szCs w:val="22"/>
        </w:rPr>
        <w:t xml:space="preserve">ont la possibilité d'inclure des considérations de biosécurité dans </w:t>
      </w:r>
      <w:r w:rsidR="002B5573" w:rsidRPr="00CD70B8">
        <w:rPr>
          <w:bCs/>
          <w:kern w:val="22"/>
          <w:szCs w:val="22"/>
        </w:rPr>
        <w:t xml:space="preserve">la </w:t>
      </w:r>
      <w:r w:rsidR="003C1C67" w:rsidRPr="00CD70B8">
        <w:rPr>
          <w:bCs/>
          <w:kern w:val="22"/>
        </w:rPr>
        <w:t xml:space="preserve">mise à jour et la mise en œuvre de plans de financement nationaux ou d'instruments similaires basés sur des stratégies et des plans d'action nationaux en matière de biodiversité, en vue de mobiliser des ressources adéquates pour la mise en œuvre effective du cadre mondial de la biodiversité pour l'après-2020. La Conférence des Parties siégeant en tant que Réunion des Parties au Protocole de Cartagena pourrait souhaiter examiner comment la composante de mobilisation des ressources du cadre mondial de la biodiversité pour l'après-2020 peut soutenir la mise en œuvre du Protocole, ainsi que la réalisation de la </w:t>
      </w:r>
      <w:r w:rsidR="002B5573" w:rsidRPr="00CD70B8">
        <w:rPr>
          <w:bCs/>
          <w:kern w:val="22"/>
        </w:rPr>
        <w:t>cible pertinente en matière de biosécurité.</w:t>
      </w:r>
    </w:p>
    <w:p w14:paraId="6DDE057D" w14:textId="3A2EEAE8"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bCs/>
        </w:rPr>
      </w:pPr>
      <w:r w:rsidRPr="00CD70B8">
        <w:rPr>
          <w:bCs/>
          <w:kern w:val="22"/>
          <w:szCs w:val="22"/>
        </w:rPr>
        <w:t xml:space="preserve">Le Comité d'application </w:t>
      </w:r>
      <w:r w:rsidR="0069034E" w:rsidRPr="00CD70B8">
        <w:rPr>
          <w:bCs/>
          <w:kern w:val="22"/>
          <w:szCs w:val="22"/>
        </w:rPr>
        <w:t xml:space="preserve">du </w:t>
      </w:r>
      <w:r w:rsidR="00FF7B3A">
        <w:rPr>
          <w:bCs/>
          <w:kern w:val="22"/>
          <w:szCs w:val="22"/>
        </w:rPr>
        <w:t>Protocole de Cartagena</w:t>
      </w:r>
      <w:r w:rsidRPr="00CD70B8">
        <w:rPr>
          <w:bCs/>
          <w:kern w:val="22"/>
          <w:szCs w:val="22"/>
        </w:rPr>
        <w:t xml:space="preserve"> a formulé plusieurs recommandations à examiner </w:t>
      </w:r>
      <w:r w:rsidR="00CA21A4" w:rsidRPr="00CD70B8">
        <w:rPr>
          <w:bCs/>
          <w:kern w:val="22"/>
          <w:szCs w:val="22"/>
        </w:rPr>
        <w:t xml:space="preserve">par </w:t>
      </w:r>
      <w:r w:rsidR="00F33CAB" w:rsidRPr="00CD70B8">
        <w:rPr>
          <w:bCs/>
          <w:kern w:val="22"/>
          <w:szCs w:val="22"/>
        </w:rPr>
        <w:t>la Conférence des Parties siégeant en tant que Réunion des Parties</w:t>
      </w:r>
      <w:r w:rsidR="009B7B39" w:rsidRPr="00CD70B8">
        <w:rPr>
          <w:bCs/>
          <w:kern w:val="22"/>
          <w:szCs w:val="22"/>
        </w:rPr>
        <w:t xml:space="preserve">, </w:t>
      </w:r>
      <w:r w:rsidR="00A15A59" w:rsidRPr="00CD70B8">
        <w:rPr>
          <w:bCs/>
          <w:kern w:val="22"/>
          <w:szCs w:val="22"/>
        </w:rPr>
        <w:t xml:space="preserve">comme indiqué dans </w:t>
      </w:r>
      <w:r w:rsidR="009B7B39" w:rsidRPr="00CD70B8">
        <w:rPr>
          <w:bCs/>
          <w:kern w:val="22"/>
          <w:szCs w:val="22"/>
        </w:rPr>
        <w:t xml:space="preserve">son </w:t>
      </w:r>
      <w:r w:rsidR="00A15A59" w:rsidRPr="00CD70B8">
        <w:rPr>
          <w:bCs/>
          <w:kern w:val="22"/>
          <w:szCs w:val="22"/>
        </w:rPr>
        <w:t>rapport</w:t>
      </w:r>
      <w:r w:rsidR="00682861" w:rsidRPr="00CD70B8">
        <w:rPr>
          <w:bCs/>
          <w:kern w:val="22"/>
          <w:szCs w:val="22"/>
        </w:rPr>
        <w:t xml:space="preserve">. </w:t>
      </w:r>
      <w:r w:rsidR="00A15A59" w:rsidRPr="00CD70B8">
        <w:rPr>
          <w:rStyle w:val="FootnoteReference"/>
          <w:bCs/>
          <w:kern w:val="22"/>
          <w:szCs w:val="22"/>
        </w:rPr>
        <w:footnoteReference w:id="5"/>
      </w:r>
    </w:p>
    <w:p w14:paraId="79857382" w14:textId="6D60EC7D" w:rsidR="005F6CCB" w:rsidRPr="00CD70B8" w:rsidRDefault="002B0CCA">
      <w:pPr>
        <w:pStyle w:val="Para1"/>
        <w:keepNext/>
        <w:numPr>
          <w:ilvl w:val="0"/>
          <w:numId w:val="0"/>
        </w:numPr>
        <w:suppressLineNumbers/>
        <w:suppressAutoHyphens/>
        <w:kinsoku w:val="0"/>
        <w:overflowPunct w:val="0"/>
        <w:autoSpaceDE w:val="0"/>
        <w:autoSpaceDN w:val="0"/>
        <w:snapToGrid w:val="0"/>
        <w:jc w:val="center"/>
        <w:outlineLvl w:val="0"/>
        <w:rPr>
          <w:b/>
        </w:rPr>
      </w:pPr>
      <w:r w:rsidRPr="00CD70B8">
        <w:rPr>
          <w:b/>
        </w:rPr>
        <w:t>IV.</w:t>
      </w:r>
      <w:r w:rsidRPr="00CD70B8">
        <w:rPr>
          <w:b/>
        </w:rPr>
        <w:tab/>
      </w:r>
      <w:r w:rsidR="00FD1804" w:rsidRPr="00CD70B8">
        <w:rPr>
          <w:rFonts w:ascii="Times New Roman Bold" w:hAnsi="Times New Roman Bold"/>
          <w:b/>
          <w:caps/>
        </w:rPr>
        <w:t>Éléments sugg</w:t>
      </w:r>
      <w:r w:rsidR="0013259C">
        <w:rPr>
          <w:rFonts w:ascii="Times New Roman Bold" w:hAnsi="Times New Roman Bold"/>
          <w:b/>
          <w:caps/>
        </w:rPr>
        <w:t>É</w:t>
      </w:r>
      <w:r w:rsidR="00FD1804" w:rsidRPr="00CD70B8">
        <w:rPr>
          <w:rFonts w:ascii="Times New Roman Bold" w:hAnsi="Times New Roman Bold"/>
          <w:b/>
          <w:caps/>
        </w:rPr>
        <w:t>r</w:t>
      </w:r>
      <w:r w:rsidR="0013259C">
        <w:rPr>
          <w:rFonts w:ascii="Times New Roman Bold" w:hAnsi="Times New Roman Bold"/>
          <w:b/>
          <w:caps/>
        </w:rPr>
        <w:t>E</w:t>
      </w:r>
      <w:r w:rsidR="00FD1804" w:rsidRPr="00CD70B8">
        <w:rPr>
          <w:rFonts w:ascii="Times New Roman Bold" w:hAnsi="Times New Roman Bold"/>
          <w:b/>
          <w:caps/>
        </w:rPr>
        <w:t>s pour un projet de d</w:t>
      </w:r>
      <w:r w:rsidR="0013259C">
        <w:rPr>
          <w:rFonts w:ascii="Times New Roman Bold" w:hAnsi="Times New Roman Bold"/>
          <w:b/>
          <w:caps/>
        </w:rPr>
        <w:t>É</w:t>
      </w:r>
      <w:r w:rsidR="00FD1804" w:rsidRPr="00CD70B8">
        <w:rPr>
          <w:rFonts w:ascii="Times New Roman Bold" w:hAnsi="Times New Roman Bold"/>
          <w:b/>
          <w:caps/>
        </w:rPr>
        <w:t>cision</w:t>
      </w:r>
    </w:p>
    <w:p w14:paraId="0FAD4009" w14:textId="67376AA2" w:rsidR="005F6CCB" w:rsidRPr="00CD70B8" w:rsidRDefault="002B0CCA">
      <w:pPr>
        <w:pStyle w:val="Para1"/>
        <w:numPr>
          <w:ilvl w:val="0"/>
          <w:numId w:val="6"/>
        </w:numPr>
        <w:suppressLineNumbers/>
        <w:tabs>
          <w:tab w:val="clear" w:pos="360"/>
          <w:tab w:val="num" w:pos="720"/>
        </w:tabs>
        <w:suppressAutoHyphens/>
        <w:kinsoku w:val="0"/>
        <w:overflowPunct w:val="0"/>
        <w:autoSpaceDE w:val="0"/>
        <w:autoSpaceDN w:val="0"/>
        <w:snapToGrid w:val="0"/>
        <w:rPr>
          <w:kern w:val="22"/>
          <w:szCs w:val="22"/>
        </w:rPr>
      </w:pPr>
      <w:bookmarkStart w:id="5" w:name="_Hlk526085439"/>
      <w:r w:rsidRPr="00CD70B8">
        <w:rPr>
          <w:szCs w:val="22"/>
        </w:rPr>
        <w:t>À l</w:t>
      </w:r>
      <w:r w:rsidRPr="00CD70B8">
        <w:rPr>
          <w:szCs w:val="22"/>
        </w:rPr>
        <w:t xml:space="preserve">a lumière des informations présentées ci-dessus et compte tenu des recommandations formulées par le Comité d'examen du respect des dispositions </w:t>
      </w:r>
      <w:r w:rsidR="004D25E7" w:rsidRPr="00CD70B8">
        <w:rPr>
          <w:szCs w:val="22"/>
        </w:rPr>
        <w:t>du Protocole de Cartagena concernant le mécanisme de financement et les ressources financières,</w:t>
      </w:r>
      <w:r w:rsidR="0003287A" w:rsidRPr="00CD70B8">
        <w:rPr>
          <w:rStyle w:val="FootnoteReference"/>
          <w:szCs w:val="22"/>
        </w:rPr>
        <w:footnoteReference w:id="6"/>
      </w:r>
      <w:r w:rsidR="00603673" w:rsidRPr="00CD70B8">
        <w:rPr>
          <w:szCs w:val="22"/>
        </w:rPr>
        <w:t xml:space="preserve"> la Conférence des Parties </w:t>
      </w:r>
      <w:r w:rsidR="007B38B8" w:rsidRPr="00CD70B8">
        <w:rPr>
          <w:szCs w:val="22"/>
        </w:rPr>
        <w:t xml:space="preserve">siégeant </w:t>
      </w:r>
      <w:r w:rsidR="00603673" w:rsidRPr="00CD70B8">
        <w:rPr>
          <w:szCs w:val="22"/>
        </w:rPr>
        <w:t xml:space="preserve">en tant que </w:t>
      </w:r>
      <w:r w:rsidR="00603673" w:rsidRPr="00CD70B8">
        <w:rPr>
          <w:bCs/>
          <w:kern w:val="22"/>
          <w:szCs w:val="22"/>
        </w:rPr>
        <w:t xml:space="preserve">Réunion </w:t>
      </w:r>
      <w:r w:rsidR="00603673" w:rsidRPr="00CD70B8">
        <w:rPr>
          <w:szCs w:val="22"/>
        </w:rPr>
        <w:t xml:space="preserve">des Parties au Protocole de </w:t>
      </w:r>
      <w:r w:rsidR="00BA1181" w:rsidRPr="00CD70B8">
        <w:rPr>
          <w:szCs w:val="22"/>
        </w:rPr>
        <w:t xml:space="preserve">Cartagena </w:t>
      </w:r>
      <w:r w:rsidR="007B38B8" w:rsidRPr="00CD70B8">
        <w:rPr>
          <w:szCs w:val="22"/>
        </w:rPr>
        <w:t xml:space="preserve">souhaitera peut-être </w:t>
      </w:r>
      <w:r w:rsidR="0003287A" w:rsidRPr="00CD70B8">
        <w:rPr>
          <w:szCs w:val="22"/>
        </w:rPr>
        <w:t>adopter une décision sur la mise en œuvre de l'article 28 relatif au mécanisme de financement et aux ressources financières</w:t>
      </w:r>
      <w:r w:rsidR="00F672D2" w:rsidRPr="00CD70B8">
        <w:rPr>
          <w:szCs w:val="22"/>
        </w:rPr>
        <w:t xml:space="preserve">, </w:t>
      </w:r>
      <w:r w:rsidR="0078370D">
        <w:rPr>
          <w:szCs w:val="22"/>
        </w:rPr>
        <w:t>comme suit</w:t>
      </w:r>
      <w:r w:rsidR="0003287A" w:rsidRPr="00CD70B8">
        <w:rPr>
          <w:szCs w:val="22"/>
        </w:rPr>
        <w:t xml:space="preserve"> </w:t>
      </w:r>
      <w:r w:rsidR="007B38B8" w:rsidRPr="00CD70B8">
        <w:rPr>
          <w:szCs w:val="22"/>
        </w:rPr>
        <w:t>:</w:t>
      </w:r>
    </w:p>
    <w:p w14:paraId="047E4BDA" w14:textId="3A5D5CB7" w:rsidR="005F6CCB" w:rsidRPr="00CD70B8" w:rsidRDefault="002B0CCA">
      <w:pPr>
        <w:pStyle w:val="ListParagraph"/>
        <w:spacing w:before="120" w:after="120"/>
        <w:ind w:left="0" w:firstLine="720"/>
        <w:contextualSpacing w:val="0"/>
        <w:rPr>
          <w:i/>
          <w:iCs/>
          <w:szCs w:val="22"/>
        </w:rPr>
      </w:pPr>
      <w:r w:rsidRPr="00CD70B8">
        <w:rPr>
          <w:i/>
          <w:iCs/>
          <w:szCs w:val="22"/>
        </w:rPr>
        <w:t xml:space="preserve">La </w:t>
      </w:r>
      <w:r w:rsidRPr="00CD70B8">
        <w:rPr>
          <w:i/>
          <w:iCs/>
          <w:szCs w:val="22"/>
        </w:rPr>
        <w:t xml:space="preserve">Conférence des Parties siégeant en tant que Réunion des Parties au Protocole de Cartagena </w:t>
      </w:r>
    </w:p>
    <w:p w14:paraId="7C308E9B" w14:textId="25B166A9" w:rsidR="005F6CCB" w:rsidRPr="00CD70B8" w:rsidRDefault="002B0CCA">
      <w:pPr>
        <w:spacing w:before="120" w:after="120"/>
        <w:ind w:firstLine="709"/>
        <w:rPr>
          <w:szCs w:val="22"/>
          <w:lang w:eastAsia="en-GB"/>
        </w:rPr>
      </w:pPr>
      <w:r w:rsidRPr="00CD70B8">
        <w:rPr>
          <w:szCs w:val="22"/>
          <w:lang w:eastAsia="en-GB"/>
        </w:rPr>
        <w:lastRenderedPageBreak/>
        <w:t>1.</w:t>
      </w:r>
      <w:r w:rsidRPr="00CD70B8">
        <w:rPr>
          <w:i/>
          <w:iCs/>
          <w:szCs w:val="22"/>
          <w:lang w:eastAsia="en-GB"/>
        </w:rPr>
        <w:tab/>
      </w:r>
      <w:r w:rsidR="00226367" w:rsidRPr="00CD70B8">
        <w:rPr>
          <w:i/>
          <w:iCs/>
          <w:szCs w:val="22"/>
          <w:lang w:eastAsia="en-GB"/>
        </w:rPr>
        <w:t xml:space="preserve">Se félicite de </w:t>
      </w:r>
      <w:r w:rsidR="00323713" w:rsidRPr="00CD70B8">
        <w:rPr>
          <w:szCs w:val="22"/>
          <w:lang w:eastAsia="en-GB"/>
        </w:rPr>
        <w:t xml:space="preserve">la </w:t>
      </w:r>
      <w:r w:rsidR="00323713" w:rsidRPr="00CD70B8">
        <w:rPr>
          <w:rFonts w:eastAsia="MS Mincho"/>
          <w:iCs/>
          <w:szCs w:val="22"/>
        </w:rPr>
        <w:t xml:space="preserve">huitième </w:t>
      </w:r>
      <w:r w:rsidR="00323713" w:rsidRPr="00CD70B8">
        <w:rPr>
          <w:szCs w:val="22"/>
          <w:lang w:eastAsia="en-GB"/>
        </w:rPr>
        <w:t xml:space="preserve">reconstitution </w:t>
      </w:r>
      <w:r w:rsidR="00A93EC6">
        <w:rPr>
          <w:szCs w:val="22"/>
          <w:lang w:eastAsia="en-GB"/>
        </w:rPr>
        <w:t>des ressources</w:t>
      </w:r>
      <w:r w:rsidR="00323713" w:rsidRPr="00CD70B8">
        <w:rPr>
          <w:szCs w:val="22"/>
          <w:lang w:eastAsia="en-GB"/>
        </w:rPr>
        <w:t xml:space="preserve"> du Fonds pour l'environnement mondial </w:t>
      </w:r>
      <w:r w:rsidR="000D1A1D" w:rsidRPr="00CD70B8">
        <w:rPr>
          <w:szCs w:val="22"/>
          <w:lang w:eastAsia="en-GB"/>
        </w:rPr>
        <w:t xml:space="preserve">et de ses </w:t>
      </w:r>
      <w:r w:rsidR="00F672D2" w:rsidRPr="00CD70B8">
        <w:rPr>
          <w:szCs w:val="22"/>
          <w:lang w:eastAsia="en-GB"/>
        </w:rPr>
        <w:t>orientations de programmation</w:t>
      </w:r>
      <w:r w:rsidR="000D1A1D" w:rsidRPr="00CD70B8">
        <w:rPr>
          <w:szCs w:val="22"/>
          <w:lang w:eastAsia="en-GB"/>
        </w:rPr>
        <w:t xml:space="preserve">, ainsi que </w:t>
      </w:r>
      <w:r w:rsidR="0013259C">
        <w:rPr>
          <w:szCs w:val="22"/>
          <w:lang w:eastAsia="en-GB"/>
        </w:rPr>
        <w:t>de son appui</w:t>
      </w:r>
      <w:r w:rsidR="000D1A1D" w:rsidRPr="00CD70B8">
        <w:rPr>
          <w:szCs w:val="22"/>
          <w:lang w:eastAsia="en-GB"/>
        </w:rPr>
        <w:t xml:space="preserve"> aux Parties pour la mise en œuvre du Protocole de Cartagena </w:t>
      </w:r>
      <w:r w:rsidR="00372946" w:rsidRPr="00CD70B8">
        <w:rPr>
          <w:szCs w:val="22"/>
          <w:lang w:eastAsia="en-GB"/>
        </w:rPr>
        <w:t>;</w:t>
      </w:r>
    </w:p>
    <w:p w14:paraId="6DDBDB26" w14:textId="7083A714" w:rsidR="005F6CCB" w:rsidRPr="00CD70B8" w:rsidRDefault="002B0CCA">
      <w:pPr>
        <w:spacing w:before="120" w:after="120"/>
        <w:ind w:firstLine="709"/>
        <w:rPr>
          <w:szCs w:val="22"/>
          <w:lang w:eastAsia="en-GB"/>
        </w:rPr>
      </w:pPr>
      <w:r w:rsidRPr="00CD70B8">
        <w:rPr>
          <w:szCs w:val="22"/>
          <w:lang w:eastAsia="en-GB"/>
        </w:rPr>
        <w:t>2</w:t>
      </w:r>
      <w:r w:rsidRPr="00CD70B8">
        <w:rPr>
          <w:i/>
          <w:iCs/>
          <w:szCs w:val="22"/>
          <w:lang w:eastAsia="en-GB"/>
        </w:rPr>
        <w:t>.</w:t>
      </w:r>
      <w:r w:rsidRPr="00CD70B8">
        <w:rPr>
          <w:i/>
          <w:iCs/>
          <w:szCs w:val="22"/>
          <w:lang w:eastAsia="en-GB"/>
        </w:rPr>
        <w:tab/>
      </w:r>
      <w:r w:rsidR="00036839" w:rsidRPr="00CD70B8">
        <w:rPr>
          <w:i/>
          <w:iCs/>
          <w:szCs w:val="22"/>
          <w:lang w:eastAsia="en-GB"/>
        </w:rPr>
        <w:t xml:space="preserve">Note avec inquiétude </w:t>
      </w:r>
      <w:r w:rsidR="00036839" w:rsidRPr="00CD70B8">
        <w:rPr>
          <w:szCs w:val="22"/>
          <w:lang w:eastAsia="en-GB"/>
        </w:rPr>
        <w:t xml:space="preserve">que </w:t>
      </w:r>
      <w:r w:rsidR="00036839" w:rsidRPr="00CD70B8">
        <w:rPr>
          <w:rFonts w:eastAsia="MS Mincho"/>
          <w:iCs/>
          <w:szCs w:val="22"/>
        </w:rPr>
        <w:t xml:space="preserve">très peu de projets ont été présentés pour </w:t>
      </w:r>
      <w:r w:rsidR="000D095F">
        <w:rPr>
          <w:rFonts w:eastAsia="MS Mincho"/>
          <w:iCs/>
          <w:szCs w:val="22"/>
        </w:rPr>
        <w:t>appuyer</w:t>
      </w:r>
      <w:r w:rsidR="00036839" w:rsidRPr="00CD70B8">
        <w:rPr>
          <w:rFonts w:eastAsia="MS Mincho"/>
          <w:iCs/>
          <w:szCs w:val="22"/>
        </w:rPr>
        <w:t xml:space="preserve"> la mise en œuvre du </w:t>
      </w:r>
      <w:r w:rsidR="00FF7B3A">
        <w:rPr>
          <w:rFonts w:eastAsia="MS Mincho"/>
          <w:iCs/>
          <w:szCs w:val="22"/>
        </w:rPr>
        <w:t>Protocole de Cartagena</w:t>
      </w:r>
      <w:r w:rsidR="00036839" w:rsidRPr="00CD70B8">
        <w:rPr>
          <w:rFonts w:eastAsia="MS Mincho"/>
          <w:iCs/>
          <w:szCs w:val="22"/>
        </w:rPr>
        <w:t xml:space="preserve"> au cours de la </w:t>
      </w:r>
      <w:r w:rsidR="00F672D2" w:rsidRPr="00CD70B8">
        <w:rPr>
          <w:rFonts w:eastAsia="MS Mincho"/>
          <w:iCs/>
          <w:szCs w:val="22"/>
        </w:rPr>
        <w:t xml:space="preserve">septième période de reconstitution des ressources du Fonds pour l'environnement mondial </w:t>
      </w:r>
      <w:r w:rsidR="00DD1A24" w:rsidRPr="00CD70B8">
        <w:rPr>
          <w:rFonts w:eastAsia="MS Mincho"/>
          <w:iCs/>
          <w:szCs w:val="22"/>
        </w:rPr>
        <w:t>;</w:t>
      </w:r>
    </w:p>
    <w:p w14:paraId="267330F9" w14:textId="41A5E264" w:rsidR="005F6CCB" w:rsidRPr="00CD70B8" w:rsidRDefault="002B0CCA">
      <w:pPr>
        <w:pStyle w:val="ListParagraph"/>
        <w:spacing w:before="120" w:after="120"/>
        <w:ind w:left="0" w:firstLine="709"/>
        <w:contextualSpacing w:val="0"/>
        <w:rPr>
          <w:szCs w:val="22"/>
        </w:rPr>
      </w:pPr>
      <w:r w:rsidRPr="00CD70B8">
        <w:rPr>
          <w:szCs w:val="22"/>
        </w:rPr>
        <w:t>3.</w:t>
      </w:r>
      <w:r w:rsidRPr="00CD70B8">
        <w:rPr>
          <w:i/>
          <w:iCs/>
          <w:szCs w:val="22"/>
        </w:rPr>
        <w:tab/>
      </w:r>
      <w:r w:rsidR="00372946" w:rsidRPr="00CD70B8">
        <w:rPr>
          <w:i/>
          <w:iCs/>
          <w:szCs w:val="22"/>
        </w:rPr>
        <w:t xml:space="preserve">Recommande </w:t>
      </w:r>
      <w:r w:rsidR="00372946" w:rsidRPr="00CD70B8">
        <w:rPr>
          <w:szCs w:val="22"/>
        </w:rPr>
        <w:t xml:space="preserve">que la Conférence des Parties, lorsqu'elle adoptera ses </w:t>
      </w:r>
      <w:r w:rsidR="000D095F">
        <w:rPr>
          <w:szCs w:val="22"/>
        </w:rPr>
        <w:t>orientations</w:t>
      </w:r>
      <w:r w:rsidR="00372946" w:rsidRPr="00CD70B8">
        <w:rPr>
          <w:szCs w:val="22"/>
        </w:rPr>
        <w:t xml:space="preserve"> </w:t>
      </w:r>
      <w:r w:rsidR="0013259C">
        <w:rPr>
          <w:szCs w:val="22"/>
        </w:rPr>
        <w:t>à l’intention du</w:t>
      </w:r>
      <w:r w:rsidR="00372946" w:rsidRPr="00CD70B8">
        <w:rPr>
          <w:szCs w:val="22"/>
        </w:rPr>
        <w:t xml:space="preserve"> </w:t>
      </w:r>
      <w:r w:rsidR="00F672D2" w:rsidRPr="00CD70B8">
        <w:rPr>
          <w:szCs w:val="22"/>
        </w:rPr>
        <w:t>Fonds pour l'environnement mondial concernant l'</w:t>
      </w:r>
      <w:r w:rsidR="00372946" w:rsidRPr="00CD70B8">
        <w:rPr>
          <w:szCs w:val="22"/>
        </w:rPr>
        <w:t xml:space="preserve">appui à la mise en œuvre du Protocole de Cartagena, invite </w:t>
      </w:r>
      <w:r w:rsidR="000D095F">
        <w:rPr>
          <w:szCs w:val="22"/>
        </w:rPr>
        <w:t>celui-ci à</w:t>
      </w:r>
      <w:r w:rsidR="0013259C">
        <w:rPr>
          <w:szCs w:val="22"/>
        </w:rPr>
        <w:t xml:space="preserve"> </w:t>
      </w:r>
      <w:r w:rsidR="00372946" w:rsidRPr="00CD70B8">
        <w:rPr>
          <w:szCs w:val="22"/>
        </w:rPr>
        <w:t>:</w:t>
      </w:r>
    </w:p>
    <w:p w14:paraId="2C2A9727" w14:textId="214C51B4" w:rsidR="005F6CCB" w:rsidRPr="00CD70B8" w:rsidRDefault="002B0CCA">
      <w:pPr>
        <w:spacing w:before="120" w:after="120"/>
        <w:ind w:firstLine="720"/>
        <w:rPr>
          <w:szCs w:val="22"/>
        </w:rPr>
      </w:pPr>
      <w:r w:rsidRPr="00CD70B8">
        <w:rPr>
          <w:szCs w:val="22"/>
        </w:rPr>
        <w:t>a)</w:t>
      </w:r>
      <w:r w:rsidRPr="00CD70B8">
        <w:rPr>
          <w:szCs w:val="22"/>
        </w:rPr>
        <w:tab/>
      </w:r>
      <w:r w:rsidR="00372946" w:rsidRPr="00CD70B8">
        <w:rPr>
          <w:szCs w:val="22"/>
        </w:rPr>
        <w:t xml:space="preserve">Mettre des fonds à disposition en temps voulu pour aider les Parties éligibles à </w:t>
      </w:r>
      <w:r w:rsidR="0013259C">
        <w:rPr>
          <w:szCs w:val="22"/>
        </w:rPr>
        <w:t>élaborer</w:t>
      </w:r>
      <w:r w:rsidR="00372946" w:rsidRPr="00CD70B8">
        <w:rPr>
          <w:szCs w:val="22"/>
        </w:rPr>
        <w:t xml:space="preserve"> et à soumettre leur cinquième rapport national ;</w:t>
      </w:r>
    </w:p>
    <w:p w14:paraId="78F56CB6" w14:textId="0330C2C5" w:rsidR="005F6CCB" w:rsidRPr="00CD70B8" w:rsidRDefault="002B0CCA">
      <w:pPr>
        <w:spacing w:before="120" w:after="120"/>
        <w:ind w:firstLine="720"/>
      </w:pPr>
      <w:r w:rsidRPr="00CD70B8">
        <w:t>b)</w:t>
      </w:r>
      <w:r w:rsidRPr="00CD70B8">
        <w:tab/>
      </w:r>
      <w:r w:rsidR="00372946" w:rsidRPr="00CD70B8">
        <w:t>Mettre des fonds à disposition pour aider les Parties à mettre en œuvre les plans d'action relatifs au respect des dispositions du Protocole ;</w:t>
      </w:r>
    </w:p>
    <w:p w14:paraId="7A586F22" w14:textId="52151361" w:rsidR="005F6CCB" w:rsidRPr="00CD70B8" w:rsidRDefault="002B0CCA">
      <w:pPr>
        <w:spacing w:before="120" w:after="120"/>
        <w:ind w:firstLine="720"/>
      </w:pPr>
      <w:r w:rsidRPr="00CD70B8">
        <w:t>c)</w:t>
      </w:r>
      <w:r w:rsidRPr="00CD70B8">
        <w:tab/>
      </w:r>
      <w:r w:rsidR="00372946" w:rsidRPr="00CD70B8">
        <w:t xml:space="preserve">Mettre des fonds spécifiques à la disposition des Parties éligibles pour i) </w:t>
      </w:r>
      <w:r w:rsidR="00036839" w:rsidRPr="00CD70B8">
        <w:t xml:space="preserve">soutenir l'élaboration et la mise en œuvre de mesures juridiques, administratives et autres </w:t>
      </w:r>
      <w:r w:rsidR="00A93EC6">
        <w:t>aux fins de l’application du</w:t>
      </w:r>
      <w:r w:rsidR="00036839" w:rsidRPr="00CD70B8">
        <w:t xml:space="preserve"> Protocole </w:t>
      </w:r>
      <w:r w:rsidR="00796EEE" w:rsidRPr="00CD70B8">
        <w:t>(</w:t>
      </w:r>
      <w:r w:rsidR="00822B65" w:rsidRPr="00CD70B8">
        <w:t>y compris l'</w:t>
      </w:r>
      <w:r w:rsidR="00036839" w:rsidRPr="00CD70B8">
        <w:t xml:space="preserve">évaluation et la gestion des risques ; la détection et l'identification des organismes vivants modifiés ; la sensibilisation, l'éducation et la participation du public ; les </w:t>
      </w:r>
      <w:r w:rsidR="00822B65" w:rsidRPr="00CD70B8">
        <w:t xml:space="preserve">considérations </w:t>
      </w:r>
      <w:r w:rsidR="00036839" w:rsidRPr="00CD70B8">
        <w:t xml:space="preserve">socio-économiques </w:t>
      </w:r>
      <w:r w:rsidR="00822B65" w:rsidRPr="00CD70B8">
        <w:t xml:space="preserve">; la responsabilité </w:t>
      </w:r>
      <w:r w:rsidR="00036839" w:rsidRPr="00CD70B8">
        <w:t xml:space="preserve">et la réparation ; l'établissement de rapports nationaux ; </w:t>
      </w:r>
      <w:r w:rsidR="00796EEE" w:rsidRPr="00CD70B8">
        <w:t xml:space="preserve">et le </w:t>
      </w:r>
      <w:r w:rsidR="00036839" w:rsidRPr="00CD70B8">
        <w:t>transfert de technologie</w:t>
      </w:r>
      <w:r w:rsidR="00796EEE" w:rsidRPr="00CD70B8">
        <w:t xml:space="preserve">) </w:t>
      </w:r>
      <w:r w:rsidR="00036839" w:rsidRPr="00CD70B8">
        <w:t xml:space="preserve">; </w:t>
      </w:r>
      <w:r w:rsidR="002358F5" w:rsidRPr="00CD70B8">
        <w:t xml:space="preserve">et </w:t>
      </w:r>
      <w:r w:rsidR="00644721" w:rsidRPr="00CD70B8">
        <w:t>ii) aider les Parties éligibles à mettre en œuvre des plans d'action relatifs au respect du Protocole ;</w:t>
      </w:r>
    </w:p>
    <w:p w14:paraId="2DAC76A5" w14:textId="15BCA480" w:rsidR="005F6CCB" w:rsidRPr="00CD70B8" w:rsidRDefault="002B0CCA">
      <w:pPr>
        <w:pStyle w:val="ListParagraph"/>
        <w:spacing w:before="120" w:after="120"/>
        <w:ind w:left="0" w:firstLine="709"/>
        <w:contextualSpacing w:val="0"/>
        <w:rPr>
          <w:snapToGrid w:val="0"/>
          <w:kern w:val="22"/>
          <w:szCs w:val="22"/>
        </w:rPr>
      </w:pPr>
      <w:r w:rsidRPr="00CD70B8">
        <w:rPr>
          <w:snapToGrid w:val="0"/>
          <w:kern w:val="22"/>
          <w:szCs w:val="22"/>
        </w:rPr>
        <w:t>4.</w:t>
      </w:r>
      <w:r w:rsidRPr="00CD70B8">
        <w:rPr>
          <w:i/>
          <w:iCs/>
          <w:snapToGrid w:val="0"/>
          <w:kern w:val="22"/>
          <w:szCs w:val="22"/>
        </w:rPr>
        <w:tab/>
      </w:r>
      <w:r w:rsidR="00AB6828" w:rsidRPr="00CD70B8">
        <w:rPr>
          <w:i/>
          <w:iCs/>
          <w:snapToGrid w:val="0"/>
          <w:kern w:val="22"/>
          <w:szCs w:val="22"/>
        </w:rPr>
        <w:t xml:space="preserve">Exhorte les </w:t>
      </w:r>
      <w:r w:rsidR="00AB6828" w:rsidRPr="00CD70B8">
        <w:rPr>
          <w:snapToGrid w:val="0"/>
          <w:kern w:val="22"/>
          <w:szCs w:val="22"/>
        </w:rPr>
        <w:t xml:space="preserve">Parties à la Convention qui sont également Parties au Protocole de Cartagena à </w:t>
      </w:r>
      <w:r w:rsidR="001D3424" w:rsidRPr="00CD70B8">
        <w:rPr>
          <w:snapToGrid w:val="0"/>
          <w:kern w:val="22"/>
          <w:szCs w:val="22"/>
        </w:rPr>
        <w:t xml:space="preserve">inclure des projets de biosécurité </w:t>
      </w:r>
      <w:r w:rsidR="00F672D2" w:rsidRPr="00CD70B8">
        <w:rPr>
          <w:snapToGrid w:val="0"/>
          <w:kern w:val="22"/>
          <w:szCs w:val="22"/>
        </w:rPr>
        <w:t xml:space="preserve">dans </w:t>
      </w:r>
      <w:r w:rsidR="000D095F">
        <w:rPr>
          <w:snapToGrid w:val="0"/>
          <w:kern w:val="22"/>
          <w:szCs w:val="22"/>
        </w:rPr>
        <w:t>le cadre de l’</w:t>
      </w:r>
      <w:r w:rsidR="00F672D2" w:rsidRPr="00CD70B8">
        <w:rPr>
          <w:snapToGrid w:val="0"/>
          <w:kern w:val="22"/>
          <w:szCs w:val="22"/>
        </w:rPr>
        <w:t xml:space="preserve">utilisation des fonds alloués au titre du </w:t>
      </w:r>
      <w:r w:rsidR="00A85960" w:rsidRPr="00CD70B8">
        <w:t xml:space="preserve">Système d'allocation transparente des ressources </w:t>
      </w:r>
      <w:r w:rsidR="00F672D2" w:rsidRPr="00CD70B8">
        <w:t xml:space="preserve">pour la </w:t>
      </w:r>
      <w:r w:rsidR="00A85960" w:rsidRPr="00CD70B8">
        <w:t xml:space="preserve">huitième reconstitution </w:t>
      </w:r>
      <w:r w:rsidR="00A93EC6">
        <w:t>des ressources</w:t>
      </w:r>
      <w:r w:rsidR="00A85960" w:rsidRPr="00CD70B8">
        <w:t xml:space="preserve"> du Fonds pour l'environnement mondial, en tenant compte de leurs obligations au titre du </w:t>
      </w:r>
      <w:r w:rsidR="00FF7B3A">
        <w:t>Protocole de Cartagena</w:t>
      </w:r>
      <w:r w:rsidR="00A85960" w:rsidRPr="00CD70B8">
        <w:t xml:space="preserve">, du plan de mise en œuvre </w:t>
      </w:r>
      <w:r w:rsidR="00E66946">
        <w:t>après</w:t>
      </w:r>
      <w:r w:rsidR="00A85960" w:rsidRPr="00CD70B8">
        <w:t xml:space="preserve">-2020 et du plan d'action pour le renforcement des capacités </w:t>
      </w:r>
      <w:r w:rsidR="00F672D2" w:rsidRPr="00CD70B8">
        <w:t xml:space="preserve">du Protocole de Cartagena, </w:t>
      </w:r>
      <w:r w:rsidR="00A85960" w:rsidRPr="00CD70B8">
        <w:t xml:space="preserve">ainsi que des </w:t>
      </w:r>
      <w:r w:rsidR="000D095F">
        <w:t>orientations</w:t>
      </w:r>
      <w:r w:rsidR="00A85960" w:rsidRPr="00CD70B8">
        <w:t xml:space="preserve"> de la Conférence des Parties au </w:t>
      </w:r>
      <w:r w:rsidR="00F672D2" w:rsidRPr="00CD70B8">
        <w:t xml:space="preserve">Fonds pour l'environnement mondial </w:t>
      </w:r>
      <w:r w:rsidR="00734AA3" w:rsidRPr="00CD70B8">
        <w:t>;</w:t>
      </w:r>
    </w:p>
    <w:p w14:paraId="4C506531" w14:textId="27D7170B" w:rsidR="005F6CCB" w:rsidRPr="00CD70B8" w:rsidRDefault="002B0CCA">
      <w:pPr>
        <w:pStyle w:val="ListParagraph"/>
        <w:spacing w:before="120" w:after="120"/>
        <w:ind w:left="0" w:firstLine="709"/>
        <w:contextualSpacing w:val="0"/>
        <w:rPr>
          <w:rFonts w:asciiTheme="majorBidi" w:hAnsiTheme="majorBidi" w:cstheme="majorBidi"/>
        </w:rPr>
      </w:pPr>
      <w:r w:rsidRPr="00CD70B8">
        <w:rPr>
          <w:rFonts w:asciiTheme="majorBidi" w:hAnsiTheme="majorBidi" w:cstheme="majorBidi"/>
        </w:rPr>
        <w:t>5.</w:t>
      </w:r>
      <w:r w:rsidRPr="00CD70B8">
        <w:rPr>
          <w:rFonts w:asciiTheme="majorBidi" w:hAnsiTheme="majorBidi" w:cstheme="majorBidi"/>
          <w:i/>
          <w:iCs/>
        </w:rPr>
        <w:tab/>
      </w:r>
      <w:r w:rsidR="002B5573" w:rsidRPr="00CD70B8">
        <w:rPr>
          <w:rFonts w:asciiTheme="majorBidi" w:hAnsiTheme="majorBidi" w:cstheme="majorBidi"/>
          <w:i/>
          <w:iCs/>
        </w:rPr>
        <w:t xml:space="preserve">Encourage les </w:t>
      </w:r>
      <w:r w:rsidR="002B5573" w:rsidRPr="00CD70B8">
        <w:rPr>
          <w:rFonts w:asciiTheme="majorBidi" w:hAnsiTheme="majorBidi" w:cstheme="majorBidi"/>
        </w:rPr>
        <w:t xml:space="preserve">Parties à </w:t>
      </w:r>
      <w:r w:rsidR="00F672D2" w:rsidRPr="00CD70B8">
        <w:rPr>
          <w:rFonts w:asciiTheme="majorBidi" w:hAnsiTheme="majorBidi" w:cstheme="majorBidi"/>
        </w:rPr>
        <w:t xml:space="preserve">inclure les besoins et les </w:t>
      </w:r>
      <w:r w:rsidR="002B5573" w:rsidRPr="00CD70B8">
        <w:rPr>
          <w:rFonts w:asciiTheme="majorBidi" w:hAnsiTheme="majorBidi" w:cstheme="majorBidi"/>
        </w:rPr>
        <w:t xml:space="preserve">dispositions </w:t>
      </w:r>
      <w:r w:rsidR="00DD6E5B">
        <w:rPr>
          <w:rFonts w:asciiTheme="majorBidi" w:hAnsiTheme="majorBidi" w:cstheme="majorBidi"/>
        </w:rPr>
        <w:t>relatifs à</w:t>
      </w:r>
      <w:r w:rsidR="002B5573" w:rsidRPr="00CD70B8">
        <w:rPr>
          <w:rFonts w:asciiTheme="majorBidi" w:hAnsiTheme="majorBidi" w:cstheme="majorBidi"/>
        </w:rPr>
        <w:t xml:space="preserve"> la mise en œuvre du Protocole de Cartagena dans </w:t>
      </w:r>
      <w:r w:rsidR="00F672D2" w:rsidRPr="00CD70B8">
        <w:rPr>
          <w:rFonts w:asciiTheme="majorBidi" w:hAnsiTheme="majorBidi" w:cstheme="majorBidi"/>
        </w:rPr>
        <w:t xml:space="preserve">leurs </w:t>
      </w:r>
      <w:r w:rsidR="002B5573" w:rsidRPr="00CD70B8">
        <w:rPr>
          <w:rFonts w:asciiTheme="majorBidi" w:hAnsiTheme="majorBidi" w:cstheme="majorBidi"/>
        </w:rPr>
        <w:t xml:space="preserve">plans nationaux de financement de la biodiversité et dans leur mise en œuvre </w:t>
      </w:r>
      <w:r w:rsidR="00E90470" w:rsidRPr="00CD70B8">
        <w:rPr>
          <w:rFonts w:asciiTheme="majorBidi" w:hAnsiTheme="majorBidi" w:cstheme="majorBidi"/>
        </w:rPr>
        <w:t xml:space="preserve">de la </w:t>
      </w:r>
      <w:r w:rsidR="002B5573" w:rsidRPr="00CD70B8">
        <w:rPr>
          <w:rFonts w:asciiTheme="majorBidi" w:hAnsiTheme="majorBidi" w:cstheme="majorBidi"/>
        </w:rPr>
        <w:t xml:space="preserve">stratégie de mobilisation des ressources pour la période </w:t>
      </w:r>
      <w:r w:rsidR="00E66946">
        <w:rPr>
          <w:rFonts w:asciiTheme="majorBidi" w:hAnsiTheme="majorBidi" w:cstheme="majorBidi"/>
        </w:rPr>
        <w:t>après</w:t>
      </w:r>
      <w:r w:rsidR="002B5573" w:rsidRPr="00CD70B8">
        <w:rPr>
          <w:rFonts w:asciiTheme="majorBidi" w:hAnsiTheme="majorBidi" w:cstheme="majorBidi"/>
        </w:rPr>
        <w:t>-2020</w:t>
      </w:r>
      <w:r w:rsidR="00E90470" w:rsidRPr="00CD70B8">
        <w:rPr>
          <w:rFonts w:asciiTheme="majorBidi" w:hAnsiTheme="majorBidi" w:cstheme="majorBidi"/>
        </w:rPr>
        <w:t xml:space="preserve">. </w:t>
      </w:r>
    </w:p>
    <w:bookmarkEnd w:id="5"/>
    <w:p w14:paraId="4346ED0E" w14:textId="77777777" w:rsidR="005F6CCB" w:rsidRPr="00CD70B8" w:rsidRDefault="002B0CCA">
      <w:pPr>
        <w:spacing w:before="120" w:after="120"/>
        <w:jc w:val="center"/>
      </w:pPr>
      <w:r w:rsidRPr="00CD70B8">
        <w:t>________</w:t>
      </w:r>
    </w:p>
    <w:sectPr w:rsidR="005F6CCB" w:rsidRPr="00CD70B8" w:rsidSect="005E4025">
      <w:headerReference w:type="even" r:id="rId18"/>
      <w:headerReference w:type="default" r:id="rId19"/>
      <w:type w:val="continuous"/>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47B3C" w14:textId="77777777" w:rsidR="00CA12FF" w:rsidRDefault="00CA12FF" w:rsidP="00CF1848">
      <w:r>
        <w:separator/>
      </w:r>
    </w:p>
  </w:endnote>
  <w:endnote w:type="continuationSeparator" w:id="0">
    <w:p w14:paraId="454E5679" w14:textId="77777777" w:rsidR="00CA12FF" w:rsidRDefault="00CA12F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E7164" w14:textId="77777777" w:rsidR="00CA12FF" w:rsidRDefault="00CA12FF" w:rsidP="00CF1848">
      <w:r>
        <w:separator/>
      </w:r>
    </w:p>
  </w:footnote>
  <w:footnote w:type="continuationSeparator" w:id="0">
    <w:p w14:paraId="1F1DB447" w14:textId="77777777" w:rsidR="00CA12FF" w:rsidRDefault="00CA12FF" w:rsidP="00CF1848">
      <w:r>
        <w:continuationSeparator/>
      </w:r>
    </w:p>
  </w:footnote>
  <w:footnote w:id="1">
    <w:p w14:paraId="45424D7B" w14:textId="77777777" w:rsidR="005F6CCB" w:rsidRPr="002B0CCA" w:rsidRDefault="002B0CCA">
      <w:pPr>
        <w:pStyle w:val="FootnoteText"/>
        <w:ind w:firstLine="0"/>
        <w:rPr>
          <w:szCs w:val="18"/>
          <w:lang w:val="fr-CA"/>
        </w:rPr>
      </w:pPr>
      <w:r w:rsidRPr="00D34FA0">
        <w:rPr>
          <w:rStyle w:val="FootnoteReference"/>
          <w:sz w:val="18"/>
          <w:szCs w:val="18"/>
        </w:rPr>
        <w:footnoteRef/>
      </w:r>
      <w:r w:rsidRPr="002B0CCA">
        <w:rPr>
          <w:szCs w:val="18"/>
          <w:lang w:val="fr-CA"/>
        </w:rPr>
        <w:t xml:space="preserve"> CBD/COP/15/8.</w:t>
      </w:r>
    </w:p>
  </w:footnote>
  <w:footnote w:id="2">
    <w:p w14:paraId="1BA33610" w14:textId="77777777" w:rsidR="005F6CCB" w:rsidRPr="002B0CCA" w:rsidRDefault="002B0CCA">
      <w:pPr>
        <w:pStyle w:val="FootnoteText"/>
        <w:ind w:firstLine="0"/>
        <w:rPr>
          <w:szCs w:val="18"/>
          <w:lang w:val="fr-CA"/>
        </w:rPr>
      </w:pPr>
      <w:r w:rsidRPr="00D34FA0">
        <w:rPr>
          <w:rStyle w:val="FootnoteReference"/>
          <w:sz w:val="18"/>
          <w:szCs w:val="18"/>
        </w:rPr>
        <w:footnoteRef/>
      </w:r>
      <w:r w:rsidRPr="002B0CCA">
        <w:rPr>
          <w:szCs w:val="18"/>
          <w:lang w:val="fr-CA"/>
        </w:rPr>
        <w:t xml:space="preserve"> GEF/R.7/22</w:t>
      </w:r>
      <w:r w:rsidR="00734AA3" w:rsidRPr="00895032">
        <w:rPr>
          <w:szCs w:val="18"/>
        </w:rPr>
        <w:t>.</w:t>
      </w:r>
    </w:p>
  </w:footnote>
  <w:footnote w:id="3">
    <w:p w14:paraId="5F5DB723" w14:textId="77777777" w:rsidR="005F6CCB" w:rsidRPr="002B0CCA" w:rsidRDefault="002B0CCA">
      <w:pPr>
        <w:pStyle w:val="FootnoteText"/>
        <w:ind w:firstLine="0"/>
        <w:rPr>
          <w:szCs w:val="18"/>
          <w:lang w:val="fr-CA"/>
        </w:rPr>
      </w:pPr>
      <w:r w:rsidRPr="00D34FA0">
        <w:rPr>
          <w:rStyle w:val="FootnoteReference"/>
          <w:sz w:val="18"/>
          <w:szCs w:val="18"/>
        </w:rPr>
        <w:footnoteRef/>
      </w:r>
      <w:r w:rsidRPr="002B0CCA">
        <w:rPr>
          <w:lang w:val="fr-CA"/>
        </w:rPr>
        <w:t xml:space="preserve"> Annexe I à la recommandation 3/7 de l'Organe subsidiaire chargé de l'application.</w:t>
      </w:r>
    </w:p>
  </w:footnote>
  <w:footnote w:id="4">
    <w:p w14:paraId="2947A3D1" w14:textId="77777777" w:rsidR="005F6CCB" w:rsidRDefault="002B0CCA">
      <w:pPr>
        <w:pStyle w:val="FootnoteText"/>
        <w:ind w:firstLine="0"/>
        <w:rPr>
          <w:lang w:val="en-US"/>
        </w:rPr>
      </w:pPr>
      <w:r>
        <w:rPr>
          <w:rStyle w:val="FootnoteReference"/>
        </w:rPr>
        <w:footnoteRef/>
      </w:r>
      <w:r w:rsidRPr="00E8723F">
        <w:rPr>
          <w:snapToGrid w:val="0"/>
          <w:szCs w:val="20"/>
          <w:lang w:val="en-US"/>
        </w:rPr>
        <w:t xml:space="preserve"> GEF/R.08/29/Rev.01.</w:t>
      </w:r>
    </w:p>
  </w:footnote>
  <w:footnote w:id="5">
    <w:p w14:paraId="3C644432" w14:textId="77777777" w:rsidR="005F6CCB" w:rsidRDefault="002B0CCA">
      <w:pPr>
        <w:pStyle w:val="FootnoteText"/>
        <w:ind w:firstLine="0"/>
        <w:rPr>
          <w:szCs w:val="18"/>
          <w:lang w:val="en-US"/>
        </w:rPr>
      </w:pPr>
      <w:r w:rsidRPr="00214946">
        <w:rPr>
          <w:rStyle w:val="FootnoteReference"/>
          <w:sz w:val="18"/>
          <w:szCs w:val="18"/>
        </w:rPr>
        <w:footnoteRef/>
      </w:r>
      <w:r w:rsidR="00822B65" w:rsidRPr="002B0CCA">
        <w:rPr>
          <w:szCs w:val="18"/>
          <w:lang w:val="en-US"/>
        </w:rPr>
        <w:t xml:space="preserve"> CBD/CP/MOP/10/2</w:t>
      </w:r>
      <w:r w:rsidR="00C54BD5" w:rsidRPr="002B0CCA">
        <w:rPr>
          <w:szCs w:val="18"/>
          <w:lang w:val="en-US"/>
        </w:rPr>
        <w:t>.</w:t>
      </w:r>
    </w:p>
  </w:footnote>
  <w:footnote w:id="6">
    <w:p w14:paraId="6D98FFA3" w14:textId="77777777" w:rsidR="005F6CCB" w:rsidRDefault="002B0CCA">
      <w:pPr>
        <w:pStyle w:val="FootnoteText"/>
        <w:ind w:firstLine="0"/>
      </w:pPr>
      <w:r w:rsidRPr="00214946">
        <w:rPr>
          <w:rStyle w:val="FootnoteReference"/>
          <w:sz w:val="18"/>
          <w:szCs w:val="18"/>
        </w:rPr>
        <w:footnoteRef/>
      </w:r>
      <w:r w:rsidRPr="003D17ED">
        <w:rPr>
          <w:szCs w:val="18"/>
        </w:rPr>
        <w:t xml:space="preserve"> CBD/CP/MOP/10/2</w:t>
      </w:r>
      <w:r w:rsidR="0015288A" w:rsidRPr="003D17ED">
        <w:rPr>
          <w:szCs w:val="18"/>
        </w:rPr>
        <w:t>, annexe, section 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021E8F21" w14:textId="77777777" w:rsidR="005F6CCB" w:rsidRDefault="002B0CCA">
        <w:pPr>
          <w:pStyle w:val="Header"/>
        </w:pPr>
        <w:r>
          <w:t>CBD/CP/MOP/10/6</w:t>
        </w:r>
      </w:p>
    </w:sdtContent>
  </w:sdt>
  <w:p w14:paraId="6965A281" w14:textId="77777777" w:rsidR="005F6CCB" w:rsidRDefault="002B0CCA">
    <w:pPr>
      <w:pStyle w:val="Header"/>
    </w:pPr>
    <w:r>
      <w:t xml:space="preserve">Page </w:t>
    </w:r>
    <w:r>
      <w:fldChar w:fldCharType="begin"/>
    </w:r>
    <w:r>
      <w:instrText xml:space="preserve"> PAGE   \* MERGEFORMAT </w:instrText>
    </w:r>
    <w:r>
      <w:fldChar w:fldCharType="separate"/>
    </w:r>
    <w:r>
      <w:rPr>
        <w:noProof/>
      </w:rPr>
      <w:t>2</w:t>
    </w:r>
    <w:r>
      <w:rPr>
        <w:noProof/>
      </w:rPr>
      <w:fldChar w:fldCharType="end"/>
    </w:r>
  </w:p>
  <w:p w14:paraId="7B180D92" w14:textId="77777777" w:rsidR="008A40C1" w:rsidRDefault="008A4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FBFA18B" w14:textId="77777777" w:rsidR="005F6CCB" w:rsidRDefault="002B0CCA">
        <w:pPr>
          <w:pStyle w:val="Header"/>
          <w:jc w:val="right"/>
        </w:pPr>
        <w:r>
          <w:t>CBD/CP/MOP/10/6</w:t>
        </w:r>
      </w:p>
    </w:sdtContent>
  </w:sdt>
  <w:p w14:paraId="35A52079" w14:textId="77777777" w:rsidR="005F6CCB" w:rsidRDefault="002B0CCA">
    <w:pPr>
      <w:pStyle w:val="Header"/>
      <w:jc w:val="right"/>
    </w:pPr>
    <w:r>
      <w:t xml:space="preserve">Page </w:t>
    </w:r>
    <w:r>
      <w:fldChar w:fldCharType="begin"/>
    </w:r>
    <w:r>
      <w:instrText xml:space="preserve"> PAGE   \* MERGEFORMAT </w:instrText>
    </w:r>
    <w:r>
      <w:fldChar w:fldCharType="separate"/>
    </w:r>
    <w:r>
      <w:rPr>
        <w:noProof/>
      </w:rPr>
      <w:t>3</w:t>
    </w:r>
    <w:r>
      <w:rPr>
        <w:noProof/>
      </w:rPr>
      <w:fldChar w:fldCharType="end"/>
    </w:r>
  </w:p>
  <w:p w14:paraId="1ADB86AB" w14:textId="77777777" w:rsidR="008A40C1" w:rsidRDefault="008A40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C975246"/>
    <w:multiLevelType w:val="hybridMultilevel"/>
    <w:tmpl w:val="8CC0468E"/>
    <w:lvl w:ilvl="0" w:tplc="4342ADA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CA86E83"/>
    <w:multiLevelType w:val="hybridMultilevel"/>
    <w:tmpl w:val="F1584DB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 w:numId="4">
    <w:abstractNumId w:val="6"/>
  </w:num>
  <w:num w:numId="5">
    <w:abstractNumId w:val="3"/>
  </w:num>
  <w:num w:numId="6">
    <w:abstractNumId w:val="5"/>
  </w:num>
  <w:num w:numId="7">
    <w:abstractNumId w:val="4"/>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10AB"/>
    <w:rsid w:val="00003878"/>
    <w:rsid w:val="00012499"/>
    <w:rsid w:val="000146CE"/>
    <w:rsid w:val="00023861"/>
    <w:rsid w:val="00024B35"/>
    <w:rsid w:val="0003287A"/>
    <w:rsid w:val="00032963"/>
    <w:rsid w:val="00036839"/>
    <w:rsid w:val="00040119"/>
    <w:rsid w:val="00045A28"/>
    <w:rsid w:val="00053944"/>
    <w:rsid w:val="0005447C"/>
    <w:rsid w:val="00054FC1"/>
    <w:rsid w:val="000555DA"/>
    <w:rsid w:val="00057858"/>
    <w:rsid w:val="00060DAB"/>
    <w:rsid w:val="0006231E"/>
    <w:rsid w:val="00065D2A"/>
    <w:rsid w:val="000715D7"/>
    <w:rsid w:val="00080296"/>
    <w:rsid w:val="00080A1B"/>
    <w:rsid w:val="00081674"/>
    <w:rsid w:val="0008465D"/>
    <w:rsid w:val="000861C3"/>
    <w:rsid w:val="000867E6"/>
    <w:rsid w:val="00092426"/>
    <w:rsid w:val="000A36EC"/>
    <w:rsid w:val="000A6305"/>
    <w:rsid w:val="000A762E"/>
    <w:rsid w:val="000B0FEB"/>
    <w:rsid w:val="000B22A4"/>
    <w:rsid w:val="000B2D80"/>
    <w:rsid w:val="000C368E"/>
    <w:rsid w:val="000C39AD"/>
    <w:rsid w:val="000D095F"/>
    <w:rsid w:val="000D1A1D"/>
    <w:rsid w:val="000D1DDD"/>
    <w:rsid w:val="000D5BA9"/>
    <w:rsid w:val="000E1000"/>
    <w:rsid w:val="000E1036"/>
    <w:rsid w:val="000E4B1A"/>
    <w:rsid w:val="000E673A"/>
    <w:rsid w:val="000E6E93"/>
    <w:rsid w:val="000F2997"/>
    <w:rsid w:val="000F4BA4"/>
    <w:rsid w:val="000F5172"/>
    <w:rsid w:val="000F74F5"/>
    <w:rsid w:val="0010100D"/>
    <w:rsid w:val="00104458"/>
    <w:rsid w:val="00104AFC"/>
    <w:rsid w:val="00105372"/>
    <w:rsid w:val="00105CDD"/>
    <w:rsid w:val="00106F4E"/>
    <w:rsid w:val="00112AB6"/>
    <w:rsid w:val="0011397A"/>
    <w:rsid w:val="00115F85"/>
    <w:rsid w:val="001165B5"/>
    <w:rsid w:val="0011741F"/>
    <w:rsid w:val="00131E7A"/>
    <w:rsid w:val="00132145"/>
    <w:rsid w:val="0013259C"/>
    <w:rsid w:val="00132AF8"/>
    <w:rsid w:val="001335EE"/>
    <w:rsid w:val="00134C4A"/>
    <w:rsid w:val="0014220A"/>
    <w:rsid w:val="001424F5"/>
    <w:rsid w:val="00145B51"/>
    <w:rsid w:val="0014688E"/>
    <w:rsid w:val="001516CB"/>
    <w:rsid w:val="0015288A"/>
    <w:rsid w:val="0016041F"/>
    <w:rsid w:val="00165EEF"/>
    <w:rsid w:val="00167B00"/>
    <w:rsid w:val="00172AF6"/>
    <w:rsid w:val="00172BB1"/>
    <w:rsid w:val="00176CEE"/>
    <w:rsid w:val="00176F07"/>
    <w:rsid w:val="0017701C"/>
    <w:rsid w:val="0018148B"/>
    <w:rsid w:val="00186B4B"/>
    <w:rsid w:val="001942E4"/>
    <w:rsid w:val="001A0829"/>
    <w:rsid w:val="001A1760"/>
    <w:rsid w:val="001B00B8"/>
    <w:rsid w:val="001B1B39"/>
    <w:rsid w:val="001B3BCF"/>
    <w:rsid w:val="001B46F0"/>
    <w:rsid w:val="001B4FE5"/>
    <w:rsid w:val="001B6F58"/>
    <w:rsid w:val="001C044F"/>
    <w:rsid w:val="001C07A7"/>
    <w:rsid w:val="001C5BE8"/>
    <w:rsid w:val="001C5DE9"/>
    <w:rsid w:val="001C79BE"/>
    <w:rsid w:val="001D0CDD"/>
    <w:rsid w:val="001D27E5"/>
    <w:rsid w:val="001D3424"/>
    <w:rsid w:val="001D4FBE"/>
    <w:rsid w:val="001E47A3"/>
    <w:rsid w:val="001F3136"/>
    <w:rsid w:val="001F6535"/>
    <w:rsid w:val="0020248E"/>
    <w:rsid w:val="00207B63"/>
    <w:rsid w:val="00214946"/>
    <w:rsid w:val="00215CED"/>
    <w:rsid w:val="00220497"/>
    <w:rsid w:val="00222546"/>
    <w:rsid w:val="00224436"/>
    <w:rsid w:val="00226367"/>
    <w:rsid w:val="002303B7"/>
    <w:rsid w:val="002358F5"/>
    <w:rsid w:val="002359E2"/>
    <w:rsid w:val="0024214D"/>
    <w:rsid w:val="00246765"/>
    <w:rsid w:val="00255C33"/>
    <w:rsid w:val="00260D1D"/>
    <w:rsid w:val="00261B1B"/>
    <w:rsid w:val="00262C47"/>
    <w:rsid w:val="00264230"/>
    <w:rsid w:val="002759C9"/>
    <w:rsid w:val="0027687A"/>
    <w:rsid w:val="00277576"/>
    <w:rsid w:val="00280DFE"/>
    <w:rsid w:val="002859F0"/>
    <w:rsid w:val="002907E8"/>
    <w:rsid w:val="00291ED8"/>
    <w:rsid w:val="00295A35"/>
    <w:rsid w:val="002A0052"/>
    <w:rsid w:val="002A2540"/>
    <w:rsid w:val="002A3B8A"/>
    <w:rsid w:val="002A3DD2"/>
    <w:rsid w:val="002A7A46"/>
    <w:rsid w:val="002B0CCA"/>
    <w:rsid w:val="002B5573"/>
    <w:rsid w:val="002B56BC"/>
    <w:rsid w:val="002B62DF"/>
    <w:rsid w:val="002C1D1A"/>
    <w:rsid w:val="002C3368"/>
    <w:rsid w:val="002D0BF2"/>
    <w:rsid w:val="002D3A83"/>
    <w:rsid w:val="002D6395"/>
    <w:rsid w:val="002E6E26"/>
    <w:rsid w:val="002F00DB"/>
    <w:rsid w:val="002F21A3"/>
    <w:rsid w:val="002F31C1"/>
    <w:rsid w:val="002F4222"/>
    <w:rsid w:val="002F480E"/>
    <w:rsid w:val="003103BA"/>
    <w:rsid w:val="00310A72"/>
    <w:rsid w:val="00323713"/>
    <w:rsid w:val="00324802"/>
    <w:rsid w:val="00326D1E"/>
    <w:rsid w:val="00332332"/>
    <w:rsid w:val="00333772"/>
    <w:rsid w:val="00335867"/>
    <w:rsid w:val="0033735A"/>
    <w:rsid w:val="003375F7"/>
    <w:rsid w:val="00340A1D"/>
    <w:rsid w:val="00342F0F"/>
    <w:rsid w:val="00346A4A"/>
    <w:rsid w:val="0035202F"/>
    <w:rsid w:val="00355323"/>
    <w:rsid w:val="00355EA9"/>
    <w:rsid w:val="00356BA6"/>
    <w:rsid w:val="003635D2"/>
    <w:rsid w:val="0037039B"/>
    <w:rsid w:val="00370494"/>
    <w:rsid w:val="00372946"/>
    <w:rsid w:val="00372F74"/>
    <w:rsid w:val="003746AA"/>
    <w:rsid w:val="00374DA1"/>
    <w:rsid w:val="00382CF5"/>
    <w:rsid w:val="0038648C"/>
    <w:rsid w:val="00396FFF"/>
    <w:rsid w:val="003A1231"/>
    <w:rsid w:val="003A3B59"/>
    <w:rsid w:val="003A49A7"/>
    <w:rsid w:val="003B39A9"/>
    <w:rsid w:val="003B7A1A"/>
    <w:rsid w:val="003C1C67"/>
    <w:rsid w:val="003C528B"/>
    <w:rsid w:val="003C74CA"/>
    <w:rsid w:val="003D17ED"/>
    <w:rsid w:val="003D3AB0"/>
    <w:rsid w:val="003D72B1"/>
    <w:rsid w:val="003D7D8A"/>
    <w:rsid w:val="003E4B28"/>
    <w:rsid w:val="003E59F0"/>
    <w:rsid w:val="003F0C14"/>
    <w:rsid w:val="003F225C"/>
    <w:rsid w:val="003F5A6D"/>
    <w:rsid w:val="003F7224"/>
    <w:rsid w:val="003F779C"/>
    <w:rsid w:val="004033EF"/>
    <w:rsid w:val="00404492"/>
    <w:rsid w:val="00407CEA"/>
    <w:rsid w:val="00410693"/>
    <w:rsid w:val="00426B77"/>
    <w:rsid w:val="00427D21"/>
    <w:rsid w:val="00431EC4"/>
    <w:rsid w:val="0043269C"/>
    <w:rsid w:val="00436F4D"/>
    <w:rsid w:val="00445E38"/>
    <w:rsid w:val="004513DF"/>
    <w:rsid w:val="00456C65"/>
    <w:rsid w:val="00462D3B"/>
    <w:rsid w:val="004644C2"/>
    <w:rsid w:val="004666BA"/>
    <w:rsid w:val="00467F9C"/>
    <w:rsid w:val="00473E89"/>
    <w:rsid w:val="00480B51"/>
    <w:rsid w:val="00481964"/>
    <w:rsid w:val="00481986"/>
    <w:rsid w:val="00482674"/>
    <w:rsid w:val="00483A0D"/>
    <w:rsid w:val="00487852"/>
    <w:rsid w:val="004926FD"/>
    <w:rsid w:val="00493221"/>
    <w:rsid w:val="004938B1"/>
    <w:rsid w:val="0049658B"/>
    <w:rsid w:val="004A0337"/>
    <w:rsid w:val="004B0EEF"/>
    <w:rsid w:val="004B79F9"/>
    <w:rsid w:val="004C3564"/>
    <w:rsid w:val="004C4E3E"/>
    <w:rsid w:val="004C5B1E"/>
    <w:rsid w:val="004D25E7"/>
    <w:rsid w:val="004D5011"/>
    <w:rsid w:val="004E1DF5"/>
    <w:rsid w:val="004E2E0F"/>
    <w:rsid w:val="004E2FAE"/>
    <w:rsid w:val="004E4B1F"/>
    <w:rsid w:val="004E7000"/>
    <w:rsid w:val="004F2515"/>
    <w:rsid w:val="00500BBC"/>
    <w:rsid w:val="0050172B"/>
    <w:rsid w:val="0050423B"/>
    <w:rsid w:val="00505DC9"/>
    <w:rsid w:val="00506B63"/>
    <w:rsid w:val="00511725"/>
    <w:rsid w:val="00512C5E"/>
    <w:rsid w:val="00521AEB"/>
    <w:rsid w:val="00522CB1"/>
    <w:rsid w:val="00524B7F"/>
    <w:rsid w:val="00524D0A"/>
    <w:rsid w:val="00525FC1"/>
    <w:rsid w:val="005263B2"/>
    <w:rsid w:val="005267DA"/>
    <w:rsid w:val="005310EA"/>
    <w:rsid w:val="00531AEB"/>
    <w:rsid w:val="005323B5"/>
    <w:rsid w:val="005327E9"/>
    <w:rsid w:val="00532E0F"/>
    <w:rsid w:val="00534417"/>
    <w:rsid w:val="00534681"/>
    <w:rsid w:val="0053489D"/>
    <w:rsid w:val="005421C6"/>
    <w:rsid w:val="00543068"/>
    <w:rsid w:val="00544078"/>
    <w:rsid w:val="0054686C"/>
    <w:rsid w:val="00557A2A"/>
    <w:rsid w:val="0056023A"/>
    <w:rsid w:val="00561D3F"/>
    <w:rsid w:val="00575DD7"/>
    <w:rsid w:val="005820CB"/>
    <w:rsid w:val="00584753"/>
    <w:rsid w:val="005856BF"/>
    <w:rsid w:val="00593F3D"/>
    <w:rsid w:val="005964C6"/>
    <w:rsid w:val="005A30B3"/>
    <w:rsid w:val="005A3AF0"/>
    <w:rsid w:val="005A54DC"/>
    <w:rsid w:val="005A7A9B"/>
    <w:rsid w:val="005B029D"/>
    <w:rsid w:val="005B15EC"/>
    <w:rsid w:val="005B4752"/>
    <w:rsid w:val="005B52CD"/>
    <w:rsid w:val="005B781D"/>
    <w:rsid w:val="005C2EEA"/>
    <w:rsid w:val="005C620F"/>
    <w:rsid w:val="005C7FD5"/>
    <w:rsid w:val="005D110E"/>
    <w:rsid w:val="005D7130"/>
    <w:rsid w:val="005E0617"/>
    <w:rsid w:val="005E3E7E"/>
    <w:rsid w:val="005E4025"/>
    <w:rsid w:val="005E4374"/>
    <w:rsid w:val="005F3AB9"/>
    <w:rsid w:val="005F6CCB"/>
    <w:rsid w:val="005F7232"/>
    <w:rsid w:val="006029BC"/>
    <w:rsid w:val="00603673"/>
    <w:rsid w:val="00604945"/>
    <w:rsid w:val="006049A0"/>
    <w:rsid w:val="0060562C"/>
    <w:rsid w:val="00605808"/>
    <w:rsid w:val="006122BA"/>
    <w:rsid w:val="00616205"/>
    <w:rsid w:val="00617A63"/>
    <w:rsid w:val="00617D0D"/>
    <w:rsid w:val="00620954"/>
    <w:rsid w:val="00624164"/>
    <w:rsid w:val="00631673"/>
    <w:rsid w:val="00631D2A"/>
    <w:rsid w:val="00633854"/>
    <w:rsid w:val="006406FA"/>
    <w:rsid w:val="00644721"/>
    <w:rsid w:val="00651A68"/>
    <w:rsid w:val="0065282E"/>
    <w:rsid w:val="00662F61"/>
    <w:rsid w:val="00663222"/>
    <w:rsid w:val="006655B1"/>
    <w:rsid w:val="00666699"/>
    <w:rsid w:val="00666F6D"/>
    <w:rsid w:val="00673114"/>
    <w:rsid w:val="00674CB1"/>
    <w:rsid w:val="00680E9B"/>
    <w:rsid w:val="00682861"/>
    <w:rsid w:val="00682C0D"/>
    <w:rsid w:val="006844E8"/>
    <w:rsid w:val="006868A6"/>
    <w:rsid w:val="0069034E"/>
    <w:rsid w:val="00691866"/>
    <w:rsid w:val="00692523"/>
    <w:rsid w:val="006A2702"/>
    <w:rsid w:val="006A4B86"/>
    <w:rsid w:val="006A5711"/>
    <w:rsid w:val="006A78F0"/>
    <w:rsid w:val="006B0F19"/>
    <w:rsid w:val="006B2290"/>
    <w:rsid w:val="006B2953"/>
    <w:rsid w:val="006B3892"/>
    <w:rsid w:val="006C28E7"/>
    <w:rsid w:val="006C44AB"/>
    <w:rsid w:val="006C6C8A"/>
    <w:rsid w:val="006D071D"/>
    <w:rsid w:val="006D16D3"/>
    <w:rsid w:val="006D1D70"/>
    <w:rsid w:val="006D4EE1"/>
    <w:rsid w:val="006D5300"/>
    <w:rsid w:val="006D5A05"/>
    <w:rsid w:val="006D7171"/>
    <w:rsid w:val="006E07F1"/>
    <w:rsid w:val="006E13C6"/>
    <w:rsid w:val="006E1541"/>
    <w:rsid w:val="006E1F4A"/>
    <w:rsid w:val="006E6A22"/>
    <w:rsid w:val="006E6F29"/>
    <w:rsid w:val="006F4137"/>
    <w:rsid w:val="006F67A5"/>
    <w:rsid w:val="00701D8A"/>
    <w:rsid w:val="00703CBA"/>
    <w:rsid w:val="007056B7"/>
    <w:rsid w:val="007129FD"/>
    <w:rsid w:val="007131DC"/>
    <w:rsid w:val="00715721"/>
    <w:rsid w:val="00716B8F"/>
    <w:rsid w:val="00717D88"/>
    <w:rsid w:val="0072034B"/>
    <w:rsid w:val="00723349"/>
    <w:rsid w:val="00725550"/>
    <w:rsid w:val="00725A92"/>
    <w:rsid w:val="00726968"/>
    <w:rsid w:val="00727197"/>
    <w:rsid w:val="00734AA3"/>
    <w:rsid w:val="0074389B"/>
    <w:rsid w:val="00757B09"/>
    <w:rsid w:val="00761776"/>
    <w:rsid w:val="00762F14"/>
    <w:rsid w:val="00780F7B"/>
    <w:rsid w:val="00782845"/>
    <w:rsid w:val="0078370D"/>
    <w:rsid w:val="0078484B"/>
    <w:rsid w:val="007916E5"/>
    <w:rsid w:val="00793B47"/>
    <w:rsid w:val="00793BC5"/>
    <w:rsid w:val="007942D3"/>
    <w:rsid w:val="00796849"/>
    <w:rsid w:val="00796EEE"/>
    <w:rsid w:val="00797BAF"/>
    <w:rsid w:val="007A168D"/>
    <w:rsid w:val="007A35F4"/>
    <w:rsid w:val="007B38B8"/>
    <w:rsid w:val="007B458A"/>
    <w:rsid w:val="007B5123"/>
    <w:rsid w:val="007B5AD2"/>
    <w:rsid w:val="007B5EFD"/>
    <w:rsid w:val="007B6C09"/>
    <w:rsid w:val="007C5937"/>
    <w:rsid w:val="007C7983"/>
    <w:rsid w:val="007D69A3"/>
    <w:rsid w:val="007E07E1"/>
    <w:rsid w:val="007E09DA"/>
    <w:rsid w:val="007E6F6B"/>
    <w:rsid w:val="007E75BC"/>
    <w:rsid w:val="007F0C29"/>
    <w:rsid w:val="007F2013"/>
    <w:rsid w:val="007F4715"/>
    <w:rsid w:val="008035A8"/>
    <w:rsid w:val="008178B6"/>
    <w:rsid w:val="00822B65"/>
    <w:rsid w:val="0083206D"/>
    <w:rsid w:val="00834AF6"/>
    <w:rsid w:val="0083556A"/>
    <w:rsid w:val="00837C08"/>
    <w:rsid w:val="0084043B"/>
    <w:rsid w:val="008426CB"/>
    <w:rsid w:val="00843926"/>
    <w:rsid w:val="00843B18"/>
    <w:rsid w:val="00851962"/>
    <w:rsid w:val="00851B15"/>
    <w:rsid w:val="00854A1A"/>
    <w:rsid w:val="008564D1"/>
    <w:rsid w:val="00856DFF"/>
    <w:rsid w:val="00856F68"/>
    <w:rsid w:val="0085725E"/>
    <w:rsid w:val="00861255"/>
    <w:rsid w:val="00862696"/>
    <w:rsid w:val="00864140"/>
    <w:rsid w:val="0086448D"/>
    <w:rsid w:val="008654D9"/>
    <w:rsid w:val="00865B74"/>
    <w:rsid w:val="00866BB3"/>
    <w:rsid w:val="008673F7"/>
    <w:rsid w:val="00871B1A"/>
    <w:rsid w:val="00873080"/>
    <w:rsid w:val="00873CDE"/>
    <w:rsid w:val="00874656"/>
    <w:rsid w:val="008771F7"/>
    <w:rsid w:val="0088511A"/>
    <w:rsid w:val="0088644E"/>
    <w:rsid w:val="00886C5E"/>
    <w:rsid w:val="00887E3D"/>
    <w:rsid w:val="00895032"/>
    <w:rsid w:val="008A0E06"/>
    <w:rsid w:val="008A40C1"/>
    <w:rsid w:val="008A70FA"/>
    <w:rsid w:val="008B19FA"/>
    <w:rsid w:val="008B2772"/>
    <w:rsid w:val="008B3D7D"/>
    <w:rsid w:val="008B74B5"/>
    <w:rsid w:val="008C0346"/>
    <w:rsid w:val="008C3D05"/>
    <w:rsid w:val="008C4BFD"/>
    <w:rsid w:val="008C5687"/>
    <w:rsid w:val="008C6165"/>
    <w:rsid w:val="008C687D"/>
    <w:rsid w:val="008C7B7E"/>
    <w:rsid w:val="008C7CDC"/>
    <w:rsid w:val="008D1D0D"/>
    <w:rsid w:val="008D75D5"/>
    <w:rsid w:val="008E3455"/>
    <w:rsid w:val="008E3A54"/>
    <w:rsid w:val="008E76F4"/>
    <w:rsid w:val="008F038A"/>
    <w:rsid w:val="008F0B3D"/>
    <w:rsid w:val="008F5A18"/>
    <w:rsid w:val="008F7C6B"/>
    <w:rsid w:val="00901118"/>
    <w:rsid w:val="00901341"/>
    <w:rsid w:val="00903F98"/>
    <w:rsid w:val="00905260"/>
    <w:rsid w:val="0092240F"/>
    <w:rsid w:val="0092796F"/>
    <w:rsid w:val="00930BA1"/>
    <w:rsid w:val="0093169E"/>
    <w:rsid w:val="0093249F"/>
    <w:rsid w:val="00937480"/>
    <w:rsid w:val="00940710"/>
    <w:rsid w:val="0094160F"/>
    <w:rsid w:val="009434FD"/>
    <w:rsid w:val="00943B59"/>
    <w:rsid w:val="00943D71"/>
    <w:rsid w:val="0094408B"/>
    <w:rsid w:val="0094677D"/>
    <w:rsid w:val="009505C9"/>
    <w:rsid w:val="0095338A"/>
    <w:rsid w:val="0095372E"/>
    <w:rsid w:val="0095498E"/>
    <w:rsid w:val="0095599D"/>
    <w:rsid w:val="009561F1"/>
    <w:rsid w:val="00957385"/>
    <w:rsid w:val="00960046"/>
    <w:rsid w:val="00960979"/>
    <w:rsid w:val="009636A9"/>
    <w:rsid w:val="00970B58"/>
    <w:rsid w:val="00976623"/>
    <w:rsid w:val="00981177"/>
    <w:rsid w:val="009822F0"/>
    <w:rsid w:val="00984328"/>
    <w:rsid w:val="00991191"/>
    <w:rsid w:val="009925E5"/>
    <w:rsid w:val="009A036B"/>
    <w:rsid w:val="009A08BB"/>
    <w:rsid w:val="009A2B1F"/>
    <w:rsid w:val="009A7133"/>
    <w:rsid w:val="009B07C9"/>
    <w:rsid w:val="009B3811"/>
    <w:rsid w:val="009B3D90"/>
    <w:rsid w:val="009B4FC1"/>
    <w:rsid w:val="009B7B39"/>
    <w:rsid w:val="009C3591"/>
    <w:rsid w:val="009C3D2F"/>
    <w:rsid w:val="009C5AE8"/>
    <w:rsid w:val="009C5F07"/>
    <w:rsid w:val="009C6CFD"/>
    <w:rsid w:val="009E3875"/>
    <w:rsid w:val="009E5A23"/>
    <w:rsid w:val="009E63FC"/>
    <w:rsid w:val="009E6FDE"/>
    <w:rsid w:val="009E74CD"/>
    <w:rsid w:val="009F4F6C"/>
    <w:rsid w:val="009F5E29"/>
    <w:rsid w:val="009F6C8C"/>
    <w:rsid w:val="009F716E"/>
    <w:rsid w:val="00A03D42"/>
    <w:rsid w:val="00A04CA6"/>
    <w:rsid w:val="00A06481"/>
    <w:rsid w:val="00A06F57"/>
    <w:rsid w:val="00A11112"/>
    <w:rsid w:val="00A15A59"/>
    <w:rsid w:val="00A15C5A"/>
    <w:rsid w:val="00A17EDB"/>
    <w:rsid w:val="00A217CB"/>
    <w:rsid w:val="00A26792"/>
    <w:rsid w:val="00A36007"/>
    <w:rsid w:val="00A4417B"/>
    <w:rsid w:val="00A478B4"/>
    <w:rsid w:val="00A54255"/>
    <w:rsid w:val="00A60097"/>
    <w:rsid w:val="00A60D5F"/>
    <w:rsid w:val="00A641F1"/>
    <w:rsid w:val="00A65B37"/>
    <w:rsid w:val="00A65C4B"/>
    <w:rsid w:val="00A7111F"/>
    <w:rsid w:val="00A724DE"/>
    <w:rsid w:val="00A72C1F"/>
    <w:rsid w:val="00A73F68"/>
    <w:rsid w:val="00A7467D"/>
    <w:rsid w:val="00A83871"/>
    <w:rsid w:val="00A85960"/>
    <w:rsid w:val="00A85982"/>
    <w:rsid w:val="00A93EC6"/>
    <w:rsid w:val="00A94C10"/>
    <w:rsid w:val="00A9582F"/>
    <w:rsid w:val="00AA0F4E"/>
    <w:rsid w:val="00AA1F95"/>
    <w:rsid w:val="00AA5F7B"/>
    <w:rsid w:val="00AA7363"/>
    <w:rsid w:val="00AB07C7"/>
    <w:rsid w:val="00AB0D42"/>
    <w:rsid w:val="00AB2161"/>
    <w:rsid w:val="00AB5F4C"/>
    <w:rsid w:val="00AB6828"/>
    <w:rsid w:val="00AB6B45"/>
    <w:rsid w:val="00AC3989"/>
    <w:rsid w:val="00AC54D9"/>
    <w:rsid w:val="00AC5737"/>
    <w:rsid w:val="00AD033D"/>
    <w:rsid w:val="00AD2D5E"/>
    <w:rsid w:val="00AD411D"/>
    <w:rsid w:val="00AE1561"/>
    <w:rsid w:val="00AE4C0F"/>
    <w:rsid w:val="00AE524A"/>
    <w:rsid w:val="00AE6151"/>
    <w:rsid w:val="00AF1141"/>
    <w:rsid w:val="00AF1AF0"/>
    <w:rsid w:val="00AF1F75"/>
    <w:rsid w:val="00AF36FB"/>
    <w:rsid w:val="00AF3AB2"/>
    <w:rsid w:val="00AF4FBA"/>
    <w:rsid w:val="00AF5D02"/>
    <w:rsid w:val="00AF7426"/>
    <w:rsid w:val="00B038A5"/>
    <w:rsid w:val="00B04328"/>
    <w:rsid w:val="00B07B2E"/>
    <w:rsid w:val="00B07F0C"/>
    <w:rsid w:val="00B114A8"/>
    <w:rsid w:val="00B17F95"/>
    <w:rsid w:val="00B228E7"/>
    <w:rsid w:val="00B23DEB"/>
    <w:rsid w:val="00B26CF5"/>
    <w:rsid w:val="00B3369F"/>
    <w:rsid w:val="00B40F64"/>
    <w:rsid w:val="00B41F12"/>
    <w:rsid w:val="00B42643"/>
    <w:rsid w:val="00B46516"/>
    <w:rsid w:val="00B50C12"/>
    <w:rsid w:val="00B54AE1"/>
    <w:rsid w:val="00B6105D"/>
    <w:rsid w:val="00B63EA6"/>
    <w:rsid w:val="00B64790"/>
    <w:rsid w:val="00B64F15"/>
    <w:rsid w:val="00B664C1"/>
    <w:rsid w:val="00B70189"/>
    <w:rsid w:val="00B7212B"/>
    <w:rsid w:val="00B81336"/>
    <w:rsid w:val="00B81BE8"/>
    <w:rsid w:val="00B83E65"/>
    <w:rsid w:val="00B93D7B"/>
    <w:rsid w:val="00B96810"/>
    <w:rsid w:val="00B96DD9"/>
    <w:rsid w:val="00BA1181"/>
    <w:rsid w:val="00BA3D66"/>
    <w:rsid w:val="00BB519A"/>
    <w:rsid w:val="00BC1696"/>
    <w:rsid w:val="00BC278B"/>
    <w:rsid w:val="00BC6643"/>
    <w:rsid w:val="00BC671F"/>
    <w:rsid w:val="00BC7217"/>
    <w:rsid w:val="00BE32B1"/>
    <w:rsid w:val="00BE4194"/>
    <w:rsid w:val="00BE7E09"/>
    <w:rsid w:val="00BF41F6"/>
    <w:rsid w:val="00BF421B"/>
    <w:rsid w:val="00C01EF9"/>
    <w:rsid w:val="00C07E82"/>
    <w:rsid w:val="00C11ACD"/>
    <w:rsid w:val="00C13FAC"/>
    <w:rsid w:val="00C16C9D"/>
    <w:rsid w:val="00C16EBF"/>
    <w:rsid w:val="00C2374E"/>
    <w:rsid w:val="00C2606A"/>
    <w:rsid w:val="00C306B0"/>
    <w:rsid w:val="00C325BC"/>
    <w:rsid w:val="00C32653"/>
    <w:rsid w:val="00C36032"/>
    <w:rsid w:val="00C371FC"/>
    <w:rsid w:val="00C40840"/>
    <w:rsid w:val="00C45053"/>
    <w:rsid w:val="00C54BD5"/>
    <w:rsid w:val="00C61084"/>
    <w:rsid w:val="00C653F3"/>
    <w:rsid w:val="00C712FE"/>
    <w:rsid w:val="00C72799"/>
    <w:rsid w:val="00C7582F"/>
    <w:rsid w:val="00C8347F"/>
    <w:rsid w:val="00C84192"/>
    <w:rsid w:val="00C9161D"/>
    <w:rsid w:val="00C94C13"/>
    <w:rsid w:val="00C94EBF"/>
    <w:rsid w:val="00CA12FF"/>
    <w:rsid w:val="00CA21A4"/>
    <w:rsid w:val="00CA24AF"/>
    <w:rsid w:val="00CA4B77"/>
    <w:rsid w:val="00CB00DB"/>
    <w:rsid w:val="00CB0A71"/>
    <w:rsid w:val="00CB4ECB"/>
    <w:rsid w:val="00CC1022"/>
    <w:rsid w:val="00CC38D3"/>
    <w:rsid w:val="00CD5291"/>
    <w:rsid w:val="00CD5A57"/>
    <w:rsid w:val="00CD5FD9"/>
    <w:rsid w:val="00CD615A"/>
    <w:rsid w:val="00CD70B8"/>
    <w:rsid w:val="00CF1848"/>
    <w:rsid w:val="00CF412C"/>
    <w:rsid w:val="00D01623"/>
    <w:rsid w:val="00D12044"/>
    <w:rsid w:val="00D130A6"/>
    <w:rsid w:val="00D21AD5"/>
    <w:rsid w:val="00D21D38"/>
    <w:rsid w:val="00D24FA1"/>
    <w:rsid w:val="00D2568E"/>
    <w:rsid w:val="00D27376"/>
    <w:rsid w:val="00D31050"/>
    <w:rsid w:val="00D31459"/>
    <w:rsid w:val="00D31943"/>
    <w:rsid w:val="00D34FA0"/>
    <w:rsid w:val="00D36E91"/>
    <w:rsid w:val="00D37A33"/>
    <w:rsid w:val="00D44BFD"/>
    <w:rsid w:val="00D560CF"/>
    <w:rsid w:val="00D56992"/>
    <w:rsid w:val="00D56D20"/>
    <w:rsid w:val="00D62466"/>
    <w:rsid w:val="00D62490"/>
    <w:rsid w:val="00D64F61"/>
    <w:rsid w:val="00D6615B"/>
    <w:rsid w:val="00D67039"/>
    <w:rsid w:val="00D76608"/>
    <w:rsid w:val="00D76650"/>
    <w:rsid w:val="00D76A18"/>
    <w:rsid w:val="00D830B4"/>
    <w:rsid w:val="00D858C4"/>
    <w:rsid w:val="00D87AA0"/>
    <w:rsid w:val="00D91A4A"/>
    <w:rsid w:val="00D93562"/>
    <w:rsid w:val="00D963DC"/>
    <w:rsid w:val="00DB23DB"/>
    <w:rsid w:val="00DB2733"/>
    <w:rsid w:val="00DB4886"/>
    <w:rsid w:val="00DB57F0"/>
    <w:rsid w:val="00DB6A5C"/>
    <w:rsid w:val="00DB7B7D"/>
    <w:rsid w:val="00DC33FF"/>
    <w:rsid w:val="00DC3C76"/>
    <w:rsid w:val="00DC65F5"/>
    <w:rsid w:val="00DC7AA3"/>
    <w:rsid w:val="00DD118C"/>
    <w:rsid w:val="00DD1A24"/>
    <w:rsid w:val="00DD4E17"/>
    <w:rsid w:val="00DD6E5B"/>
    <w:rsid w:val="00DE31B4"/>
    <w:rsid w:val="00DE6064"/>
    <w:rsid w:val="00DE7625"/>
    <w:rsid w:val="00DF0780"/>
    <w:rsid w:val="00DF1A31"/>
    <w:rsid w:val="00DF6836"/>
    <w:rsid w:val="00DF6DED"/>
    <w:rsid w:val="00E028A9"/>
    <w:rsid w:val="00E02932"/>
    <w:rsid w:val="00E0367F"/>
    <w:rsid w:val="00E03915"/>
    <w:rsid w:val="00E106AE"/>
    <w:rsid w:val="00E112FA"/>
    <w:rsid w:val="00E11FCE"/>
    <w:rsid w:val="00E1230A"/>
    <w:rsid w:val="00E13A87"/>
    <w:rsid w:val="00E1673C"/>
    <w:rsid w:val="00E21230"/>
    <w:rsid w:val="00E21F01"/>
    <w:rsid w:val="00E221EC"/>
    <w:rsid w:val="00E22357"/>
    <w:rsid w:val="00E26C35"/>
    <w:rsid w:val="00E26E07"/>
    <w:rsid w:val="00E279A9"/>
    <w:rsid w:val="00E3185E"/>
    <w:rsid w:val="00E32051"/>
    <w:rsid w:val="00E32E73"/>
    <w:rsid w:val="00E34B24"/>
    <w:rsid w:val="00E35230"/>
    <w:rsid w:val="00E370EF"/>
    <w:rsid w:val="00E3751C"/>
    <w:rsid w:val="00E3761B"/>
    <w:rsid w:val="00E407BE"/>
    <w:rsid w:val="00E556BD"/>
    <w:rsid w:val="00E5648F"/>
    <w:rsid w:val="00E629FB"/>
    <w:rsid w:val="00E63404"/>
    <w:rsid w:val="00E65C60"/>
    <w:rsid w:val="00E66235"/>
    <w:rsid w:val="00E66946"/>
    <w:rsid w:val="00E7070B"/>
    <w:rsid w:val="00E7115A"/>
    <w:rsid w:val="00E76C00"/>
    <w:rsid w:val="00E81B93"/>
    <w:rsid w:val="00E81D8E"/>
    <w:rsid w:val="00E830A5"/>
    <w:rsid w:val="00E83C24"/>
    <w:rsid w:val="00E90289"/>
    <w:rsid w:val="00E90470"/>
    <w:rsid w:val="00E9318D"/>
    <w:rsid w:val="00E939AC"/>
    <w:rsid w:val="00E955B0"/>
    <w:rsid w:val="00E9744A"/>
    <w:rsid w:val="00EA1401"/>
    <w:rsid w:val="00EA6315"/>
    <w:rsid w:val="00EB233A"/>
    <w:rsid w:val="00ED7945"/>
    <w:rsid w:val="00EF1B09"/>
    <w:rsid w:val="00EF2C3D"/>
    <w:rsid w:val="00EF6489"/>
    <w:rsid w:val="00EF6E50"/>
    <w:rsid w:val="00F04592"/>
    <w:rsid w:val="00F056E3"/>
    <w:rsid w:val="00F06315"/>
    <w:rsid w:val="00F0705E"/>
    <w:rsid w:val="00F11A21"/>
    <w:rsid w:val="00F12E42"/>
    <w:rsid w:val="00F22D3E"/>
    <w:rsid w:val="00F32724"/>
    <w:rsid w:val="00F32CDF"/>
    <w:rsid w:val="00F33AF0"/>
    <w:rsid w:val="00F33CAB"/>
    <w:rsid w:val="00F3651B"/>
    <w:rsid w:val="00F3658A"/>
    <w:rsid w:val="00F37497"/>
    <w:rsid w:val="00F4787D"/>
    <w:rsid w:val="00F501AC"/>
    <w:rsid w:val="00F51164"/>
    <w:rsid w:val="00F56EA2"/>
    <w:rsid w:val="00F637A7"/>
    <w:rsid w:val="00F672D2"/>
    <w:rsid w:val="00F82438"/>
    <w:rsid w:val="00F82CA5"/>
    <w:rsid w:val="00F836A1"/>
    <w:rsid w:val="00F83A3F"/>
    <w:rsid w:val="00F94774"/>
    <w:rsid w:val="00F95A27"/>
    <w:rsid w:val="00FA37F6"/>
    <w:rsid w:val="00FA683C"/>
    <w:rsid w:val="00FA7692"/>
    <w:rsid w:val="00FB1E00"/>
    <w:rsid w:val="00FB6826"/>
    <w:rsid w:val="00FC2682"/>
    <w:rsid w:val="00FC3821"/>
    <w:rsid w:val="00FC39B3"/>
    <w:rsid w:val="00FC3BE9"/>
    <w:rsid w:val="00FC51AF"/>
    <w:rsid w:val="00FC53DB"/>
    <w:rsid w:val="00FC6FC8"/>
    <w:rsid w:val="00FD08EE"/>
    <w:rsid w:val="00FD119D"/>
    <w:rsid w:val="00FD1804"/>
    <w:rsid w:val="00FD2FAB"/>
    <w:rsid w:val="00FD37B8"/>
    <w:rsid w:val="00FD3C5C"/>
    <w:rsid w:val="00FD5AB2"/>
    <w:rsid w:val="00FE432F"/>
    <w:rsid w:val="00FF198B"/>
    <w:rsid w:val="00FF370B"/>
    <w:rsid w:val="00FF4687"/>
    <w:rsid w:val="00FF563C"/>
    <w:rsid w:val="00FF69DD"/>
    <w:rsid w:val="00FF7B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316E08"/>
  <w15:docId w15:val="{C4109172-B1A6-4600-BF2D-7A1737D14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fr-FR"/>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uiPriority w:val="1"/>
    <w:qFormat/>
    <w:rsid w:val="007E09DA"/>
    <w:pPr>
      <w:spacing w:before="120" w:after="120"/>
      <w:ind w:firstLine="720"/>
    </w:pPr>
    <w:rPr>
      <w:iCs/>
    </w:rPr>
  </w:style>
  <w:style w:type="character" w:customStyle="1" w:styleId="BodyTextChar">
    <w:name w:val="Body Text Char"/>
    <w:basedOn w:val="DefaultParagraphFont"/>
    <w:link w:val="BodyText"/>
    <w:uiPriority w:val="1"/>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
    <w:link w:val="CharChar1CharCharCharChar1CharCharCharCharCharCharCharChar"/>
    <w:uiPriority w:val="99"/>
    <w:qFormat/>
    <w:rsid w:val="00427D21"/>
    <w:rPr>
      <w:sz w:val="22"/>
      <w:u w:val="none"/>
      <w:vertAlign w:val="superscript"/>
    </w:rPr>
  </w:style>
  <w:style w:type="paragraph" w:styleId="FootnoteText">
    <w:name w:val="footnote text"/>
    <w:aliases w:val="fn,Geneva 9,Font: Geneva 9,Boston 10,f,Testo nota a piè di pagina Carattere Carattere,Testo nota a piè di pagina Carattere,Testo nota a piè di pagina Carattere1 Carattere"/>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E21230"/>
    <w:pPr>
      <w:autoSpaceDE w:val="0"/>
      <w:autoSpaceDN w:val="0"/>
      <w:adjustRightInd w:val="0"/>
    </w:pPr>
    <w:rPr>
      <w:rFonts w:ascii="Calibri" w:eastAsia="SimSun" w:hAnsi="Calibri" w:cs="Calibri"/>
      <w:color w:val="000000"/>
      <w:lang w:val="en-US" w:eastAsia="zh-CN"/>
    </w:rPr>
  </w:style>
  <w:style w:type="character" w:customStyle="1" w:styleId="Para1Char1">
    <w:name w:val="Para1 Char1"/>
    <w:locked/>
    <w:rsid w:val="0078484B"/>
    <w:rPr>
      <w:rFonts w:ascii="Angsana New" w:hAnsi="Angsana New" w:cs="Angsana New"/>
      <w:sz w:val="22"/>
      <w:szCs w:val="18"/>
      <w:lang w:val="en-GB"/>
    </w:rPr>
  </w:style>
  <w:style w:type="paragraph" w:styleId="CommentSubject">
    <w:name w:val="annotation subject"/>
    <w:basedOn w:val="CommentText"/>
    <w:next w:val="CommentText"/>
    <w:link w:val="CommentSubjectChar"/>
    <w:uiPriority w:val="99"/>
    <w:semiHidden/>
    <w:unhideWhenUsed/>
    <w:rsid w:val="00374DA1"/>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74DA1"/>
    <w:rPr>
      <w:rFonts w:ascii="Times New Roman" w:eastAsia="Times New Roman" w:hAnsi="Times New Roman" w:cs="Times New Roman"/>
      <w:b/>
      <w:bCs/>
      <w:sz w:val="20"/>
      <w:szCs w:val="20"/>
      <w:lang w:val="en-GB"/>
    </w:rPr>
  </w:style>
  <w:style w:type="paragraph" w:customStyle="1" w:styleId="Para40">
    <w:name w:val="Para4"/>
    <w:basedOn w:val="Para3"/>
    <w:rsid w:val="00901118"/>
    <w:pPr>
      <w:numPr>
        <w:ilvl w:val="0"/>
        <w:numId w:val="0"/>
      </w:numPr>
      <w:tabs>
        <w:tab w:val="clear" w:pos="1980"/>
        <w:tab w:val="left" w:pos="2552"/>
        <w:tab w:val="num" w:pos="2880"/>
      </w:tabs>
      <w:ind w:left="2880" w:hanging="360"/>
    </w:pPr>
  </w:style>
  <w:style w:type="paragraph" w:styleId="Revision">
    <w:name w:val="Revision"/>
    <w:hidden/>
    <w:uiPriority w:val="99"/>
    <w:semiHidden/>
    <w:rsid w:val="00901118"/>
    <w:rPr>
      <w:rFonts w:ascii="Times New Roman" w:eastAsia="Times New Roman" w:hAnsi="Times New Roman" w:cs="Times New Roman"/>
      <w:sz w:val="22"/>
      <w:lang w:val="en-GB"/>
    </w:rPr>
  </w:style>
  <w:style w:type="character" w:customStyle="1" w:styleId="UnresolvedMention1">
    <w:name w:val="Unresolved Mention1"/>
    <w:basedOn w:val="DefaultParagraphFont"/>
    <w:uiPriority w:val="99"/>
    <w:semiHidden/>
    <w:unhideWhenUsed/>
    <w:rsid w:val="002A2540"/>
    <w:rPr>
      <w:color w:val="808080"/>
      <w:shd w:val="clear" w:color="auto" w:fill="E6E6E6"/>
    </w:rPr>
  </w:style>
  <w:style w:type="character" w:styleId="Emphasis">
    <w:name w:val="Emphasis"/>
    <w:basedOn w:val="DefaultParagraphFont"/>
    <w:uiPriority w:val="20"/>
    <w:qFormat/>
    <w:rsid w:val="00323713"/>
    <w:rPr>
      <w:i/>
      <w:iCs/>
    </w:rPr>
  </w:style>
  <w:style w:type="character" w:styleId="UnresolvedMention">
    <w:name w:val="Unresolved Mention"/>
    <w:basedOn w:val="DefaultParagraphFont"/>
    <w:uiPriority w:val="99"/>
    <w:semiHidden/>
    <w:unhideWhenUsed/>
    <w:rsid w:val="005267DA"/>
    <w:rPr>
      <w:color w:val="605E5C"/>
      <w:shd w:val="clear" w:color="auto" w:fill="E1DFDD"/>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A85960"/>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rsid w:val="00332332"/>
    <w:rPr>
      <w:rFonts w:ascii="Times New Roman" w:eastAsia="Times New Roman" w:hAnsi="Times New Roman" w:cs="Times New Roman"/>
      <w:sz w:val="22"/>
      <w:lang w:val="en-GB"/>
    </w:rPr>
  </w:style>
  <w:style w:type="table" w:styleId="PlainTable4">
    <w:name w:val="Plain Table 4"/>
    <w:basedOn w:val="TableNormal"/>
    <w:uiPriority w:val="44"/>
    <w:rsid w:val="00B228E7"/>
    <w:rPr>
      <w:rFonts w:eastAsiaTheme="minorHAnsi"/>
      <w:sz w:val="22"/>
      <w:szCs w:val="22"/>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3C74CA"/>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character" w:customStyle="1" w:styleId="cf01">
    <w:name w:val="cf01"/>
    <w:basedOn w:val="DefaultParagraphFont"/>
    <w:rsid w:val="006D5A05"/>
    <w:rPr>
      <w:rFonts w:ascii="Segoe UI" w:hAnsi="Segoe UI" w:cs="Segoe UI" w:hint="default"/>
      <w:sz w:val="18"/>
      <w:szCs w:val="18"/>
      <w:shd w:val="clear" w:color="auto" w:fill="FFFF00"/>
    </w:rPr>
  </w:style>
  <w:style w:type="character" w:customStyle="1" w:styleId="cf11">
    <w:name w:val="cf11"/>
    <w:basedOn w:val="DefaultParagraphFont"/>
    <w:rsid w:val="006D5A0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89295">
      <w:bodyDiv w:val="1"/>
      <w:marLeft w:val="0"/>
      <w:marRight w:val="0"/>
      <w:marTop w:val="0"/>
      <w:marBottom w:val="0"/>
      <w:divBdr>
        <w:top w:val="none" w:sz="0" w:space="0" w:color="auto"/>
        <w:left w:val="none" w:sz="0" w:space="0" w:color="auto"/>
        <w:bottom w:val="none" w:sz="0" w:space="0" w:color="auto"/>
        <w:right w:val="none" w:sz="0" w:space="0" w:color="auto"/>
      </w:divBdr>
    </w:div>
    <w:div w:id="200092478">
      <w:bodyDiv w:val="1"/>
      <w:marLeft w:val="0"/>
      <w:marRight w:val="0"/>
      <w:marTop w:val="0"/>
      <w:marBottom w:val="0"/>
      <w:divBdr>
        <w:top w:val="none" w:sz="0" w:space="0" w:color="auto"/>
        <w:left w:val="none" w:sz="0" w:space="0" w:color="auto"/>
        <w:bottom w:val="none" w:sz="0" w:space="0" w:color="auto"/>
        <w:right w:val="none" w:sz="0" w:space="0" w:color="auto"/>
      </w:divBdr>
    </w:div>
    <w:div w:id="392435716">
      <w:bodyDiv w:val="1"/>
      <w:marLeft w:val="0"/>
      <w:marRight w:val="0"/>
      <w:marTop w:val="0"/>
      <w:marBottom w:val="0"/>
      <w:divBdr>
        <w:top w:val="none" w:sz="0" w:space="0" w:color="auto"/>
        <w:left w:val="none" w:sz="0" w:space="0" w:color="auto"/>
        <w:bottom w:val="none" w:sz="0" w:space="0" w:color="auto"/>
        <w:right w:val="none" w:sz="0" w:space="0" w:color="auto"/>
      </w:divBdr>
    </w:div>
    <w:div w:id="672536080">
      <w:bodyDiv w:val="1"/>
      <w:marLeft w:val="0"/>
      <w:marRight w:val="0"/>
      <w:marTop w:val="0"/>
      <w:marBottom w:val="0"/>
      <w:divBdr>
        <w:top w:val="none" w:sz="0" w:space="0" w:color="auto"/>
        <w:left w:val="none" w:sz="0" w:space="0" w:color="auto"/>
        <w:bottom w:val="none" w:sz="0" w:space="0" w:color="auto"/>
        <w:right w:val="none" w:sz="0" w:space="0" w:color="auto"/>
      </w:divBdr>
    </w:div>
    <w:div w:id="1075005547">
      <w:bodyDiv w:val="1"/>
      <w:marLeft w:val="0"/>
      <w:marRight w:val="0"/>
      <w:marTop w:val="0"/>
      <w:marBottom w:val="0"/>
      <w:divBdr>
        <w:top w:val="none" w:sz="0" w:space="0" w:color="auto"/>
        <w:left w:val="none" w:sz="0" w:space="0" w:color="auto"/>
        <w:bottom w:val="none" w:sz="0" w:space="0" w:color="auto"/>
        <w:right w:val="none" w:sz="0" w:space="0" w:color="auto"/>
      </w:divBdr>
    </w:div>
    <w:div w:id="1214728426">
      <w:bodyDiv w:val="1"/>
      <w:marLeft w:val="0"/>
      <w:marRight w:val="0"/>
      <w:marTop w:val="0"/>
      <w:marBottom w:val="0"/>
      <w:divBdr>
        <w:top w:val="none" w:sz="0" w:space="0" w:color="auto"/>
        <w:left w:val="none" w:sz="0" w:space="0" w:color="auto"/>
        <w:bottom w:val="none" w:sz="0" w:space="0" w:color="auto"/>
        <w:right w:val="none" w:sz="0" w:space="0" w:color="auto"/>
      </w:divBdr>
    </w:div>
    <w:div w:id="1378312540">
      <w:bodyDiv w:val="1"/>
      <w:marLeft w:val="0"/>
      <w:marRight w:val="0"/>
      <w:marTop w:val="0"/>
      <w:marBottom w:val="0"/>
      <w:divBdr>
        <w:top w:val="none" w:sz="0" w:space="0" w:color="auto"/>
        <w:left w:val="none" w:sz="0" w:space="0" w:color="auto"/>
        <w:bottom w:val="none" w:sz="0" w:space="0" w:color="auto"/>
        <w:right w:val="none" w:sz="0" w:space="0" w:color="auto"/>
      </w:divBdr>
    </w:div>
    <w:div w:id="1427381311">
      <w:bodyDiv w:val="1"/>
      <w:marLeft w:val="0"/>
      <w:marRight w:val="0"/>
      <w:marTop w:val="0"/>
      <w:marBottom w:val="0"/>
      <w:divBdr>
        <w:top w:val="none" w:sz="0" w:space="0" w:color="auto"/>
        <w:left w:val="none" w:sz="0" w:space="0" w:color="auto"/>
        <w:bottom w:val="none" w:sz="0" w:space="0" w:color="auto"/>
        <w:right w:val="none" w:sz="0" w:space="0" w:color="auto"/>
      </w:divBdr>
    </w:div>
    <w:div w:id="1455564638">
      <w:bodyDiv w:val="1"/>
      <w:marLeft w:val="0"/>
      <w:marRight w:val="0"/>
      <w:marTop w:val="0"/>
      <w:marBottom w:val="0"/>
      <w:divBdr>
        <w:top w:val="none" w:sz="0" w:space="0" w:color="auto"/>
        <w:left w:val="none" w:sz="0" w:space="0" w:color="auto"/>
        <w:bottom w:val="none" w:sz="0" w:space="0" w:color="auto"/>
        <w:right w:val="none" w:sz="0" w:space="0" w:color="auto"/>
      </w:divBdr>
    </w:div>
    <w:div w:id="1494030585">
      <w:bodyDiv w:val="1"/>
      <w:marLeft w:val="0"/>
      <w:marRight w:val="0"/>
      <w:marTop w:val="0"/>
      <w:marBottom w:val="0"/>
      <w:divBdr>
        <w:top w:val="none" w:sz="0" w:space="0" w:color="auto"/>
        <w:left w:val="none" w:sz="0" w:space="0" w:color="auto"/>
        <w:bottom w:val="none" w:sz="0" w:space="0" w:color="auto"/>
        <w:right w:val="none" w:sz="0" w:space="0" w:color="auto"/>
      </w:divBdr>
    </w:div>
    <w:div w:id="1533961361">
      <w:bodyDiv w:val="1"/>
      <w:marLeft w:val="0"/>
      <w:marRight w:val="0"/>
      <w:marTop w:val="0"/>
      <w:marBottom w:val="0"/>
      <w:divBdr>
        <w:top w:val="none" w:sz="0" w:space="0" w:color="auto"/>
        <w:left w:val="none" w:sz="0" w:space="0" w:color="auto"/>
        <w:bottom w:val="none" w:sz="0" w:space="0" w:color="auto"/>
        <w:right w:val="none" w:sz="0" w:space="0" w:color="auto"/>
      </w:divBdr>
    </w:div>
    <w:div w:id="1618442942">
      <w:bodyDiv w:val="1"/>
      <w:marLeft w:val="0"/>
      <w:marRight w:val="0"/>
      <w:marTop w:val="0"/>
      <w:marBottom w:val="0"/>
      <w:divBdr>
        <w:top w:val="none" w:sz="0" w:space="0" w:color="auto"/>
        <w:left w:val="none" w:sz="0" w:space="0" w:color="auto"/>
        <w:bottom w:val="none" w:sz="0" w:space="0" w:color="auto"/>
        <w:right w:val="none" w:sz="0" w:space="0" w:color="auto"/>
      </w:divBdr>
    </w:div>
    <w:div w:id="1680229426">
      <w:bodyDiv w:val="1"/>
      <w:marLeft w:val="0"/>
      <w:marRight w:val="0"/>
      <w:marTop w:val="0"/>
      <w:marBottom w:val="0"/>
      <w:divBdr>
        <w:top w:val="none" w:sz="0" w:space="0" w:color="auto"/>
        <w:left w:val="none" w:sz="0" w:space="0" w:color="auto"/>
        <w:bottom w:val="none" w:sz="0" w:space="0" w:color="auto"/>
        <w:right w:val="none" w:sz="0" w:space="0" w:color="auto"/>
      </w:divBdr>
    </w:div>
    <w:div w:id="1805654587">
      <w:bodyDiv w:val="1"/>
      <w:marLeft w:val="0"/>
      <w:marRight w:val="0"/>
      <w:marTop w:val="0"/>
      <w:marBottom w:val="0"/>
      <w:divBdr>
        <w:top w:val="none" w:sz="0" w:space="0" w:color="auto"/>
        <w:left w:val="none" w:sz="0" w:space="0" w:color="auto"/>
        <w:bottom w:val="none" w:sz="0" w:space="0" w:color="auto"/>
        <w:right w:val="none" w:sz="0" w:space="0" w:color="auto"/>
      </w:divBdr>
    </w:div>
    <w:div w:id="1857886973">
      <w:bodyDiv w:val="1"/>
      <w:marLeft w:val="0"/>
      <w:marRight w:val="0"/>
      <w:marTop w:val="0"/>
      <w:marBottom w:val="0"/>
      <w:divBdr>
        <w:top w:val="none" w:sz="0" w:space="0" w:color="auto"/>
        <w:left w:val="none" w:sz="0" w:space="0" w:color="auto"/>
        <w:bottom w:val="none" w:sz="0" w:space="0" w:color="auto"/>
        <w:right w:val="none" w:sz="0" w:space="0" w:color="auto"/>
      </w:divBdr>
    </w:div>
    <w:div w:id="20508838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recommendations/sbi-03/sbi-03-rec-07-fr.pdf" TargetMode="External"/><Relationship Id="rId2" Type="http://schemas.openxmlformats.org/officeDocument/2006/relationships/customXml" Target="../customXml/item2.xml"/><Relationship Id="rId16" Type="http://schemas.openxmlformats.org/officeDocument/2006/relationships/hyperlink" Target="https://www.cbd.int/doc/decisions/cop-14/cop-14-dec-23-fr.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p-mop-09/cp-mop-09-dec-04-fr.pdf"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21CC"/>
    <w:rsid w:val="00035791"/>
    <w:rsid w:val="0008061F"/>
    <w:rsid w:val="000872BB"/>
    <w:rsid w:val="000D3661"/>
    <w:rsid w:val="002013A0"/>
    <w:rsid w:val="00486945"/>
    <w:rsid w:val="004C54CC"/>
    <w:rsid w:val="004D48BA"/>
    <w:rsid w:val="004F12E0"/>
    <w:rsid w:val="00500A2B"/>
    <w:rsid w:val="00500A4F"/>
    <w:rsid w:val="005057A6"/>
    <w:rsid w:val="0058288D"/>
    <w:rsid w:val="00626FC6"/>
    <w:rsid w:val="006801B3"/>
    <w:rsid w:val="00696484"/>
    <w:rsid w:val="00696C74"/>
    <w:rsid w:val="006A20E5"/>
    <w:rsid w:val="00716D5A"/>
    <w:rsid w:val="00775496"/>
    <w:rsid w:val="007D1C6A"/>
    <w:rsid w:val="00810A55"/>
    <w:rsid w:val="008A4B32"/>
    <w:rsid w:val="008C6619"/>
    <w:rsid w:val="008D420E"/>
    <w:rsid w:val="00966076"/>
    <w:rsid w:val="00971B16"/>
    <w:rsid w:val="0098642F"/>
    <w:rsid w:val="00A04F34"/>
    <w:rsid w:val="00A4694F"/>
    <w:rsid w:val="00A82412"/>
    <w:rsid w:val="00AA6EDF"/>
    <w:rsid w:val="00AD627A"/>
    <w:rsid w:val="00B325AC"/>
    <w:rsid w:val="00BB1753"/>
    <w:rsid w:val="00BF5CE2"/>
    <w:rsid w:val="00C00460"/>
    <w:rsid w:val="00C32264"/>
    <w:rsid w:val="00C34C1E"/>
    <w:rsid w:val="00CA5FDB"/>
    <w:rsid w:val="00CE358E"/>
    <w:rsid w:val="00D10381"/>
    <w:rsid w:val="00D421EE"/>
    <w:rsid w:val="00DE32A3"/>
    <w:rsid w:val="00E13924"/>
    <w:rsid w:val="00E61855"/>
    <w:rsid w:val="00F16BAE"/>
    <w:rsid w:val="00F85F2D"/>
    <w:rsid w:val="00FD33A2"/>
    <w:rsid w:val="00FE7E4A"/>
    <w:rsid w:val="00FF2D4D"/>
    <w:rsid w:val="00FF4F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2022-10-17T00:00:00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477A7D-D165-4AC2-BE69-A4DC3FD51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D4C50B-C20A-42CA-8EE8-6BE82C5676D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4A45A6E-8709-45A7-BA73-2CD364BB9C51}">
  <ds:schemaRefs>
    <ds:schemaRef ds:uri="http://schemas.openxmlformats.org/officeDocument/2006/bibliography"/>
  </ds:schemaRefs>
</ds:datastoreItem>
</file>

<file path=customXml/itemProps5.xml><?xml version="1.0" encoding="utf-8"?>
<ds:datastoreItem xmlns:ds="http://schemas.openxmlformats.org/officeDocument/2006/customXml" ds:itemID="{CD7F9E74-41AA-40EA-82EF-39986256DA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6</Pages>
  <Words>3491</Words>
  <Characters>19900</Characters>
  <Application>Microsoft Office Word</Application>
  <DocSecurity>0</DocSecurity>
  <Lines>165</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Financial mechanism and resources (Article 28)</vt:lpstr>
      <vt:lpstr>Financial mechanism and resources (Article 28)</vt:lpstr>
    </vt:vector>
  </TitlesOfParts>
  <Company>SCBD</Company>
  <LinksUpToDate>false</LinksUpToDate>
  <CharactersWithSpaces>23345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 ET RESSOURCES FINANCIÈRES (ARTICLE 28)</dc:title>
  <dc:subject>CBD/CP/MOP/10/6</dc:subject>
  <dc:creator>SCBD</dc:creator>
  <cp:keywords>Conference of the Parties serving as the meeting of the Parties to the Cartagena Protocol on Biosafety, tenth meeting, docId:FA2F3A7FC13B7D8299885E5149B41F05</cp:keywords>
  <dc:description/>
  <cp:lastModifiedBy>Xue He Yan</cp:lastModifiedBy>
  <cp:revision>20</cp:revision>
  <cp:lastPrinted>2022-10-24T17:00:00Z</cp:lastPrinted>
  <dcterms:created xsi:type="dcterms:W3CDTF">2022-10-26T21:47:00Z</dcterms:created>
  <dcterms:modified xsi:type="dcterms:W3CDTF">2022-10-31T17:53:00Z</dcterms:modified>
  <cp:contentStatus>GÉNÉRALE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