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57DE047"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BF09FF">
              <w:rPr>
                <w:rFonts w:ascii="Times New Roman" w:hAnsi="Times New Roman" w:cs="Simplified Arabic"/>
                <w:b w:val="0"/>
                <w:bCs w:val="0"/>
                <w:sz w:val="22"/>
                <w:szCs w:val="22"/>
                <w:lang w:val="en-US"/>
              </w:rPr>
              <w:t>3</w:t>
            </w:r>
            <w:r w:rsidR="004843DE" w:rsidRPr="00617845">
              <w:rPr>
                <w:rFonts w:ascii="Times New Roman" w:hAnsi="Times New Roman" w:cs="Simplified Arabic"/>
                <w:b w:val="0"/>
                <w:bCs w:val="0"/>
                <w:sz w:val="22"/>
                <w:szCs w:val="22"/>
              </w:rPr>
              <w:t>/Add</w:t>
            </w:r>
            <w:r w:rsidR="00CE695F" w:rsidRPr="00617845">
              <w:rPr>
                <w:rFonts w:ascii="Times New Roman" w:hAnsi="Times New Roman" w:cs="Simplified Arabic"/>
                <w:b w:val="0"/>
                <w:bCs w:val="0"/>
                <w:sz w:val="22"/>
                <w:szCs w:val="22"/>
              </w:rPr>
              <w:t>.</w:t>
            </w:r>
            <w:r w:rsidR="00191CE5">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316C2E95" w:rsidR="00825851" w:rsidRDefault="00191CE5"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12</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13464754" w14:textId="01A1D3C2"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BF09FF">
        <w:rPr>
          <w:rFonts w:cs="Simplified Arabic"/>
          <w:lang w:val="en-US" w:bidi="ar-EG"/>
        </w:rPr>
        <w:t>4</w:t>
      </w:r>
      <w:r w:rsidR="00BF09FF">
        <w:rPr>
          <w:rFonts w:cs="Simplified Arabic" w:hint="cs"/>
          <w:rtl/>
          <w:lang w:val="en-US"/>
        </w:rPr>
        <w:t>(أ)</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0A2B1D63" w14:textId="5D9519BF" w:rsidR="00835EFB" w:rsidRPr="000D161A" w:rsidRDefault="00BF09FF" w:rsidP="00191CE5">
      <w:pPr>
        <w:bidi/>
        <w:spacing w:after="360" w:line="216" w:lineRule="auto"/>
        <w:rPr>
          <w:rFonts w:cs="Simplified Arabic"/>
          <w:b/>
          <w:bCs/>
          <w:rtl/>
          <w:lang w:val="en-US" w:bidi="ar-EG"/>
        </w:rPr>
      </w:pPr>
      <w:r>
        <w:rPr>
          <w:rFonts w:cs="Simplified Arabic" w:hint="cs"/>
          <w:b/>
          <w:bCs/>
          <w:rtl/>
          <w:lang w:val="en-US" w:bidi="ar-EG"/>
        </w:rPr>
        <w:t>حشد الموارد والآلية المالية</w:t>
      </w:r>
      <w:r w:rsidR="00835EFB" w:rsidRPr="000D161A">
        <w:rPr>
          <w:rFonts w:cs="Simplified Arabic"/>
          <w:b/>
          <w:bCs/>
          <w:rtl/>
          <w:lang w:val="en-US" w:bidi="ar-EG"/>
        </w:rPr>
        <w:t xml:space="preserve">: </w:t>
      </w:r>
      <w:r>
        <w:rPr>
          <w:rFonts w:cs="Simplified Arabic" w:hint="cs"/>
          <w:b/>
          <w:bCs/>
          <w:rtl/>
          <w:lang w:val="en-US" w:bidi="ar-EG"/>
        </w:rPr>
        <w:t>حشد الموارد</w:t>
      </w:r>
    </w:p>
    <w:p w14:paraId="036BBEC9" w14:textId="39116FD1" w:rsidR="0084230E" w:rsidRPr="00191CE5" w:rsidRDefault="00AE34CA" w:rsidP="00191CE5">
      <w:pPr>
        <w:bidi/>
        <w:spacing w:line="216" w:lineRule="auto"/>
        <w:ind w:left="720"/>
        <w:jc w:val="both"/>
        <w:rPr>
          <w:rStyle w:val="hps"/>
          <w:rFonts w:ascii="Times New Roman Bold" w:hAnsi="Times New Roman Bold" w:cs="Simplified Arabic"/>
          <w:b/>
          <w:bCs/>
          <w:szCs w:val="28"/>
          <w:rtl/>
        </w:rPr>
      </w:pPr>
      <w:r w:rsidRPr="00AE34CA">
        <w:rPr>
          <w:rFonts w:ascii="Times New Roman Bold" w:hAnsi="Times New Roman Bold" w:cs="Simplified Arabic" w:hint="cs"/>
          <w:b/>
          <w:bCs/>
          <w:szCs w:val="28"/>
          <w:rtl/>
        </w:rPr>
        <w:t>مقترحات بشأن أفضل تواتر لإصدار الإخطارات المتعلقة باستعراض وتعديل القائمة الموضوعة وفقا للفقرة 2 من المادة 20 من الاتفاقية، مع مراعاة الفرص المحتملة لتوسيع قاعدة المساهمين</w:t>
      </w:r>
      <w:r w:rsidRPr="00AE34CA">
        <w:rPr>
          <w:rFonts w:ascii="Times New Roman Bold" w:hAnsi="Times New Roman Bold" w:cs="Simplified Arabic" w:hint="cs"/>
          <w:b/>
          <w:bCs/>
          <w:szCs w:val="28"/>
          <w:vertAlign w:val="superscript"/>
          <w:rtl/>
        </w:rPr>
        <w:t>*</w:t>
      </w:r>
      <w:r w:rsidRPr="00AE34CA">
        <w:rPr>
          <w:rStyle w:val="FootnoteReference"/>
          <w:rFonts w:ascii="Simplified Arabic" w:hAnsi="Simplified Arabic" w:cs="Simplified Arabic" w:hint="cs"/>
          <w:sz w:val="28"/>
          <w:szCs w:val="28"/>
          <w:lang w:val="en-US" w:bidi="ar-EG"/>
        </w:rPr>
        <w:footnoteReference w:customMarkFollows="1" w:id="2"/>
        <w:t>*</w:t>
      </w:r>
    </w:p>
    <w:p w14:paraId="5782CFA7" w14:textId="77777777" w:rsidR="0084230E" w:rsidRPr="0006516D" w:rsidRDefault="0084230E" w:rsidP="00191CE5">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50652111" w14:textId="2DB31F87" w:rsidR="0084230E" w:rsidRPr="00F01139" w:rsidRDefault="0084230E" w:rsidP="00191CE5">
      <w:pPr>
        <w:keepNext/>
        <w:keepLines/>
        <w:kinsoku w:val="0"/>
        <w:overflowPunct w:val="0"/>
        <w:autoSpaceDE w:val="0"/>
        <w:autoSpaceDN w:val="0"/>
        <w:bidi/>
        <w:adjustRightInd w:val="0"/>
        <w:snapToGrid w:val="0"/>
        <w:spacing w:before="240" w:after="120" w:line="216" w:lineRule="auto"/>
        <w:ind w:left="720" w:hanging="720"/>
        <w:rPr>
          <w:rFonts w:cs="Simplified Arabic"/>
          <w:b/>
          <w:bCs/>
          <w:szCs w:val="28"/>
          <w:lang w:val="en-US"/>
        </w:rPr>
      </w:pPr>
      <w:r>
        <w:rPr>
          <w:rFonts w:cs="Simplified Arabic" w:hint="cs"/>
          <w:b/>
          <w:bCs/>
          <w:szCs w:val="28"/>
          <w:rtl/>
          <w:lang w:val="en-US"/>
        </w:rPr>
        <w:t xml:space="preserve">أولا </w:t>
      </w:r>
      <w:r>
        <w:rPr>
          <w:rFonts w:cs="Simplified Arabic"/>
          <w:b/>
          <w:bCs/>
          <w:szCs w:val="28"/>
          <w:rtl/>
          <w:lang w:val="en-US"/>
        </w:rPr>
        <w:t>–</w:t>
      </w:r>
      <w:r w:rsidR="00191CE5">
        <w:rPr>
          <w:rFonts w:cs="Simplified Arabic"/>
          <w:b/>
          <w:bCs/>
          <w:szCs w:val="28"/>
          <w:lang w:val="en-US"/>
        </w:rPr>
        <w:tab/>
      </w:r>
      <w:r w:rsidR="00DA51CD">
        <w:rPr>
          <w:rFonts w:cs="Simplified Arabic" w:hint="cs"/>
          <w:b/>
          <w:bCs/>
          <w:szCs w:val="28"/>
          <w:rtl/>
          <w:lang w:val="en-US"/>
        </w:rPr>
        <w:t>المقدمة</w:t>
      </w:r>
    </w:p>
    <w:p w14:paraId="012FBF51" w14:textId="624AAE9F" w:rsidR="00C5156E" w:rsidRPr="006B1700" w:rsidRDefault="00AE34CA" w:rsidP="00191CE5">
      <w:pPr>
        <w:pStyle w:val="ListParagraph"/>
        <w:numPr>
          <w:ilvl w:val="0"/>
          <w:numId w:val="4"/>
        </w:numPr>
        <w:bidi/>
        <w:spacing w:after="120" w:line="216" w:lineRule="auto"/>
        <w:ind w:firstLine="0"/>
        <w:contextualSpacing w:val="0"/>
        <w:jc w:val="both"/>
        <w:rPr>
          <w:rFonts w:cs="Simplified Arabic"/>
          <w:sz w:val="22"/>
          <w:rtl/>
          <w:lang w:val="en-US"/>
        </w:rPr>
      </w:pPr>
      <w:r w:rsidRPr="006B1700">
        <w:rPr>
          <w:rFonts w:cs="Simplified Arabic"/>
          <w:sz w:val="22"/>
          <w:rtl/>
          <w:lang w:val="en-US"/>
        </w:rPr>
        <w:t xml:space="preserve">وفقا للطلب الوارد في الفقرة الفرعية 47 (ب) من المقرر </w:t>
      </w:r>
      <w:hyperlink r:id="rId14" w:history="1">
        <w:r w:rsidRPr="006B1700">
          <w:rPr>
            <w:rStyle w:val="Hyperlink"/>
            <w:rFonts w:cs="Simplified Arabic"/>
            <w:sz w:val="22"/>
            <w:rtl/>
            <w:lang w:val="en-US"/>
          </w:rPr>
          <w:t>15/7</w:t>
        </w:r>
      </w:hyperlink>
      <w:r w:rsidRPr="006B1700">
        <w:rPr>
          <w:rFonts w:cs="Simplified Arabic"/>
          <w:sz w:val="22"/>
          <w:rtl/>
          <w:lang w:val="en-US"/>
        </w:rPr>
        <w:t xml:space="preserve">، بشأن حشد الموارد، أصدرت الأمينة التنفيذية إخطارا </w:t>
      </w:r>
      <w:r w:rsidR="002A6D82">
        <w:rPr>
          <w:rFonts w:cs="Simplified Arabic" w:hint="cs"/>
          <w:sz w:val="22"/>
          <w:rtl/>
          <w:lang w:val="en-US"/>
        </w:rPr>
        <w:t>يدعو</w:t>
      </w:r>
      <w:r w:rsidRPr="006B1700">
        <w:rPr>
          <w:rFonts w:cs="Simplified Arabic"/>
          <w:sz w:val="22"/>
          <w:rtl/>
          <w:lang w:val="en-US"/>
        </w:rPr>
        <w:t xml:space="preserve"> الأطراف من البلدان النامية والأطراف التي تمر اقتصاداتها بمرحلة انتقالية إلى </w:t>
      </w:r>
      <w:r w:rsidR="002A6D82">
        <w:rPr>
          <w:rFonts w:cs="Simplified Arabic" w:hint="cs"/>
          <w:sz w:val="22"/>
          <w:rtl/>
          <w:lang w:val="en-US"/>
        </w:rPr>
        <w:t>أن تنظر</w:t>
      </w:r>
      <w:r w:rsidRPr="006B1700">
        <w:rPr>
          <w:rFonts w:cs="Simplified Arabic"/>
          <w:sz w:val="22"/>
          <w:rtl/>
          <w:lang w:val="en-US"/>
        </w:rPr>
        <w:t xml:space="preserve">، مع مراعاة الظروف الوطنية، فيما إذا كانت في وضع يسمح لها بأن تتحمل </w:t>
      </w:r>
      <w:r w:rsidR="008C2443">
        <w:rPr>
          <w:rFonts w:cs="Simplified Arabic" w:hint="cs"/>
          <w:sz w:val="22"/>
          <w:rtl/>
          <w:lang w:val="en-US"/>
        </w:rPr>
        <w:t>طواعية</w:t>
      </w:r>
      <w:r w:rsidRPr="006B1700">
        <w:rPr>
          <w:rFonts w:cs="Simplified Arabic"/>
          <w:sz w:val="22"/>
          <w:rtl/>
          <w:lang w:val="en-US"/>
        </w:rPr>
        <w:t xml:space="preserve"> التزامات الأطراف من البلدان المتقدمة وفقا للمادة 20 من الاتفاقية؛ </w:t>
      </w:r>
      <w:r w:rsidR="002A6D82">
        <w:rPr>
          <w:rFonts w:cs="Simplified Arabic" w:hint="cs"/>
          <w:sz w:val="22"/>
          <w:rtl/>
          <w:lang w:val="en-US"/>
        </w:rPr>
        <w:t>وأن تبلغ</w:t>
      </w:r>
      <w:r w:rsidRPr="006B1700">
        <w:rPr>
          <w:rFonts w:cs="Simplified Arabic"/>
          <w:sz w:val="22"/>
          <w:rtl/>
          <w:lang w:val="en-US"/>
        </w:rPr>
        <w:t xml:space="preserve"> الأمينة التنفيذية بذلك</w:t>
      </w:r>
      <w:r w:rsidR="002A6D82">
        <w:rPr>
          <w:rFonts w:cs="Simplified Arabic" w:hint="cs"/>
          <w:sz w:val="22"/>
          <w:rtl/>
          <w:lang w:val="en-US"/>
        </w:rPr>
        <w:t>، إذا كان الأمر كذلك</w:t>
      </w:r>
      <w:r w:rsidRPr="006B1700">
        <w:rPr>
          <w:rFonts w:cs="Simplified Arabic"/>
          <w:sz w:val="22"/>
          <w:rtl/>
          <w:lang w:val="en-US"/>
        </w:rPr>
        <w:t xml:space="preserve"> (انظر الإخطارين رقم </w:t>
      </w:r>
      <w:hyperlink r:id="rId15" w:history="1">
        <w:r w:rsidRPr="006B1700">
          <w:rPr>
            <w:rStyle w:val="Hyperlink"/>
            <w:rFonts w:cs="Simplified Arabic"/>
            <w:sz w:val="22"/>
            <w:rtl/>
            <w:lang w:val="en-US"/>
          </w:rPr>
          <w:t>2023</w:t>
        </w:r>
        <w:r w:rsidR="00F1341A" w:rsidRPr="006B1700">
          <w:rPr>
            <w:rStyle w:val="Hyperlink"/>
            <w:rFonts w:cs="Simplified Arabic"/>
            <w:sz w:val="22"/>
            <w:rtl/>
            <w:lang w:val="en-US"/>
          </w:rPr>
          <w:noBreakHyphen/>
        </w:r>
        <w:r w:rsidRPr="006B1700">
          <w:rPr>
            <w:rStyle w:val="Hyperlink"/>
            <w:rFonts w:cs="Simplified Arabic"/>
            <w:sz w:val="22"/>
            <w:rtl/>
            <w:lang w:val="en-US"/>
          </w:rPr>
          <w:t>063</w:t>
        </w:r>
      </w:hyperlink>
      <w:r w:rsidRPr="006B1700">
        <w:rPr>
          <w:rFonts w:cs="Simplified Arabic"/>
          <w:sz w:val="22"/>
          <w:rtl/>
          <w:lang w:val="en-US"/>
        </w:rPr>
        <w:t xml:space="preserve"> المؤرخ 13 يونيو/حزيران 2023 ورقم </w:t>
      </w:r>
      <w:hyperlink r:id="rId16" w:history="1">
        <w:r w:rsidRPr="006B1700">
          <w:rPr>
            <w:rStyle w:val="Hyperlink"/>
            <w:rFonts w:cs="Simplified Arabic"/>
            <w:sz w:val="22"/>
            <w:rtl/>
            <w:lang w:val="en-US"/>
          </w:rPr>
          <w:t>2023-132</w:t>
        </w:r>
      </w:hyperlink>
      <w:r w:rsidRPr="006B1700">
        <w:rPr>
          <w:rFonts w:cs="Simplified Arabic"/>
          <w:sz w:val="22"/>
          <w:rtl/>
          <w:lang w:val="en-US"/>
        </w:rPr>
        <w:t xml:space="preserve"> المؤرخ 11 ديسمبر/كانون الأول 2023).</w:t>
      </w:r>
    </w:p>
    <w:p w14:paraId="53453B68" w14:textId="0F13AF33" w:rsidR="00C5156E" w:rsidRPr="006B1700" w:rsidRDefault="00AE34CA" w:rsidP="00191CE5">
      <w:pPr>
        <w:pStyle w:val="ListParagraph"/>
        <w:numPr>
          <w:ilvl w:val="0"/>
          <w:numId w:val="4"/>
        </w:numPr>
        <w:bidi/>
        <w:spacing w:after="120" w:line="216" w:lineRule="auto"/>
        <w:ind w:firstLine="0"/>
        <w:contextualSpacing w:val="0"/>
        <w:jc w:val="both"/>
        <w:rPr>
          <w:rFonts w:cs="Simplified Arabic"/>
          <w:sz w:val="22"/>
          <w:rtl/>
          <w:lang w:val="en-US"/>
        </w:rPr>
      </w:pPr>
      <w:r w:rsidRPr="006B1700">
        <w:rPr>
          <w:rFonts w:cs="Simplified Arabic"/>
          <w:sz w:val="22"/>
          <w:rtl/>
          <w:lang w:val="en-US"/>
        </w:rPr>
        <w:t xml:space="preserve">وفي الفقرة 18 من المقرر </w:t>
      </w:r>
      <w:hyperlink r:id="rId17" w:history="1">
        <w:r w:rsidRPr="006B1700">
          <w:rPr>
            <w:rStyle w:val="Hyperlink"/>
            <w:rFonts w:cs="Simplified Arabic"/>
            <w:sz w:val="22"/>
            <w:rtl/>
            <w:lang w:val="en-US"/>
          </w:rPr>
          <w:t>16/34</w:t>
        </w:r>
      </w:hyperlink>
      <w:r w:rsidRPr="006B1700">
        <w:rPr>
          <w:rFonts w:cs="Simplified Arabic"/>
          <w:sz w:val="22"/>
          <w:rtl/>
          <w:lang w:val="en-US"/>
        </w:rPr>
        <w:t xml:space="preserve"> بشأن حشد الموارد، لاحظ مؤتمر الأطراف أنه لم يرد أي طرف على الإخطارات التي أصدرتها الأمينة التنفيذية عملا بالطلب المذكور أعلاه؛ وطلب في هذا الصدد إلى الأمينة التنفيذية النظر في أفضل تواتر لإصدار الجولة الجديدة من الإخطارات.</w:t>
      </w:r>
    </w:p>
    <w:p w14:paraId="33AA4FB2" w14:textId="4592C786" w:rsidR="00C5156E" w:rsidRPr="006B1700" w:rsidRDefault="00533C78" w:rsidP="00191CE5">
      <w:pPr>
        <w:pStyle w:val="ListParagraph"/>
        <w:numPr>
          <w:ilvl w:val="0"/>
          <w:numId w:val="4"/>
        </w:numPr>
        <w:bidi/>
        <w:spacing w:after="120" w:line="216" w:lineRule="auto"/>
        <w:ind w:firstLine="0"/>
        <w:contextualSpacing w:val="0"/>
        <w:jc w:val="both"/>
        <w:rPr>
          <w:rFonts w:cs="Simplified Arabic"/>
          <w:sz w:val="22"/>
          <w:rtl/>
          <w:lang w:val="en-US"/>
        </w:rPr>
      </w:pPr>
      <w:r w:rsidRPr="006B1700">
        <w:rPr>
          <w:rFonts w:cs="Simplified Arabic"/>
          <w:sz w:val="22"/>
          <w:rtl/>
          <w:lang w:val="en-US"/>
        </w:rPr>
        <w:t>وفي الفقرة 24 من المقرر نفسه، طلب مؤتمر الأطراف إلى الهيئة الفرعية للتنفيذ أن تنظر، قبل انعقاد الاجتماع السابع عشر لمؤتمر الأطراف، في العناصر المشار إليها في الفقرتين الفرعيتين 22 (أ) و23 (أ) من المقرر، وأن "تواصل مناقشة فرص توسيع قاعدة المساهمين."</w:t>
      </w:r>
    </w:p>
    <w:p w14:paraId="74EBDAED" w14:textId="238627A8" w:rsidR="00C5156E" w:rsidRPr="006B1700" w:rsidRDefault="00533C78" w:rsidP="00191CE5">
      <w:pPr>
        <w:pStyle w:val="ListParagraph"/>
        <w:numPr>
          <w:ilvl w:val="0"/>
          <w:numId w:val="4"/>
        </w:numPr>
        <w:bidi/>
        <w:spacing w:after="120" w:line="216" w:lineRule="auto"/>
        <w:ind w:firstLine="0"/>
        <w:contextualSpacing w:val="0"/>
        <w:jc w:val="both"/>
        <w:rPr>
          <w:rFonts w:cs="Simplified Arabic"/>
          <w:sz w:val="22"/>
          <w:lang w:val="en-US"/>
        </w:rPr>
      </w:pPr>
      <w:r w:rsidRPr="006B1700">
        <w:rPr>
          <w:rFonts w:cs="Simplified Arabic"/>
          <w:sz w:val="22"/>
          <w:rtl/>
          <w:lang w:val="en-US"/>
        </w:rPr>
        <w:t xml:space="preserve">وثمة ارتباط وثيق بين الطلبين الواردين في الفقرتين 18 و24 من المقرر </w:t>
      </w:r>
      <w:hyperlink r:id="rId18" w:history="1">
        <w:r w:rsidRPr="006B1700">
          <w:rPr>
            <w:rStyle w:val="Hyperlink"/>
            <w:rFonts w:cs="Simplified Arabic"/>
            <w:sz w:val="22"/>
            <w:rtl/>
            <w:lang w:val="en-US"/>
          </w:rPr>
          <w:t>16/34</w:t>
        </w:r>
      </w:hyperlink>
      <w:r w:rsidRPr="006B1700">
        <w:rPr>
          <w:rFonts w:cs="Simplified Arabic"/>
          <w:sz w:val="22"/>
          <w:rtl/>
          <w:lang w:val="en-US"/>
        </w:rPr>
        <w:t>.</w:t>
      </w:r>
      <w:r w:rsidRPr="006B1700">
        <w:rPr>
          <w:rFonts w:cs="Simplified Arabic" w:hint="cs"/>
          <w:sz w:val="22"/>
          <w:rtl/>
          <w:lang w:val="en-US"/>
        </w:rPr>
        <w:t xml:space="preserve"> </w:t>
      </w:r>
      <w:r w:rsidRPr="006B1700">
        <w:rPr>
          <w:rFonts w:cs="Simplified Arabic"/>
          <w:sz w:val="22"/>
          <w:rtl/>
          <w:lang w:val="en-US"/>
        </w:rPr>
        <w:t xml:space="preserve">وفي حين أن موضوع توسيع قاعدة المساهمين يعتبر موضوعا أوسع من الناحية النظرية، إذ يشمل أيضا تعزيز دور التمويل الخاص (غير السيادي) والتمويل المبتكر، بالإضافة إلى التمويل العام التقليدي للتنوع البيولوجي، يتمثل أحد العناصر المهمة لهذا الموضوع في توسيع نطاق الجهات الفاعلة السيادية التي توفر التمويل الدولي للتنوع البيولوجي للبلدان النامية والبلدان التي تمر اقتصاداتها بمرحلة انتقالية، في سياق الحاجة إلى توفير موارد مالية جديدة وإضافية على النحو المحدد في </w:t>
      </w:r>
      <w:r w:rsidRPr="006B1700">
        <w:rPr>
          <w:rFonts w:cs="Simplified Arabic"/>
          <w:sz w:val="22"/>
          <w:rtl/>
          <w:lang w:val="en-US"/>
        </w:rPr>
        <w:lastRenderedPageBreak/>
        <w:t>الفقرة 2 من المادة 20.</w:t>
      </w:r>
      <w:r w:rsidRPr="006B1700">
        <w:rPr>
          <w:rStyle w:val="FootnoteReference"/>
          <w:rFonts w:cs="Simplified Arabic"/>
          <w:sz w:val="22"/>
          <w:rtl/>
          <w:lang w:val="en-US"/>
        </w:rPr>
        <w:footnoteReference w:id="3"/>
      </w:r>
      <w:r w:rsidRPr="006B1700">
        <w:rPr>
          <w:rFonts w:cs="Simplified Arabic" w:hint="cs"/>
          <w:sz w:val="22"/>
          <w:rtl/>
          <w:lang w:val="en-US"/>
        </w:rPr>
        <w:t xml:space="preserve"> </w:t>
      </w:r>
      <w:r w:rsidRPr="006B1700">
        <w:rPr>
          <w:rFonts w:cs="Simplified Arabic"/>
          <w:sz w:val="22"/>
          <w:rtl/>
          <w:lang w:val="en-US"/>
        </w:rPr>
        <w:t xml:space="preserve">ويتمثل الغرض من القائمة التي سيتم وضعها واستعراضها وتعديلها دوريا، وفقا للفقرة 2 من المادة 20 من الاتفاقية، المشار إليها في الطلب الوارد في الفقرة 18 من المقرر </w:t>
      </w:r>
      <w:hyperlink r:id="rId19" w:history="1">
        <w:r w:rsidRPr="006B1700">
          <w:rPr>
            <w:rStyle w:val="Hyperlink"/>
            <w:rFonts w:cs="Simplified Arabic"/>
            <w:sz w:val="22"/>
            <w:rtl/>
            <w:lang w:val="en-US"/>
          </w:rPr>
          <w:t>16/34</w:t>
        </w:r>
      </w:hyperlink>
      <w:r w:rsidRPr="006B1700">
        <w:rPr>
          <w:rFonts w:cs="Simplified Arabic"/>
          <w:sz w:val="22"/>
          <w:rtl/>
          <w:lang w:val="en-US"/>
        </w:rPr>
        <w:t>، في توثيق أي تمديد من هذا القبيل.</w:t>
      </w:r>
    </w:p>
    <w:p w14:paraId="1DB85657" w14:textId="143E4433" w:rsidR="00F1341A" w:rsidRPr="006B1700" w:rsidRDefault="00F1341A" w:rsidP="00F1341A">
      <w:pPr>
        <w:pStyle w:val="ListParagraph"/>
        <w:numPr>
          <w:ilvl w:val="0"/>
          <w:numId w:val="4"/>
        </w:numPr>
        <w:bidi/>
        <w:spacing w:after="120" w:line="216" w:lineRule="auto"/>
        <w:ind w:firstLine="0"/>
        <w:contextualSpacing w:val="0"/>
        <w:jc w:val="both"/>
        <w:rPr>
          <w:rFonts w:cs="Simplified Arabic"/>
          <w:sz w:val="22"/>
          <w:lang w:val="en-US"/>
        </w:rPr>
      </w:pPr>
      <w:r w:rsidRPr="006B1700">
        <w:rPr>
          <w:rFonts w:cs="Simplified Arabic"/>
          <w:sz w:val="22"/>
          <w:rtl/>
          <w:lang w:val="en-US"/>
        </w:rPr>
        <w:t xml:space="preserve">ويرتبط موضوع توسيع قاعدة المساهمين بكلتا الولايتين المنصوص عليهما في الفقرة 19 من المقرر </w:t>
      </w:r>
      <w:hyperlink r:id="rId20" w:history="1">
        <w:r w:rsidRPr="006B1700">
          <w:rPr>
            <w:rStyle w:val="Hyperlink"/>
            <w:rFonts w:cs="Simplified Arabic"/>
            <w:sz w:val="22"/>
            <w:rtl/>
            <w:lang w:val="en-US"/>
          </w:rPr>
          <w:t>16/34</w:t>
        </w:r>
      </w:hyperlink>
      <w:r w:rsidRPr="006B1700">
        <w:rPr>
          <w:rFonts w:cs="Simplified Arabic"/>
          <w:sz w:val="22"/>
          <w:rtl/>
          <w:lang w:val="en-US"/>
        </w:rPr>
        <w:t>، بما في ذلك المهمتان الأوليتان في إطار هاتين الولايتين على النحو المبين في الفقرتين الفرعيتين 22 (أ) و23 (أ) من المقرر:</w:t>
      </w:r>
    </w:p>
    <w:p w14:paraId="33CB070F" w14:textId="49B98FDA" w:rsidR="00F1341A" w:rsidRPr="006B1700" w:rsidRDefault="006B1700" w:rsidP="006B1700">
      <w:pPr>
        <w:pStyle w:val="ListParagraph"/>
        <w:numPr>
          <w:ilvl w:val="0"/>
          <w:numId w:val="11"/>
        </w:numPr>
        <w:bidi/>
        <w:spacing w:after="120" w:line="216" w:lineRule="auto"/>
        <w:ind w:firstLine="720"/>
        <w:contextualSpacing w:val="0"/>
        <w:jc w:val="both"/>
        <w:rPr>
          <w:rFonts w:cs="Simplified Arabic"/>
          <w:sz w:val="22"/>
          <w:lang w:val="en-US"/>
        </w:rPr>
      </w:pPr>
      <w:r w:rsidRPr="006B1700">
        <w:rPr>
          <w:rFonts w:cs="Simplified Arabic" w:hint="cs"/>
          <w:sz w:val="22"/>
          <w:rtl/>
          <w:lang w:val="en-US"/>
        </w:rPr>
        <w:t>فيما يتعلق بمواصلة إعداد المعايير للهيكل المؤسسي لتشغيل الآلية المالية، تجدر الإشارة إلى أن تجميع الآراء الوارد في المرفق الثاني للمقرر</w:t>
      </w:r>
      <w:r w:rsidRPr="006B1700">
        <w:rPr>
          <w:rFonts w:cs="Simplified Arabic"/>
          <w:sz w:val="22"/>
          <w:rtl/>
          <w:lang w:val="en-US"/>
        </w:rPr>
        <w:t xml:space="preserve"> </w:t>
      </w:r>
      <w:hyperlink r:id="rId21" w:history="1">
        <w:r w:rsidRPr="006B1700">
          <w:rPr>
            <w:rStyle w:val="Hyperlink"/>
            <w:rFonts w:cs="Simplified Arabic"/>
            <w:sz w:val="22"/>
            <w:rtl/>
            <w:lang w:val="en-US"/>
          </w:rPr>
          <w:t>16/34</w:t>
        </w:r>
      </w:hyperlink>
      <w:r w:rsidRPr="006B1700">
        <w:rPr>
          <w:rFonts w:cs="Simplified Arabic"/>
          <w:sz w:val="22"/>
          <w:rtl/>
          <w:lang w:val="en-US"/>
        </w:rPr>
        <w:t>،</w:t>
      </w:r>
      <w:r w:rsidRPr="006B1700">
        <w:rPr>
          <w:rFonts w:cs="Simplified Arabic" w:hint="cs"/>
          <w:sz w:val="22"/>
          <w:rtl/>
          <w:lang w:val="en-US"/>
        </w:rPr>
        <w:t xml:space="preserve"> يتضمن أيضا عنصرا يشير إلى أن "</w:t>
      </w:r>
      <w:r w:rsidRPr="006B1700">
        <w:rPr>
          <w:rFonts w:cs="Simplified Arabic" w:hint="cs"/>
          <w:i/>
          <w:iCs/>
          <w:sz w:val="22"/>
          <w:rtl/>
          <w:lang w:val="en-US"/>
        </w:rPr>
        <w:t>قاعدة المساهمين تهدف إلى حشد الموارد من جميع المصادر"</w:t>
      </w:r>
      <w:r w:rsidRPr="006B1700">
        <w:rPr>
          <w:rFonts w:cs="Simplified Arabic" w:hint="cs"/>
          <w:sz w:val="22"/>
          <w:rtl/>
          <w:lang w:val="en-US"/>
        </w:rPr>
        <w:t xml:space="preserve">. ويُتناول هذا الموضوع بمزيد من التفصيل في الوثيقة </w:t>
      </w:r>
      <w:r w:rsidRPr="006B1700">
        <w:rPr>
          <w:rFonts w:cs="Simplified Arabic"/>
          <w:sz w:val="22"/>
          <w:lang w:val="en-US"/>
        </w:rPr>
        <w:t>CBD/SBI/7/3/Add.3</w:t>
      </w:r>
      <w:r w:rsidRPr="006B1700">
        <w:rPr>
          <w:rFonts w:cs="Simplified Arabic" w:hint="cs"/>
          <w:sz w:val="22"/>
          <w:rtl/>
          <w:lang w:val="en-US"/>
        </w:rPr>
        <w:t>؛</w:t>
      </w:r>
    </w:p>
    <w:p w14:paraId="6ED06766" w14:textId="779DD6F9" w:rsidR="006B1700" w:rsidRPr="006B1700" w:rsidRDefault="006B1700" w:rsidP="006B1700">
      <w:pPr>
        <w:pStyle w:val="ListParagraph"/>
        <w:numPr>
          <w:ilvl w:val="0"/>
          <w:numId w:val="11"/>
        </w:numPr>
        <w:bidi/>
        <w:spacing w:after="120" w:line="216" w:lineRule="auto"/>
        <w:ind w:firstLine="720"/>
        <w:contextualSpacing w:val="0"/>
        <w:jc w:val="both"/>
        <w:rPr>
          <w:rFonts w:cs="Simplified Arabic"/>
          <w:sz w:val="22"/>
          <w:lang w:val="en-US"/>
        </w:rPr>
      </w:pPr>
      <w:r>
        <w:rPr>
          <w:rFonts w:cs="Simplified Arabic" w:hint="cs"/>
          <w:sz w:val="22"/>
          <w:rtl/>
          <w:lang w:val="en-US"/>
        </w:rPr>
        <w:t>فيما يتعلق بتحديد العقبات التي تعترض فعالية التمويل العالمي للتنوع البيولوجي والتوصية بعناصر لزيادة تعزيزه، يمكن اعتبار قاعدة المساهمين الضيقة نسبيا إحدى هذه العوائق، في حين أن توسيعها يعد أحد العناصر التي من شأنها أن تعزز التمويل العالمي للتنوع البيولوجي.</w:t>
      </w:r>
      <w:r w:rsidRPr="006B1700">
        <w:rPr>
          <w:rFonts w:cs="Simplified Arabic" w:hint="cs"/>
          <w:sz w:val="22"/>
          <w:rtl/>
          <w:lang w:val="en-US"/>
        </w:rPr>
        <w:t xml:space="preserve"> ويُتناول هذا الموضوع بمزيد من التفصيل في الوثيقة </w:t>
      </w:r>
      <w:r w:rsidRPr="006B1700">
        <w:rPr>
          <w:rFonts w:cs="Simplified Arabic"/>
          <w:sz w:val="22"/>
          <w:lang w:val="en-US"/>
        </w:rPr>
        <w:t>CBD/SBI/7/3/Add.</w:t>
      </w:r>
      <w:r>
        <w:rPr>
          <w:rFonts w:cs="Simplified Arabic"/>
          <w:sz w:val="22"/>
          <w:lang w:val="en-US"/>
        </w:rPr>
        <w:t>4</w:t>
      </w:r>
      <w:r>
        <w:rPr>
          <w:rFonts w:cs="Simplified Arabic" w:hint="cs"/>
          <w:sz w:val="22"/>
          <w:rtl/>
          <w:lang w:val="en-US"/>
        </w:rPr>
        <w:t>.</w:t>
      </w:r>
    </w:p>
    <w:p w14:paraId="541580F9" w14:textId="6F8167DD" w:rsidR="00F1341A" w:rsidRPr="006B1700" w:rsidRDefault="005345DC" w:rsidP="00F1341A">
      <w:pPr>
        <w:pStyle w:val="ListParagraph"/>
        <w:numPr>
          <w:ilvl w:val="0"/>
          <w:numId w:val="4"/>
        </w:numPr>
        <w:bidi/>
        <w:spacing w:after="120" w:line="216" w:lineRule="auto"/>
        <w:ind w:firstLine="0"/>
        <w:contextualSpacing w:val="0"/>
        <w:jc w:val="both"/>
        <w:rPr>
          <w:rFonts w:cs="Simplified Arabic"/>
          <w:sz w:val="22"/>
          <w:lang w:val="en-US"/>
        </w:rPr>
      </w:pPr>
      <w:r w:rsidRPr="005345DC">
        <w:rPr>
          <w:rFonts w:cs="Simplified Arabic"/>
          <w:sz w:val="22"/>
          <w:rtl/>
          <w:lang w:val="en-US"/>
        </w:rPr>
        <w:t>وفي الجزء المتبقي من هذه الوثيقة، سينصب التركيز على موضوع توسيع قاعدة المساهمين من الجهات الفاعلة السيادية، في سياق النظر في أفضل تواتر لتحديث القائمة التي يتعين الاحتفاظ بها وفقا للفقرة 2 من المادة 20 من الاتفاقية.</w:t>
      </w:r>
      <w:r w:rsidR="004F4096">
        <w:rPr>
          <w:rFonts w:cs="Simplified Arabic" w:hint="cs"/>
          <w:sz w:val="22"/>
          <w:rtl/>
          <w:lang w:val="en-US"/>
        </w:rPr>
        <w:t xml:space="preserve"> </w:t>
      </w:r>
    </w:p>
    <w:p w14:paraId="0FC23853" w14:textId="3E8A73C1" w:rsidR="0029266B" w:rsidRPr="00442493" w:rsidRDefault="000A6E30" w:rsidP="00191CE5">
      <w:pPr>
        <w:keepNext/>
        <w:keepLines/>
        <w:kinsoku w:val="0"/>
        <w:overflowPunct w:val="0"/>
        <w:autoSpaceDE w:val="0"/>
        <w:autoSpaceDN w:val="0"/>
        <w:bidi/>
        <w:adjustRightInd w:val="0"/>
        <w:snapToGrid w:val="0"/>
        <w:spacing w:before="240" w:after="120" w:line="216" w:lineRule="auto"/>
        <w:ind w:left="720" w:hanging="720"/>
        <w:jc w:val="both"/>
        <w:rPr>
          <w:rFonts w:cs="Simplified Arabic"/>
          <w:b/>
          <w:bCs/>
          <w:szCs w:val="28"/>
          <w:lang w:val="en-US"/>
        </w:rPr>
      </w:pPr>
      <w:r w:rsidRPr="00442493">
        <w:rPr>
          <w:rFonts w:cs="Simplified Arabic" w:hint="cs"/>
          <w:b/>
          <w:bCs/>
          <w:szCs w:val="28"/>
          <w:rtl/>
          <w:lang w:val="en-US"/>
        </w:rPr>
        <w:t xml:space="preserve">ثانيا </w:t>
      </w:r>
      <w:r w:rsidR="00345476" w:rsidRPr="00442493">
        <w:rPr>
          <w:b/>
          <w:bCs/>
          <w:szCs w:val="28"/>
          <w:rtl/>
          <w:lang w:val="en-US"/>
        </w:rPr>
        <w:t>–</w:t>
      </w:r>
      <w:r w:rsidR="00191CE5" w:rsidRPr="00442493">
        <w:rPr>
          <w:b/>
          <w:bCs/>
          <w:szCs w:val="28"/>
          <w:rtl/>
          <w:lang w:val="en-US"/>
        </w:rPr>
        <w:tab/>
      </w:r>
      <w:r w:rsidR="00442493" w:rsidRPr="00442493">
        <w:rPr>
          <w:rFonts w:cs="Simplified Arabic"/>
          <w:b/>
          <w:bCs/>
          <w:szCs w:val="28"/>
          <w:rtl/>
          <w:lang w:val="en-US"/>
        </w:rPr>
        <w:t xml:space="preserve">العمل </w:t>
      </w:r>
      <w:proofErr w:type="spellStart"/>
      <w:r w:rsidR="0066559D">
        <w:rPr>
          <w:rFonts w:cs="Simplified Arabic" w:hint="cs"/>
          <w:b/>
          <w:bCs/>
          <w:szCs w:val="28"/>
          <w:rtl/>
          <w:lang w:val="en-US"/>
        </w:rPr>
        <w:t>الم</w:t>
      </w:r>
      <w:r w:rsidR="00442493" w:rsidRPr="00442493">
        <w:rPr>
          <w:rFonts w:cs="Simplified Arabic"/>
          <w:b/>
          <w:bCs/>
          <w:szCs w:val="28"/>
          <w:rtl/>
          <w:lang w:val="en-US"/>
        </w:rPr>
        <w:t>ضطلع</w:t>
      </w:r>
      <w:proofErr w:type="spellEnd"/>
      <w:r w:rsidR="00442493" w:rsidRPr="00442493">
        <w:rPr>
          <w:rFonts w:cs="Simplified Arabic"/>
          <w:b/>
          <w:bCs/>
          <w:szCs w:val="28"/>
          <w:rtl/>
          <w:lang w:val="en-US"/>
        </w:rPr>
        <w:t xml:space="preserve"> به عملا بالفقرة 2 من المادة 20</w:t>
      </w:r>
    </w:p>
    <w:p w14:paraId="2D6C601E" w14:textId="22A05CA5" w:rsidR="000A6E30" w:rsidRDefault="0066559D" w:rsidP="00191CE5">
      <w:pPr>
        <w:pStyle w:val="ListParagraph"/>
        <w:numPr>
          <w:ilvl w:val="0"/>
          <w:numId w:val="4"/>
        </w:numPr>
        <w:bidi/>
        <w:spacing w:after="120" w:line="216" w:lineRule="auto"/>
        <w:ind w:firstLine="0"/>
        <w:contextualSpacing w:val="0"/>
        <w:jc w:val="both"/>
        <w:rPr>
          <w:rFonts w:cs="Simplified Arabic"/>
          <w:lang w:val="en-US"/>
        </w:rPr>
      </w:pPr>
      <w:r w:rsidRPr="0066559D">
        <w:rPr>
          <w:rFonts w:cs="Simplified Arabic"/>
          <w:rtl/>
          <w:lang w:val="en-US"/>
        </w:rPr>
        <w:t>تنص الفقرة 2 من المادة 20 من الاتفاقية على ما يلي (</w:t>
      </w:r>
      <w:r w:rsidR="009E1102">
        <w:rPr>
          <w:rFonts w:cs="Simplified Arabic" w:hint="cs"/>
          <w:rtl/>
          <w:lang w:val="en-US"/>
        </w:rPr>
        <w:t>كُتبت بعض الجمل بالخط العريض للتأكيد</w:t>
      </w:r>
      <w:r w:rsidRPr="0066559D">
        <w:rPr>
          <w:rFonts w:cs="Simplified Arabic"/>
          <w:rtl/>
          <w:lang w:val="en-US"/>
        </w:rPr>
        <w:t>):</w:t>
      </w:r>
    </w:p>
    <w:p w14:paraId="4D97F6D5" w14:textId="63A6083C" w:rsidR="0066559D" w:rsidRPr="00D83287" w:rsidRDefault="0066559D" w:rsidP="0066559D">
      <w:pPr>
        <w:pStyle w:val="ListParagraph"/>
        <w:bidi/>
        <w:spacing w:after="120" w:line="216" w:lineRule="auto"/>
        <w:ind w:left="1440"/>
        <w:contextualSpacing w:val="0"/>
        <w:jc w:val="both"/>
        <w:rPr>
          <w:rFonts w:cs="Simplified Arabic"/>
          <w:rtl/>
          <w:lang w:val="en-US"/>
        </w:rPr>
      </w:pPr>
      <w:r>
        <w:rPr>
          <w:rFonts w:cs="Simplified Arabic" w:hint="cs"/>
          <w:rtl/>
          <w:lang w:val="en-US"/>
        </w:rPr>
        <w:t>"</w:t>
      </w:r>
      <w:r w:rsidR="008C2443">
        <w:rPr>
          <w:rFonts w:cs="Simplified Arabic" w:hint="cs"/>
          <w:b/>
          <w:bCs/>
          <w:rtl/>
          <w:lang w:val="en-US"/>
        </w:rPr>
        <w:t xml:space="preserve">تقوم الأطراف من البلدان المتقدمة بتقديم موارد مالية جديدة وإضافية لتمكين الأطراف من البلدان النامية </w:t>
      </w:r>
      <w:r w:rsidR="008C2443" w:rsidRPr="008C2443">
        <w:rPr>
          <w:rFonts w:cs="Simplified Arabic" w:hint="cs"/>
          <w:rtl/>
          <w:lang w:val="en-US"/>
        </w:rPr>
        <w:t>من الوفاء بكامل التكاليف الإضافية المتفق عليها التي تتحملها تلك الأطراف نتيجة تدابير التنفيذ بغية تحقيق التزامات هذه الاتفاقية، والاستفادة من أحكامها</w:t>
      </w:r>
      <w:r w:rsidR="008C2443">
        <w:rPr>
          <w:rFonts w:cs="Simplified Arabic" w:hint="cs"/>
          <w:rtl/>
          <w:lang w:val="en-US"/>
        </w:rPr>
        <w:t xml:space="preserve"> (...).</w:t>
      </w:r>
      <w:r w:rsidR="008C2443">
        <w:rPr>
          <w:rFonts w:cs="Simplified Arabic" w:hint="cs"/>
          <w:b/>
          <w:bCs/>
          <w:rtl/>
          <w:lang w:val="en-US"/>
        </w:rPr>
        <w:t xml:space="preserve"> ويجوز للأطراف الأخرى، بما فيها البلدان التي تمر اقتصاداتها بمرحلة انتقال إلى اقتصاد السوق، أن تتحمل طواعية الالتزامات الخاصة بالأطراف من البلدان المتقدمة. </w:t>
      </w:r>
      <w:r w:rsidR="008C2443" w:rsidRPr="008C2443">
        <w:rPr>
          <w:rFonts w:cs="Simplified Arabic" w:hint="cs"/>
          <w:rtl/>
          <w:lang w:val="en-US"/>
        </w:rPr>
        <w:t>ولأغراض هذه المادة، يقوم مؤتمر الأطراف في أول اجتماع له بوضع</w:t>
      </w:r>
      <w:r w:rsidR="008C2443">
        <w:rPr>
          <w:rFonts w:cs="Simplified Arabic" w:hint="cs"/>
          <w:b/>
          <w:bCs/>
          <w:rtl/>
          <w:lang w:val="en-US"/>
        </w:rPr>
        <w:t xml:space="preserve"> قائمة بالأطراف من البلدان </w:t>
      </w:r>
      <w:r w:rsidR="008C2443">
        <w:rPr>
          <w:rFonts w:cs="Simplified Arabic" w:hint="cs"/>
          <w:b/>
          <w:bCs/>
          <w:rtl/>
          <w:lang w:val="en-US"/>
        </w:rPr>
        <w:lastRenderedPageBreak/>
        <w:t>المتقدمة والأطراف الأخرى التي تتحمل طواعية الالتزامات الخاصة بالأطراف من البلدان المتقدمة</w:t>
      </w:r>
      <w:r w:rsidR="00D83287">
        <w:rPr>
          <w:rFonts w:cs="Simplified Arabic" w:hint="cs"/>
          <w:b/>
          <w:bCs/>
          <w:rtl/>
          <w:lang w:val="en-US"/>
        </w:rPr>
        <w:t>.</w:t>
      </w:r>
      <w:r w:rsidR="008C2443">
        <w:rPr>
          <w:rFonts w:cs="Simplified Arabic" w:hint="cs"/>
          <w:b/>
          <w:bCs/>
          <w:rtl/>
          <w:lang w:val="en-US"/>
        </w:rPr>
        <w:t xml:space="preserve"> </w:t>
      </w:r>
      <w:r w:rsidR="008C2443" w:rsidRPr="00D83287">
        <w:rPr>
          <w:rFonts w:cs="Simplified Arabic" w:hint="cs"/>
          <w:rtl/>
          <w:lang w:val="en-US"/>
        </w:rPr>
        <w:t>ويقوم مؤتمر الأطراف باستعراض، وإذا لزم الأمر، تعديل هذه القائمة بصورة دورية. (...)."</w:t>
      </w:r>
    </w:p>
    <w:p w14:paraId="4F49EA2B" w14:textId="1EA7886C" w:rsidR="000A6E30" w:rsidRPr="004559F3" w:rsidRDefault="00D83287" w:rsidP="00191CE5">
      <w:pPr>
        <w:pStyle w:val="ListParagraph"/>
        <w:numPr>
          <w:ilvl w:val="0"/>
          <w:numId w:val="4"/>
        </w:numPr>
        <w:bidi/>
        <w:spacing w:after="120" w:line="216" w:lineRule="auto"/>
        <w:ind w:firstLine="0"/>
        <w:contextualSpacing w:val="0"/>
        <w:jc w:val="both"/>
        <w:rPr>
          <w:rFonts w:cs="Simplified Arabic"/>
          <w:lang w:val="en-US"/>
        </w:rPr>
      </w:pPr>
      <w:r>
        <w:rPr>
          <w:rFonts w:cs="Simplified Arabic" w:hint="cs"/>
          <w:rtl/>
          <w:lang w:val="en-US"/>
        </w:rPr>
        <w:t>وبالتالي، فإن هذه المادة:</w:t>
      </w:r>
    </w:p>
    <w:p w14:paraId="48F1FE2C" w14:textId="5801EB8F" w:rsidR="004559F3" w:rsidRPr="004559F3" w:rsidRDefault="00D83287" w:rsidP="004559F3">
      <w:pPr>
        <w:pStyle w:val="ListParagraph"/>
        <w:numPr>
          <w:ilvl w:val="0"/>
          <w:numId w:val="16"/>
        </w:numPr>
        <w:bidi/>
        <w:spacing w:after="120" w:line="216" w:lineRule="auto"/>
        <w:ind w:firstLine="720"/>
        <w:contextualSpacing w:val="0"/>
        <w:jc w:val="both"/>
        <w:rPr>
          <w:rFonts w:cs="Simplified Arabic"/>
          <w:lang w:val="en-US"/>
        </w:rPr>
      </w:pPr>
      <w:r w:rsidRPr="00D83287">
        <w:rPr>
          <w:rFonts w:cs="Simplified Arabic"/>
          <w:rtl/>
          <w:lang w:val="en-US"/>
        </w:rPr>
        <w:t>تحدد التزامات الأطراف من البلدان المتقدمة بتوفير موارد مالية جديدة وإضافية للأطراف من البلدان النامية؛</w:t>
      </w:r>
    </w:p>
    <w:p w14:paraId="79AFCB16" w14:textId="44FA3E0B" w:rsidR="004559F3" w:rsidRPr="004559F3" w:rsidRDefault="00D83287" w:rsidP="004559F3">
      <w:pPr>
        <w:pStyle w:val="ListParagraph"/>
        <w:numPr>
          <w:ilvl w:val="0"/>
          <w:numId w:val="16"/>
        </w:numPr>
        <w:bidi/>
        <w:spacing w:after="120" w:line="216" w:lineRule="auto"/>
        <w:ind w:firstLine="720"/>
        <w:contextualSpacing w:val="0"/>
        <w:jc w:val="both"/>
        <w:rPr>
          <w:rFonts w:cs="Simplified Arabic"/>
          <w:lang w:val="en-US"/>
        </w:rPr>
      </w:pPr>
      <w:r w:rsidRPr="00D83287">
        <w:rPr>
          <w:rFonts w:cs="Simplified Arabic"/>
          <w:rtl/>
          <w:lang w:val="en-US"/>
        </w:rPr>
        <w:t>تنص على أنه يجوز لأطراف أخرى أن تتحمل طواعية هذه الالتزامات؛</w:t>
      </w:r>
    </w:p>
    <w:p w14:paraId="6747E3A6" w14:textId="3ABBF3CC" w:rsidR="004559F3" w:rsidRPr="004559F3" w:rsidRDefault="00D83287" w:rsidP="004559F3">
      <w:pPr>
        <w:pStyle w:val="ListParagraph"/>
        <w:numPr>
          <w:ilvl w:val="0"/>
          <w:numId w:val="16"/>
        </w:numPr>
        <w:bidi/>
        <w:spacing w:after="120" w:line="216" w:lineRule="auto"/>
        <w:ind w:firstLine="720"/>
        <w:contextualSpacing w:val="0"/>
        <w:jc w:val="both"/>
        <w:rPr>
          <w:rFonts w:cs="Simplified Arabic"/>
          <w:rtl/>
          <w:lang w:val="en-US"/>
        </w:rPr>
      </w:pPr>
      <w:r w:rsidRPr="00D83287">
        <w:rPr>
          <w:rFonts w:cs="Simplified Arabic"/>
          <w:rtl/>
          <w:lang w:val="en-US"/>
        </w:rPr>
        <w:t>تنص على أن مؤتمر الأطراف سيقوم بوضع قائمة بالأطراف من البلدان المتقدمة والأطراف الأخرى التي تتحمل طواعية الالتزامات الخاصة بالأطراف من البلدان المتقدمة، واستعراضها، وإذ لزم الأمر، تعديلها بصورة دورية.</w:t>
      </w:r>
    </w:p>
    <w:p w14:paraId="063AF249" w14:textId="49CA2543" w:rsidR="000A6E30" w:rsidRPr="004559F3" w:rsidRDefault="00D83287" w:rsidP="00191CE5">
      <w:pPr>
        <w:pStyle w:val="ListParagraph"/>
        <w:numPr>
          <w:ilvl w:val="0"/>
          <w:numId w:val="4"/>
        </w:numPr>
        <w:bidi/>
        <w:spacing w:after="120" w:line="216" w:lineRule="auto"/>
        <w:ind w:firstLine="0"/>
        <w:contextualSpacing w:val="0"/>
        <w:jc w:val="both"/>
        <w:rPr>
          <w:rFonts w:cs="Simplified Arabic"/>
          <w:lang w:val="en-US"/>
        </w:rPr>
      </w:pPr>
      <w:r w:rsidRPr="00D83287">
        <w:rPr>
          <w:rFonts w:cs="Simplified Arabic"/>
          <w:rtl/>
          <w:lang w:val="en-US"/>
        </w:rPr>
        <w:t>وبالإضافة إلى ذلك، تشير الفقرة 1 من المادة 21 مجددا إلى تلك القائمة في سياق تقاسم الأعباء بين الأطراف المساهمة في الآلية المالية للاتفاقية.</w:t>
      </w:r>
    </w:p>
    <w:p w14:paraId="01C4C549" w14:textId="31986785" w:rsidR="00442493" w:rsidRPr="004559F3" w:rsidRDefault="00D83287" w:rsidP="00442493">
      <w:pPr>
        <w:pStyle w:val="ListParagraph"/>
        <w:numPr>
          <w:ilvl w:val="0"/>
          <w:numId w:val="4"/>
        </w:numPr>
        <w:bidi/>
        <w:spacing w:after="120" w:line="216" w:lineRule="auto"/>
        <w:ind w:firstLine="0"/>
        <w:contextualSpacing w:val="0"/>
        <w:jc w:val="both"/>
        <w:rPr>
          <w:rFonts w:cs="Simplified Arabic"/>
          <w:lang w:val="en-US"/>
        </w:rPr>
      </w:pPr>
      <w:r w:rsidRPr="00D83287">
        <w:rPr>
          <w:rFonts w:cs="Simplified Arabic"/>
          <w:rtl/>
          <w:lang w:val="en-US"/>
        </w:rPr>
        <w:t>وبناء على ذلك، أُعدت قائمة بالأطراف من البلدان المتقدمة والأطراف الأخرى التي تتحمل طواعية التزامات الأطراف من البلدان المتقدمة، اعتمدها مؤتمر الأطراف في اجتماعه الأول، عام 1994.</w:t>
      </w:r>
      <w:r w:rsidRPr="00D83287">
        <w:rPr>
          <w:rtl/>
        </w:rPr>
        <w:t xml:space="preserve"> </w:t>
      </w:r>
      <w:r w:rsidRPr="00D83287">
        <w:rPr>
          <w:rFonts w:cs="Simplified Arabic"/>
          <w:rtl/>
          <w:lang w:val="en-US"/>
        </w:rPr>
        <w:t xml:space="preserve">وتتألف هذه القائمة من قائمتين فرعيتين: قائمة بالأطراف من البلدان المتقدمة، تضم 22 دولة من الدول الأطراف، وقائمة فرعية فارغة بالأطراف التي تتحمل طواعية التزامات الأطراف من البلدان المتقدمة (انظر المقرر </w:t>
      </w:r>
      <w:hyperlink r:id="rId22" w:history="1">
        <w:r w:rsidRPr="00D83287">
          <w:rPr>
            <w:rStyle w:val="Hyperlink"/>
            <w:rFonts w:cs="Simplified Arabic" w:hint="cs"/>
            <w:rtl/>
            <w:lang w:val="en-US"/>
          </w:rPr>
          <w:t>1/2</w:t>
        </w:r>
      </w:hyperlink>
      <w:r w:rsidRPr="00D83287">
        <w:rPr>
          <w:rFonts w:cs="Simplified Arabic"/>
          <w:rtl/>
          <w:lang w:val="en-US"/>
        </w:rPr>
        <w:t>، الفقرة 1 والمرفق الثاني).</w:t>
      </w:r>
    </w:p>
    <w:p w14:paraId="792C58E0" w14:textId="496E9DAA" w:rsidR="00442493" w:rsidRPr="004559F3" w:rsidRDefault="00D83287" w:rsidP="00442493">
      <w:pPr>
        <w:pStyle w:val="ListParagraph"/>
        <w:numPr>
          <w:ilvl w:val="0"/>
          <w:numId w:val="4"/>
        </w:numPr>
        <w:bidi/>
        <w:spacing w:after="120" w:line="216" w:lineRule="auto"/>
        <w:ind w:firstLine="0"/>
        <w:contextualSpacing w:val="0"/>
        <w:jc w:val="both"/>
        <w:rPr>
          <w:rFonts w:cs="Simplified Arabic"/>
          <w:lang w:val="en-US"/>
        </w:rPr>
      </w:pPr>
      <w:r w:rsidRPr="00D83287">
        <w:rPr>
          <w:rFonts w:cs="Simplified Arabic"/>
          <w:rtl/>
          <w:lang w:val="en-US"/>
        </w:rPr>
        <w:t xml:space="preserve">واعتمد مؤتمر الأطراف قائمة معدلة في اجتماعه الثامن، الذي عُقد في عام 2006 (انظر المقرر </w:t>
      </w:r>
      <w:hyperlink r:id="rId23" w:history="1">
        <w:r w:rsidRPr="00D83287">
          <w:rPr>
            <w:rStyle w:val="Hyperlink"/>
            <w:rFonts w:cs="Simplified Arabic"/>
            <w:rtl/>
            <w:lang w:val="en-US"/>
          </w:rPr>
          <w:t>8/18</w:t>
        </w:r>
      </w:hyperlink>
      <w:r w:rsidRPr="00D83287">
        <w:rPr>
          <w:rFonts w:cs="Simplified Arabic"/>
          <w:rtl/>
          <w:lang w:val="en-US"/>
        </w:rPr>
        <w:t>، الفقرة 1 والمرفق).</w:t>
      </w:r>
      <w:r w:rsidRPr="00D83287">
        <w:rPr>
          <w:rtl/>
        </w:rPr>
        <w:t xml:space="preserve"> </w:t>
      </w:r>
      <w:r w:rsidRPr="00D83287">
        <w:rPr>
          <w:rFonts w:cs="Simplified Arabic"/>
          <w:rtl/>
          <w:lang w:val="en-US"/>
        </w:rPr>
        <w:t>وهذه القائمة المعدلة لا تميز بين الأطراف من البلدان المتقدمة والأطراف التي تتحمل طواعية التزامات الأطراف من البلدان المتقدمة.</w:t>
      </w:r>
      <w:r w:rsidRPr="00D83287">
        <w:rPr>
          <w:rtl/>
        </w:rPr>
        <w:t xml:space="preserve"> </w:t>
      </w:r>
      <w:r w:rsidRPr="00D83287">
        <w:rPr>
          <w:rFonts w:cs="Simplified Arabic"/>
          <w:rtl/>
          <w:lang w:val="en-US"/>
        </w:rPr>
        <w:t>وتضم القائمة ما مجموعه 25 دولة من الدول الأطراف.</w:t>
      </w:r>
    </w:p>
    <w:p w14:paraId="00DABAF2" w14:textId="1502DEAA" w:rsidR="00442493" w:rsidRPr="004559F3" w:rsidRDefault="002A6D82" w:rsidP="00442493">
      <w:pPr>
        <w:pStyle w:val="ListParagraph"/>
        <w:numPr>
          <w:ilvl w:val="0"/>
          <w:numId w:val="4"/>
        </w:numPr>
        <w:bidi/>
        <w:spacing w:after="120" w:line="216" w:lineRule="auto"/>
        <w:ind w:firstLine="0"/>
        <w:contextualSpacing w:val="0"/>
        <w:jc w:val="both"/>
        <w:rPr>
          <w:rFonts w:cs="Simplified Arabic"/>
          <w:lang w:val="en-US"/>
        </w:rPr>
      </w:pPr>
      <w:r w:rsidRPr="002A6D82">
        <w:rPr>
          <w:rFonts w:cs="Simplified Arabic"/>
          <w:sz w:val="22"/>
          <w:rtl/>
          <w:lang w:val="en-US"/>
        </w:rPr>
        <w:t>وعلى النحو المبين أعلاه، لم</w:t>
      </w:r>
      <w:r>
        <w:rPr>
          <w:rFonts w:cs="Simplified Arabic" w:hint="cs"/>
          <w:sz w:val="22"/>
          <w:rtl/>
          <w:lang w:val="en-US"/>
        </w:rPr>
        <w:t xml:space="preserve"> </w:t>
      </w:r>
      <w:r w:rsidR="00296DDF">
        <w:rPr>
          <w:rFonts w:cs="Simplified Arabic" w:hint="cs"/>
          <w:sz w:val="22"/>
          <w:rtl/>
          <w:lang w:val="en-US"/>
        </w:rPr>
        <w:t xml:space="preserve">ترد أي </w:t>
      </w:r>
      <w:proofErr w:type="spellStart"/>
      <w:r w:rsidR="00296DDF">
        <w:rPr>
          <w:rFonts w:cs="Simplified Arabic" w:hint="cs"/>
          <w:sz w:val="22"/>
          <w:rtl/>
          <w:lang w:val="en-US"/>
        </w:rPr>
        <w:t>إبداءات</w:t>
      </w:r>
      <w:proofErr w:type="spellEnd"/>
      <w:r>
        <w:rPr>
          <w:rFonts w:cs="Simplified Arabic" w:hint="cs"/>
          <w:sz w:val="22"/>
          <w:rtl/>
          <w:lang w:val="en-US"/>
        </w:rPr>
        <w:t xml:space="preserve"> </w:t>
      </w:r>
      <w:r w:rsidRPr="002A6D82">
        <w:rPr>
          <w:rFonts w:cs="Simplified Arabic"/>
          <w:sz w:val="22"/>
          <w:rtl/>
          <w:lang w:val="en-US"/>
        </w:rPr>
        <w:t>اهتمام بالإدراج في هذه القائمة عقب الإخطارات المرسلة عملا بالفقرة الفرعية</w:t>
      </w:r>
      <w:r>
        <w:rPr>
          <w:rFonts w:cs="Simplified Arabic" w:hint="cs"/>
          <w:sz w:val="22"/>
          <w:rtl/>
          <w:lang w:val="en-US"/>
        </w:rPr>
        <w:t xml:space="preserve"> </w:t>
      </w:r>
      <w:r w:rsidRPr="006B1700">
        <w:rPr>
          <w:rFonts w:cs="Simplified Arabic"/>
          <w:sz w:val="22"/>
          <w:rtl/>
          <w:lang w:val="en-US"/>
        </w:rPr>
        <w:t xml:space="preserve">47 (ب) من المقرر </w:t>
      </w:r>
      <w:hyperlink r:id="rId24" w:history="1">
        <w:r w:rsidRPr="006B1700">
          <w:rPr>
            <w:rStyle w:val="Hyperlink"/>
            <w:rFonts w:cs="Simplified Arabic"/>
            <w:sz w:val="22"/>
            <w:rtl/>
            <w:lang w:val="en-US"/>
          </w:rPr>
          <w:t>15/7</w:t>
        </w:r>
      </w:hyperlink>
      <w:r>
        <w:rPr>
          <w:rFonts w:cs="Simplified Arabic" w:hint="cs"/>
          <w:sz w:val="22"/>
          <w:rtl/>
          <w:lang w:val="en-US"/>
        </w:rPr>
        <w:t>.</w:t>
      </w:r>
      <w:r w:rsidRPr="002A6D82">
        <w:rPr>
          <w:rtl/>
        </w:rPr>
        <w:t xml:space="preserve"> </w:t>
      </w:r>
      <w:r w:rsidRPr="002A6D82">
        <w:rPr>
          <w:rFonts w:cs="Simplified Arabic"/>
          <w:sz w:val="22"/>
          <w:rtl/>
          <w:lang w:val="en-US"/>
        </w:rPr>
        <w:t>وبالتالي، تظل القائمة التي اعتمدها مؤتمر الأطراف في اجتماعه الثامن هي الأحدث.</w:t>
      </w:r>
    </w:p>
    <w:p w14:paraId="12DEA9DB" w14:textId="768BE8D9" w:rsidR="00442493" w:rsidRPr="004559F3" w:rsidRDefault="002A6D82" w:rsidP="00442493">
      <w:pPr>
        <w:pStyle w:val="ListParagraph"/>
        <w:numPr>
          <w:ilvl w:val="0"/>
          <w:numId w:val="4"/>
        </w:numPr>
        <w:bidi/>
        <w:spacing w:after="120" w:line="216" w:lineRule="auto"/>
        <w:ind w:firstLine="0"/>
        <w:contextualSpacing w:val="0"/>
        <w:jc w:val="both"/>
        <w:rPr>
          <w:rFonts w:cs="Simplified Arabic"/>
          <w:lang w:val="en-US"/>
        </w:rPr>
      </w:pPr>
      <w:r w:rsidRPr="002A6D82">
        <w:rPr>
          <w:rFonts w:cs="Simplified Arabic"/>
          <w:rtl/>
          <w:lang w:val="en-US"/>
        </w:rPr>
        <w:t>ومن الناحية النظرية، هناك مساران لإدراج البلدان في القائمة:</w:t>
      </w:r>
    </w:p>
    <w:p w14:paraId="728B6DC1" w14:textId="354E1332" w:rsidR="004559F3" w:rsidRPr="004559F3" w:rsidRDefault="002A6D82" w:rsidP="004559F3">
      <w:pPr>
        <w:pStyle w:val="ListParagraph"/>
        <w:numPr>
          <w:ilvl w:val="0"/>
          <w:numId w:val="15"/>
        </w:numPr>
        <w:bidi/>
        <w:spacing w:after="120" w:line="216" w:lineRule="auto"/>
        <w:ind w:firstLine="720"/>
        <w:contextualSpacing w:val="0"/>
        <w:jc w:val="both"/>
        <w:rPr>
          <w:rFonts w:cs="Simplified Arabic"/>
          <w:lang w:val="en-US"/>
        </w:rPr>
      </w:pPr>
      <w:r w:rsidRPr="002A6D82">
        <w:rPr>
          <w:rFonts w:cs="Simplified Arabic"/>
          <w:rtl/>
          <w:lang w:val="en-US"/>
        </w:rPr>
        <w:t>إذا كان البلد بلدا متقدما؛</w:t>
      </w:r>
    </w:p>
    <w:p w14:paraId="0124ECAE" w14:textId="2EB5B0BF" w:rsidR="004559F3" w:rsidRPr="004559F3" w:rsidRDefault="002A6D82" w:rsidP="004559F3">
      <w:pPr>
        <w:pStyle w:val="ListParagraph"/>
        <w:numPr>
          <w:ilvl w:val="0"/>
          <w:numId w:val="15"/>
        </w:numPr>
        <w:bidi/>
        <w:spacing w:after="120" w:line="216" w:lineRule="auto"/>
        <w:ind w:firstLine="720"/>
        <w:contextualSpacing w:val="0"/>
        <w:jc w:val="both"/>
        <w:rPr>
          <w:rFonts w:cs="Simplified Arabic"/>
          <w:lang w:val="en-US"/>
        </w:rPr>
      </w:pPr>
      <w:r w:rsidRPr="002A6D82">
        <w:rPr>
          <w:rFonts w:cs="Simplified Arabic"/>
          <w:rtl/>
          <w:lang w:val="en-US"/>
        </w:rPr>
        <w:t>إذا كان البلد غير ذلك وقرر، على أساس طوعي، أن يتحمل التزامات الأطراف من البلدان المتقدمة.</w:t>
      </w:r>
      <w:r w:rsidRPr="002A6D82">
        <w:rPr>
          <w:rtl/>
        </w:rPr>
        <w:t xml:space="preserve"> </w:t>
      </w:r>
      <w:r w:rsidRPr="002A6D82">
        <w:rPr>
          <w:rFonts w:cs="Simplified Arabic"/>
          <w:rtl/>
          <w:lang w:val="en-US"/>
        </w:rPr>
        <w:t>وقد يكون أحد الاعتبارات المهمة في اتخاذ قرار مثل هذا هو مدى "قرب" البلد، في نظر صانعي القرار المسؤولين فيها، من أن يصبح بلدا متقدما.</w:t>
      </w:r>
    </w:p>
    <w:p w14:paraId="5781A9F0" w14:textId="550A75B5" w:rsidR="00442493" w:rsidRPr="004559F3" w:rsidRDefault="00296DDF" w:rsidP="00442493">
      <w:pPr>
        <w:pStyle w:val="ListParagraph"/>
        <w:numPr>
          <w:ilvl w:val="0"/>
          <w:numId w:val="4"/>
        </w:numPr>
        <w:bidi/>
        <w:spacing w:after="120" w:line="216" w:lineRule="auto"/>
        <w:ind w:firstLine="0"/>
        <w:contextualSpacing w:val="0"/>
        <w:jc w:val="both"/>
        <w:rPr>
          <w:rFonts w:cs="Simplified Arabic"/>
          <w:lang w:val="en-US"/>
        </w:rPr>
      </w:pPr>
      <w:r w:rsidRPr="00296DDF">
        <w:rPr>
          <w:rFonts w:cs="Simplified Arabic"/>
          <w:rtl/>
          <w:lang w:val="en-US"/>
        </w:rPr>
        <w:t xml:space="preserve">ولتحديد أفضل تواتر للدعوة إلى تقديم </w:t>
      </w:r>
      <w:proofErr w:type="spellStart"/>
      <w:r w:rsidRPr="00296DDF">
        <w:rPr>
          <w:rFonts w:cs="Simplified Arabic"/>
          <w:rtl/>
          <w:lang w:val="en-US"/>
        </w:rPr>
        <w:t>إبداءات</w:t>
      </w:r>
      <w:proofErr w:type="spellEnd"/>
      <w:r w:rsidRPr="00296DDF">
        <w:rPr>
          <w:rFonts w:cs="Simplified Arabic"/>
          <w:rtl/>
          <w:lang w:val="en-US"/>
        </w:rPr>
        <w:t xml:space="preserve"> الاهتمام لإدراجها في القائمة، فإن السؤال المطروح هو: ما عدد </w:t>
      </w:r>
      <w:proofErr w:type="spellStart"/>
      <w:r w:rsidRPr="00296DDF">
        <w:rPr>
          <w:rFonts w:cs="Simplified Arabic"/>
          <w:rtl/>
          <w:lang w:val="en-US"/>
        </w:rPr>
        <w:t>إبداءات</w:t>
      </w:r>
      <w:proofErr w:type="spellEnd"/>
      <w:r w:rsidRPr="00296DDF">
        <w:rPr>
          <w:rFonts w:cs="Simplified Arabic"/>
          <w:rtl/>
          <w:lang w:val="en-US"/>
        </w:rPr>
        <w:t xml:space="preserve"> الاهتمام هذه الذي يمكن التوقع على نحو معقول تلقيه - أي ما إذا كان هناك، في وقت معين، "كتلة حرجة" من البلدان، الأطراف في الاتفاقية، قد تكون، أو يُتوقع أن تكون، مهتمة بالإدراج في القائمة، بموجب أحد المسارين المذكورين أعلاه.</w:t>
      </w:r>
      <w:r>
        <w:rPr>
          <w:rFonts w:cs="Simplified Arabic" w:hint="cs"/>
          <w:rtl/>
          <w:lang w:val="en-US"/>
        </w:rPr>
        <w:t xml:space="preserve"> </w:t>
      </w:r>
      <w:r w:rsidRPr="00296DDF">
        <w:rPr>
          <w:rFonts w:cs="Simplified Arabic"/>
          <w:rtl/>
          <w:lang w:val="en-US"/>
        </w:rPr>
        <w:t>وهذا يتوقف على معايير تنقسم إلى جانبين:</w:t>
      </w:r>
    </w:p>
    <w:p w14:paraId="1EF3A8A5" w14:textId="0D95C7CA" w:rsidR="004559F3" w:rsidRPr="004559F3" w:rsidRDefault="009E1102" w:rsidP="004559F3">
      <w:pPr>
        <w:pStyle w:val="ListParagraph"/>
        <w:numPr>
          <w:ilvl w:val="0"/>
          <w:numId w:val="14"/>
        </w:numPr>
        <w:bidi/>
        <w:spacing w:after="120" w:line="216" w:lineRule="auto"/>
        <w:ind w:firstLine="720"/>
        <w:contextualSpacing w:val="0"/>
        <w:jc w:val="both"/>
        <w:rPr>
          <w:rFonts w:cs="Simplified Arabic"/>
          <w:lang w:val="en-US"/>
        </w:rPr>
      </w:pPr>
      <w:r w:rsidRPr="009E1102">
        <w:rPr>
          <w:rFonts w:cs="Simplified Arabic"/>
          <w:rtl/>
          <w:lang w:val="en-US"/>
        </w:rPr>
        <w:t>أولا، سيكون من الضروري وضع مجموعة من المعايير التي يمكن على أساسها تحديد ما إذا كان أي بلد ما ينتمي إلى فئة "البلدان المتقدمة"، وفقا للفقرة الفرعية 13 (أ) أعلاه؛</w:t>
      </w:r>
    </w:p>
    <w:p w14:paraId="46A7F95B" w14:textId="282E0876" w:rsidR="004559F3" w:rsidRPr="004559F3" w:rsidRDefault="009E1102" w:rsidP="004559F3">
      <w:pPr>
        <w:pStyle w:val="ListParagraph"/>
        <w:numPr>
          <w:ilvl w:val="0"/>
          <w:numId w:val="14"/>
        </w:numPr>
        <w:bidi/>
        <w:spacing w:after="120" w:line="216" w:lineRule="auto"/>
        <w:ind w:firstLine="720"/>
        <w:contextualSpacing w:val="0"/>
        <w:jc w:val="both"/>
        <w:rPr>
          <w:rFonts w:cs="Simplified Arabic"/>
          <w:lang w:val="en-US"/>
        </w:rPr>
      </w:pPr>
      <w:r w:rsidRPr="009E1102">
        <w:rPr>
          <w:rFonts w:cs="Simplified Arabic"/>
          <w:rtl/>
          <w:lang w:val="en-US"/>
        </w:rPr>
        <w:lastRenderedPageBreak/>
        <w:t>ثانيا، بالنسبة للبلدان الأخرى، يمكن أن تسترشد هذه البلدان بمعايير تُوجه قرارها بشأن ما إذا كانت ستتحمل، على أساس طوعي، التزامات البلدان المتقدمة، وفقا للفقرة الفرعية 13 (ب) أعلاه.</w:t>
      </w:r>
    </w:p>
    <w:p w14:paraId="009B381A" w14:textId="468625CC" w:rsidR="00442493" w:rsidRPr="004559F3" w:rsidRDefault="009E1102" w:rsidP="00442493">
      <w:pPr>
        <w:pStyle w:val="ListParagraph"/>
        <w:numPr>
          <w:ilvl w:val="0"/>
          <w:numId w:val="4"/>
        </w:numPr>
        <w:bidi/>
        <w:spacing w:after="120" w:line="216" w:lineRule="auto"/>
        <w:ind w:firstLine="0"/>
        <w:contextualSpacing w:val="0"/>
        <w:jc w:val="both"/>
        <w:rPr>
          <w:rFonts w:cs="Simplified Arabic"/>
          <w:lang w:val="en-US"/>
        </w:rPr>
      </w:pPr>
      <w:r w:rsidRPr="009E1102">
        <w:rPr>
          <w:rFonts w:cs="Simplified Arabic"/>
          <w:rtl/>
          <w:lang w:val="en-US"/>
        </w:rPr>
        <w:t>ومما يزيد من تعقيد النقطة (أ) أعلاه عدم وجود تعريف متفق عليه عالميا (ومعايير ذات صلة) لمصطلح "البلدان المتقدمة".</w:t>
      </w:r>
      <w:r w:rsidRPr="009E1102">
        <w:rPr>
          <w:rtl/>
        </w:rPr>
        <w:t xml:space="preserve"> </w:t>
      </w:r>
      <w:r w:rsidRPr="009E1102">
        <w:rPr>
          <w:rFonts w:cs="Simplified Arabic"/>
          <w:rtl/>
          <w:lang w:val="en-US"/>
        </w:rPr>
        <w:t xml:space="preserve">ومع ذلك، هناك عدة أنظمة لتصنيف البلدان، ومجموعات من المعايير المرتبطة بها، تتولى الأمم المتحدة والمنظمات الدولية ذات الصلة </w:t>
      </w:r>
      <w:r>
        <w:rPr>
          <w:rFonts w:cs="Simplified Arabic" w:hint="cs"/>
          <w:rtl/>
          <w:lang w:val="en-US"/>
        </w:rPr>
        <w:t>حفظها</w:t>
      </w:r>
      <w:r w:rsidRPr="009E1102">
        <w:rPr>
          <w:rFonts w:cs="Simplified Arabic"/>
          <w:rtl/>
          <w:lang w:val="en-US"/>
        </w:rPr>
        <w:t xml:space="preserve"> وتطبيقها، والتي يمكن أن تُستخدم كمعيار بديل، أو - في حالة النقطة (ب) أعلاه - أن تُسترشد بها في قرارات البلدان الأخرى بشأن ما إذا كانت ستتحمل، على أساس طوعي، التزامات البلدان المتقدمة.</w:t>
      </w:r>
    </w:p>
    <w:p w14:paraId="4C259D47" w14:textId="7790065A" w:rsidR="00442493" w:rsidRPr="004559F3" w:rsidRDefault="00442493" w:rsidP="00442493">
      <w:pPr>
        <w:keepNext/>
        <w:keepLines/>
        <w:kinsoku w:val="0"/>
        <w:overflowPunct w:val="0"/>
        <w:autoSpaceDE w:val="0"/>
        <w:autoSpaceDN w:val="0"/>
        <w:bidi/>
        <w:adjustRightInd w:val="0"/>
        <w:snapToGrid w:val="0"/>
        <w:spacing w:before="240" w:after="120" w:line="216" w:lineRule="auto"/>
        <w:ind w:left="720" w:hanging="720"/>
        <w:jc w:val="both"/>
        <w:rPr>
          <w:rFonts w:cs="Simplified Arabic"/>
          <w:b/>
          <w:bCs/>
          <w:szCs w:val="28"/>
          <w:lang w:val="en-US"/>
        </w:rPr>
      </w:pPr>
      <w:r w:rsidRPr="001E2C18">
        <w:rPr>
          <w:rFonts w:cs="Simplified Arabic" w:hint="cs"/>
          <w:b/>
          <w:bCs/>
          <w:szCs w:val="28"/>
          <w:rtl/>
          <w:lang w:val="en-US"/>
        </w:rPr>
        <w:t>ثالثا-</w:t>
      </w:r>
      <w:r w:rsidRPr="001E2C18">
        <w:rPr>
          <w:rFonts w:cs="Simplified Arabic"/>
          <w:b/>
          <w:bCs/>
          <w:szCs w:val="28"/>
          <w:rtl/>
          <w:lang w:val="en-US"/>
        </w:rPr>
        <w:tab/>
      </w:r>
      <w:r w:rsidR="009E58E9" w:rsidRPr="001E2C18">
        <w:rPr>
          <w:rFonts w:cs="Simplified Arabic"/>
          <w:b/>
          <w:bCs/>
          <w:szCs w:val="28"/>
          <w:rtl/>
          <w:lang w:val="en-US"/>
        </w:rPr>
        <w:t>استعراض وتحليل أنظمة التصنيف القائمة</w:t>
      </w:r>
    </w:p>
    <w:p w14:paraId="3821195A" w14:textId="09C45C55" w:rsidR="001E5C06" w:rsidRPr="00F31EBB" w:rsidRDefault="00442493" w:rsidP="00191CE5">
      <w:pPr>
        <w:keepNext/>
        <w:keepLines/>
        <w:bidi/>
        <w:spacing w:after="120" w:line="216" w:lineRule="auto"/>
        <w:ind w:left="720" w:hanging="720"/>
        <w:jc w:val="both"/>
        <w:rPr>
          <w:rFonts w:cs="Simplified Arabic"/>
          <w:b/>
          <w:bCs/>
          <w:sz w:val="22"/>
          <w:rtl/>
          <w:lang w:val="en-US" w:eastAsia="en-US"/>
        </w:rPr>
      </w:pPr>
      <w:r w:rsidRPr="004559F3">
        <w:rPr>
          <w:rFonts w:cs="Simplified Arabic" w:hint="cs"/>
          <w:b/>
          <w:bCs/>
          <w:sz w:val="22"/>
          <w:rtl/>
          <w:lang w:val="en-US" w:eastAsia="en-US"/>
        </w:rPr>
        <w:t>ألف</w:t>
      </w:r>
      <w:r w:rsidR="00F31EBB" w:rsidRPr="004559F3">
        <w:rPr>
          <w:rFonts w:cs="Simplified Arabic" w:hint="cs"/>
          <w:b/>
          <w:bCs/>
          <w:sz w:val="22"/>
          <w:rtl/>
          <w:lang w:val="en-US" w:eastAsia="en-US"/>
        </w:rPr>
        <w:t xml:space="preserve"> -</w:t>
      </w:r>
      <w:r w:rsidR="00191CE5" w:rsidRPr="004559F3">
        <w:rPr>
          <w:rFonts w:cs="Simplified Arabic"/>
          <w:b/>
          <w:bCs/>
          <w:sz w:val="22"/>
          <w:rtl/>
          <w:lang w:val="en-US" w:eastAsia="en-US"/>
        </w:rPr>
        <w:tab/>
      </w:r>
      <w:r w:rsidRPr="004559F3">
        <w:rPr>
          <w:rFonts w:cs="Simplified Arabic" w:hint="cs"/>
          <w:b/>
          <w:bCs/>
          <w:sz w:val="22"/>
          <w:rtl/>
          <w:lang w:val="en-US" w:eastAsia="en-US"/>
        </w:rPr>
        <w:t>الاستعراض</w:t>
      </w:r>
    </w:p>
    <w:p w14:paraId="68D66636" w14:textId="4C95B62A" w:rsidR="001E5C06" w:rsidRDefault="006E63BC" w:rsidP="00191CE5">
      <w:pPr>
        <w:pStyle w:val="ListParagraph"/>
        <w:numPr>
          <w:ilvl w:val="0"/>
          <w:numId w:val="4"/>
        </w:numPr>
        <w:bidi/>
        <w:spacing w:after="120" w:line="216" w:lineRule="auto"/>
        <w:ind w:firstLine="0"/>
        <w:contextualSpacing w:val="0"/>
        <w:jc w:val="both"/>
        <w:rPr>
          <w:rFonts w:cs="Simplified Arabic"/>
          <w:lang w:val="en-US"/>
        </w:rPr>
      </w:pPr>
      <w:r w:rsidRPr="006E63BC">
        <w:rPr>
          <w:rFonts w:cs="Simplified Arabic"/>
          <w:rtl/>
          <w:lang w:val="en-US"/>
        </w:rPr>
        <w:t>لا توجد قوائم رسمية على نطاق الأمم المتحدة تضم "البلدان المتقدمة" أو "البلدان النامية".</w:t>
      </w:r>
      <w:r w:rsidRPr="006E63BC">
        <w:rPr>
          <w:rtl/>
        </w:rPr>
        <w:t xml:space="preserve"> </w:t>
      </w:r>
      <w:r w:rsidRPr="006E63BC">
        <w:rPr>
          <w:rFonts w:cs="Simplified Arabic"/>
          <w:rtl/>
          <w:lang w:val="en-US"/>
        </w:rPr>
        <w:t>وفيما يتعلق بالقوائم الرسمية والعمليات المرتبطة بها، فإن أقربها هي قائمة أقل البلدان نموا التي تحتفظ بها لجنة السياسات الإنمائية التابعة للأمم المتحدة منذ عام 1971 بهدف تحديد البلدان التي تواجه عوائق هيكلية تحول دون تحقيق التنمية المستدامة، وقائمة البلدان المؤهلة للحصول على منح أو قروض بشروط ميسرة للغاية من البنك الدولي، والتي تحتفظ بها المؤسسة الدولية للتنمية.</w:t>
      </w:r>
      <w:r w:rsidRPr="006E63BC">
        <w:rPr>
          <w:rtl/>
        </w:rPr>
        <w:t xml:space="preserve"> </w:t>
      </w:r>
      <w:r w:rsidRPr="006E63BC">
        <w:rPr>
          <w:rFonts w:cs="Simplified Arabic"/>
          <w:rtl/>
          <w:lang w:val="en-US"/>
        </w:rPr>
        <w:t>أما التصنيفات الأخرى، الموضحة أدناه، فتستخدم الدخل أو مؤشرات بديلة نوعية.</w:t>
      </w:r>
      <w:r w:rsidRPr="006E63BC">
        <w:rPr>
          <w:rtl/>
        </w:rPr>
        <w:t xml:space="preserve"> </w:t>
      </w:r>
      <w:r w:rsidRPr="006E63BC">
        <w:rPr>
          <w:rFonts w:cs="Simplified Arabic"/>
          <w:rtl/>
          <w:lang w:val="en-US"/>
        </w:rPr>
        <w:t>وترد قوائم البلدان الناتجة عن ذلك في وثيقة معلومات.</w:t>
      </w:r>
    </w:p>
    <w:p w14:paraId="3E269C49" w14:textId="56D3AF9B" w:rsidR="004559F3" w:rsidRDefault="006E63BC" w:rsidP="004559F3">
      <w:pPr>
        <w:pStyle w:val="ListParagraph"/>
        <w:numPr>
          <w:ilvl w:val="0"/>
          <w:numId w:val="4"/>
        </w:numPr>
        <w:bidi/>
        <w:spacing w:after="120" w:line="216" w:lineRule="auto"/>
        <w:ind w:firstLine="0"/>
        <w:contextualSpacing w:val="0"/>
        <w:jc w:val="both"/>
        <w:rPr>
          <w:rFonts w:cs="Simplified Arabic"/>
          <w:lang w:val="en-US"/>
        </w:rPr>
      </w:pPr>
      <w:r w:rsidRPr="006E63BC">
        <w:rPr>
          <w:rFonts w:cs="Simplified Arabic"/>
          <w:i/>
          <w:iCs/>
          <w:rtl/>
          <w:lang w:val="en-US"/>
        </w:rPr>
        <w:t>قائمة أقل البلدان نموا</w:t>
      </w:r>
      <w:r w:rsidRPr="006E63BC">
        <w:rPr>
          <w:rFonts w:cs="Simplified Arabic"/>
          <w:rtl/>
          <w:lang w:val="en-US"/>
        </w:rPr>
        <w:t>.</w:t>
      </w:r>
      <w:r w:rsidR="00D83287" w:rsidRPr="004559F3">
        <w:rPr>
          <w:rStyle w:val="FootnoteReference"/>
          <w:rFonts w:cs="Simplified Arabic"/>
          <w:rtl/>
          <w:lang w:val="en-US"/>
        </w:rPr>
        <w:footnoteReference w:id="4"/>
      </w:r>
      <w:r>
        <w:rPr>
          <w:rFonts w:cs="Simplified Arabic" w:hint="cs"/>
          <w:rtl/>
          <w:lang w:val="en-US"/>
        </w:rPr>
        <w:t xml:space="preserve"> </w:t>
      </w:r>
      <w:r w:rsidRPr="006E63BC">
        <w:rPr>
          <w:rFonts w:cs="Simplified Arabic"/>
          <w:rtl/>
          <w:lang w:val="en-US"/>
        </w:rPr>
        <w:t>تُستعرض قائمة أقل البلدان نموا كل ثلاث سنوات (الاستعراض التالي في عام 2027)، بمعايير تستند إلى ثلاثة مؤشرات: (أ) الدخل القومي الإجمالي للفرد؛ (ب) مؤشر الأصول البشرية، وهو درجة مركبة (0-100) لمؤشرات الصحة والتعليم؛ (ج) مؤشر الضعف الاقتصادي والبيئي، وهو درجة مركبة (0-100) لمؤشرات الضعف الاقتصادي والبيئي.</w:t>
      </w:r>
      <w:r>
        <w:rPr>
          <w:rFonts w:cs="Simplified Arabic" w:hint="cs"/>
          <w:rtl/>
          <w:lang w:val="en-US"/>
        </w:rPr>
        <w:t xml:space="preserve"> </w:t>
      </w:r>
      <w:r w:rsidRPr="006E63BC">
        <w:rPr>
          <w:rFonts w:cs="Simplified Arabic"/>
          <w:rtl/>
          <w:lang w:val="en-US"/>
        </w:rPr>
        <w:t xml:space="preserve">ولكي يُصنف بلد ما كبلد من أقل البلدان نموا، يجب أن يستوفي جميع المعايير الثلاثة أو أن يُرشح بشكل استثنائي، وتكون العتبات الحالية كما يلي: الدخل القومي الإجمالي للفرد (متوسط ثلاث سنوات) </w:t>
      </w:r>
      <w:r w:rsidRPr="006E63BC">
        <w:rPr>
          <w:rFonts w:hint="cs"/>
          <w:rtl/>
          <w:lang w:val="en-US"/>
        </w:rPr>
        <w:t>≤</w:t>
      </w:r>
      <w:r w:rsidRPr="006E63BC">
        <w:rPr>
          <w:rFonts w:cs="Simplified Arabic"/>
          <w:rtl/>
          <w:lang w:val="en-US"/>
        </w:rPr>
        <w:t xml:space="preserve"> </w:t>
      </w:r>
      <w:r>
        <w:rPr>
          <w:rFonts w:cs="Simplified Arabic"/>
          <w:lang w:val="en-US"/>
        </w:rPr>
        <w:t>1 088</w:t>
      </w:r>
      <w:r>
        <w:rPr>
          <w:rFonts w:cs="Simplified Arabic" w:hint="cs"/>
          <w:rtl/>
          <w:lang w:val="en-US"/>
        </w:rPr>
        <w:t xml:space="preserve"> دولارا أمريكيا</w:t>
      </w:r>
      <w:r w:rsidRPr="006E63BC">
        <w:rPr>
          <w:rFonts w:ascii="Simplified Arabic" w:hAnsi="Simplified Arabic" w:cs="Simplified Arabic" w:hint="cs"/>
          <w:rtl/>
          <w:lang w:val="en-US"/>
        </w:rPr>
        <w:t>؛</w:t>
      </w:r>
      <w:r>
        <w:rPr>
          <w:rFonts w:ascii="Simplified Arabic" w:hAnsi="Simplified Arabic" w:cs="Simplified Arabic" w:hint="cs"/>
          <w:rtl/>
          <w:lang w:val="en-US"/>
        </w:rPr>
        <w:t xml:space="preserve"> </w:t>
      </w:r>
      <w:r w:rsidRPr="006E63BC">
        <w:rPr>
          <w:rFonts w:ascii="Simplified Arabic" w:hAnsi="Simplified Arabic" w:cs="Simplified Arabic"/>
          <w:rtl/>
          <w:lang w:val="en-US"/>
        </w:rPr>
        <w:t>مؤشر الأصول البشرية &lt; 60 (</w:t>
      </w:r>
      <w:r>
        <w:rPr>
          <w:rFonts w:ascii="Simplified Arabic" w:hAnsi="Simplified Arabic" w:cs="Simplified Arabic" w:hint="cs"/>
          <w:rtl/>
          <w:lang w:val="en-US"/>
        </w:rPr>
        <w:t xml:space="preserve">وهو </w:t>
      </w:r>
      <w:r w:rsidRPr="006E63BC">
        <w:rPr>
          <w:rFonts w:ascii="Simplified Arabic" w:hAnsi="Simplified Arabic" w:cs="Simplified Arabic"/>
          <w:rtl/>
          <w:lang w:val="en-US"/>
        </w:rPr>
        <w:t>ما يشير إلى انخفاض مستوى الأصول البشرية)؛</w:t>
      </w:r>
      <w:r>
        <w:rPr>
          <w:rFonts w:ascii="Simplified Arabic" w:hAnsi="Simplified Arabic" w:cs="Simplified Arabic" w:hint="cs"/>
          <w:rtl/>
          <w:lang w:val="en-US"/>
        </w:rPr>
        <w:t xml:space="preserve"> </w:t>
      </w:r>
      <w:r w:rsidRPr="006E63BC">
        <w:rPr>
          <w:rFonts w:ascii="Simplified Arabic" w:hAnsi="Simplified Arabic" w:cs="Simplified Arabic"/>
          <w:rtl/>
          <w:lang w:val="en-US"/>
        </w:rPr>
        <w:t>مؤشر الضعف الاقتصادي والبيئي &gt; 36 (</w:t>
      </w:r>
      <w:r>
        <w:rPr>
          <w:rFonts w:ascii="Simplified Arabic" w:hAnsi="Simplified Arabic" w:cs="Simplified Arabic" w:hint="cs"/>
          <w:rtl/>
          <w:lang w:val="en-US"/>
        </w:rPr>
        <w:t xml:space="preserve">وهو </w:t>
      </w:r>
      <w:r w:rsidRPr="006E63BC">
        <w:rPr>
          <w:rFonts w:ascii="Simplified Arabic" w:hAnsi="Simplified Arabic" w:cs="Simplified Arabic"/>
          <w:rtl/>
          <w:lang w:val="en-US"/>
        </w:rPr>
        <w:t>ما يشير إلى درجة عالية من الضعف).</w:t>
      </w:r>
      <w:r w:rsidR="00A44F39" w:rsidRPr="00A44F39">
        <w:rPr>
          <w:rtl/>
        </w:rPr>
        <w:t xml:space="preserve"> </w:t>
      </w:r>
      <w:r w:rsidR="00A44F39" w:rsidRPr="00A44F39">
        <w:rPr>
          <w:rFonts w:ascii="Simplified Arabic" w:hAnsi="Simplified Arabic" w:cs="Simplified Arabic"/>
          <w:rtl/>
          <w:lang w:val="en-US"/>
        </w:rPr>
        <w:t xml:space="preserve">وحُددت عتبات "التخرج" من القائمة بحيث تكون أعلى بنسبة 20 في </w:t>
      </w:r>
      <w:proofErr w:type="gramStart"/>
      <w:r w:rsidR="00A44F39" w:rsidRPr="00A44F39">
        <w:rPr>
          <w:rFonts w:ascii="Simplified Arabic" w:hAnsi="Simplified Arabic" w:cs="Simplified Arabic"/>
          <w:rtl/>
          <w:lang w:val="en-US"/>
        </w:rPr>
        <w:t>المائة</w:t>
      </w:r>
      <w:proofErr w:type="gramEnd"/>
      <w:r w:rsidR="00A44F39" w:rsidRPr="00A44F39">
        <w:rPr>
          <w:rFonts w:ascii="Simplified Arabic" w:hAnsi="Simplified Arabic" w:cs="Simplified Arabic"/>
          <w:rtl/>
          <w:lang w:val="en-US"/>
        </w:rPr>
        <w:t xml:space="preserve"> بالنسبة للدخل القومي الإجمالي (أي أن الدخل القومي الإجمالي للفرد يجب أن يكون </w:t>
      </w:r>
      <w:r w:rsidR="00A44F39" w:rsidRPr="00A44F39">
        <w:rPr>
          <w:rFonts w:hint="cs"/>
          <w:rtl/>
          <w:lang w:val="en-US"/>
        </w:rPr>
        <w:t>≥</w:t>
      </w:r>
      <w:r w:rsidR="00A44F39" w:rsidRPr="00A44F39">
        <w:rPr>
          <w:rFonts w:ascii="Simplified Arabic" w:hAnsi="Simplified Arabic" w:cs="Simplified Arabic"/>
          <w:rtl/>
          <w:lang w:val="en-US"/>
        </w:rPr>
        <w:t xml:space="preserve"> </w:t>
      </w:r>
      <w:r w:rsidR="00A44F39">
        <w:rPr>
          <w:rFonts w:ascii="Simplified Arabic" w:hAnsi="Simplified Arabic" w:cs="Simplified Arabic"/>
          <w:lang w:val="en-US"/>
        </w:rPr>
        <w:t>1 306</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دولارات</w:t>
      </w:r>
      <w:r w:rsidR="00A44F39" w:rsidRPr="00A44F39">
        <w:rPr>
          <w:rFonts w:ascii="Simplified Arabic" w:hAnsi="Simplified Arabic" w:cs="Simplified Arabic"/>
          <w:rtl/>
          <w:lang w:val="en-US"/>
        </w:rPr>
        <w:t>).</w:t>
      </w:r>
      <w:r w:rsidR="00A44F39" w:rsidRPr="00A44F39">
        <w:rPr>
          <w:rtl/>
        </w:rPr>
        <w:t xml:space="preserve"> </w:t>
      </w:r>
      <w:r w:rsidR="00A44F39" w:rsidRPr="00A44F39">
        <w:rPr>
          <w:rFonts w:ascii="Simplified Arabic" w:hAnsi="Simplified Arabic" w:cs="Simplified Arabic"/>
          <w:rtl/>
          <w:lang w:val="en-US"/>
        </w:rPr>
        <w:t xml:space="preserve">ويُعتبر أي بلد مؤهلا للتخرج إذا استوفى معيارين على الأقل في استعراضين متتاليين من الاستعراضات التي تجري كل ثلاث سنوات، أو بشكل استثنائي بناء على الدخل وحده إذا كان الدخل القومي الإجمالي </w:t>
      </w:r>
      <w:r w:rsidR="00A44F39" w:rsidRPr="00A44F39">
        <w:rPr>
          <w:rFonts w:hint="cs"/>
          <w:rtl/>
          <w:lang w:val="en-US"/>
        </w:rPr>
        <w:t>≥</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ن</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ثلاثة</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أضعاف</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عتبة</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التخرج</w:t>
      </w:r>
      <w:r w:rsidR="00A44F39" w:rsidRPr="00A44F39">
        <w:rPr>
          <w:rFonts w:ascii="Simplified Arabic" w:hAnsi="Simplified Arabic" w:cs="Simplified Arabic"/>
          <w:rtl/>
          <w:lang w:val="en-US"/>
        </w:rPr>
        <w:t xml:space="preserve"> (</w:t>
      </w:r>
      <w:r w:rsidR="00A44F39">
        <w:rPr>
          <w:rFonts w:ascii="Simplified Arabic" w:hAnsi="Simplified Arabic" w:cs="Simplified Arabic"/>
          <w:lang w:val="en-US"/>
        </w:rPr>
        <w:t>3 918</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دولارا</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أمريكيا</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واعتُبر</w:t>
      </w:r>
      <w:r w:rsidR="00A44F39" w:rsidRPr="00A44F39">
        <w:rPr>
          <w:rFonts w:ascii="Simplified Arabic" w:hAnsi="Simplified Arabic" w:cs="Simplified Arabic"/>
          <w:rtl/>
          <w:lang w:val="en-US"/>
        </w:rPr>
        <w:t xml:space="preserve"> </w:t>
      </w:r>
      <w:r w:rsidR="00A44F39" w:rsidRPr="00A44F39">
        <w:rPr>
          <w:rFonts w:ascii="Simplified Arabic" w:hAnsi="Simplified Arabic" w:cs="Simplified Arabic" w:hint="cs"/>
          <w:rtl/>
          <w:lang w:val="en-US"/>
        </w:rPr>
        <w:t>مستداما</w:t>
      </w:r>
      <w:r w:rsidR="00A44F39" w:rsidRPr="00A44F39">
        <w:rPr>
          <w:rFonts w:ascii="Simplified Arabic" w:hAnsi="Simplified Arabic" w:cs="Simplified Arabic"/>
          <w:rtl/>
          <w:lang w:val="en-US"/>
        </w:rPr>
        <w:t>.</w:t>
      </w:r>
      <w:r w:rsidR="00884FD1">
        <w:rPr>
          <w:rFonts w:ascii="Simplified Arabic" w:hAnsi="Simplified Arabic" w:cs="Simplified Arabic" w:hint="cs"/>
          <w:rtl/>
          <w:lang w:val="en-US"/>
        </w:rPr>
        <w:t xml:space="preserve"> </w:t>
      </w:r>
      <w:r w:rsidR="00884FD1" w:rsidRPr="00884FD1">
        <w:rPr>
          <w:rFonts w:ascii="Simplified Arabic" w:hAnsi="Simplified Arabic" w:cs="Simplified Arabic"/>
          <w:rtl/>
          <w:lang w:val="en-US"/>
        </w:rPr>
        <w:t>والتخرج ليس أمرا تلقائيا؛</w:t>
      </w:r>
      <w:r w:rsidR="00884FD1">
        <w:rPr>
          <w:rFonts w:ascii="Simplified Arabic" w:hAnsi="Simplified Arabic" w:cs="Simplified Arabic" w:hint="cs"/>
          <w:rtl/>
          <w:lang w:val="en-US"/>
        </w:rPr>
        <w:t xml:space="preserve"> </w:t>
      </w:r>
      <w:r w:rsidR="00884FD1" w:rsidRPr="00884FD1">
        <w:rPr>
          <w:rFonts w:ascii="Simplified Arabic" w:hAnsi="Simplified Arabic" w:cs="Simplified Arabic"/>
          <w:rtl/>
          <w:lang w:val="en-US"/>
        </w:rPr>
        <w:t>فهو يستلزم توصية من لجنة السياسات الإنمائية، وموافقة المجلس الاقتصادي والاجتماعي، وقرارا من الجمعية العامة للأمم المتحدة.</w:t>
      </w:r>
      <w:r w:rsidR="00884FD1" w:rsidRPr="00884FD1">
        <w:rPr>
          <w:rtl/>
        </w:rPr>
        <w:t xml:space="preserve"> </w:t>
      </w:r>
      <w:r w:rsidR="00884FD1" w:rsidRPr="00884FD1">
        <w:rPr>
          <w:rFonts w:ascii="Simplified Arabic" w:hAnsi="Simplified Arabic" w:cs="Simplified Arabic"/>
          <w:rtl/>
          <w:lang w:val="en-US"/>
        </w:rPr>
        <w:t>وتُمنح البلدان المتخرجة فترة تحضيرية تتراوح مدتها بين 3 و6 سنوات، مع إمكانية تمديدها في حالة وجود عوامل ضعف.</w:t>
      </w:r>
      <w:r w:rsidR="00884FD1" w:rsidRPr="00884FD1">
        <w:rPr>
          <w:rtl/>
        </w:rPr>
        <w:t xml:space="preserve"> </w:t>
      </w:r>
      <w:r w:rsidR="00884FD1" w:rsidRPr="00884FD1">
        <w:rPr>
          <w:rFonts w:ascii="Simplified Arabic" w:hAnsi="Simplified Arabic" w:cs="Simplified Arabic"/>
          <w:rtl/>
          <w:lang w:val="en-US"/>
        </w:rPr>
        <w:t>وحتى مارس/آذار 2026، كان هناك 44 بلدا مصنفة على أنها أقل البلدان نموا.</w:t>
      </w:r>
      <w:r w:rsidR="00884FD1" w:rsidRPr="00884FD1">
        <w:rPr>
          <w:rtl/>
        </w:rPr>
        <w:t xml:space="preserve"> </w:t>
      </w:r>
      <w:r w:rsidR="00884FD1" w:rsidRPr="00884FD1">
        <w:rPr>
          <w:rFonts w:ascii="Simplified Arabic" w:hAnsi="Simplified Arabic" w:cs="Simplified Arabic"/>
          <w:rtl/>
          <w:lang w:val="en-US"/>
        </w:rPr>
        <w:t>ومنذ عام 1992، رُفع ما مجموعه 8 بلدان من قائمة البلدان الأقل نموا.</w:t>
      </w:r>
      <w:r w:rsidR="00884FD1" w:rsidRPr="00884FD1">
        <w:rPr>
          <w:rtl/>
        </w:rPr>
        <w:t xml:space="preserve"> </w:t>
      </w:r>
      <w:r w:rsidR="00884FD1" w:rsidRPr="00884FD1">
        <w:rPr>
          <w:rFonts w:ascii="Simplified Arabic" w:hAnsi="Simplified Arabic" w:cs="Simplified Arabic"/>
          <w:rtl/>
          <w:lang w:val="en-US"/>
        </w:rPr>
        <w:t>وحدث التخرج الأول في عام 1994.</w:t>
      </w:r>
    </w:p>
    <w:p w14:paraId="4889D7E2" w14:textId="1106838C" w:rsidR="004559F3" w:rsidRDefault="00884FD1" w:rsidP="004559F3">
      <w:pPr>
        <w:pStyle w:val="ListParagraph"/>
        <w:numPr>
          <w:ilvl w:val="0"/>
          <w:numId w:val="4"/>
        </w:numPr>
        <w:bidi/>
        <w:spacing w:after="120" w:line="216" w:lineRule="auto"/>
        <w:ind w:firstLine="0"/>
        <w:contextualSpacing w:val="0"/>
        <w:jc w:val="both"/>
        <w:rPr>
          <w:rFonts w:cs="Simplified Arabic"/>
          <w:lang w:val="en-US"/>
        </w:rPr>
      </w:pPr>
      <w:r w:rsidRPr="00884FD1">
        <w:rPr>
          <w:rFonts w:cs="Simplified Arabic"/>
          <w:rtl/>
          <w:lang w:val="en-US"/>
        </w:rPr>
        <w:t>قائمة المؤسسة الدولية للتنمية.</w:t>
      </w:r>
      <w:r w:rsidRPr="004559F3">
        <w:rPr>
          <w:rStyle w:val="FootnoteReference"/>
          <w:rFonts w:cs="Simplified Arabic"/>
          <w:rtl/>
          <w:lang w:val="en-US"/>
        </w:rPr>
        <w:footnoteReference w:id="5"/>
      </w:r>
      <w:r>
        <w:rPr>
          <w:rFonts w:cs="Simplified Arabic" w:hint="cs"/>
          <w:rtl/>
          <w:lang w:val="en-US"/>
        </w:rPr>
        <w:t xml:space="preserve"> </w:t>
      </w:r>
      <w:r w:rsidRPr="00884FD1">
        <w:rPr>
          <w:rFonts w:cs="Simplified Arabic"/>
          <w:rtl/>
          <w:lang w:val="en-US"/>
        </w:rPr>
        <w:t>تحتفظ المؤسسة الدولية للتنمية بقائمة رسمية بالبلدان المؤهلة للحصول على منح أو قروض بشروط ميسرة للغاية من البنك الدولي.</w:t>
      </w:r>
      <w:r w:rsidRPr="00884FD1">
        <w:rPr>
          <w:rtl/>
        </w:rPr>
        <w:t xml:space="preserve"> </w:t>
      </w:r>
      <w:r w:rsidRPr="00884FD1">
        <w:rPr>
          <w:rFonts w:cs="Simplified Arabic"/>
          <w:rtl/>
          <w:lang w:val="en-US"/>
        </w:rPr>
        <w:t>وتستند معايير الأهلية في المقام الأول إلى أن يكون الدخل القومي الإجمالي للفرد أقل من</w:t>
      </w:r>
      <w:r>
        <w:rPr>
          <w:rFonts w:cs="Simplified Arabic" w:hint="cs"/>
          <w:rtl/>
          <w:lang w:val="en-US"/>
        </w:rPr>
        <w:t xml:space="preserve"> </w:t>
      </w:r>
      <w:r>
        <w:rPr>
          <w:rFonts w:cs="Simplified Arabic"/>
          <w:lang w:val="en-US"/>
        </w:rPr>
        <w:t>1 325</w:t>
      </w:r>
      <w:r w:rsidRPr="00884FD1">
        <w:rPr>
          <w:rFonts w:cs="Simplified Arabic"/>
          <w:rtl/>
          <w:lang w:val="en-US"/>
        </w:rPr>
        <w:t xml:space="preserve"> دولارا أمريكيا (اعتبارا من عام 2026)، ولكنها تشمل أيضا وضع الاقتصاد </w:t>
      </w:r>
      <w:r w:rsidRPr="00884FD1">
        <w:rPr>
          <w:rFonts w:cs="Simplified Arabic"/>
          <w:rtl/>
          <w:lang w:val="en-US"/>
        </w:rPr>
        <w:lastRenderedPageBreak/>
        <w:t>الصغير والوضع الائتماني اللازم للحصول على قروض البنك الدولي المعيارية.</w:t>
      </w:r>
      <w:r w:rsidR="00F80ABB" w:rsidRPr="00F80ABB">
        <w:rPr>
          <w:rtl/>
        </w:rPr>
        <w:t xml:space="preserve"> </w:t>
      </w:r>
      <w:r w:rsidR="00F80ABB" w:rsidRPr="00F80ABB">
        <w:rPr>
          <w:rFonts w:cs="Simplified Arabic"/>
          <w:rtl/>
          <w:lang w:val="en-US"/>
        </w:rPr>
        <w:t>واعتبارا من عام 2026، تضم هذه القائمة 78 بلدا.</w:t>
      </w:r>
      <w:r w:rsidR="00F80ABB" w:rsidRPr="00F80ABB">
        <w:rPr>
          <w:rtl/>
        </w:rPr>
        <w:t xml:space="preserve"> </w:t>
      </w:r>
      <w:r w:rsidR="00F80ABB" w:rsidRPr="00F80ABB">
        <w:rPr>
          <w:rFonts w:cs="Simplified Arabic"/>
          <w:rtl/>
          <w:lang w:val="en-US"/>
        </w:rPr>
        <w:t>وظل العدد الإجمالي للبلدان المؤهلة يتراوح بين أواخر السبعينات وأوائل الثمانينات لفترة طويلة، إذ قوبلت حالات التخرج من القائمة بإدراج دول حديثة الاستقلال وحالات تخرج عكسي من حين لآخر.</w:t>
      </w:r>
      <w:r w:rsidR="00F80ABB" w:rsidRPr="00F80ABB">
        <w:rPr>
          <w:rtl/>
        </w:rPr>
        <w:t xml:space="preserve"> </w:t>
      </w:r>
      <w:r w:rsidR="00F80ABB" w:rsidRPr="00F80ABB">
        <w:rPr>
          <w:rFonts w:cs="Simplified Arabic"/>
          <w:rtl/>
          <w:lang w:val="en-US"/>
        </w:rPr>
        <w:t>ومنذ عام 1992، رُفعت 20 بلدا من القائمة (باستثناء حالات التخرج العكسي)؛</w:t>
      </w:r>
      <w:r w:rsidR="00F80ABB">
        <w:rPr>
          <w:rFonts w:cs="Simplified Arabic" w:hint="cs"/>
          <w:rtl/>
          <w:lang w:val="en-US"/>
        </w:rPr>
        <w:t xml:space="preserve"> </w:t>
      </w:r>
      <w:r w:rsidR="00F80ABB" w:rsidRPr="00F80ABB">
        <w:rPr>
          <w:rFonts w:cs="Simplified Arabic"/>
          <w:rtl/>
          <w:lang w:val="en-US"/>
        </w:rPr>
        <w:t>منها 13 بلدا بعد عام 2006.</w:t>
      </w:r>
    </w:p>
    <w:p w14:paraId="3D7ECE9C" w14:textId="1CA693C1" w:rsidR="004559F3" w:rsidRDefault="00F80ABB" w:rsidP="004559F3">
      <w:pPr>
        <w:pStyle w:val="ListParagraph"/>
        <w:numPr>
          <w:ilvl w:val="0"/>
          <w:numId w:val="4"/>
        </w:numPr>
        <w:bidi/>
        <w:spacing w:after="120" w:line="216" w:lineRule="auto"/>
        <w:ind w:firstLine="0"/>
        <w:contextualSpacing w:val="0"/>
        <w:jc w:val="both"/>
        <w:rPr>
          <w:rFonts w:cs="Simplified Arabic"/>
          <w:lang w:val="en-US"/>
        </w:rPr>
      </w:pPr>
      <w:r>
        <w:rPr>
          <w:rFonts w:cs="Simplified Arabic" w:hint="cs"/>
          <w:i/>
          <w:iCs/>
          <w:rtl/>
          <w:lang w:val="en-US"/>
        </w:rPr>
        <w:t>تصنيف البنك الدولي</w:t>
      </w:r>
      <w:r w:rsidR="00884FD1">
        <w:rPr>
          <w:rFonts w:cs="Simplified Arabic" w:hint="cs"/>
          <w:rtl/>
          <w:lang w:val="en-US"/>
        </w:rPr>
        <w:t>.</w:t>
      </w:r>
      <w:r w:rsidR="00884FD1" w:rsidRPr="004559F3">
        <w:rPr>
          <w:rStyle w:val="FootnoteReference"/>
          <w:rFonts w:cs="Simplified Arabic"/>
          <w:rtl/>
          <w:lang w:val="en-US"/>
        </w:rPr>
        <w:footnoteReference w:id="6"/>
      </w:r>
      <w:r w:rsidR="00884FD1">
        <w:rPr>
          <w:rFonts w:cs="Simplified Arabic" w:hint="cs"/>
          <w:rtl/>
          <w:lang w:val="en-US"/>
        </w:rPr>
        <w:t xml:space="preserve"> </w:t>
      </w:r>
      <w:r w:rsidRPr="00F80ABB">
        <w:rPr>
          <w:rFonts w:cs="Simplified Arabic"/>
          <w:rtl/>
          <w:lang w:val="en-US"/>
        </w:rPr>
        <w:t>يقوم البنك الدولي سنويا بتصنيف الاقتصادات (217 اقتصادا اعتبارا من عام 2026) إلى فئات دخل، باستخدام الدخل القومي الإجمالي للفرد.</w:t>
      </w:r>
      <w:r w:rsidRPr="00F80ABB">
        <w:rPr>
          <w:rtl/>
        </w:rPr>
        <w:t xml:space="preserve"> </w:t>
      </w:r>
      <w:r w:rsidRPr="00F80ABB">
        <w:rPr>
          <w:rFonts w:cs="Simplified Arabic"/>
          <w:rtl/>
          <w:lang w:val="en-US"/>
        </w:rPr>
        <w:t xml:space="preserve">والعتبات المحددة حاليا هي: (أ) </w:t>
      </w:r>
      <w:r>
        <w:rPr>
          <w:rFonts w:cs="Simplified Arabic" w:hint="cs"/>
          <w:rtl/>
          <w:lang w:val="en-US"/>
        </w:rPr>
        <w:t>البلدان المنخفضة الدخل</w:t>
      </w:r>
      <w:r w:rsidRPr="00F80ABB">
        <w:rPr>
          <w:rFonts w:cs="Simplified Arabic"/>
          <w:rtl/>
          <w:lang w:val="en-US"/>
        </w:rPr>
        <w:t>:</w:t>
      </w:r>
      <w:r>
        <w:rPr>
          <w:rFonts w:cs="Simplified Arabic" w:hint="cs"/>
          <w:rtl/>
          <w:lang w:val="en-US"/>
        </w:rPr>
        <w:t> </w:t>
      </w:r>
      <w:r w:rsidRPr="00F80ABB">
        <w:rPr>
          <w:rFonts w:hint="cs"/>
          <w:rtl/>
          <w:lang w:val="en-US"/>
        </w:rPr>
        <w:t>≤</w:t>
      </w:r>
      <w:r>
        <w:rPr>
          <w:rFonts w:hint="eastAsia"/>
          <w:rtl/>
          <w:lang w:val="en-US"/>
        </w:rPr>
        <w:t> </w:t>
      </w:r>
      <w:r>
        <w:rPr>
          <w:rFonts w:cs="Simplified Arabic"/>
          <w:lang w:val="en-US"/>
        </w:rPr>
        <w:t>1 135</w:t>
      </w:r>
      <w:r>
        <w:rPr>
          <w:rFonts w:cs="Simplified Arabic" w:hint="eastAsia"/>
          <w:rtl/>
          <w:lang w:val="en-US"/>
        </w:rPr>
        <w:t> </w:t>
      </w:r>
      <w:r>
        <w:rPr>
          <w:rFonts w:cs="Simplified Arabic" w:hint="cs"/>
          <w:rtl/>
          <w:lang w:val="en-US"/>
        </w:rPr>
        <w:t>دولارا أمريكيا</w:t>
      </w:r>
      <w:r w:rsidRPr="00F80ABB">
        <w:rPr>
          <w:rFonts w:cs="Simplified Arabic"/>
          <w:rtl/>
          <w:lang w:val="en-US"/>
        </w:rPr>
        <w:t>؛</w:t>
      </w:r>
      <w:r>
        <w:rPr>
          <w:rFonts w:cs="Simplified Arabic" w:hint="cs"/>
          <w:rtl/>
          <w:lang w:val="en-US"/>
        </w:rPr>
        <w:t xml:space="preserve"> </w:t>
      </w:r>
      <w:r w:rsidRPr="00F80ABB">
        <w:rPr>
          <w:rFonts w:cs="Simplified Arabic"/>
          <w:rtl/>
          <w:lang w:val="en-US"/>
        </w:rPr>
        <w:t xml:space="preserve">(ب) </w:t>
      </w:r>
      <w:r>
        <w:rPr>
          <w:rFonts w:cs="Simplified Arabic" w:hint="cs"/>
          <w:rtl/>
          <w:lang w:val="en-US"/>
        </w:rPr>
        <w:t>البلدان المتوسطة الدخل</w:t>
      </w:r>
      <w:r w:rsidRPr="00F80ABB">
        <w:rPr>
          <w:rFonts w:cs="Simplified Arabic"/>
          <w:rtl/>
          <w:lang w:val="en-US"/>
        </w:rPr>
        <w:t xml:space="preserve"> من الشريحة الدنيا: </w:t>
      </w:r>
      <w:r>
        <w:rPr>
          <w:rFonts w:cs="Simplified Arabic"/>
          <w:lang w:val="en-US"/>
        </w:rPr>
        <w:t>1 136</w:t>
      </w:r>
      <w:r>
        <w:rPr>
          <w:rFonts w:cs="Simplified Arabic" w:hint="cs"/>
          <w:rtl/>
          <w:lang w:val="en-US"/>
        </w:rPr>
        <w:t xml:space="preserve"> </w:t>
      </w:r>
      <w:r>
        <w:rPr>
          <w:rFonts w:cs="Simplified Arabic"/>
          <w:rtl/>
          <w:lang w:val="en-US"/>
        </w:rPr>
        <w:t>–</w:t>
      </w:r>
      <w:r>
        <w:rPr>
          <w:rFonts w:cs="Simplified Arabic" w:hint="cs"/>
          <w:rtl/>
          <w:lang w:val="en-US"/>
        </w:rPr>
        <w:t xml:space="preserve"> </w:t>
      </w:r>
      <w:r>
        <w:rPr>
          <w:rFonts w:cs="Simplified Arabic"/>
          <w:lang w:val="en-US"/>
        </w:rPr>
        <w:t>4 495</w:t>
      </w:r>
      <w:r>
        <w:rPr>
          <w:rFonts w:cs="Simplified Arabic" w:hint="cs"/>
          <w:rtl/>
          <w:lang w:val="en-US"/>
        </w:rPr>
        <w:t xml:space="preserve"> </w:t>
      </w:r>
      <w:r w:rsidRPr="00F80ABB">
        <w:rPr>
          <w:rFonts w:cs="Simplified Arabic"/>
          <w:rtl/>
          <w:lang w:val="en-US"/>
        </w:rPr>
        <w:t>دولارا أمريكيا؛</w:t>
      </w:r>
      <w:r>
        <w:rPr>
          <w:rFonts w:cs="Simplified Arabic" w:hint="cs"/>
          <w:rtl/>
          <w:lang w:val="en-US"/>
        </w:rPr>
        <w:t xml:space="preserve"> </w:t>
      </w:r>
      <w:r w:rsidRPr="00F80ABB">
        <w:rPr>
          <w:rFonts w:cs="Simplified Arabic"/>
          <w:rtl/>
          <w:lang w:val="en-US"/>
        </w:rPr>
        <w:t>(ج)</w:t>
      </w:r>
      <w:r>
        <w:rPr>
          <w:rFonts w:cs="Simplified Arabic" w:hint="cs"/>
          <w:rtl/>
          <w:lang w:val="en-US"/>
        </w:rPr>
        <w:t> البلدان المتوسطة الدخل</w:t>
      </w:r>
      <w:r w:rsidRPr="00F80ABB">
        <w:rPr>
          <w:rFonts w:cs="Simplified Arabic"/>
          <w:rtl/>
          <w:lang w:val="en-US"/>
        </w:rPr>
        <w:t xml:space="preserve"> من الشريحة العليا: </w:t>
      </w:r>
      <w:r>
        <w:rPr>
          <w:rFonts w:cs="Simplified Arabic"/>
          <w:lang w:val="en-US"/>
        </w:rPr>
        <w:t>4 496</w:t>
      </w:r>
      <w:r>
        <w:rPr>
          <w:rFonts w:cs="Simplified Arabic" w:hint="cs"/>
          <w:rtl/>
          <w:lang w:val="en-US"/>
        </w:rPr>
        <w:t xml:space="preserve"> </w:t>
      </w:r>
      <w:r>
        <w:rPr>
          <w:rFonts w:cs="Simplified Arabic"/>
          <w:rtl/>
          <w:lang w:val="en-US"/>
        </w:rPr>
        <w:t>–</w:t>
      </w:r>
      <w:r>
        <w:rPr>
          <w:rFonts w:cs="Simplified Arabic" w:hint="cs"/>
          <w:rtl/>
          <w:lang w:val="en-US"/>
        </w:rPr>
        <w:t xml:space="preserve"> </w:t>
      </w:r>
      <w:r>
        <w:rPr>
          <w:rFonts w:cs="Simplified Arabic"/>
          <w:lang w:val="en-US"/>
        </w:rPr>
        <w:t>13 935</w:t>
      </w:r>
      <w:r>
        <w:rPr>
          <w:rFonts w:cs="Simplified Arabic" w:hint="cs"/>
          <w:rtl/>
          <w:lang w:val="en-US"/>
        </w:rPr>
        <w:t xml:space="preserve"> </w:t>
      </w:r>
      <w:r w:rsidRPr="00F80ABB">
        <w:rPr>
          <w:rFonts w:cs="Simplified Arabic"/>
          <w:rtl/>
          <w:lang w:val="en-US"/>
        </w:rPr>
        <w:t>دولارا أمريكيا</w:t>
      </w:r>
      <w:r>
        <w:rPr>
          <w:rFonts w:cs="Simplified Arabic" w:hint="cs"/>
          <w:rtl/>
          <w:lang w:val="en-US"/>
        </w:rPr>
        <w:t>؛ (د) البلدان المرتفعة الدخل:</w:t>
      </w:r>
      <w:r>
        <w:rPr>
          <w:rFonts w:cs="Simplified Arabic" w:hint="eastAsia"/>
          <w:rtl/>
          <w:lang w:val="en-US"/>
        </w:rPr>
        <w:t> </w:t>
      </w:r>
      <w:r w:rsidRPr="00F80ABB">
        <w:rPr>
          <w:rFonts w:cs="Simplified Arabic"/>
          <w:rtl/>
          <w:lang w:val="en-US"/>
        </w:rPr>
        <w:t>&gt;</w:t>
      </w:r>
      <w:r>
        <w:rPr>
          <w:rFonts w:cs="Simplified Arabic" w:hint="cs"/>
          <w:rtl/>
          <w:lang w:val="en-US"/>
        </w:rPr>
        <w:t> </w:t>
      </w:r>
      <w:r>
        <w:rPr>
          <w:rFonts w:cs="Simplified Arabic"/>
          <w:lang w:val="en-US"/>
        </w:rPr>
        <w:t>13 935</w:t>
      </w:r>
      <w:r>
        <w:rPr>
          <w:rFonts w:cs="Simplified Arabic" w:hint="cs"/>
          <w:rtl/>
          <w:lang w:val="en-US"/>
        </w:rPr>
        <w:t xml:space="preserve"> دولارا أمريكيا.</w:t>
      </w:r>
      <w:r w:rsidR="00884FD1" w:rsidRPr="004559F3">
        <w:rPr>
          <w:rStyle w:val="FootnoteReference"/>
          <w:rFonts w:cs="Simplified Arabic"/>
          <w:rtl/>
          <w:lang w:val="en-US"/>
        </w:rPr>
        <w:footnoteReference w:id="7"/>
      </w:r>
      <w:r w:rsidR="00884FD1">
        <w:rPr>
          <w:rFonts w:cs="Simplified Arabic" w:hint="cs"/>
          <w:rtl/>
          <w:lang w:val="en-US"/>
        </w:rPr>
        <w:t xml:space="preserve"> </w:t>
      </w:r>
      <w:r w:rsidRPr="00F80ABB">
        <w:rPr>
          <w:rFonts w:cs="Simplified Arabic"/>
          <w:rtl/>
          <w:lang w:val="en-US"/>
        </w:rPr>
        <w:t>وعلى عكس القوائم المبينة أعلاه، لا توجد عملية تخرج رسمية: إذ يُعاد التصنيف تلقائيا عندما يتجاوز الدخل القومي الإجمالي عتبات معينة، مع بقاء بعض الاقتصادات "على الهامش"، بحيث تتأرجح بين المجموعات بمرور الوقت.</w:t>
      </w:r>
      <w:r w:rsidRPr="00F80ABB">
        <w:rPr>
          <w:rtl/>
        </w:rPr>
        <w:t xml:space="preserve"> </w:t>
      </w:r>
      <w:r w:rsidR="00434285">
        <w:rPr>
          <w:rFonts w:cs="Simplified Arabic" w:hint="cs"/>
          <w:rtl/>
          <w:lang w:val="en-US"/>
        </w:rPr>
        <w:t>وحتى </w:t>
      </w:r>
      <w:r w:rsidRPr="00F80ABB">
        <w:rPr>
          <w:rFonts w:cs="Simplified Arabic"/>
          <w:rtl/>
          <w:lang w:val="en-US"/>
        </w:rPr>
        <w:t>عام 2024 (أحدث البيانات المتاحة)، كان هناك 25 بلدان تُصنف على أنها بلدان منخفضة الدخل، و50 بلدا تُصنف على أنها بلدان متوسطة الدخل من الشريحة الدنيا، و53 بلدا تُصنف على أنها بلدان متوسطة الدخل من الشريحة العليا، و63 بلدا تُصنف على أنها بلدان مرتفعة الدخل، وذلك من بين البلدان الأطراف في الاتفاقية.</w:t>
      </w:r>
      <w:r w:rsidR="00884FD1" w:rsidRPr="004559F3">
        <w:rPr>
          <w:rStyle w:val="FootnoteReference"/>
          <w:rFonts w:cs="Simplified Arabic"/>
          <w:rtl/>
          <w:lang w:val="en-US"/>
        </w:rPr>
        <w:footnoteReference w:id="8"/>
      </w:r>
      <w:r w:rsidR="00884FD1">
        <w:rPr>
          <w:rFonts w:cs="Simplified Arabic" w:hint="cs"/>
          <w:rtl/>
          <w:lang w:val="en-US"/>
        </w:rPr>
        <w:t xml:space="preserve"> </w:t>
      </w:r>
      <w:r w:rsidRPr="00F80ABB">
        <w:rPr>
          <w:rFonts w:cs="Simplified Arabic"/>
          <w:rtl/>
          <w:lang w:val="en-US"/>
        </w:rPr>
        <w:t>وأُضيف ما مجموعه 32 بلدان، من الأطراف في الاتفاقية، إلى فئة البلدان المرتفعة الدخل منذ عام 1992، منها 19 بلدا بعد عام 2006 (باستثناء حالات الانخفاض اللاحقة أو الثغرات في البيانات).</w:t>
      </w:r>
      <w:r w:rsidRPr="00F80ABB">
        <w:rPr>
          <w:rtl/>
        </w:rPr>
        <w:t xml:space="preserve"> </w:t>
      </w:r>
      <w:r w:rsidRPr="00F80ABB">
        <w:rPr>
          <w:rFonts w:cs="Simplified Arabic"/>
          <w:rtl/>
          <w:lang w:val="en-US"/>
        </w:rPr>
        <w:t>وتصنف جميع البلدان المدرجة في قائمة الأطراف التي وُضعت عملا بالفقرة 2 من المادة 20 من الاتفاقية على أنها بلدان مرتفعة الدخل؛</w:t>
      </w:r>
      <w:r>
        <w:rPr>
          <w:rFonts w:cs="Simplified Arabic" w:hint="cs"/>
          <w:rtl/>
          <w:lang w:val="en-US"/>
        </w:rPr>
        <w:t xml:space="preserve"> </w:t>
      </w:r>
      <w:r w:rsidRPr="00F80ABB">
        <w:rPr>
          <w:rFonts w:cs="Simplified Arabic"/>
          <w:rtl/>
          <w:lang w:val="en-US"/>
        </w:rPr>
        <w:t>ويوجد ما مجموعه 38 بلدا مرتفعة الدخل، وهي أطراف في الاتفاقية، غير مدرجة في قائمة الاتفاقية.</w:t>
      </w:r>
    </w:p>
    <w:p w14:paraId="1D4E9762" w14:textId="4CE477D5" w:rsidR="004559F3" w:rsidRDefault="00434285" w:rsidP="004559F3">
      <w:pPr>
        <w:pStyle w:val="ListParagraph"/>
        <w:numPr>
          <w:ilvl w:val="0"/>
          <w:numId w:val="4"/>
        </w:numPr>
        <w:bidi/>
        <w:spacing w:after="120" w:line="216" w:lineRule="auto"/>
        <w:ind w:firstLine="0"/>
        <w:contextualSpacing w:val="0"/>
        <w:jc w:val="both"/>
        <w:rPr>
          <w:rFonts w:cs="Simplified Arabic"/>
          <w:lang w:val="en-US"/>
        </w:rPr>
      </w:pPr>
      <w:r w:rsidRPr="00434285">
        <w:rPr>
          <w:rFonts w:cs="Simplified Arabic"/>
          <w:i/>
          <w:iCs/>
          <w:rtl/>
          <w:lang w:val="en-US"/>
        </w:rPr>
        <w:t>تصنيف صندوق النقد الدولي</w:t>
      </w:r>
      <w:r w:rsidR="00884FD1">
        <w:rPr>
          <w:rFonts w:cs="Simplified Arabic" w:hint="cs"/>
          <w:rtl/>
          <w:lang w:val="en-US"/>
        </w:rPr>
        <w:t>.</w:t>
      </w:r>
      <w:r w:rsidR="00884FD1" w:rsidRPr="004559F3">
        <w:rPr>
          <w:rStyle w:val="FootnoteReference"/>
          <w:rFonts w:cs="Simplified Arabic"/>
          <w:rtl/>
          <w:lang w:val="en-US"/>
        </w:rPr>
        <w:footnoteReference w:id="9"/>
      </w:r>
      <w:r w:rsidR="00884FD1">
        <w:rPr>
          <w:rFonts w:cs="Simplified Arabic" w:hint="cs"/>
          <w:rtl/>
          <w:lang w:val="en-US"/>
        </w:rPr>
        <w:t xml:space="preserve"> </w:t>
      </w:r>
      <w:r w:rsidRPr="00434285">
        <w:rPr>
          <w:rFonts w:cs="Simplified Arabic"/>
          <w:rtl/>
          <w:lang w:val="en-US"/>
        </w:rPr>
        <w:t>يصنف صندوق النقد الدولي الاقتصادات في تقريره "آفاق الاقتصاد العالمي" لأغراض تحليلية، إذ يقسمها إلى "اقتصادات متقدمة" و"اقتصادات ناشئة ونامية".</w:t>
      </w:r>
      <w:r w:rsidRPr="00434285">
        <w:rPr>
          <w:rtl/>
        </w:rPr>
        <w:t xml:space="preserve"> </w:t>
      </w:r>
      <w:r w:rsidRPr="00434285">
        <w:rPr>
          <w:rFonts w:cs="Simplified Arabic"/>
          <w:rtl/>
          <w:lang w:val="en-US"/>
        </w:rPr>
        <w:t>هناك عدد قليل من الدول غير الأعضاء في صندوق النقد الدولي التي لا يشملها هذا التصنيف.</w:t>
      </w:r>
      <w:r w:rsidR="00884FD1" w:rsidRPr="004559F3">
        <w:rPr>
          <w:rStyle w:val="FootnoteReference"/>
          <w:rFonts w:cs="Simplified Arabic"/>
          <w:rtl/>
          <w:lang w:val="en-US"/>
        </w:rPr>
        <w:footnoteReference w:id="10"/>
      </w:r>
      <w:r w:rsidR="00884FD1">
        <w:rPr>
          <w:rFonts w:cs="Simplified Arabic" w:hint="cs"/>
          <w:rtl/>
          <w:lang w:val="en-US"/>
        </w:rPr>
        <w:t xml:space="preserve"> </w:t>
      </w:r>
      <w:r w:rsidRPr="00434285">
        <w:rPr>
          <w:rFonts w:cs="Simplified Arabic"/>
          <w:rtl/>
          <w:lang w:val="en-US"/>
        </w:rPr>
        <w:t>ولا يستند هذا التصنيف إلى قواعد صارمة؛</w:t>
      </w:r>
      <w:r>
        <w:rPr>
          <w:rFonts w:cs="Simplified Arabic" w:hint="cs"/>
          <w:rtl/>
          <w:lang w:val="en-US"/>
        </w:rPr>
        <w:t xml:space="preserve"> </w:t>
      </w:r>
      <w:r w:rsidRPr="00434285">
        <w:rPr>
          <w:rFonts w:cs="Simplified Arabic"/>
          <w:rtl/>
          <w:lang w:val="en-US"/>
        </w:rPr>
        <w:t>فهو يراعي الدخل للفرد، وتنويع الصادرات، ودرجة الاندماج في النظام المالي العالمي.</w:t>
      </w:r>
      <w:r>
        <w:rPr>
          <w:rFonts w:cs="Simplified Arabic" w:hint="cs"/>
          <w:rtl/>
          <w:lang w:val="en-US"/>
        </w:rPr>
        <w:t xml:space="preserve"> </w:t>
      </w:r>
      <w:r w:rsidRPr="00434285">
        <w:rPr>
          <w:rFonts w:cs="Simplified Arabic"/>
          <w:rtl/>
          <w:lang w:val="en-US"/>
        </w:rPr>
        <w:t>وبناء على ذلك، لا توجد عملية تخرج أو انتقال رسمية.</w:t>
      </w:r>
      <w:r w:rsidRPr="00434285">
        <w:rPr>
          <w:rtl/>
        </w:rPr>
        <w:t xml:space="preserve"> </w:t>
      </w:r>
      <w:r w:rsidRPr="00434285">
        <w:rPr>
          <w:rFonts w:cs="Simplified Arabic"/>
          <w:rtl/>
          <w:lang w:val="en-US"/>
        </w:rPr>
        <w:t>وتعد عمليات إعادة التصنيف نادرة نسبيا، وذلك في ضوء التقدم الاقتصادي المستمر.</w:t>
      </w:r>
      <w:r w:rsidRPr="00434285">
        <w:rPr>
          <w:rtl/>
        </w:rPr>
        <w:t xml:space="preserve"> </w:t>
      </w:r>
      <w:r w:rsidRPr="00434285">
        <w:rPr>
          <w:rFonts w:cs="Simplified Arabic"/>
          <w:rtl/>
          <w:lang w:val="en-US"/>
        </w:rPr>
        <w:t>وحتى أكتوبر/تشرين الأول 2025 (أحدث البيانات المتاحة)، كان هناك 37 بلدا ذات اقتصاد متقدم و153 بلدا ذات اقتصاد ناشئ ونامٍ، من الأطراف في الاتفاقية.</w:t>
      </w:r>
      <w:r w:rsidRPr="00434285">
        <w:rPr>
          <w:rtl/>
        </w:rPr>
        <w:t xml:space="preserve"> </w:t>
      </w:r>
      <w:r w:rsidRPr="00434285">
        <w:rPr>
          <w:rFonts w:cs="Simplified Arabic"/>
          <w:rtl/>
          <w:lang w:val="en-US"/>
        </w:rPr>
        <w:t>وفي عام 1992 (وحتى تقرير "آفاق الاقتصاد العالمي" الصادر في مايو/أيار 1997)، كانت هذه المجموعة تُعرف باسم "البلدان الصناعية" وكانت تضم 22 اقتصادا، مما يعني أنه تمت إضافة 15 اقتصادا منذ عام 1992، منها 11 اقتصادا منذ عام 2006.</w:t>
      </w:r>
      <w:r w:rsidRPr="00434285">
        <w:rPr>
          <w:rtl/>
        </w:rPr>
        <w:t xml:space="preserve"> </w:t>
      </w:r>
      <w:r w:rsidRPr="00434285">
        <w:rPr>
          <w:rFonts w:cs="Simplified Arabic"/>
          <w:rtl/>
          <w:lang w:val="en-US"/>
        </w:rPr>
        <w:t>وتُصنف جميع البلدان المدرجة في قائمة الاتفاقية، والتي هي أعضاء في صندوق النقد الدولي، على أنها اقتصادات متقدمة؛</w:t>
      </w:r>
      <w:r>
        <w:rPr>
          <w:rFonts w:cs="Simplified Arabic" w:hint="cs"/>
          <w:rtl/>
          <w:lang w:val="en-US"/>
        </w:rPr>
        <w:t xml:space="preserve"> وهناك</w:t>
      </w:r>
      <w:r w:rsidRPr="00434285">
        <w:rPr>
          <w:rFonts w:cs="Simplified Arabic"/>
          <w:rtl/>
          <w:lang w:val="en-US"/>
        </w:rPr>
        <w:t xml:space="preserve"> ما مجموعه 13 بلدا، من الأطراف في الاتفاقية، تُصنف على أنها اقتصادات متقدمة، لكنها غير مدرجة في القائمة.</w:t>
      </w:r>
    </w:p>
    <w:p w14:paraId="71B467FB" w14:textId="161C4D71" w:rsidR="004559F3" w:rsidRDefault="00434285" w:rsidP="004559F3">
      <w:pPr>
        <w:pStyle w:val="ListParagraph"/>
        <w:numPr>
          <w:ilvl w:val="0"/>
          <w:numId w:val="4"/>
        </w:numPr>
        <w:bidi/>
        <w:spacing w:after="120" w:line="216" w:lineRule="auto"/>
        <w:ind w:firstLine="0"/>
        <w:contextualSpacing w:val="0"/>
        <w:jc w:val="both"/>
        <w:rPr>
          <w:rFonts w:cs="Simplified Arabic"/>
          <w:lang w:val="en-US"/>
        </w:rPr>
      </w:pPr>
      <w:r w:rsidRPr="00434285">
        <w:rPr>
          <w:rFonts w:cs="Simplified Arabic"/>
          <w:i/>
          <w:iCs/>
          <w:rtl/>
          <w:lang w:val="en-US"/>
        </w:rPr>
        <w:lastRenderedPageBreak/>
        <w:t>العضوية في لجنة المساعدة الإنمائية التابعة لمنظمة التعاون والتنمية في الميدان الاقتصادي</w:t>
      </w:r>
      <w:r w:rsidR="00884FD1">
        <w:rPr>
          <w:rFonts w:cs="Simplified Arabic" w:hint="cs"/>
          <w:rtl/>
          <w:lang w:val="en-US"/>
        </w:rPr>
        <w:t>.</w:t>
      </w:r>
      <w:r w:rsidR="00884FD1" w:rsidRPr="004559F3">
        <w:rPr>
          <w:rStyle w:val="FootnoteReference"/>
          <w:rFonts w:cs="Simplified Arabic"/>
          <w:rtl/>
          <w:lang w:val="en-US"/>
        </w:rPr>
        <w:footnoteReference w:id="11"/>
      </w:r>
      <w:r w:rsidR="00884FD1">
        <w:rPr>
          <w:rFonts w:cs="Simplified Arabic" w:hint="cs"/>
          <w:rtl/>
          <w:lang w:val="en-US"/>
        </w:rPr>
        <w:t xml:space="preserve"> </w:t>
      </w:r>
      <w:r w:rsidRPr="00434285">
        <w:rPr>
          <w:rFonts w:cs="Simplified Arabic"/>
          <w:rtl/>
          <w:lang w:val="en-US"/>
        </w:rPr>
        <w:t>تُعد لجنة المساعدة الإنمائية التابعة لمنظمة التعاون والتنمية في الميدان الاقتصادي هي المنتدى الدولي الرئيسي لمقدمي المساعدات الإنمائية الثنائية، وتركز على التعاون الإنمائي، وفعالية المساعدات، والحد من الفقر، والتنمية المستدامة.</w:t>
      </w:r>
      <w:r w:rsidRPr="00434285">
        <w:rPr>
          <w:rtl/>
        </w:rPr>
        <w:t xml:space="preserve"> </w:t>
      </w:r>
      <w:r w:rsidRPr="00434285">
        <w:rPr>
          <w:rFonts w:cs="Simplified Arabic"/>
          <w:rtl/>
          <w:lang w:val="en-US"/>
        </w:rPr>
        <w:t>وعلى عكس الأنظمة التي عُرضت سابقا، لا تستند عضوية لجنة المساعدة الإنمائية إلى عتبات رقمية ثابتة مثل الدخل القومي الإجمالي للفرد أو حجم المساعدة الإنمائية الرسمية.</w:t>
      </w:r>
      <w:r w:rsidRPr="00434285">
        <w:rPr>
          <w:rtl/>
        </w:rPr>
        <w:t xml:space="preserve"> </w:t>
      </w:r>
      <w:r w:rsidRPr="00434285">
        <w:rPr>
          <w:rFonts w:cs="Simplified Arabic"/>
          <w:rtl/>
          <w:lang w:val="en-US"/>
        </w:rPr>
        <w:t>فهي تعتمد على عملية تقييم نوعي تديرها اللجنة بنفسها.</w:t>
      </w:r>
      <w:r w:rsidRPr="00434285">
        <w:rPr>
          <w:rtl/>
        </w:rPr>
        <w:t xml:space="preserve"> </w:t>
      </w:r>
      <w:r w:rsidRPr="00434285">
        <w:rPr>
          <w:rFonts w:cs="Simplified Arabic"/>
          <w:rtl/>
          <w:lang w:val="en-US"/>
        </w:rPr>
        <w:t>ويمكن للجهات المانحة الثنائية (سواء كانت أعضاء في منظمة التعاون والتنمية في الميدان الاقتصادي أو غير أعضاء فيها) الإعراب عن اهتمامها، ويُقيّم المرشحون بناء</w:t>
      </w:r>
      <w:r w:rsidR="006638AD">
        <w:rPr>
          <w:rFonts w:cs="Simplified Arabic" w:hint="cs"/>
          <w:rtl/>
          <w:lang w:val="en-US"/>
        </w:rPr>
        <w:t xml:space="preserve"> </w:t>
      </w:r>
      <w:r w:rsidRPr="00434285">
        <w:rPr>
          <w:rFonts w:cs="Simplified Arabic"/>
          <w:rtl/>
          <w:lang w:val="en-US"/>
        </w:rPr>
        <w:t>على مدى استعدادهم للمساهمة.</w:t>
      </w:r>
      <w:r>
        <w:rPr>
          <w:rFonts w:cs="Simplified Arabic" w:hint="cs"/>
          <w:rtl/>
          <w:lang w:val="en-US"/>
        </w:rPr>
        <w:t xml:space="preserve"> </w:t>
      </w:r>
      <w:r w:rsidRPr="00434285">
        <w:rPr>
          <w:rFonts w:cs="Simplified Arabic"/>
          <w:rtl/>
          <w:lang w:val="en-US"/>
        </w:rPr>
        <w:t>وتتمثل معايير التقييم الرئيسية فيما يلي: (أ) وجود إطار سياساتي ومؤسسي وإطار للمساءلة يُلزم البلد بتحقيق التنمية المستدامة بالشراكة مع البلدان النامية والبلدان التي تمر اقتصاداتها بمرحلة انتقالية، باستخدام الموارد العامة؛</w:t>
      </w:r>
      <w:r>
        <w:rPr>
          <w:rFonts w:cs="Simplified Arabic" w:hint="cs"/>
          <w:rtl/>
          <w:lang w:val="en-US"/>
        </w:rPr>
        <w:t xml:space="preserve"> (ب) </w:t>
      </w:r>
      <w:r w:rsidRPr="00434285">
        <w:rPr>
          <w:rFonts w:cs="Simplified Arabic"/>
          <w:rtl/>
          <w:lang w:val="en-US"/>
        </w:rPr>
        <w:t>إثبات المشاركة والتوافق مع أعمال اللجنة؛</w:t>
      </w:r>
      <w:r>
        <w:rPr>
          <w:rFonts w:cs="Simplified Arabic" w:hint="cs"/>
          <w:rtl/>
          <w:lang w:val="en-US"/>
        </w:rPr>
        <w:t xml:space="preserve"> (ج) </w:t>
      </w:r>
      <w:r w:rsidRPr="00434285">
        <w:rPr>
          <w:rFonts w:cs="Simplified Arabic"/>
          <w:rtl/>
          <w:lang w:val="en-US"/>
        </w:rPr>
        <w:t>الاستعداد والقدرة على إحراز تقدم والوفاء في نهاية المطاف بمعايير لجنة المساعدة الإنمائية، مثل المعايير المتعلقة بالإبلاغ عن المساعدة الإنمائية الرسمية.</w:t>
      </w:r>
      <w:r w:rsidRPr="00434285">
        <w:rPr>
          <w:rtl/>
        </w:rPr>
        <w:t xml:space="preserve"> </w:t>
      </w:r>
      <w:r w:rsidRPr="00434285">
        <w:rPr>
          <w:rFonts w:cs="Simplified Arabic"/>
          <w:rtl/>
          <w:lang w:val="en-US"/>
        </w:rPr>
        <w:t xml:space="preserve">وتتم عملية الانضمام بدعوة وبموافقة لجنة المساعدة الإنمائية </w:t>
      </w:r>
      <w:r>
        <w:rPr>
          <w:rFonts w:cs="Simplified Arabic" w:hint="cs"/>
          <w:rtl/>
          <w:lang w:val="en-US"/>
        </w:rPr>
        <w:t>ب</w:t>
      </w:r>
      <w:r w:rsidRPr="00434285">
        <w:rPr>
          <w:rFonts w:cs="Simplified Arabic"/>
          <w:rtl/>
          <w:lang w:val="en-US"/>
        </w:rPr>
        <w:t>توافق الآراء.</w:t>
      </w:r>
      <w:r w:rsidRPr="00434285">
        <w:rPr>
          <w:rtl/>
        </w:rPr>
        <w:t xml:space="preserve"> </w:t>
      </w:r>
      <w:r w:rsidRPr="00434285">
        <w:rPr>
          <w:rFonts w:cs="Simplified Arabic"/>
          <w:rtl/>
          <w:lang w:val="en-US"/>
        </w:rPr>
        <w:t>ومنذ عام 1992، أُضيف 13 عضوا إلى عضوية لجنة المساعدة الإنمائية، انضم 9 منهم بعد عام 2006.</w:t>
      </w:r>
      <w:r w:rsidRPr="00434285">
        <w:rPr>
          <w:rtl/>
        </w:rPr>
        <w:t xml:space="preserve"> </w:t>
      </w:r>
      <w:r w:rsidRPr="00434285">
        <w:rPr>
          <w:rFonts w:cs="Simplified Arabic"/>
          <w:rtl/>
          <w:lang w:val="en-US"/>
        </w:rPr>
        <w:t>ويبلغ عدد الأعضاء بموجب عضوية كاملة حاليا، من الأعضاء الأطراف في الاتفاقية، 32 عضوا (31 بلدا عضوا بالإضافة إلى الاتحاد الأوروبي).</w:t>
      </w:r>
    </w:p>
    <w:p w14:paraId="7AB9A20C" w14:textId="157B50CB" w:rsidR="004559F3" w:rsidRDefault="00434285" w:rsidP="004559F3">
      <w:pPr>
        <w:pStyle w:val="ListParagraph"/>
        <w:numPr>
          <w:ilvl w:val="0"/>
          <w:numId w:val="4"/>
        </w:numPr>
        <w:bidi/>
        <w:spacing w:after="120" w:line="216" w:lineRule="auto"/>
        <w:ind w:firstLine="0"/>
        <w:contextualSpacing w:val="0"/>
        <w:jc w:val="both"/>
        <w:rPr>
          <w:rFonts w:cs="Simplified Arabic"/>
          <w:lang w:val="en-US"/>
        </w:rPr>
      </w:pPr>
      <w:r w:rsidRPr="00434285">
        <w:rPr>
          <w:rFonts w:cs="Simplified Arabic"/>
          <w:rtl/>
          <w:lang w:val="en-US"/>
        </w:rPr>
        <w:t>واعتبارا من اليوم، أصبحت جميع البلدان المدرجة في أحدث قائمة للاتفاقية أعضاء بموجب عضوية كاملة في لجنة المساعدة الإنمائية، باستثناء موناكو، التي تُعتبر مع ذلك بلدا مانحا غير عضو في اللجنة، وتقدم تقاريرها إلى منظمة التعاون والتنمية في الميدان الاقتصادي منذ عام 2022 على مستوى الأنشطة.</w:t>
      </w:r>
      <w:r w:rsidRPr="00434285">
        <w:rPr>
          <w:rtl/>
        </w:rPr>
        <w:t xml:space="preserve"> </w:t>
      </w:r>
      <w:r w:rsidRPr="00434285">
        <w:rPr>
          <w:rFonts w:cs="Simplified Arabic"/>
          <w:rtl/>
          <w:lang w:val="en-US"/>
        </w:rPr>
        <w:t>ويوجد ما مجموعه ثمانية أعضاء بموجب عضوية كاملة في لجنة المساعدة الإنمائية، وهم أطراف في الاتفاقية، غير مدرجين في القائمة.</w:t>
      </w:r>
    </w:p>
    <w:p w14:paraId="06D9BBF9" w14:textId="0D30B63A" w:rsidR="004559F3" w:rsidRDefault="00434285" w:rsidP="004559F3">
      <w:pPr>
        <w:pStyle w:val="ListParagraph"/>
        <w:numPr>
          <w:ilvl w:val="0"/>
          <w:numId w:val="4"/>
        </w:numPr>
        <w:bidi/>
        <w:spacing w:after="120" w:line="216" w:lineRule="auto"/>
        <w:ind w:firstLine="0"/>
        <w:contextualSpacing w:val="0"/>
        <w:jc w:val="both"/>
        <w:rPr>
          <w:rFonts w:cs="Simplified Arabic"/>
          <w:lang w:val="en-US"/>
        </w:rPr>
      </w:pPr>
      <w:r w:rsidRPr="00434285">
        <w:rPr>
          <w:rFonts w:cs="Simplified Arabic"/>
          <w:i/>
          <w:iCs/>
          <w:rtl/>
          <w:lang w:val="en-US"/>
        </w:rPr>
        <w:t>المشاركون أو المنتسبون إلى لجنة المساعدة الإنمائية</w:t>
      </w:r>
      <w:r w:rsidRPr="00434285">
        <w:rPr>
          <w:rFonts w:cs="Simplified Arabic"/>
          <w:rtl/>
          <w:lang w:val="en-US"/>
        </w:rPr>
        <w:t>.</w:t>
      </w:r>
      <w:r w:rsidRPr="00434285">
        <w:rPr>
          <w:rtl/>
        </w:rPr>
        <w:t xml:space="preserve"> </w:t>
      </w:r>
      <w:r w:rsidRPr="00434285">
        <w:rPr>
          <w:rFonts w:cs="Simplified Arabic"/>
          <w:rtl/>
          <w:lang w:val="en-US"/>
        </w:rPr>
        <w:t>بالإضافة إلى الأعضاء بموجب عضوية كاملة في لجنة المساعدة الإنمائية، هناك عضو منتسب واحد (وهو أيضا أحد من البلدان المرشحة حاليا للانضمام إلى منظمة التعاون والتنمية في الميدان الاقتصادي)، و7 مشاركين في لجنة المساعدة الإنمائية، والذين - على عكس الأعضاء بموجب عضوية كاملة أو الأعضاء المنتسبين - لا يتمتعون بحقوق اتخاذ القرار ولا يُطلب منهم الوفاء بكامل التزامات اللجنة.</w:t>
      </w:r>
      <w:r w:rsidRPr="00434285">
        <w:rPr>
          <w:rtl/>
        </w:rPr>
        <w:t xml:space="preserve"> </w:t>
      </w:r>
      <w:r w:rsidRPr="00434285">
        <w:rPr>
          <w:rFonts w:cs="Simplified Arabic"/>
          <w:rtl/>
          <w:lang w:val="en-US"/>
        </w:rPr>
        <w:t>ويشارك هؤلاء على أساس طوعي بصفتهم مقدمي المساعدة الإنمائية الرسمية أو مانحين جدد لها.</w:t>
      </w:r>
      <w:r w:rsidRPr="00434285">
        <w:rPr>
          <w:rtl/>
        </w:rPr>
        <w:t xml:space="preserve"> </w:t>
      </w:r>
      <w:r w:rsidRPr="00434285">
        <w:rPr>
          <w:rFonts w:cs="Simplified Arabic"/>
          <w:rtl/>
          <w:lang w:val="en-US"/>
        </w:rPr>
        <w:t>ولا يوجد أي من الدول الثماني المشاركة والمنتسبة حاليا في لجنة المساعدة الإنمائية في قائمة الاتفاقية.</w:t>
      </w:r>
    </w:p>
    <w:p w14:paraId="27A4AE9D" w14:textId="0127ADFC" w:rsidR="004559F3" w:rsidRPr="004559F3" w:rsidRDefault="004559F3" w:rsidP="004559F3">
      <w:pPr>
        <w:keepNext/>
        <w:keepLines/>
        <w:bidi/>
        <w:spacing w:after="120" w:line="216" w:lineRule="auto"/>
        <w:ind w:left="720" w:hanging="720"/>
        <w:jc w:val="both"/>
        <w:rPr>
          <w:rFonts w:cs="Simplified Arabic"/>
          <w:b/>
          <w:bCs/>
          <w:sz w:val="22"/>
          <w:lang w:val="en-US" w:eastAsia="en-US"/>
        </w:rPr>
      </w:pPr>
      <w:r w:rsidRPr="004559F3">
        <w:rPr>
          <w:rFonts w:cs="Simplified Arabic" w:hint="cs"/>
          <w:b/>
          <w:bCs/>
          <w:sz w:val="22"/>
          <w:rtl/>
          <w:lang w:val="en-US" w:eastAsia="en-US"/>
        </w:rPr>
        <w:t>باء-</w:t>
      </w:r>
      <w:r w:rsidRPr="004559F3">
        <w:rPr>
          <w:rFonts w:cs="Simplified Arabic"/>
          <w:b/>
          <w:bCs/>
          <w:sz w:val="22"/>
          <w:rtl/>
          <w:lang w:val="en-US" w:eastAsia="en-US"/>
        </w:rPr>
        <w:tab/>
      </w:r>
      <w:r>
        <w:rPr>
          <w:rFonts w:cs="Simplified Arabic" w:hint="cs"/>
          <w:b/>
          <w:bCs/>
          <w:sz w:val="22"/>
          <w:rtl/>
          <w:lang w:val="en-US" w:eastAsia="en-US"/>
        </w:rPr>
        <w:t>التحليل</w:t>
      </w:r>
    </w:p>
    <w:p w14:paraId="49E5BE3E" w14:textId="5560B027" w:rsidR="004559F3" w:rsidRDefault="00A242CA" w:rsidP="004559F3">
      <w:pPr>
        <w:pStyle w:val="ListParagraph"/>
        <w:numPr>
          <w:ilvl w:val="0"/>
          <w:numId w:val="4"/>
        </w:numPr>
        <w:bidi/>
        <w:spacing w:after="120" w:line="216" w:lineRule="auto"/>
        <w:ind w:firstLine="0"/>
        <w:contextualSpacing w:val="0"/>
        <w:jc w:val="both"/>
        <w:rPr>
          <w:rFonts w:cs="Simplified Arabic"/>
          <w:lang w:val="en-US"/>
        </w:rPr>
      </w:pPr>
      <w:r w:rsidRPr="00A242CA">
        <w:rPr>
          <w:rFonts w:cs="Simplified Arabic"/>
          <w:rtl/>
          <w:lang w:val="en-US"/>
        </w:rPr>
        <w:t>يثير الاستعراض الوارد أعلاه عددا من الملاحظات.</w:t>
      </w:r>
      <w:r w:rsidRPr="00A242CA">
        <w:rPr>
          <w:rtl/>
        </w:rPr>
        <w:t xml:space="preserve"> </w:t>
      </w:r>
      <w:r w:rsidRPr="00A242CA">
        <w:rPr>
          <w:rFonts w:cs="Simplified Arabic"/>
          <w:rtl/>
          <w:lang w:val="en-US"/>
        </w:rPr>
        <w:t>أولا، باستثناء معايير العضوية في لجنة المساعدة الإنمائية التابعة لمنظمة التعاون والتنمية في الميدان الاقتصادي، تشير جميع التصنيفات إلى الدخل القومي الإجمالي للفرد باعتباره أحد المعايير المهمة.</w:t>
      </w:r>
      <w:r w:rsidRPr="00A242CA">
        <w:rPr>
          <w:rtl/>
        </w:rPr>
        <w:t xml:space="preserve"> </w:t>
      </w:r>
      <w:r w:rsidRPr="00A242CA">
        <w:rPr>
          <w:rFonts w:cs="Simplified Arabic"/>
          <w:rtl/>
          <w:lang w:val="en-US"/>
        </w:rPr>
        <w:t>ولكن في معظم الحالات، يُستكمل هذا المعيار - بل وربما يُقابل - بمعايير أخرى، مثل: مستوى التعليم والحالة الصحية؛</w:t>
      </w:r>
      <w:r>
        <w:rPr>
          <w:rFonts w:cs="Simplified Arabic" w:hint="cs"/>
          <w:rtl/>
          <w:lang w:val="en-US"/>
        </w:rPr>
        <w:t xml:space="preserve"> </w:t>
      </w:r>
      <w:r w:rsidRPr="00A242CA">
        <w:rPr>
          <w:rFonts w:cs="Simplified Arabic"/>
          <w:rtl/>
          <w:lang w:val="en-US"/>
        </w:rPr>
        <w:t>والضعف الاقتصادي والبيئي؛</w:t>
      </w:r>
      <w:r>
        <w:rPr>
          <w:rFonts w:cs="Simplified Arabic" w:hint="cs"/>
          <w:rtl/>
          <w:lang w:val="en-US"/>
        </w:rPr>
        <w:t xml:space="preserve"> </w:t>
      </w:r>
      <w:r w:rsidRPr="00A242CA">
        <w:rPr>
          <w:rFonts w:cs="Simplified Arabic"/>
          <w:rtl/>
          <w:lang w:val="en-US"/>
        </w:rPr>
        <w:t>ووضع الاقتصاد الصغير؛</w:t>
      </w:r>
      <w:r>
        <w:rPr>
          <w:rFonts w:cs="Simplified Arabic" w:hint="cs"/>
          <w:rtl/>
          <w:lang w:val="en-US"/>
        </w:rPr>
        <w:t xml:space="preserve"> </w:t>
      </w:r>
      <w:r w:rsidRPr="00A242CA">
        <w:rPr>
          <w:rFonts w:cs="Simplified Arabic"/>
          <w:rtl/>
          <w:lang w:val="en-US"/>
        </w:rPr>
        <w:t>والوضع الائتماني؛</w:t>
      </w:r>
      <w:r>
        <w:rPr>
          <w:rFonts w:cs="Simplified Arabic" w:hint="cs"/>
          <w:rtl/>
          <w:lang w:val="en-US"/>
        </w:rPr>
        <w:t xml:space="preserve"> </w:t>
      </w:r>
      <w:r w:rsidRPr="00A242CA">
        <w:rPr>
          <w:rFonts w:cs="Simplified Arabic"/>
          <w:rtl/>
          <w:lang w:val="en-US"/>
        </w:rPr>
        <w:t>وتنويع الصادرات والتكامل المالي العالمي – مع الإشارة إلى أن هذين العاملين مرتبطان بالضعف الاقتصادي.</w:t>
      </w:r>
      <w:r>
        <w:rPr>
          <w:rFonts w:cs="Simplified Arabic" w:hint="cs"/>
          <w:rtl/>
          <w:lang w:val="en-US"/>
        </w:rPr>
        <w:t xml:space="preserve"> </w:t>
      </w:r>
      <w:r w:rsidRPr="00A242CA">
        <w:rPr>
          <w:rFonts w:cs="Simplified Arabic"/>
          <w:rtl/>
          <w:lang w:val="en-US"/>
        </w:rPr>
        <w:t>وهذه المعايير ليست موحدة عبر الأنظمة المختلفة؛</w:t>
      </w:r>
      <w:r>
        <w:rPr>
          <w:rFonts w:cs="Simplified Arabic" w:hint="cs"/>
          <w:rtl/>
          <w:lang w:val="en-US"/>
        </w:rPr>
        <w:t xml:space="preserve"> </w:t>
      </w:r>
      <w:r w:rsidRPr="00A242CA">
        <w:rPr>
          <w:rFonts w:cs="Simplified Arabic"/>
          <w:rtl/>
          <w:lang w:val="en-US"/>
        </w:rPr>
        <w:t>وبالتالي، لا توجد مجموعة معايير معترف بها عالميا يمكن أن تُسترشد بها القرارات التي يتعين اتخاذها وفقا للفقرة 13 أعلاه.</w:t>
      </w:r>
    </w:p>
    <w:p w14:paraId="26C13E91" w14:textId="5291BE57" w:rsidR="004559F3" w:rsidRDefault="00A242CA" w:rsidP="004559F3">
      <w:pPr>
        <w:pStyle w:val="ListParagraph"/>
        <w:numPr>
          <w:ilvl w:val="0"/>
          <w:numId w:val="4"/>
        </w:numPr>
        <w:bidi/>
        <w:spacing w:after="120" w:line="216" w:lineRule="auto"/>
        <w:ind w:firstLine="0"/>
        <w:contextualSpacing w:val="0"/>
        <w:jc w:val="both"/>
        <w:rPr>
          <w:rFonts w:cs="Simplified Arabic"/>
          <w:lang w:val="en-US"/>
        </w:rPr>
      </w:pPr>
      <w:r w:rsidRPr="00A242CA">
        <w:rPr>
          <w:rFonts w:cs="Simplified Arabic"/>
          <w:rtl/>
          <w:lang w:val="en-US"/>
        </w:rPr>
        <w:t xml:space="preserve">ومن الجدير بالذكر أنه، فيما يتعلق بتعريف البلدان المتقدمة، تشير الفقرة 2 من المادة 20 إلى البلدان المتقدمة في سياق توفير موارد مالية جديدة وإضافية للبلدان النامية - أي أنها تركز على البلدان المتقدمة بصفتها بلدان مقدمة </w:t>
      </w:r>
      <w:r w:rsidRPr="00A242CA">
        <w:rPr>
          <w:rFonts w:cs="Simplified Arabic"/>
          <w:rtl/>
          <w:lang w:val="en-US"/>
        </w:rPr>
        <w:lastRenderedPageBreak/>
        <w:t>للموارد المالية.</w:t>
      </w:r>
      <w:r w:rsidRPr="00A242CA">
        <w:rPr>
          <w:rtl/>
        </w:rPr>
        <w:t xml:space="preserve"> </w:t>
      </w:r>
      <w:r w:rsidRPr="00A242CA">
        <w:rPr>
          <w:rFonts w:cs="Simplified Arabic"/>
          <w:rtl/>
          <w:lang w:val="en-US"/>
        </w:rPr>
        <w:t>وفي هذا السياق، فإن العضوية الكاملة لأي بلد في لجنة المساعدة الإنمائية التابعة لمنظمة التعاون والتنمية في الميدان الاقتصادي تُعد في حد ذاتها مؤشرا ذا صلة؛ فهي إشارة إلى أن هذا البلد ينظر إلى نفسه على أنه جزء من المجتمع الدولي الذي يقدم المساعدة الإنمائية الرسمية إلى البلدان النامية والبلدان التي تمر اقتصاداتها بمرحلة انتقالية.</w:t>
      </w:r>
    </w:p>
    <w:p w14:paraId="4F4D75AC" w14:textId="4CF2BD27" w:rsidR="004559F3" w:rsidRDefault="00A242CA" w:rsidP="004559F3">
      <w:pPr>
        <w:pStyle w:val="ListParagraph"/>
        <w:numPr>
          <w:ilvl w:val="0"/>
          <w:numId w:val="4"/>
        </w:numPr>
        <w:bidi/>
        <w:spacing w:after="120" w:line="216" w:lineRule="auto"/>
        <w:ind w:firstLine="0"/>
        <w:contextualSpacing w:val="0"/>
        <w:jc w:val="both"/>
        <w:rPr>
          <w:rFonts w:cs="Simplified Arabic"/>
          <w:lang w:val="en-US"/>
        </w:rPr>
      </w:pPr>
      <w:r w:rsidRPr="00A242CA">
        <w:rPr>
          <w:rFonts w:cs="Simplified Arabic"/>
          <w:rtl/>
          <w:lang w:val="en-US"/>
        </w:rPr>
        <w:t>وتشير الممارسات السابقة إلى أن العضوية الكاملة في لجنة المساعدة الإنمائية لم تكن شرطا ضروريا للإدراج في قائمة الاتفاقية: (أ) أُدرجت موناكو في القائمة بالفعل منذ عام 1996، لكنها حتى اليوم ليست عضوا في لجنة المساعدة الإنمائية (ولكنها معترف بها كبلد مقدم للمساعدة الإنمائية الرسمية من خارج اللجنة، وتقدم معلومات إلى اللجنة على أساس طوعي)؛</w:t>
      </w:r>
      <w:r>
        <w:rPr>
          <w:rFonts w:cs="Simplified Arabic" w:hint="cs"/>
          <w:rtl/>
          <w:lang w:val="en-US"/>
        </w:rPr>
        <w:t xml:space="preserve"> </w:t>
      </w:r>
      <w:r w:rsidRPr="00A242CA">
        <w:rPr>
          <w:rFonts w:cs="Simplified Arabic"/>
          <w:rtl/>
          <w:lang w:val="en-US"/>
        </w:rPr>
        <w:t>(ب) أُدرجت أيسلندا في القائمة عام 1996، لكنها لم تصبح عضوا في لجنة المساعدة الإنمائية إلا في عام 2013</w:t>
      </w:r>
      <w:r>
        <w:rPr>
          <w:rFonts w:cs="Simplified Arabic" w:hint="cs"/>
          <w:rtl/>
          <w:lang w:val="en-US"/>
        </w:rPr>
        <w:t>،</w:t>
      </w:r>
      <w:r w:rsidRPr="00A242CA">
        <w:rPr>
          <w:rtl/>
        </w:rPr>
        <w:t xml:space="preserve"> </w:t>
      </w:r>
      <w:r w:rsidR="00D74DAF">
        <w:rPr>
          <w:rFonts w:hint="cs"/>
          <w:rtl/>
        </w:rPr>
        <w:t>و</w:t>
      </w:r>
      <w:r w:rsidRPr="00A242CA">
        <w:rPr>
          <w:rFonts w:cs="Simplified Arabic"/>
          <w:rtl/>
          <w:lang w:val="en-US"/>
        </w:rPr>
        <w:t>عملت بصفة المراقب في لجنة المساعدة الإنمائية منذ عام 1990</w:t>
      </w:r>
      <w:r>
        <w:rPr>
          <w:rFonts w:cs="Simplified Arabic" w:hint="cs"/>
          <w:rtl/>
          <w:lang w:val="en-US"/>
        </w:rPr>
        <w:t>؛ (ج) </w:t>
      </w:r>
      <w:r w:rsidRPr="00A242CA">
        <w:rPr>
          <w:rFonts w:cs="Simplified Arabic"/>
          <w:rtl/>
          <w:lang w:val="en-US"/>
        </w:rPr>
        <w:t>أُدرجت تشيكيا في القائمة عام 2006، لكنها لم تنضم إلى لجنة المساعدة الإنمائية  إلا في عام 2013</w:t>
      </w:r>
      <w:r w:rsidR="00D74DAF">
        <w:rPr>
          <w:rFonts w:cs="Simplified Arabic" w:hint="cs"/>
          <w:rtl/>
          <w:lang w:val="en-US"/>
        </w:rPr>
        <w:t xml:space="preserve">، </w:t>
      </w:r>
      <w:r w:rsidR="00D74DAF" w:rsidRPr="00D74DAF">
        <w:rPr>
          <w:rFonts w:cs="Simplified Arabic"/>
          <w:rtl/>
          <w:lang w:val="en-US"/>
        </w:rPr>
        <w:t>وعملت بصفة المراقب في لجنة المساعدة الإنمائية منذ انضمامها إلى منظمة التعاون والتنمية في الميدان الاقتصادي عام 1995</w:t>
      </w:r>
      <w:r w:rsidR="00D74DAF">
        <w:rPr>
          <w:rFonts w:cs="Simplified Arabic" w:hint="cs"/>
          <w:rtl/>
          <w:lang w:val="en-US"/>
        </w:rPr>
        <w:t>؛ (د) </w:t>
      </w:r>
      <w:r w:rsidR="00D74DAF" w:rsidRPr="00D74DAF">
        <w:rPr>
          <w:rFonts w:cs="Simplified Arabic"/>
          <w:rtl/>
          <w:lang w:val="en-US"/>
        </w:rPr>
        <w:t>أُضيفت سلوفينيا إلى القائمة في عام 2006، لكنها لم تنضم إلى لجنة المساعدة الإنمائية إلا في عام 2013</w:t>
      </w:r>
      <w:r w:rsidR="00D74DAF">
        <w:rPr>
          <w:rFonts w:cs="Simplified Arabic" w:hint="cs"/>
          <w:rtl/>
          <w:lang w:val="en-US"/>
        </w:rPr>
        <w:t xml:space="preserve">، </w:t>
      </w:r>
      <w:r w:rsidR="00D74DAF" w:rsidRPr="00D74DAF">
        <w:rPr>
          <w:rFonts w:cs="Simplified Arabic"/>
          <w:rtl/>
          <w:lang w:val="en-US"/>
        </w:rPr>
        <w:t>وعملت بصفة المراقب في لجنة المساعدة الإنمائية منذ انضمامها إلى منظمة التعاون والتنمية في الميدان الاقتصادي عام 2010.</w:t>
      </w:r>
      <w:r w:rsidR="00D74DAF" w:rsidRPr="00D74DAF">
        <w:rPr>
          <w:rtl/>
        </w:rPr>
        <w:t xml:space="preserve"> </w:t>
      </w:r>
      <w:r w:rsidR="00D74DAF" w:rsidRPr="00D74DAF">
        <w:rPr>
          <w:rFonts w:cs="Simplified Arabic"/>
          <w:rtl/>
          <w:lang w:val="en-US"/>
        </w:rPr>
        <w:t>ومع ذلك، وكما أشير أعلاه، فإن جميع الأطراف المدرجة في القائمة، باستثناء موناكو، هي أعضاء بموجب عضوية كاملة في لجنة المساعدة الإنمائية.</w:t>
      </w:r>
    </w:p>
    <w:p w14:paraId="2BB20CE3" w14:textId="6E64DDFF" w:rsidR="004559F3" w:rsidRDefault="00D74DAF" w:rsidP="004559F3">
      <w:pPr>
        <w:pStyle w:val="ListParagraph"/>
        <w:numPr>
          <w:ilvl w:val="0"/>
          <w:numId w:val="4"/>
        </w:numPr>
        <w:bidi/>
        <w:spacing w:after="120" w:line="216" w:lineRule="auto"/>
        <w:ind w:firstLine="0"/>
        <w:contextualSpacing w:val="0"/>
        <w:jc w:val="both"/>
        <w:rPr>
          <w:rFonts w:cs="Simplified Arabic"/>
          <w:lang w:val="en-US"/>
        </w:rPr>
      </w:pPr>
      <w:r w:rsidRPr="00D74DAF">
        <w:rPr>
          <w:rFonts w:cs="Simplified Arabic"/>
          <w:rtl/>
          <w:lang w:val="en-US"/>
        </w:rPr>
        <w:t xml:space="preserve">وبالتالي، في حين أن العضوية الكاملة في لجنة المساعدة الإنمائية لم تكن شرطا ضروريا للإدراج في قائمة الاتفاقية، إلا أنه في ضوء الأساس المنطقي للعضوية الكاملة في لجنة المساعدة الإنمائية، كما هو موضح أعلاه، وبالنظر إلى أن الفقرة 2 من المادة 20 تتحدث عن البلدان المتقدمة في سياق توفير موارد مالية جديدة وإضافية للبلدان النامية، فيمكن القول إن العضوية في لجنة المساعدة </w:t>
      </w:r>
      <w:proofErr w:type="gramStart"/>
      <w:r w:rsidRPr="00D74DAF">
        <w:rPr>
          <w:rFonts w:cs="Simplified Arabic"/>
          <w:rtl/>
          <w:lang w:val="en-US"/>
        </w:rPr>
        <w:t>الإنمائية  في</w:t>
      </w:r>
      <w:proofErr w:type="gramEnd"/>
      <w:r w:rsidRPr="00D74DAF">
        <w:rPr>
          <w:rFonts w:cs="Simplified Arabic"/>
          <w:rtl/>
          <w:lang w:val="en-US"/>
        </w:rPr>
        <w:t xml:space="preserve"> حد ذاتها قد تشكل مؤشرا ذا صلة للإدراج في القائمة.</w:t>
      </w:r>
    </w:p>
    <w:p w14:paraId="36D89AA7" w14:textId="14D7AE34" w:rsidR="004559F3" w:rsidRDefault="00D74DAF" w:rsidP="004559F3">
      <w:pPr>
        <w:pStyle w:val="ListParagraph"/>
        <w:numPr>
          <w:ilvl w:val="0"/>
          <w:numId w:val="4"/>
        </w:numPr>
        <w:bidi/>
        <w:spacing w:after="120" w:line="216" w:lineRule="auto"/>
        <w:ind w:firstLine="0"/>
        <w:contextualSpacing w:val="0"/>
        <w:jc w:val="both"/>
        <w:rPr>
          <w:rFonts w:cs="Simplified Arabic"/>
          <w:lang w:val="en-US"/>
        </w:rPr>
      </w:pPr>
      <w:r w:rsidRPr="00D74DAF">
        <w:rPr>
          <w:rFonts w:cs="Simplified Arabic"/>
          <w:rtl/>
          <w:lang w:val="en-US"/>
        </w:rPr>
        <w:t>وفيما يتعلق بتقرير صانعي القرار الوطنيين في البلدان الأخرى ما إذا كان ينبغي لبلدانهم أن تنظر، على أساس طوعي، في تحمل التزامات الأطراف من البلدان المتقدمة وفقا للفقرة 2 من المادة 20، فمن الجدير بالذكر أن اتخاذ مثل هذا القرار قد يكون صعبا، حيث إن صانعي القرار في العديد من البلدان قد ينظرون إلى بلدانهم، من حيث "قربها" من أن تكون من البلدان المتقدمة، على أنها تقع في المنطقة الرمادية.</w:t>
      </w:r>
      <w:r w:rsidRPr="00D74DAF">
        <w:rPr>
          <w:rtl/>
        </w:rPr>
        <w:t xml:space="preserve"> </w:t>
      </w:r>
      <w:r w:rsidRPr="00D74DAF">
        <w:rPr>
          <w:rFonts w:cs="Simplified Arabic"/>
          <w:rtl/>
          <w:lang w:val="en-US"/>
        </w:rPr>
        <w:t>ولسبب مماثل، قد يكون من الصعب إعطاء الأفضلية لتصنيف معين ضمن أنظمة التصنيف المتبقية التي استُعرضت أعلاه، مثل فئتي "البلدان المتوسطة الدخل من الشريحة العليا" و"البلدان المرتفعة الدخل" في نظام البنك الدولي أو فئة "الاقتصادات المتقدمة" في نظام صندوق النقد الدولي، باعتبارها الأساس الوحيد لاتخاذ مثل هذا القرار.</w:t>
      </w:r>
      <w:r w:rsidRPr="00D74DAF">
        <w:rPr>
          <w:rtl/>
        </w:rPr>
        <w:t xml:space="preserve"> </w:t>
      </w:r>
      <w:r w:rsidRPr="00D74DAF">
        <w:rPr>
          <w:rFonts w:cs="Simplified Arabic"/>
          <w:rtl/>
          <w:lang w:val="en-US"/>
        </w:rPr>
        <w:t xml:space="preserve">ومع ذلك، فإن الأنظمة المتبقية التي تم استعراضها، إذا ما أُخذت مجتمعة، لا تزال قادرة على توفير معلومات مفيدة للتعامل مع هذه المنطقة الرمادية وتوجيه صانعي القرار على الصعيد الوطني عند النظر </w:t>
      </w:r>
      <w:proofErr w:type="gramStart"/>
      <w:r w:rsidRPr="00D74DAF">
        <w:rPr>
          <w:rFonts w:cs="Simplified Arabic"/>
          <w:rtl/>
          <w:lang w:val="en-US"/>
        </w:rPr>
        <w:t>في ما</w:t>
      </w:r>
      <w:proofErr w:type="gramEnd"/>
      <w:r w:rsidRPr="00D74DAF">
        <w:rPr>
          <w:rFonts w:cs="Simplified Arabic"/>
          <w:rtl/>
          <w:lang w:val="en-US"/>
        </w:rPr>
        <w:t xml:space="preserve"> إذا كان ينبغي لبلدهم - بصفته طرفا في الاتفاقية - أن يتحمل، على أساس طوعي، التزامات الأطراف من البلدان المتقدمة وفقا للفقرة 2 من المادة 20 من الاتفاقية.</w:t>
      </w:r>
      <w:r w:rsidR="00A242CA" w:rsidRPr="004559F3">
        <w:rPr>
          <w:rStyle w:val="FootnoteReference"/>
          <w:rFonts w:cs="Simplified Arabic"/>
          <w:rtl/>
          <w:lang w:val="en-US"/>
        </w:rPr>
        <w:footnoteReference w:id="12"/>
      </w:r>
    </w:p>
    <w:p w14:paraId="721C7B10" w14:textId="59082B35" w:rsidR="004559F3" w:rsidRPr="004559F3" w:rsidRDefault="004559F3" w:rsidP="004559F3">
      <w:pPr>
        <w:keepNext/>
        <w:keepLines/>
        <w:kinsoku w:val="0"/>
        <w:overflowPunct w:val="0"/>
        <w:autoSpaceDE w:val="0"/>
        <w:autoSpaceDN w:val="0"/>
        <w:bidi/>
        <w:adjustRightInd w:val="0"/>
        <w:snapToGrid w:val="0"/>
        <w:spacing w:before="240" w:after="120" w:line="216" w:lineRule="auto"/>
        <w:ind w:left="720" w:hanging="720"/>
        <w:jc w:val="both"/>
        <w:rPr>
          <w:rFonts w:cs="Simplified Arabic"/>
          <w:b/>
          <w:bCs/>
          <w:szCs w:val="28"/>
          <w:lang w:val="en-US"/>
        </w:rPr>
      </w:pPr>
      <w:r w:rsidRPr="004559F3">
        <w:rPr>
          <w:rFonts w:cs="Simplified Arabic" w:hint="cs"/>
          <w:b/>
          <w:bCs/>
          <w:szCs w:val="28"/>
          <w:rtl/>
          <w:lang w:val="en-US"/>
        </w:rPr>
        <w:lastRenderedPageBreak/>
        <w:t>رابعا-</w:t>
      </w:r>
      <w:r w:rsidRPr="004559F3">
        <w:rPr>
          <w:rFonts w:cs="Simplified Arabic"/>
          <w:b/>
          <w:bCs/>
          <w:szCs w:val="28"/>
          <w:rtl/>
          <w:lang w:val="en-US"/>
        </w:rPr>
        <w:tab/>
      </w:r>
      <w:r w:rsidR="0037519A" w:rsidRPr="0037519A">
        <w:rPr>
          <w:rFonts w:cs="Simplified Arabic"/>
          <w:b/>
          <w:bCs/>
          <w:szCs w:val="28"/>
          <w:rtl/>
          <w:lang w:val="en-US"/>
        </w:rPr>
        <w:t>الاستنتاجات وعناصر التوصية</w:t>
      </w:r>
    </w:p>
    <w:p w14:paraId="295570E8" w14:textId="6118CB59" w:rsidR="004559F3" w:rsidRDefault="0037519A" w:rsidP="004559F3">
      <w:pPr>
        <w:pStyle w:val="ListParagraph"/>
        <w:numPr>
          <w:ilvl w:val="0"/>
          <w:numId w:val="4"/>
        </w:numPr>
        <w:bidi/>
        <w:spacing w:after="120" w:line="216" w:lineRule="auto"/>
        <w:ind w:firstLine="0"/>
        <w:contextualSpacing w:val="0"/>
        <w:jc w:val="both"/>
        <w:rPr>
          <w:rFonts w:cs="Simplified Arabic"/>
          <w:lang w:val="en-US"/>
        </w:rPr>
      </w:pPr>
      <w:r w:rsidRPr="0037519A">
        <w:rPr>
          <w:rFonts w:cs="Simplified Arabic"/>
          <w:rtl/>
          <w:lang w:val="en-US"/>
        </w:rPr>
        <w:t>ركزت المحاولة الأخيرة التي جرت في عام 2023 لتحديث قائمة الأطراف الموضوعة عملا بالفقرة 2 من المادة 20 من الاتفاقية - والتي يتعين الحفاظ عليها وفقا للفقرة 2 من المادة 20 - على البلدان التي تتحمل طواعية التزامات الأطراف من البلدان المتقدمة على النحو الوارد في هذه المادة من الاتفاقية.</w:t>
      </w:r>
      <w:r w:rsidRPr="0037519A">
        <w:rPr>
          <w:rtl/>
        </w:rPr>
        <w:t xml:space="preserve"> </w:t>
      </w:r>
      <w:r w:rsidRPr="0037519A">
        <w:rPr>
          <w:rFonts w:cs="Simplified Arabic"/>
          <w:rtl/>
          <w:lang w:val="en-US"/>
        </w:rPr>
        <w:t>ولكن وفقا للفقرة 2 من المادة 20، تشمل القائمة التي سيتم وضعها واستعراضها وتعديلها بصفة دورية كلا من البلدان المتقدمة والبلدان التي تتحمل طواعية التزامات البلدان المتقدمة.</w:t>
      </w:r>
    </w:p>
    <w:p w14:paraId="151EE95E" w14:textId="1FFE207D" w:rsidR="004559F3" w:rsidRDefault="0037519A" w:rsidP="004559F3">
      <w:pPr>
        <w:pStyle w:val="ListParagraph"/>
        <w:numPr>
          <w:ilvl w:val="0"/>
          <w:numId w:val="4"/>
        </w:numPr>
        <w:bidi/>
        <w:spacing w:after="120" w:line="216" w:lineRule="auto"/>
        <w:ind w:firstLine="0"/>
        <w:contextualSpacing w:val="0"/>
        <w:jc w:val="both"/>
        <w:rPr>
          <w:rFonts w:cs="Simplified Arabic"/>
          <w:lang w:val="en-US"/>
        </w:rPr>
      </w:pPr>
      <w:r w:rsidRPr="0037519A">
        <w:rPr>
          <w:rFonts w:cs="Simplified Arabic"/>
          <w:rtl/>
          <w:lang w:val="en-US"/>
        </w:rPr>
        <w:t>وفيما يتعلق بأفضل تواتر للدعوة إلى إبداء الاهتمام بالانضمام إلى القائمة، فقد عُرض مفهوم "الكتلة الحرجة" في القسم ثانيا أعلاه.</w:t>
      </w:r>
      <w:r w:rsidRPr="0037519A">
        <w:rPr>
          <w:rtl/>
        </w:rPr>
        <w:t xml:space="preserve"> </w:t>
      </w:r>
      <w:r w:rsidRPr="0037519A">
        <w:rPr>
          <w:rFonts w:cs="Simplified Arabic"/>
          <w:rtl/>
          <w:lang w:val="en-US"/>
        </w:rPr>
        <w:t>ويشير التحليل الوارد في القسم السابق إلى أن هذه الكتلة الحرجة موجودة بالفعل، بالنسبة لكلا المسارين المفاهيميين المذكورين أعلاه:</w:t>
      </w:r>
    </w:p>
    <w:p w14:paraId="3899822E" w14:textId="6C4EE04E" w:rsidR="004559F3" w:rsidRDefault="0037519A" w:rsidP="004559F3">
      <w:pPr>
        <w:pStyle w:val="ListParagraph"/>
        <w:numPr>
          <w:ilvl w:val="0"/>
          <w:numId w:val="12"/>
        </w:numPr>
        <w:bidi/>
        <w:spacing w:after="120" w:line="216" w:lineRule="auto"/>
        <w:ind w:firstLine="720"/>
        <w:contextualSpacing w:val="0"/>
        <w:jc w:val="both"/>
        <w:rPr>
          <w:rFonts w:cs="Simplified Arabic"/>
          <w:lang w:val="en-US"/>
        </w:rPr>
      </w:pPr>
      <w:r w:rsidRPr="0037519A">
        <w:rPr>
          <w:rFonts w:cs="Simplified Arabic"/>
          <w:rtl/>
          <w:lang w:val="en-US"/>
        </w:rPr>
        <w:t>فيما يتعلق بالبلدان المتقدمة، وبالنظر إلى الفقرة 2 من المادة 20، وحتى بموجب المعيار التحليلي الأضيق نطاقا (العضوية في لجنة المساعدة الإنمائية التابعة لمنظمة التعاون والتنمية في الميدان الاقتصادي)، لا يزال هناك ما مجموعه ثمانية أعضاء بموجب عضوية كاملة في لجنة المساعدة الإنمائية، وهم أطراف في الاتفاقية، غير مدرجين في قائمة الاتفاقية؛</w:t>
      </w:r>
    </w:p>
    <w:p w14:paraId="78076ACC" w14:textId="10A0D33B" w:rsidR="004559F3" w:rsidRPr="004559F3" w:rsidRDefault="0037519A" w:rsidP="004559F3">
      <w:pPr>
        <w:pStyle w:val="ListParagraph"/>
        <w:numPr>
          <w:ilvl w:val="0"/>
          <w:numId w:val="12"/>
        </w:numPr>
        <w:bidi/>
        <w:spacing w:after="120" w:line="216" w:lineRule="auto"/>
        <w:ind w:firstLine="720"/>
        <w:contextualSpacing w:val="0"/>
        <w:jc w:val="both"/>
        <w:rPr>
          <w:rFonts w:cs="Simplified Arabic"/>
          <w:lang w:val="en-US"/>
        </w:rPr>
      </w:pPr>
      <w:r w:rsidRPr="0037519A">
        <w:rPr>
          <w:rFonts w:cs="Simplified Arabic"/>
          <w:rtl/>
          <w:lang w:val="en-US"/>
        </w:rPr>
        <w:t xml:space="preserve">فيما يتعلق بالبلدان التي يمكن أن تتحمل، على أساس طوعي، التزامات البلدان المتقدمة وفقا للفقرة 2 من المادة 20، فإن حتى أصغر القوائم المتبقية (المشاركون والمنتسبون في لجنة المساعدة الإنمائية التابعة لمنظمة التعاون والتنمية في الميدان الاقتصادي) لا تزال تضم ما مجموعه ثمانية بلدان، سبعة بلدان مشاركة وبلد منتسب في لجنة المساعدة الإنمائية التابعة لمنظمة التعاون والتنمية في الميدان الاقتصادي، من الأطراف في </w:t>
      </w:r>
      <w:proofErr w:type="gramStart"/>
      <w:r w:rsidRPr="0037519A">
        <w:rPr>
          <w:rFonts w:cs="Simplified Arabic"/>
          <w:rtl/>
          <w:lang w:val="en-US"/>
        </w:rPr>
        <w:t>الاتفاقية</w:t>
      </w:r>
      <w:proofErr w:type="gramEnd"/>
      <w:r w:rsidRPr="0037519A">
        <w:rPr>
          <w:rFonts w:cs="Simplified Arabic"/>
          <w:rtl/>
          <w:lang w:val="en-US"/>
        </w:rPr>
        <w:t xml:space="preserve"> ولكنها غير مدرجة في قائمة الاتفاقية.</w:t>
      </w:r>
    </w:p>
    <w:p w14:paraId="7A254C59" w14:textId="0DBC0FB5" w:rsidR="004559F3" w:rsidRDefault="0037519A" w:rsidP="004559F3">
      <w:pPr>
        <w:pStyle w:val="ListParagraph"/>
        <w:numPr>
          <w:ilvl w:val="0"/>
          <w:numId w:val="4"/>
        </w:numPr>
        <w:bidi/>
        <w:spacing w:after="120" w:line="216" w:lineRule="auto"/>
        <w:ind w:firstLine="0"/>
        <w:contextualSpacing w:val="0"/>
        <w:jc w:val="both"/>
        <w:rPr>
          <w:rFonts w:cs="Simplified Arabic"/>
          <w:lang w:val="en-US"/>
        </w:rPr>
      </w:pPr>
      <w:r w:rsidRPr="0037519A">
        <w:rPr>
          <w:rFonts w:cs="Simplified Arabic"/>
          <w:rtl/>
          <w:lang w:val="en-US"/>
        </w:rPr>
        <w:t>ويشير وجود هذه الكتل الحرجة إلى أنه يمكن إصدار إخطار فوري يدعو الأطراف من البلدان المتقدمة الأطراف والأطراف الأخرى التي قد تتحمل طواعية التزامات الأطراف من البلدان المتقدمة، وفقا للمادة 20 من الاتفاقية، إلى الإعراب عن اهتمامها بالانضمام إلى القائمة.</w:t>
      </w:r>
      <w:r w:rsidRPr="0037519A">
        <w:rPr>
          <w:rtl/>
        </w:rPr>
        <w:t xml:space="preserve"> </w:t>
      </w:r>
      <w:r w:rsidRPr="0037519A">
        <w:rPr>
          <w:rFonts w:cs="Simplified Arabic"/>
          <w:rtl/>
          <w:lang w:val="en-US"/>
        </w:rPr>
        <w:t>وسيعتمد تواتر الإجراءات المستقبلية على مدى نجاح هذا الإجراء الفوري؛</w:t>
      </w:r>
      <w:r>
        <w:rPr>
          <w:rFonts w:cs="Simplified Arabic" w:hint="cs"/>
          <w:rtl/>
          <w:lang w:val="en-US"/>
        </w:rPr>
        <w:t xml:space="preserve"> </w:t>
      </w:r>
      <w:r w:rsidRPr="0037519A">
        <w:rPr>
          <w:rFonts w:cs="Simplified Arabic"/>
          <w:rtl/>
          <w:lang w:val="en-US"/>
        </w:rPr>
        <w:t>فمنذ البداية، قد يكون تكرار هذا الإجراء في كل اجتماع من اجتماعات مؤتمر الأطراف حلا وسطا معقولا بين الحاجة إلى تجنب "الإرهاق من الإخطارات" والمواءمة في الوقت نفسه مع دورة اجتماعات مؤتمر الأطراف.</w:t>
      </w:r>
      <w:r w:rsidRPr="0037519A">
        <w:rPr>
          <w:rtl/>
        </w:rPr>
        <w:t xml:space="preserve"> </w:t>
      </w:r>
      <w:r w:rsidRPr="0037519A">
        <w:rPr>
          <w:rFonts w:cs="Simplified Arabic"/>
          <w:rtl/>
          <w:lang w:val="en-US"/>
        </w:rPr>
        <w:t>ويمكن إعادة النظر في هذا الترتيب في اجتماع مقبل لمؤتمر الأطراف.</w:t>
      </w:r>
    </w:p>
    <w:p w14:paraId="782D58AE" w14:textId="02945FB1" w:rsidR="004559F3" w:rsidRDefault="0037519A" w:rsidP="004559F3">
      <w:pPr>
        <w:pStyle w:val="ListParagraph"/>
        <w:numPr>
          <w:ilvl w:val="0"/>
          <w:numId w:val="4"/>
        </w:numPr>
        <w:bidi/>
        <w:spacing w:after="120" w:line="216" w:lineRule="auto"/>
        <w:ind w:firstLine="0"/>
        <w:contextualSpacing w:val="0"/>
        <w:jc w:val="both"/>
        <w:rPr>
          <w:rFonts w:cs="Simplified Arabic"/>
          <w:lang w:val="en-US"/>
        </w:rPr>
      </w:pPr>
      <w:r w:rsidRPr="0037519A">
        <w:rPr>
          <w:rFonts w:cs="Simplified Arabic"/>
          <w:rtl/>
          <w:lang w:val="en-US"/>
        </w:rPr>
        <w:t>ومع مراعاة المعلومات والتحليلات الواردة أعلاه، قد ترغب الهيئة الفرعية للتنفيذ في اعتماد توصية تشمل العناصر التالية:</w:t>
      </w:r>
      <w:r w:rsidR="004F579F">
        <w:rPr>
          <w:rFonts w:cs="Simplified Arabic" w:hint="cs"/>
          <w:rtl/>
          <w:lang w:val="en-US"/>
        </w:rPr>
        <w:t xml:space="preserve"> </w:t>
      </w:r>
    </w:p>
    <w:p w14:paraId="5A684494" w14:textId="427940E4" w:rsidR="004559F3" w:rsidRDefault="0037519A" w:rsidP="004559F3">
      <w:pPr>
        <w:pStyle w:val="ListParagraph"/>
        <w:numPr>
          <w:ilvl w:val="0"/>
          <w:numId w:val="13"/>
        </w:numPr>
        <w:bidi/>
        <w:spacing w:after="120" w:line="216" w:lineRule="auto"/>
        <w:ind w:firstLine="720"/>
        <w:contextualSpacing w:val="0"/>
        <w:jc w:val="both"/>
        <w:rPr>
          <w:rFonts w:cs="Simplified Arabic"/>
          <w:lang w:val="en-US"/>
        </w:rPr>
      </w:pPr>
      <w:r w:rsidRPr="0037519A">
        <w:rPr>
          <w:rFonts w:cs="Simplified Arabic"/>
          <w:rtl/>
          <w:lang w:val="en-US"/>
        </w:rPr>
        <w:t xml:space="preserve">تدعو الأطراف من البلدان المتقدمة والأطراف الأخرى التي قد تتحمل، على أساس طوعي، التزامات الأطراف من البلدان المتقدمة وفقا للفقرة 2 من المادة 20 من الاتفاقية، إلى الإعراب عن اهتمامها </w:t>
      </w:r>
      <w:r w:rsidRPr="0037519A">
        <w:rPr>
          <w:rFonts w:cs="Simplified Arabic" w:hint="cs"/>
          <w:rtl/>
          <w:lang w:val="en-US"/>
        </w:rPr>
        <w:t>بالانضمام</w:t>
      </w:r>
      <w:r w:rsidRPr="0037519A">
        <w:rPr>
          <w:rFonts w:cs="Simplified Arabic"/>
          <w:rtl/>
          <w:lang w:val="en-US"/>
        </w:rPr>
        <w:t xml:space="preserve"> إلى قائمة الاتفاقية؛</w:t>
      </w:r>
    </w:p>
    <w:p w14:paraId="525866F1" w14:textId="6963B319" w:rsidR="004559F3" w:rsidRDefault="0037519A" w:rsidP="004559F3">
      <w:pPr>
        <w:pStyle w:val="ListParagraph"/>
        <w:numPr>
          <w:ilvl w:val="0"/>
          <w:numId w:val="13"/>
        </w:numPr>
        <w:bidi/>
        <w:spacing w:after="120" w:line="216" w:lineRule="auto"/>
        <w:ind w:firstLine="720"/>
        <w:contextualSpacing w:val="0"/>
        <w:jc w:val="both"/>
        <w:rPr>
          <w:rFonts w:cs="Simplified Arabic"/>
          <w:lang w:val="en-US"/>
        </w:rPr>
      </w:pPr>
      <w:r w:rsidRPr="0037519A">
        <w:rPr>
          <w:rFonts w:cs="Simplified Arabic"/>
          <w:rtl/>
          <w:lang w:val="en-US"/>
        </w:rPr>
        <w:t>تقرر إصدار دعوات أخرى لهذا الغرض خلال اجتماعات مؤتمر الأطراف ذات الأرقام الفردية؛</w:t>
      </w:r>
    </w:p>
    <w:p w14:paraId="1BB623F0" w14:textId="5A98444B" w:rsidR="004559F3" w:rsidRDefault="0037519A" w:rsidP="004559F3">
      <w:pPr>
        <w:pStyle w:val="ListParagraph"/>
        <w:numPr>
          <w:ilvl w:val="0"/>
          <w:numId w:val="13"/>
        </w:numPr>
        <w:bidi/>
        <w:spacing w:after="120" w:line="216" w:lineRule="auto"/>
        <w:ind w:firstLine="720"/>
        <w:contextualSpacing w:val="0"/>
        <w:jc w:val="both"/>
        <w:rPr>
          <w:rFonts w:cs="Simplified Arabic"/>
          <w:lang w:val="en-US"/>
        </w:rPr>
      </w:pPr>
      <w:r w:rsidRPr="0037519A">
        <w:rPr>
          <w:rFonts w:cs="Simplified Arabic"/>
          <w:rtl/>
          <w:lang w:val="en-US"/>
        </w:rPr>
        <w:lastRenderedPageBreak/>
        <w:t>تطلب إلى الأمانة: (1)</w:t>
      </w:r>
      <w:r w:rsidR="00C434CF">
        <w:rPr>
          <w:rFonts w:cs="Simplified Arabic" w:hint="cs"/>
          <w:rtl/>
          <w:lang w:val="en-US"/>
        </w:rPr>
        <w:t> </w:t>
      </w:r>
      <w:r w:rsidRPr="0037519A">
        <w:rPr>
          <w:rFonts w:cs="Simplified Arabic"/>
          <w:rtl/>
          <w:lang w:val="en-US"/>
        </w:rPr>
        <w:t>توجيه الدعوة الواردة في الفقرة الفرعية (أ) أعلاه إلى الأطراف؛</w:t>
      </w:r>
      <w:r>
        <w:rPr>
          <w:rFonts w:cs="Simplified Arabic" w:hint="cs"/>
          <w:rtl/>
          <w:lang w:val="en-US"/>
        </w:rPr>
        <w:t xml:space="preserve"> </w:t>
      </w:r>
      <w:r w:rsidRPr="0037519A">
        <w:rPr>
          <w:rFonts w:cs="Simplified Arabic"/>
          <w:rtl/>
          <w:lang w:val="en-US"/>
        </w:rPr>
        <w:t>(2)</w:t>
      </w:r>
      <w:r w:rsidR="00C434CF">
        <w:rPr>
          <w:rFonts w:cs="Simplified Arabic" w:hint="cs"/>
          <w:rtl/>
          <w:lang w:val="en-US"/>
        </w:rPr>
        <w:t> </w:t>
      </w:r>
      <w:r w:rsidRPr="0037519A">
        <w:rPr>
          <w:rFonts w:cs="Simplified Arabic"/>
          <w:rtl/>
          <w:lang w:val="en-US"/>
        </w:rPr>
        <w:t>إرسال الدعوات المستقبلية وفقا للفقرة الفرعية (ب) أعلاه؛</w:t>
      </w:r>
      <w:r>
        <w:rPr>
          <w:rFonts w:cs="Simplified Arabic" w:hint="cs"/>
          <w:rtl/>
          <w:lang w:val="en-US"/>
        </w:rPr>
        <w:t xml:space="preserve"> </w:t>
      </w:r>
      <w:r w:rsidRPr="0037519A">
        <w:rPr>
          <w:rFonts w:cs="Simplified Arabic"/>
          <w:rtl/>
          <w:lang w:val="en-US"/>
        </w:rPr>
        <w:t>(3)</w:t>
      </w:r>
      <w:r w:rsidR="00C434CF">
        <w:rPr>
          <w:rFonts w:cs="Simplified Arabic" w:hint="cs"/>
          <w:rtl/>
          <w:lang w:val="en-US"/>
        </w:rPr>
        <w:t> </w:t>
      </w:r>
      <w:r w:rsidRPr="0037519A">
        <w:rPr>
          <w:rFonts w:cs="Simplified Arabic"/>
          <w:rtl/>
          <w:lang w:val="en-US"/>
        </w:rPr>
        <w:t xml:space="preserve">تعديل القائمة لتشمل </w:t>
      </w:r>
      <w:proofErr w:type="spellStart"/>
      <w:r w:rsidRPr="0037519A">
        <w:rPr>
          <w:rFonts w:cs="Simplified Arabic"/>
          <w:rtl/>
          <w:lang w:val="en-US"/>
        </w:rPr>
        <w:t>إبداءات</w:t>
      </w:r>
      <w:proofErr w:type="spellEnd"/>
      <w:r w:rsidRPr="0037519A">
        <w:rPr>
          <w:rFonts w:cs="Simplified Arabic"/>
          <w:rtl/>
          <w:lang w:val="en-US"/>
        </w:rPr>
        <w:t xml:space="preserve"> الاهتمام الواردة، وتقديمها للاستعراض والاعتماد في الاجتماعات المقبلة لمؤتمر الأطراف ذات الأرقام الزوجية، بدءا من الاجتماع الثامن عشر لمؤتمر الأطراف؛</w:t>
      </w:r>
    </w:p>
    <w:p w14:paraId="5203C6F9" w14:textId="2D8B6247" w:rsidR="004559F3" w:rsidRPr="004559F3" w:rsidRDefault="0037519A" w:rsidP="004559F3">
      <w:pPr>
        <w:pStyle w:val="ListParagraph"/>
        <w:numPr>
          <w:ilvl w:val="0"/>
          <w:numId w:val="13"/>
        </w:numPr>
        <w:bidi/>
        <w:spacing w:after="120" w:line="216" w:lineRule="auto"/>
        <w:ind w:firstLine="720"/>
        <w:contextualSpacing w:val="0"/>
        <w:jc w:val="both"/>
        <w:rPr>
          <w:rFonts w:cs="Simplified Arabic"/>
          <w:lang w:val="en-US"/>
        </w:rPr>
      </w:pPr>
      <w:r w:rsidRPr="0037519A">
        <w:rPr>
          <w:rFonts w:cs="Simplified Arabic"/>
          <w:rtl/>
          <w:lang w:val="en-US"/>
        </w:rPr>
        <w:t>تستعرض هذه الترتيبات خلال الاجتماع الحادي والعشرين لمؤتمر الأطراف.</w:t>
      </w:r>
    </w:p>
    <w:p w14:paraId="37589D0E" w14:textId="3E801B21" w:rsidR="004559F3" w:rsidRPr="0037519A" w:rsidRDefault="0037519A" w:rsidP="004559F3">
      <w:pPr>
        <w:pStyle w:val="ListParagraph"/>
        <w:numPr>
          <w:ilvl w:val="0"/>
          <w:numId w:val="4"/>
        </w:numPr>
        <w:bidi/>
        <w:spacing w:after="120" w:line="216" w:lineRule="auto"/>
        <w:ind w:firstLine="0"/>
        <w:contextualSpacing w:val="0"/>
        <w:jc w:val="both"/>
        <w:rPr>
          <w:rFonts w:cs="Simplified Arabic"/>
          <w:sz w:val="22"/>
          <w:rtl/>
          <w:lang w:val="en-US"/>
        </w:rPr>
      </w:pPr>
      <w:r w:rsidRPr="0037519A">
        <w:rPr>
          <w:rFonts w:cs="Simplified Arabic"/>
          <w:sz w:val="22"/>
          <w:rtl/>
          <w:lang w:val="en-US"/>
        </w:rPr>
        <w:t xml:space="preserve">وستُدرج الصيغة التي تشمل هذه العناصر في مشروع التوصية الموحد الوارد في الوثيقة </w:t>
      </w:r>
      <w:r w:rsidRPr="0037519A">
        <w:rPr>
          <w:rFonts w:cs="Simplified Arabic"/>
          <w:sz w:val="22"/>
          <w:lang w:val="en-US"/>
        </w:rPr>
        <w:t>CBD/SBI/7/3</w:t>
      </w:r>
      <w:r w:rsidRPr="0037519A">
        <w:rPr>
          <w:rFonts w:cs="Simplified Arabic"/>
          <w:sz w:val="22"/>
          <w:rtl/>
          <w:lang w:val="en-US"/>
        </w:rPr>
        <w:t>.</w:t>
      </w:r>
    </w:p>
    <w:p w14:paraId="4101323D" w14:textId="25C898BD" w:rsidR="00BD2F04" w:rsidRPr="006D087F" w:rsidRDefault="00983803" w:rsidP="006D087F">
      <w:pPr>
        <w:pStyle w:val="CBDNormalNumber"/>
        <w:numPr>
          <w:ilvl w:val="0"/>
          <w:numId w:val="0"/>
        </w:numPr>
        <w:tabs>
          <w:tab w:val="left" w:pos="3469"/>
          <w:tab w:val="center" w:pos="4963"/>
        </w:tabs>
        <w:jc w:val="center"/>
        <w:rPr>
          <w:rtl/>
        </w:rPr>
      </w:pPr>
      <w:r>
        <w:t>__________</w:t>
      </w:r>
    </w:p>
    <w:sectPr w:rsidR="00BD2F04" w:rsidRPr="006D087F" w:rsidSect="00574179">
      <w:headerReference w:type="even" r:id="rId25"/>
      <w:headerReference w:type="default" r:id="rId26"/>
      <w:footerReference w:type="even" r:id="rId27"/>
      <w:footerReference w:type="default" r:id="rId28"/>
      <w:headerReference w:type="first" r:id="rId2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79C34" w14:textId="77777777" w:rsidR="007D57A9" w:rsidRDefault="007D57A9" w:rsidP="00C005BD">
      <w:r>
        <w:separator/>
      </w:r>
    </w:p>
  </w:endnote>
  <w:endnote w:type="continuationSeparator" w:id="0">
    <w:p w14:paraId="65B9EBBE" w14:textId="77777777" w:rsidR="007D57A9" w:rsidRDefault="007D57A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82474" w14:textId="77777777" w:rsidR="007D57A9" w:rsidRDefault="007D57A9" w:rsidP="00A319AA">
      <w:pPr>
        <w:bidi/>
      </w:pPr>
      <w:r>
        <w:separator/>
      </w:r>
    </w:p>
  </w:footnote>
  <w:footnote w:type="continuationSeparator" w:id="0">
    <w:p w14:paraId="1F90A683" w14:textId="77777777" w:rsidR="007D57A9" w:rsidRDefault="007D57A9" w:rsidP="00C005BD">
      <w:r>
        <w:continuationSeparator/>
      </w:r>
    </w:p>
  </w:footnote>
  <w:footnote w:id="1">
    <w:p w14:paraId="7E77E20E" w14:textId="36B6A708" w:rsidR="00835EFB" w:rsidRPr="00191CE5" w:rsidRDefault="00835EFB" w:rsidP="00D74DAF">
      <w:pPr>
        <w:pStyle w:val="FootnoteText"/>
        <w:bidi/>
        <w:spacing w:line="216" w:lineRule="auto"/>
        <w:rPr>
          <w:rFonts w:cs="Simplified Arabic"/>
          <w:szCs w:val="22"/>
          <w:rtl/>
          <w:lang w:bidi="ar-EG"/>
        </w:rPr>
      </w:pPr>
      <w:r w:rsidRPr="00191CE5">
        <w:rPr>
          <w:rStyle w:val="FootnoteReference"/>
          <w:rFonts w:cs="Simplified Arabic"/>
          <w:szCs w:val="22"/>
        </w:rPr>
        <w:t>*</w:t>
      </w:r>
      <w:r w:rsidRPr="00191CE5">
        <w:rPr>
          <w:rFonts w:cs="Simplified Arabic" w:hint="cs"/>
          <w:szCs w:val="22"/>
          <w:rtl/>
        </w:rPr>
        <w:t xml:space="preserve"> </w:t>
      </w:r>
      <w:hyperlink r:id="rId1" w:history="1">
        <w:r w:rsidRPr="00191CE5">
          <w:rPr>
            <w:rStyle w:val="Hyperlink"/>
            <w:rFonts w:cs="Simplified Arabic"/>
            <w:szCs w:val="22"/>
          </w:rPr>
          <w:t>CBD/SBI/7/1</w:t>
        </w:r>
      </w:hyperlink>
      <w:r w:rsidRPr="00191CE5">
        <w:rPr>
          <w:rFonts w:cs="Simplified Arabic" w:hint="cs"/>
          <w:szCs w:val="22"/>
          <w:rtl/>
        </w:rPr>
        <w:t>.</w:t>
      </w:r>
    </w:p>
  </w:footnote>
  <w:footnote w:id="2">
    <w:p w14:paraId="5E529450" w14:textId="3FC435E9" w:rsidR="00AE34CA" w:rsidRPr="00191CE5" w:rsidRDefault="00AE34CA" w:rsidP="00D74DAF">
      <w:pPr>
        <w:pStyle w:val="FootnoteText"/>
        <w:bidi/>
        <w:spacing w:line="216" w:lineRule="auto"/>
        <w:rPr>
          <w:rFonts w:cs="Simplified Arabic"/>
          <w:szCs w:val="22"/>
          <w:rtl/>
          <w:lang w:bidi="ar-EG"/>
        </w:rPr>
      </w:pPr>
      <w:r w:rsidRPr="00AE34CA">
        <w:rPr>
          <w:rFonts w:asciiTheme="majorBidi" w:hAnsiTheme="majorBidi" w:cstheme="majorBidi"/>
          <w:sz w:val="18"/>
          <w:vertAlign w:val="superscript"/>
          <w:rtl/>
        </w:rPr>
        <w:t>*</w:t>
      </w:r>
      <w:r w:rsidRPr="00191CE5">
        <w:rPr>
          <w:rStyle w:val="FootnoteReference"/>
          <w:rFonts w:cs="Simplified Arabic"/>
          <w:szCs w:val="22"/>
        </w:rPr>
        <w:t>*</w:t>
      </w:r>
      <w:r w:rsidRPr="00191CE5">
        <w:rPr>
          <w:rFonts w:cs="Simplified Arabic" w:hint="cs"/>
          <w:szCs w:val="22"/>
          <w:rtl/>
        </w:rPr>
        <w:t xml:space="preserve"> </w:t>
      </w:r>
      <w:r w:rsidRPr="00AE34CA">
        <w:rPr>
          <w:rFonts w:cs="Simplified Arabic"/>
          <w:szCs w:val="22"/>
          <w:rtl/>
        </w:rPr>
        <w:t>تصدر هذه الوثيقة دون تحرير رسمي</w:t>
      </w:r>
      <w:r>
        <w:rPr>
          <w:rFonts w:eastAsia="SimSun" w:cs="Simplified Arabic" w:hint="cs"/>
          <w:szCs w:val="22"/>
          <w:rtl/>
          <w:lang w:val="en-GB" w:eastAsia="en-US"/>
        </w:rPr>
        <w:t>.</w:t>
      </w:r>
    </w:p>
  </w:footnote>
  <w:footnote w:id="3">
    <w:p w14:paraId="7D2BA7D7" w14:textId="5C329390" w:rsidR="00533C78" w:rsidRPr="00533C78" w:rsidRDefault="00533C78"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sidRPr="00533C78">
        <w:rPr>
          <w:rFonts w:eastAsia="SimSun" w:cs="Simplified Arabic"/>
          <w:szCs w:val="22"/>
          <w:rtl/>
          <w:lang w:val="en-GB" w:eastAsia="en-US"/>
        </w:rPr>
        <w:t>يوضح الاقتباس التالي، المأخوذ من التقييم الشامل الثامن لمرفق البيئة العالمية الذي أجراه مكتب التقييم المستقل التابع للمرفق، الطبيعة الواسعة والمتعددة الأوجه لهذا الموضوع: "</w:t>
      </w:r>
      <w:r w:rsidRPr="00533C78">
        <w:rPr>
          <w:rFonts w:eastAsia="SimSun" w:cs="Simplified Arabic"/>
          <w:i/>
          <w:iCs/>
          <w:szCs w:val="22"/>
          <w:rtl/>
          <w:lang w:val="en-GB" w:eastAsia="en-US"/>
        </w:rPr>
        <w:t>تعزيز الاستدامة المالية وتقليل الاعتماد على مجموعة محدودة من المانحين من خلال تحسين ممارسات التمويل المشترك والاستفادة من الجهود الحالية الرامية إلى تنويع قاعدة التموي</w:t>
      </w:r>
      <w:r>
        <w:rPr>
          <w:rFonts w:eastAsia="SimSun" w:cs="Simplified Arabic" w:hint="cs"/>
          <w:i/>
          <w:iCs/>
          <w:szCs w:val="22"/>
          <w:rtl/>
          <w:lang w:val="en-GB" w:eastAsia="en-US"/>
        </w:rPr>
        <w:t xml:space="preserve">ل. </w:t>
      </w:r>
      <w:r w:rsidRPr="00533C78">
        <w:rPr>
          <w:rFonts w:eastAsia="SimSun" w:cs="Simplified Arabic"/>
          <w:i/>
          <w:iCs/>
          <w:szCs w:val="22"/>
          <w:rtl/>
          <w:lang w:val="en-GB" w:eastAsia="en-US"/>
        </w:rPr>
        <w:t>(…) لضمان استقرار التمويل على المدى الطويل، ينبغي أن يعتمد مرفق البيئة العالمية خطة استراتيجية لتعبئة الموارد تتضمن جهودا لتوسيع قاعدة المانحين السياديين، وإشراك المساهمين السابقين، وتوسيع نطاق التواصل ليشمل المناطق غير الممثلة التمثيل الكافي.</w:t>
      </w:r>
      <w:r w:rsidRPr="00533C78">
        <w:rPr>
          <w:rtl/>
        </w:rPr>
        <w:t xml:space="preserve"> </w:t>
      </w:r>
      <w:r w:rsidRPr="00533C78">
        <w:rPr>
          <w:rFonts w:eastAsia="SimSun" w:cs="Simplified Arabic"/>
          <w:i/>
          <w:iCs/>
          <w:szCs w:val="22"/>
          <w:rtl/>
          <w:lang w:val="en-GB" w:eastAsia="en-US"/>
        </w:rPr>
        <w:t>وينبغي أن تضع الخطة أيضا إطارا منظما لإشراك المؤسسات الخيرية والشركات والجهات المانحة غير السيادية الأخرى، بالاعتماد على النُهج التي أثبتت فعاليتها والمستخدمة في الصناديق العالمية الرائدة.</w:t>
      </w:r>
      <w:r w:rsidRPr="00533C78">
        <w:rPr>
          <w:rtl/>
        </w:rPr>
        <w:t xml:space="preserve"> </w:t>
      </w:r>
      <w:r w:rsidRPr="00533C78">
        <w:rPr>
          <w:rFonts w:eastAsia="SimSun" w:cs="Simplified Arabic"/>
          <w:i/>
          <w:iCs/>
          <w:szCs w:val="22"/>
          <w:rtl/>
          <w:lang w:val="en-GB" w:eastAsia="en-US"/>
        </w:rPr>
        <w:t>وفي الوقت نفسه، ينبغي لمرفق البيئة العالمية أن يستكشف سبل التعاون مع المجموعات الإقليمية والعالمية التي تولي اهتماما كبيرا بالقضايا البيئية، مثل مجموعة العشرين، التي أصدرت بالفعل توصيات موجهة إلى مرفق البيئة العالمية، والتي يعد جميع أعضائها شركاء في المرفق.</w:t>
      </w:r>
      <w:r w:rsidRPr="00533C78">
        <w:rPr>
          <w:rtl/>
        </w:rPr>
        <w:t xml:space="preserve"> </w:t>
      </w:r>
      <w:r w:rsidRPr="00533C78">
        <w:rPr>
          <w:rFonts w:eastAsia="SimSun" w:cs="Simplified Arabic"/>
          <w:i/>
          <w:iCs/>
          <w:szCs w:val="22"/>
          <w:rtl/>
          <w:lang w:val="en-GB" w:eastAsia="en-US"/>
        </w:rPr>
        <w:t xml:space="preserve">ومن شأن هذه الإجراءات مجتمعة أن تقلل من </w:t>
      </w:r>
      <w:proofErr w:type="gramStart"/>
      <w:r w:rsidRPr="00533C78">
        <w:rPr>
          <w:rFonts w:eastAsia="SimSun" w:cs="Simplified Arabic"/>
          <w:i/>
          <w:iCs/>
          <w:szCs w:val="22"/>
          <w:rtl/>
          <w:lang w:val="en-GB" w:eastAsia="en-US"/>
        </w:rPr>
        <w:t>مخاطر</w:t>
      </w:r>
      <w:proofErr w:type="gramEnd"/>
      <w:r w:rsidRPr="00533C78">
        <w:rPr>
          <w:rFonts w:eastAsia="SimSun" w:cs="Simplified Arabic"/>
          <w:i/>
          <w:iCs/>
          <w:szCs w:val="22"/>
          <w:rtl/>
          <w:lang w:val="en-GB" w:eastAsia="en-US"/>
        </w:rPr>
        <w:t xml:space="preserve"> التركيز، وتوسع القاعدة المالية لمرفق البيئة العالمية، وتعزز قدرته على الاستجابة للتحديات البيئية العالمية المتصاعدة."</w:t>
      </w:r>
      <w:r>
        <w:rPr>
          <w:rFonts w:eastAsia="SimSun" w:cs="Simplified Arabic" w:hint="cs"/>
          <w:i/>
          <w:iCs/>
          <w:szCs w:val="22"/>
          <w:rtl/>
          <w:lang w:val="en-GB" w:eastAsia="en-US"/>
        </w:rPr>
        <w:t xml:space="preserve"> </w:t>
      </w:r>
      <w:r>
        <w:rPr>
          <w:rFonts w:eastAsia="SimSun" w:cs="Simplified Arabic" w:hint="cs"/>
          <w:szCs w:val="22"/>
          <w:rtl/>
          <w:lang w:val="en-GB" w:eastAsia="en-US"/>
        </w:rPr>
        <w:t xml:space="preserve">انظر الرابط التالي: </w:t>
      </w:r>
      <w:hyperlink r:id="rId2" w:history="1">
        <w:r w:rsidR="00F1341A" w:rsidRPr="0019059C">
          <w:rPr>
            <w:rStyle w:val="Hyperlink"/>
            <w:rFonts w:eastAsia="SimSun" w:cs="Simplified Arabic"/>
            <w:szCs w:val="22"/>
            <w:lang w:val="en-GB" w:eastAsia="en-US"/>
          </w:rPr>
          <w:t>https://www.gefieo.org/content/dam/partners/ieo/docs/mgr/support-docs/OPS8-English-Executive-Summary.pdf</w:t>
        </w:r>
      </w:hyperlink>
      <w:r>
        <w:rPr>
          <w:rFonts w:eastAsia="SimSun" w:cs="Simplified Arabic" w:hint="cs"/>
          <w:szCs w:val="22"/>
          <w:rtl/>
          <w:lang w:val="en-GB" w:eastAsia="en-US"/>
        </w:rPr>
        <w:t>.</w:t>
      </w:r>
    </w:p>
  </w:footnote>
  <w:footnote w:id="4">
    <w:p w14:paraId="53D457EF" w14:textId="199261E9" w:rsidR="00D83287" w:rsidRPr="00191CE5" w:rsidRDefault="00D83287"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sidR="00884FD1">
        <w:rPr>
          <w:rFonts w:eastAsia="SimSun" w:cs="Simplified Arabic" w:hint="cs"/>
          <w:szCs w:val="22"/>
          <w:rtl/>
          <w:lang w:val="en-GB" w:eastAsia="en-US"/>
        </w:rPr>
        <w:t xml:space="preserve">انظر </w:t>
      </w:r>
      <w:hyperlink r:id="rId3" w:history="1">
        <w:r w:rsidR="00884FD1" w:rsidRPr="0019059C">
          <w:rPr>
            <w:rStyle w:val="Hyperlink"/>
            <w:rFonts w:eastAsia="SimSun" w:cs="Simplified Arabic"/>
            <w:szCs w:val="22"/>
            <w:lang w:val="en-GB" w:eastAsia="en-US"/>
          </w:rPr>
          <w:t>https://www.un.org/development/desa/dpad/wp-content/uploads/sites/45/LDC-Handbook-2024.pdf</w:t>
        </w:r>
      </w:hyperlink>
      <w:r w:rsidRPr="00191CE5">
        <w:rPr>
          <w:rFonts w:eastAsia="SimSun" w:cs="Simplified Arabic"/>
          <w:szCs w:val="22"/>
          <w:rtl/>
          <w:lang w:val="en-GB" w:eastAsia="en-US"/>
        </w:rPr>
        <w:t>.</w:t>
      </w:r>
    </w:p>
  </w:footnote>
  <w:footnote w:id="5">
    <w:p w14:paraId="5E02DEAC" w14:textId="584362D9"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Pr>
          <w:rFonts w:eastAsia="SimSun" w:cs="Simplified Arabic" w:hint="cs"/>
          <w:szCs w:val="22"/>
          <w:rtl/>
          <w:lang w:val="en-GB" w:eastAsia="en-US"/>
        </w:rPr>
        <w:t xml:space="preserve">انظر </w:t>
      </w:r>
      <w:hyperlink r:id="rId4" w:history="1">
        <w:r w:rsidR="00F80ABB" w:rsidRPr="0019059C">
          <w:rPr>
            <w:rStyle w:val="Hyperlink"/>
            <w:rFonts w:eastAsia="SimSun" w:cs="Simplified Arabic"/>
            <w:szCs w:val="22"/>
            <w:lang w:val="en-GB" w:eastAsia="en-US"/>
          </w:rPr>
          <w:t>https://ida.worldbank.org/en/about/borrowing-countries</w:t>
        </w:r>
      </w:hyperlink>
      <w:r>
        <w:rPr>
          <w:rFonts w:eastAsia="SimSun" w:cs="Simplified Arabic" w:hint="cs"/>
          <w:szCs w:val="22"/>
          <w:rtl/>
          <w:lang w:val="en-GB" w:eastAsia="en-US"/>
        </w:rPr>
        <w:t>.</w:t>
      </w:r>
    </w:p>
  </w:footnote>
  <w:footnote w:id="6">
    <w:p w14:paraId="3BA39151" w14:textId="77152F8F"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Pr>
          <w:rFonts w:eastAsia="SimSun" w:cs="Simplified Arabic" w:hint="cs"/>
          <w:szCs w:val="22"/>
          <w:rtl/>
          <w:lang w:val="en-GB" w:eastAsia="en-US"/>
        </w:rPr>
        <w:t xml:space="preserve">انظر </w:t>
      </w:r>
      <w:hyperlink r:id="rId5" w:history="1">
        <w:r w:rsidR="00F80ABB" w:rsidRPr="0019059C">
          <w:rPr>
            <w:rStyle w:val="Hyperlink"/>
            <w:rFonts w:eastAsia="SimSun" w:cs="Simplified Arabic"/>
            <w:szCs w:val="22"/>
            <w:lang w:val="en-GB" w:eastAsia="en-US"/>
          </w:rPr>
          <w:t>https://datahelpdesk.worldbank.org/knowledgebase/articles/378834-how-does-the-world-bank-classify-countries</w:t>
        </w:r>
      </w:hyperlink>
      <w:r>
        <w:rPr>
          <w:rFonts w:eastAsia="SimSun" w:cs="Simplified Arabic" w:hint="cs"/>
          <w:szCs w:val="22"/>
          <w:rtl/>
          <w:lang w:val="en-GB" w:eastAsia="en-US"/>
        </w:rPr>
        <w:t>.</w:t>
      </w:r>
    </w:p>
  </w:footnote>
  <w:footnote w:id="7">
    <w:p w14:paraId="7215CF24" w14:textId="38CB100B"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Pr>
          <w:rFonts w:eastAsia="SimSun" w:cs="Simplified Arabic" w:hint="cs"/>
          <w:szCs w:val="22"/>
          <w:rtl/>
          <w:lang w:val="en-GB" w:eastAsia="en-US"/>
        </w:rPr>
        <w:t xml:space="preserve">انظر </w:t>
      </w:r>
      <w:hyperlink r:id="rId6" w:history="1">
        <w:r w:rsidR="00434285" w:rsidRPr="0019059C">
          <w:rPr>
            <w:rStyle w:val="Hyperlink"/>
            <w:rFonts w:eastAsia="SimSun" w:cs="Simplified Arabic"/>
            <w:szCs w:val="22"/>
            <w:lang w:val="en-GB" w:eastAsia="en-US"/>
          </w:rPr>
          <w:t>https://blogs.worldbank.org/en/opendata/understanding-country-income--world-bank-group-income-classifica</w:t>
        </w:r>
      </w:hyperlink>
      <w:r>
        <w:rPr>
          <w:rFonts w:eastAsia="SimSun" w:cs="Simplified Arabic" w:hint="cs"/>
          <w:szCs w:val="22"/>
          <w:rtl/>
          <w:lang w:val="en-GB" w:eastAsia="en-US"/>
        </w:rPr>
        <w:t>.</w:t>
      </w:r>
    </w:p>
  </w:footnote>
  <w:footnote w:id="8">
    <w:p w14:paraId="53B91B3E" w14:textId="6D463D70"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00434285">
        <w:rPr>
          <w:rFonts w:eastAsia="SimSun" w:cs="Simplified Arabic" w:hint="cs"/>
          <w:szCs w:val="22"/>
          <w:rtl/>
          <w:lang w:val="en-GB" w:eastAsia="en-US"/>
        </w:rPr>
        <w:t xml:space="preserve"> </w:t>
      </w:r>
      <w:r w:rsidR="00434285" w:rsidRPr="00434285">
        <w:rPr>
          <w:rFonts w:eastAsia="SimSun" w:cs="Simplified Arabic"/>
          <w:szCs w:val="22"/>
          <w:rtl/>
          <w:lang w:val="en-GB" w:eastAsia="en-US"/>
        </w:rPr>
        <w:t>هناك خمسة أطراف في الاتفاقية لم يصنفها البنك الدولي.</w:t>
      </w:r>
      <w:r w:rsidR="00434285">
        <w:rPr>
          <w:rFonts w:eastAsia="SimSun" w:cs="Simplified Arabic" w:hint="cs"/>
          <w:szCs w:val="22"/>
          <w:rtl/>
          <w:lang w:val="en-GB" w:eastAsia="en-US"/>
        </w:rPr>
        <w:t xml:space="preserve"> </w:t>
      </w:r>
      <w:r w:rsidR="00434285" w:rsidRPr="00434285">
        <w:rPr>
          <w:rFonts w:eastAsia="SimSun" w:cs="Simplified Arabic"/>
          <w:szCs w:val="22"/>
          <w:rtl/>
          <w:lang w:val="en-GB" w:eastAsia="en-US"/>
        </w:rPr>
        <w:t>كما أن الأرقام الواردة تستند إلى حساباتنا الخاصة، حيث إن التصنيف يدرج "الاقتصادات"، وبعض البلدان تضم أكثر من اقتصاد واحد.</w:t>
      </w:r>
    </w:p>
  </w:footnote>
  <w:footnote w:id="9">
    <w:p w14:paraId="7C8FF8B5" w14:textId="53084020"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Pr>
          <w:rFonts w:eastAsia="SimSun" w:cs="Simplified Arabic" w:hint="cs"/>
          <w:szCs w:val="22"/>
          <w:rtl/>
          <w:lang w:val="en-GB" w:eastAsia="en-US"/>
        </w:rPr>
        <w:t xml:space="preserve">انظر </w:t>
      </w:r>
      <w:r w:rsidR="0010105D">
        <w:rPr>
          <w:rFonts w:eastAsia="SimSun" w:cs="Simplified Arabic"/>
          <w:szCs w:val="22"/>
          <w:lang w:val="en-GB" w:eastAsia="en-US"/>
        </w:rPr>
        <w:t xml:space="preserve">  </w:t>
      </w:r>
      <w:r w:rsidR="0010105D" w:rsidRPr="0010105D">
        <w:t>https://www.imf.org/-/media/files/publications/weo/2025/october/Arabic/text.pdf</w:t>
      </w:r>
    </w:p>
  </w:footnote>
  <w:footnote w:id="10">
    <w:p w14:paraId="18098766" w14:textId="462BE49B"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00434285">
        <w:rPr>
          <w:rFonts w:eastAsia="SimSun" w:cs="Simplified Arabic" w:hint="cs"/>
          <w:szCs w:val="22"/>
          <w:rtl/>
          <w:lang w:val="en-GB" w:eastAsia="en-US"/>
        </w:rPr>
        <w:t xml:space="preserve"> </w:t>
      </w:r>
      <w:r w:rsidR="00434285" w:rsidRPr="00434285">
        <w:rPr>
          <w:rFonts w:eastAsia="SimSun" w:cs="Simplified Arabic"/>
          <w:szCs w:val="22"/>
          <w:rtl/>
          <w:lang w:val="en-GB" w:eastAsia="en-US"/>
        </w:rPr>
        <w:t>هناك ستة أطراف في الاتفاقية لم يصنفها صندوق النقد الدولي.</w:t>
      </w:r>
      <w:r>
        <w:rPr>
          <w:rFonts w:eastAsia="SimSun" w:cs="Simplified Arabic" w:hint="cs"/>
          <w:szCs w:val="22"/>
          <w:rtl/>
          <w:lang w:val="en-GB" w:eastAsia="en-US"/>
        </w:rPr>
        <w:t>.</w:t>
      </w:r>
    </w:p>
  </w:footnote>
  <w:footnote w:id="11">
    <w:p w14:paraId="132487BE" w14:textId="7B810E70" w:rsidR="00884FD1" w:rsidRPr="00191CE5" w:rsidRDefault="00884FD1"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sidRPr="00191CE5">
        <w:rPr>
          <w:rFonts w:eastAsia="SimSun" w:cs="Simplified Arabic" w:hint="cs"/>
          <w:szCs w:val="22"/>
          <w:rtl/>
          <w:lang w:val="en-GB" w:eastAsia="en-US"/>
        </w:rPr>
        <w:t xml:space="preserve"> </w:t>
      </w:r>
      <w:r>
        <w:rPr>
          <w:rFonts w:eastAsia="SimSun" w:cs="Simplified Arabic" w:hint="cs"/>
          <w:szCs w:val="22"/>
          <w:rtl/>
          <w:lang w:val="en-GB" w:eastAsia="en-US"/>
        </w:rPr>
        <w:t xml:space="preserve">انظر </w:t>
      </w:r>
      <w:hyperlink r:id="rId7" w:history="1">
        <w:r w:rsidR="00434285" w:rsidRPr="0019059C">
          <w:rPr>
            <w:rStyle w:val="Hyperlink"/>
            <w:rFonts w:eastAsia="SimSun" w:cs="Simplified Arabic"/>
            <w:szCs w:val="22"/>
            <w:lang w:val="en-GB" w:eastAsia="en-US"/>
          </w:rPr>
          <w:t>https://www.oecd.org/en/about/committees/development-assistance-committee.html</w:t>
        </w:r>
      </w:hyperlink>
      <w:r>
        <w:rPr>
          <w:rFonts w:eastAsia="SimSun" w:cs="Simplified Arabic" w:hint="cs"/>
          <w:szCs w:val="22"/>
          <w:rtl/>
          <w:lang w:val="en-GB" w:eastAsia="en-US"/>
        </w:rPr>
        <w:t>.</w:t>
      </w:r>
    </w:p>
  </w:footnote>
  <w:footnote w:id="12">
    <w:p w14:paraId="189D5366" w14:textId="48F4F2DC" w:rsidR="00A242CA" w:rsidRDefault="00A242CA" w:rsidP="00D74DAF">
      <w:pPr>
        <w:pStyle w:val="FootnoteText"/>
        <w:bidi/>
        <w:spacing w:line="216" w:lineRule="auto"/>
        <w:jc w:val="both"/>
        <w:rPr>
          <w:rFonts w:eastAsia="SimSun" w:cs="Simplified Arabic"/>
          <w:szCs w:val="22"/>
          <w:rtl/>
          <w:lang w:val="en-GB" w:eastAsia="en-US"/>
        </w:rPr>
      </w:pPr>
      <w:r w:rsidRPr="00191CE5">
        <w:rPr>
          <w:rStyle w:val="FootnoteReference"/>
          <w:rFonts w:cs="Simplified Arabic"/>
          <w:szCs w:val="22"/>
        </w:rPr>
        <w:footnoteRef/>
      </w:r>
      <w:r>
        <w:rPr>
          <w:rFonts w:eastAsia="SimSun" w:cs="Simplified Arabic" w:hint="cs"/>
          <w:szCs w:val="22"/>
          <w:rtl/>
          <w:lang w:val="en-GB" w:eastAsia="en-US"/>
        </w:rPr>
        <w:t xml:space="preserve"> </w:t>
      </w:r>
      <w:r w:rsidR="00D74DAF" w:rsidRPr="00D74DAF">
        <w:rPr>
          <w:rFonts w:eastAsia="SimSun" w:cs="Simplified Arabic"/>
          <w:szCs w:val="22"/>
          <w:rtl/>
          <w:lang w:val="en-GB" w:eastAsia="en-US"/>
        </w:rPr>
        <w:t>لأغراض التوضيح، يمكن أن يتخذ ذلك شكل سلسلة من الأسئلة الإرشادية، مثل:</w:t>
      </w:r>
    </w:p>
    <w:p w14:paraId="7815C413" w14:textId="72F7F532"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 xml:space="preserve">(أ) </w:t>
      </w:r>
      <w:r w:rsidRPr="00D74DAF">
        <w:rPr>
          <w:rFonts w:eastAsia="SimSun" w:cs="Simplified Arabic"/>
          <w:szCs w:val="22"/>
          <w:rtl/>
          <w:lang w:val="en-GB" w:eastAsia="en-US"/>
        </w:rPr>
        <w:t xml:space="preserve">هل هذا البلد </w:t>
      </w:r>
      <w:r w:rsidRPr="00D74DAF">
        <w:rPr>
          <w:rFonts w:eastAsia="SimSun" w:cs="Simplified Arabic"/>
          <w:szCs w:val="22"/>
          <w:u w:val="single"/>
          <w:rtl/>
          <w:lang w:val="en-GB" w:eastAsia="en-US"/>
        </w:rPr>
        <w:t>غير</w:t>
      </w:r>
      <w:r w:rsidRPr="00D74DAF">
        <w:rPr>
          <w:rFonts w:eastAsia="SimSun" w:cs="Simplified Arabic"/>
          <w:szCs w:val="22"/>
          <w:rtl/>
          <w:lang w:val="en-GB" w:eastAsia="en-US"/>
        </w:rPr>
        <w:t xml:space="preserve"> مدرج في قائمة أقل البلدان نموا التي تحتفظ بها لجنة السياسات الإنمائية التابعة للأمم المتحدة؟</w:t>
      </w:r>
    </w:p>
    <w:p w14:paraId="2D866478" w14:textId="596143D4"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(ب) </w:t>
      </w:r>
      <w:r w:rsidRPr="00D74DAF">
        <w:rPr>
          <w:rFonts w:eastAsia="SimSun" w:cs="Simplified Arabic"/>
          <w:szCs w:val="22"/>
          <w:rtl/>
          <w:lang w:val="en-GB" w:eastAsia="en-US"/>
        </w:rPr>
        <w:t xml:space="preserve">هل هذا البلد </w:t>
      </w:r>
      <w:r w:rsidRPr="00D74DAF">
        <w:rPr>
          <w:rFonts w:eastAsia="SimSun" w:cs="Simplified Arabic"/>
          <w:szCs w:val="22"/>
          <w:u w:val="single"/>
          <w:rtl/>
          <w:lang w:val="en-GB" w:eastAsia="en-US"/>
        </w:rPr>
        <w:t>غير</w:t>
      </w:r>
      <w:r w:rsidRPr="00D74DAF">
        <w:rPr>
          <w:rFonts w:eastAsia="SimSun" w:cs="Simplified Arabic"/>
          <w:szCs w:val="22"/>
          <w:rtl/>
          <w:lang w:val="en-GB" w:eastAsia="en-US"/>
        </w:rPr>
        <w:t xml:space="preserve"> مدرج في قائمة البلدان المؤهلة للحصول على منح أو قروض بشروط ميسرة للغاية من البنك الدولي، التي تحتفظ بها المؤسسة الدولية للتنمية؟</w:t>
      </w:r>
    </w:p>
    <w:p w14:paraId="03740FA2" w14:textId="0BE76861"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(ج) </w:t>
      </w:r>
      <w:r w:rsidRPr="00D74DAF">
        <w:rPr>
          <w:rFonts w:eastAsia="SimSun" w:cs="Simplified Arabic"/>
          <w:szCs w:val="22"/>
          <w:rtl/>
          <w:lang w:val="en-GB" w:eastAsia="en-US"/>
        </w:rPr>
        <w:t>هل يصنف البنك الدولي اقتصاد هذا البلد على أنه "اقتصاد متوسط الدخل من الشريحة العليا" أو "اقتصاد مرتفع الدخل"؟</w:t>
      </w:r>
    </w:p>
    <w:p w14:paraId="479C02EA" w14:textId="707E9A6C"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(د) </w:t>
      </w:r>
      <w:r w:rsidRPr="00D74DAF">
        <w:rPr>
          <w:rFonts w:eastAsia="SimSun" w:cs="Simplified Arabic"/>
          <w:szCs w:val="22"/>
          <w:rtl/>
          <w:lang w:val="en-GB" w:eastAsia="en-US"/>
        </w:rPr>
        <w:t>هل يصنف البنك الدولي اقتصاد هذا البلد على أنه "اقتصاد مرتفع الدخل"؟</w:t>
      </w:r>
    </w:p>
    <w:p w14:paraId="43F70A36" w14:textId="4A19FD73"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(ه) </w:t>
      </w:r>
      <w:r w:rsidRPr="00D74DAF">
        <w:rPr>
          <w:rFonts w:eastAsia="SimSun" w:cs="Simplified Arabic"/>
          <w:szCs w:val="22"/>
          <w:rtl/>
          <w:lang w:val="en-GB" w:eastAsia="en-US"/>
        </w:rPr>
        <w:t>هل يصنف صندوق النقد الدولي اقتصاد هذا البلد على أنه اقتصاد متقدم؟</w:t>
      </w:r>
    </w:p>
    <w:p w14:paraId="621D10D2" w14:textId="19653D92" w:rsidR="00D74DAF" w:rsidRDefault="00D74DAF" w:rsidP="00D74DAF">
      <w:pPr>
        <w:pStyle w:val="FootnoteText"/>
        <w:bidi/>
        <w:spacing w:line="216" w:lineRule="auto"/>
        <w:jc w:val="both"/>
        <w:rPr>
          <w:rFonts w:eastAsia="SimSun" w:cs="Simplified Arabic"/>
          <w:szCs w:val="22"/>
          <w:rtl/>
          <w:lang w:val="en-GB" w:eastAsia="en-US"/>
        </w:rPr>
      </w:pPr>
      <w:r>
        <w:rPr>
          <w:rFonts w:eastAsia="SimSun" w:cs="Simplified Arabic" w:hint="cs"/>
          <w:szCs w:val="22"/>
          <w:rtl/>
          <w:lang w:val="en-GB" w:eastAsia="en-US"/>
        </w:rPr>
        <w:t>(و) </w:t>
      </w:r>
      <w:r w:rsidRPr="00D74DAF">
        <w:rPr>
          <w:rFonts w:eastAsia="SimSun" w:cs="Simplified Arabic"/>
          <w:szCs w:val="22"/>
          <w:rtl/>
          <w:lang w:val="en-GB" w:eastAsia="en-US"/>
        </w:rPr>
        <w:t>هل هذا البلد عضو أو عضو منتسب في لجنة المساعدة الإنمائية التابعة لمنظمة التعاون والتنمية في الميدان الاقتصادي؟</w:t>
      </w:r>
    </w:p>
    <w:p w14:paraId="5BF7CBAD" w14:textId="543B2B17" w:rsidR="00D74DAF" w:rsidRPr="00191CE5" w:rsidRDefault="0037519A" w:rsidP="00D74DAF">
      <w:pPr>
        <w:pStyle w:val="FootnoteText"/>
        <w:bidi/>
        <w:spacing w:line="216" w:lineRule="auto"/>
        <w:jc w:val="both"/>
        <w:rPr>
          <w:rFonts w:eastAsia="SimSun" w:cs="Simplified Arabic"/>
          <w:szCs w:val="22"/>
          <w:rtl/>
          <w:lang w:val="en-GB" w:eastAsia="en-US"/>
        </w:rPr>
      </w:pPr>
      <w:r w:rsidRPr="0037519A">
        <w:rPr>
          <w:rFonts w:eastAsia="SimSun" w:cs="Simplified Arabic"/>
          <w:szCs w:val="22"/>
          <w:rtl/>
          <w:lang w:val="en-GB" w:eastAsia="en-US"/>
        </w:rPr>
        <w:t>ويمكن أن يكون عدد الأسئلة التي تمت الإجابة عليها بـ "نعم" أحد المعايير التي يستند إليها هذا القرار، إلى جانب معايير أخرى، مثل تلك المذكورة في الفقرة 24 أعلاه.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D07A186" w:rsidR="00574179" w:rsidRDefault="007D57A9"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F579F">
          <w:rPr>
            <w:sz w:val="20"/>
            <w:szCs w:val="20"/>
            <w:lang w:val="fr-FR"/>
          </w:rPr>
          <w:t>CBD/SBI/7/3/Add.1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9DBBC78" w:rsidR="00574179" w:rsidRDefault="007D57A9" w:rsidP="00574179">
    <w:pPr>
      <w:pStyle w:val="Header"/>
      <w:pBdr>
        <w:bottom w:val="single" w:sz="4" w:space="1" w:color="auto"/>
      </w:pBdr>
    </w:pPr>
    <w:sdt>
      <w:sdtPr>
        <w:rPr>
          <w:sz w:val="20"/>
          <w:szCs w:val="20"/>
          <w:lang w:val="fr-FR"/>
        </w:rPr>
        <w:alias w:val="Subject"/>
        <w:tag w:val=""/>
        <w:id w:val="1639997275"/>
        <w:dataBinding w:prefixMappings="xmlns:ns0='http://purl.org/dc/elements/1.1/' xmlns:ns1='http://schemas.openxmlformats.org/package/2006/metadata/core-properties' " w:xpath="/ns1:coreProperties[1]/ns0:subject[1]" w:storeItemID="{6C3C8BC8-F283-45AE-878A-BAB7291924A1}"/>
        <w:text/>
      </w:sdtPr>
      <w:sdtEndPr/>
      <w:sdtContent>
        <w:r w:rsidR="004F579F">
          <w:rPr>
            <w:sz w:val="20"/>
            <w:szCs w:val="20"/>
            <w:lang w:val="fr-FR"/>
          </w:rPr>
          <w:t>CBD/SBI/7/3/Add.1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F6FC5"/>
    <w:multiLevelType w:val="hybridMultilevel"/>
    <w:tmpl w:val="696CCED4"/>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6046FD"/>
    <w:multiLevelType w:val="hybridMultilevel"/>
    <w:tmpl w:val="387E98F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DF26B0"/>
    <w:multiLevelType w:val="hybridMultilevel"/>
    <w:tmpl w:val="BF56C4B0"/>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C342990"/>
    <w:multiLevelType w:val="hybridMultilevel"/>
    <w:tmpl w:val="451802A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8913E7"/>
    <w:multiLevelType w:val="hybridMultilevel"/>
    <w:tmpl w:val="8586DB94"/>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D943BEE"/>
    <w:multiLevelType w:val="multilevel"/>
    <w:tmpl w:val="222A08B4"/>
    <w:numStyleLink w:val="ListCBD"/>
  </w:abstractNum>
  <w:abstractNum w:abstractNumId="15" w15:restartNumberingAfterBreak="0">
    <w:nsid w:val="619143F8"/>
    <w:multiLevelType w:val="hybridMultilevel"/>
    <w:tmpl w:val="8672562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1540159"/>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089502">
    <w:abstractNumId w:val="1"/>
  </w:num>
  <w:num w:numId="2" w16cid:durableId="11079092">
    <w:abstractNumId w:val="12"/>
  </w:num>
  <w:num w:numId="3" w16cid:durableId="2083409719">
    <w:abstractNumId w:val="2"/>
  </w:num>
  <w:num w:numId="4" w16cid:durableId="2048749451">
    <w:abstractNumId w:val="8"/>
  </w:num>
  <w:num w:numId="5" w16cid:durableId="1596749094">
    <w:abstractNumId w:val="3"/>
  </w:num>
  <w:num w:numId="6" w16cid:durableId="309332109">
    <w:abstractNumId w:val="6"/>
  </w:num>
  <w:num w:numId="7" w16cid:durableId="947198914">
    <w:abstractNumId w:val="17"/>
  </w:num>
  <w:num w:numId="8" w16cid:durableId="1909726722">
    <w:abstractNumId w:val="5"/>
  </w:num>
  <w:num w:numId="9" w16cid:durableId="1253123338">
    <w:abstractNumId w:val="4"/>
  </w:num>
  <w:num w:numId="10" w16cid:durableId="868028550">
    <w:abstractNumId w:val="16"/>
  </w:num>
  <w:num w:numId="11" w16cid:durableId="548610177">
    <w:abstractNumId w:val="11"/>
  </w:num>
  <w:num w:numId="12" w16cid:durableId="1395009012">
    <w:abstractNumId w:val="13"/>
  </w:num>
  <w:num w:numId="13" w16cid:durableId="1140340096">
    <w:abstractNumId w:val="15"/>
  </w:num>
  <w:num w:numId="14" w16cid:durableId="1881161249">
    <w:abstractNumId w:val="7"/>
  </w:num>
  <w:num w:numId="15" w16cid:durableId="1809935128">
    <w:abstractNumId w:val="0"/>
  </w:num>
  <w:num w:numId="16" w16cid:durableId="1443037536">
    <w:abstractNumId w:val="9"/>
  </w:num>
  <w:num w:numId="17" w16cid:durableId="573928625">
    <w:abstractNumId w:val="10"/>
  </w:num>
  <w:num w:numId="18" w16cid:durableId="2066443754">
    <w:abstractNumId w:val="14"/>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436E"/>
    <w:rsid w:val="00015E2F"/>
    <w:rsid w:val="000160AF"/>
    <w:rsid w:val="00017C50"/>
    <w:rsid w:val="00020BC7"/>
    <w:rsid w:val="000212CF"/>
    <w:rsid w:val="000225E9"/>
    <w:rsid w:val="00022635"/>
    <w:rsid w:val="000229AA"/>
    <w:rsid w:val="0002365E"/>
    <w:rsid w:val="00024707"/>
    <w:rsid w:val="00024CE7"/>
    <w:rsid w:val="000264AB"/>
    <w:rsid w:val="00030D2A"/>
    <w:rsid w:val="00032377"/>
    <w:rsid w:val="000324B4"/>
    <w:rsid w:val="0003386B"/>
    <w:rsid w:val="00033D91"/>
    <w:rsid w:val="00037866"/>
    <w:rsid w:val="00037DBB"/>
    <w:rsid w:val="000407D4"/>
    <w:rsid w:val="00042B1A"/>
    <w:rsid w:val="00043688"/>
    <w:rsid w:val="00045762"/>
    <w:rsid w:val="00047938"/>
    <w:rsid w:val="000502B2"/>
    <w:rsid w:val="00051A68"/>
    <w:rsid w:val="000539F0"/>
    <w:rsid w:val="00054071"/>
    <w:rsid w:val="00054292"/>
    <w:rsid w:val="00054459"/>
    <w:rsid w:val="00054EEE"/>
    <w:rsid w:val="00055043"/>
    <w:rsid w:val="00056FE5"/>
    <w:rsid w:val="00057CA3"/>
    <w:rsid w:val="00060D26"/>
    <w:rsid w:val="00061C13"/>
    <w:rsid w:val="00063B7E"/>
    <w:rsid w:val="000640EA"/>
    <w:rsid w:val="0006469B"/>
    <w:rsid w:val="00064DE8"/>
    <w:rsid w:val="00064EBE"/>
    <w:rsid w:val="00067CD5"/>
    <w:rsid w:val="00070BB8"/>
    <w:rsid w:val="0007346F"/>
    <w:rsid w:val="00076B2B"/>
    <w:rsid w:val="00077A2B"/>
    <w:rsid w:val="0008009C"/>
    <w:rsid w:val="00085E7C"/>
    <w:rsid w:val="000873AE"/>
    <w:rsid w:val="00090564"/>
    <w:rsid w:val="00091F12"/>
    <w:rsid w:val="0009269C"/>
    <w:rsid w:val="00093D6C"/>
    <w:rsid w:val="0009438F"/>
    <w:rsid w:val="000962EC"/>
    <w:rsid w:val="00096D07"/>
    <w:rsid w:val="000A1725"/>
    <w:rsid w:val="000A1F60"/>
    <w:rsid w:val="000A20D2"/>
    <w:rsid w:val="000A2909"/>
    <w:rsid w:val="000A29ED"/>
    <w:rsid w:val="000A2A00"/>
    <w:rsid w:val="000A33A3"/>
    <w:rsid w:val="000A5943"/>
    <w:rsid w:val="000A6CB0"/>
    <w:rsid w:val="000A6E30"/>
    <w:rsid w:val="000B0CB7"/>
    <w:rsid w:val="000B1263"/>
    <w:rsid w:val="000B43C0"/>
    <w:rsid w:val="000B551A"/>
    <w:rsid w:val="000B7A1A"/>
    <w:rsid w:val="000C08CC"/>
    <w:rsid w:val="000C0B3F"/>
    <w:rsid w:val="000C1B2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D7229"/>
    <w:rsid w:val="000E0446"/>
    <w:rsid w:val="000E07DF"/>
    <w:rsid w:val="000E32DA"/>
    <w:rsid w:val="000E5B53"/>
    <w:rsid w:val="000E7936"/>
    <w:rsid w:val="000F1926"/>
    <w:rsid w:val="000F3905"/>
    <w:rsid w:val="000F3A16"/>
    <w:rsid w:val="000F4451"/>
    <w:rsid w:val="000F7B51"/>
    <w:rsid w:val="000F7BB3"/>
    <w:rsid w:val="00100A70"/>
    <w:rsid w:val="0010105D"/>
    <w:rsid w:val="00101222"/>
    <w:rsid w:val="00102FAB"/>
    <w:rsid w:val="0010332B"/>
    <w:rsid w:val="00106339"/>
    <w:rsid w:val="00106A41"/>
    <w:rsid w:val="00106E2A"/>
    <w:rsid w:val="00110099"/>
    <w:rsid w:val="001101BB"/>
    <w:rsid w:val="001156DD"/>
    <w:rsid w:val="00116206"/>
    <w:rsid w:val="001170EE"/>
    <w:rsid w:val="00121644"/>
    <w:rsid w:val="00121F4C"/>
    <w:rsid w:val="00123657"/>
    <w:rsid w:val="00123798"/>
    <w:rsid w:val="00123952"/>
    <w:rsid w:val="00124AB1"/>
    <w:rsid w:val="00124B46"/>
    <w:rsid w:val="00132B26"/>
    <w:rsid w:val="00132E83"/>
    <w:rsid w:val="00133246"/>
    <w:rsid w:val="00133263"/>
    <w:rsid w:val="0013484F"/>
    <w:rsid w:val="00134D0E"/>
    <w:rsid w:val="001350D0"/>
    <w:rsid w:val="00143C15"/>
    <w:rsid w:val="0014765F"/>
    <w:rsid w:val="00147FFE"/>
    <w:rsid w:val="001520EE"/>
    <w:rsid w:val="00152B14"/>
    <w:rsid w:val="00153671"/>
    <w:rsid w:val="001539CC"/>
    <w:rsid w:val="0015580C"/>
    <w:rsid w:val="00155E91"/>
    <w:rsid w:val="0016095A"/>
    <w:rsid w:val="00160C17"/>
    <w:rsid w:val="00163136"/>
    <w:rsid w:val="00163F91"/>
    <w:rsid w:val="001659B2"/>
    <w:rsid w:val="00165BB5"/>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4E65"/>
    <w:rsid w:val="0018663F"/>
    <w:rsid w:val="00191CE5"/>
    <w:rsid w:val="00192403"/>
    <w:rsid w:val="0019265E"/>
    <w:rsid w:val="00193D48"/>
    <w:rsid w:val="001940BF"/>
    <w:rsid w:val="001957F1"/>
    <w:rsid w:val="001A2112"/>
    <w:rsid w:val="001A25FA"/>
    <w:rsid w:val="001A35BC"/>
    <w:rsid w:val="001A5815"/>
    <w:rsid w:val="001A6FF1"/>
    <w:rsid w:val="001A7098"/>
    <w:rsid w:val="001B0FF1"/>
    <w:rsid w:val="001B24E9"/>
    <w:rsid w:val="001B325C"/>
    <w:rsid w:val="001B382C"/>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4B13"/>
    <w:rsid w:val="001C534C"/>
    <w:rsid w:val="001C5C09"/>
    <w:rsid w:val="001C6681"/>
    <w:rsid w:val="001C71E9"/>
    <w:rsid w:val="001C763F"/>
    <w:rsid w:val="001D2679"/>
    <w:rsid w:val="001D4386"/>
    <w:rsid w:val="001D4E4B"/>
    <w:rsid w:val="001D547B"/>
    <w:rsid w:val="001D757D"/>
    <w:rsid w:val="001D7A40"/>
    <w:rsid w:val="001D7B4D"/>
    <w:rsid w:val="001D7E3A"/>
    <w:rsid w:val="001E0CA6"/>
    <w:rsid w:val="001E2C18"/>
    <w:rsid w:val="001E3423"/>
    <w:rsid w:val="001E4870"/>
    <w:rsid w:val="001E5C06"/>
    <w:rsid w:val="001E5C0A"/>
    <w:rsid w:val="001E643D"/>
    <w:rsid w:val="001E6757"/>
    <w:rsid w:val="001E74DC"/>
    <w:rsid w:val="001E7A22"/>
    <w:rsid w:val="001F0FC7"/>
    <w:rsid w:val="001F19E8"/>
    <w:rsid w:val="001F1D09"/>
    <w:rsid w:val="001F59FC"/>
    <w:rsid w:val="001F5CF6"/>
    <w:rsid w:val="001F71F6"/>
    <w:rsid w:val="00203B36"/>
    <w:rsid w:val="00205B9C"/>
    <w:rsid w:val="00206CF2"/>
    <w:rsid w:val="00212595"/>
    <w:rsid w:val="00212919"/>
    <w:rsid w:val="0021469A"/>
    <w:rsid w:val="0021607C"/>
    <w:rsid w:val="00216421"/>
    <w:rsid w:val="00216CB4"/>
    <w:rsid w:val="00217178"/>
    <w:rsid w:val="002176F3"/>
    <w:rsid w:val="00224E37"/>
    <w:rsid w:val="00225068"/>
    <w:rsid w:val="002273E4"/>
    <w:rsid w:val="00227535"/>
    <w:rsid w:val="002275BF"/>
    <w:rsid w:val="0023174B"/>
    <w:rsid w:val="0023231D"/>
    <w:rsid w:val="00234429"/>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E02"/>
    <w:rsid w:val="00246EF2"/>
    <w:rsid w:val="0025111D"/>
    <w:rsid w:val="00251206"/>
    <w:rsid w:val="00251792"/>
    <w:rsid w:val="00252185"/>
    <w:rsid w:val="00254A8C"/>
    <w:rsid w:val="00255B55"/>
    <w:rsid w:val="002560D1"/>
    <w:rsid w:val="002566BF"/>
    <w:rsid w:val="00256A36"/>
    <w:rsid w:val="00256FF8"/>
    <w:rsid w:val="0025795E"/>
    <w:rsid w:val="002601F7"/>
    <w:rsid w:val="00260700"/>
    <w:rsid w:val="00261BFB"/>
    <w:rsid w:val="002639AA"/>
    <w:rsid w:val="002663FF"/>
    <w:rsid w:val="00272F2E"/>
    <w:rsid w:val="00274C4E"/>
    <w:rsid w:val="00274E18"/>
    <w:rsid w:val="002760B5"/>
    <w:rsid w:val="00276B6D"/>
    <w:rsid w:val="0028049A"/>
    <w:rsid w:val="00280F5A"/>
    <w:rsid w:val="002811CA"/>
    <w:rsid w:val="00281DF6"/>
    <w:rsid w:val="002820CB"/>
    <w:rsid w:val="00282E7A"/>
    <w:rsid w:val="00283F92"/>
    <w:rsid w:val="0028448E"/>
    <w:rsid w:val="00284E10"/>
    <w:rsid w:val="002852C1"/>
    <w:rsid w:val="00286DE5"/>
    <w:rsid w:val="002878B1"/>
    <w:rsid w:val="00290F90"/>
    <w:rsid w:val="00291B31"/>
    <w:rsid w:val="00292123"/>
    <w:rsid w:val="0029266B"/>
    <w:rsid w:val="00292A01"/>
    <w:rsid w:val="00292CA1"/>
    <w:rsid w:val="00294D87"/>
    <w:rsid w:val="00295420"/>
    <w:rsid w:val="00295A6C"/>
    <w:rsid w:val="00296144"/>
    <w:rsid w:val="00296DDF"/>
    <w:rsid w:val="00297C59"/>
    <w:rsid w:val="002A0E05"/>
    <w:rsid w:val="002A2E7C"/>
    <w:rsid w:val="002A5BE1"/>
    <w:rsid w:val="002A6320"/>
    <w:rsid w:val="002A6D82"/>
    <w:rsid w:val="002B0612"/>
    <w:rsid w:val="002B0A92"/>
    <w:rsid w:val="002B0B2B"/>
    <w:rsid w:val="002B0EE3"/>
    <w:rsid w:val="002B4D5F"/>
    <w:rsid w:val="002B65CB"/>
    <w:rsid w:val="002B7DBD"/>
    <w:rsid w:val="002C04FC"/>
    <w:rsid w:val="002C3088"/>
    <w:rsid w:val="002C4279"/>
    <w:rsid w:val="002C4E10"/>
    <w:rsid w:val="002C5D87"/>
    <w:rsid w:val="002C623A"/>
    <w:rsid w:val="002D01F1"/>
    <w:rsid w:val="002D0EEF"/>
    <w:rsid w:val="002D33EA"/>
    <w:rsid w:val="002D5703"/>
    <w:rsid w:val="002D74F7"/>
    <w:rsid w:val="002D77E0"/>
    <w:rsid w:val="002D77F1"/>
    <w:rsid w:val="002E239D"/>
    <w:rsid w:val="002E3989"/>
    <w:rsid w:val="002E53FE"/>
    <w:rsid w:val="002E5908"/>
    <w:rsid w:val="002E6B50"/>
    <w:rsid w:val="002E6EBF"/>
    <w:rsid w:val="002F1EA6"/>
    <w:rsid w:val="002F2AC6"/>
    <w:rsid w:val="002F2D34"/>
    <w:rsid w:val="002F3B5A"/>
    <w:rsid w:val="003016F9"/>
    <w:rsid w:val="003028B1"/>
    <w:rsid w:val="00303422"/>
    <w:rsid w:val="003040F7"/>
    <w:rsid w:val="00304A1E"/>
    <w:rsid w:val="00305071"/>
    <w:rsid w:val="00305F22"/>
    <w:rsid w:val="003065EF"/>
    <w:rsid w:val="0030754F"/>
    <w:rsid w:val="003077BF"/>
    <w:rsid w:val="0030784E"/>
    <w:rsid w:val="003133A9"/>
    <w:rsid w:val="003140AF"/>
    <w:rsid w:val="003140EC"/>
    <w:rsid w:val="003142D5"/>
    <w:rsid w:val="00315D08"/>
    <w:rsid w:val="0031642F"/>
    <w:rsid w:val="00317820"/>
    <w:rsid w:val="00320D8E"/>
    <w:rsid w:val="0032249D"/>
    <w:rsid w:val="00322B56"/>
    <w:rsid w:val="0032529A"/>
    <w:rsid w:val="0032576F"/>
    <w:rsid w:val="00326B76"/>
    <w:rsid w:val="0033337E"/>
    <w:rsid w:val="003334D5"/>
    <w:rsid w:val="003347FD"/>
    <w:rsid w:val="003365D8"/>
    <w:rsid w:val="00336F2F"/>
    <w:rsid w:val="00337348"/>
    <w:rsid w:val="00337C93"/>
    <w:rsid w:val="0034082E"/>
    <w:rsid w:val="00340B98"/>
    <w:rsid w:val="00341291"/>
    <w:rsid w:val="003449EF"/>
    <w:rsid w:val="00345476"/>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256"/>
    <w:rsid w:val="00362DFB"/>
    <w:rsid w:val="00364BA9"/>
    <w:rsid w:val="0036580F"/>
    <w:rsid w:val="00365A14"/>
    <w:rsid w:val="00365EBA"/>
    <w:rsid w:val="003669F9"/>
    <w:rsid w:val="00370D65"/>
    <w:rsid w:val="00371027"/>
    <w:rsid w:val="003726CE"/>
    <w:rsid w:val="003748F0"/>
    <w:rsid w:val="0037519A"/>
    <w:rsid w:val="00375C83"/>
    <w:rsid w:val="00375F1D"/>
    <w:rsid w:val="00380AF8"/>
    <w:rsid w:val="00380F06"/>
    <w:rsid w:val="0038248F"/>
    <w:rsid w:val="00382983"/>
    <w:rsid w:val="003839C6"/>
    <w:rsid w:val="00386300"/>
    <w:rsid w:val="00386368"/>
    <w:rsid w:val="003901AC"/>
    <w:rsid w:val="00391ABD"/>
    <w:rsid w:val="00393162"/>
    <w:rsid w:val="0039367A"/>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754B"/>
    <w:rsid w:val="003D7DA0"/>
    <w:rsid w:val="003E0848"/>
    <w:rsid w:val="003E0958"/>
    <w:rsid w:val="003E2267"/>
    <w:rsid w:val="003E440B"/>
    <w:rsid w:val="003E50F4"/>
    <w:rsid w:val="003E528F"/>
    <w:rsid w:val="003E5999"/>
    <w:rsid w:val="003E7429"/>
    <w:rsid w:val="003F2BF1"/>
    <w:rsid w:val="003F3964"/>
    <w:rsid w:val="003F3973"/>
    <w:rsid w:val="003F423A"/>
    <w:rsid w:val="003F426D"/>
    <w:rsid w:val="003F56A2"/>
    <w:rsid w:val="003F58E2"/>
    <w:rsid w:val="0040036B"/>
    <w:rsid w:val="00401F55"/>
    <w:rsid w:val="0040211C"/>
    <w:rsid w:val="00403724"/>
    <w:rsid w:val="00404F83"/>
    <w:rsid w:val="00405F77"/>
    <w:rsid w:val="0041108B"/>
    <w:rsid w:val="00412703"/>
    <w:rsid w:val="00412B89"/>
    <w:rsid w:val="00413277"/>
    <w:rsid w:val="0041411E"/>
    <w:rsid w:val="0041522D"/>
    <w:rsid w:val="004219B3"/>
    <w:rsid w:val="00421FCD"/>
    <w:rsid w:val="004221DD"/>
    <w:rsid w:val="00422789"/>
    <w:rsid w:val="00426521"/>
    <w:rsid w:val="00426A1B"/>
    <w:rsid w:val="00426C39"/>
    <w:rsid w:val="00431F3C"/>
    <w:rsid w:val="004335E9"/>
    <w:rsid w:val="00433F2D"/>
    <w:rsid w:val="00434285"/>
    <w:rsid w:val="0043646A"/>
    <w:rsid w:val="004369AE"/>
    <w:rsid w:val="00436E76"/>
    <w:rsid w:val="004412C5"/>
    <w:rsid w:val="00442228"/>
    <w:rsid w:val="00442493"/>
    <w:rsid w:val="004427FF"/>
    <w:rsid w:val="00450333"/>
    <w:rsid w:val="00450F86"/>
    <w:rsid w:val="00451599"/>
    <w:rsid w:val="00452E62"/>
    <w:rsid w:val="00454455"/>
    <w:rsid w:val="004559BE"/>
    <w:rsid w:val="004559F3"/>
    <w:rsid w:val="0045763A"/>
    <w:rsid w:val="00460F11"/>
    <w:rsid w:val="004610C0"/>
    <w:rsid w:val="00461BA0"/>
    <w:rsid w:val="004621AA"/>
    <w:rsid w:val="00462E5D"/>
    <w:rsid w:val="004641AB"/>
    <w:rsid w:val="00465056"/>
    <w:rsid w:val="00465311"/>
    <w:rsid w:val="0046560D"/>
    <w:rsid w:val="00466282"/>
    <w:rsid w:val="0046778E"/>
    <w:rsid w:val="00470BE5"/>
    <w:rsid w:val="00471E92"/>
    <w:rsid w:val="0047236B"/>
    <w:rsid w:val="00472FC1"/>
    <w:rsid w:val="00473210"/>
    <w:rsid w:val="00473C44"/>
    <w:rsid w:val="004740F7"/>
    <w:rsid w:val="00474615"/>
    <w:rsid w:val="00474815"/>
    <w:rsid w:val="00474952"/>
    <w:rsid w:val="00480564"/>
    <w:rsid w:val="00481BBA"/>
    <w:rsid w:val="0048336C"/>
    <w:rsid w:val="004843DE"/>
    <w:rsid w:val="004847E7"/>
    <w:rsid w:val="00484CEF"/>
    <w:rsid w:val="00484EC8"/>
    <w:rsid w:val="00484F52"/>
    <w:rsid w:val="004860A4"/>
    <w:rsid w:val="00487860"/>
    <w:rsid w:val="0049019E"/>
    <w:rsid w:val="004901EE"/>
    <w:rsid w:val="00491FDE"/>
    <w:rsid w:val="0049407E"/>
    <w:rsid w:val="00496082"/>
    <w:rsid w:val="004960F6"/>
    <w:rsid w:val="00496383"/>
    <w:rsid w:val="00496504"/>
    <w:rsid w:val="00496560"/>
    <w:rsid w:val="004A1BF2"/>
    <w:rsid w:val="004A1EEB"/>
    <w:rsid w:val="004A303B"/>
    <w:rsid w:val="004A3737"/>
    <w:rsid w:val="004A4A82"/>
    <w:rsid w:val="004A5F51"/>
    <w:rsid w:val="004A7359"/>
    <w:rsid w:val="004A777D"/>
    <w:rsid w:val="004B1C73"/>
    <w:rsid w:val="004B3429"/>
    <w:rsid w:val="004B3E36"/>
    <w:rsid w:val="004B5A11"/>
    <w:rsid w:val="004B6450"/>
    <w:rsid w:val="004C04E4"/>
    <w:rsid w:val="004C13DA"/>
    <w:rsid w:val="004C1B27"/>
    <w:rsid w:val="004C2D39"/>
    <w:rsid w:val="004C3E1A"/>
    <w:rsid w:val="004C3E43"/>
    <w:rsid w:val="004C437C"/>
    <w:rsid w:val="004C5412"/>
    <w:rsid w:val="004C61D7"/>
    <w:rsid w:val="004C6718"/>
    <w:rsid w:val="004C6BFE"/>
    <w:rsid w:val="004C71CB"/>
    <w:rsid w:val="004C729E"/>
    <w:rsid w:val="004C78EB"/>
    <w:rsid w:val="004D218E"/>
    <w:rsid w:val="004D3434"/>
    <w:rsid w:val="004D45B4"/>
    <w:rsid w:val="004D7D25"/>
    <w:rsid w:val="004E0304"/>
    <w:rsid w:val="004E18B7"/>
    <w:rsid w:val="004E29B4"/>
    <w:rsid w:val="004E67B5"/>
    <w:rsid w:val="004E72FC"/>
    <w:rsid w:val="004E77F5"/>
    <w:rsid w:val="004F0AF8"/>
    <w:rsid w:val="004F0BF8"/>
    <w:rsid w:val="004F1EB2"/>
    <w:rsid w:val="004F4096"/>
    <w:rsid w:val="004F579F"/>
    <w:rsid w:val="004F67AD"/>
    <w:rsid w:val="004F730B"/>
    <w:rsid w:val="00500517"/>
    <w:rsid w:val="005016D5"/>
    <w:rsid w:val="0050206C"/>
    <w:rsid w:val="00502161"/>
    <w:rsid w:val="00503721"/>
    <w:rsid w:val="00503C13"/>
    <w:rsid w:val="00503D27"/>
    <w:rsid w:val="00505696"/>
    <w:rsid w:val="005061D9"/>
    <w:rsid w:val="00507461"/>
    <w:rsid w:val="0050787B"/>
    <w:rsid w:val="005107BF"/>
    <w:rsid w:val="005142BF"/>
    <w:rsid w:val="00515C7C"/>
    <w:rsid w:val="005162DE"/>
    <w:rsid w:val="00516BC5"/>
    <w:rsid w:val="00517032"/>
    <w:rsid w:val="0052012E"/>
    <w:rsid w:val="00520532"/>
    <w:rsid w:val="005207C0"/>
    <w:rsid w:val="00521A89"/>
    <w:rsid w:val="005222F8"/>
    <w:rsid w:val="0052384C"/>
    <w:rsid w:val="00523CCE"/>
    <w:rsid w:val="0052444F"/>
    <w:rsid w:val="0052511B"/>
    <w:rsid w:val="00525469"/>
    <w:rsid w:val="005278AA"/>
    <w:rsid w:val="0053011D"/>
    <w:rsid w:val="00530F38"/>
    <w:rsid w:val="0053146D"/>
    <w:rsid w:val="005327DC"/>
    <w:rsid w:val="00533C78"/>
    <w:rsid w:val="005345DC"/>
    <w:rsid w:val="005352BB"/>
    <w:rsid w:val="005369EE"/>
    <w:rsid w:val="005377ED"/>
    <w:rsid w:val="0054259D"/>
    <w:rsid w:val="00542865"/>
    <w:rsid w:val="00544756"/>
    <w:rsid w:val="00545577"/>
    <w:rsid w:val="005466EF"/>
    <w:rsid w:val="005466FC"/>
    <w:rsid w:val="00546BAB"/>
    <w:rsid w:val="00551C9A"/>
    <w:rsid w:val="0055287A"/>
    <w:rsid w:val="00552AF8"/>
    <w:rsid w:val="00553965"/>
    <w:rsid w:val="00554A13"/>
    <w:rsid w:val="00555DB2"/>
    <w:rsid w:val="00555E25"/>
    <w:rsid w:val="0055669D"/>
    <w:rsid w:val="00560D1E"/>
    <w:rsid w:val="00560EA1"/>
    <w:rsid w:val="005611AE"/>
    <w:rsid w:val="00562E5F"/>
    <w:rsid w:val="00563077"/>
    <w:rsid w:val="0056342A"/>
    <w:rsid w:val="00565C12"/>
    <w:rsid w:val="00565DCD"/>
    <w:rsid w:val="0056619B"/>
    <w:rsid w:val="00567DE0"/>
    <w:rsid w:val="00570235"/>
    <w:rsid w:val="0057057A"/>
    <w:rsid w:val="00571C06"/>
    <w:rsid w:val="005727A8"/>
    <w:rsid w:val="005729FC"/>
    <w:rsid w:val="00574111"/>
    <w:rsid w:val="00574179"/>
    <w:rsid w:val="00574A6B"/>
    <w:rsid w:val="005763EF"/>
    <w:rsid w:val="00576445"/>
    <w:rsid w:val="00580A04"/>
    <w:rsid w:val="00580F09"/>
    <w:rsid w:val="00585407"/>
    <w:rsid w:val="005866CB"/>
    <w:rsid w:val="00586A55"/>
    <w:rsid w:val="00587486"/>
    <w:rsid w:val="00587DC9"/>
    <w:rsid w:val="0059086A"/>
    <w:rsid w:val="00591622"/>
    <w:rsid w:val="0059190F"/>
    <w:rsid w:val="00591BA2"/>
    <w:rsid w:val="005927BF"/>
    <w:rsid w:val="00592E04"/>
    <w:rsid w:val="005934CA"/>
    <w:rsid w:val="005940EE"/>
    <w:rsid w:val="005960C0"/>
    <w:rsid w:val="00596B8D"/>
    <w:rsid w:val="00597E96"/>
    <w:rsid w:val="005A07F3"/>
    <w:rsid w:val="005A0E73"/>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0D0F"/>
    <w:rsid w:val="005C1343"/>
    <w:rsid w:val="005C1724"/>
    <w:rsid w:val="005C191E"/>
    <w:rsid w:val="005C2262"/>
    <w:rsid w:val="005C2DB2"/>
    <w:rsid w:val="005C2FF9"/>
    <w:rsid w:val="005C31CE"/>
    <w:rsid w:val="005C46F1"/>
    <w:rsid w:val="005C4D77"/>
    <w:rsid w:val="005C529A"/>
    <w:rsid w:val="005C5AFC"/>
    <w:rsid w:val="005D0643"/>
    <w:rsid w:val="005D0FAD"/>
    <w:rsid w:val="005D14C8"/>
    <w:rsid w:val="005D4774"/>
    <w:rsid w:val="005D5EB5"/>
    <w:rsid w:val="005D743F"/>
    <w:rsid w:val="005D75BA"/>
    <w:rsid w:val="005E056D"/>
    <w:rsid w:val="005E59B7"/>
    <w:rsid w:val="005E5A55"/>
    <w:rsid w:val="005E6305"/>
    <w:rsid w:val="005F21A7"/>
    <w:rsid w:val="005F2F57"/>
    <w:rsid w:val="005F4272"/>
    <w:rsid w:val="005F527A"/>
    <w:rsid w:val="005F5293"/>
    <w:rsid w:val="005F5711"/>
    <w:rsid w:val="005F5E79"/>
    <w:rsid w:val="005F6A2E"/>
    <w:rsid w:val="005F7ACC"/>
    <w:rsid w:val="006031B6"/>
    <w:rsid w:val="00603268"/>
    <w:rsid w:val="00603B5B"/>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27618"/>
    <w:rsid w:val="006319EE"/>
    <w:rsid w:val="00631B58"/>
    <w:rsid w:val="00631FA9"/>
    <w:rsid w:val="00632CC3"/>
    <w:rsid w:val="00633620"/>
    <w:rsid w:val="0063499A"/>
    <w:rsid w:val="006360E8"/>
    <w:rsid w:val="00636D99"/>
    <w:rsid w:val="006376CA"/>
    <w:rsid w:val="0064243C"/>
    <w:rsid w:val="006424EA"/>
    <w:rsid w:val="00642546"/>
    <w:rsid w:val="00642F94"/>
    <w:rsid w:val="00644609"/>
    <w:rsid w:val="0064695A"/>
    <w:rsid w:val="00646997"/>
    <w:rsid w:val="00647A37"/>
    <w:rsid w:val="00647B93"/>
    <w:rsid w:val="006502BD"/>
    <w:rsid w:val="006505B7"/>
    <w:rsid w:val="00650C25"/>
    <w:rsid w:val="00651D73"/>
    <w:rsid w:val="00652115"/>
    <w:rsid w:val="0065310A"/>
    <w:rsid w:val="00653574"/>
    <w:rsid w:val="00654181"/>
    <w:rsid w:val="00654ECC"/>
    <w:rsid w:val="00654FFF"/>
    <w:rsid w:val="006566FA"/>
    <w:rsid w:val="00661315"/>
    <w:rsid w:val="006638AD"/>
    <w:rsid w:val="0066559D"/>
    <w:rsid w:val="0066722F"/>
    <w:rsid w:val="00667644"/>
    <w:rsid w:val="00671BEC"/>
    <w:rsid w:val="00672E7F"/>
    <w:rsid w:val="00673653"/>
    <w:rsid w:val="006737F8"/>
    <w:rsid w:val="00673869"/>
    <w:rsid w:val="00675058"/>
    <w:rsid w:val="006753B9"/>
    <w:rsid w:val="00675D7D"/>
    <w:rsid w:val="0068085D"/>
    <w:rsid w:val="00680BD4"/>
    <w:rsid w:val="006811F2"/>
    <w:rsid w:val="00681EDE"/>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700"/>
    <w:rsid w:val="006B1EAD"/>
    <w:rsid w:val="006B26C8"/>
    <w:rsid w:val="006B49B9"/>
    <w:rsid w:val="006B4ECF"/>
    <w:rsid w:val="006B6008"/>
    <w:rsid w:val="006B6599"/>
    <w:rsid w:val="006B7CD4"/>
    <w:rsid w:val="006C08A7"/>
    <w:rsid w:val="006C204D"/>
    <w:rsid w:val="006C3AE4"/>
    <w:rsid w:val="006C516A"/>
    <w:rsid w:val="006C5C25"/>
    <w:rsid w:val="006C7122"/>
    <w:rsid w:val="006D05DF"/>
    <w:rsid w:val="006D0753"/>
    <w:rsid w:val="006D087F"/>
    <w:rsid w:val="006D0959"/>
    <w:rsid w:val="006D79EE"/>
    <w:rsid w:val="006E09E2"/>
    <w:rsid w:val="006E0CC9"/>
    <w:rsid w:val="006E1B44"/>
    <w:rsid w:val="006E248E"/>
    <w:rsid w:val="006E2B67"/>
    <w:rsid w:val="006E3C7A"/>
    <w:rsid w:val="006E57EE"/>
    <w:rsid w:val="006E63BC"/>
    <w:rsid w:val="006E663C"/>
    <w:rsid w:val="006E69A4"/>
    <w:rsid w:val="006E6CF9"/>
    <w:rsid w:val="006E6E39"/>
    <w:rsid w:val="006E7F39"/>
    <w:rsid w:val="006F32A6"/>
    <w:rsid w:val="006F4B01"/>
    <w:rsid w:val="0070198F"/>
    <w:rsid w:val="00702576"/>
    <w:rsid w:val="007029F8"/>
    <w:rsid w:val="00702D4E"/>
    <w:rsid w:val="00702E1D"/>
    <w:rsid w:val="00706007"/>
    <w:rsid w:val="00711AE5"/>
    <w:rsid w:val="00712417"/>
    <w:rsid w:val="00713EA6"/>
    <w:rsid w:val="00716901"/>
    <w:rsid w:val="0072151A"/>
    <w:rsid w:val="007219A3"/>
    <w:rsid w:val="00723747"/>
    <w:rsid w:val="00723D97"/>
    <w:rsid w:val="00724E0B"/>
    <w:rsid w:val="007255A2"/>
    <w:rsid w:val="00736D88"/>
    <w:rsid w:val="00740C98"/>
    <w:rsid w:val="00745219"/>
    <w:rsid w:val="0074523B"/>
    <w:rsid w:val="0074539A"/>
    <w:rsid w:val="00747446"/>
    <w:rsid w:val="00747BB0"/>
    <w:rsid w:val="00747E7D"/>
    <w:rsid w:val="00751256"/>
    <w:rsid w:val="00751AEA"/>
    <w:rsid w:val="007541ED"/>
    <w:rsid w:val="00756308"/>
    <w:rsid w:val="00756D85"/>
    <w:rsid w:val="007605FC"/>
    <w:rsid w:val="00761293"/>
    <w:rsid w:val="00762466"/>
    <w:rsid w:val="00762A63"/>
    <w:rsid w:val="00765503"/>
    <w:rsid w:val="00765C87"/>
    <w:rsid w:val="007700A6"/>
    <w:rsid w:val="0077220C"/>
    <w:rsid w:val="007722B9"/>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959DC"/>
    <w:rsid w:val="007A0E00"/>
    <w:rsid w:val="007A1A8E"/>
    <w:rsid w:val="007A1D16"/>
    <w:rsid w:val="007A1E7B"/>
    <w:rsid w:val="007A24C2"/>
    <w:rsid w:val="007A31ED"/>
    <w:rsid w:val="007A3279"/>
    <w:rsid w:val="007A54CA"/>
    <w:rsid w:val="007A55FF"/>
    <w:rsid w:val="007B0B22"/>
    <w:rsid w:val="007B15AC"/>
    <w:rsid w:val="007B2540"/>
    <w:rsid w:val="007B2A7A"/>
    <w:rsid w:val="007B363B"/>
    <w:rsid w:val="007B4C84"/>
    <w:rsid w:val="007C3690"/>
    <w:rsid w:val="007C4543"/>
    <w:rsid w:val="007C4A83"/>
    <w:rsid w:val="007C6B84"/>
    <w:rsid w:val="007C78ED"/>
    <w:rsid w:val="007D32AF"/>
    <w:rsid w:val="007D401D"/>
    <w:rsid w:val="007D4652"/>
    <w:rsid w:val="007D4AD9"/>
    <w:rsid w:val="007D57A9"/>
    <w:rsid w:val="007D6403"/>
    <w:rsid w:val="007D6DEE"/>
    <w:rsid w:val="007D7C92"/>
    <w:rsid w:val="007E063B"/>
    <w:rsid w:val="007E29D2"/>
    <w:rsid w:val="007E2EC1"/>
    <w:rsid w:val="007E3E27"/>
    <w:rsid w:val="007E6981"/>
    <w:rsid w:val="007E7EB3"/>
    <w:rsid w:val="007F165C"/>
    <w:rsid w:val="007F474C"/>
    <w:rsid w:val="007F78EF"/>
    <w:rsid w:val="007F7932"/>
    <w:rsid w:val="00804A29"/>
    <w:rsid w:val="00806667"/>
    <w:rsid w:val="0081231E"/>
    <w:rsid w:val="00814010"/>
    <w:rsid w:val="0081493B"/>
    <w:rsid w:val="0081603A"/>
    <w:rsid w:val="0081695B"/>
    <w:rsid w:val="00816D69"/>
    <w:rsid w:val="00816DDF"/>
    <w:rsid w:val="00817E7B"/>
    <w:rsid w:val="008207EB"/>
    <w:rsid w:val="008216F1"/>
    <w:rsid w:val="00821723"/>
    <w:rsid w:val="0082437D"/>
    <w:rsid w:val="00825124"/>
    <w:rsid w:val="0082553D"/>
    <w:rsid w:val="00825851"/>
    <w:rsid w:val="00827378"/>
    <w:rsid w:val="00832BB6"/>
    <w:rsid w:val="00833004"/>
    <w:rsid w:val="0083376A"/>
    <w:rsid w:val="0083382D"/>
    <w:rsid w:val="0083503D"/>
    <w:rsid w:val="00835EFB"/>
    <w:rsid w:val="008366DE"/>
    <w:rsid w:val="00837868"/>
    <w:rsid w:val="00840AF2"/>
    <w:rsid w:val="00840E5C"/>
    <w:rsid w:val="0084230E"/>
    <w:rsid w:val="00845E92"/>
    <w:rsid w:val="008508B8"/>
    <w:rsid w:val="008539A7"/>
    <w:rsid w:val="008542D4"/>
    <w:rsid w:val="008548F4"/>
    <w:rsid w:val="008556EF"/>
    <w:rsid w:val="008568F5"/>
    <w:rsid w:val="00860E67"/>
    <w:rsid w:val="00861A0B"/>
    <w:rsid w:val="008638F1"/>
    <w:rsid w:val="00863D64"/>
    <w:rsid w:val="00866660"/>
    <w:rsid w:val="00876763"/>
    <w:rsid w:val="0087712A"/>
    <w:rsid w:val="0088199E"/>
    <w:rsid w:val="00881DBE"/>
    <w:rsid w:val="00882623"/>
    <w:rsid w:val="008827CF"/>
    <w:rsid w:val="00882D55"/>
    <w:rsid w:val="00883A00"/>
    <w:rsid w:val="00884B48"/>
    <w:rsid w:val="00884FD1"/>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443"/>
    <w:rsid w:val="008C266F"/>
    <w:rsid w:val="008C287C"/>
    <w:rsid w:val="008C2C4A"/>
    <w:rsid w:val="008C3884"/>
    <w:rsid w:val="008C411C"/>
    <w:rsid w:val="008C67DB"/>
    <w:rsid w:val="008D1FB6"/>
    <w:rsid w:val="008D3027"/>
    <w:rsid w:val="008D37BB"/>
    <w:rsid w:val="008D43B2"/>
    <w:rsid w:val="008D5974"/>
    <w:rsid w:val="008D6DF4"/>
    <w:rsid w:val="008D7E1D"/>
    <w:rsid w:val="008E376D"/>
    <w:rsid w:val="008E391B"/>
    <w:rsid w:val="008E4D5F"/>
    <w:rsid w:val="008E52EB"/>
    <w:rsid w:val="008E599C"/>
    <w:rsid w:val="008E6B2B"/>
    <w:rsid w:val="008E6C12"/>
    <w:rsid w:val="008F0EF5"/>
    <w:rsid w:val="008F2AB2"/>
    <w:rsid w:val="008F42D3"/>
    <w:rsid w:val="008F46E3"/>
    <w:rsid w:val="008F663E"/>
    <w:rsid w:val="008F7DF1"/>
    <w:rsid w:val="0090119B"/>
    <w:rsid w:val="009063A2"/>
    <w:rsid w:val="00906F18"/>
    <w:rsid w:val="00910044"/>
    <w:rsid w:val="00910EAF"/>
    <w:rsid w:val="0091173B"/>
    <w:rsid w:val="0091278A"/>
    <w:rsid w:val="00915C38"/>
    <w:rsid w:val="00915CDB"/>
    <w:rsid w:val="00916997"/>
    <w:rsid w:val="0092105D"/>
    <w:rsid w:val="00921075"/>
    <w:rsid w:val="00924712"/>
    <w:rsid w:val="00925AC4"/>
    <w:rsid w:val="00925EB0"/>
    <w:rsid w:val="00926B32"/>
    <w:rsid w:val="009276C7"/>
    <w:rsid w:val="00933091"/>
    <w:rsid w:val="00933712"/>
    <w:rsid w:val="00933918"/>
    <w:rsid w:val="00935A2D"/>
    <w:rsid w:val="0093602D"/>
    <w:rsid w:val="0093638E"/>
    <w:rsid w:val="00936C55"/>
    <w:rsid w:val="00940047"/>
    <w:rsid w:val="00940445"/>
    <w:rsid w:val="00941A8E"/>
    <w:rsid w:val="00942270"/>
    <w:rsid w:val="009434BC"/>
    <w:rsid w:val="00943867"/>
    <w:rsid w:val="00944DE6"/>
    <w:rsid w:val="00944E7F"/>
    <w:rsid w:val="00946D54"/>
    <w:rsid w:val="00950247"/>
    <w:rsid w:val="009503CA"/>
    <w:rsid w:val="00951161"/>
    <w:rsid w:val="00952EC1"/>
    <w:rsid w:val="00953C37"/>
    <w:rsid w:val="0095451F"/>
    <w:rsid w:val="00954811"/>
    <w:rsid w:val="00954DC3"/>
    <w:rsid w:val="0095546A"/>
    <w:rsid w:val="00956220"/>
    <w:rsid w:val="00957997"/>
    <w:rsid w:val="0096000A"/>
    <w:rsid w:val="00961BAB"/>
    <w:rsid w:val="00962406"/>
    <w:rsid w:val="009630CB"/>
    <w:rsid w:val="00970E0B"/>
    <w:rsid w:val="00972688"/>
    <w:rsid w:val="0097394D"/>
    <w:rsid w:val="00973D8A"/>
    <w:rsid w:val="00974BF6"/>
    <w:rsid w:val="00974E9B"/>
    <w:rsid w:val="009751A1"/>
    <w:rsid w:val="00975A4E"/>
    <w:rsid w:val="00976ED6"/>
    <w:rsid w:val="00977F15"/>
    <w:rsid w:val="00981F8F"/>
    <w:rsid w:val="00982AB4"/>
    <w:rsid w:val="009831C0"/>
    <w:rsid w:val="0098321A"/>
    <w:rsid w:val="00983803"/>
    <w:rsid w:val="00983D9E"/>
    <w:rsid w:val="00984F2F"/>
    <w:rsid w:val="009853C7"/>
    <w:rsid w:val="009856BF"/>
    <w:rsid w:val="00985C5E"/>
    <w:rsid w:val="00986228"/>
    <w:rsid w:val="0099130E"/>
    <w:rsid w:val="00991803"/>
    <w:rsid w:val="00992214"/>
    <w:rsid w:val="00993340"/>
    <w:rsid w:val="00995D81"/>
    <w:rsid w:val="009A37CC"/>
    <w:rsid w:val="009A3FCC"/>
    <w:rsid w:val="009A469B"/>
    <w:rsid w:val="009A4963"/>
    <w:rsid w:val="009A56DF"/>
    <w:rsid w:val="009A6AF9"/>
    <w:rsid w:val="009B02B0"/>
    <w:rsid w:val="009B2AF9"/>
    <w:rsid w:val="009B364D"/>
    <w:rsid w:val="009B4D8D"/>
    <w:rsid w:val="009C046D"/>
    <w:rsid w:val="009C05B1"/>
    <w:rsid w:val="009C0D20"/>
    <w:rsid w:val="009C3BC4"/>
    <w:rsid w:val="009C6BDF"/>
    <w:rsid w:val="009C702B"/>
    <w:rsid w:val="009C71EA"/>
    <w:rsid w:val="009D2D13"/>
    <w:rsid w:val="009D5052"/>
    <w:rsid w:val="009D5FD5"/>
    <w:rsid w:val="009D5FD6"/>
    <w:rsid w:val="009D7533"/>
    <w:rsid w:val="009D7980"/>
    <w:rsid w:val="009E00BF"/>
    <w:rsid w:val="009E1102"/>
    <w:rsid w:val="009E2BCB"/>
    <w:rsid w:val="009E2DCF"/>
    <w:rsid w:val="009E42D9"/>
    <w:rsid w:val="009E52E5"/>
    <w:rsid w:val="009E58E9"/>
    <w:rsid w:val="009E5D6D"/>
    <w:rsid w:val="009E610B"/>
    <w:rsid w:val="009E674F"/>
    <w:rsid w:val="009E6B25"/>
    <w:rsid w:val="009E7547"/>
    <w:rsid w:val="009F0921"/>
    <w:rsid w:val="009F0F96"/>
    <w:rsid w:val="009F1AD3"/>
    <w:rsid w:val="009F1C5B"/>
    <w:rsid w:val="009F6F49"/>
    <w:rsid w:val="00A00C29"/>
    <w:rsid w:val="00A02103"/>
    <w:rsid w:val="00A021F9"/>
    <w:rsid w:val="00A03BCD"/>
    <w:rsid w:val="00A0425C"/>
    <w:rsid w:val="00A051B2"/>
    <w:rsid w:val="00A054DB"/>
    <w:rsid w:val="00A06276"/>
    <w:rsid w:val="00A07986"/>
    <w:rsid w:val="00A10AE0"/>
    <w:rsid w:val="00A10B97"/>
    <w:rsid w:val="00A10F6B"/>
    <w:rsid w:val="00A12CC2"/>
    <w:rsid w:val="00A12EFE"/>
    <w:rsid w:val="00A13784"/>
    <w:rsid w:val="00A145D6"/>
    <w:rsid w:val="00A16B4B"/>
    <w:rsid w:val="00A174ED"/>
    <w:rsid w:val="00A21A0F"/>
    <w:rsid w:val="00A21F91"/>
    <w:rsid w:val="00A23B3A"/>
    <w:rsid w:val="00A242CA"/>
    <w:rsid w:val="00A24418"/>
    <w:rsid w:val="00A24D48"/>
    <w:rsid w:val="00A27078"/>
    <w:rsid w:val="00A27FCF"/>
    <w:rsid w:val="00A30B99"/>
    <w:rsid w:val="00A30E02"/>
    <w:rsid w:val="00A3127B"/>
    <w:rsid w:val="00A317A4"/>
    <w:rsid w:val="00A319AA"/>
    <w:rsid w:val="00A37185"/>
    <w:rsid w:val="00A41940"/>
    <w:rsid w:val="00A41C43"/>
    <w:rsid w:val="00A41EE8"/>
    <w:rsid w:val="00A442B2"/>
    <w:rsid w:val="00A44F39"/>
    <w:rsid w:val="00A45770"/>
    <w:rsid w:val="00A50EF1"/>
    <w:rsid w:val="00A528DB"/>
    <w:rsid w:val="00A52ED4"/>
    <w:rsid w:val="00A54337"/>
    <w:rsid w:val="00A609E2"/>
    <w:rsid w:val="00A60A7A"/>
    <w:rsid w:val="00A60C01"/>
    <w:rsid w:val="00A60ECB"/>
    <w:rsid w:val="00A61C0F"/>
    <w:rsid w:val="00A663C6"/>
    <w:rsid w:val="00A718A6"/>
    <w:rsid w:val="00A72462"/>
    <w:rsid w:val="00A759F3"/>
    <w:rsid w:val="00A75B94"/>
    <w:rsid w:val="00A763F6"/>
    <w:rsid w:val="00A80B51"/>
    <w:rsid w:val="00A81861"/>
    <w:rsid w:val="00A81F2E"/>
    <w:rsid w:val="00A82BC6"/>
    <w:rsid w:val="00A82C11"/>
    <w:rsid w:val="00A832BA"/>
    <w:rsid w:val="00A83E90"/>
    <w:rsid w:val="00A84105"/>
    <w:rsid w:val="00A86CCA"/>
    <w:rsid w:val="00A86CF4"/>
    <w:rsid w:val="00A87523"/>
    <w:rsid w:val="00A87E1D"/>
    <w:rsid w:val="00A927A3"/>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158"/>
    <w:rsid w:val="00AD220C"/>
    <w:rsid w:val="00AD372D"/>
    <w:rsid w:val="00AE0F61"/>
    <w:rsid w:val="00AE34CA"/>
    <w:rsid w:val="00AE539A"/>
    <w:rsid w:val="00AF062B"/>
    <w:rsid w:val="00AF0AA9"/>
    <w:rsid w:val="00AF0F15"/>
    <w:rsid w:val="00AF115C"/>
    <w:rsid w:val="00AF1EA9"/>
    <w:rsid w:val="00AF20C1"/>
    <w:rsid w:val="00AF2223"/>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35B"/>
    <w:rsid w:val="00B14FC5"/>
    <w:rsid w:val="00B153D9"/>
    <w:rsid w:val="00B1718B"/>
    <w:rsid w:val="00B1745B"/>
    <w:rsid w:val="00B17FB3"/>
    <w:rsid w:val="00B20718"/>
    <w:rsid w:val="00B20966"/>
    <w:rsid w:val="00B250E9"/>
    <w:rsid w:val="00B27F16"/>
    <w:rsid w:val="00B31BDD"/>
    <w:rsid w:val="00B33271"/>
    <w:rsid w:val="00B3403A"/>
    <w:rsid w:val="00B355D7"/>
    <w:rsid w:val="00B35613"/>
    <w:rsid w:val="00B35EF0"/>
    <w:rsid w:val="00B36CD0"/>
    <w:rsid w:val="00B37780"/>
    <w:rsid w:val="00B37DB9"/>
    <w:rsid w:val="00B4162E"/>
    <w:rsid w:val="00B4209C"/>
    <w:rsid w:val="00B47646"/>
    <w:rsid w:val="00B510B2"/>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5D2B"/>
    <w:rsid w:val="00B663F3"/>
    <w:rsid w:val="00B6654C"/>
    <w:rsid w:val="00B668D3"/>
    <w:rsid w:val="00B66CFB"/>
    <w:rsid w:val="00B67941"/>
    <w:rsid w:val="00B67A8D"/>
    <w:rsid w:val="00B7190B"/>
    <w:rsid w:val="00B73EAB"/>
    <w:rsid w:val="00B763C4"/>
    <w:rsid w:val="00B76DBF"/>
    <w:rsid w:val="00B81F81"/>
    <w:rsid w:val="00B82072"/>
    <w:rsid w:val="00B83C51"/>
    <w:rsid w:val="00B85E71"/>
    <w:rsid w:val="00B92B50"/>
    <w:rsid w:val="00B9426A"/>
    <w:rsid w:val="00B94696"/>
    <w:rsid w:val="00B949B9"/>
    <w:rsid w:val="00B9530C"/>
    <w:rsid w:val="00B962A6"/>
    <w:rsid w:val="00B96B78"/>
    <w:rsid w:val="00B973A6"/>
    <w:rsid w:val="00BA04AB"/>
    <w:rsid w:val="00BA09C2"/>
    <w:rsid w:val="00BA29CC"/>
    <w:rsid w:val="00BA30EC"/>
    <w:rsid w:val="00BA60E1"/>
    <w:rsid w:val="00BA6121"/>
    <w:rsid w:val="00BA6822"/>
    <w:rsid w:val="00BA72D6"/>
    <w:rsid w:val="00BA7974"/>
    <w:rsid w:val="00BB0128"/>
    <w:rsid w:val="00BB23E1"/>
    <w:rsid w:val="00BB3198"/>
    <w:rsid w:val="00BB5A42"/>
    <w:rsid w:val="00BB5AE5"/>
    <w:rsid w:val="00BB6B02"/>
    <w:rsid w:val="00BC0E97"/>
    <w:rsid w:val="00BC1F59"/>
    <w:rsid w:val="00BC2898"/>
    <w:rsid w:val="00BC34E2"/>
    <w:rsid w:val="00BC5CAC"/>
    <w:rsid w:val="00BC78AF"/>
    <w:rsid w:val="00BC7C3C"/>
    <w:rsid w:val="00BD040D"/>
    <w:rsid w:val="00BD0480"/>
    <w:rsid w:val="00BD0523"/>
    <w:rsid w:val="00BD05FD"/>
    <w:rsid w:val="00BD1364"/>
    <w:rsid w:val="00BD2711"/>
    <w:rsid w:val="00BD2F04"/>
    <w:rsid w:val="00BD321B"/>
    <w:rsid w:val="00BD3FAF"/>
    <w:rsid w:val="00BD4939"/>
    <w:rsid w:val="00BD4A09"/>
    <w:rsid w:val="00BD54BB"/>
    <w:rsid w:val="00BD57FF"/>
    <w:rsid w:val="00BD67ED"/>
    <w:rsid w:val="00BE0098"/>
    <w:rsid w:val="00BE05B0"/>
    <w:rsid w:val="00BE0D77"/>
    <w:rsid w:val="00BE35F1"/>
    <w:rsid w:val="00BE3FFF"/>
    <w:rsid w:val="00BE4033"/>
    <w:rsid w:val="00BE5432"/>
    <w:rsid w:val="00BE569A"/>
    <w:rsid w:val="00BE6240"/>
    <w:rsid w:val="00BE6731"/>
    <w:rsid w:val="00BE676B"/>
    <w:rsid w:val="00BE76F1"/>
    <w:rsid w:val="00BE7994"/>
    <w:rsid w:val="00BF0867"/>
    <w:rsid w:val="00BF09FF"/>
    <w:rsid w:val="00BF1B84"/>
    <w:rsid w:val="00BF383A"/>
    <w:rsid w:val="00BF3CF9"/>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4DFC"/>
    <w:rsid w:val="00C1564F"/>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4CF"/>
    <w:rsid w:val="00C43AF5"/>
    <w:rsid w:val="00C442A6"/>
    <w:rsid w:val="00C44583"/>
    <w:rsid w:val="00C454BB"/>
    <w:rsid w:val="00C45CE4"/>
    <w:rsid w:val="00C47325"/>
    <w:rsid w:val="00C47C87"/>
    <w:rsid w:val="00C5156E"/>
    <w:rsid w:val="00C535BB"/>
    <w:rsid w:val="00C53E5C"/>
    <w:rsid w:val="00C5410B"/>
    <w:rsid w:val="00C54B78"/>
    <w:rsid w:val="00C55461"/>
    <w:rsid w:val="00C55C34"/>
    <w:rsid w:val="00C56648"/>
    <w:rsid w:val="00C56E26"/>
    <w:rsid w:val="00C57198"/>
    <w:rsid w:val="00C5766C"/>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6F6B"/>
    <w:rsid w:val="00C86FE7"/>
    <w:rsid w:val="00C87683"/>
    <w:rsid w:val="00C91A4C"/>
    <w:rsid w:val="00C92EAA"/>
    <w:rsid w:val="00C93019"/>
    <w:rsid w:val="00C93F2F"/>
    <w:rsid w:val="00C96778"/>
    <w:rsid w:val="00C96A49"/>
    <w:rsid w:val="00CA03C2"/>
    <w:rsid w:val="00CA1597"/>
    <w:rsid w:val="00CA1758"/>
    <w:rsid w:val="00CA1A67"/>
    <w:rsid w:val="00CA3AC1"/>
    <w:rsid w:val="00CA55F3"/>
    <w:rsid w:val="00CA6019"/>
    <w:rsid w:val="00CA614E"/>
    <w:rsid w:val="00CA6A56"/>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55D0"/>
    <w:rsid w:val="00CD5855"/>
    <w:rsid w:val="00CD5A25"/>
    <w:rsid w:val="00CE07B2"/>
    <w:rsid w:val="00CE13BB"/>
    <w:rsid w:val="00CE4098"/>
    <w:rsid w:val="00CE4650"/>
    <w:rsid w:val="00CE47C5"/>
    <w:rsid w:val="00CE4A98"/>
    <w:rsid w:val="00CE695F"/>
    <w:rsid w:val="00CE7497"/>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10C36"/>
    <w:rsid w:val="00D10FA6"/>
    <w:rsid w:val="00D11A7C"/>
    <w:rsid w:val="00D12223"/>
    <w:rsid w:val="00D12A62"/>
    <w:rsid w:val="00D12A6C"/>
    <w:rsid w:val="00D12D71"/>
    <w:rsid w:val="00D12DE7"/>
    <w:rsid w:val="00D130F0"/>
    <w:rsid w:val="00D1394F"/>
    <w:rsid w:val="00D14116"/>
    <w:rsid w:val="00D14D5E"/>
    <w:rsid w:val="00D15D5B"/>
    <w:rsid w:val="00D17846"/>
    <w:rsid w:val="00D17B7A"/>
    <w:rsid w:val="00D21905"/>
    <w:rsid w:val="00D22B78"/>
    <w:rsid w:val="00D23070"/>
    <w:rsid w:val="00D24A2B"/>
    <w:rsid w:val="00D24A36"/>
    <w:rsid w:val="00D252FF"/>
    <w:rsid w:val="00D25E6A"/>
    <w:rsid w:val="00D265E0"/>
    <w:rsid w:val="00D31AEB"/>
    <w:rsid w:val="00D336FE"/>
    <w:rsid w:val="00D34978"/>
    <w:rsid w:val="00D34F35"/>
    <w:rsid w:val="00D36873"/>
    <w:rsid w:val="00D400BE"/>
    <w:rsid w:val="00D42150"/>
    <w:rsid w:val="00D42325"/>
    <w:rsid w:val="00D43319"/>
    <w:rsid w:val="00D439AC"/>
    <w:rsid w:val="00D45736"/>
    <w:rsid w:val="00D50733"/>
    <w:rsid w:val="00D5118D"/>
    <w:rsid w:val="00D51306"/>
    <w:rsid w:val="00D51387"/>
    <w:rsid w:val="00D51549"/>
    <w:rsid w:val="00D547C2"/>
    <w:rsid w:val="00D612E4"/>
    <w:rsid w:val="00D61366"/>
    <w:rsid w:val="00D6191D"/>
    <w:rsid w:val="00D62EC3"/>
    <w:rsid w:val="00D65188"/>
    <w:rsid w:val="00D65265"/>
    <w:rsid w:val="00D66235"/>
    <w:rsid w:val="00D7005F"/>
    <w:rsid w:val="00D715D4"/>
    <w:rsid w:val="00D73612"/>
    <w:rsid w:val="00D73B0F"/>
    <w:rsid w:val="00D73BF9"/>
    <w:rsid w:val="00D74325"/>
    <w:rsid w:val="00D74C52"/>
    <w:rsid w:val="00D74DAF"/>
    <w:rsid w:val="00D753D6"/>
    <w:rsid w:val="00D7610D"/>
    <w:rsid w:val="00D76455"/>
    <w:rsid w:val="00D7697B"/>
    <w:rsid w:val="00D825F9"/>
    <w:rsid w:val="00D830B3"/>
    <w:rsid w:val="00D83287"/>
    <w:rsid w:val="00D842F5"/>
    <w:rsid w:val="00D850BD"/>
    <w:rsid w:val="00D863E4"/>
    <w:rsid w:val="00D908B3"/>
    <w:rsid w:val="00D90ABD"/>
    <w:rsid w:val="00D910C7"/>
    <w:rsid w:val="00D93162"/>
    <w:rsid w:val="00D93BB0"/>
    <w:rsid w:val="00D93ECB"/>
    <w:rsid w:val="00D94694"/>
    <w:rsid w:val="00D94BE7"/>
    <w:rsid w:val="00D94C21"/>
    <w:rsid w:val="00D94EE2"/>
    <w:rsid w:val="00D958AE"/>
    <w:rsid w:val="00D970D6"/>
    <w:rsid w:val="00DA0866"/>
    <w:rsid w:val="00DA25E8"/>
    <w:rsid w:val="00DA3B1F"/>
    <w:rsid w:val="00DA51CD"/>
    <w:rsid w:val="00DA62A6"/>
    <w:rsid w:val="00DA6D64"/>
    <w:rsid w:val="00DA7745"/>
    <w:rsid w:val="00DB0DAE"/>
    <w:rsid w:val="00DB1CC3"/>
    <w:rsid w:val="00DB3CC7"/>
    <w:rsid w:val="00DB4BC8"/>
    <w:rsid w:val="00DB5847"/>
    <w:rsid w:val="00DB5CD2"/>
    <w:rsid w:val="00DB6684"/>
    <w:rsid w:val="00DB68EC"/>
    <w:rsid w:val="00DB6917"/>
    <w:rsid w:val="00DB7E4C"/>
    <w:rsid w:val="00DC187F"/>
    <w:rsid w:val="00DC28BB"/>
    <w:rsid w:val="00DC50E1"/>
    <w:rsid w:val="00DC58D0"/>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211C"/>
    <w:rsid w:val="00DE331E"/>
    <w:rsid w:val="00DE33A6"/>
    <w:rsid w:val="00DE36A9"/>
    <w:rsid w:val="00DE4A61"/>
    <w:rsid w:val="00DE79E5"/>
    <w:rsid w:val="00DF0050"/>
    <w:rsid w:val="00DF08A8"/>
    <w:rsid w:val="00DF0C5F"/>
    <w:rsid w:val="00DF1A28"/>
    <w:rsid w:val="00DF27BB"/>
    <w:rsid w:val="00DF297A"/>
    <w:rsid w:val="00DF3C0C"/>
    <w:rsid w:val="00DF666C"/>
    <w:rsid w:val="00DF6A96"/>
    <w:rsid w:val="00E001E0"/>
    <w:rsid w:val="00E00363"/>
    <w:rsid w:val="00E0139B"/>
    <w:rsid w:val="00E07880"/>
    <w:rsid w:val="00E101C1"/>
    <w:rsid w:val="00E124AB"/>
    <w:rsid w:val="00E129CB"/>
    <w:rsid w:val="00E17482"/>
    <w:rsid w:val="00E17CC9"/>
    <w:rsid w:val="00E17E94"/>
    <w:rsid w:val="00E20A7C"/>
    <w:rsid w:val="00E210EE"/>
    <w:rsid w:val="00E2318E"/>
    <w:rsid w:val="00E25B1C"/>
    <w:rsid w:val="00E31002"/>
    <w:rsid w:val="00E315F1"/>
    <w:rsid w:val="00E31AE7"/>
    <w:rsid w:val="00E31FE0"/>
    <w:rsid w:val="00E32989"/>
    <w:rsid w:val="00E32D05"/>
    <w:rsid w:val="00E335FD"/>
    <w:rsid w:val="00E36D0E"/>
    <w:rsid w:val="00E40CB8"/>
    <w:rsid w:val="00E428EA"/>
    <w:rsid w:val="00E43C92"/>
    <w:rsid w:val="00E44689"/>
    <w:rsid w:val="00E44CDB"/>
    <w:rsid w:val="00E4706F"/>
    <w:rsid w:val="00E50155"/>
    <w:rsid w:val="00E5029D"/>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665C"/>
    <w:rsid w:val="00E81890"/>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359A"/>
    <w:rsid w:val="00EB5152"/>
    <w:rsid w:val="00EB53CF"/>
    <w:rsid w:val="00EB609B"/>
    <w:rsid w:val="00EB6250"/>
    <w:rsid w:val="00EC13FA"/>
    <w:rsid w:val="00EC1700"/>
    <w:rsid w:val="00EC24A4"/>
    <w:rsid w:val="00EC2521"/>
    <w:rsid w:val="00EC30DD"/>
    <w:rsid w:val="00EC34CF"/>
    <w:rsid w:val="00EC3F13"/>
    <w:rsid w:val="00EC4958"/>
    <w:rsid w:val="00EC5378"/>
    <w:rsid w:val="00EC64D0"/>
    <w:rsid w:val="00EC70BE"/>
    <w:rsid w:val="00ED3118"/>
    <w:rsid w:val="00ED4F30"/>
    <w:rsid w:val="00ED6C47"/>
    <w:rsid w:val="00ED75DC"/>
    <w:rsid w:val="00ED77D1"/>
    <w:rsid w:val="00EE0486"/>
    <w:rsid w:val="00EE0CE0"/>
    <w:rsid w:val="00EE2334"/>
    <w:rsid w:val="00EE261F"/>
    <w:rsid w:val="00EE28BC"/>
    <w:rsid w:val="00EE6AC7"/>
    <w:rsid w:val="00EE6C3D"/>
    <w:rsid w:val="00EE7D2B"/>
    <w:rsid w:val="00EE7DF5"/>
    <w:rsid w:val="00EF1065"/>
    <w:rsid w:val="00EF34BE"/>
    <w:rsid w:val="00EF51B0"/>
    <w:rsid w:val="00EF7F31"/>
    <w:rsid w:val="00F02AF0"/>
    <w:rsid w:val="00F03389"/>
    <w:rsid w:val="00F0448F"/>
    <w:rsid w:val="00F05029"/>
    <w:rsid w:val="00F053C9"/>
    <w:rsid w:val="00F06929"/>
    <w:rsid w:val="00F06B7D"/>
    <w:rsid w:val="00F072BB"/>
    <w:rsid w:val="00F07970"/>
    <w:rsid w:val="00F10889"/>
    <w:rsid w:val="00F1337A"/>
    <w:rsid w:val="00F1341A"/>
    <w:rsid w:val="00F13708"/>
    <w:rsid w:val="00F142E6"/>
    <w:rsid w:val="00F15332"/>
    <w:rsid w:val="00F15F8E"/>
    <w:rsid w:val="00F176FA"/>
    <w:rsid w:val="00F17BBB"/>
    <w:rsid w:val="00F214AA"/>
    <w:rsid w:val="00F22186"/>
    <w:rsid w:val="00F23DB3"/>
    <w:rsid w:val="00F27175"/>
    <w:rsid w:val="00F30D14"/>
    <w:rsid w:val="00F31B6D"/>
    <w:rsid w:val="00F31CDC"/>
    <w:rsid w:val="00F31DC9"/>
    <w:rsid w:val="00F31EBB"/>
    <w:rsid w:val="00F33517"/>
    <w:rsid w:val="00F33A75"/>
    <w:rsid w:val="00F36305"/>
    <w:rsid w:val="00F36946"/>
    <w:rsid w:val="00F37188"/>
    <w:rsid w:val="00F37D7F"/>
    <w:rsid w:val="00F40B5F"/>
    <w:rsid w:val="00F40EE0"/>
    <w:rsid w:val="00F416D6"/>
    <w:rsid w:val="00F41AAC"/>
    <w:rsid w:val="00F43EB7"/>
    <w:rsid w:val="00F442DF"/>
    <w:rsid w:val="00F443AF"/>
    <w:rsid w:val="00F450A6"/>
    <w:rsid w:val="00F469A9"/>
    <w:rsid w:val="00F47B94"/>
    <w:rsid w:val="00F53638"/>
    <w:rsid w:val="00F53687"/>
    <w:rsid w:val="00F54A05"/>
    <w:rsid w:val="00F5612F"/>
    <w:rsid w:val="00F562C0"/>
    <w:rsid w:val="00F57424"/>
    <w:rsid w:val="00F57A4F"/>
    <w:rsid w:val="00F60947"/>
    <w:rsid w:val="00F617AE"/>
    <w:rsid w:val="00F62355"/>
    <w:rsid w:val="00F62B87"/>
    <w:rsid w:val="00F649FB"/>
    <w:rsid w:val="00F657C8"/>
    <w:rsid w:val="00F65A68"/>
    <w:rsid w:val="00F666E1"/>
    <w:rsid w:val="00F66EEA"/>
    <w:rsid w:val="00F676D3"/>
    <w:rsid w:val="00F677FC"/>
    <w:rsid w:val="00F700BA"/>
    <w:rsid w:val="00F709D3"/>
    <w:rsid w:val="00F7102B"/>
    <w:rsid w:val="00F726E2"/>
    <w:rsid w:val="00F73746"/>
    <w:rsid w:val="00F73B36"/>
    <w:rsid w:val="00F75BD0"/>
    <w:rsid w:val="00F760B7"/>
    <w:rsid w:val="00F765A2"/>
    <w:rsid w:val="00F76C9B"/>
    <w:rsid w:val="00F77611"/>
    <w:rsid w:val="00F77B6F"/>
    <w:rsid w:val="00F77DA1"/>
    <w:rsid w:val="00F803A1"/>
    <w:rsid w:val="00F80ABB"/>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B159C"/>
    <w:rsid w:val="00FB2865"/>
    <w:rsid w:val="00FB35EA"/>
    <w:rsid w:val="00FB3A85"/>
    <w:rsid w:val="00FB3E63"/>
    <w:rsid w:val="00FB4127"/>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hps">
    <w:name w:val="hps"/>
    <w:rsid w:val="0084230E"/>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84230E"/>
    <w:rPr>
      <w:sz w:val="24"/>
      <w:szCs w:val="24"/>
    </w:rPr>
  </w:style>
  <w:style w:type="paragraph" w:customStyle="1" w:styleId="CBDNormalNumber">
    <w:name w:val="CBD_Normal_Number"/>
    <w:basedOn w:val="Normal"/>
    <w:qFormat/>
    <w:rsid w:val="00983803"/>
    <w:pPr>
      <w:numPr>
        <w:numId w:val="18"/>
      </w:numPr>
      <w:tabs>
        <w:tab w:val="left" w:pos="567"/>
        <w:tab w:val="left" w:pos="1134"/>
        <w:tab w:val="left" w:pos="1701"/>
        <w:tab w:val="left" w:pos="2268"/>
        <w:tab w:val="left" w:pos="2835"/>
        <w:tab w:val="left" w:pos="3402"/>
        <w:tab w:val="left" w:pos="3969"/>
      </w:tabs>
      <w:spacing w:before="120" w:after="120"/>
      <w:ind w:left="567"/>
      <w:jc w:val="both"/>
    </w:pPr>
    <w:rPr>
      <w:rFonts w:eastAsia="SimSun"/>
      <w:sz w:val="22"/>
      <w:szCs w:val="22"/>
      <w:lang w:val="en-GB" w:eastAsia="en-US"/>
    </w:rPr>
  </w:style>
  <w:style w:type="numbering" w:customStyle="1" w:styleId="ListCBD">
    <w:name w:val="ListCBD"/>
    <w:basedOn w:val="NoList"/>
    <w:uiPriority w:val="99"/>
    <w:rsid w:val="00983803"/>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23/ntf-2023-132-rm-en.pdf" TargetMode="External"/><Relationship Id="rId20" Type="http://schemas.openxmlformats.org/officeDocument/2006/relationships/hyperlink" Target="https://www.cbd.int/decisions/cop?m=cop-1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7-ar.pdf" TargetMode="External"/><Relationship Id="rId5" Type="http://schemas.openxmlformats.org/officeDocument/2006/relationships/numbering" Target="numbering.xml"/><Relationship Id="rId15" Type="http://schemas.openxmlformats.org/officeDocument/2006/relationships/hyperlink" Target="https://www.cbd.int/doc/notifications/2023/ntf-2023-063-rm-en.pdf" TargetMode="External"/><Relationship Id="rId23" Type="http://schemas.openxmlformats.org/officeDocument/2006/relationships/hyperlink" Target="https://www.cbd.int/decisions/cop?m=cop-08"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7-ar.pdf" TargetMode="External"/><Relationship Id="rId22" Type="http://schemas.openxmlformats.org/officeDocument/2006/relationships/hyperlink" Target="https://www.cbd.int/decisions/cop?m=cop-01"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development/desa/dpad/wp-content/uploads/sites/45/LDC-Handbook-2024.pdf" TargetMode="External"/><Relationship Id="rId7" Type="http://schemas.openxmlformats.org/officeDocument/2006/relationships/hyperlink" Target="https://www.oecd.org/en/about/committees/development-assistance-committee.html" TargetMode="External"/><Relationship Id="rId2" Type="http://schemas.openxmlformats.org/officeDocument/2006/relationships/hyperlink" Target="https://www.gefieo.org/content/dam/partners/ieo/docs/mgr/support-docs/OPS8-English-Executive-Summary.pdf" TargetMode="External"/><Relationship Id="rId1" Type="http://schemas.openxmlformats.org/officeDocument/2006/relationships/hyperlink" Target="https://www.cbd.int/documents/CBD/SBI/7/1" TargetMode="External"/><Relationship Id="rId6" Type="http://schemas.openxmlformats.org/officeDocument/2006/relationships/hyperlink" Target="https://blogs.worldbank.org/en/opendata/understanding-country-income--world-bank-group-income-classifica" TargetMode="External"/><Relationship Id="rId5" Type="http://schemas.openxmlformats.org/officeDocument/2006/relationships/hyperlink" Target="https://datahelpdesk.worldbank.org/knowledgebase/articles/378834-how-does-the-world-bank-classify-countries" TargetMode="External"/><Relationship Id="rId4" Type="http://schemas.openxmlformats.org/officeDocument/2006/relationships/hyperlink" Target="https://ida.worldbank.org/en/about/borrowing-cou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B0CD331D-9E2B-4690-B625-9B83C07F0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3044</Words>
  <Characters>19183</Characters>
  <Application>Microsoft Office Word</Application>
  <DocSecurity>0</DocSecurity>
  <Lines>355</Lines>
  <Paragraphs>141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استعراض تنفيذ استراتيجية حشد الموارد للفترة 2025-2030</vt:lpstr>
      <vt:lpstr>Annotated provisional agenda</vt:lpstr>
    </vt:vector>
  </TitlesOfParts>
  <Company>SCBD</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بشأن أفضل تواتر لإصدار الإخطارات المتعلقة باستعراض وتعديل القائمة الموضوعة وفقا للفقرة 2 من المادة 20 من الاتفاقية، مع مراعاة الفرص المحتملة لتوسيع قاعدة المساهمين*</dc:title>
  <dc:subject>CBD/SBI/7/3/Add.1</dc:subject>
  <dc:creator>Secretariat of the Convention on Biological Diversity</dc:creator>
  <cp:keywords>CBD/SBI/7/3/Add.2</cp:keywords>
  <dc:description/>
  <cp:lastModifiedBy>Veronique Lefebvre</cp:lastModifiedBy>
  <cp:revision>31</cp:revision>
  <cp:lastPrinted>2026-06-29T05:12:00Z</cp:lastPrinted>
  <dcterms:created xsi:type="dcterms:W3CDTF">2026-06-18T22:33:00Z</dcterms:created>
  <dcterms:modified xsi:type="dcterms:W3CDTF">2026-06-29T18:48:00Z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