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5EE" w:rsidRPr="00843F53" w:rsidRDefault="004165EE">
      <w:pPr>
        <w:rPr>
          <w:rFonts w:cs="Times New Roman"/>
          <w:szCs w:val="22"/>
          <w:lang w:val="es-ES"/>
        </w:rPr>
      </w:pPr>
    </w:p>
    <w:tbl>
      <w:tblPr>
        <w:tblW w:w="10207" w:type="dxa"/>
        <w:tblInd w:w="-318" w:type="dxa"/>
        <w:tblBorders>
          <w:bottom w:val="single" w:sz="36" w:space="0" w:color="000000"/>
        </w:tblBorders>
        <w:tblLayout w:type="fixed"/>
        <w:tblLook w:val="0000"/>
      </w:tblPr>
      <w:tblGrid>
        <w:gridCol w:w="852"/>
        <w:gridCol w:w="2614"/>
        <w:gridCol w:w="2620"/>
        <w:gridCol w:w="1144"/>
        <w:gridCol w:w="2977"/>
      </w:tblGrid>
      <w:tr w:rsidR="00433B20" w:rsidRPr="00843F53" w:rsidTr="00CF5ABA">
        <w:tc>
          <w:tcPr>
            <w:tcW w:w="852" w:type="dxa"/>
            <w:tcBorders>
              <w:top w:val="nil"/>
              <w:bottom w:val="single" w:sz="12" w:space="0" w:color="000000"/>
              <w:right w:val="nil"/>
            </w:tcBorders>
          </w:tcPr>
          <w:p w:rsidR="00433B20" w:rsidRPr="00843F53" w:rsidRDefault="00C757B5" w:rsidP="00433B20">
            <w:pPr>
              <w:pStyle w:val="BodyText2"/>
              <w:rPr>
                <w:rFonts w:cs="Times New Roman"/>
                <w:b/>
                <w:snapToGrid w:val="0"/>
                <w:kern w:val="22"/>
                <w:szCs w:val="22"/>
                <w:lang w:val="es-ES" w:eastAsia="en-CA"/>
              </w:rPr>
            </w:pPr>
            <w:r>
              <w:rPr>
                <w:rFonts w:cs="Times New Roman"/>
                <w:b/>
                <w:noProof/>
                <w:kern w:val="22"/>
                <w:szCs w:val="22"/>
                <w:lang w:val="es-UY" w:eastAsia="es-UY"/>
              </w:rPr>
              <w:drawing>
                <wp:inline distT="0" distB="0" distL="0" distR="0">
                  <wp:extent cx="476250" cy="406400"/>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srcRect/>
                          <a:stretch>
                            <a:fillRect/>
                          </a:stretch>
                        </pic:blipFill>
                        <pic:spPr bwMode="auto">
                          <a:xfrm>
                            <a:off x="0" y="0"/>
                            <a:ext cx="476250" cy="406400"/>
                          </a:xfrm>
                          <a:prstGeom prst="rect">
                            <a:avLst/>
                          </a:prstGeom>
                          <a:noFill/>
                          <a:ln w="9525">
                            <a:noFill/>
                            <a:miter lim="800000"/>
                            <a:headEnd/>
                            <a:tailEnd/>
                          </a:ln>
                        </pic:spPr>
                      </pic:pic>
                    </a:graphicData>
                  </a:graphic>
                </wp:inline>
              </w:drawing>
            </w:r>
          </w:p>
        </w:tc>
        <w:tc>
          <w:tcPr>
            <w:tcW w:w="2614" w:type="dxa"/>
            <w:tcBorders>
              <w:top w:val="nil"/>
              <w:left w:val="nil"/>
              <w:bottom w:val="single" w:sz="12" w:space="0" w:color="000000"/>
              <w:right w:val="nil"/>
            </w:tcBorders>
          </w:tcPr>
          <w:p w:rsidR="00433B20" w:rsidRPr="00843F53" w:rsidRDefault="00C757B5" w:rsidP="00094C9B">
            <w:pPr>
              <w:rPr>
                <w:rFonts w:cs="Times New Roman"/>
                <w:snapToGrid w:val="0"/>
                <w:kern w:val="22"/>
                <w:szCs w:val="22"/>
                <w:lang w:val="es-ES" w:eastAsia="en-CA"/>
              </w:rPr>
            </w:pPr>
            <w:r>
              <w:rPr>
                <w:rFonts w:cs="Times New Roman"/>
                <w:noProof/>
                <w:kern w:val="22"/>
                <w:szCs w:val="22"/>
                <w:lang w:val="es-UY" w:eastAsia="es-UY"/>
              </w:rPr>
              <w:drawing>
                <wp:inline distT="0" distB="0" distL="0" distR="0">
                  <wp:extent cx="349250" cy="406400"/>
                  <wp:effectExtent l="1905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srcRect/>
                          <a:stretch>
                            <a:fillRect/>
                          </a:stretch>
                        </pic:blipFill>
                        <pic:spPr bwMode="auto">
                          <a:xfrm>
                            <a:off x="0" y="0"/>
                            <a:ext cx="349250" cy="406400"/>
                          </a:xfrm>
                          <a:prstGeom prst="rect">
                            <a:avLst/>
                          </a:prstGeom>
                          <a:noFill/>
                          <a:ln w="9525">
                            <a:noFill/>
                            <a:miter lim="800000"/>
                            <a:headEnd/>
                            <a:tailEnd/>
                          </a:ln>
                        </pic:spPr>
                      </pic:pic>
                    </a:graphicData>
                  </a:graphic>
                </wp:inline>
              </w:drawing>
            </w:r>
          </w:p>
        </w:tc>
        <w:tc>
          <w:tcPr>
            <w:tcW w:w="6741" w:type="dxa"/>
            <w:gridSpan w:val="3"/>
            <w:tcBorders>
              <w:top w:val="nil"/>
              <w:left w:val="nil"/>
              <w:bottom w:val="single" w:sz="12" w:space="0" w:color="000000"/>
            </w:tcBorders>
          </w:tcPr>
          <w:p w:rsidR="00433B20" w:rsidRPr="00843F53" w:rsidRDefault="00094E00" w:rsidP="00094C9B">
            <w:pPr>
              <w:jc w:val="right"/>
              <w:rPr>
                <w:rFonts w:cs="Times New Roman"/>
                <w:b/>
                <w:snapToGrid w:val="0"/>
                <w:kern w:val="22"/>
                <w:szCs w:val="22"/>
                <w:lang w:val="es-ES"/>
              </w:rPr>
            </w:pPr>
            <w:r w:rsidRPr="002F5491">
              <w:rPr>
                <w:rFonts w:ascii="Univers" w:hAnsi="Univers"/>
                <w:b/>
                <w:snapToGrid w:val="0"/>
                <w:kern w:val="22"/>
                <w:sz w:val="32"/>
              </w:rPr>
              <w:t>CBD</w:t>
            </w:r>
          </w:p>
        </w:tc>
      </w:tr>
      <w:tr w:rsidR="00AD1731" w:rsidRPr="00843F53" w:rsidTr="00CF5ABA">
        <w:trPr>
          <w:trHeight w:val="1693"/>
        </w:trPr>
        <w:tc>
          <w:tcPr>
            <w:tcW w:w="6086" w:type="dxa"/>
            <w:gridSpan w:val="3"/>
            <w:tcBorders>
              <w:top w:val="nil"/>
              <w:bottom w:val="single" w:sz="36" w:space="0" w:color="000000"/>
            </w:tcBorders>
          </w:tcPr>
          <w:p w:rsidR="00AD1731" w:rsidRPr="00843F53" w:rsidRDefault="00AD1731" w:rsidP="00186147">
            <w:pPr>
              <w:rPr>
                <w:rFonts w:cs="Times New Roman"/>
                <w:snapToGrid w:val="0"/>
                <w:kern w:val="22"/>
                <w:szCs w:val="22"/>
                <w:lang w:val="es-ES"/>
              </w:rPr>
            </w:pPr>
          </w:p>
          <w:p w:rsidR="00AD1731" w:rsidRPr="00843F53" w:rsidRDefault="00C757B5" w:rsidP="00186147">
            <w:pPr>
              <w:rPr>
                <w:rFonts w:cs="Times New Roman"/>
                <w:snapToGrid w:val="0"/>
                <w:kern w:val="22"/>
                <w:szCs w:val="22"/>
                <w:lang w:val="es-ES"/>
              </w:rPr>
            </w:pPr>
            <w:r>
              <w:rPr>
                <w:rFonts w:eastAsia="Times New Roman" w:cs="Times New Roman"/>
                <w:noProof/>
                <w:kern w:val="22"/>
                <w:szCs w:val="22"/>
                <w:lang w:val="es-UY" w:eastAsia="es-UY"/>
              </w:rPr>
              <w:drawing>
                <wp:inline distT="0" distB="0" distL="0" distR="0">
                  <wp:extent cx="2901950" cy="1073150"/>
                  <wp:effectExtent l="19050" t="0" r="0" b="0"/>
                  <wp:docPr id="3" name="Picture 3" descr="CBD_logo_es-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s-CMYK-black [Converted]"/>
                          <pic:cNvPicPr>
                            <a:picLocks noChangeAspect="1" noChangeArrowheads="1"/>
                          </pic:cNvPicPr>
                        </pic:nvPicPr>
                        <pic:blipFill>
                          <a:blip r:embed="rId10" cstate="print"/>
                          <a:srcRect/>
                          <a:stretch>
                            <a:fillRect/>
                          </a:stretch>
                        </pic:blipFill>
                        <pic:spPr bwMode="auto">
                          <a:xfrm>
                            <a:off x="0" y="0"/>
                            <a:ext cx="2901950" cy="1073150"/>
                          </a:xfrm>
                          <a:prstGeom prst="rect">
                            <a:avLst/>
                          </a:prstGeom>
                          <a:noFill/>
                          <a:ln w="9525">
                            <a:noFill/>
                            <a:miter lim="800000"/>
                            <a:headEnd/>
                            <a:tailEnd/>
                          </a:ln>
                        </pic:spPr>
                      </pic:pic>
                    </a:graphicData>
                  </a:graphic>
                </wp:inline>
              </w:drawing>
            </w:r>
          </w:p>
          <w:p w:rsidR="00AD1731" w:rsidRPr="00843F53" w:rsidRDefault="00AD1731" w:rsidP="00186147">
            <w:pPr>
              <w:rPr>
                <w:rFonts w:cs="Times New Roman"/>
                <w:snapToGrid w:val="0"/>
                <w:kern w:val="22"/>
                <w:szCs w:val="22"/>
                <w:lang w:val="es-ES"/>
              </w:rPr>
            </w:pPr>
          </w:p>
        </w:tc>
        <w:tc>
          <w:tcPr>
            <w:tcW w:w="1144" w:type="dxa"/>
            <w:tcBorders>
              <w:top w:val="nil"/>
              <w:bottom w:val="single" w:sz="36" w:space="0" w:color="000000"/>
            </w:tcBorders>
          </w:tcPr>
          <w:p w:rsidR="00AD1731" w:rsidRPr="00843F53" w:rsidRDefault="00AD1731" w:rsidP="00186147">
            <w:pPr>
              <w:pStyle w:val="Header"/>
              <w:tabs>
                <w:tab w:val="clear" w:pos="4320"/>
                <w:tab w:val="clear" w:pos="8640"/>
              </w:tabs>
              <w:rPr>
                <w:bCs/>
                <w:snapToGrid w:val="0"/>
                <w:kern w:val="22"/>
                <w:szCs w:val="22"/>
                <w:lang w:val="es-ES"/>
              </w:rPr>
            </w:pPr>
          </w:p>
        </w:tc>
        <w:tc>
          <w:tcPr>
            <w:tcW w:w="2977" w:type="dxa"/>
            <w:tcBorders>
              <w:top w:val="nil"/>
              <w:bottom w:val="single" w:sz="36" w:space="0" w:color="000000"/>
            </w:tcBorders>
          </w:tcPr>
          <w:p w:rsidR="00AD1731" w:rsidRPr="00843F53" w:rsidRDefault="00AD1731" w:rsidP="006F4060">
            <w:pPr>
              <w:ind w:left="318"/>
              <w:rPr>
                <w:rFonts w:cs="Times New Roman"/>
                <w:snapToGrid w:val="0"/>
                <w:kern w:val="22"/>
                <w:szCs w:val="22"/>
                <w:lang w:val="es-ES"/>
              </w:rPr>
            </w:pPr>
            <w:r w:rsidRPr="00843F53">
              <w:rPr>
                <w:rFonts w:cs="Times New Roman"/>
                <w:snapToGrid w:val="0"/>
                <w:kern w:val="22"/>
                <w:szCs w:val="22"/>
                <w:lang w:val="es-ES"/>
              </w:rPr>
              <w:t>Distr.</w:t>
            </w:r>
          </w:p>
          <w:p w:rsidR="00AD1731" w:rsidRPr="00843F53" w:rsidRDefault="005552F3" w:rsidP="006F4060">
            <w:pPr>
              <w:ind w:left="318"/>
              <w:rPr>
                <w:rFonts w:cs="Times New Roman"/>
                <w:snapToGrid w:val="0"/>
                <w:kern w:val="22"/>
                <w:szCs w:val="22"/>
                <w:lang w:val="es-ES"/>
              </w:rPr>
            </w:pPr>
            <w:r w:rsidRPr="00843F53">
              <w:rPr>
                <w:rFonts w:cs="Times New Roman"/>
                <w:snapToGrid w:val="0"/>
                <w:kern w:val="22"/>
                <w:szCs w:val="22"/>
                <w:lang w:val="es-ES"/>
              </w:rPr>
              <w:t>GENERAL</w:t>
            </w:r>
          </w:p>
          <w:p w:rsidR="00AD1731" w:rsidRPr="00843F53" w:rsidRDefault="00AD1731" w:rsidP="006F4060">
            <w:pPr>
              <w:ind w:left="318"/>
              <w:rPr>
                <w:rFonts w:cs="Times New Roman"/>
                <w:snapToGrid w:val="0"/>
                <w:kern w:val="22"/>
                <w:szCs w:val="22"/>
                <w:lang w:val="es-ES"/>
              </w:rPr>
            </w:pPr>
          </w:p>
          <w:p w:rsidR="00AD1731" w:rsidRPr="00843F53" w:rsidRDefault="006B1EF9" w:rsidP="006F4060">
            <w:pPr>
              <w:ind w:left="318"/>
              <w:rPr>
                <w:rFonts w:cs="Times New Roman"/>
                <w:snapToGrid w:val="0"/>
                <w:kern w:val="22"/>
                <w:szCs w:val="22"/>
                <w:lang w:val="es-ES"/>
              </w:rPr>
            </w:pPr>
            <w:r w:rsidRPr="00843F53">
              <w:rPr>
                <w:rFonts w:cs="Times New Roman"/>
                <w:snapToGrid w:val="0"/>
                <w:kern w:val="22"/>
                <w:szCs w:val="22"/>
                <w:lang w:val="es-ES"/>
              </w:rPr>
              <w:t>CBD/SBI/2/9</w:t>
            </w:r>
          </w:p>
          <w:p w:rsidR="00AD1731" w:rsidRPr="00843F53" w:rsidRDefault="00E70E14" w:rsidP="006F4060">
            <w:pPr>
              <w:ind w:left="318"/>
              <w:rPr>
                <w:rFonts w:cs="Times New Roman"/>
                <w:snapToGrid w:val="0"/>
                <w:kern w:val="22"/>
                <w:szCs w:val="22"/>
                <w:lang w:val="es-ES"/>
              </w:rPr>
            </w:pPr>
            <w:r w:rsidRPr="00843F53">
              <w:rPr>
                <w:rFonts w:cs="Times New Roman"/>
                <w:snapToGrid w:val="0"/>
                <w:kern w:val="22"/>
                <w:szCs w:val="22"/>
                <w:lang w:val="es-ES"/>
              </w:rPr>
              <w:t>30</w:t>
            </w:r>
            <w:r w:rsidR="006E17C5" w:rsidRPr="00843F53">
              <w:rPr>
                <w:rFonts w:cs="Times New Roman"/>
                <w:snapToGrid w:val="0"/>
                <w:kern w:val="22"/>
                <w:szCs w:val="22"/>
                <w:lang w:val="es-ES"/>
              </w:rPr>
              <w:t xml:space="preserve"> </w:t>
            </w:r>
            <w:r w:rsidR="00007139">
              <w:rPr>
                <w:rFonts w:cs="Times New Roman"/>
                <w:snapToGrid w:val="0"/>
                <w:kern w:val="22"/>
                <w:szCs w:val="22"/>
                <w:lang w:val="es-ES"/>
              </w:rPr>
              <w:t>de m</w:t>
            </w:r>
            <w:r w:rsidR="006E17C5" w:rsidRPr="00843F53">
              <w:rPr>
                <w:rFonts w:cs="Times New Roman"/>
                <w:snapToGrid w:val="0"/>
                <w:kern w:val="22"/>
                <w:szCs w:val="22"/>
                <w:lang w:val="es-ES"/>
              </w:rPr>
              <w:t>ay</w:t>
            </w:r>
            <w:r w:rsidR="00007139">
              <w:rPr>
                <w:rFonts w:cs="Times New Roman"/>
                <w:snapToGrid w:val="0"/>
                <w:kern w:val="22"/>
                <w:szCs w:val="22"/>
                <w:lang w:val="es-ES"/>
              </w:rPr>
              <w:t>o de</w:t>
            </w:r>
            <w:r w:rsidR="00DF1268" w:rsidRPr="00843F53">
              <w:rPr>
                <w:rFonts w:cs="Times New Roman"/>
                <w:snapToGrid w:val="0"/>
                <w:kern w:val="22"/>
                <w:szCs w:val="22"/>
                <w:lang w:val="es-ES"/>
              </w:rPr>
              <w:t xml:space="preserve"> </w:t>
            </w:r>
            <w:r w:rsidR="00142951" w:rsidRPr="00843F53">
              <w:rPr>
                <w:rFonts w:cs="Times New Roman"/>
                <w:snapToGrid w:val="0"/>
                <w:kern w:val="22"/>
                <w:szCs w:val="22"/>
                <w:lang w:val="es-ES"/>
              </w:rPr>
              <w:t>2018</w:t>
            </w:r>
          </w:p>
          <w:p w:rsidR="00AD1731" w:rsidRPr="00843F53" w:rsidRDefault="00AD1731" w:rsidP="006F4060">
            <w:pPr>
              <w:ind w:left="318"/>
              <w:rPr>
                <w:rFonts w:cs="Times New Roman"/>
                <w:snapToGrid w:val="0"/>
                <w:kern w:val="22"/>
                <w:szCs w:val="22"/>
                <w:lang w:val="es-ES"/>
              </w:rPr>
            </w:pPr>
          </w:p>
          <w:p w:rsidR="001C55E5" w:rsidRPr="00843F53" w:rsidRDefault="001C55E5" w:rsidP="006F4060">
            <w:pPr>
              <w:ind w:left="318"/>
              <w:rPr>
                <w:rFonts w:cs="Times New Roman"/>
                <w:snapToGrid w:val="0"/>
                <w:kern w:val="22"/>
                <w:szCs w:val="22"/>
                <w:lang w:val="es-ES"/>
              </w:rPr>
            </w:pPr>
            <w:r w:rsidRPr="00843F53">
              <w:rPr>
                <w:rFonts w:cs="Times New Roman"/>
                <w:snapToGrid w:val="0"/>
                <w:kern w:val="22"/>
                <w:szCs w:val="22"/>
                <w:lang w:val="es-ES"/>
              </w:rPr>
              <w:t>ESPAÑOL</w:t>
            </w:r>
          </w:p>
          <w:p w:rsidR="00AD1731" w:rsidRPr="00843F53" w:rsidRDefault="00AD1731" w:rsidP="006F4060">
            <w:pPr>
              <w:ind w:left="318"/>
              <w:rPr>
                <w:rFonts w:cs="Times New Roman"/>
                <w:snapToGrid w:val="0"/>
                <w:kern w:val="22"/>
                <w:szCs w:val="22"/>
                <w:u w:val="single"/>
                <w:lang w:val="es-ES"/>
              </w:rPr>
            </w:pPr>
            <w:r w:rsidRPr="00843F53">
              <w:rPr>
                <w:rFonts w:cs="Times New Roman"/>
                <w:snapToGrid w:val="0"/>
                <w:kern w:val="22"/>
                <w:szCs w:val="22"/>
                <w:lang w:val="es-ES"/>
              </w:rPr>
              <w:t xml:space="preserve">ORIGINAL:  </w:t>
            </w:r>
            <w:r w:rsidR="001C55E5" w:rsidRPr="00843F53">
              <w:rPr>
                <w:rFonts w:cs="Times New Roman"/>
                <w:snapToGrid w:val="0"/>
                <w:kern w:val="22"/>
                <w:szCs w:val="22"/>
                <w:lang w:val="es-ES"/>
              </w:rPr>
              <w:t>I</w:t>
            </w:r>
            <w:r w:rsidRPr="00843F53">
              <w:rPr>
                <w:rFonts w:cs="Times New Roman"/>
                <w:snapToGrid w:val="0"/>
                <w:kern w:val="22"/>
                <w:szCs w:val="22"/>
                <w:lang w:val="es-ES"/>
              </w:rPr>
              <w:t>NGL</w:t>
            </w:r>
            <w:r w:rsidR="001C55E5" w:rsidRPr="00843F53">
              <w:rPr>
                <w:rFonts w:cs="Times New Roman"/>
                <w:snapToGrid w:val="0"/>
                <w:kern w:val="22"/>
                <w:szCs w:val="22"/>
                <w:lang w:val="es-ES"/>
              </w:rPr>
              <w:t>É</w:t>
            </w:r>
            <w:r w:rsidRPr="00843F53">
              <w:rPr>
                <w:rFonts w:cs="Times New Roman"/>
                <w:snapToGrid w:val="0"/>
                <w:kern w:val="22"/>
                <w:szCs w:val="22"/>
                <w:lang w:val="es-ES"/>
              </w:rPr>
              <w:t>S</w:t>
            </w:r>
          </w:p>
        </w:tc>
      </w:tr>
    </w:tbl>
    <w:p w:rsidR="001C55E5" w:rsidRPr="00843F53" w:rsidRDefault="001C55E5" w:rsidP="001C55E5">
      <w:pPr>
        <w:pStyle w:val="meetingname"/>
        <w:ind w:left="284" w:right="4398" w:hanging="284"/>
        <w:rPr>
          <w:rFonts w:eastAsia="Times New Roman"/>
          <w:kern w:val="22"/>
          <w:szCs w:val="22"/>
          <w:lang w:val="es-ES"/>
        </w:rPr>
      </w:pPr>
      <w:bookmarkStart w:id="0" w:name="Meeting"/>
      <w:r w:rsidRPr="00843F53">
        <w:rPr>
          <w:rFonts w:eastAsia="Times New Roman"/>
          <w:kern w:val="22"/>
          <w:szCs w:val="22"/>
          <w:lang w:val="es-ES"/>
        </w:rPr>
        <w:t>ÓRGANO SUBSIDIARIO SOBRE LA APLICACIÓN</w:t>
      </w:r>
      <w:bookmarkEnd w:id="0"/>
    </w:p>
    <w:p w:rsidR="001C55E5" w:rsidRPr="00843F53" w:rsidRDefault="001C55E5" w:rsidP="00007139">
      <w:pPr>
        <w:ind w:left="142"/>
        <w:jc w:val="left"/>
        <w:rPr>
          <w:rFonts w:eastAsia="Times New Roman" w:cs="Times New Roman"/>
          <w:kern w:val="22"/>
          <w:szCs w:val="22"/>
          <w:lang w:val="es-ES"/>
        </w:rPr>
      </w:pPr>
      <w:r w:rsidRPr="00843F53">
        <w:rPr>
          <w:rFonts w:eastAsia="Times New Roman" w:cs="Times New Roman"/>
          <w:kern w:val="22"/>
          <w:szCs w:val="22"/>
          <w:lang w:val="es-ES"/>
        </w:rPr>
        <w:t>Segunda reunión</w:t>
      </w:r>
    </w:p>
    <w:p w:rsidR="001C55E5" w:rsidRPr="00843F53" w:rsidRDefault="001C55E5" w:rsidP="001C55E5">
      <w:pPr>
        <w:suppressLineNumbers/>
        <w:suppressAutoHyphens/>
        <w:kinsoku w:val="0"/>
        <w:overflowPunct w:val="0"/>
        <w:autoSpaceDE w:val="0"/>
        <w:autoSpaceDN w:val="0"/>
        <w:adjustRightInd w:val="0"/>
        <w:snapToGrid w:val="0"/>
        <w:ind w:left="142" w:right="3124"/>
        <w:jc w:val="left"/>
        <w:rPr>
          <w:rFonts w:eastAsia="Times New Roman" w:cs="Times New Roman"/>
          <w:kern w:val="22"/>
          <w:szCs w:val="22"/>
          <w:lang w:val="es-ES"/>
        </w:rPr>
      </w:pPr>
      <w:r w:rsidRPr="00843F53">
        <w:rPr>
          <w:rFonts w:eastAsia="Times New Roman" w:cs="Times New Roman"/>
          <w:kern w:val="22"/>
          <w:szCs w:val="22"/>
          <w:lang w:val="es-ES"/>
        </w:rPr>
        <w:t>Montreal (Canadá), 9 a 13 de julio de 2018</w:t>
      </w:r>
    </w:p>
    <w:p w:rsidR="00AD1731" w:rsidRPr="00843F53" w:rsidRDefault="001C55E5" w:rsidP="00007139">
      <w:pPr>
        <w:pStyle w:val="Header"/>
        <w:suppressLineNumbers/>
        <w:tabs>
          <w:tab w:val="clear" w:pos="4320"/>
          <w:tab w:val="clear" w:pos="8640"/>
        </w:tabs>
        <w:suppressAutoHyphens/>
        <w:ind w:left="142"/>
        <w:rPr>
          <w:snapToGrid w:val="0"/>
          <w:kern w:val="22"/>
          <w:szCs w:val="22"/>
          <w:lang w:val="es-ES"/>
        </w:rPr>
      </w:pPr>
      <w:r w:rsidRPr="00843F53">
        <w:rPr>
          <w:rFonts w:eastAsia="Times New Roman"/>
          <w:kern w:val="22"/>
          <w:szCs w:val="22"/>
          <w:lang w:val="es-ES"/>
        </w:rPr>
        <w:t xml:space="preserve">Tema </w:t>
      </w:r>
      <w:r w:rsidR="00B6495C" w:rsidRPr="00843F53">
        <w:rPr>
          <w:snapToGrid w:val="0"/>
          <w:kern w:val="22"/>
          <w:szCs w:val="22"/>
          <w:lang w:val="es-ES"/>
        </w:rPr>
        <w:t>10</w:t>
      </w:r>
      <w:r w:rsidR="00AD1731" w:rsidRPr="00843F53">
        <w:rPr>
          <w:snapToGrid w:val="0"/>
          <w:kern w:val="22"/>
          <w:szCs w:val="22"/>
          <w:lang w:val="es-ES"/>
        </w:rPr>
        <w:t xml:space="preserve"> </w:t>
      </w:r>
      <w:r w:rsidRPr="00843F53">
        <w:rPr>
          <w:snapToGrid w:val="0"/>
          <w:kern w:val="22"/>
          <w:szCs w:val="22"/>
          <w:lang w:val="es-ES"/>
        </w:rPr>
        <w:t>del pr</w:t>
      </w:r>
      <w:r w:rsidR="00AD1731" w:rsidRPr="00843F53">
        <w:rPr>
          <w:snapToGrid w:val="0"/>
          <w:kern w:val="22"/>
          <w:szCs w:val="22"/>
          <w:lang w:val="es-ES"/>
        </w:rPr>
        <w:t>o</w:t>
      </w:r>
      <w:r w:rsidRPr="00843F53">
        <w:rPr>
          <w:snapToGrid w:val="0"/>
          <w:kern w:val="22"/>
          <w:szCs w:val="22"/>
          <w:lang w:val="es-ES"/>
        </w:rPr>
        <w:t>grama</w:t>
      </w:r>
      <w:r w:rsidR="00AD1731" w:rsidRPr="00843F53">
        <w:rPr>
          <w:snapToGrid w:val="0"/>
          <w:kern w:val="22"/>
          <w:szCs w:val="22"/>
          <w:lang w:val="es-ES"/>
        </w:rPr>
        <w:t xml:space="preserve"> provisional</w:t>
      </w:r>
      <w:r w:rsidR="00155F98" w:rsidRPr="00843F53">
        <w:rPr>
          <w:rStyle w:val="FootnoteReference"/>
          <w:snapToGrid w:val="0"/>
          <w:kern w:val="22"/>
          <w:sz w:val="22"/>
          <w:szCs w:val="22"/>
          <w:u w:val="none"/>
          <w:lang w:val="es-ES"/>
        </w:rPr>
        <w:footnoteReference w:customMarkFollows="1" w:id="1"/>
        <w:t>*</w:t>
      </w:r>
    </w:p>
    <w:p w:rsidR="00933415" w:rsidRPr="00843F53" w:rsidRDefault="006D120B" w:rsidP="006D120B">
      <w:pPr>
        <w:pStyle w:val="HEADINGNOTFORTOC"/>
        <w:tabs>
          <w:tab w:val="clear" w:pos="720"/>
        </w:tabs>
        <w:spacing w:before="120"/>
        <w:rPr>
          <w:rFonts w:cs="Times New Roman"/>
          <w:snapToGrid w:val="0"/>
          <w:kern w:val="22"/>
          <w:szCs w:val="22"/>
          <w:lang w:val="es-ES"/>
        </w:rPr>
      </w:pPr>
      <w:r w:rsidRPr="00843F53">
        <w:rPr>
          <w:rFonts w:cs="Times New Roman"/>
          <w:bCs/>
          <w:snapToGrid w:val="0"/>
          <w:kern w:val="22"/>
          <w:szCs w:val="22"/>
          <w:lang w:val="es-ES"/>
        </w:rPr>
        <w:t>Creación de capacidad, cooperación científica y técnica, transferencia de tecnología y el mecanismo de facilitación</w:t>
      </w:r>
    </w:p>
    <w:p w:rsidR="00E26FA0" w:rsidRPr="00843F53" w:rsidRDefault="00E26FA0" w:rsidP="001C55E5">
      <w:pPr>
        <w:jc w:val="center"/>
        <w:rPr>
          <w:rFonts w:cs="Times New Roman"/>
          <w:i/>
          <w:szCs w:val="22"/>
          <w:lang w:val="es-ES"/>
        </w:rPr>
      </w:pPr>
      <w:r w:rsidRPr="00843F53">
        <w:rPr>
          <w:rFonts w:cs="Times New Roman"/>
          <w:i/>
          <w:szCs w:val="22"/>
          <w:lang w:val="es-ES"/>
        </w:rPr>
        <w:t>Not</w:t>
      </w:r>
      <w:r w:rsidR="001C55E5" w:rsidRPr="00843F53">
        <w:rPr>
          <w:rFonts w:cs="Times New Roman"/>
          <w:i/>
          <w:szCs w:val="22"/>
          <w:lang w:val="es-ES"/>
        </w:rPr>
        <w:t>a d</w:t>
      </w:r>
      <w:r w:rsidRPr="00843F53">
        <w:rPr>
          <w:rFonts w:cs="Times New Roman"/>
          <w:i/>
          <w:szCs w:val="22"/>
          <w:lang w:val="es-ES"/>
        </w:rPr>
        <w:t xml:space="preserve">e </w:t>
      </w:r>
      <w:r w:rsidR="001C55E5" w:rsidRPr="00843F53">
        <w:rPr>
          <w:rFonts w:cs="Times New Roman"/>
          <w:i/>
          <w:szCs w:val="22"/>
          <w:lang w:val="es-ES"/>
        </w:rPr>
        <w:t>la</w:t>
      </w:r>
      <w:r w:rsidRPr="00843F53">
        <w:rPr>
          <w:rFonts w:cs="Times New Roman"/>
          <w:i/>
          <w:szCs w:val="22"/>
          <w:lang w:val="es-ES"/>
        </w:rPr>
        <w:t xml:space="preserve"> Secretar</w:t>
      </w:r>
      <w:r w:rsidR="001C55E5" w:rsidRPr="00843F53">
        <w:rPr>
          <w:rFonts w:cs="Times New Roman"/>
          <w:i/>
          <w:szCs w:val="22"/>
          <w:lang w:val="es-ES"/>
        </w:rPr>
        <w:t>ia Ejecutiva</w:t>
      </w:r>
    </w:p>
    <w:p w:rsidR="00E26FA0" w:rsidRPr="00843F53" w:rsidRDefault="00E26FA0" w:rsidP="001C55E5">
      <w:pPr>
        <w:pStyle w:val="Heading1centred"/>
        <w:numPr>
          <w:ilvl w:val="0"/>
          <w:numId w:val="17"/>
        </w:numPr>
        <w:rPr>
          <w:szCs w:val="22"/>
          <w:lang w:val="es-ES"/>
        </w:rPr>
      </w:pPr>
      <w:r w:rsidRPr="00843F53">
        <w:rPr>
          <w:szCs w:val="22"/>
          <w:lang w:val="es-ES"/>
        </w:rPr>
        <w:t>INTRODUC</w:t>
      </w:r>
      <w:r w:rsidR="001C55E5" w:rsidRPr="00843F53">
        <w:rPr>
          <w:szCs w:val="22"/>
          <w:lang w:val="es-ES"/>
        </w:rPr>
        <w:t>c</w:t>
      </w:r>
      <w:r w:rsidRPr="00843F53">
        <w:rPr>
          <w:szCs w:val="22"/>
          <w:lang w:val="es-ES"/>
        </w:rPr>
        <w:t>I</w:t>
      </w:r>
      <w:r w:rsidR="001C55E5" w:rsidRPr="00843F53">
        <w:rPr>
          <w:szCs w:val="22"/>
          <w:lang w:val="es-ES"/>
        </w:rPr>
        <w:t>ó</w:t>
      </w:r>
      <w:r w:rsidRPr="00843F53">
        <w:rPr>
          <w:szCs w:val="22"/>
          <w:lang w:val="es-ES"/>
        </w:rPr>
        <w:t>N</w:t>
      </w:r>
      <w:bookmarkStart w:id="1" w:name="_GoBack"/>
      <w:bookmarkEnd w:id="1"/>
    </w:p>
    <w:p w:rsidR="006F7C80" w:rsidRPr="00843F53" w:rsidRDefault="006F7C80" w:rsidP="006F7C80">
      <w:pPr>
        <w:pStyle w:val="Para1"/>
        <w:numPr>
          <w:ilvl w:val="0"/>
          <w:numId w:val="14"/>
        </w:numPr>
        <w:suppressLineNumbers/>
        <w:tabs>
          <w:tab w:val="num" w:pos="720"/>
        </w:tabs>
        <w:suppressAutoHyphens/>
        <w:spacing w:before="120"/>
        <w:ind w:left="0" w:firstLine="0"/>
        <w:rPr>
          <w:rFonts w:eastAsia="Times New Roman"/>
          <w:kern w:val="22"/>
          <w:szCs w:val="22"/>
          <w:lang w:val="es-ES"/>
        </w:rPr>
      </w:pPr>
      <w:r w:rsidRPr="00843F53">
        <w:rPr>
          <w:rFonts w:eastAsia="Times New Roman"/>
          <w:kern w:val="22"/>
          <w:szCs w:val="22"/>
          <w:lang w:val="es-ES"/>
        </w:rPr>
        <w:t xml:space="preserve">En </w:t>
      </w:r>
      <w:r w:rsidR="00B5771D">
        <w:rPr>
          <w:rFonts w:eastAsia="Times New Roman"/>
          <w:kern w:val="22"/>
          <w:szCs w:val="22"/>
          <w:lang w:val="es-ES"/>
        </w:rPr>
        <w:t>su 13ª reunión</w:t>
      </w:r>
      <w:r w:rsidR="002A414A">
        <w:rPr>
          <w:rFonts w:eastAsia="Times New Roman"/>
          <w:kern w:val="22"/>
          <w:szCs w:val="22"/>
          <w:lang w:val="es-ES"/>
        </w:rPr>
        <w:t>,</w:t>
      </w:r>
      <w:r w:rsidRPr="00843F53">
        <w:rPr>
          <w:rFonts w:eastAsia="Times New Roman"/>
          <w:kern w:val="22"/>
          <w:szCs w:val="22"/>
          <w:lang w:val="es-ES"/>
        </w:rPr>
        <w:t xml:space="preserve"> la Conferencia de las Partes adoptó un plan de acción a corto plazo (2017-2020) para mejorar y apoyar la creación de capacidad para la aplicación del Convenio y sus Protocolos y pidió al Secretario Ejecutivo que apoyara y facilitara </w:t>
      </w:r>
      <w:r w:rsidRPr="00843F53">
        <w:rPr>
          <w:rFonts w:eastAsia="Times New Roman"/>
          <w:kern w:val="20"/>
          <w:szCs w:val="22"/>
          <w:lang w:val="es-ES"/>
        </w:rPr>
        <w:t>su implementación</w:t>
      </w:r>
      <w:r w:rsidRPr="00843F53">
        <w:rPr>
          <w:rFonts w:eastAsia="Times New Roman"/>
          <w:kern w:val="22"/>
          <w:szCs w:val="22"/>
          <w:lang w:val="es-ES"/>
        </w:rPr>
        <w:t xml:space="preserve">, en </w:t>
      </w:r>
      <w:r w:rsidRPr="00843F53">
        <w:rPr>
          <w:rFonts w:eastAsia="Times New Roman"/>
          <w:kern w:val="20"/>
          <w:szCs w:val="22"/>
          <w:lang w:val="es-ES"/>
        </w:rPr>
        <w:t xml:space="preserve">colaboración con asociados, según procediera </w:t>
      </w:r>
      <w:r w:rsidRPr="00843F53">
        <w:rPr>
          <w:rFonts w:eastAsia="Times New Roman"/>
          <w:kern w:val="22"/>
          <w:szCs w:val="22"/>
          <w:lang w:val="es-ES"/>
        </w:rPr>
        <w:t xml:space="preserve">(párrs. 3 y 15 d) de la decisión </w:t>
      </w:r>
      <w:hyperlink r:id="rId11" w:history="1">
        <w:r w:rsidRPr="00843F53">
          <w:rPr>
            <w:rStyle w:val="Hyperlink"/>
            <w:rFonts w:eastAsia="Times New Roman"/>
            <w:kern w:val="22"/>
            <w:szCs w:val="22"/>
            <w:lang w:val="es-ES"/>
          </w:rPr>
          <w:t>XIII/23</w:t>
        </w:r>
      </w:hyperlink>
      <w:r w:rsidRPr="00843F53">
        <w:rPr>
          <w:rFonts w:eastAsia="Times New Roman"/>
          <w:kern w:val="22"/>
          <w:szCs w:val="22"/>
          <w:lang w:val="es-ES"/>
        </w:rPr>
        <w:t xml:space="preserve">). </w:t>
      </w:r>
      <w:r w:rsidRPr="00843F53">
        <w:rPr>
          <w:rFonts w:eastAsia="Times New Roman"/>
          <w:szCs w:val="22"/>
          <w:lang w:val="es-ES"/>
        </w:rPr>
        <w:t>La Conferencia de las Partes también pidió al Secretario Ejecutivo que iniciara un proceso de preparación de un marco estratégico a largo plazo para la creación de capacidad después de 2020, asegurando que estuviera en armonía con el instrumento sucesor del Plan Estratégico para la Diversidad Biológica 2011-2020 y la labor de los Protocolos, con miras a identificar oportunamente las acciones prioritarias de creación de capacidad.</w:t>
      </w:r>
      <w:r w:rsidRPr="00843F53">
        <w:rPr>
          <w:rFonts w:eastAsia="Times New Roman"/>
          <w:kern w:val="20"/>
          <w:szCs w:val="22"/>
          <w:lang w:val="es-ES"/>
        </w:rPr>
        <w:t xml:space="preserve"> </w:t>
      </w:r>
      <w:r w:rsidR="00233FAB">
        <w:rPr>
          <w:rFonts w:eastAsia="Times New Roman"/>
          <w:kern w:val="20"/>
          <w:szCs w:val="22"/>
          <w:lang w:val="es-ES"/>
        </w:rPr>
        <w:t>S</w:t>
      </w:r>
      <w:r w:rsidRPr="00843F53">
        <w:rPr>
          <w:rFonts w:eastAsia="Times New Roman"/>
          <w:kern w:val="20"/>
          <w:szCs w:val="22"/>
          <w:lang w:val="es-ES"/>
        </w:rPr>
        <w:t xml:space="preserve">e pidió al Secretario Ejecutivo que </w:t>
      </w:r>
      <w:r w:rsidR="00233FAB">
        <w:rPr>
          <w:rFonts w:eastAsia="Times New Roman"/>
          <w:kern w:val="20"/>
          <w:szCs w:val="22"/>
          <w:lang w:val="es-ES"/>
        </w:rPr>
        <w:t>en el contexto de ese proceso</w:t>
      </w:r>
      <w:r w:rsidR="00233FAB" w:rsidRPr="00843F53">
        <w:rPr>
          <w:rFonts w:eastAsia="Times New Roman"/>
          <w:kern w:val="20"/>
          <w:szCs w:val="22"/>
          <w:lang w:val="es-ES"/>
        </w:rPr>
        <w:t xml:space="preserve"> </w:t>
      </w:r>
      <w:r w:rsidRPr="00843F53">
        <w:rPr>
          <w:rFonts w:eastAsia="Times New Roman"/>
          <w:kern w:val="20"/>
          <w:szCs w:val="22"/>
          <w:lang w:val="es-ES"/>
        </w:rPr>
        <w:t xml:space="preserve">preparara el mandato para un estudio que </w:t>
      </w:r>
      <w:r w:rsidRPr="00843F53">
        <w:rPr>
          <w:rFonts w:eastAsia="Times New Roman"/>
          <w:kern w:val="22"/>
          <w:szCs w:val="22"/>
          <w:lang w:val="es-ES"/>
        </w:rPr>
        <w:t>proporcionara la base de conocimientos para preparar e</w:t>
      </w:r>
      <w:r w:rsidR="00233FAB">
        <w:rPr>
          <w:rFonts w:eastAsia="Times New Roman"/>
          <w:kern w:val="22"/>
          <w:szCs w:val="22"/>
          <w:lang w:val="es-ES"/>
        </w:rPr>
        <w:t>se</w:t>
      </w:r>
      <w:r w:rsidRPr="00843F53">
        <w:rPr>
          <w:rFonts w:eastAsia="Times New Roman"/>
          <w:kern w:val="22"/>
          <w:szCs w:val="22"/>
          <w:lang w:val="es-ES"/>
        </w:rPr>
        <w:t xml:space="preserve"> marco e</w:t>
      </w:r>
      <w:r w:rsidRPr="00843F53">
        <w:rPr>
          <w:rFonts w:eastAsia="Times New Roman"/>
          <w:kern w:val="20"/>
          <w:szCs w:val="22"/>
          <w:lang w:val="es-ES"/>
        </w:rPr>
        <w:t>stratégico</w:t>
      </w:r>
      <w:r w:rsidR="00233FAB">
        <w:rPr>
          <w:rFonts w:eastAsia="Times New Roman"/>
          <w:kern w:val="20"/>
          <w:szCs w:val="22"/>
          <w:lang w:val="es-ES"/>
        </w:rPr>
        <w:t xml:space="preserve">, de manera que </w:t>
      </w:r>
      <w:r w:rsidR="00262C3E">
        <w:rPr>
          <w:rFonts w:eastAsia="Times New Roman"/>
          <w:kern w:val="20"/>
          <w:szCs w:val="22"/>
          <w:lang w:val="es-ES"/>
        </w:rPr>
        <w:t xml:space="preserve">lo pudiera </w:t>
      </w:r>
      <w:r w:rsidR="00262C3E" w:rsidRPr="00843F53">
        <w:rPr>
          <w:rFonts w:eastAsia="Times New Roman"/>
          <w:kern w:val="22"/>
          <w:szCs w:val="22"/>
          <w:lang w:val="es-ES"/>
        </w:rPr>
        <w:t xml:space="preserve">considerar </w:t>
      </w:r>
      <w:r w:rsidR="00233FAB" w:rsidRPr="00843F53">
        <w:rPr>
          <w:rFonts w:eastAsia="Times New Roman"/>
          <w:kern w:val="22"/>
          <w:szCs w:val="22"/>
          <w:lang w:val="es-ES"/>
        </w:rPr>
        <w:t xml:space="preserve">el Órgano Subsidiario sobre la Aplicación </w:t>
      </w:r>
      <w:r w:rsidRPr="00843F53">
        <w:rPr>
          <w:rFonts w:eastAsia="Times New Roman"/>
          <w:kern w:val="22"/>
          <w:szCs w:val="22"/>
          <w:lang w:val="es-ES"/>
        </w:rPr>
        <w:t xml:space="preserve">en su segunda reunión y posteriormente la </w:t>
      </w:r>
      <w:r w:rsidRPr="00843F53">
        <w:rPr>
          <w:rFonts w:eastAsia="Times New Roman"/>
          <w:kern w:val="20"/>
          <w:szCs w:val="22"/>
          <w:lang w:val="es-ES"/>
        </w:rPr>
        <w:t>Conferen</w:t>
      </w:r>
      <w:r w:rsidR="005874E1" w:rsidRPr="00843F53">
        <w:rPr>
          <w:rFonts w:eastAsia="Times New Roman"/>
          <w:kern w:val="20"/>
          <w:szCs w:val="22"/>
          <w:lang w:val="es-ES"/>
        </w:rPr>
        <w:t>cia de las Partes en su 14ª reu</w:t>
      </w:r>
      <w:r w:rsidRPr="00843F53">
        <w:rPr>
          <w:rFonts w:eastAsia="Times New Roman"/>
          <w:kern w:val="20"/>
          <w:szCs w:val="22"/>
          <w:lang w:val="es-ES"/>
        </w:rPr>
        <w:t>nión</w:t>
      </w:r>
      <w:r w:rsidRPr="00843F53">
        <w:rPr>
          <w:rFonts w:eastAsia="Times New Roman"/>
          <w:kern w:val="22"/>
          <w:szCs w:val="22"/>
          <w:lang w:val="es-ES"/>
        </w:rPr>
        <w:t xml:space="preserve"> (párrafos 15 m) y 15 n) de la decisión XIII/23).</w:t>
      </w:r>
    </w:p>
    <w:p w:rsidR="006F7C80" w:rsidRPr="00843F53" w:rsidRDefault="006F7C80" w:rsidP="006F7C80">
      <w:pPr>
        <w:pStyle w:val="Para1"/>
        <w:numPr>
          <w:ilvl w:val="0"/>
          <w:numId w:val="14"/>
        </w:numPr>
        <w:suppressLineNumbers/>
        <w:tabs>
          <w:tab w:val="num" w:pos="720"/>
        </w:tabs>
        <w:suppressAutoHyphens/>
        <w:spacing w:before="120"/>
        <w:ind w:left="0" w:firstLine="0"/>
        <w:rPr>
          <w:rFonts w:eastAsia="Times New Roman"/>
          <w:szCs w:val="22"/>
          <w:lang w:val="es-ES"/>
        </w:rPr>
      </w:pPr>
      <w:r w:rsidRPr="00843F53">
        <w:rPr>
          <w:rFonts w:eastAsia="Times New Roman"/>
          <w:szCs w:val="22"/>
          <w:lang w:val="es-ES"/>
        </w:rPr>
        <w:t xml:space="preserve">En su </w:t>
      </w:r>
      <w:r w:rsidRPr="00843F53">
        <w:rPr>
          <w:rFonts w:eastAsia="Times New Roman"/>
          <w:kern w:val="22"/>
          <w:szCs w:val="22"/>
          <w:lang w:val="es-ES"/>
        </w:rPr>
        <w:t xml:space="preserve">decisión </w:t>
      </w:r>
      <w:hyperlink r:id="rId12" w:history="1">
        <w:r w:rsidRPr="00843F53">
          <w:rPr>
            <w:rStyle w:val="Hyperlink"/>
            <w:rFonts w:eastAsia="Times New Roman"/>
            <w:kern w:val="22"/>
            <w:szCs w:val="22"/>
            <w:lang w:val="es-ES"/>
          </w:rPr>
          <w:t>BS-VI/3</w:t>
        </w:r>
      </w:hyperlink>
      <w:r w:rsidRPr="00843F53">
        <w:rPr>
          <w:rFonts w:eastAsia="Times New Roman"/>
          <w:kern w:val="22"/>
          <w:szCs w:val="22"/>
          <w:lang w:val="es-ES"/>
        </w:rPr>
        <w:t xml:space="preserve">, </w:t>
      </w:r>
      <w:r w:rsidRPr="00843F53">
        <w:rPr>
          <w:rFonts w:eastAsia="Times New Roman"/>
          <w:szCs w:val="22"/>
          <w:lang w:val="es-ES"/>
        </w:rPr>
        <w:t xml:space="preserve">la Conferencia de las Partes que actúa como reunión de las Partes en el Protocolo de Cartagena sobre Seguridad de la Biotecnología </w:t>
      </w:r>
      <w:r w:rsidR="002A414A">
        <w:rPr>
          <w:rFonts w:eastAsia="Times New Roman"/>
          <w:szCs w:val="22"/>
          <w:lang w:val="es-ES"/>
        </w:rPr>
        <w:t xml:space="preserve">adoptó </w:t>
      </w:r>
      <w:r w:rsidRPr="00843F53">
        <w:rPr>
          <w:rFonts w:eastAsia="Times New Roman"/>
          <w:szCs w:val="22"/>
          <w:lang w:val="es-ES"/>
        </w:rPr>
        <w:t>también un Marco y Plan de Acción de Creación de Capacidad para la Aplicación Ef</w:t>
      </w:r>
      <w:r w:rsidR="00D52DD4">
        <w:rPr>
          <w:rFonts w:eastAsia="Times New Roman"/>
          <w:szCs w:val="22"/>
          <w:lang w:val="es-ES"/>
        </w:rPr>
        <w:t>ect</w:t>
      </w:r>
      <w:r w:rsidRPr="00843F53">
        <w:rPr>
          <w:rFonts w:eastAsia="Times New Roman"/>
          <w:szCs w:val="22"/>
          <w:lang w:val="es-ES"/>
        </w:rPr>
        <w:t>i</w:t>
      </w:r>
      <w:r w:rsidR="00D52DD4">
        <w:rPr>
          <w:rFonts w:eastAsia="Times New Roman"/>
          <w:szCs w:val="22"/>
          <w:lang w:val="es-ES"/>
        </w:rPr>
        <w:t>v</w:t>
      </w:r>
      <w:r w:rsidRPr="00843F53">
        <w:rPr>
          <w:rFonts w:eastAsia="Times New Roman"/>
          <w:szCs w:val="22"/>
          <w:lang w:val="es-ES"/>
        </w:rPr>
        <w:t>a del Protocolo de Cartagena</w:t>
      </w:r>
      <w:r w:rsidR="002A414A">
        <w:rPr>
          <w:rFonts w:eastAsia="Times New Roman"/>
          <w:szCs w:val="22"/>
          <w:lang w:val="es-ES"/>
        </w:rPr>
        <w:t xml:space="preserve"> </w:t>
      </w:r>
      <w:r w:rsidR="002A414A" w:rsidRPr="00843F53">
        <w:rPr>
          <w:rFonts w:eastAsia="Times New Roman"/>
          <w:szCs w:val="22"/>
          <w:lang w:val="es-ES"/>
        </w:rPr>
        <w:t>sob</w:t>
      </w:r>
      <w:r w:rsidR="002A414A">
        <w:rPr>
          <w:rFonts w:eastAsia="Times New Roman"/>
          <w:szCs w:val="22"/>
          <w:lang w:val="es-ES"/>
        </w:rPr>
        <w:t>re Seguridad de la Biotecnología</w:t>
      </w:r>
      <w:r w:rsidRPr="00843F53">
        <w:rPr>
          <w:rFonts w:eastAsia="Times New Roman"/>
          <w:szCs w:val="22"/>
          <w:lang w:val="es-ES"/>
        </w:rPr>
        <w:t xml:space="preserve">, y decidió </w:t>
      </w:r>
      <w:r w:rsidR="002A414A">
        <w:rPr>
          <w:rFonts w:eastAsia="Times New Roman"/>
          <w:szCs w:val="22"/>
          <w:lang w:val="es-ES"/>
        </w:rPr>
        <w:t xml:space="preserve">que </w:t>
      </w:r>
      <w:r w:rsidRPr="00843F53">
        <w:rPr>
          <w:rFonts w:eastAsia="Times New Roman"/>
          <w:szCs w:val="22"/>
          <w:lang w:val="es-ES"/>
        </w:rPr>
        <w:t>examinar</w:t>
      </w:r>
      <w:r w:rsidR="002A414A">
        <w:rPr>
          <w:rFonts w:eastAsia="Times New Roman"/>
          <w:szCs w:val="22"/>
          <w:lang w:val="es-ES"/>
        </w:rPr>
        <w:t>ía</w:t>
      </w:r>
      <w:r w:rsidRPr="00843F53">
        <w:rPr>
          <w:rFonts w:eastAsia="Times New Roman"/>
          <w:szCs w:val="22"/>
          <w:lang w:val="es-ES"/>
        </w:rPr>
        <w:t xml:space="preserve"> el Marco en la octava reunión de las </w:t>
      </w:r>
      <w:r w:rsidRPr="00843F53">
        <w:rPr>
          <w:rFonts w:eastAsia="Times New Roman"/>
          <w:kern w:val="22"/>
          <w:szCs w:val="22"/>
          <w:lang w:val="es-ES"/>
        </w:rPr>
        <w:t xml:space="preserve">Partes. Como resultado de ese examen, la octava reunión de las Partes en el Protocolo decidió mantener el Marco y Plan de Acción hasta 2020 (decisión </w:t>
      </w:r>
      <w:hyperlink r:id="rId13" w:history="1">
        <w:r w:rsidRPr="00843F53">
          <w:rPr>
            <w:rStyle w:val="Hyperlink"/>
            <w:rFonts w:eastAsia="Times New Roman"/>
            <w:kern w:val="22"/>
            <w:szCs w:val="22"/>
            <w:lang w:val="es-ES"/>
          </w:rPr>
          <w:t>CP-VIII/3</w:t>
        </w:r>
      </w:hyperlink>
      <w:r w:rsidRPr="00843F53">
        <w:rPr>
          <w:rFonts w:eastAsia="Times New Roman"/>
          <w:kern w:val="22"/>
          <w:szCs w:val="22"/>
          <w:lang w:val="es-ES"/>
        </w:rPr>
        <w:t>).</w:t>
      </w:r>
    </w:p>
    <w:p w:rsidR="0002134D" w:rsidRPr="00843F53" w:rsidRDefault="0002134D" w:rsidP="005874E1">
      <w:pPr>
        <w:pStyle w:val="Para1"/>
        <w:numPr>
          <w:ilvl w:val="0"/>
          <w:numId w:val="14"/>
        </w:numPr>
        <w:suppressLineNumbers/>
        <w:tabs>
          <w:tab w:val="num" w:pos="720"/>
        </w:tabs>
        <w:suppressAutoHyphens/>
        <w:spacing w:before="120"/>
        <w:ind w:left="0" w:firstLine="0"/>
        <w:rPr>
          <w:rFonts w:eastAsia="Times New Roman"/>
          <w:szCs w:val="22"/>
          <w:lang w:val="es-ES"/>
        </w:rPr>
      </w:pPr>
      <w:r w:rsidRPr="00843F53">
        <w:rPr>
          <w:rFonts w:eastAsia="Times New Roman"/>
          <w:kern w:val="22"/>
          <w:szCs w:val="22"/>
          <w:lang w:val="es-ES"/>
        </w:rPr>
        <w:t xml:space="preserve">Análogamente, la Conferencia de las Partes que actúa como reunión de las Partes en el Protocolo de Nagoya, en su </w:t>
      </w:r>
      <w:hyperlink r:id="rId14" w:history="1">
        <w:r w:rsidRPr="00843F53">
          <w:rPr>
            <w:rStyle w:val="Hyperlink"/>
            <w:rFonts w:eastAsia="Times New Roman"/>
            <w:szCs w:val="22"/>
            <w:lang w:val="es-ES"/>
          </w:rPr>
          <w:t>decisión NP-1/8</w:t>
        </w:r>
      </w:hyperlink>
      <w:r w:rsidRPr="00843F53">
        <w:rPr>
          <w:rFonts w:eastAsia="Times New Roman"/>
          <w:kern w:val="22"/>
          <w:szCs w:val="22"/>
          <w:lang w:val="es-ES"/>
        </w:rPr>
        <w:t>, adoptó un marco estratégico para la creación y</w:t>
      </w:r>
      <w:r w:rsidR="004E3A95">
        <w:rPr>
          <w:rFonts w:eastAsia="Times New Roman"/>
          <w:kern w:val="22"/>
          <w:szCs w:val="22"/>
          <w:lang w:val="es-ES"/>
        </w:rPr>
        <w:t xml:space="preserve"> el</w:t>
      </w:r>
      <w:r w:rsidRPr="00843F53">
        <w:rPr>
          <w:rFonts w:eastAsia="Times New Roman"/>
          <w:kern w:val="22"/>
          <w:szCs w:val="22"/>
          <w:lang w:val="es-ES"/>
        </w:rPr>
        <w:t xml:space="preserve"> desarrollo de capacidad en apoyo a la aplicación del Protocolo de Nagoya que abarca el período hasta 2020. En el párrafo 10</w:t>
      </w:r>
      <w:r w:rsidR="004E3A95">
        <w:rPr>
          <w:rFonts w:eastAsia="Times New Roman"/>
          <w:kern w:val="22"/>
          <w:szCs w:val="22"/>
          <w:lang w:val="es-ES"/>
        </w:rPr>
        <w:t> </w:t>
      </w:r>
      <w:r w:rsidRPr="00843F53">
        <w:rPr>
          <w:rFonts w:eastAsia="Times New Roman"/>
          <w:kern w:val="22"/>
          <w:szCs w:val="22"/>
          <w:lang w:val="es-ES"/>
        </w:rPr>
        <w:t xml:space="preserve">f) de esa misma decisión, se pidió al Secretario Ejecutivo que preparara una evaluación del marco estratégico en 2019 y presentara un informe de evaluación para consideración de la cuarta reunión </w:t>
      </w:r>
      <w:r w:rsidRPr="00843F53">
        <w:rPr>
          <w:rFonts w:eastAsia="Times New Roman"/>
          <w:kern w:val="22"/>
          <w:szCs w:val="22"/>
          <w:lang w:val="es-ES"/>
        </w:rPr>
        <w:lastRenderedPageBreak/>
        <w:t>de las Partes en el Protocolo de Nagoya en 2020 con el fin de facilitar su examen y posible revisión en conjunto con el examen del Plan Estratégico para la Diversidad Biológica 2011-2020</w:t>
      </w:r>
      <w:r w:rsidRPr="00843F53">
        <w:rPr>
          <w:rStyle w:val="StyleFootnoteReferencenumberFootnoteReferenceSuperscript-EF"/>
          <w:rFonts w:eastAsia="Times New Roman"/>
          <w:sz w:val="22"/>
          <w:szCs w:val="22"/>
          <w:lang w:val="es-ES"/>
        </w:rPr>
        <w:footnoteReference w:id="2"/>
      </w:r>
      <w:r w:rsidRPr="00843F53">
        <w:rPr>
          <w:rFonts w:eastAsia="Times New Roman"/>
          <w:kern w:val="22"/>
          <w:szCs w:val="22"/>
          <w:lang w:val="es-ES"/>
        </w:rPr>
        <w:t>.</w:t>
      </w:r>
    </w:p>
    <w:p w:rsidR="00361672" w:rsidRPr="00262C3E" w:rsidRDefault="00361672" w:rsidP="00ED669A">
      <w:pPr>
        <w:pStyle w:val="Para1"/>
        <w:numPr>
          <w:ilvl w:val="0"/>
          <w:numId w:val="14"/>
        </w:numPr>
        <w:suppressLineNumbers/>
        <w:tabs>
          <w:tab w:val="num" w:pos="720"/>
        </w:tabs>
        <w:suppressAutoHyphens/>
        <w:spacing w:after="0"/>
        <w:ind w:left="0" w:firstLine="0"/>
        <w:rPr>
          <w:rFonts w:eastAsia="Times New Roman"/>
          <w:kern w:val="22"/>
          <w:szCs w:val="22"/>
          <w:lang w:val="es-ES"/>
        </w:rPr>
      </w:pPr>
      <w:r w:rsidRPr="00262C3E">
        <w:rPr>
          <w:rFonts w:eastAsia="Times New Roman"/>
          <w:kern w:val="22"/>
          <w:szCs w:val="22"/>
          <w:lang w:val="es-ES"/>
        </w:rPr>
        <w:t>Asimismo, en su 13ª reunión, la Conferencia de las Partes</w:t>
      </w:r>
      <w:r w:rsidRPr="00262C3E">
        <w:rPr>
          <w:rFonts w:eastAsia="Times New Roman"/>
          <w:kern w:val="20"/>
          <w:szCs w:val="22"/>
          <w:lang w:val="es-ES"/>
        </w:rPr>
        <w:t xml:space="preserve"> invitó a las Partes y otros Gobiernos a que contribuyeran con la cooperación científica y técnica y estimularan y apoyaran </w:t>
      </w:r>
      <w:r w:rsidR="00BA367F" w:rsidRPr="00262C3E">
        <w:rPr>
          <w:rFonts w:eastAsia="Times New Roman"/>
          <w:kern w:val="20"/>
          <w:szCs w:val="22"/>
          <w:lang w:val="es-ES"/>
        </w:rPr>
        <w:t>a</w:t>
      </w:r>
      <w:r w:rsidRPr="00262C3E">
        <w:rPr>
          <w:rFonts w:eastAsia="Times New Roman"/>
          <w:kern w:val="20"/>
          <w:szCs w:val="22"/>
          <w:lang w:val="es-ES"/>
        </w:rPr>
        <w:t xml:space="preserve"> instituciones</w:t>
      </w:r>
      <w:r w:rsidR="00D93D6F" w:rsidRPr="00262C3E">
        <w:rPr>
          <w:rFonts w:eastAsia="Times New Roman"/>
          <w:kern w:val="20"/>
          <w:szCs w:val="22"/>
          <w:lang w:val="es-ES"/>
        </w:rPr>
        <w:t xml:space="preserve"> </w:t>
      </w:r>
      <w:r w:rsidRPr="00262C3E">
        <w:rPr>
          <w:rFonts w:eastAsia="Times New Roman"/>
          <w:kern w:val="20"/>
          <w:szCs w:val="22"/>
          <w:lang w:val="es-ES"/>
        </w:rPr>
        <w:t xml:space="preserve">nacionales o regionales pertinentes </w:t>
      </w:r>
      <w:r w:rsidR="00262C3E" w:rsidRPr="00262C3E">
        <w:rPr>
          <w:rFonts w:eastAsia="Times New Roman"/>
          <w:kern w:val="20"/>
          <w:szCs w:val="22"/>
          <w:lang w:val="es-ES"/>
        </w:rPr>
        <w:t>par</w:t>
      </w:r>
      <w:r w:rsidRPr="00262C3E">
        <w:rPr>
          <w:rFonts w:eastAsia="Times New Roman"/>
          <w:kern w:val="20"/>
          <w:szCs w:val="22"/>
          <w:lang w:val="es-ES"/>
        </w:rPr>
        <w:t>a que</w:t>
      </w:r>
      <w:r w:rsidR="00BA367F" w:rsidRPr="00262C3E">
        <w:rPr>
          <w:rFonts w:eastAsia="Times New Roman"/>
          <w:kern w:val="20"/>
          <w:szCs w:val="22"/>
          <w:lang w:val="es-ES"/>
        </w:rPr>
        <w:t xml:space="preserve"> también lo hicieran </w:t>
      </w:r>
      <w:r w:rsidRPr="00262C3E">
        <w:rPr>
          <w:rFonts w:eastAsia="Times New Roman"/>
          <w:kern w:val="20"/>
          <w:szCs w:val="22"/>
          <w:lang w:val="es-ES"/>
        </w:rPr>
        <w:t>(</w:t>
      </w:r>
      <w:r w:rsidRPr="00262C3E">
        <w:rPr>
          <w:rFonts w:eastAsia="Times New Roman"/>
          <w:kern w:val="22"/>
          <w:szCs w:val="22"/>
          <w:lang w:val="es-ES"/>
        </w:rPr>
        <w:t>decisión XIII/23, párrs. 6 y 7</w:t>
      </w:r>
      <w:r w:rsidRPr="00262C3E">
        <w:rPr>
          <w:rFonts w:eastAsia="Times New Roman"/>
          <w:kern w:val="20"/>
          <w:szCs w:val="22"/>
          <w:lang w:val="es-ES"/>
        </w:rPr>
        <w:t xml:space="preserve">). En la </w:t>
      </w:r>
      <w:r w:rsidR="00F70CC5" w:rsidRPr="00262C3E">
        <w:rPr>
          <w:rFonts w:eastAsia="Times New Roman"/>
          <w:kern w:val="22"/>
          <w:szCs w:val="22"/>
          <w:lang w:val="es-ES"/>
        </w:rPr>
        <w:t>decisión</w:t>
      </w:r>
      <w:r w:rsidRPr="00262C3E">
        <w:rPr>
          <w:rFonts w:eastAsia="Times New Roman"/>
          <w:kern w:val="22"/>
          <w:szCs w:val="22"/>
          <w:lang w:val="es-ES"/>
        </w:rPr>
        <w:t xml:space="preserve"> XIII/31, la Conferencia de las Partes acogió con satisfacción los esfuerzos en curso de organizaciones asociadas dirigidos a prestar apoyo a las Partes para abordar las necesidades científicas y técnicas relacionadas con la impl</w:t>
      </w:r>
      <w:r w:rsidR="00F70CC5" w:rsidRPr="00262C3E">
        <w:rPr>
          <w:rFonts w:eastAsia="Times New Roman"/>
          <w:kern w:val="22"/>
          <w:szCs w:val="22"/>
          <w:lang w:val="es-ES"/>
        </w:rPr>
        <w:t>e</w:t>
      </w:r>
      <w:r w:rsidRPr="00262C3E">
        <w:rPr>
          <w:rFonts w:eastAsia="Times New Roman"/>
          <w:kern w:val="22"/>
          <w:szCs w:val="22"/>
          <w:lang w:val="es-ES"/>
        </w:rPr>
        <w:t>ment</w:t>
      </w:r>
      <w:r w:rsidR="00F70CC5" w:rsidRPr="00262C3E">
        <w:rPr>
          <w:rFonts w:eastAsia="Times New Roman"/>
          <w:kern w:val="22"/>
          <w:szCs w:val="22"/>
          <w:lang w:val="es-ES"/>
        </w:rPr>
        <w:t>a</w:t>
      </w:r>
      <w:r w:rsidRPr="00262C3E">
        <w:rPr>
          <w:rFonts w:eastAsia="Times New Roman"/>
          <w:kern w:val="22"/>
          <w:szCs w:val="22"/>
          <w:lang w:val="es-ES"/>
        </w:rPr>
        <w:t>ción del Plan Estratégico para la Diversidad Biológica 2011</w:t>
      </w:r>
      <w:r w:rsidRPr="00262C3E">
        <w:rPr>
          <w:rFonts w:eastAsia="Times New Roman"/>
          <w:kern w:val="22"/>
          <w:szCs w:val="22"/>
          <w:lang w:val="es-ES"/>
        </w:rPr>
        <w:noBreakHyphen/>
        <w:t>2020 y pidió al Secretario Ejecutivo que en colaboración con asociados contin</w:t>
      </w:r>
      <w:r w:rsidR="00BA367F" w:rsidRPr="00262C3E">
        <w:rPr>
          <w:rFonts w:eastAsia="Times New Roman"/>
          <w:kern w:val="22"/>
          <w:szCs w:val="22"/>
          <w:lang w:val="es-ES"/>
        </w:rPr>
        <w:t>uara</w:t>
      </w:r>
      <w:r w:rsidRPr="00262C3E">
        <w:rPr>
          <w:rFonts w:eastAsia="Times New Roman"/>
          <w:kern w:val="22"/>
          <w:szCs w:val="22"/>
          <w:lang w:val="es-ES"/>
        </w:rPr>
        <w:t xml:space="preserve"> promoviendo el desarrollo coordinado de portales con miras a facilitar el acceso a herramientas y metodologías de apoyo a políticas, así como a estudios de caso relacionados. </w:t>
      </w:r>
      <w:r w:rsidRPr="00262C3E">
        <w:rPr>
          <w:rFonts w:eastAsia="Times New Roman"/>
          <w:kern w:val="20"/>
          <w:szCs w:val="22"/>
          <w:lang w:val="es-ES"/>
        </w:rPr>
        <w:t>En el párrafo 9 de su decisión XII/2 B anterior, la Conferencia de las Part</w:t>
      </w:r>
      <w:r w:rsidR="00ED669A" w:rsidRPr="00262C3E">
        <w:rPr>
          <w:rFonts w:eastAsia="Times New Roman"/>
          <w:kern w:val="20"/>
          <w:szCs w:val="22"/>
          <w:lang w:val="es-ES"/>
        </w:rPr>
        <w:t>e</w:t>
      </w:r>
      <w:r w:rsidRPr="00262C3E">
        <w:rPr>
          <w:rFonts w:eastAsia="Times New Roman"/>
          <w:kern w:val="20"/>
          <w:szCs w:val="22"/>
          <w:lang w:val="es-ES"/>
        </w:rPr>
        <w:t>s pidió al Secretario Ejecutivo que</w:t>
      </w:r>
      <w:r w:rsidRPr="00262C3E">
        <w:rPr>
          <w:rFonts w:eastAsia="Times New Roman"/>
          <w:kern w:val="22"/>
          <w:szCs w:val="22"/>
          <w:lang w:val="es-ES"/>
        </w:rPr>
        <w:t>, en colaboración con asociados, ayud</w:t>
      </w:r>
      <w:r w:rsidR="00BA367F" w:rsidRPr="00262C3E">
        <w:rPr>
          <w:rFonts w:eastAsia="Times New Roman"/>
          <w:kern w:val="22"/>
          <w:szCs w:val="22"/>
          <w:lang w:val="es-ES"/>
        </w:rPr>
        <w:t>ara</w:t>
      </w:r>
      <w:r w:rsidRPr="00262C3E">
        <w:rPr>
          <w:rFonts w:eastAsia="Times New Roman"/>
          <w:kern w:val="22"/>
          <w:szCs w:val="22"/>
          <w:lang w:val="es-ES"/>
        </w:rPr>
        <w:t xml:space="preserve"> a las </w:t>
      </w:r>
      <w:r w:rsidRPr="00262C3E">
        <w:rPr>
          <w:rFonts w:eastAsia="Times New Roman"/>
          <w:kern w:val="20"/>
          <w:szCs w:val="22"/>
          <w:lang w:val="es-ES"/>
        </w:rPr>
        <w:t xml:space="preserve">Partes a intensificar la cooperación científica y </w:t>
      </w:r>
      <w:r w:rsidRPr="00262C3E">
        <w:rPr>
          <w:rFonts w:eastAsia="Times New Roman"/>
          <w:kern w:val="22"/>
          <w:szCs w:val="22"/>
          <w:lang w:val="es-ES"/>
        </w:rPr>
        <w:t xml:space="preserve">técnica y la transferencia de tecnología con miras a apoyar la </w:t>
      </w:r>
      <w:r w:rsidR="000C575D" w:rsidRPr="00262C3E">
        <w:rPr>
          <w:rFonts w:eastAsia="Times New Roman"/>
          <w:kern w:val="22"/>
          <w:szCs w:val="22"/>
          <w:lang w:val="es-ES"/>
        </w:rPr>
        <w:t>a</w:t>
      </w:r>
      <w:r w:rsidRPr="00262C3E">
        <w:rPr>
          <w:rFonts w:eastAsia="Times New Roman"/>
          <w:kern w:val="22"/>
          <w:szCs w:val="22"/>
          <w:lang w:val="es-ES"/>
        </w:rPr>
        <w:t>pl</w:t>
      </w:r>
      <w:r w:rsidR="000C575D" w:rsidRPr="00262C3E">
        <w:rPr>
          <w:rFonts w:eastAsia="Times New Roman"/>
          <w:kern w:val="22"/>
          <w:szCs w:val="22"/>
          <w:lang w:val="es-ES"/>
        </w:rPr>
        <w:t>ic</w:t>
      </w:r>
      <w:r w:rsidRPr="00262C3E">
        <w:rPr>
          <w:rFonts w:eastAsia="Times New Roman"/>
          <w:kern w:val="22"/>
          <w:szCs w:val="22"/>
          <w:lang w:val="es-ES"/>
        </w:rPr>
        <w:t xml:space="preserve">ación eficaz del Plan Estratégico para la Diversidad Biológica 2011-2020 y la consecución de sus Metas de Aichi para la Diversidad Biológica, entre otras cosas, facilitando la comunicación de </w:t>
      </w:r>
      <w:r w:rsidR="000C575D" w:rsidRPr="00262C3E">
        <w:rPr>
          <w:rFonts w:eastAsia="Times New Roman"/>
          <w:kern w:val="22"/>
          <w:szCs w:val="22"/>
          <w:lang w:val="es-ES"/>
        </w:rPr>
        <w:t xml:space="preserve">las </w:t>
      </w:r>
      <w:r w:rsidRPr="00262C3E">
        <w:rPr>
          <w:rFonts w:eastAsia="Times New Roman"/>
          <w:kern w:val="22"/>
          <w:szCs w:val="22"/>
          <w:lang w:val="es-ES"/>
        </w:rPr>
        <w:t>necesidades y prioridades técnicas y cient</w:t>
      </w:r>
      <w:r w:rsidR="00F70CC5" w:rsidRPr="00262C3E">
        <w:rPr>
          <w:rFonts w:eastAsia="Times New Roman"/>
          <w:kern w:val="22"/>
          <w:szCs w:val="22"/>
          <w:lang w:val="es-ES"/>
        </w:rPr>
        <w:t>í</w:t>
      </w:r>
      <w:r w:rsidRPr="00262C3E">
        <w:rPr>
          <w:rFonts w:eastAsia="Times New Roman"/>
          <w:kern w:val="22"/>
          <w:szCs w:val="22"/>
          <w:lang w:val="es-ES"/>
        </w:rPr>
        <w:t>ficas de las Partes y conectando esas necesidades con el apoyo disponible.</w:t>
      </w:r>
    </w:p>
    <w:p w:rsidR="00135967" w:rsidRPr="00843F53" w:rsidRDefault="00135967" w:rsidP="00F46E49">
      <w:pPr>
        <w:pStyle w:val="Para1"/>
        <w:numPr>
          <w:ilvl w:val="0"/>
          <w:numId w:val="14"/>
        </w:numPr>
        <w:suppressLineNumbers/>
        <w:tabs>
          <w:tab w:val="num" w:pos="720"/>
        </w:tabs>
        <w:suppressAutoHyphens/>
        <w:spacing w:before="120"/>
        <w:ind w:left="0" w:firstLine="0"/>
        <w:rPr>
          <w:rFonts w:eastAsia="Times New Roman"/>
          <w:szCs w:val="22"/>
          <w:lang w:val="es-ES"/>
        </w:rPr>
      </w:pPr>
      <w:r w:rsidRPr="00843F53">
        <w:rPr>
          <w:rFonts w:eastAsia="Times New Roman"/>
          <w:szCs w:val="22"/>
          <w:lang w:val="es-ES"/>
        </w:rPr>
        <w:t xml:space="preserve">Además, la Conferencia de las Partes tomó nota de la estrategia web para el Convenio y sus Protocolos y el Marco para una Estrategia de Comunicaciones y pidió al Secretario Ejecutivo que pusiera en práctica la estrategia web en consonancia con el Marco para una Estrategia de Comunicaciones y </w:t>
      </w:r>
      <w:r w:rsidR="000200B8" w:rsidRPr="00843F53">
        <w:rPr>
          <w:rFonts w:eastAsia="Times New Roman"/>
          <w:szCs w:val="22"/>
          <w:lang w:val="es-ES"/>
        </w:rPr>
        <w:t xml:space="preserve">la </w:t>
      </w:r>
      <w:r w:rsidRPr="00843F53">
        <w:rPr>
          <w:rFonts w:eastAsia="Times New Roman"/>
          <w:szCs w:val="22"/>
          <w:lang w:val="es-ES"/>
        </w:rPr>
        <w:t>actualizara con acciones prioritarias que deb</w:t>
      </w:r>
      <w:r w:rsidR="000200B8">
        <w:rPr>
          <w:rFonts w:eastAsia="Times New Roman"/>
          <w:szCs w:val="22"/>
          <w:lang w:val="es-ES"/>
        </w:rPr>
        <w:t>í</w:t>
      </w:r>
      <w:r w:rsidRPr="00843F53">
        <w:rPr>
          <w:rFonts w:eastAsia="Times New Roman"/>
          <w:szCs w:val="22"/>
          <w:lang w:val="es-ES"/>
        </w:rPr>
        <w:t>an realizarse antes de 2018 teniendo en cuenta las decisiones de la 13ª reunión de la Conferencia de las Partes y las reuniones de las Partes en los Protocolos.</w:t>
      </w:r>
      <w:r w:rsidRPr="00843F53">
        <w:rPr>
          <w:rFonts w:eastAsia="Times New Roman"/>
          <w:kern w:val="22"/>
          <w:szCs w:val="22"/>
          <w:lang w:val="es-ES"/>
        </w:rPr>
        <w:t xml:space="preserve"> También pidió al Secretario Ejecutivo que desarrollara más a fondo el mecanismo de facilitación, en consonancia con la estrategia web y con el programa de trabajo para el mecanismo de facilitación (decisión XIII/23, párrs. 11 y 15 i), j) y k)).</w:t>
      </w:r>
    </w:p>
    <w:p w:rsidR="00C9159E" w:rsidRPr="00843F53" w:rsidRDefault="00C9159E" w:rsidP="00F46E49">
      <w:pPr>
        <w:pStyle w:val="Para1"/>
        <w:numPr>
          <w:ilvl w:val="0"/>
          <w:numId w:val="14"/>
        </w:numPr>
        <w:suppressLineNumbers/>
        <w:tabs>
          <w:tab w:val="num" w:pos="720"/>
        </w:tabs>
        <w:suppressAutoHyphens/>
        <w:spacing w:before="120"/>
        <w:ind w:left="0" w:firstLine="0"/>
        <w:rPr>
          <w:rFonts w:eastAsia="Times New Roman"/>
          <w:szCs w:val="22"/>
          <w:lang w:val="es-ES"/>
        </w:rPr>
      </w:pPr>
      <w:r w:rsidRPr="00843F53">
        <w:rPr>
          <w:rFonts w:eastAsia="Times New Roman"/>
          <w:kern w:val="22"/>
          <w:szCs w:val="22"/>
          <w:lang w:val="es-ES"/>
        </w:rPr>
        <w:t xml:space="preserve">El presente documento brinda informes sobre los </w:t>
      </w:r>
      <w:r w:rsidR="000200B8">
        <w:rPr>
          <w:rFonts w:eastAsia="Times New Roman"/>
          <w:kern w:val="22"/>
          <w:szCs w:val="22"/>
          <w:lang w:val="es-ES"/>
        </w:rPr>
        <w:t>progresos realizados</w:t>
      </w:r>
      <w:r w:rsidRPr="00843F53">
        <w:rPr>
          <w:rFonts w:eastAsia="Times New Roman"/>
          <w:kern w:val="22"/>
          <w:szCs w:val="22"/>
          <w:lang w:val="es-ES"/>
        </w:rPr>
        <w:t xml:space="preserve"> e información</w:t>
      </w:r>
      <w:r w:rsidR="00967D8E">
        <w:rPr>
          <w:rFonts w:eastAsia="Times New Roman"/>
          <w:kern w:val="22"/>
          <w:szCs w:val="22"/>
          <w:lang w:val="es-ES"/>
        </w:rPr>
        <w:t xml:space="preserve"> con</w:t>
      </w:r>
      <w:r w:rsidRPr="00843F53">
        <w:rPr>
          <w:rFonts w:eastAsia="Times New Roman"/>
          <w:kern w:val="22"/>
          <w:szCs w:val="22"/>
          <w:lang w:val="es-ES"/>
        </w:rPr>
        <w:t xml:space="preserve"> respecto </w:t>
      </w:r>
      <w:r w:rsidR="00967D8E">
        <w:rPr>
          <w:rFonts w:eastAsia="Times New Roman"/>
          <w:kern w:val="22"/>
          <w:szCs w:val="22"/>
          <w:lang w:val="es-ES"/>
        </w:rPr>
        <w:t>a</w:t>
      </w:r>
      <w:r w:rsidRPr="00843F53">
        <w:rPr>
          <w:rFonts w:eastAsia="Times New Roman"/>
          <w:kern w:val="22"/>
          <w:szCs w:val="22"/>
          <w:lang w:val="es-ES"/>
        </w:rPr>
        <w:t xml:space="preserve"> las decisiones antedichas. En la sección II se brinda un </w:t>
      </w:r>
      <w:r w:rsidR="00ED669A" w:rsidRPr="00843F53">
        <w:rPr>
          <w:rFonts w:eastAsia="Times New Roman"/>
          <w:kern w:val="22"/>
          <w:szCs w:val="22"/>
          <w:lang w:val="es-ES"/>
        </w:rPr>
        <w:t>informe</w:t>
      </w:r>
      <w:r w:rsidRPr="00843F53">
        <w:rPr>
          <w:rFonts w:eastAsia="Times New Roman"/>
          <w:kern w:val="22"/>
          <w:szCs w:val="22"/>
          <w:lang w:val="es-ES"/>
        </w:rPr>
        <w:t xml:space="preserve"> sobre los </w:t>
      </w:r>
      <w:r w:rsidR="00967D8E">
        <w:rPr>
          <w:rFonts w:eastAsia="Times New Roman"/>
          <w:kern w:val="22"/>
          <w:szCs w:val="22"/>
          <w:lang w:val="es-ES"/>
        </w:rPr>
        <w:t>progresos realizados</w:t>
      </w:r>
      <w:r w:rsidRPr="00843F53">
        <w:rPr>
          <w:rFonts w:eastAsia="Times New Roman"/>
          <w:kern w:val="22"/>
          <w:szCs w:val="22"/>
          <w:lang w:val="es-ES"/>
        </w:rPr>
        <w:t xml:space="preserve"> en la implementación del plan de acción a corto plazo (2017-2020) sobre creación de capacidad, incluida</w:t>
      </w:r>
      <w:r w:rsidR="00967D8E">
        <w:rPr>
          <w:rFonts w:eastAsia="Times New Roman"/>
          <w:kern w:val="22"/>
          <w:szCs w:val="22"/>
          <w:lang w:val="es-ES"/>
        </w:rPr>
        <w:t>s</w:t>
      </w:r>
      <w:r w:rsidRPr="00843F53">
        <w:rPr>
          <w:rFonts w:eastAsia="Times New Roman"/>
          <w:kern w:val="22"/>
          <w:szCs w:val="22"/>
          <w:lang w:val="es-ES"/>
        </w:rPr>
        <w:t xml:space="preserve"> las </w:t>
      </w:r>
      <w:r w:rsidR="00967D8E">
        <w:rPr>
          <w:rFonts w:eastAsia="Times New Roman"/>
          <w:kern w:val="22"/>
          <w:szCs w:val="22"/>
          <w:lang w:val="es-ES"/>
        </w:rPr>
        <w:t xml:space="preserve">nuevas </w:t>
      </w:r>
      <w:r w:rsidRPr="00843F53">
        <w:rPr>
          <w:rFonts w:eastAsia="Times New Roman"/>
          <w:kern w:val="22"/>
          <w:szCs w:val="22"/>
          <w:lang w:val="es-ES"/>
        </w:rPr>
        <w:t>experienc</w:t>
      </w:r>
      <w:r w:rsidR="00D45AB9" w:rsidRPr="00843F53">
        <w:rPr>
          <w:rFonts w:eastAsia="Times New Roman"/>
          <w:kern w:val="22"/>
          <w:szCs w:val="22"/>
          <w:lang w:val="es-ES"/>
        </w:rPr>
        <w:t>ia</w:t>
      </w:r>
      <w:r w:rsidRPr="00843F53">
        <w:rPr>
          <w:rFonts w:eastAsia="Times New Roman"/>
          <w:kern w:val="22"/>
          <w:szCs w:val="22"/>
          <w:lang w:val="es-ES"/>
        </w:rPr>
        <w:t xml:space="preserve">s y las lecciones aprendidas. En la sección III se brinda un informe sobre los </w:t>
      </w:r>
      <w:r w:rsidR="00967D8E">
        <w:rPr>
          <w:rFonts w:eastAsia="Times New Roman"/>
          <w:kern w:val="22"/>
          <w:szCs w:val="22"/>
          <w:lang w:val="es-ES"/>
        </w:rPr>
        <w:t>progresos</w:t>
      </w:r>
      <w:r w:rsidRPr="00843F53">
        <w:rPr>
          <w:rFonts w:eastAsia="Times New Roman"/>
          <w:kern w:val="22"/>
          <w:szCs w:val="22"/>
          <w:lang w:val="es-ES"/>
        </w:rPr>
        <w:t xml:space="preserve"> r</w:t>
      </w:r>
      <w:r w:rsidR="00967D8E">
        <w:rPr>
          <w:rFonts w:eastAsia="Times New Roman"/>
          <w:kern w:val="22"/>
          <w:szCs w:val="22"/>
          <w:lang w:val="es-ES"/>
        </w:rPr>
        <w:t>ealiz</w:t>
      </w:r>
      <w:r w:rsidRPr="00843F53">
        <w:rPr>
          <w:rFonts w:eastAsia="Times New Roman"/>
          <w:kern w:val="22"/>
          <w:szCs w:val="22"/>
          <w:lang w:val="es-ES"/>
        </w:rPr>
        <w:t xml:space="preserve">ados con respecto a la cooperación científica y técnica. En la sección IV se describen los principales elementos clave del proceso de preparación de un marco estratégico </w:t>
      </w:r>
      <w:r w:rsidR="001902D3" w:rsidRPr="00843F53">
        <w:rPr>
          <w:rFonts w:eastAsia="Times New Roman"/>
          <w:kern w:val="22"/>
          <w:szCs w:val="22"/>
          <w:lang w:val="es-ES"/>
        </w:rPr>
        <w:t>a largo plazo</w:t>
      </w:r>
      <w:r w:rsidR="001902D3">
        <w:rPr>
          <w:rFonts w:eastAsia="Times New Roman"/>
          <w:kern w:val="22"/>
          <w:szCs w:val="22"/>
          <w:lang w:val="es-ES"/>
        </w:rPr>
        <w:t xml:space="preserve"> para la creación</w:t>
      </w:r>
      <w:r w:rsidRPr="00843F53">
        <w:rPr>
          <w:rFonts w:eastAsia="Times New Roman"/>
          <w:kern w:val="22"/>
          <w:szCs w:val="22"/>
          <w:lang w:val="es-ES"/>
        </w:rPr>
        <w:t xml:space="preserve"> de capacidad. En la sección V se brinda un informe sobre los </w:t>
      </w:r>
      <w:r w:rsidR="00967D8E">
        <w:rPr>
          <w:rFonts w:eastAsia="Times New Roman"/>
          <w:kern w:val="22"/>
          <w:szCs w:val="22"/>
          <w:lang w:val="es-ES"/>
        </w:rPr>
        <w:t>progresos realizados</w:t>
      </w:r>
      <w:r w:rsidRPr="00843F53">
        <w:rPr>
          <w:rFonts w:eastAsia="Times New Roman"/>
          <w:kern w:val="22"/>
          <w:szCs w:val="22"/>
          <w:lang w:val="es-ES"/>
        </w:rPr>
        <w:t xml:space="preserve"> en la </w:t>
      </w:r>
      <w:r w:rsidRPr="00843F53">
        <w:rPr>
          <w:rFonts w:eastAsia="Times New Roman"/>
          <w:szCs w:val="22"/>
          <w:lang w:val="es-ES"/>
        </w:rPr>
        <w:t xml:space="preserve">implementación de la estrategia </w:t>
      </w:r>
      <w:r w:rsidRPr="00843F53">
        <w:rPr>
          <w:rFonts w:eastAsia="Times New Roman"/>
          <w:kern w:val="22"/>
          <w:szCs w:val="22"/>
          <w:lang w:val="es-ES"/>
        </w:rPr>
        <w:t>web para el Convenio y sus Protocolos</w:t>
      </w:r>
      <w:r w:rsidRPr="00843F53">
        <w:rPr>
          <w:rFonts w:eastAsia="Times New Roman"/>
          <w:szCs w:val="22"/>
          <w:lang w:val="es-ES"/>
        </w:rPr>
        <w:t xml:space="preserve"> en respuesta a los pedidos </w:t>
      </w:r>
      <w:r w:rsidR="00967D8E">
        <w:rPr>
          <w:rFonts w:eastAsia="Times New Roman"/>
          <w:szCs w:val="22"/>
          <w:lang w:val="es-ES"/>
        </w:rPr>
        <w:t>d</w:t>
      </w:r>
      <w:r w:rsidR="00EF3067">
        <w:rPr>
          <w:rFonts w:eastAsia="Times New Roman"/>
          <w:szCs w:val="22"/>
          <w:lang w:val="es-ES"/>
        </w:rPr>
        <w:t>e</w:t>
      </w:r>
      <w:r w:rsidRPr="00843F53">
        <w:rPr>
          <w:rFonts w:eastAsia="Times New Roman"/>
          <w:szCs w:val="22"/>
          <w:lang w:val="es-ES"/>
        </w:rPr>
        <w:t xml:space="preserve"> los párrafos 15 i) y j) y en la implementación del mecanismo de facilitación con</w:t>
      </w:r>
      <w:r w:rsidR="00967D8E">
        <w:rPr>
          <w:rFonts w:eastAsia="Times New Roman"/>
          <w:szCs w:val="22"/>
          <w:lang w:val="es-ES"/>
        </w:rPr>
        <w:t>form</w:t>
      </w:r>
      <w:r w:rsidRPr="00843F53">
        <w:rPr>
          <w:rFonts w:eastAsia="Times New Roman"/>
          <w:szCs w:val="22"/>
          <w:lang w:val="es-ES"/>
        </w:rPr>
        <w:t>e</w:t>
      </w:r>
      <w:r w:rsidR="00967D8E">
        <w:rPr>
          <w:rFonts w:eastAsia="Times New Roman"/>
          <w:szCs w:val="22"/>
          <w:lang w:val="es-ES"/>
        </w:rPr>
        <w:t xml:space="preserve"> a</w:t>
      </w:r>
      <w:r w:rsidRPr="00843F53">
        <w:rPr>
          <w:rFonts w:eastAsia="Times New Roman"/>
          <w:szCs w:val="22"/>
          <w:lang w:val="es-ES"/>
        </w:rPr>
        <w:t>l párrafo 15 k) de la decisión XIII/23</w:t>
      </w:r>
      <w:r w:rsidRPr="00843F53">
        <w:rPr>
          <w:rFonts w:eastAsia="Times New Roman"/>
          <w:kern w:val="22"/>
          <w:szCs w:val="22"/>
          <w:lang w:val="es-ES"/>
        </w:rPr>
        <w:t>. En la sección VI se presentan elementos de un proyecto de recomendación para la Conferencia de las Partes.</w:t>
      </w:r>
    </w:p>
    <w:p w:rsidR="00207F93" w:rsidRPr="00843F53" w:rsidRDefault="00207F93" w:rsidP="00F46E49">
      <w:pPr>
        <w:keepNext/>
        <w:spacing w:before="120" w:after="120"/>
        <w:ind w:left="1168" w:hanging="448"/>
        <w:jc w:val="left"/>
        <w:rPr>
          <w:rFonts w:eastAsia="Times New Roman" w:cs="Times New Roman"/>
          <w:szCs w:val="22"/>
          <w:lang w:val="es-ES"/>
        </w:rPr>
      </w:pPr>
      <w:r w:rsidRPr="00843F53">
        <w:rPr>
          <w:rFonts w:eastAsia="Times New Roman" w:cs="Times New Roman"/>
          <w:b/>
          <w:caps/>
          <w:kern w:val="22"/>
          <w:szCs w:val="22"/>
          <w:lang w:val="es-ES"/>
        </w:rPr>
        <w:t>II.</w:t>
      </w:r>
      <w:r w:rsidRPr="00843F53">
        <w:rPr>
          <w:rFonts w:eastAsia="Times New Roman" w:cs="Times New Roman"/>
          <w:b/>
          <w:caps/>
          <w:kern w:val="22"/>
          <w:szCs w:val="22"/>
          <w:lang w:val="es-ES"/>
        </w:rPr>
        <w:tab/>
        <w:t xml:space="preserve">INFORME SOBRE LOS </w:t>
      </w:r>
      <w:r w:rsidR="00967D8E">
        <w:rPr>
          <w:rFonts w:eastAsia="Times New Roman" w:cs="Times New Roman"/>
          <w:b/>
          <w:caps/>
          <w:kern w:val="22"/>
          <w:szCs w:val="22"/>
          <w:lang w:val="es-ES"/>
        </w:rPr>
        <w:t>PROGR</w:t>
      </w:r>
      <w:r w:rsidRPr="00843F53">
        <w:rPr>
          <w:rFonts w:eastAsia="Times New Roman" w:cs="Times New Roman"/>
          <w:b/>
          <w:caps/>
          <w:kern w:val="22"/>
          <w:szCs w:val="22"/>
          <w:lang w:val="es-ES"/>
        </w:rPr>
        <w:t>E</w:t>
      </w:r>
      <w:r w:rsidR="00967D8E">
        <w:rPr>
          <w:rFonts w:eastAsia="Times New Roman" w:cs="Times New Roman"/>
          <w:b/>
          <w:caps/>
          <w:kern w:val="22"/>
          <w:szCs w:val="22"/>
          <w:lang w:val="es-ES"/>
        </w:rPr>
        <w:t>SO</w:t>
      </w:r>
      <w:r w:rsidRPr="00843F53">
        <w:rPr>
          <w:rFonts w:eastAsia="Times New Roman" w:cs="Times New Roman"/>
          <w:b/>
          <w:caps/>
          <w:kern w:val="22"/>
          <w:szCs w:val="22"/>
          <w:lang w:val="es-ES"/>
        </w:rPr>
        <w:t xml:space="preserve">S </w:t>
      </w:r>
      <w:r w:rsidR="00967D8E">
        <w:rPr>
          <w:rFonts w:eastAsia="Times New Roman" w:cs="Times New Roman"/>
          <w:b/>
          <w:caps/>
          <w:kern w:val="22"/>
          <w:szCs w:val="22"/>
          <w:lang w:val="es-ES"/>
        </w:rPr>
        <w:t xml:space="preserve">REALIZADOS </w:t>
      </w:r>
      <w:r w:rsidRPr="00843F53">
        <w:rPr>
          <w:rFonts w:eastAsia="Times New Roman" w:cs="Times New Roman"/>
          <w:b/>
          <w:caps/>
          <w:kern w:val="22"/>
          <w:szCs w:val="22"/>
          <w:lang w:val="es-ES"/>
        </w:rPr>
        <w:t xml:space="preserve">EN LA IMPLEMENTACIÓN DEL PLAN DE ACCIÓN A CORTO PLAZO (2017-2020) </w:t>
      </w:r>
      <w:r w:rsidR="00D45AB9" w:rsidRPr="00843F53">
        <w:rPr>
          <w:rFonts w:eastAsia="Times New Roman" w:cs="Times New Roman"/>
          <w:b/>
          <w:caps/>
          <w:kern w:val="22"/>
          <w:szCs w:val="22"/>
          <w:lang w:val="es-ES"/>
        </w:rPr>
        <w:t>para</w:t>
      </w:r>
      <w:r w:rsidRPr="00843F53">
        <w:rPr>
          <w:rFonts w:eastAsia="Times New Roman" w:cs="Times New Roman"/>
          <w:b/>
          <w:caps/>
          <w:kern w:val="22"/>
          <w:szCs w:val="22"/>
          <w:lang w:val="es-ES"/>
        </w:rPr>
        <w:t xml:space="preserve"> MEJORAR Y APOYAR LA CREACIÓN DE CAPACIDAD PARA LA </w:t>
      </w:r>
      <w:r w:rsidR="00D45AB9" w:rsidRPr="00843F53">
        <w:rPr>
          <w:rFonts w:eastAsia="Times New Roman" w:cs="Times New Roman"/>
          <w:b/>
          <w:caps/>
          <w:kern w:val="22"/>
          <w:szCs w:val="22"/>
          <w:lang w:val="es-ES"/>
        </w:rPr>
        <w:t>Aplicación</w:t>
      </w:r>
      <w:r w:rsidRPr="00843F53">
        <w:rPr>
          <w:rFonts w:eastAsia="Times New Roman" w:cs="Times New Roman"/>
          <w:b/>
          <w:caps/>
          <w:kern w:val="22"/>
          <w:szCs w:val="22"/>
          <w:lang w:val="es-ES"/>
        </w:rPr>
        <w:t xml:space="preserve"> DEL CONVENIO Y SUS PROTOCOLOS</w:t>
      </w:r>
    </w:p>
    <w:p w:rsidR="00B71714" w:rsidRPr="00843F53" w:rsidRDefault="00B71714" w:rsidP="00F46E49">
      <w:pPr>
        <w:pStyle w:val="Para1"/>
        <w:numPr>
          <w:ilvl w:val="0"/>
          <w:numId w:val="14"/>
        </w:numPr>
        <w:suppressLineNumbers/>
        <w:tabs>
          <w:tab w:val="num" w:pos="720"/>
        </w:tabs>
        <w:suppressAutoHyphens/>
        <w:spacing w:before="120"/>
        <w:ind w:left="0" w:firstLine="0"/>
        <w:rPr>
          <w:rFonts w:eastAsia="Times New Roman"/>
          <w:szCs w:val="22"/>
          <w:lang w:val="es-ES"/>
        </w:rPr>
      </w:pPr>
      <w:r w:rsidRPr="00843F53">
        <w:rPr>
          <w:rFonts w:eastAsia="Times New Roman"/>
          <w:kern w:val="22"/>
          <w:szCs w:val="22"/>
          <w:lang w:val="es-ES"/>
        </w:rPr>
        <w:t>En el párrafo 15 f) de la decisión XIII/23, la Conferencia de las Partes pidió al Secretario Ejecutivo que llevara a cabo un seguimiento y una evaluación de los resultados y la eficacia de las actividades de creación de capacidad en curso apoyadas y facilitadas por la Secretaría, con el fin de enfocar con mayor precisión las actividades de creación de capacid</w:t>
      </w:r>
      <w:r w:rsidR="00D45AB9" w:rsidRPr="00843F53">
        <w:rPr>
          <w:rFonts w:eastAsia="Times New Roman"/>
          <w:kern w:val="22"/>
          <w:szCs w:val="22"/>
          <w:lang w:val="es-ES"/>
        </w:rPr>
        <w:t>ad que se llevaran a cabo en el</w:t>
      </w:r>
      <w:r w:rsidRPr="00843F53">
        <w:rPr>
          <w:rFonts w:eastAsia="Times New Roman"/>
          <w:kern w:val="22"/>
          <w:szCs w:val="22"/>
          <w:lang w:val="es-ES"/>
        </w:rPr>
        <w:t xml:space="preserve"> futuro y de mejorarlas, y que informara sobre los resultados al Órgano Subsidiario sobre la Aplicación para que los considerara en su segunda reunión. En esta sección se brinda un resumen de los principales resultados de las actividades </w:t>
      </w:r>
      <w:r w:rsidR="00F46E49">
        <w:rPr>
          <w:rFonts w:eastAsia="Times New Roman"/>
          <w:kern w:val="22"/>
          <w:szCs w:val="22"/>
          <w:lang w:val="es-ES"/>
        </w:rPr>
        <w:t>que se llevaron a cabo</w:t>
      </w:r>
      <w:r w:rsidRPr="00843F53">
        <w:rPr>
          <w:rFonts w:eastAsia="Times New Roman"/>
          <w:kern w:val="22"/>
          <w:szCs w:val="22"/>
          <w:lang w:val="es-ES"/>
        </w:rPr>
        <w:t xml:space="preserve"> y las </w:t>
      </w:r>
      <w:r w:rsidR="00967D8E">
        <w:rPr>
          <w:rFonts w:eastAsia="Times New Roman"/>
          <w:kern w:val="22"/>
          <w:szCs w:val="22"/>
          <w:lang w:val="es-ES"/>
        </w:rPr>
        <w:t xml:space="preserve">nuevas </w:t>
      </w:r>
      <w:r w:rsidRPr="00843F53">
        <w:rPr>
          <w:rFonts w:eastAsia="Times New Roman"/>
          <w:kern w:val="22"/>
          <w:szCs w:val="22"/>
          <w:lang w:val="es-ES"/>
        </w:rPr>
        <w:t>experiencias y lecciones aprendidas.</w:t>
      </w:r>
    </w:p>
    <w:p w:rsidR="00B71714" w:rsidRPr="00843F53" w:rsidRDefault="00B71714" w:rsidP="00D45AB9">
      <w:pPr>
        <w:pStyle w:val="Para1"/>
        <w:numPr>
          <w:ilvl w:val="0"/>
          <w:numId w:val="14"/>
        </w:numPr>
        <w:suppressLineNumbers/>
        <w:tabs>
          <w:tab w:val="num" w:pos="720"/>
        </w:tabs>
        <w:suppressAutoHyphens/>
        <w:spacing w:before="120"/>
        <w:ind w:left="0" w:firstLine="0"/>
        <w:rPr>
          <w:rFonts w:eastAsia="Times New Roman"/>
          <w:kern w:val="22"/>
          <w:szCs w:val="22"/>
          <w:lang w:val="es-ES"/>
        </w:rPr>
      </w:pPr>
      <w:r w:rsidRPr="00843F53">
        <w:rPr>
          <w:rFonts w:eastAsia="Times New Roman"/>
          <w:kern w:val="22"/>
          <w:szCs w:val="22"/>
          <w:lang w:val="es-ES"/>
        </w:rPr>
        <w:lastRenderedPageBreak/>
        <w:t xml:space="preserve">De enero de 2017 a marzo de 2018, la Secretaría, en colaboración con asociados, apoyó y facilitó varias actividades de creación de capacidad en consonancia con el plan de acción a corto plazo (2017-2020) para mejorar y apoyar la creación de capacidad para la </w:t>
      </w:r>
      <w:r w:rsidR="00D45AB9" w:rsidRPr="00843F53">
        <w:rPr>
          <w:rFonts w:eastAsia="Times New Roman"/>
          <w:kern w:val="22"/>
          <w:szCs w:val="22"/>
          <w:lang w:val="es-ES"/>
        </w:rPr>
        <w:t>aplic</w:t>
      </w:r>
      <w:r w:rsidRPr="00843F53">
        <w:rPr>
          <w:rFonts w:eastAsia="Times New Roman"/>
          <w:kern w:val="22"/>
          <w:szCs w:val="22"/>
          <w:lang w:val="es-ES"/>
        </w:rPr>
        <w:t xml:space="preserve">ación del Convenio y sus Protocolos. Las actividades comprendieron </w:t>
      </w:r>
      <w:r w:rsidRPr="00843F53">
        <w:rPr>
          <w:rFonts w:eastAsia="Times New Roman"/>
          <w:szCs w:val="22"/>
          <w:lang w:val="es-ES"/>
        </w:rPr>
        <w:t xml:space="preserve">38 talleres, misiones técnicas y mesas redondas </w:t>
      </w:r>
      <w:r w:rsidR="00F46E49">
        <w:rPr>
          <w:rFonts w:eastAsia="Times New Roman"/>
          <w:szCs w:val="22"/>
          <w:lang w:val="es-ES"/>
        </w:rPr>
        <w:t>a través de</w:t>
      </w:r>
      <w:r w:rsidRPr="00843F53">
        <w:rPr>
          <w:rFonts w:eastAsia="Times New Roman"/>
          <w:szCs w:val="22"/>
          <w:lang w:val="es-ES"/>
        </w:rPr>
        <w:t xml:space="preserve"> l</w:t>
      </w:r>
      <w:r w:rsidR="00F46E49">
        <w:rPr>
          <w:rFonts w:eastAsia="Times New Roman"/>
          <w:szCs w:val="22"/>
          <w:lang w:val="es-ES"/>
        </w:rPr>
        <w:t>o</w:t>
      </w:r>
      <w:r w:rsidRPr="00843F53">
        <w:rPr>
          <w:rFonts w:eastAsia="Times New Roman"/>
          <w:szCs w:val="22"/>
          <w:lang w:val="es-ES"/>
        </w:rPr>
        <w:t xml:space="preserve">s </w:t>
      </w:r>
      <w:r w:rsidR="00F46E49">
        <w:rPr>
          <w:rFonts w:eastAsia="Times New Roman"/>
          <w:szCs w:val="22"/>
          <w:lang w:val="es-ES"/>
        </w:rPr>
        <w:t xml:space="preserve">cuales </w:t>
      </w:r>
      <w:r w:rsidRPr="00843F53">
        <w:rPr>
          <w:rFonts w:eastAsia="Times New Roman"/>
          <w:szCs w:val="22"/>
          <w:lang w:val="es-ES"/>
        </w:rPr>
        <w:t>se capacitó a más de 1.400</w:t>
      </w:r>
      <w:r w:rsidRPr="00843F53">
        <w:rPr>
          <w:rFonts w:eastAsia="Times New Roman"/>
          <w:kern w:val="22"/>
          <w:szCs w:val="22"/>
          <w:lang w:val="es-ES"/>
        </w:rPr>
        <w:t xml:space="preserve"> participantes, 42 proyectos experimentales y de demostración</w:t>
      </w:r>
      <w:r w:rsidRPr="00843F53">
        <w:rPr>
          <w:rFonts w:eastAsia="Times New Roman"/>
          <w:szCs w:val="22"/>
          <w:lang w:val="es-ES"/>
        </w:rPr>
        <w:t>,</w:t>
      </w:r>
      <w:r w:rsidRPr="00843F53">
        <w:rPr>
          <w:rFonts w:eastAsia="Times New Roman"/>
          <w:kern w:val="22"/>
          <w:szCs w:val="22"/>
          <w:lang w:val="es-ES"/>
        </w:rPr>
        <w:t xml:space="preserve"> 2 cursos </w:t>
      </w:r>
      <w:r w:rsidR="00F46E49" w:rsidRPr="00843F53">
        <w:rPr>
          <w:rFonts w:eastAsia="Times New Roman"/>
          <w:kern w:val="22"/>
          <w:szCs w:val="22"/>
          <w:lang w:val="es-ES"/>
        </w:rPr>
        <w:t xml:space="preserve">en línea </w:t>
      </w:r>
      <w:r w:rsidRPr="00843F53">
        <w:rPr>
          <w:rFonts w:eastAsia="Times New Roman"/>
          <w:kern w:val="22"/>
          <w:szCs w:val="22"/>
          <w:lang w:val="es-ES"/>
        </w:rPr>
        <w:t xml:space="preserve">abiertos </w:t>
      </w:r>
      <w:r w:rsidR="00F46E49">
        <w:rPr>
          <w:rFonts w:eastAsia="Times New Roman"/>
          <w:kern w:val="22"/>
          <w:szCs w:val="22"/>
          <w:lang w:val="es-ES"/>
        </w:rPr>
        <w:t xml:space="preserve">de carácter </w:t>
      </w:r>
      <w:r w:rsidR="00F46E49" w:rsidRPr="00843F53">
        <w:rPr>
          <w:rFonts w:eastAsia="Times New Roman"/>
          <w:kern w:val="22"/>
          <w:szCs w:val="22"/>
          <w:lang w:val="es-ES"/>
        </w:rPr>
        <w:t>masivo</w:t>
      </w:r>
      <w:r w:rsidR="00F46E49">
        <w:rPr>
          <w:rFonts w:eastAsia="Times New Roman"/>
          <w:kern w:val="22"/>
          <w:szCs w:val="22"/>
          <w:lang w:val="es-ES"/>
        </w:rPr>
        <w:t xml:space="preserve"> en los que </w:t>
      </w:r>
      <w:r w:rsidR="00F46E49" w:rsidRPr="00843F53">
        <w:rPr>
          <w:rFonts w:eastAsia="Times New Roman"/>
          <w:kern w:val="22"/>
          <w:szCs w:val="22"/>
          <w:lang w:val="es-ES"/>
        </w:rPr>
        <w:t>participa</w:t>
      </w:r>
      <w:r w:rsidR="00F46E49">
        <w:rPr>
          <w:rFonts w:eastAsia="Times New Roman"/>
          <w:kern w:val="22"/>
          <w:szCs w:val="22"/>
          <w:lang w:val="es-ES"/>
        </w:rPr>
        <w:t>ro</w:t>
      </w:r>
      <w:r w:rsidR="00F46E49" w:rsidRPr="00843F53">
        <w:rPr>
          <w:rFonts w:eastAsia="Times New Roman"/>
          <w:kern w:val="22"/>
          <w:szCs w:val="22"/>
          <w:lang w:val="es-ES"/>
        </w:rPr>
        <w:t xml:space="preserve">n </w:t>
      </w:r>
      <w:r w:rsidRPr="00843F53">
        <w:rPr>
          <w:rFonts w:eastAsia="Times New Roman"/>
          <w:kern w:val="22"/>
          <w:szCs w:val="22"/>
          <w:lang w:val="es-ES"/>
        </w:rPr>
        <w:t xml:space="preserve">más de 2.200 </w:t>
      </w:r>
      <w:r w:rsidR="00F46E49">
        <w:rPr>
          <w:rFonts w:eastAsia="Times New Roman"/>
          <w:kern w:val="22"/>
          <w:szCs w:val="22"/>
          <w:lang w:val="es-ES"/>
        </w:rPr>
        <w:t xml:space="preserve">personas </w:t>
      </w:r>
      <w:r w:rsidRPr="00843F53">
        <w:rPr>
          <w:rFonts w:eastAsia="Times New Roman"/>
          <w:kern w:val="22"/>
          <w:szCs w:val="22"/>
          <w:lang w:val="es-ES"/>
        </w:rPr>
        <w:t>y más de 20 seminarios web y foros en línea.</w:t>
      </w:r>
    </w:p>
    <w:p w:rsidR="00184BD8" w:rsidRPr="00843F53" w:rsidRDefault="00184BD8" w:rsidP="00ED669A">
      <w:pPr>
        <w:pStyle w:val="Para1"/>
        <w:numPr>
          <w:ilvl w:val="0"/>
          <w:numId w:val="14"/>
        </w:numPr>
        <w:suppressLineNumbers/>
        <w:tabs>
          <w:tab w:val="num" w:pos="720"/>
        </w:tabs>
        <w:suppressAutoHyphens/>
        <w:spacing w:before="120"/>
        <w:ind w:left="0" w:firstLine="0"/>
        <w:rPr>
          <w:rFonts w:eastAsia="Times New Roman"/>
          <w:kern w:val="22"/>
          <w:szCs w:val="22"/>
          <w:lang w:val="es-ES"/>
        </w:rPr>
      </w:pPr>
      <w:r w:rsidRPr="00843F53">
        <w:rPr>
          <w:rFonts w:eastAsia="Times New Roman"/>
          <w:kern w:val="22"/>
          <w:szCs w:val="22"/>
          <w:lang w:val="es-ES"/>
        </w:rPr>
        <w:t xml:space="preserve">En el documento de información CBD/SBI/2/INF/6 se describen brevemente las principales actividades apoyadas y facilitadas por la Secretaría en colaboración con asociados y los resultados de esas actividades. Como anexo del documento de información se brinda una lista de todas las actividades realizadas, junto con sus respectivas fuentes de apoyo y los asociados que las llevaron a cabo o colaboraron en su organización. </w:t>
      </w:r>
      <w:r w:rsidRPr="00843F53">
        <w:rPr>
          <w:rFonts w:eastAsia="Times New Roman"/>
          <w:szCs w:val="22"/>
          <w:lang w:val="es-ES"/>
        </w:rPr>
        <w:t xml:space="preserve">También se brinda </w:t>
      </w:r>
      <w:r w:rsidR="00C23E4A">
        <w:rPr>
          <w:rFonts w:eastAsia="Times New Roman"/>
          <w:szCs w:val="22"/>
          <w:lang w:val="es-ES"/>
        </w:rPr>
        <w:t>puestas al día sobre la implementación</w:t>
      </w:r>
      <w:r w:rsidRPr="00843F53">
        <w:rPr>
          <w:rFonts w:eastAsia="Times New Roman"/>
          <w:szCs w:val="22"/>
          <w:lang w:val="es-ES"/>
        </w:rPr>
        <w:t xml:space="preserve"> del plan de acción a corto plazo en el boletín electrónico trimestral </w:t>
      </w:r>
      <w:r w:rsidRPr="00843F53">
        <w:rPr>
          <w:rFonts w:eastAsia="Times New Roman"/>
          <w:i/>
          <w:szCs w:val="22"/>
          <w:lang w:val="en-US"/>
        </w:rPr>
        <w:t>BioCAP: Biodiversity Capacity Development Update</w:t>
      </w:r>
      <w:r w:rsidRPr="00843F53">
        <w:rPr>
          <w:rFonts w:eastAsia="Times New Roman"/>
          <w:szCs w:val="22"/>
          <w:lang w:val="es-ES"/>
        </w:rPr>
        <w:t xml:space="preserve">, </w:t>
      </w:r>
      <w:r w:rsidR="00A869A2">
        <w:rPr>
          <w:rFonts w:eastAsia="Times New Roman"/>
          <w:szCs w:val="22"/>
          <w:lang w:val="es-ES"/>
        </w:rPr>
        <w:t xml:space="preserve">que comenzó a publicar </w:t>
      </w:r>
      <w:r w:rsidRPr="00843F53">
        <w:rPr>
          <w:rFonts w:eastAsia="Times New Roman"/>
          <w:szCs w:val="22"/>
          <w:lang w:val="es-ES"/>
        </w:rPr>
        <w:t>la Secretaría en 2017 luego de la adopción del plan de acción</w:t>
      </w:r>
      <w:r w:rsidRPr="00843F53">
        <w:rPr>
          <w:rStyle w:val="FootnoteReference"/>
          <w:rFonts w:eastAsia="Times New Roman"/>
          <w:sz w:val="22"/>
          <w:szCs w:val="22"/>
          <w:u w:val="none"/>
          <w:vertAlign w:val="superscript"/>
          <w:lang w:val="es-ES"/>
        </w:rPr>
        <w:footnoteReference w:id="3"/>
      </w:r>
      <w:r w:rsidRPr="00843F53">
        <w:rPr>
          <w:rFonts w:eastAsia="Times New Roman"/>
          <w:szCs w:val="22"/>
          <w:lang w:val="es-ES"/>
        </w:rPr>
        <w:t>.</w:t>
      </w:r>
    </w:p>
    <w:p w:rsidR="00184BD8" w:rsidRPr="00843F53" w:rsidRDefault="00184BD8" w:rsidP="00184BD8">
      <w:pPr>
        <w:pStyle w:val="Para1"/>
        <w:numPr>
          <w:ilvl w:val="0"/>
          <w:numId w:val="14"/>
        </w:numPr>
        <w:suppressLineNumbers/>
        <w:tabs>
          <w:tab w:val="num" w:pos="720"/>
        </w:tabs>
        <w:suppressAutoHyphens/>
        <w:spacing w:before="120"/>
        <w:ind w:left="0" w:firstLine="0"/>
        <w:rPr>
          <w:rFonts w:eastAsia="Times New Roman"/>
          <w:szCs w:val="22"/>
          <w:lang w:val="es-ES"/>
        </w:rPr>
      </w:pPr>
      <w:r w:rsidRPr="00843F53">
        <w:rPr>
          <w:rFonts w:eastAsia="Times New Roman"/>
          <w:kern w:val="22"/>
          <w:szCs w:val="22"/>
          <w:lang w:val="es-ES"/>
        </w:rPr>
        <w:t xml:space="preserve">La mayoría de las actividades realizadas durante este bienio fueron apoyadas por </w:t>
      </w:r>
      <w:r w:rsidR="00166AD7">
        <w:rPr>
          <w:rFonts w:eastAsia="Times New Roman"/>
          <w:kern w:val="22"/>
          <w:szCs w:val="22"/>
          <w:lang w:val="es-ES"/>
        </w:rPr>
        <w:t>e</w:t>
      </w:r>
      <w:r w:rsidRPr="00843F53">
        <w:rPr>
          <w:rFonts w:eastAsia="Times New Roman"/>
          <w:kern w:val="22"/>
          <w:szCs w:val="22"/>
          <w:lang w:val="es-ES"/>
        </w:rPr>
        <w:t>l</w:t>
      </w:r>
      <w:r w:rsidR="00166AD7">
        <w:rPr>
          <w:rFonts w:eastAsia="Times New Roman"/>
          <w:kern w:val="22"/>
          <w:szCs w:val="22"/>
          <w:lang w:val="es-ES"/>
        </w:rPr>
        <w:t xml:space="preserve"> Gobierno</w:t>
      </w:r>
      <w:r w:rsidRPr="00843F53">
        <w:rPr>
          <w:rFonts w:eastAsia="Times New Roman"/>
          <w:kern w:val="22"/>
          <w:szCs w:val="22"/>
          <w:lang w:val="es-ES"/>
        </w:rPr>
        <w:t xml:space="preserve"> del Japón (a través del Fondo Japonés para la Diversidad Biológica, o JBF), </w:t>
      </w:r>
      <w:r w:rsidR="00166AD7">
        <w:rPr>
          <w:rFonts w:eastAsia="Times New Roman"/>
          <w:kern w:val="22"/>
          <w:szCs w:val="22"/>
          <w:lang w:val="es-ES"/>
        </w:rPr>
        <w:t>e</w:t>
      </w:r>
      <w:r w:rsidR="00166AD7" w:rsidRPr="00843F53">
        <w:rPr>
          <w:rFonts w:eastAsia="Times New Roman"/>
          <w:kern w:val="22"/>
          <w:szCs w:val="22"/>
          <w:lang w:val="es-ES"/>
        </w:rPr>
        <w:t>l</w:t>
      </w:r>
      <w:r w:rsidR="00166AD7">
        <w:rPr>
          <w:rFonts w:eastAsia="Times New Roman"/>
          <w:kern w:val="22"/>
          <w:szCs w:val="22"/>
          <w:lang w:val="es-ES"/>
        </w:rPr>
        <w:t xml:space="preserve"> Gobierno</w:t>
      </w:r>
      <w:r w:rsidR="00166AD7" w:rsidRPr="00843F53">
        <w:rPr>
          <w:rFonts w:eastAsia="Times New Roman"/>
          <w:kern w:val="22"/>
          <w:szCs w:val="22"/>
          <w:lang w:val="es-ES"/>
        </w:rPr>
        <w:t xml:space="preserve"> de</w:t>
      </w:r>
      <w:r w:rsidR="00166AD7">
        <w:rPr>
          <w:rFonts w:eastAsia="Times New Roman"/>
          <w:kern w:val="22"/>
          <w:szCs w:val="22"/>
          <w:lang w:val="es-ES"/>
        </w:rPr>
        <w:t xml:space="preserve"> </w:t>
      </w:r>
      <w:r w:rsidRPr="00843F53">
        <w:rPr>
          <w:rFonts w:eastAsia="Times New Roman"/>
          <w:kern w:val="22"/>
          <w:szCs w:val="22"/>
          <w:lang w:val="es-ES"/>
        </w:rPr>
        <w:t>la República de Corea y la Unión Europea. También brindaron apoyo directo Alemania, Bélgica, el Canadá, Finlandia, Francia y Suecia, entre otros.</w:t>
      </w:r>
    </w:p>
    <w:p w:rsidR="00956682" w:rsidRPr="0019095F" w:rsidRDefault="00956682" w:rsidP="00956682">
      <w:pPr>
        <w:pStyle w:val="Para1"/>
        <w:numPr>
          <w:ilvl w:val="0"/>
          <w:numId w:val="14"/>
        </w:numPr>
        <w:suppressLineNumbers/>
        <w:tabs>
          <w:tab w:val="num" w:pos="720"/>
        </w:tabs>
        <w:suppressAutoHyphens/>
        <w:spacing w:after="0"/>
        <w:ind w:left="0" w:firstLine="0"/>
        <w:rPr>
          <w:rFonts w:eastAsia="Times New Roman"/>
          <w:szCs w:val="22"/>
          <w:lang w:val="es-ES"/>
        </w:rPr>
      </w:pPr>
      <w:r w:rsidRPr="0019095F">
        <w:rPr>
          <w:rFonts w:eastAsia="Times New Roman"/>
          <w:kern w:val="20"/>
          <w:szCs w:val="22"/>
          <w:lang w:val="es-ES"/>
        </w:rPr>
        <w:t xml:space="preserve">La Secretaría ha seguido avanzando </w:t>
      </w:r>
      <w:r w:rsidR="00166AD7" w:rsidRPr="0019095F">
        <w:rPr>
          <w:rFonts w:eastAsia="Times New Roman"/>
          <w:kern w:val="20"/>
          <w:szCs w:val="22"/>
          <w:lang w:val="es-ES"/>
        </w:rPr>
        <w:t>en la promoción</w:t>
      </w:r>
      <w:r w:rsidRPr="0019095F">
        <w:rPr>
          <w:rFonts w:eastAsia="Times New Roman"/>
          <w:kern w:val="20"/>
          <w:szCs w:val="22"/>
          <w:lang w:val="es-ES"/>
        </w:rPr>
        <w:t xml:space="preserve"> </w:t>
      </w:r>
      <w:r w:rsidR="00166AD7" w:rsidRPr="0019095F">
        <w:rPr>
          <w:rFonts w:eastAsia="Times New Roman"/>
          <w:kern w:val="20"/>
          <w:szCs w:val="22"/>
          <w:lang w:val="es-ES"/>
        </w:rPr>
        <w:t xml:space="preserve">de una </w:t>
      </w:r>
      <w:r w:rsidRPr="0019095F">
        <w:rPr>
          <w:rFonts w:eastAsia="Times New Roman"/>
          <w:kern w:val="20"/>
          <w:szCs w:val="22"/>
          <w:lang w:val="es-ES"/>
        </w:rPr>
        <w:t xml:space="preserve">programación </w:t>
      </w:r>
      <w:r w:rsidR="00166AD7" w:rsidRPr="0019095F">
        <w:rPr>
          <w:rFonts w:eastAsia="Times New Roman"/>
          <w:kern w:val="20"/>
          <w:szCs w:val="22"/>
          <w:lang w:val="es-ES"/>
        </w:rPr>
        <w:t xml:space="preserve">e </w:t>
      </w:r>
      <w:r w:rsidR="00166AD7" w:rsidRPr="0019095F">
        <w:rPr>
          <w:rFonts w:eastAsia="Times New Roman"/>
          <w:szCs w:val="22"/>
          <w:lang w:val="es-ES"/>
        </w:rPr>
        <w:t xml:space="preserve">implementación </w:t>
      </w:r>
      <w:r w:rsidRPr="0019095F">
        <w:rPr>
          <w:rFonts w:eastAsia="Times New Roman"/>
          <w:kern w:val="20"/>
          <w:szCs w:val="22"/>
          <w:lang w:val="es-ES"/>
        </w:rPr>
        <w:t xml:space="preserve">sinérgica e integrada </w:t>
      </w:r>
      <w:r w:rsidRPr="0019095F">
        <w:rPr>
          <w:rFonts w:eastAsia="Times New Roman"/>
          <w:szCs w:val="22"/>
          <w:lang w:val="es-ES"/>
        </w:rPr>
        <w:t xml:space="preserve">de sus actividades de desarrollo de capacidad y ha </w:t>
      </w:r>
      <w:r w:rsidR="00166AD7" w:rsidRPr="0019095F">
        <w:rPr>
          <w:rFonts w:eastAsia="Times New Roman"/>
          <w:szCs w:val="22"/>
          <w:lang w:val="es-ES"/>
        </w:rPr>
        <w:t>emprendido una colaboración</w:t>
      </w:r>
      <w:r w:rsidRPr="0019095F">
        <w:rPr>
          <w:rFonts w:eastAsia="Times New Roman"/>
          <w:szCs w:val="22"/>
          <w:lang w:val="es-ES"/>
        </w:rPr>
        <w:t xml:space="preserve"> </w:t>
      </w:r>
      <w:r w:rsidR="00166AD7" w:rsidRPr="0019095F">
        <w:rPr>
          <w:rFonts w:eastAsia="Times New Roman"/>
          <w:szCs w:val="22"/>
          <w:lang w:val="es-ES"/>
        </w:rPr>
        <w:t xml:space="preserve">más sistemática </w:t>
      </w:r>
      <w:r w:rsidRPr="0019095F">
        <w:rPr>
          <w:rFonts w:eastAsia="Times New Roman"/>
          <w:szCs w:val="22"/>
          <w:lang w:val="es-ES"/>
        </w:rPr>
        <w:t>con asociados. Como se señala en el documento CBD/SBI/2/10/Add.1, la Secretaría ha establecido un proceso permanente de consultas y colaboración entre los coordinador</w:t>
      </w:r>
      <w:r w:rsidR="00166AD7" w:rsidRPr="0019095F">
        <w:rPr>
          <w:rFonts w:eastAsia="Times New Roman"/>
          <w:szCs w:val="22"/>
          <w:lang w:val="es-ES"/>
        </w:rPr>
        <w:t>es</w:t>
      </w:r>
      <w:r w:rsidRPr="0019095F">
        <w:rPr>
          <w:rFonts w:eastAsia="Times New Roman"/>
          <w:szCs w:val="22"/>
          <w:lang w:val="es-ES"/>
        </w:rPr>
        <w:t xml:space="preserve"> </w:t>
      </w:r>
      <w:r w:rsidR="00166AD7" w:rsidRPr="0019095F">
        <w:rPr>
          <w:rFonts w:eastAsia="Times New Roman"/>
          <w:szCs w:val="22"/>
          <w:lang w:val="es-ES"/>
        </w:rPr>
        <w:t>d</w:t>
      </w:r>
      <w:r w:rsidRPr="0019095F">
        <w:rPr>
          <w:rFonts w:eastAsia="Times New Roman"/>
          <w:szCs w:val="22"/>
          <w:lang w:val="es-ES"/>
        </w:rPr>
        <w:t xml:space="preserve">e desarrollo de capacidad </w:t>
      </w:r>
      <w:r w:rsidR="00166AD7" w:rsidRPr="0019095F">
        <w:rPr>
          <w:rFonts w:eastAsia="Times New Roman"/>
          <w:szCs w:val="22"/>
          <w:lang w:val="es-ES"/>
        </w:rPr>
        <w:t>d</w:t>
      </w:r>
      <w:r w:rsidRPr="0019095F">
        <w:rPr>
          <w:rFonts w:eastAsia="Times New Roman"/>
          <w:szCs w:val="22"/>
          <w:lang w:val="es-ES"/>
        </w:rPr>
        <w:t xml:space="preserve">e las secretarías de las convenciones relacionadas con la diversidad biológica y organizaciones internacionales pertinentes a fin de impulsar la aplicación de la decisión XIII/23 y elementos pertinentes de la decisión XIII/24. Este proceso se estableció luego de la reunión que mantuvieron </w:t>
      </w:r>
      <w:r w:rsidR="00166AD7" w:rsidRPr="0019095F">
        <w:rPr>
          <w:rFonts w:eastAsia="Times New Roman"/>
          <w:szCs w:val="22"/>
          <w:lang w:val="es-ES"/>
        </w:rPr>
        <w:t xml:space="preserve">en Roma </w:t>
      </w:r>
      <w:r w:rsidRPr="0019095F">
        <w:rPr>
          <w:rFonts w:eastAsia="Times New Roman"/>
          <w:szCs w:val="22"/>
          <w:lang w:val="es-ES"/>
        </w:rPr>
        <w:t xml:space="preserve">los miembros del Grupo de Enlace de las Convenciones relacionadas con la Diversidad Biológica y las organizaciones </w:t>
      </w:r>
      <w:r w:rsidR="0019095F">
        <w:rPr>
          <w:rFonts w:eastAsia="Times New Roman"/>
          <w:szCs w:val="22"/>
          <w:lang w:val="es-ES"/>
        </w:rPr>
        <w:t>que alojan</w:t>
      </w:r>
      <w:r w:rsidRPr="0019095F">
        <w:rPr>
          <w:rFonts w:eastAsia="Times New Roman"/>
          <w:szCs w:val="22"/>
          <w:lang w:val="es-ES"/>
        </w:rPr>
        <w:t xml:space="preserve"> las secretarías de esas Convenciones, en septiembre de 2017, donde se trataron las oportunidades para fortalecer la coordinación y cooperación interinstitucional a través de actividades de apoyo mutuo, incluidas actividades de creación de capacidad</w:t>
      </w:r>
      <w:r w:rsidRPr="0019095F">
        <w:rPr>
          <w:rStyle w:val="FootnoteReference"/>
          <w:rFonts w:eastAsia="Times New Roman"/>
          <w:sz w:val="22"/>
          <w:szCs w:val="22"/>
          <w:u w:val="none"/>
          <w:vertAlign w:val="superscript"/>
          <w:lang w:val="es-ES"/>
        </w:rPr>
        <w:footnoteReference w:id="4"/>
      </w:r>
      <w:r w:rsidRPr="0019095F">
        <w:rPr>
          <w:rFonts w:eastAsia="Times New Roman"/>
          <w:szCs w:val="22"/>
          <w:lang w:val="es-ES"/>
        </w:rPr>
        <w:t>.</w:t>
      </w:r>
    </w:p>
    <w:p w:rsidR="004E6589" w:rsidRPr="00843F53" w:rsidRDefault="004E6589" w:rsidP="004E6589">
      <w:pPr>
        <w:pStyle w:val="Para1"/>
        <w:numPr>
          <w:ilvl w:val="0"/>
          <w:numId w:val="14"/>
        </w:numPr>
        <w:suppressLineNumbers/>
        <w:tabs>
          <w:tab w:val="num" w:pos="720"/>
        </w:tabs>
        <w:suppressAutoHyphens/>
        <w:spacing w:before="120"/>
        <w:ind w:left="0" w:firstLine="0"/>
        <w:rPr>
          <w:rFonts w:eastAsia="Times New Roman"/>
          <w:szCs w:val="22"/>
          <w:lang w:val="es-ES"/>
        </w:rPr>
      </w:pPr>
      <w:r w:rsidRPr="00843F53">
        <w:rPr>
          <w:rFonts w:eastAsia="Times New Roman"/>
          <w:szCs w:val="22"/>
          <w:lang w:val="es-ES"/>
        </w:rPr>
        <w:t xml:space="preserve">También se han logrado </w:t>
      </w:r>
      <w:r w:rsidR="00166AD7">
        <w:rPr>
          <w:rFonts w:eastAsia="Times New Roman"/>
          <w:szCs w:val="22"/>
          <w:lang w:val="es-ES"/>
        </w:rPr>
        <w:t>progresos</w:t>
      </w:r>
      <w:r w:rsidRPr="00843F53">
        <w:rPr>
          <w:rFonts w:eastAsia="Times New Roman"/>
          <w:szCs w:val="22"/>
          <w:lang w:val="es-ES"/>
        </w:rPr>
        <w:t xml:space="preserve"> en la diversificación de </w:t>
      </w:r>
      <w:r w:rsidR="00166AD7">
        <w:rPr>
          <w:rFonts w:eastAsia="Times New Roman"/>
          <w:szCs w:val="22"/>
          <w:lang w:val="es-ES"/>
        </w:rPr>
        <w:t xml:space="preserve">las </w:t>
      </w:r>
      <w:r w:rsidRPr="00843F53">
        <w:rPr>
          <w:rFonts w:eastAsia="Times New Roman"/>
          <w:szCs w:val="22"/>
          <w:lang w:val="es-ES"/>
        </w:rPr>
        <w:t xml:space="preserve">modalidades y enfoques </w:t>
      </w:r>
      <w:r w:rsidR="00B474BA">
        <w:rPr>
          <w:rFonts w:eastAsia="Times New Roman"/>
          <w:szCs w:val="22"/>
          <w:lang w:val="es-ES"/>
        </w:rPr>
        <w:t>de</w:t>
      </w:r>
      <w:r w:rsidRPr="00843F53">
        <w:rPr>
          <w:rFonts w:eastAsia="Times New Roman"/>
          <w:szCs w:val="22"/>
          <w:lang w:val="es-ES"/>
        </w:rPr>
        <w:t xml:space="preserve"> </w:t>
      </w:r>
      <w:r w:rsidR="00166AD7">
        <w:rPr>
          <w:rFonts w:eastAsia="Times New Roman"/>
          <w:szCs w:val="22"/>
          <w:lang w:val="es-ES"/>
        </w:rPr>
        <w:t>p</w:t>
      </w:r>
      <w:r w:rsidRPr="00843F53">
        <w:rPr>
          <w:rFonts w:eastAsia="Times New Roman"/>
          <w:szCs w:val="22"/>
          <w:lang w:val="es-ES"/>
        </w:rPr>
        <w:t>r</w:t>
      </w:r>
      <w:r w:rsidR="00166AD7">
        <w:rPr>
          <w:rFonts w:eastAsia="Times New Roman"/>
          <w:szCs w:val="22"/>
          <w:lang w:val="es-ES"/>
        </w:rPr>
        <w:t>est</w:t>
      </w:r>
      <w:r w:rsidRPr="00843F53">
        <w:rPr>
          <w:rFonts w:eastAsia="Times New Roman"/>
          <w:szCs w:val="22"/>
          <w:lang w:val="es-ES"/>
        </w:rPr>
        <w:t>a</w:t>
      </w:r>
      <w:r w:rsidR="00B474BA">
        <w:rPr>
          <w:rFonts w:eastAsia="Times New Roman"/>
          <w:szCs w:val="22"/>
          <w:lang w:val="es-ES"/>
        </w:rPr>
        <w:t xml:space="preserve">ción de </w:t>
      </w:r>
      <w:r w:rsidRPr="00843F53">
        <w:rPr>
          <w:rFonts w:eastAsia="Times New Roman"/>
          <w:szCs w:val="22"/>
          <w:lang w:val="es-ES"/>
        </w:rPr>
        <w:t>apoyo para el desarrollo de capacidad, según se</w:t>
      </w:r>
      <w:r w:rsidRPr="00843F53">
        <w:rPr>
          <w:rFonts w:eastAsia="Times New Roman"/>
          <w:kern w:val="22"/>
          <w:szCs w:val="22"/>
          <w:lang w:val="es-ES"/>
        </w:rPr>
        <w:t xml:space="preserve"> describe en el documento CBD/SBI/2/INF/6</w:t>
      </w:r>
      <w:r w:rsidRPr="00843F53">
        <w:rPr>
          <w:rFonts w:eastAsia="Times New Roman"/>
          <w:szCs w:val="22"/>
          <w:lang w:val="es-ES"/>
        </w:rPr>
        <w:t>.</w:t>
      </w:r>
      <w:r w:rsidRPr="00843F53">
        <w:rPr>
          <w:rFonts w:eastAsia="Times New Roman"/>
          <w:kern w:val="22"/>
          <w:szCs w:val="22"/>
          <w:lang w:val="es-ES"/>
        </w:rPr>
        <w:t xml:space="preserve"> Además de talleres presenciales</w:t>
      </w:r>
      <w:r w:rsidRPr="00843F53">
        <w:rPr>
          <w:rFonts w:eastAsia="Times New Roman"/>
          <w:szCs w:val="22"/>
          <w:lang w:val="es-ES"/>
        </w:rPr>
        <w:t xml:space="preserve">, la Secretaría y </w:t>
      </w:r>
      <w:r w:rsidR="003A2B94">
        <w:rPr>
          <w:rFonts w:eastAsia="Times New Roman"/>
          <w:szCs w:val="22"/>
          <w:lang w:val="es-ES"/>
        </w:rPr>
        <w:t>lo</w:t>
      </w:r>
      <w:r w:rsidRPr="00843F53">
        <w:rPr>
          <w:rFonts w:eastAsia="Times New Roman"/>
          <w:szCs w:val="22"/>
          <w:lang w:val="es-ES"/>
        </w:rPr>
        <w:t xml:space="preserve">s asociados </w:t>
      </w:r>
      <w:r w:rsidR="003A2B94">
        <w:rPr>
          <w:rFonts w:eastAsia="Times New Roman"/>
          <w:szCs w:val="22"/>
          <w:lang w:val="es-ES"/>
        </w:rPr>
        <w:t xml:space="preserve">que </w:t>
      </w:r>
      <w:r w:rsidRPr="00843F53">
        <w:rPr>
          <w:rFonts w:eastAsia="Times New Roman"/>
          <w:szCs w:val="22"/>
          <w:lang w:val="es-ES"/>
        </w:rPr>
        <w:t>colabora</w:t>
      </w:r>
      <w:r w:rsidR="003A2B94">
        <w:rPr>
          <w:rFonts w:eastAsia="Times New Roman"/>
          <w:szCs w:val="22"/>
          <w:lang w:val="es-ES"/>
        </w:rPr>
        <w:t>n con ella</w:t>
      </w:r>
      <w:r w:rsidRPr="00843F53">
        <w:rPr>
          <w:rFonts w:eastAsia="Times New Roman"/>
          <w:szCs w:val="22"/>
          <w:lang w:val="es-ES"/>
        </w:rPr>
        <w:t xml:space="preserve"> han ampliado el uso de</w:t>
      </w:r>
      <w:r w:rsidR="003A2B94">
        <w:rPr>
          <w:rFonts w:eastAsia="Times New Roman"/>
          <w:szCs w:val="22"/>
          <w:lang w:val="es-ES"/>
        </w:rPr>
        <w:t>l</w:t>
      </w:r>
      <w:r w:rsidRPr="00843F53">
        <w:rPr>
          <w:rFonts w:eastAsia="Times New Roman"/>
          <w:szCs w:val="22"/>
          <w:lang w:val="es-ES"/>
        </w:rPr>
        <w:t xml:space="preserve"> aprendizaje electrónico, </w:t>
      </w:r>
      <w:r w:rsidR="00C1659F">
        <w:rPr>
          <w:rFonts w:eastAsia="Times New Roman"/>
          <w:szCs w:val="22"/>
          <w:lang w:val="es-ES"/>
        </w:rPr>
        <w:t>la</w:t>
      </w:r>
      <w:r w:rsidRPr="00843F53">
        <w:rPr>
          <w:rFonts w:eastAsia="Times New Roman"/>
          <w:szCs w:val="22"/>
          <w:lang w:val="es-ES"/>
        </w:rPr>
        <w:t xml:space="preserve"> asistencia a usuarios</w:t>
      </w:r>
      <w:r w:rsidRPr="00843F53">
        <w:rPr>
          <w:rFonts w:eastAsia="Times New Roman"/>
          <w:kern w:val="22"/>
          <w:szCs w:val="22"/>
          <w:lang w:val="es-ES"/>
        </w:rPr>
        <w:t xml:space="preserve">, </w:t>
      </w:r>
      <w:r w:rsidR="003A2B94">
        <w:rPr>
          <w:rFonts w:eastAsia="Times New Roman"/>
          <w:kern w:val="22"/>
          <w:szCs w:val="22"/>
          <w:lang w:val="es-ES"/>
        </w:rPr>
        <w:t xml:space="preserve">los </w:t>
      </w:r>
      <w:r w:rsidRPr="00843F53">
        <w:rPr>
          <w:rFonts w:eastAsia="Times New Roman"/>
          <w:kern w:val="22"/>
          <w:szCs w:val="22"/>
          <w:lang w:val="es-ES"/>
        </w:rPr>
        <w:t xml:space="preserve">proyectos experimentales y de demostración a pequeña escala, </w:t>
      </w:r>
      <w:r w:rsidR="003A2B94">
        <w:rPr>
          <w:rFonts w:eastAsia="Times New Roman"/>
          <w:kern w:val="22"/>
          <w:szCs w:val="22"/>
          <w:lang w:val="es-ES"/>
        </w:rPr>
        <w:t xml:space="preserve">los </w:t>
      </w:r>
      <w:r w:rsidRPr="00843F53">
        <w:rPr>
          <w:rFonts w:eastAsia="Times New Roman"/>
          <w:szCs w:val="22"/>
          <w:lang w:val="es-ES"/>
        </w:rPr>
        <w:t xml:space="preserve">diálogos y misiones de aprendizaje </w:t>
      </w:r>
      <w:r w:rsidRPr="00843F53">
        <w:rPr>
          <w:rFonts w:eastAsia="Times New Roman"/>
          <w:kern w:val="22"/>
          <w:szCs w:val="22"/>
          <w:lang w:val="es-ES"/>
        </w:rPr>
        <w:t>regional</w:t>
      </w:r>
      <w:r w:rsidRPr="00843F53">
        <w:rPr>
          <w:rFonts w:eastAsia="Times New Roman"/>
          <w:szCs w:val="22"/>
          <w:lang w:val="es-ES"/>
        </w:rPr>
        <w:t>es,</w:t>
      </w:r>
      <w:r w:rsidR="003A2B94">
        <w:rPr>
          <w:rFonts w:eastAsia="Times New Roman"/>
          <w:szCs w:val="22"/>
          <w:lang w:val="es-ES"/>
        </w:rPr>
        <w:t xml:space="preserve"> las</w:t>
      </w:r>
      <w:r w:rsidRPr="00843F53">
        <w:rPr>
          <w:rFonts w:eastAsia="Times New Roman"/>
          <w:szCs w:val="22"/>
          <w:lang w:val="es-ES"/>
        </w:rPr>
        <w:t xml:space="preserve"> actividades de formación de formadores, </w:t>
      </w:r>
      <w:r w:rsidR="003A2B94">
        <w:rPr>
          <w:rFonts w:eastAsia="Times New Roman"/>
          <w:szCs w:val="22"/>
          <w:lang w:val="es-ES"/>
        </w:rPr>
        <w:t xml:space="preserve">la </w:t>
      </w:r>
      <w:r w:rsidRPr="00843F53">
        <w:rPr>
          <w:rFonts w:eastAsia="Times New Roman"/>
          <w:kern w:val="22"/>
          <w:szCs w:val="22"/>
          <w:lang w:val="es-ES"/>
        </w:rPr>
        <w:t>provisión de materiales didácticos y de orientación y</w:t>
      </w:r>
      <w:r w:rsidRPr="00843F53">
        <w:rPr>
          <w:rFonts w:eastAsia="Times New Roman"/>
          <w:szCs w:val="22"/>
          <w:lang w:val="es-ES"/>
        </w:rPr>
        <w:t xml:space="preserve"> </w:t>
      </w:r>
      <w:r w:rsidR="003A2B94">
        <w:rPr>
          <w:rFonts w:eastAsia="Times New Roman"/>
          <w:szCs w:val="22"/>
          <w:lang w:val="es-ES"/>
        </w:rPr>
        <w:t xml:space="preserve">la </w:t>
      </w:r>
      <w:r w:rsidRPr="00843F53">
        <w:rPr>
          <w:rFonts w:eastAsia="Times New Roman"/>
          <w:szCs w:val="22"/>
          <w:lang w:val="es-ES"/>
        </w:rPr>
        <w:t>elaboración de herramientas d</w:t>
      </w:r>
      <w:r w:rsidR="00D962A1">
        <w:rPr>
          <w:rFonts w:eastAsia="Times New Roman"/>
          <w:szCs w:val="22"/>
          <w:lang w:val="es-ES"/>
        </w:rPr>
        <w:t>e</w:t>
      </w:r>
      <w:r w:rsidRPr="00843F53">
        <w:rPr>
          <w:rFonts w:eastAsia="Times New Roman"/>
          <w:szCs w:val="22"/>
          <w:lang w:val="es-ES"/>
        </w:rPr>
        <w:t xml:space="preserve"> apoyo (como la herramienta Bioland para el mecanismo de facilitación)</w:t>
      </w:r>
      <w:r w:rsidRPr="00843F53">
        <w:rPr>
          <w:rStyle w:val="FootnoteReference"/>
          <w:rFonts w:eastAsia="Times New Roman"/>
          <w:sz w:val="22"/>
          <w:szCs w:val="22"/>
          <w:u w:val="none"/>
          <w:vertAlign w:val="superscript"/>
          <w:lang w:val="es-ES"/>
        </w:rPr>
        <w:footnoteReference w:id="5"/>
      </w:r>
      <w:r w:rsidRPr="00843F53">
        <w:rPr>
          <w:rFonts w:eastAsia="Times New Roman"/>
          <w:szCs w:val="22"/>
          <w:lang w:val="es-ES"/>
        </w:rPr>
        <w:t>. Algunas actividades de creación de capacidad también han adoptado un enfoque de “aprendizaje mixto” que combina dos o más de estas modalidades, lo que probablemente signifique una mejor experiencia de aprendizaje para los participantes.</w:t>
      </w:r>
    </w:p>
    <w:p w:rsidR="00C61056" w:rsidRPr="00843F53" w:rsidRDefault="00C61056" w:rsidP="00C61056">
      <w:pPr>
        <w:pStyle w:val="Para1"/>
        <w:numPr>
          <w:ilvl w:val="0"/>
          <w:numId w:val="14"/>
        </w:numPr>
        <w:suppressLineNumbers/>
        <w:tabs>
          <w:tab w:val="num" w:pos="720"/>
        </w:tabs>
        <w:suppressAutoHyphens/>
        <w:spacing w:before="120"/>
        <w:ind w:left="0" w:firstLine="0"/>
        <w:rPr>
          <w:rFonts w:eastAsia="Times New Roman"/>
          <w:szCs w:val="22"/>
          <w:lang w:val="es-ES"/>
        </w:rPr>
      </w:pPr>
      <w:r w:rsidRPr="00843F53">
        <w:rPr>
          <w:rFonts w:eastAsia="Times New Roman"/>
          <w:szCs w:val="22"/>
          <w:lang w:val="es-ES"/>
        </w:rPr>
        <w:t xml:space="preserve">El aprendizaje electrónico (incluidos los módulos de aprendizaje electrónico autodirigidos, </w:t>
      </w:r>
      <w:r w:rsidR="00B117F3">
        <w:rPr>
          <w:rFonts w:eastAsia="Times New Roman"/>
          <w:szCs w:val="22"/>
          <w:lang w:val="es-ES"/>
        </w:rPr>
        <w:t xml:space="preserve">los </w:t>
      </w:r>
      <w:r w:rsidRPr="00843F53">
        <w:rPr>
          <w:rFonts w:eastAsia="Times New Roman"/>
          <w:kern w:val="22"/>
          <w:szCs w:val="22"/>
          <w:lang w:val="es-ES"/>
        </w:rPr>
        <w:t xml:space="preserve">cursos </w:t>
      </w:r>
      <w:r w:rsidR="00B117F3" w:rsidRPr="00843F53">
        <w:rPr>
          <w:rFonts w:eastAsia="Times New Roman"/>
          <w:kern w:val="22"/>
          <w:szCs w:val="22"/>
          <w:lang w:val="es-ES"/>
        </w:rPr>
        <w:t xml:space="preserve">en línea abiertos </w:t>
      </w:r>
      <w:r w:rsidR="00B117F3">
        <w:rPr>
          <w:rFonts w:eastAsia="Times New Roman"/>
          <w:kern w:val="22"/>
          <w:szCs w:val="22"/>
          <w:lang w:val="es-ES"/>
        </w:rPr>
        <w:t>de carácter masivo</w:t>
      </w:r>
      <w:r w:rsidRPr="00843F53">
        <w:rPr>
          <w:rFonts w:eastAsia="Times New Roman"/>
          <w:kern w:val="22"/>
          <w:szCs w:val="22"/>
          <w:lang w:val="es-ES"/>
        </w:rPr>
        <w:t xml:space="preserve"> y </w:t>
      </w:r>
      <w:r w:rsidR="00B117F3">
        <w:rPr>
          <w:rFonts w:eastAsia="Times New Roman"/>
          <w:kern w:val="22"/>
          <w:szCs w:val="22"/>
          <w:lang w:val="es-ES"/>
        </w:rPr>
        <w:t xml:space="preserve">los </w:t>
      </w:r>
      <w:r w:rsidRPr="00843F53">
        <w:rPr>
          <w:rFonts w:eastAsia="Times New Roman"/>
          <w:kern w:val="22"/>
          <w:szCs w:val="22"/>
          <w:lang w:val="es-ES"/>
        </w:rPr>
        <w:t>seminarios web)</w:t>
      </w:r>
      <w:r w:rsidRPr="00843F53">
        <w:rPr>
          <w:rFonts w:eastAsia="Times New Roman"/>
          <w:szCs w:val="22"/>
          <w:lang w:val="es-ES"/>
        </w:rPr>
        <w:t xml:space="preserve"> ha crecido en forma constante como modalidad de dictado que tiene el potencial de ampliar la accesibilidad del contenido didáctico elaborado por la Secretaría y las organizaciones asociadas a una gama más amplia de usuarios en distintas partes del mundo. Los módulos y cursos de aprendizaje electrónico han resultado útiles en particular cuando se combinan con instancias de formación presencial. No obstante, la utilización del enfoque de aprendizaje electrónico sigue estando restringida por una serie de dificultades. Por ejemplo, algunos países en desarrollo han informado que tienen problemas para acceder a los módulos y cursos ofrecidos a través de </w:t>
      </w:r>
      <w:r w:rsidRPr="00843F53">
        <w:rPr>
          <w:rFonts w:eastAsia="Times New Roman"/>
          <w:szCs w:val="22"/>
          <w:lang w:val="es-ES"/>
        </w:rPr>
        <w:lastRenderedPageBreak/>
        <w:t>la Plataforma de Aprendizaje Electrónico sobre Diversidad Biológica debido a que su conectividad a Internet es limitada. Muchos pidieron a la Secretaría que explorara la posibilidad de brindar versiones fuera de línea de los módulos de aprendizaje electrónico.</w:t>
      </w:r>
    </w:p>
    <w:p w:rsidR="003431E5" w:rsidRPr="00843F53" w:rsidRDefault="003719D0" w:rsidP="00843F53">
      <w:pPr>
        <w:pStyle w:val="Para1"/>
        <w:numPr>
          <w:ilvl w:val="0"/>
          <w:numId w:val="14"/>
        </w:numPr>
        <w:suppressLineNumbers/>
        <w:tabs>
          <w:tab w:val="num" w:pos="720"/>
        </w:tabs>
        <w:suppressAutoHyphens/>
        <w:spacing w:before="120"/>
        <w:ind w:left="0" w:firstLine="0"/>
        <w:rPr>
          <w:rFonts w:eastAsia="Times New Roman"/>
          <w:szCs w:val="22"/>
          <w:lang w:val="es-ES"/>
        </w:rPr>
      </w:pPr>
      <w:r>
        <w:rPr>
          <w:rFonts w:eastAsia="Times New Roman"/>
          <w:szCs w:val="22"/>
          <w:lang w:val="es-ES"/>
        </w:rPr>
        <w:t>E</w:t>
      </w:r>
      <w:r w:rsidRPr="00843F53">
        <w:rPr>
          <w:rFonts w:eastAsia="Times New Roman"/>
          <w:szCs w:val="22"/>
          <w:lang w:val="es-ES"/>
        </w:rPr>
        <w:t xml:space="preserve">l enfoque de formación de </w:t>
      </w:r>
      <w:r>
        <w:rPr>
          <w:rFonts w:eastAsia="Times New Roman"/>
          <w:szCs w:val="22"/>
          <w:lang w:val="es-ES"/>
        </w:rPr>
        <w:t>formadores</w:t>
      </w:r>
      <w:r w:rsidRPr="00843F53">
        <w:rPr>
          <w:rFonts w:eastAsia="Times New Roman"/>
          <w:szCs w:val="22"/>
          <w:lang w:val="es-ES"/>
        </w:rPr>
        <w:t xml:space="preserve"> </w:t>
      </w:r>
      <w:r>
        <w:rPr>
          <w:rFonts w:eastAsia="Times New Roman"/>
          <w:szCs w:val="22"/>
          <w:lang w:val="es-ES"/>
        </w:rPr>
        <w:t xml:space="preserve">se </w:t>
      </w:r>
      <w:r w:rsidRPr="00843F53">
        <w:rPr>
          <w:rFonts w:eastAsia="Times New Roman"/>
          <w:szCs w:val="22"/>
          <w:lang w:val="es-ES"/>
        </w:rPr>
        <w:t xml:space="preserve">sigue aplicando ampliamente </w:t>
      </w:r>
      <w:r>
        <w:rPr>
          <w:rFonts w:eastAsia="Times New Roman"/>
          <w:szCs w:val="22"/>
          <w:lang w:val="es-ES"/>
        </w:rPr>
        <w:t>en divers</w:t>
      </w:r>
      <w:r w:rsidR="003431E5" w:rsidRPr="00843F53">
        <w:rPr>
          <w:rFonts w:eastAsia="Times New Roman"/>
          <w:szCs w:val="22"/>
          <w:lang w:val="es-ES"/>
        </w:rPr>
        <w:t>os programas, incluido el programa de capacitación de la Iniciativa Mundial sobre Taxonomía apoyado por el Fondo Japonés para la Diversidad Biológica, la Iniciativa Océanos Sostenibles y el programa de capacitación de pueblos indígenas y comunidades locales. Este enfoque ha demostrado ser un modelo útil para ampliar el alcance de las actividades de formación apoyadas o facilitadas por la Secretaría en colaboración con asociados, mediante la formación de grupos de instructores que, a su vez, han emprendido la formación de otros en sus respectivas regiones. Este es el caso, por ejemplo, de instructores de 12 países que completaron con éxito cursos de formación sobre el código de barras de ADN para la identificación rápida de especies</w:t>
      </w:r>
      <w:r w:rsidR="00CE0495">
        <w:rPr>
          <w:rFonts w:eastAsia="Times New Roman"/>
          <w:szCs w:val="22"/>
          <w:lang w:val="es-ES"/>
        </w:rPr>
        <w:t>,</w:t>
      </w:r>
      <w:r w:rsidR="003431E5" w:rsidRPr="00843F53">
        <w:rPr>
          <w:rFonts w:eastAsia="Times New Roman"/>
          <w:szCs w:val="22"/>
          <w:lang w:val="es-ES"/>
        </w:rPr>
        <w:t xml:space="preserve"> </w:t>
      </w:r>
      <w:r w:rsidR="00CE0495">
        <w:rPr>
          <w:rFonts w:eastAsia="Times New Roman"/>
          <w:szCs w:val="22"/>
          <w:lang w:val="es-ES"/>
        </w:rPr>
        <w:t xml:space="preserve">que fueron </w:t>
      </w:r>
      <w:r w:rsidR="003431E5" w:rsidRPr="00843F53">
        <w:rPr>
          <w:rFonts w:eastAsia="Times New Roman"/>
          <w:szCs w:val="22"/>
          <w:lang w:val="es-ES"/>
        </w:rPr>
        <w:t xml:space="preserve">dictados por la Secretaría en colaboración con la Universidad de Guelph en 2015-2016, como se señala en el párrafo 38 del </w:t>
      </w:r>
      <w:r w:rsidR="003431E5" w:rsidRPr="00843F53">
        <w:rPr>
          <w:rFonts w:eastAsia="Times New Roman"/>
          <w:kern w:val="22"/>
          <w:szCs w:val="22"/>
          <w:lang w:val="es-ES"/>
        </w:rPr>
        <w:t xml:space="preserve">documento de </w:t>
      </w:r>
      <w:r w:rsidR="003431E5" w:rsidRPr="00843F53">
        <w:rPr>
          <w:rFonts w:eastAsia="Times New Roman"/>
          <w:szCs w:val="22"/>
          <w:lang w:val="es-ES"/>
        </w:rPr>
        <w:t>información</w:t>
      </w:r>
      <w:r w:rsidR="003431E5" w:rsidRPr="00843F53">
        <w:rPr>
          <w:rFonts w:eastAsia="Times New Roman"/>
          <w:kern w:val="22"/>
          <w:szCs w:val="22"/>
          <w:lang w:val="es-ES"/>
        </w:rPr>
        <w:t xml:space="preserve"> CBD/SBI/2/INF/6</w:t>
      </w:r>
      <w:r w:rsidR="003431E5" w:rsidRPr="00843F53">
        <w:rPr>
          <w:rFonts w:eastAsia="Times New Roman"/>
          <w:szCs w:val="22"/>
          <w:lang w:val="es-ES"/>
        </w:rPr>
        <w:t xml:space="preserve">. Estos instructores han recibido pequeños subsidios para organizar cursos </w:t>
      </w:r>
      <w:r w:rsidRPr="00843F53">
        <w:rPr>
          <w:rFonts w:eastAsia="Times New Roman"/>
          <w:szCs w:val="22"/>
          <w:lang w:val="es-ES"/>
        </w:rPr>
        <w:t>estandarizad</w:t>
      </w:r>
      <w:r>
        <w:rPr>
          <w:rFonts w:eastAsia="Times New Roman"/>
          <w:szCs w:val="22"/>
          <w:lang w:val="es-ES"/>
        </w:rPr>
        <w:t>os</w:t>
      </w:r>
      <w:r w:rsidRPr="00843F53">
        <w:rPr>
          <w:rFonts w:eastAsia="Times New Roman"/>
          <w:szCs w:val="22"/>
          <w:lang w:val="es-ES"/>
        </w:rPr>
        <w:t xml:space="preserve"> similares </w:t>
      </w:r>
      <w:r w:rsidR="003431E5" w:rsidRPr="00843F53">
        <w:rPr>
          <w:rFonts w:eastAsia="Times New Roman"/>
          <w:szCs w:val="22"/>
          <w:lang w:val="es-ES"/>
        </w:rPr>
        <w:t xml:space="preserve">de formación </w:t>
      </w:r>
      <w:r>
        <w:rPr>
          <w:rFonts w:eastAsia="Times New Roman"/>
          <w:szCs w:val="22"/>
          <w:lang w:val="es-ES"/>
        </w:rPr>
        <w:t>en</w:t>
      </w:r>
      <w:r w:rsidR="003431E5" w:rsidRPr="00843F53">
        <w:rPr>
          <w:rFonts w:eastAsia="Times New Roman"/>
          <w:szCs w:val="22"/>
          <w:lang w:val="es-ES"/>
        </w:rPr>
        <w:t xml:space="preserve"> tecnologías de ADN en sus respectivos países </w:t>
      </w:r>
      <w:r>
        <w:rPr>
          <w:rFonts w:eastAsia="Times New Roman"/>
          <w:szCs w:val="22"/>
          <w:lang w:val="es-ES"/>
        </w:rPr>
        <w:t>en el correr de</w:t>
      </w:r>
      <w:r w:rsidR="003431E5" w:rsidRPr="00843F53">
        <w:rPr>
          <w:rFonts w:eastAsia="Times New Roman"/>
          <w:szCs w:val="22"/>
          <w:lang w:val="es-ES"/>
        </w:rPr>
        <w:t xml:space="preserve"> 2018</w:t>
      </w:r>
      <w:r w:rsidR="003431E5" w:rsidRPr="00843F53">
        <w:rPr>
          <w:rFonts w:eastAsia="Times New Roman"/>
          <w:kern w:val="22"/>
          <w:szCs w:val="22"/>
          <w:lang w:val="es-ES"/>
        </w:rPr>
        <w:t>. Se espera que como resultado de ello se capacite a un total de 189 nuevos instructores en técnicas de código de barras de ADN.</w:t>
      </w:r>
    </w:p>
    <w:p w:rsidR="0032141D" w:rsidRPr="00843F53" w:rsidRDefault="0032141D" w:rsidP="00843F53">
      <w:pPr>
        <w:pStyle w:val="Para1"/>
        <w:numPr>
          <w:ilvl w:val="0"/>
          <w:numId w:val="14"/>
        </w:numPr>
        <w:suppressLineNumbers/>
        <w:tabs>
          <w:tab w:val="num" w:pos="720"/>
        </w:tabs>
        <w:suppressAutoHyphens/>
        <w:spacing w:before="120"/>
        <w:ind w:left="0" w:firstLine="0"/>
        <w:rPr>
          <w:rFonts w:eastAsia="Times New Roman"/>
          <w:szCs w:val="22"/>
          <w:lang w:val="es-ES"/>
        </w:rPr>
      </w:pPr>
      <w:r w:rsidRPr="00843F53">
        <w:rPr>
          <w:rFonts w:eastAsia="Times New Roman"/>
          <w:szCs w:val="22"/>
          <w:lang w:val="es-ES"/>
        </w:rPr>
        <w:t xml:space="preserve">El empleo de proyectos experimentales y de demostración como enfoque para el desarrollo de capacidad </w:t>
      </w:r>
      <w:r w:rsidR="003719D0">
        <w:rPr>
          <w:rFonts w:eastAsia="Times New Roman"/>
          <w:szCs w:val="22"/>
          <w:lang w:val="es-ES"/>
        </w:rPr>
        <w:t xml:space="preserve">también </w:t>
      </w:r>
      <w:r w:rsidRPr="00843F53">
        <w:rPr>
          <w:rFonts w:eastAsia="Times New Roman"/>
          <w:szCs w:val="22"/>
          <w:lang w:val="es-ES"/>
        </w:rPr>
        <w:t>ha crecido si</w:t>
      </w:r>
      <w:r w:rsidR="003719D0">
        <w:rPr>
          <w:rFonts w:eastAsia="Times New Roman"/>
          <w:szCs w:val="22"/>
          <w:lang w:val="es-ES"/>
        </w:rPr>
        <w:t>gnificativa</w:t>
      </w:r>
      <w:r w:rsidRPr="00843F53">
        <w:rPr>
          <w:rFonts w:eastAsia="Times New Roman"/>
          <w:szCs w:val="22"/>
          <w:lang w:val="es-ES"/>
        </w:rPr>
        <w:t>mente. Como se señala en el documento</w:t>
      </w:r>
      <w:r w:rsidRPr="00843F53">
        <w:rPr>
          <w:rFonts w:eastAsia="Times New Roman"/>
          <w:kern w:val="22"/>
          <w:szCs w:val="22"/>
          <w:lang w:val="es-ES"/>
        </w:rPr>
        <w:t xml:space="preserve"> CBD/SBI/2/INF/6</w:t>
      </w:r>
      <w:r w:rsidRPr="00843F53">
        <w:rPr>
          <w:rFonts w:eastAsia="Times New Roman"/>
          <w:szCs w:val="22"/>
          <w:lang w:val="es-ES"/>
        </w:rPr>
        <w:t>, la Secretaría ha apoyado al menos 42 proyectos experimentales que han beneficiado directamente a 33</w:t>
      </w:r>
      <w:r w:rsidR="003719D0">
        <w:rPr>
          <w:rFonts w:eastAsia="Times New Roman"/>
          <w:szCs w:val="22"/>
          <w:lang w:val="es-ES"/>
        </w:rPr>
        <w:t> </w:t>
      </w:r>
      <w:r w:rsidRPr="00843F53">
        <w:rPr>
          <w:rFonts w:eastAsia="Times New Roman"/>
          <w:szCs w:val="22"/>
          <w:lang w:val="es-ES"/>
        </w:rPr>
        <w:t>países</w:t>
      </w:r>
      <w:r w:rsidRPr="00843F53">
        <w:rPr>
          <w:rStyle w:val="FootnoteReference"/>
          <w:rFonts w:eastAsia="Times New Roman"/>
          <w:sz w:val="22"/>
          <w:szCs w:val="22"/>
          <w:u w:val="none"/>
          <w:vertAlign w:val="superscript"/>
          <w:lang w:val="es-ES"/>
        </w:rPr>
        <w:footnoteReference w:id="6"/>
      </w:r>
      <w:r w:rsidRPr="00843F53">
        <w:rPr>
          <w:rFonts w:eastAsia="Times New Roman"/>
          <w:szCs w:val="22"/>
          <w:vertAlign w:val="superscript"/>
          <w:lang w:val="es-ES"/>
        </w:rPr>
        <w:t xml:space="preserve"> </w:t>
      </w:r>
      <w:r w:rsidRPr="00843F53">
        <w:rPr>
          <w:rFonts w:eastAsia="Times New Roman"/>
          <w:szCs w:val="22"/>
          <w:lang w:val="es-ES"/>
        </w:rPr>
        <w:t xml:space="preserve">sobre diversos temas (entre otros, restauración de los ecosistemas e integración de la diversidad biológica) y han generado experiencias que podrían beneficiar a la comunidad más amplia de las Partes. El enfoque fue presentado a la Secretaría por el Fondo Japonés para la Diversidad Biológica </w:t>
      </w:r>
      <w:r w:rsidR="0096646B">
        <w:rPr>
          <w:rFonts w:eastAsia="Times New Roman"/>
          <w:szCs w:val="22"/>
          <w:lang w:val="es-ES"/>
        </w:rPr>
        <w:t>con el fin de brindar</w:t>
      </w:r>
      <w:r w:rsidRPr="00843F53">
        <w:rPr>
          <w:rFonts w:eastAsia="Times New Roman"/>
          <w:szCs w:val="22"/>
          <w:lang w:val="es-ES"/>
        </w:rPr>
        <w:t xml:space="preserve"> apoyo específico para la creación de capacidad para la aplicación de estrategias y planes de acción en materia de biodiversidad (EPANB) seleccionados, con miras a documentar las lecciones aprendidas y promover su uso por otras </w:t>
      </w:r>
      <w:r w:rsidR="00DE4967" w:rsidRPr="00843F53">
        <w:rPr>
          <w:rFonts w:eastAsia="Times New Roman"/>
          <w:szCs w:val="22"/>
          <w:lang w:val="es-ES"/>
        </w:rPr>
        <w:t>Partes</w:t>
      </w:r>
      <w:r w:rsidRPr="00843F53">
        <w:rPr>
          <w:rFonts w:eastAsia="Times New Roman"/>
          <w:szCs w:val="22"/>
          <w:lang w:val="es-ES"/>
        </w:rPr>
        <w:t>, según procediera</w:t>
      </w:r>
      <w:r w:rsidRPr="00843F53">
        <w:rPr>
          <w:rStyle w:val="FootnoteReference"/>
          <w:rFonts w:eastAsia="Times New Roman"/>
          <w:sz w:val="22"/>
          <w:szCs w:val="22"/>
          <w:u w:val="none"/>
          <w:vertAlign w:val="superscript"/>
          <w:lang w:val="es-ES"/>
        </w:rPr>
        <w:footnoteReference w:id="7"/>
      </w:r>
      <w:r w:rsidRPr="00843F53">
        <w:rPr>
          <w:rFonts w:eastAsia="Times New Roman"/>
          <w:szCs w:val="22"/>
          <w:lang w:val="es-ES"/>
        </w:rPr>
        <w:t xml:space="preserve">. Las actividades y los procesos emprendidos en el marco de estos proyectos de apoyo específico han contribuido al aprendizaje a través de experiencias prácticas. Algunos países beneficiarios también han observado que </w:t>
      </w:r>
      <w:r w:rsidR="008B4CF1">
        <w:rPr>
          <w:rFonts w:eastAsia="Times New Roman"/>
          <w:szCs w:val="22"/>
          <w:lang w:val="es-ES"/>
        </w:rPr>
        <w:t>ese tipo de</w:t>
      </w:r>
      <w:r w:rsidRPr="00843F53">
        <w:rPr>
          <w:rFonts w:eastAsia="Times New Roman"/>
          <w:szCs w:val="22"/>
          <w:lang w:val="es-ES"/>
        </w:rPr>
        <w:t xml:space="preserve"> apoyo específico es muy útil para el fortalecimiento de capacidades institucionales, la colaboración y la interacción en redes a nivel nacional y regional.</w:t>
      </w:r>
    </w:p>
    <w:p w:rsidR="00A02FE5" w:rsidRPr="00843F53" w:rsidRDefault="00A02FE5" w:rsidP="00A02FE5">
      <w:pPr>
        <w:pStyle w:val="Para1"/>
        <w:numPr>
          <w:ilvl w:val="0"/>
          <w:numId w:val="14"/>
        </w:numPr>
        <w:suppressLineNumbers/>
        <w:tabs>
          <w:tab w:val="num" w:pos="720"/>
        </w:tabs>
        <w:suppressAutoHyphens/>
        <w:spacing w:before="120"/>
        <w:ind w:left="0" w:firstLine="0"/>
        <w:rPr>
          <w:rFonts w:eastAsia="Times New Roman"/>
          <w:szCs w:val="22"/>
          <w:lang w:val="es-ES"/>
        </w:rPr>
      </w:pPr>
      <w:r w:rsidRPr="00843F53">
        <w:rPr>
          <w:rFonts w:eastAsia="Times New Roman"/>
          <w:szCs w:val="22"/>
          <w:lang w:val="es-ES"/>
        </w:rPr>
        <w:t>La Secretaría también amplió la provisión de asistencia a los usuarios para diversas actividades y programas, como el Centro de Intercambio de Información sobre Acceso y Participación en los Beneficios, la presentación de informes nacionales y los mecanismos</w:t>
      </w:r>
      <w:r w:rsidR="0096646B">
        <w:rPr>
          <w:rFonts w:eastAsia="Times New Roman"/>
          <w:szCs w:val="22"/>
          <w:lang w:val="es-ES"/>
        </w:rPr>
        <w:t xml:space="preserve"> de</w:t>
      </w:r>
      <w:r w:rsidRPr="00843F53">
        <w:rPr>
          <w:rFonts w:eastAsia="Times New Roman"/>
          <w:szCs w:val="22"/>
          <w:lang w:val="es-ES"/>
        </w:rPr>
        <w:t xml:space="preserve"> </w:t>
      </w:r>
      <w:r w:rsidR="00F10810">
        <w:rPr>
          <w:rFonts w:eastAsia="Times New Roman"/>
          <w:szCs w:val="22"/>
          <w:lang w:val="es-ES"/>
        </w:rPr>
        <w:t>f</w:t>
      </w:r>
      <w:r w:rsidRPr="00843F53">
        <w:rPr>
          <w:rFonts w:eastAsia="Times New Roman"/>
          <w:szCs w:val="22"/>
          <w:lang w:val="es-ES"/>
        </w:rPr>
        <w:t>aci</w:t>
      </w:r>
      <w:r w:rsidR="00F10810">
        <w:rPr>
          <w:rFonts w:eastAsia="Times New Roman"/>
          <w:szCs w:val="22"/>
          <w:lang w:val="es-ES"/>
        </w:rPr>
        <w:t>litaci</w:t>
      </w:r>
      <w:r w:rsidRPr="00843F53">
        <w:rPr>
          <w:rFonts w:eastAsia="Times New Roman"/>
          <w:szCs w:val="22"/>
          <w:lang w:val="es-ES"/>
        </w:rPr>
        <w:t xml:space="preserve">ón nacionales. A través de esta modalidad, la Secretaría brinda respuestas puntuales a preguntas o pedidos específicos de información y asesoramiento a las Partes </w:t>
      </w:r>
      <w:r w:rsidR="00F10810">
        <w:rPr>
          <w:rFonts w:eastAsia="Times New Roman"/>
          <w:szCs w:val="22"/>
          <w:lang w:val="es-ES"/>
        </w:rPr>
        <w:t>y a</w:t>
      </w:r>
      <w:r w:rsidRPr="00843F53">
        <w:rPr>
          <w:rFonts w:eastAsia="Times New Roman"/>
          <w:szCs w:val="22"/>
          <w:lang w:val="es-ES"/>
        </w:rPr>
        <w:t xml:space="preserve"> interesados directos pertinentes. Según los comentarios recibidos, </w:t>
      </w:r>
      <w:r w:rsidR="00F10810">
        <w:rPr>
          <w:rFonts w:eastAsia="Times New Roman"/>
          <w:szCs w:val="22"/>
          <w:lang w:val="es-ES"/>
        </w:rPr>
        <w:t xml:space="preserve">a </w:t>
      </w:r>
      <w:r w:rsidR="00F10810" w:rsidRPr="00843F53">
        <w:rPr>
          <w:rFonts w:eastAsia="Times New Roman"/>
          <w:szCs w:val="22"/>
          <w:lang w:val="es-ES"/>
        </w:rPr>
        <w:t>muchos interesados directos</w:t>
      </w:r>
      <w:r w:rsidR="00F10810">
        <w:rPr>
          <w:rFonts w:eastAsia="Times New Roman"/>
          <w:szCs w:val="22"/>
          <w:lang w:val="es-ES"/>
        </w:rPr>
        <w:t xml:space="preserve"> les</w:t>
      </w:r>
      <w:r w:rsidRPr="00843F53">
        <w:rPr>
          <w:rFonts w:eastAsia="Times New Roman"/>
          <w:szCs w:val="22"/>
          <w:lang w:val="es-ES"/>
        </w:rPr>
        <w:t xml:space="preserve"> ha resultado muy útil </w:t>
      </w:r>
      <w:r w:rsidR="00F10810" w:rsidRPr="00843F53">
        <w:rPr>
          <w:rFonts w:eastAsia="Times New Roman"/>
          <w:szCs w:val="22"/>
          <w:lang w:val="es-ES"/>
        </w:rPr>
        <w:t>este servicio</w:t>
      </w:r>
      <w:r w:rsidRPr="00843F53">
        <w:rPr>
          <w:rFonts w:eastAsia="Times New Roman"/>
          <w:szCs w:val="22"/>
          <w:lang w:val="es-ES"/>
        </w:rPr>
        <w:t>.</w:t>
      </w:r>
    </w:p>
    <w:p w:rsidR="000759CE" w:rsidRPr="00843F53" w:rsidRDefault="000759CE" w:rsidP="00843F53">
      <w:pPr>
        <w:pStyle w:val="Para1"/>
        <w:numPr>
          <w:ilvl w:val="0"/>
          <w:numId w:val="14"/>
        </w:numPr>
        <w:suppressLineNumbers/>
        <w:tabs>
          <w:tab w:val="num" w:pos="720"/>
        </w:tabs>
        <w:suppressAutoHyphens/>
        <w:spacing w:before="120"/>
        <w:ind w:left="0" w:firstLine="0"/>
        <w:rPr>
          <w:rFonts w:eastAsia="Times New Roman"/>
          <w:szCs w:val="22"/>
          <w:lang w:val="es-ES"/>
        </w:rPr>
      </w:pPr>
      <w:r w:rsidRPr="00843F53">
        <w:rPr>
          <w:rFonts w:eastAsia="Times New Roman"/>
          <w:szCs w:val="22"/>
          <w:lang w:val="es-ES"/>
        </w:rPr>
        <w:t xml:space="preserve">Asimismo, como se señala en el </w:t>
      </w:r>
      <w:r w:rsidRPr="00843F53">
        <w:rPr>
          <w:rFonts w:eastAsia="Times New Roman"/>
          <w:kern w:val="22"/>
          <w:szCs w:val="22"/>
          <w:lang w:val="es-ES"/>
        </w:rPr>
        <w:t>documento CBD/SBI/2/INF/6</w:t>
      </w:r>
      <w:r w:rsidRPr="00843F53">
        <w:rPr>
          <w:rFonts w:eastAsia="Times New Roman"/>
          <w:szCs w:val="22"/>
          <w:lang w:val="es-ES"/>
        </w:rPr>
        <w:t>, la Secretaría, en colaboración con asociados, ha ampliado sus esfuerzos para facilitar el establecimiento o fortalecimiento de redes de apoyo regional y mundial en diversos temas. Entre otros ejemplos de estos esfuerzos están las redes regionales de apoyo a la aplicación para áreas protegidas</w:t>
      </w:r>
      <w:r w:rsidR="00843F53" w:rsidRPr="00843F53">
        <w:rPr>
          <w:rStyle w:val="FootnoteReference"/>
          <w:rFonts w:eastAsia="Times New Roman"/>
          <w:sz w:val="22"/>
          <w:szCs w:val="22"/>
          <w:u w:val="none"/>
          <w:vertAlign w:val="superscript"/>
          <w:lang w:val="es-ES"/>
        </w:rPr>
        <w:footnoteReference w:id="8"/>
      </w:r>
      <w:r w:rsidRPr="00843F53">
        <w:rPr>
          <w:rFonts w:eastAsia="Times New Roman"/>
          <w:szCs w:val="22"/>
          <w:lang w:val="es-ES"/>
        </w:rPr>
        <w:t>,</w:t>
      </w:r>
      <w:r w:rsidRPr="00843F53">
        <w:rPr>
          <w:rFonts w:eastAsia="Times New Roman"/>
          <w:szCs w:val="22"/>
          <w:vertAlign w:val="superscript"/>
          <w:lang w:val="es-ES"/>
        </w:rPr>
        <w:t xml:space="preserve"> </w:t>
      </w:r>
      <w:r w:rsidRPr="00843F53">
        <w:rPr>
          <w:rFonts w:eastAsia="Times New Roman"/>
          <w:szCs w:val="22"/>
          <w:lang w:val="es-ES"/>
        </w:rPr>
        <w:t xml:space="preserve">los nodos regionales de apoyo técnico del </w:t>
      </w:r>
      <w:r w:rsidRPr="00843F53">
        <w:rPr>
          <w:rFonts w:eastAsia="Times New Roman"/>
          <w:kern w:val="22"/>
          <w:szCs w:val="22"/>
          <w:lang w:val="es-ES"/>
        </w:rPr>
        <w:t>CDB-BIOFIN</w:t>
      </w:r>
      <w:r w:rsidRPr="00843F53">
        <w:rPr>
          <w:rStyle w:val="StyleFootnoteReferencenumberFootnoteReferenceSuperscript-EF"/>
          <w:rFonts w:eastAsia="Times New Roman"/>
          <w:sz w:val="22"/>
          <w:szCs w:val="22"/>
          <w:lang w:val="es-ES"/>
        </w:rPr>
        <w:footnoteReference w:id="9"/>
      </w:r>
      <w:r w:rsidRPr="00843F53">
        <w:rPr>
          <w:rFonts w:eastAsia="Times New Roman"/>
          <w:kern w:val="22"/>
          <w:szCs w:val="22"/>
          <w:lang w:val="es-ES"/>
        </w:rPr>
        <w:t>,</w:t>
      </w:r>
      <w:r w:rsidRPr="00843F53">
        <w:rPr>
          <w:rFonts w:eastAsia="Times New Roman"/>
          <w:szCs w:val="22"/>
          <w:lang w:val="es-ES"/>
        </w:rPr>
        <w:t xml:space="preserve"> </w:t>
      </w:r>
      <w:r w:rsidRPr="00843F53">
        <w:rPr>
          <w:rFonts w:eastAsia="Times New Roman"/>
          <w:szCs w:val="22"/>
          <w:lang w:val="es-ES"/>
        </w:rPr>
        <w:lastRenderedPageBreak/>
        <w:t>las redes regionales de laboratorios para la detección e identificación de organismos vivos modificados</w:t>
      </w:r>
      <w:r w:rsidRPr="00843F53">
        <w:rPr>
          <w:rStyle w:val="FootnoteReference"/>
          <w:rFonts w:eastAsia="Times New Roman"/>
          <w:sz w:val="22"/>
          <w:szCs w:val="22"/>
          <w:u w:val="none"/>
          <w:vertAlign w:val="superscript"/>
          <w:lang w:val="es-ES"/>
        </w:rPr>
        <w:footnoteReference w:id="10"/>
      </w:r>
      <w:r w:rsidRPr="00843F53">
        <w:rPr>
          <w:rFonts w:eastAsia="Times New Roman"/>
          <w:szCs w:val="22"/>
          <w:lang w:val="es-ES"/>
        </w:rPr>
        <w:t xml:space="preserve"> y la red mundial de expertos jurídicos en acceso y participación en los beneficios, que cuenta con el apoyo del JBF y está cofacilitada por la Organización Internacional para el Derecho del Desarrollo</w:t>
      </w:r>
      <w:r w:rsidR="002B508A" w:rsidRPr="002B508A">
        <w:rPr>
          <w:rStyle w:val="FootnoteReference"/>
          <w:rFonts w:eastAsia="Times New Roman"/>
          <w:sz w:val="22"/>
          <w:szCs w:val="22"/>
          <w:u w:val="none"/>
          <w:vertAlign w:val="superscript"/>
          <w:lang w:val="es-ES"/>
        </w:rPr>
        <w:footnoteReference w:id="11"/>
      </w:r>
      <w:r w:rsidRPr="00843F53">
        <w:rPr>
          <w:rFonts w:eastAsia="Times New Roman"/>
          <w:szCs w:val="22"/>
          <w:lang w:val="es-ES"/>
        </w:rPr>
        <w:t>.</w:t>
      </w:r>
    </w:p>
    <w:p w:rsidR="00D45AB9" w:rsidRPr="00843F53" w:rsidRDefault="00D45AB9" w:rsidP="00D45AB9">
      <w:pPr>
        <w:pStyle w:val="Para1"/>
        <w:numPr>
          <w:ilvl w:val="0"/>
          <w:numId w:val="14"/>
        </w:numPr>
        <w:suppressLineNumbers/>
        <w:tabs>
          <w:tab w:val="num" w:pos="720"/>
        </w:tabs>
        <w:suppressAutoHyphens/>
        <w:spacing w:before="120"/>
        <w:ind w:left="0" w:firstLine="0"/>
        <w:rPr>
          <w:rFonts w:eastAsia="Times New Roman"/>
          <w:szCs w:val="22"/>
          <w:lang w:val="es-ES"/>
        </w:rPr>
      </w:pPr>
      <w:r w:rsidRPr="00843F53">
        <w:rPr>
          <w:rFonts w:eastAsia="Times New Roman"/>
          <w:szCs w:val="22"/>
          <w:lang w:val="es-ES"/>
        </w:rPr>
        <w:t>También se ha</w:t>
      </w:r>
      <w:r w:rsidR="006B59E4">
        <w:rPr>
          <w:rFonts w:eastAsia="Times New Roman"/>
          <w:szCs w:val="22"/>
          <w:lang w:val="es-ES"/>
        </w:rPr>
        <w:t>n</w:t>
      </w:r>
      <w:r w:rsidRPr="00843F53">
        <w:rPr>
          <w:rFonts w:eastAsia="Times New Roman"/>
          <w:szCs w:val="22"/>
          <w:lang w:val="es-ES"/>
        </w:rPr>
        <w:t xml:space="preserve"> mejorado las capacidades de los países a través del apoyo brindado a procesos y actividades que no están diseñados específicamente para fines de creación de capacidad</w:t>
      </w:r>
      <w:r w:rsidRPr="00843F53">
        <w:rPr>
          <w:rFonts w:eastAsia="Times New Roman"/>
          <w:color w:val="000000"/>
          <w:szCs w:val="22"/>
          <w:lang w:val="es-ES"/>
        </w:rPr>
        <w:t xml:space="preserve">. Por ejemplo, uno de los tres objetivos de la metodología para el Proceso Voluntario de Revisión por Pares es “brindar oportunidades para el aprendizaje entre pares para las Partes que participan directamente y </w:t>
      </w:r>
      <w:r w:rsidR="006B59E4">
        <w:rPr>
          <w:rFonts w:eastAsia="Times New Roman"/>
          <w:color w:val="000000"/>
          <w:szCs w:val="22"/>
          <w:lang w:val="es-ES"/>
        </w:rPr>
        <w:t xml:space="preserve">para </w:t>
      </w:r>
      <w:r w:rsidRPr="00843F53">
        <w:rPr>
          <w:rFonts w:eastAsia="Times New Roman"/>
          <w:color w:val="000000"/>
          <w:szCs w:val="22"/>
          <w:lang w:val="es-ES"/>
        </w:rPr>
        <w:t xml:space="preserve">otras Partes”. </w:t>
      </w:r>
      <w:r w:rsidRPr="00843F53">
        <w:rPr>
          <w:rFonts w:eastAsia="Times New Roman"/>
          <w:color w:val="000000"/>
          <w:kern w:val="22"/>
          <w:szCs w:val="22"/>
          <w:lang w:val="es-ES"/>
        </w:rPr>
        <w:t xml:space="preserve">Mediante la revisión de los procesos de EPANB y la implementación de EPANB por otras Partes, se desarrolla capacidad ya que los que </w:t>
      </w:r>
      <w:r w:rsidR="006B59E4">
        <w:rPr>
          <w:rFonts w:eastAsia="Times New Roman"/>
          <w:color w:val="000000"/>
          <w:kern w:val="22"/>
          <w:szCs w:val="22"/>
          <w:lang w:val="es-ES"/>
        </w:rPr>
        <w:t>llevan a cabo</w:t>
      </w:r>
      <w:r w:rsidRPr="00843F53">
        <w:rPr>
          <w:rFonts w:eastAsia="Times New Roman"/>
          <w:color w:val="000000"/>
          <w:kern w:val="22"/>
          <w:szCs w:val="22"/>
          <w:lang w:val="es-ES"/>
        </w:rPr>
        <w:t xml:space="preserve"> la revisión aprenden de sus pares y viceversa.</w:t>
      </w:r>
      <w:r w:rsidRPr="00843F53">
        <w:rPr>
          <w:rFonts w:eastAsia="Times New Roman"/>
          <w:color w:val="000000"/>
          <w:szCs w:val="22"/>
          <w:lang w:val="es-ES"/>
        </w:rPr>
        <w:t xml:space="preserve"> </w:t>
      </w:r>
      <w:r w:rsidRPr="00843F53">
        <w:rPr>
          <w:rFonts w:eastAsia="Times New Roman"/>
          <w:color w:val="000000"/>
          <w:kern w:val="22"/>
          <w:szCs w:val="22"/>
          <w:lang w:val="es-ES"/>
        </w:rPr>
        <w:t>Los elementos de creación de capacidad del Proceso Voluntario de Revisión por Pares han sido claramente reconocidos, apreciados y documentados por las Partes participantes.</w:t>
      </w:r>
    </w:p>
    <w:p w:rsidR="00D45AB9" w:rsidRPr="00843F53" w:rsidRDefault="00D45AB9" w:rsidP="00D45AB9">
      <w:pPr>
        <w:pStyle w:val="Para1"/>
        <w:numPr>
          <w:ilvl w:val="0"/>
          <w:numId w:val="14"/>
        </w:numPr>
        <w:suppressLineNumbers/>
        <w:tabs>
          <w:tab w:val="num" w:pos="720"/>
        </w:tabs>
        <w:suppressAutoHyphens/>
        <w:spacing w:before="120"/>
        <w:ind w:left="0" w:firstLine="0"/>
        <w:rPr>
          <w:rFonts w:eastAsia="Times New Roman"/>
          <w:szCs w:val="22"/>
          <w:lang w:val="es-ES"/>
        </w:rPr>
      </w:pPr>
      <w:r w:rsidRPr="00843F53">
        <w:rPr>
          <w:rFonts w:eastAsia="Times New Roman"/>
          <w:szCs w:val="22"/>
          <w:lang w:val="es-ES"/>
        </w:rPr>
        <w:t>El Órgano Subsidiario sobre la Aplicación podría estimar oportuno e</w:t>
      </w:r>
      <w:r w:rsidR="006B59E4">
        <w:rPr>
          <w:rFonts w:eastAsia="Times New Roman"/>
          <w:szCs w:val="22"/>
          <w:lang w:val="es-ES"/>
        </w:rPr>
        <w:t>xamin</w:t>
      </w:r>
      <w:r w:rsidRPr="00843F53">
        <w:rPr>
          <w:rFonts w:eastAsia="Times New Roman"/>
          <w:szCs w:val="22"/>
          <w:lang w:val="es-ES"/>
        </w:rPr>
        <w:t xml:space="preserve">ar la información proporcionada en el presente documento y el informe sobre los </w:t>
      </w:r>
      <w:r w:rsidR="00967D8E">
        <w:rPr>
          <w:rFonts w:eastAsia="Times New Roman"/>
          <w:szCs w:val="22"/>
          <w:lang w:val="es-ES"/>
        </w:rPr>
        <w:t>progr</w:t>
      </w:r>
      <w:r w:rsidRPr="00843F53">
        <w:rPr>
          <w:rFonts w:eastAsia="Times New Roman"/>
          <w:szCs w:val="22"/>
          <w:lang w:val="es-ES"/>
        </w:rPr>
        <w:t>es</w:t>
      </w:r>
      <w:r w:rsidR="00967D8E">
        <w:rPr>
          <w:rFonts w:eastAsia="Times New Roman"/>
          <w:szCs w:val="22"/>
          <w:lang w:val="es-ES"/>
        </w:rPr>
        <w:t>os realizados</w:t>
      </w:r>
      <w:r w:rsidRPr="00843F53">
        <w:rPr>
          <w:rFonts w:eastAsia="Times New Roman"/>
          <w:szCs w:val="22"/>
          <w:lang w:val="es-ES"/>
        </w:rPr>
        <w:t xml:space="preserve"> </w:t>
      </w:r>
      <w:r w:rsidR="00967D8E">
        <w:rPr>
          <w:rFonts w:eastAsia="Times New Roman"/>
          <w:szCs w:val="22"/>
          <w:lang w:val="es-ES"/>
        </w:rPr>
        <w:t>que figura e</w:t>
      </w:r>
      <w:r w:rsidRPr="00843F53">
        <w:rPr>
          <w:rFonts w:eastAsia="Times New Roman"/>
          <w:szCs w:val="22"/>
          <w:lang w:val="es-ES"/>
        </w:rPr>
        <w:t>n el documento</w:t>
      </w:r>
      <w:r w:rsidRPr="00843F53">
        <w:rPr>
          <w:rFonts w:eastAsia="Times New Roman"/>
          <w:kern w:val="22"/>
          <w:szCs w:val="22"/>
          <w:lang w:val="es-ES"/>
        </w:rPr>
        <w:t xml:space="preserve"> CBD/SBI/2/INF/6</w:t>
      </w:r>
      <w:r w:rsidRPr="00843F53">
        <w:rPr>
          <w:rFonts w:eastAsia="Times New Roman"/>
          <w:szCs w:val="22"/>
          <w:lang w:val="es-ES"/>
        </w:rPr>
        <w:t xml:space="preserve"> y brindar orientaciones adicionales para facilitar la </w:t>
      </w:r>
      <w:r w:rsidR="006B59E4">
        <w:rPr>
          <w:rFonts w:eastAsia="Times New Roman"/>
          <w:szCs w:val="22"/>
          <w:lang w:val="es-ES"/>
        </w:rPr>
        <w:t>im</w:t>
      </w:r>
      <w:r w:rsidRPr="00843F53">
        <w:rPr>
          <w:rFonts w:eastAsia="Times New Roman"/>
          <w:szCs w:val="22"/>
          <w:lang w:val="es-ES"/>
        </w:rPr>
        <w:t>pl</w:t>
      </w:r>
      <w:r w:rsidR="006B59E4">
        <w:rPr>
          <w:rFonts w:eastAsia="Times New Roman"/>
          <w:szCs w:val="22"/>
          <w:lang w:val="es-ES"/>
        </w:rPr>
        <w:t>ement</w:t>
      </w:r>
      <w:r w:rsidRPr="00843F53">
        <w:rPr>
          <w:rFonts w:eastAsia="Times New Roman"/>
          <w:szCs w:val="22"/>
          <w:lang w:val="es-ES"/>
        </w:rPr>
        <w:t>ación efectiva del plan de acción a corto plazo</w:t>
      </w:r>
      <w:r w:rsidRPr="00843F53">
        <w:rPr>
          <w:rFonts w:eastAsia="Times New Roman"/>
          <w:kern w:val="22"/>
          <w:szCs w:val="22"/>
          <w:lang w:val="es-ES"/>
        </w:rPr>
        <w:t xml:space="preserve"> (2017-2020) para mejorar y apoyar la creación de capacidad para el Convenio y sus Protocolos, </w:t>
      </w:r>
      <w:r w:rsidR="006B59E4">
        <w:rPr>
          <w:rFonts w:eastAsia="Times New Roman"/>
          <w:kern w:val="22"/>
          <w:szCs w:val="22"/>
          <w:lang w:val="es-ES"/>
        </w:rPr>
        <w:t>y</w:t>
      </w:r>
      <w:r w:rsidRPr="00843F53">
        <w:rPr>
          <w:rFonts w:eastAsia="Times New Roman"/>
          <w:kern w:val="22"/>
          <w:szCs w:val="22"/>
          <w:lang w:val="es-ES"/>
        </w:rPr>
        <w:t xml:space="preserve"> a</w:t>
      </w:r>
      <w:r w:rsidR="006B59E4">
        <w:rPr>
          <w:rFonts w:eastAsia="Times New Roman"/>
          <w:kern w:val="22"/>
          <w:szCs w:val="22"/>
          <w:lang w:val="es-ES"/>
        </w:rPr>
        <w:t>limentar</w:t>
      </w:r>
      <w:r w:rsidRPr="00843F53">
        <w:rPr>
          <w:rFonts w:eastAsia="Times New Roman"/>
          <w:kern w:val="22"/>
          <w:szCs w:val="22"/>
          <w:lang w:val="es-ES"/>
        </w:rPr>
        <w:t xml:space="preserve"> la elaboración del instrumento suce</w:t>
      </w:r>
      <w:r w:rsidR="005A334F">
        <w:rPr>
          <w:rFonts w:eastAsia="Times New Roman"/>
          <w:kern w:val="22"/>
          <w:szCs w:val="22"/>
          <w:lang w:val="es-ES"/>
        </w:rPr>
        <w:t>so</w:t>
      </w:r>
      <w:r w:rsidRPr="00843F53">
        <w:rPr>
          <w:rFonts w:eastAsia="Times New Roman"/>
          <w:kern w:val="22"/>
          <w:szCs w:val="22"/>
          <w:lang w:val="es-ES"/>
        </w:rPr>
        <w:t>r</w:t>
      </w:r>
      <w:r w:rsidR="005A334F">
        <w:rPr>
          <w:rFonts w:eastAsia="Times New Roman"/>
          <w:kern w:val="22"/>
          <w:szCs w:val="22"/>
          <w:lang w:val="es-ES"/>
        </w:rPr>
        <w:t xml:space="preserve"> de</w:t>
      </w:r>
      <w:r w:rsidRPr="00843F53">
        <w:rPr>
          <w:rFonts w:eastAsia="Times New Roman"/>
          <w:kern w:val="22"/>
          <w:szCs w:val="22"/>
          <w:lang w:val="es-ES"/>
        </w:rPr>
        <w:t>l Plan Estratégico para la Diversidad Biológica 2011-2020 y las Metas de Aichi para la Diversidad Biológica.</w:t>
      </w:r>
      <w:r w:rsidRPr="00843F53">
        <w:rPr>
          <w:rFonts w:eastAsia="Times New Roman"/>
          <w:szCs w:val="22"/>
          <w:lang w:val="es-ES"/>
        </w:rPr>
        <w:t xml:space="preserve"> También podría estimar oportuno recomendar que se lleve a cabo un seguimiento y una evaluación más exhaustivo</w:t>
      </w:r>
      <w:r w:rsidR="006B59E4">
        <w:rPr>
          <w:rFonts w:eastAsia="Times New Roman"/>
          <w:szCs w:val="22"/>
          <w:lang w:val="es-ES"/>
        </w:rPr>
        <w:t>s</w:t>
      </w:r>
      <w:r w:rsidRPr="00843F53">
        <w:rPr>
          <w:rFonts w:eastAsia="Times New Roman"/>
          <w:szCs w:val="22"/>
          <w:lang w:val="es-ES"/>
        </w:rPr>
        <w:t xml:space="preserve"> de los resultados y la eficacia de las actividades de creación de capacidad en curso apoyadas y facilitadas por la Secretaría, como parte de una evaluación independiente de l</w:t>
      </w:r>
      <w:r w:rsidR="00727230">
        <w:rPr>
          <w:rFonts w:eastAsia="Times New Roman"/>
          <w:szCs w:val="22"/>
          <w:lang w:val="es-ES"/>
        </w:rPr>
        <w:t>a</w:t>
      </w:r>
      <w:r w:rsidRPr="00843F53">
        <w:rPr>
          <w:rFonts w:eastAsia="Times New Roman"/>
          <w:szCs w:val="22"/>
          <w:lang w:val="es-ES"/>
        </w:rPr>
        <w:t xml:space="preserve">s </w:t>
      </w:r>
      <w:r w:rsidR="00727230">
        <w:rPr>
          <w:rFonts w:eastAsia="Times New Roman"/>
          <w:szCs w:val="22"/>
          <w:lang w:val="es-ES"/>
        </w:rPr>
        <w:t>r</w:t>
      </w:r>
      <w:r w:rsidRPr="00843F53">
        <w:rPr>
          <w:rFonts w:eastAsia="Times New Roman"/>
          <w:szCs w:val="22"/>
          <w:lang w:val="es-ES"/>
        </w:rPr>
        <w:t>e</w:t>
      </w:r>
      <w:r w:rsidR="00727230">
        <w:rPr>
          <w:rFonts w:eastAsia="Times New Roman"/>
          <w:szCs w:val="22"/>
          <w:lang w:val="es-ES"/>
        </w:rPr>
        <w:t>per</w:t>
      </w:r>
      <w:r w:rsidRPr="00843F53">
        <w:rPr>
          <w:rFonts w:eastAsia="Times New Roman"/>
          <w:szCs w:val="22"/>
          <w:lang w:val="es-ES"/>
        </w:rPr>
        <w:t>c</w:t>
      </w:r>
      <w:r w:rsidR="00727230">
        <w:rPr>
          <w:rFonts w:eastAsia="Times New Roman"/>
          <w:szCs w:val="22"/>
          <w:lang w:val="es-ES"/>
        </w:rPr>
        <w:t>usi</w:t>
      </w:r>
      <w:r w:rsidRPr="00843F53">
        <w:rPr>
          <w:rFonts w:eastAsia="Times New Roman"/>
          <w:szCs w:val="22"/>
          <w:lang w:val="es-ES"/>
        </w:rPr>
        <w:t>o</w:t>
      </w:r>
      <w:r w:rsidR="00727230">
        <w:rPr>
          <w:rFonts w:eastAsia="Times New Roman"/>
          <w:szCs w:val="22"/>
          <w:lang w:val="es-ES"/>
        </w:rPr>
        <w:t>ne</w:t>
      </w:r>
      <w:r w:rsidRPr="00843F53">
        <w:rPr>
          <w:rFonts w:eastAsia="Times New Roman"/>
          <w:szCs w:val="22"/>
          <w:lang w:val="es-ES"/>
        </w:rPr>
        <w:t>s,</w:t>
      </w:r>
      <w:r w:rsidR="005A334F">
        <w:rPr>
          <w:rFonts w:eastAsia="Times New Roman"/>
          <w:szCs w:val="22"/>
          <w:lang w:val="es-ES"/>
        </w:rPr>
        <w:t xml:space="preserve"> los</w:t>
      </w:r>
      <w:r w:rsidRPr="00843F53">
        <w:rPr>
          <w:rFonts w:eastAsia="Times New Roman"/>
          <w:szCs w:val="22"/>
          <w:lang w:val="es-ES"/>
        </w:rPr>
        <w:t xml:space="preserve"> resultados y </w:t>
      </w:r>
      <w:r w:rsidR="005A334F">
        <w:rPr>
          <w:rFonts w:eastAsia="Times New Roman"/>
          <w:szCs w:val="22"/>
          <w:lang w:val="es-ES"/>
        </w:rPr>
        <w:t xml:space="preserve">la </w:t>
      </w:r>
      <w:r w:rsidRPr="00843F53">
        <w:rPr>
          <w:rFonts w:eastAsia="Times New Roman"/>
          <w:szCs w:val="22"/>
          <w:lang w:val="es-ES"/>
        </w:rPr>
        <w:t>eficacia del plan de acción a corto plazo (2017-2020), conform</w:t>
      </w:r>
      <w:r w:rsidR="00727230">
        <w:rPr>
          <w:rFonts w:eastAsia="Times New Roman"/>
          <w:szCs w:val="22"/>
          <w:lang w:val="es-ES"/>
        </w:rPr>
        <w:t>e</w:t>
      </w:r>
      <w:r w:rsidRPr="00843F53">
        <w:rPr>
          <w:rFonts w:eastAsia="Times New Roman"/>
          <w:szCs w:val="22"/>
          <w:lang w:val="es-ES"/>
        </w:rPr>
        <w:t xml:space="preserve"> </w:t>
      </w:r>
      <w:r w:rsidR="00727230">
        <w:rPr>
          <w:rFonts w:eastAsia="Times New Roman"/>
          <w:szCs w:val="22"/>
          <w:lang w:val="es-ES"/>
        </w:rPr>
        <w:t>a</w:t>
      </w:r>
      <w:r w:rsidRPr="00843F53">
        <w:rPr>
          <w:rFonts w:eastAsia="Times New Roman"/>
          <w:szCs w:val="22"/>
          <w:lang w:val="es-ES"/>
        </w:rPr>
        <w:t>l párrafo 15 g) de la decisión XIII/23</w:t>
      </w:r>
      <w:r w:rsidR="006B59E4">
        <w:rPr>
          <w:rFonts w:eastAsia="Times New Roman"/>
          <w:szCs w:val="22"/>
          <w:lang w:val="es-ES"/>
        </w:rPr>
        <w:t xml:space="preserve">, </w:t>
      </w:r>
      <w:r w:rsidR="005A334F">
        <w:rPr>
          <w:rFonts w:eastAsia="Times New Roman"/>
          <w:szCs w:val="22"/>
          <w:lang w:val="es-ES"/>
        </w:rPr>
        <w:t>para</w:t>
      </w:r>
      <w:r w:rsidRPr="00843F53">
        <w:rPr>
          <w:rFonts w:eastAsia="Times New Roman"/>
          <w:szCs w:val="22"/>
          <w:lang w:val="es-ES"/>
        </w:rPr>
        <w:t xml:space="preserve"> considera</w:t>
      </w:r>
      <w:r w:rsidR="005A334F">
        <w:rPr>
          <w:rFonts w:eastAsia="Times New Roman"/>
          <w:szCs w:val="22"/>
          <w:lang w:val="es-ES"/>
        </w:rPr>
        <w:t>ción</w:t>
      </w:r>
      <w:r w:rsidR="006B59E4">
        <w:rPr>
          <w:rFonts w:eastAsia="Times New Roman"/>
          <w:szCs w:val="22"/>
          <w:lang w:val="es-ES"/>
        </w:rPr>
        <w:t xml:space="preserve"> por </w:t>
      </w:r>
      <w:r w:rsidRPr="00843F53">
        <w:rPr>
          <w:rFonts w:eastAsia="Times New Roman"/>
          <w:szCs w:val="22"/>
          <w:lang w:val="es-ES"/>
        </w:rPr>
        <w:t>el Órgano Subsidiario sobre la Aplicación en su tercera reunión.</w:t>
      </w:r>
    </w:p>
    <w:p w:rsidR="00D45AB9" w:rsidRPr="00843F53" w:rsidRDefault="00D45AB9" w:rsidP="006B59E4">
      <w:pPr>
        <w:keepNext/>
        <w:spacing w:before="120" w:after="120"/>
        <w:jc w:val="center"/>
        <w:rPr>
          <w:rFonts w:eastAsia="Times New Roman" w:cs="Times New Roman"/>
          <w:szCs w:val="22"/>
          <w:lang w:val="es-ES"/>
        </w:rPr>
      </w:pPr>
      <w:r w:rsidRPr="00843F53">
        <w:rPr>
          <w:rFonts w:eastAsia="Times New Roman" w:cs="Times New Roman"/>
          <w:b/>
          <w:caps/>
          <w:kern w:val="22"/>
          <w:szCs w:val="22"/>
          <w:lang w:val="es-ES"/>
        </w:rPr>
        <w:t>III.</w:t>
      </w:r>
      <w:r w:rsidRPr="00843F53">
        <w:rPr>
          <w:rFonts w:eastAsia="Times New Roman" w:cs="Times New Roman"/>
          <w:b/>
          <w:caps/>
          <w:kern w:val="22"/>
          <w:szCs w:val="22"/>
          <w:lang w:val="es-ES"/>
        </w:rPr>
        <w:tab/>
      </w:r>
      <w:r w:rsidR="00BE28AF">
        <w:rPr>
          <w:rFonts w:eastAsia="Times New Roman" w:cs="Times New Roman"/>
          <w:b/>
          <w:caps/>
          <w:kern w:val="22"/>
          <w:szCs w:val="22"/>
          <w:lang w:val="es-ES"/>
        </w:rPr>
        <w:t>PROGRESO</w:t>
      </w:r>
      <w:r w:rsidRPr="00843F53">
        <w:rPr>
          <w:rFonts w:eastAsia="Times New Roman" w:cs="Times New Roman"/>
          <w:b/>
          <w:caps/>
          <w:kern w:val="22"/>
          <w:szCs w:val="22"/>
          <w:lang w:val="es-ES"/>
        </w:rPr>
        <w:t>S EN LA cooperación científica y técnica</w:t>
      </w:r>
    </w:p>
    <w:p w:rsidR="0064643D" w:rsidRPr="00F45677" w:rsidRDefault="0064643D" w:rsidP="0064643D">
      <w:pPr>
        <w:pStyle w:val="Para1"/>
        <w:numPr>
          <w:ilvl w:val="0"/>
          <w:numId w:val="14"/>
        </w:numPr>
        <w:suppressLineNumbers/>
        <w:tabs>
          <w:tab w:val="num" w:pos="720"/>
        </w:tabs>
        <w:suppressAutoHyphens/>
        <w:spacing w:before="120"/>
        <w:ind w:left="0" w:firstLine="0"/>
        <w:rPr>
          <w:rFonts w:eastAsia="Times New Roman"/>
          <w:szCs w:val="22"/>
          <w:lang w:val="es-ES"/>
        </w:rPr>
      </w:pPr>
      <w:r w:rsidRPr="00F45677">
        <w:rPr>
          <w:rFonts w:eastAsia="Times New Roman"/>
          <w:kern w:val="22"/>
          <w:szCs w:val="22"/>
          <w:lang w:val="es-ES"/>
        </w:rPr>
        <w:t>En el párrafo 9 de su decisión XII/2 B, la Conferencia de las Partes pidió al Secretario Ejecutivo que intensificara la cooperación científic</w:t>
      </w:r>
      <w:r w:rsidR="00BE28AF" w:rsidRPr="00F45677">
        <w:rPr>
          <w:rFonts w:eastAsia="Times New Roman"/>
          <w:kern w:val="22"/>
          <w:szCs w:val="22"/>
          <w:lang w:val="es-ES"/>
        </w:rPr>
        <w:t>a</w:t>
      </w:r>
      <w:r w:rsidRPr="00F45677">
        <w:rPr>
          <w:rFonts w:eastAsia="Times New Roman"/>
          <w:kern w:val="22"/>
          <w:szCs w:val="22"/>
          <w:lang w:val="es-ES"/>
        </w:rPr>
        <w:t xml:space="preserve"> y técnica y la transferencia de tecnología en el marco del Convenio. La Conferencia de las Partes también acogió con beneplácito la Iniciativa Bio-Bridge, establecida con apoyo inicial del Gobierno de la República de Corea, para promover y facilitar la cooperación </w:t>
      </w:r>
      <w:r w:rsidR="00B753B6" w:rsidRPr="00F45677">
        <w:rPr>
          <w:rFonts w:eastAsia="Times New Roman"/>
          <w:kern w:val="22"/>
          <w:szCs w:val="22"/>
          <w:lang w:val="es-ES"/>
        </w:rPr>
        <w:t xml:space="preserve">científica y </w:t>
      </w:r>
      <w:r w:rsidRPr="00F45677">
        <w:rPr>
          <w:rFonts w:eastAsia="Times New Roman"/>
          <w:kern w:val="22"/>
          <w:szCs w:val="22"/>
          <w:lang w:val="es-ES"/>
        </w:rPr>
        <w:t xml:space="preserve">técnica con miras a intensificar la </w:t>
      </w:r>
      <w:r w:rsidR="00B753B6" w:rsidRPr="00F45677">
        <w:rPr>
          <w:rFonts w:eastAsia="Times New Roman"/>
          <w:kern w:val="22"/>
          <w:szCs w:val="22"/>
          <w:lang w:val="es-ES"/>
        </w:rPr>
        <w:t>im</w:t>
      </w:r>
      <w:r w:rsidRPr="00F45677">
        <w:rPr>
          <w:rFonts w:eastAsia="Times New Roman"/>
          <w:kern w:val="22"/>
          <w:szCs w:val="22"/>
          <w:lang w:val="es-ES"/>
        </w:rPr>
        <w:t>pl</w:t>
      </w:r>
      <w:r w:rsidR="00B753B6" w:rsidRPr="00F45677">
        <w:rPr>
          <w:rFonts w:eastAsia="Times New Roman"/>
          <w:kern w:val="22"/>
          <w:szCs w:val="22"/>
          <w:lang w:val="es-ES"/>
        </w:rPr>
        <w:t>ement</w:t>
      </w:r>
      <w:r w:rsidRPr="00F45677">
        <w:rPr>
          <w:rFonts w:eastAsia="Times New Roman"/>
          <w:kern w:val="22"/>
          <w:szCs w:val="22"/>
          <w:lang w:val="es-ES"/>
        </w:rPr>
        <w:t>ación del Plan Estratégico para la Diversidad Biológica 2011-2020 y sus Metas de Aichi para la Diversidad Biológica, así como las versiones actualizadas de las estrategias y planes de acción en materia de biodiversidad (decisión XII/2 B, párr. 13 y decisión XII/3, párr. 5).</w:t>
      </w:r>
    </w:p>
    <w:p w:rsidR="00451F31" w:rsidRPr="00843F53" w:rsidRDefault="00451F31" w:rsidP="00451F31">
      <w:pPr>
        <w:pStyle w:val="Para1"/>
        <w:numPr>
          <w:ilvl w:val="0"/>
          <w:numId w:val="14"/>
        </w:numPr>
        <w:suppressLineNumbers/>
        <w:tabs>
          <w:tab w:val="num" w:pos="720"/>
        </w:tabs>
        <w:suppressAutoHyphens/>
        <w:spacing w:before="120"/>
        <w:ind w:left="0" w:firstLine="0"/>
        <w:rPr>
          <w:rFonts w:eastAsia="Times New Roman"/>
          <w:szCs w:val="22"/>
          <w:lang w:val="es-ES"/>
        </w:rPr>
      </w:pPr>
      <w:r w:rsidRPr="00843F53">
        <w:rPr>
          <w:rFonts w:eastAsia="Times New Roman"/>
          <w:kern w:val="22"/>
          <w:szCs w:val="22"/>
          <w:lang w:val="es-ES"/>
        </w:rPr>
        <w:t>La Iniciativa Bio-Bridge conecta a Partes que tienen necesidades científicas y técnicas con Partes e instituciones que están en condiciones de brindar asistencia técnica para atender</w:t>
      </w:r>
      <w:r w:rsidR="00F45677" w:rsidRPr="001D29D1">
        <w:rPr>
          <w:rFonts w:eastAsia="Times New Roman"/>
          <w:kern w:val="22"/>
          <w:szCs w:val="22"/>
          <w:lang w:val="es-ES"/>
        </w:rPr>
        <w:t xml:space="preserve"> </w:t>
      </w:r>
      <w:r w:rsidR="00F45677" w:rsidRPr="00843F53">
        <w:rPr>
          <w:rFonts w:eastAsia="Times New Roman"/>
          <w:kern w:val="22"/>
          <w:szCs w:val="22"/>
          <w:lang w:val="es-ES"/>
        </w:rPr>
        <w:t>las necesidades expresadas</w:t>
      </w:r>
      <w:r w:rsidRPr="00843F53">
        <w:rPr>
          <w:rFonts w:eastAsia="Times New Roman"/>
          <w:kern w:val="22"/>
          <w:szCs w:val="22"/>
          <w:lang w:val="es-ES"/>
        </w:rPr>
        <w:t xml:space="preserve"> </w:t>
      </w:r>
      <w:r w:rsidR="00F45677">
        <w:rPr>
          <w:rFonts w:eastAsia="Times New Roman"/>
          <w:kern w:val="22"/>
          <w:szCs w:val="22"/>
          <w:lang w:val="es-ES"/>
        </w:rPr>
        <w:t>mediante</w:t>
      </w:r>
      <w:r w:rsidRPr="00843F53">
        <w:rPr>
          <w:rFonts w:eastAsia="Times New Roman"/>
          <w:kern w:val="22"/>
          <w:szCs w:val="22"/>
          <w:lang w:val="es-ES"/>
        </w:rPr>
        <w:t xml:space="preserve"> cooperación mutua. También proporciona una plataforma para que países e instituciones compartan información sobre oportunidades existentes, conocimientos, buenas prácticas y lecciones aprendidas. En diciembre de 2016 en el marco de un evento paralelo </w:t>
      </w:r>
      <w:r w:rsidR="00F45677">
        <w:rPr>
          <w:rFonts w:eastAsia="Times New Roman"/>
          <w:kern w:val="22"/>
          <w:szCs w:val="22"/>
          <w:lang w:val="es-ES"/>
        </w:rPr>
        <w:t>a</w:t>
      </w:r>
      <w:r w:rsidRPr="00843F53">
        <w:rPr>
          <w:rFonts w:eastAsia="Times New Roman"/>
          <w:kern w:val="22"/>
          <w:szCs w:val="22"/>
          <w:lang w:val="es-ES"/>
        </w:rPr>
        <w:t xml:space="preserve"> la 13</w:t>
      </w:r>
      <w:r w:rsidRPr="00843F53">
        <w:rPr>
          <w:rFonts w:eastAsia="Times New Roman"/>
          <w:kern w:val="22"/>
          <w:szCs w:val="22"/>
          <w:vertAlign w:val="superscript"/>
          <w:lang w:val="es-ES"/>
        </w:rPr>
        <w:t>a</w:t>
      </w:r>
      <w:r w:rsidRPr="00843F53">
        <w:rPr>
          <w:rFonts w:eastAsia="Times New Roman"/>
          <w:kern w:val="22"/>
          <w:szCs w:val="22"/>
          <w:lang w:val="es-ES"/>
        </w:rPr>
        <w:t xml:space="preserve"> reunión de la Conferencia de las Partes se lanzó el Plan de Acción 2017-2020 para la Iniciativa Bio-Bridge</w:t>
      </w:r>
      <w:r w:rsidRPr="00843F53">
        <w:rPr>
          <w:rStyle w:val="StyleFootnoteReferencenumberFootnoteReferenceSuperscript-EF"/>
          <w:rFonts w:eastAsia="Times New Roman"/>
          <w:sz w:val="22"/>
          <w:szCs w:val="22"/>
          <w:lang w:val="es-ES"/>
        </w:rPr>
        <w:footnoteReference w:id="12"/>
      </w:r>
      <w:r w:rsidRPr="00843F53">
        <w:rPr>
          <w:rFonts w:eastAsia="Times New Roman"/>
          <w:kern w:val="22"/>
          <w:szCs w:val="22"/>
          <w:lang w:val="es-ES"/>
        </w:rPr>
        <w:t xml:space="preserve"> dirigido a orientar las actividades y el funcionamiento de la Iniciativa durante el período 2017-2020.</w:t>
      </w:r>
    </w:p>
    <w:p w:rsidR="00F16290" w:rsidRPr="00843F53" w:rsidRDefault="00F16290" w:rsidP="00F16290">
      <w:pPr>
        <w:pStyle w:val="Para1"/>
        <w:numPr>
          <w:ilvl w:val="0"/>
          <w:numId w:val="14"/>
        </w:numPr>
        <w:suppressLineNumbers/>
        <w:tabs>
          <w:tab w:val="num" w:pos="720"/>
        </w:tabs>
        <w:suppressAutoHyphens/>
        <w:spacing w:before="120"/>
        <w:ind w:left="0" w:firstLine="0"/>
        <w:rPr>
          <w:rFonts w:eastAsia="Times New Roman"/>
          <w:szCs w:val="22"/>
          <w:lang w:val="es-ES"/>
        </w:rPr>
      </w:pPr>
      <w:r w:rsidRPr="00843F53">
        <w:rPr>
          <w:rFonts w:eastAsia="Times New Roman"/>
          <w:kern w:val="22"/>
          <w:szCs w:val="22"/>
          <w:lang w:val="es-ES"/>
        </w:rPr>
        <w:t>En enero de 2017, la Secretaría comenzó la fase operativa de la Iniciativa Bio-Bridge. Entre los principales logros alcanzados hasta la fecha está el lanzamiento en marzo de 2017 de la plataforma web Bio-Bridge que funciona a través del mecanismo central de facilitación</w:t>
      </w:r>
      <w:r w:rsidRPr="00843F53">
        <w:rPr>
          <w:rStyle w:val="StyleFootnoteReferencenumberFootnoteReferenceSuperscript-EF"/>
          <w:rFonts w:eastAsia="Times New Roman"/>
          <w:sz w:val="22"/>
          <w:szCs w:val="22"/>
          <w:lang w:val="es-ES"/>
        </w:rPr>
        <w:footnoteReference w:id="13"/>
      </w:r>
      <w:r w:rsidRPr="00843F53">
        <w:rPr>
          <w:rFonts w:eastAsia="Times New Roman"/>
          <w:kern w:val="22"/>
          <w:szCs w:val="22"/>
          <w:lang w:val="es-ES"/>
        </w:rPr>
        <w:t xml:space="preserve">. La plataforma web permite a los países y a interesados directos pertinentes presentar solicitudes de asistencia, publicar ofertas de asistencia técnica, anunciar oportunidades </w:t>
      </w:r>
      <w:r w:rsidR="001D29D1">
        <w:rPr>
          <w:rFonts w:eastAsia="Times New Roman"/>
          <w:kern w:val="22"/>
          <w:szCs w:val="22"/>
          <w:lang w:val="es-ES"/>
        </w:rPr>
        <w:t>disponibles</w:t>
      </w:r>
      <w:r w:rsidRPr="00843F53">
        <w:rPr>
          <w:rFonts w:eastAsia="Times New Roman"/>
          <w:kern w:val="22"/>
          <w:szCs w:val="22"/>
          <w:lang w:val="es-ES"/>
        </w:rPr>
        <w:t xml:space="preserve"> y acceder a un</w:t>
      </w:r>
      <w:r w:rsidR="001D29D1">
        <w:rPr>
          <w:rFonts w:eastAsia="Times New Roman"/>
          <w:kern w:val="22"/>
          <w:szCs w:val="22"/>
          <w:lang w:val="es-ES"/>
        </w:rPr>
        <w:t xml:space="preserve"> cúmulo importante </w:t>
      </w:r>
      <w:r w:rsidRPr="00843F53">
        <w:rPr>
          <w:rFonts w:eastAsia="Times New Roman"/>
          <w:kern w:val="22"/>
          <w:szCs w:val="22"/>
          <w:lang w:val="es-ES"/>
        </w:rPr>
        <w:t>de conocimientos y recursos seleccionados.</w:t>
      </w:r>
    </w:p>
    <w:p w:rsidR="00545EDD" w:rsidRPr="004E3263" w:rsidRDefault="00545EDD" w:rsidP="00843F53">
      <w:pPr>
        <w:pStyle w:val="Para1"/>
        <w:numPr>
          <w:ilvl w:val="0"/>
          <w:numId w:val="14"/>
        </w:numPr>
        <w:suppressLineNumbers/>
        <w:tabs>
          <w:tab w:val="num" w:pos="720"/>
        </w:tabs>
        <w:suppressAutoHyphens/>
        <w:spacing w:after="0"/>
        <w:ind w:left="0" w:firstLine="0"/>
        <w:rPr>
          <w:rFonts w:eastAsia="Times New Roman"/>
          <w:szCs w:val="22"/>
          <w:lang w:val="es-ES"/>
        </w:rPr>
      </w:pPr>
      <w:r w:rsidRPr="004E3263">
        <w:rPr>
          <w:kern w:val="22"/>
          <w:szCs w:val="22"/>
          <w:lang w:val="es-ES"/>
        </w:rPr>
        <w:lastRenderedPageBreak/>
        <w:t>A través del fondo de pequeñ</w:t>
      </w:r>
      <w:r w:rsidR="00E45C15" w:rsidRPr="004E3263">
        <w:rPr>
          <w:kern w:val="22"/>
          <w:szCs w:val="22"/>
          <w:lang w:val="es-ES"/>
        </w:rPr>
        <w:t>o</w:t>
      </w:r>
      <w:r w:rsidRPr="004E3263">
        <w:rPr>
          <w:kern w:val="22"/>
          <w:szCs w:val="22"/>
          <w:lang w:val="es-ES"/>
        </w:rPr>
        <w:t xml:space="preserve">s </w:t>
      </w:r>
      <w:r w:rsidR="00E45C15" w:rsidRPr="004E3263">
        <w:rPr>
          <w:kern w:val="22"/>
          <w:szCs w:val="22"/>
          <w:lang w:val="es-ES"/>
        </w:rPr>
        <w:t>subsidios</w:t>
      </w:r>
      <w:r w:rsidRPr="004E3263">
        <w:rPr>
          <w:kern w:val="22"/>
          <w:szCs w:val="22"/>
          <w:lang w:val="es-ES"/>
        </w:rPr>
        <w:t xml:space="preserve"> de la Iniciativa Bio-Bridge, la Secretaría ha proporcionado financiación inicial para nueve proyectos de demostración sobre cooperación científica y técnica de los siguientes países: Belarús, China, Colombia, Ghana, India, Malawi, Marruecos, Venezuela, y Zimbabwe</w:t>
      </w:r>
      <w:r w:rsidRPr="004E3263">
        <w:rPr>
          <w:rStyle w:val="StyleFootnoteReferencenumberFootnoteReferenceSuperscript-EF"/>
          <w:sz w:val="22"/>
          <w:szCs w:val="22"/>
          <w:lang w:val="es-ES"/>
        </w:rPr>
        <w:footnoteReference w:id="14"/>
      </w:r>
      <w:r w:rsidRPr="004E3263">
        <w:rPr>
          <w:kern w:val="22"/>
          <w:szCs w:val="22"/>
          <w:lang w:val="es-ES"/>
        </w:rPr>
        <w:t xml:space="preserve">. Estos fueron seleccionados por un </w:t>
      </w:r>
      <w:r w:rsidR="00F33FAB" w:rsidRPr="004E3263">
        <w:rPr>
          <w:kern w:val="22"/>
          <w:szCs w:val="22"/>
          <w:lang w:val="es-ES"/>
        </w:rPr>
        <w:t>p</w:t>
      </w:r>
      <w:r w:rsidRPr="004E3263">
        <w:rPr>
          <w:kern w:val="22"/>
          <w:szCs w:val="22"/>
          <w:lang w:val="es-ES"/>
        </w:rPr>
        <w:t xml:space="preserve">anel </w:t>
      </w:r>
      <w:r w:rsidR="00F33FAB" w:rsidRPr="004E3263">
        <w:rPr>
          <w:kern w:val="22"/>
          <w:szCs w:val="22"/>
          <w:lang w:val="es-ES"/>
        </w:rPr>
        <w:t xml:space="preserve">externo </w:t>
      </w:r>
      <w:r w:rsidRPr="004E3263">
        <w:rPr>
          <w:kern w:val="22"/>
          <w:szCs w:val="22"/>
          <w:lang w:val="es-ES"/>
        </w:rPr>
        <w:t xml:space="preserve">de </w:t>
      </w:r>
      <w:r w:rsidR="00F33FAB" w:rsidRPr="004E3263">
        <w:rPr>
          <w:kern w:val="22"/>
          <w:szCs w:val="22"/>
          <w:lang w:val="es-ES"/>
        </w:rPr>
        <w:t>e</w:t>
      </w:r>
      <w:r w:rsidRPr="004E3263">
        <w:rPr>
          <w:kern w:val="22"/>
          <w:szCs w:val="22"/>
          <w:lang w:val="es-ES"/>
        </w:rPr>
        <w:t>v</w:t>
      </w:r>
      <w:r w:rsidR="00E45C15" w:rsidRPr="004E3263">
        <w:rPr>
          <w:kern w:val="22"/>
          <w:szCs w:val="22"/>
          <w:lang w:val="es-ES"/>
        </w:rPr>
        <w:t>aluac</w:t>
      </w:r>
      <w:r w:rsidRPr="004E3263">
        <w:rPr>
          <w:kern w:val="22"/>
          <w:szCs w:val="22"/>
          <w:lang w:val="es-ES"/>
        </w:rPr>
        <w:t xml:space="preserve">ión de </w:t>
      </w:r>
      <w:r w:rsidR="00F33FAB" w:rsidRPr="004E3263">
        <w:rPr>
          <w:kern w:val="22"/>
          <w:szCs w:val="22"/>
          <w:lang w:val="es-ES"/>
        </w:rPr>
        <w:t>p</w:t>
      </w:r>
      <w:r w:rsidRPr="004E3263">
        <w:rPr>
          <w:kern w:val="22"/>
          <w:szCs w:val="22"/>
          <w:lang w:val="es-ES"/>
        </w:rPr>
        <w:t xml:space="preserve">royectos de un total de 31 solicitudes de asistencia presentadas por Partes en respuesta a un llamado </w:t>
      </w:r>
      <w:r w:rsidR="00F33FAB" w:rsidRPr="004E3263">
        <w:rPr>
          <w:kern w:val="22"/>
          <w:szCs w:val="22"/>
          <w:lang w:val="es-ES"/>
        </w:rPr>
        <w:t>realizado</w:t>
      </w:r>
      <w:r w:rsidRPr="004E3263">
        <w:rPr>
          <w:kern w:val="22"/>
          <w:szCs w:val="22"/>
          <w:lang w:val="es-ES"/>
        </w:rPr>
        <w:t xml:space="preserve"> por notificación 2016-126. </w:t>
      </w:r>
      <w:r w:rsidR="00F33FAB" w:rsidRPr="004E3263">
        <w:rPr>
          <w:rFonts w:eastAsia="Times New Roman"/>
          <w:kern w:val="22"/>
          <w:szCs w:val="22"/>
          <w:lang w:val="es-ES"/>
        </w:rPr>
        <w:t>Est</w:t>
      </w:r>
      <w:r w:rsidRPr="004E3263">
        <w:rPr>
          <w:rFonts w:eastAsia="Times New Roman"/>
          <w:kern w:val="22"/>
          <w:szCs w:val="22"/>
          <w:lang w:val="es-ES"/>
        </w:rPr>
        <w:t xml:space="preserve">os proyectos de demostración se basan en los cuatro proyectos experimentales iniciales ejecutados en 2016 para poner a prueba distintos enfoques de cooperación científica y técnica y generar algunas lecciones </w:t>
      </w:r>
      <w:r w:rsidR="00F33FAB" w:rsidRPr="004E3263">
        <w:rPr>
          <w:rFonts w:eastAsia="Times New Roman"/>
          <w:kern w:val="22"/>
          <w:szCs w:val="22"/>
          <w:lang w:val="es-ES"/>
        </w:rPr>
        <w:t>que sirvan de insumo</w:t>
      </w:r>
      <w:r w:rsidRPr="004E3263">
        <w:rPr>
          <w:rFonts w:eastAsia="Times New Roman"/>
          <w:kern w:val="22"/>
          <w:szCs w:val="22"/>
          <w:lang w:val="es-ES"/>
        </w:rPr>
        <w:t xml:space="preserve"> para </w:t>
      </w:r>
      <w:r w:rsidR="00F33FAB" w:rsidRPr="004E3263">
        <w:rPr>
          <w:rFonts w:eastAsia="Times New Roman"/>
          <w:kern w:val="22"/>
          <w:szCs w:val="22"/>
          <w:lang w:val="es-ES"/>
        </w:rPr>
        <w:t>seguir</w:t>
      </w:r>
      <w:r w:rsidRPr="004E3263">
        <w:rPr>
          <w:rFonts w:eastAsia="Times New Roman"/>
          <w:kern w:val="22"/>
          <w:szCs w:val="22"/>
          <w:lang w:val="es-ES"/>
        </w:rPr>
        <w:t xml:space="preserve"> desarroll</w:t>
      </w:r>
      <w:r w:rsidR="00F33FAB" w:rsidRPr="004E3263">
        <w:rPr>
          <w:rFonts w:eastAsia="Times New Roman"/>
          <w:kern w:val="22"/>
          <w:szCs w:val="22"/>
          <w:lang w:val="es-ES"/>
        </w:rPr>
        <w:t>and</w:t>
      </w:r>
      <w:r w:rsidRPr="004E3263">
        <w:rPr>
          <w:rFonts w:eastAsia="Times New Roman"/>
          <w:kern w:val="22"/>
          <w:szCs w:val="22"/>
          <w:lang w:val="es-ES"/>
        </w:rPr>
        <w:t>o y aplica</w:t>
      </w:r>
      <w:r w:rsidR="00F33FAB" w:rsidRPr="004E3263">
        <w:rPr>
          <w:rFonts w:eastAsia="Times New Roman"/>
          <w:kern w:val="22"/>
          <w:szCs w:val="22"/>
          <w:lang w:val="es-ES"/>
        </w:rPr>
        <w:t>ndo</w:t>
      </w:r>
      <w:r w:rsidRPr="004E3263">
        <w:rPr>
          <w:rFonts w:eastAsia="Times New Roman"/>
          <w:kern w:val="22"/>
          <w:szCs w:val="22"/>
          <w:lang w:val="es-ES"/>
        </w:rPr>
        <w:t xml:space="preserve"> la Iniciativa Bio-Bridge</w:t>
      </w:r>
      <w:r w:rsidR="00843F53" w:rsidRPr="004E3263">
        <w:rPr>
          <w:rStyle w:val="FootnoteReference"/>
          <w:rFonts w:eastAsia="Times New Roman"/>
          <w:kern w:val="22"/>
          <w:sz w:val="22"/>
          <w:szCs w:val="22"/>
          <w:u w:val="none"/>
          <w:vertAlign w:val="superscript"/>
          <w:lang w:val="es-ES"/>
        </w:rPr>
        <w:footnoteReference w:id="15"/>
      </w:r>
      <w:r w:rsidR="00DE4967" w:rsidRPr="004E3263">
        <w:rPr>
          <w:rFonts w:eastAsia="Times New Roman"/>
          <w:kern w:val="22"/>
          <w:szCs w:val="22"/>
          <w:lang w:val="es-ES"/>
        </w:rPr>
        <w:t>.</w:t>
      </w:r>
    </w:p>
    <w:p w:rsidR="00563023" w:rsidRPr="00843F53" w:rsidRDefault="00563023" w:rsidP="00563023">
      <w:pPr>
        <w:pStyle w:val="Para1"/>
        <w:numPr>
          <w:ilvl w:val="0"/>
          <w:numId w:val="14"/>
        </w:numPr>
        <w:suppressLineNumbers/>
        <w:tabs>
          <w:tab w:val="num" w:pos="720"/>
        </w:tabs>
        <w:suppressAutoHyphens/>
        <w:spacing w:before="120"/>
        <w:ind w:left="0" w:firstLine="0"/>
        <w:rPr>
          <w:rFonts w:eastAsia="Times New Roman"/>
          <w:kern w:val="22"/>
          <w:szCs w:val="22"/>
          <w:lang w:val="es-ES"/>
        </w:rPr>
      </w:pPr>
      <w:r w:rsidRPr="00843F53">
        <w:rPr>
          <w:rFonts w:eastAsia="Times New Roman"/>
          <w:kern w:val="22"/>
          <w:szCs w:val="22"/>
          <w:lang w:val="es-ES"/>
        </w:rPr>
        <w:t xml:space="preserve">La Secretaría organizó cuatro mesas redondas regionales sobre la Iniciativa Bio-Bridge para </w:t>
      </w:r>
      <w:r w:rsidRPr="00843F53">
        <w:rPr>
          <w:rFonts w:eastAsia="Times New Roman"/>
          <w:szCs w:val="22"/>
          <w:lang w:val="es-ES"/>
        </w:rPr>
        <w:t>Asia y el Pacífico (Incheon</w:t>
      </w:r>
      <w:r w:rsidR="004E3263">
        <w:rPr>
          <w:rFonts w:eastAsia="Times New Roman"/>
          <w:szCs w:val="22"/>
          <w:lang w:val="es-ES"/>
        </w:rPr>
        <w:t xml:space="preserve"> (</w:t>
      </w:r>
      <w:r w:rsidRPr="00843F53">
        <w:rPr>
          <w:rFonts w:eastAsia="Times New Roman"/>
          <w:szCs w:val="22"/>
          <w:lang w:val="es-ES"/>
        </w:rPr>
        <w:t>República de Corea</w:t>
      </w:r>
      <w:r w:rsidR="004E3263">
        <w:rPr>
          <w:rFonts w:eastAsia="Times New Roman"/>
          <w:szCs w:val="22"/>
          <w:lang w:val="es-ES"/>
        </w:rPr>
        <w:t>)</w:t>
      </w:r>
      <w:r w:rsidRPr="00843F53">
        <w:rPr>
          <w:rFonts w:eastAsia="Times New Roman"/>
          <w:szCs w:val="22"/>
          <w:lang w:val="es-ES"/>
        </w:rPr>
        <w:t xml:space="preserve">, </w:t>
      </w:r>
      <w:r w:rsidR="00F33FAB">
        <w:rPr>
          <w:rFonts w:eastAsia="Times New Roman"/>
          <w:szCs w:val="22"/>
          <w:lang w:val="es-ES"/>
        </w:rPr>
        <w:t xml:space="preserve">del </w:t>
      </w:r>
      <w:r w:rsidRPr="00843F53">
        <w:rPr>
          <w:rFonts w:eastAsia="Times New Roman"/>
          <w:szCs w:val="22"/>
          <w:lang w:val="es-ES"/>
        </w:rPr>
        <w:t>15 a</w:t>
      </w:r>
      <w:r w:rsidR="00F33FAB">
        <w:rPr>
          <w:rFonts w:eastAsia="Times New Roman"/>
          <w:szCs w:val="22"/>
          <w:lang w:val="es-ES"/>
        </w:rPr>
        <w:t>l</w:t>
      </w:r>
      <w:r w:rsidRPr="00843F53">
        <w:rPr>
          <w:rFonts w:eastAsia="Times New Roman"/>
          <w:szCs w:val="22"/>
          <w:lang w:val="es-ES"/>
        </w:rPr>
        <w:t xml:space="preserve"> 19 de octubre de 2017), África (Entebbe</w:t>
      </w:r>
      <w:r w:rsidR="004E3263">
        <w:rPr>
          <w:rFonts w:eastAsia="Times New Roman"/>
          <w:szCs w:val="22"/>
          <w:lang w:val="es-ES"/>
        </w:rPr>
        <w:t xml:space="preserve"> (</w:t>
      </w:r>
      <w:r w:rsidRPr="00843F53">
        <w:rPr>
          <w:rFonts w:eastAsia="Times New Roman"/>
          <w:szCs w:val="22"/>
          <w:lang w:val="es-ES"/>
        </w:rPr>
        <w:t>Uganda</w:t>
      </w:r>
      <w:r w:rsidR="004E3263">
        <w:rPr>
          <w:rFonts w:eastAsia="Times New Roman"/>
          <w:szCs w:val="22"/>
          <w:lang w:val="es-ES"/>
        </w:rPr>
        <w:t>)</w:t>
      </w:r>
      <w:r w:rsidRPr="00843F53">
        <w:rPr>
          <w:rFonts w:eastAsia="Times New Roman"/>
          <w:szCs w:val="22"/>
          <w:lang w:val="es-ES"/>
        </w:rPr>
        <w:t xml:space="preserve">, </w:t>
      </w:r>
      <w:r w:rsidR="00F33FAB">
        <w:rPr>
          <w:rFonts w:eastAsia="Times New Roman"/>
          <w:szCs w:val="22"/>
          <w:lang w:val="es-ES"/>
        </w:rPr>
        <w:t xml:space="preserve">del </w:t>
      </w:r>
      <w:r w:rsidRPr="00843F53">
        <w:rPr>
          <w:rFonts w:eastAsia="Times New Roman"/>
          <w:szCs w:val="22"/>
          <w:lang w:val="es-ES"/>
        </w:rPr>
        <w:t>7 a</w:t>
      </w:r>
      <w:r w:rsidR="00F33FAB">
        <w:rPr>
          <w:rFonts w:eastAsia="Times New Roman"/>
          <w:szCs w:val="22"/>
          <w:lang w:val="es-ES"/>
        </w:rPr>
        <w:t>l</w:t>
      </w:r>
      <w:r w:rsidRPr="00843F53">
        <w:rPr>
          <w:rFonts w:eastAsia="Times New Roman"/>
          <w:szCs w:val="22"/>
          <w:lang w:val="es-ES"/>
        </w:rPr>
        <w:t xml:space="preserve"> 9 de noviembre de 2017), América Latina y el Caribe (Bogotá </w:t>
      </w:r>
      <w:r w:rsidR="004E3263">
        <w:rPr>
          <w:rFonts w:eastAsia="Times New Roman"/>
          <w:szCs w:val="22"/>
          <w:lang w:val="es-ES"/>
        </w:rPr>
        <w:t>(</w:t>
      </w:r>
      <w:r w:rsidRPr="00843F53">
        <w:rPr>
          <w:rFonts w:eastAsia="Times New Roman"/>
          <w:szCs w:val="22"/>
          <w:lang w:val="es-ES"/>
        </w:rPr>
        <w:t>Colombia</w:t>
      </w:r>
      <w:r w:rsidR="004E3263">
        <w:rPr>
          <w:rFonts w:eastAsia="Times New Roman"/>
          <w:szCs w:val="22"/>
          <w:lang w:val="es-ES"/>
        </w:rPr>
        <w:t>)</w:t>
      </w:r>
      <w:r w:rsidRPr="00843F53">
        <w:rPr>
          <w:rFonts w:eastAsia="Times New Roman"/>
          <w:szCs w:val="22"/>
          <w:lang w:val="es-ES"/>
        </w:rPr>
        <w:t xml:space="preserve">, </w:t>
      </w:r>
      <w:r w:rsidR="00F33FAB">
        <w:rPr>
          <w:rFonts w:eastAsia="Times New Roman"/>
          <w:szCs w:val="22"/>
          <w:lang w:val="es-ES"/>
        </w:rPr>
        <w:t xml:space="preserve">del </w:t>
      </w:r>
      <w:r w:rsidRPr="00843F53">
        <w:rPr>
          <w:rFonts w:eastAsia="Times New Roman"/>
          <w:szCs w:val="22"/>
          <w:lang w:val="es-ES"/>
        </w:rPr>
        <w:t>27 a</w:t>
      </w:r>
      <w:r w:rsidR="00F33FAB">
        <w:rPr>
          <w:rFonts w:eastAsia="Times New Roman"/>
          <w:szCs w:val="22"/>
          <w:lang w:val="es-ES"/>
        </w:rPr>
        <w:t>l</w:t>
      </w:r>
      <w:r w:rsidRPr="00843F53">
        <w:rPr>
          <w:rFonts w:eastAsia="Times New Roman"/>
          <w:szCs w:val="22"/>
          <w:lang w:val="es-ES"/>
        </w:rPr>
        <w:t xml:space="preserve"> 29 de noviembre de 2017) y Europa Central y Oriental y las Repúblicas de Asia Central (Minsk, </w:t>
      </w:r>
      <w:r w:rsidR="00F33FAB">
        <w:rPr>
          <w:rFonts w:eastAsia="Times New Roman"/>
          <w:szCs w:val="22"/>
          <w:lang w:val="es-ES"/>
        </w:rPr>
        <w:t xml:space="preserve">del </w:t>
      </w:r>
      <w:r w:rsidRPr="00843F53">
        <w:rPr>
          <w:rFonts w:eastAsia="Times New Roman"/>
          <w:szCs w:val="22"/>
          <w:lang w:val="es-ES"/>
        </w:rPr>
        <w:t>26 a</w:t>
      </w:r>
      <w:r w:rsidR="00F33FAB">
        <w:rPr>
          <w:rFonts w:eastAsia="Times New Roman"/>
          <w:szCs w:val="22"/>
          <w:lang w:val="es-ES"/>
        </w:rPr>
        <w:t>l</w:t>
      </w:r>
      <w:r w:rsidRPr="00843F53">
        <w:rPr>
          <w:rFonts w:eastAsia="Times New Roman"/>
          <w:szCs w:val="22"/>
          <w:lang w:val="es-ES"/>
        </w:rPr>
        <w:t xml:space="preserve"> 28 de febrero de 2018). El objetivo de las mesas redondas era dar a conocer la Iniciativa (incluido su plan de acción para 2017-2020, procedimientos operativos, criterios y herramientas de apoyo) </w:t>
      </w:r>
      <w:r w:rsidR="00F33FAB">
        <w:rPr>
          <w:rFonts w:eastAsia="Times New Roman"/>
          <w:szCs w:val="22"/>
          <w:lang w:val="es-ES"/>
        </w:rPr>
        <w:t>y compartir</w:t>
      </w:r>
      <w:r w:rsidRPr="00843F53">
        <w:rPr>
          <w:rFonts w:eastAsia="Times New Roman"/>
          <w:szCs w:val="22"/>
          <w:lang w:val="es-ES"/>
        </w:rPr>
        <w:t xml:space="preserve"> experiencias y lecciones aprendidas con respecto a la cooperación científica y técnica para la diversidad biológica. </w:t>
      </w:r>
      <w:r w:rsidR="00F33FAB">
        <w:rPr>
          <w:rFonts w:eastAsia="Times New Roman"/>
          <w:szCs w:val="22"/>
          <w:lang w:val="es-ES"/>
        </w:rPr>
        <w:t>Las mesas redondas t</w:t>
      </w:r>
      <w:r w:rsidRPr="00843F53">
        <w:rPr>
          <w:rFonts w:eastAsia="Times New Roman"/>
          <w:szCs w:val="22"/>
          <w:lang w:val="es-ES"/>
        </w:rPr>
        <w:t xml:space="preserve">ambién brindaron una oportunidad para que los países que requieren asistencia pudieran </w:t>
      </w:r>
      <w:r w:rsidR="00F33FAB">
        <w:rPr>
          <w:rFonts w:eastAsia="Times New Roman"/>
          <w:szCs w:val="22"/>
          <w:lang w:val="es-ES"/>
        </w:rPr>
        <w:t>resaltar</w:t>
      </w:r>
      <w:r w:rsidRPr="00843F53">
        <w:rPr>
          <w:rFonts w:eastAsia="Times New Roman"/>
          <w:szCs w:val="22"/>
          <w:lang w:val="es-ES"/>
        </w:rPr>
        <w:t xml:space="preserve"> sus necesidades técnicas y científicas prioritarias y para que potenciales proveedores de asistencia técnica, incluidas Partes, organizaciones regionales e internacionales, organismos donantes y entidades del sector privado, compartieran información sobre sus actividades y el tipo de apoyo que pueden ofrecer a los países que requieren asistencia</w:t>
      </w:r>
      <w:r w:rsidRPr="00843F53">
        <w:rPr>
          <w:rFonts w:eastAsia="Times New Roman"/>
          <w:kern w:val="22"/>
          <w:szCs w:val="22"/>
          <w:lang w:val="es-ES"/>
        </w:rPr>
        <w:t>.</w:t>
      </w:r>
    </w:p>
    <w:p w:rsidR="00F63A13" w:rsidRPr="00843F53" w:rsidRDefault="00F63A13" w:rsidP="00F63A13">
      <w:pPr>
        <w:pStyle w:val="Para1"/>
        <w:numPr>
          <w:ilvl w:val="0"/>
          <w:numId w:val="14"/>
        </w:numPr>
        <w:suppressLineNumbers/>
        <w:tabs>
          <w:tab w:val="num" w:pos="720"/>
        </w:tabs>
        <w:suppressAutoHyphens/>
        <w:spacing w:before="120"/>
        <w:ind w:left="0" w:firstLine="0"/>
        <w:rPr>
          <w:rFonts w:eastAsia="Times New Roman"/>
          <w:kern w:val="22"/>
          <w:szCs w:val="22"/>
          <w:lang w:val="es-ES"/>
        </w:rPr>
      </w:pPr>
      <w:r w:rsidRPr="00843F53">
        <w:rPr>
          <w:rFonts w:eastAsia="Times New Roman"/>
          <w:szCs w:val="22"/>
          <w:lang w:val="es-ES"/>
        </w:rPr>
        <w:t>En las mesas redondas, los países identificaron, por orden de prioridad, las siguientes necesidades clave que podrían atenderse mediante la cooperación científica y técnica: especies exóticas invasoras; gestión de áreas protegidas y turismo; acceso y participación en los beneficios; identificación y seguimiento de la diversidad biológica (incluida la identificación de especies empleando tecnologías de ADN</w:t>
      </w:r>
      <w:r w:rsidRPr="00843F53">
        <w:rPr>
          <w:rFonts w:eastAsia="Times New Roman"/>
          <w:kern w:val="22"/>
          <w:szCs w:val="22"/>
          <w:lang w:val="es-ES"/>
        </w:rPr>
        <w:t xml:space="preserve">); </w:t>
      </w:r>
      <w:r w:rsidRPr="00843F53">
        <w:rPr>
          <w:rFonts w:eastAsia="Times New Roman"/>
          <w:szCs w:val="22"/>
          <w:lang w:val="es-ES"/>
        </w:rPr>
        <w:t xml:space="preserve">restauración de los ecosistemas; valuación y contabilidad de los ecosistemas; gestión de información de diversidad biológica; cambio climático y diversidad biológica; control del comercio ilegal de fauna y flora silvestre; protección y recuperación de especies amenazadas; seguridad de la biotecnología; diversidad biológica agrícola; conocimientos tradicionales y sistemas comunitarios de </w:t>
      </w:r>
      <w:r w:rsidR="00F33FAB">
        <w:rPr>
          <w:rFonts w:eastAsia="Times New Roman"/>
          <w:szCs w:val="22"/>
          <w:lang w:val="es-ES"/>
        </w:rPr>
        <w:t>vigilancia</w:t>
      </w:r>
      <w:r w:rsidRPr="00843F53">
        <w:rPr>
          <w:rFonts w:eastAsia="Times New Roman"/>
          <w:szCs w:val="22"/>
          <w:lang w:val="es-ES"/>
        </w:rPr>
        <w:t>; y control de la contaminación. También identificaron las siguientes necesidades intersectoriales: comunicación, educación y concienciación pública; elaboración de propuestas de proyectos; movilización de recursos; y apoyo para la elaboración y aplicación de estrategias y planes de acción nacionales en materia de biodiversidad y marcos de políticas.</w:t>
      </w:r>
    </w:p>
    <w:p w:rsidR="00F63A13" w:rsidRPr="00843F53" w:rsidRDefault="00F63A13" w:rsidP="00F63A13">
      <w:pPr>
        <w:pStyle w:val="Para1"/>
        <w:numPr>
          <w:ilvl w:val="0"/>
          <w:numId w:val="14"/>
        </w:numPr>
        <w:suppressLineNumbers/>
        <w:tabs>
          <w:tab w:val="num" w:pos="720"/>
        </w:tabs>
        <w:suppressAutoHyphens/>
        <w:spacing w:before="120"/>
        <w:ind w:left="0" w:firstLine="0"/>
        <w:rPr>
          <w:rFonts w:eastAsia="Times New Roman"/>
          <w:kern w:val="22"/>
          <w:szCs w:val="22"/>
          <w:lang w:val="es-ES"/>
        </w:rPr>
      </w:pPr>
      <w:r w:rsidRPr="00843F53">
        <w:rPr>
          <w:rFonts w:eastAsia="Times New Roman"/>
          <w:szCs w:val="22"/>
          <w:lang w:val="es-ES"/>
        </w:rPr>
        <w:t xml:space="preserve">Una de las lecciones aprendidas durante la fase operativa de la Iniciativa Bio-Bridge es la necesidad de adoptar enfoques más programáticos y de múltiples interesados directos, como los que adoptó la Iniciativa Mundial de Taxonomía en su programa de formación de </w:t>
      </w:r>
      <w:r w:rsidR="00D041EE">
        <w:rPr>
          <w:rFonts w:eastAsia="Times New Roman"/>
          <w:szCs w:val="22"/>
          <w:lang w:val="es-ES"/>
        </w:rPr>
        <w:t>formadores</w:t>
      </w:r>
      <w:r w:rsidRPr="00843F53">
        <w:rPr>
          <w:rFonts w:eastAsia="Times New Roman"/>
          <w:szCs w:val="22"/>
          <w:lang w:val="es-ES"/>
        </w:rPr>
        <w:t xml:space="preserve"> para abordar las carencias de capacidad para la consecución de las Metas de Aichi para la Diversidad Biológica. En consonancia con decisiones anteriores de la </w:t>
      </w:r>
      <w:r w:rsidRPr="00843F53">
        <w:rPr>
          <w:rFonts w:eastAsia="Times New Roman"/>
          <w:color w:val="000000"/>
          <w:szCs w:val="22"/>
          <w:lang w:val="es-ES"/>
        </w:rPr>
        <w:t>Conferencia de las Partes referidas al sector priv</w:t>
      </w:r>
      <w:r w:rsidR="00CE6473" w:rsidRPr="00843F53">
        <w:rPr>
          <w:rFonts w:eastAsia="Times New Roman"/>
          <w:color w:val="000000"/>
          <w:szCs w:val="22"/>
          <w:lang w:val="es-ES"/>
        </w:rPr>
        <w:t xml:space="preserve">ado y la comunidad científica, </w:t>
      </w:r>
      <w:r w:rsidRPr="00843F53">
        <w:rPr>
          <w:rFonts w:eastAsia="Times New Roman"/>
          <w:color w:val="000000"/>
          <w:szCs w:val="22"/>
          <w:lang w:val="es-ES"/>
        </w:rPr>
        <w:t>e</w:t>
      </w:r>
      <w:r w:rsidR="00CE6473" w:rsidRPr="00843F53">
        <w:rPr>
          <w:rFonts w:eastAsia="Times New Roman"/>
          <w:color w:val="000000"/>
          <w:szCs w:val="22"/>
          <w:lang w:val="es-ES"/>
        </w:rPr>
        <w:t>stos</w:t>
      </w:r>
      <w:r w:rsidRPr="00843F53">
        <w:rPr>
          <w:rFonts w:eastAsia="Times New Roman"/>
          <w:color w:val="000000"/>
          <w:szCs w:val="22"/>
          <w:lang w:val="es-ES"/>
        </w:rPr>
        <w:t xml:space="preserve"> podrían incluir consultas con el Consorcio de Socios Científicos, la Plataforma de Negocios y Biodiversidad y sus Foros y los organismos de las Partes que se ocupan de la innovación tecnológica verde.</w:t>
      </w:r>
    </w:p>
    <w:p w:rsidR="00853275" w:rsidRPr="00843F53" w:rsidRDefault="00853275" w:rsidP="00853275">
      <w:pPr>
        <w:pStyle w:val="Para1"/>
        <w:numPr>
          <w:ilvl w:val="0"/>
          <w:numId w:val="14"/>
        </w:numPr>
        <w:suppressLineNumbers/>
        <w:tabs>
          <w:tab w:val="num" w:pos="720"/>
        </w:tabs>
        <w:suppressAutoHyphens/>
        <w:spacing w:before="120"/>
        <w:ind w:left="0" w:firstLine="0"/>
        <w:rPr>
          <w:rFonts w:eastAsia="Times New Roman"/>
          <w:kern w:val="22"/>
          <w:szCs w:val="22"/>
          <w:lang w:val="es-ES"/>
        </w:rPr>
      </w:pPr>
      <w:r w:rsidRPr="00843F53">
        <w:rPr>
          <w:rFonts w:eastAsia="Times New Roman"/>
          <w:kern w:val="22"/>
          <w:szCs w:val="22"/>
          <w:lang w:val="es-ES"/>
        </w:rPr>
        <w:t>Además de facilitar la cooperación científica y técnica a través de la Iniciativa Bio-Bridge, la Secretaría ha seguido apoyando la labor del Consorcio de Socios Científicos sobre la Diversidad Biológica (CSP), entre otras cosas actualizando el sitio web del CSP</w:t>
      </w:r>
      <w:r w:rsidRPr="00843F53">
        <w:rPr>
          <w:rStyle w:val="StyleFootnoteReferencenumberFootnoteReferenceSuperscript-EF"/>
          <w:rFonts w:eastAsia="Times New Roman"/>
          <w:sz w:val="22"/>
          <w:szCs w:val="22"/>
          <w:lang w:val="es-ES"/>
        </w:rPr>
        <w:footnoteReference w:id="16"/>
      </w:r>
      <w:r w:rsidRPr="00843F53">
        <w:rPr>
          <w:rFonts w:eastAsia="Times New Roman"/>
          <w:kern w:val="22"/>
          <w:szCs w:val="22"/>
          <w:lang w:val="es-ES"/>
        </w:rPr>
        <w:t xml:space="preserve"> e iniciando un proceso de elaboración de un plan de trabajo del CSP para el período 2018-2020 dirigido a ayudar a las Partes a través de cooperación científica y técnica con </w:t>
      </w:r>
      <w:r w:rsidR="004E3263">
        <w:rPr>
          <w:rFonts w:eastAsia="Times New Roman"/>
          <w:kern w:val="22"/>
          <w:szCs w:val="22"/>
          <w:lang w:val="es-ES"/>
        </w:rPr>
        <w:t xml:space="preserve">arreglo a </w:t>
      </w:r>
      <w:r w:rsidRPr="00843F53">
        <w:rPr>
          <w:rFonts w:eastAsia="Times New Roman"/>
          <w:kern w:val="22"/>
          <w:szCs w:val="22"/>
          <w:lang w:val="es-ES"/>
        </w:rPr>
        <w:t>su mandato.</w:t>
      </w:r>
    </w:p>
    <w:p w:rsidR="00853275" w:rsidRPr="00843F53" w:rsidRDefault="00853275" w:rsidP="005E7060">
      <w:pPr>
        <w:pStyle w:val="Para1"/>
        <w:keepNext/>
        <w:numPr>
          <w:ilvl w:val="0"/>
          <w:numId w:val="14"/>
        </w:numPr>
        <w:suppressLineNumbers/>
        <w:tabs>
          <w:tab w:val="num" w:pos="720"/>
        </w:tabs>
        <w:suppressAutoHyphens/>
        <w:spacing w:before="120"/>
        <w:ind w:left="0" w:firstLine="0"/>
        <w:rPr>
          <w:rFonts w:eastAsia="Times New Roman"/>
          <w:kern w:val="22"/>
          <w:szCs w:val="22"/>
          <w:lang w:val="es-ES"/>
        </w:rPr>
      </w:pPr>
      <w:r w:rsidRPr="00843F53">
        <w:rPr>
          <w:rFonts w:eastAsia="Times New Roman"/>
          <w:kern w:val="22"/>
          <w:szCs w:val="22"/>
          <w:lang w:val="es-ES"/>
        </w:rPr>
        <w:lastRenderedPageBreak/>
        <w:t>La Secretaría también emprendió los siguientes dos proyectos que se espera contribuirán a la promoción y facilitación de la cooperación científica y técnica:</w:t>
      </w:r>
    </w:p>
    <w:p w:rsidR="00E73B9F" w:rsidRPr="004E3263" w:rsidRDefault="00E73B9F" w:rsidP="002449F0">
      <w:pPr>
        <w:pStyle w:val="Para1"/>
        <w:numPr>
          <w:ilvl w:val="1"/>
          <w:numId w:val="13"/>
        </w:numPr>
        <w:tabs>
          <w:tab w:val="clear" w:pos="1440"/>
        </w:tabs>
        <w:spacing w:before="120"/>
        <w:ind w:left="0" w:firstLine="709"/>
        <w:rPr>
          <w:rFonts w:eastAsia="Times New Roman"/>
          <w:spacing w:val="-2"/>
          <w:szCs w:val="22"/>
          <w:lang w:val="es-ES"/>
        </w:rPr>
      </w:pPr>
      <w:r w:rsidRPr="004E3263">
        <w:rPr>
          <w:rFonts w:eastAsia="Times New Roman"/>
          <w:spacing w:val="-2"/>
          <w:kern w:val="22"/>
          <w:szCs w:val="22"/>
          <w:lang w:val="es-ES"/>
        </w:rPr>
        <w:t>La organización de una “Feria de Tecnología</w:t>
      </w:r>
      <w:r w:rsidR="009C6B93" w:rsidRPr="004E3263">
        <w:rPr>
          <w:rFonts w:eastAsia="Times New Roman"/>
          <w:spacing w:val="-2"/>
          <w:kern w:val="22"/>
          <w:szCs w:val="22"/>
          <w:lang w:val="es-ES"/>
        </w:rPr>
        <w:t>s</w:t>
      </w:r>
      <w:r w:rsidRPr="004E3263">
        <w:rPr>
          <w:rFonts w:eastAsia="Times New Roman"/>
          <w:spacing w:val="-2"/>
          <w:kern w:val="22"/>
          <w:szCs w:val="22"/>
          <w:lang w:val="es-ES"/>
        </w:rPr>
        <w:t xml:space="preserve"> para la Biodiversidad” en la 14ª reunión de la Conferencia de las Partes, en Sharm el-Sheikh</w:t>
      </w:r>
      <w:r w:rsidR="005E7060" w:rsidRPr="004E3263">
        <w:rPr>
          <w:rFonts w:eastAsia="Times New Roman"/>
          <w:spacing w:val="-2"/>
          <w:kern w:val="22"/>
          <w:szCs w:val="22"/>
          <w:lang w:val="es-ES"/>
        </w:rPr>
        <w:t xml:space="preserve"> (</w:t>
      </w:r>
      <w:r w:rsidRPr="004E3263">
        <w:rPr>
          <w:rFonts w:eastAsia="Times New Roman"/>
          <w:spacing w:val="-2"/>
          <w:kern w:val="22"/>
          <w:szCs w:val="22"/>
          <w:lang w:val="es-ES"/>
        </w:rPr>
        <w:t>Egipto</w:t>
      </w:r>
      <w:r w:rsidR="005E7060" w:rsidRPr="004E3263">
        <w:rPr>
          <w:rFonts w:eastAsia="Times New Roman"/>
          <w:spacing w:val="-2"/>
          <w:kern w:val="22"/>
          <w:szCs w:val="22"/>
          <w:lang w:val="es-ES"/>
        </w:rPr>
        <w:t>)</w:t>
      </w:r>
      <w:r w:rsidRPr="004E3263">
        <w:rPr>
          <w:rFonts w:eastAsia="Times New Roman"/>
          <w:spacing w:val="-2"/>
          <w:kern w:val="22"/>
          <w:szCs w:val="22"/>
          <w:lang w:val="es-ES"/>
        </w:rPr>
        <w:t>, en noviembre de 2018, para exhibir las tecnologías que p</w:t>
      </w:r>
      <w:r w:rsidR="005E7060" w:rsidRPr="004E3263">
        <w:rPr>
          <w:rFonts w:eastAsia="Times New Roman"/>
          <w:spacing w:val="-2"/>
          <w:kern w:val="22"/>
          <w:szCs w:val="22"/>
          <w:lang w:val="es-ES"/>
        </w:rPr>
        <w:t>o</w:t>
      </w:r>
      <w:r w:rsidRPr="004E3263">
        <w:rPr>
          <w:rFonts w:eastAsia="Times New Roman"/>
          <w:spacing w:val="-2"/>
          <w:kern w:val="22"/>
          <w:szCs w:val="22"/>
          <w:lang w:val="es-ES"/>
        </w:rPr>
        <w:t>d</w:t>
      </w:r>
      <w:r w:rsidR="005E7060" w:rsidRPr="004E3263">
        <w:rPr>
          <w:rFonts w:eastAsia="Times New Roman"/>
          <w:spacing w:val="-2"/>
          <w:kern w:val="22"/>
          <w:szCs w:val="22"/>
          <w:lang w:val="es-ES"/>
        </w:rPr>
        <w:t>ría</w:t>
      </w:r>
      <w:r w:rsidRPr="004E3263">
        <w:rPr>
          <w:rFonts w:eastAsia="Times New Roman"/>
          <w:spacing w:val="-2"/>
          <w:kern w:val="22"/>
          <w:szCs w:val="22"/>
          <w:lang w:val="es-ES"/>
        </w:rPr>
        <w:t xml:space="preserve">n aprovecharse para resolver problemas acuciantes de diversidad biológica. </w:t>
      </w:r>
      <w:r w:rsidR="005E7060" w:rsidRPr="004E3263">
        <w:rPr>
          <w:rFonts w:eastAsia="Times New Roman"/>
          <w:spacing w:val="-2"/>
          <w:kern w:val="22"/>
          <w:szCs w:val="22"/>
          <w:lang w:val="es-ES"/>
        </w:rPr>
        <w:t>El concepto de feria s</w:t>
      </w:r>
      <w:r w:rsidRPr="004E3263">
        <w:rPr>
          <w:rFonts w:eastAsia="Times New Roman"/>
          <w:spacing w:val="-2"/>
          <w:kern w:val="22"/>
          <w:szCs w:val="22"/>
          <w:lang w:val="es-ES"/>
        </w:rPr>
        <w:t>e pondrá a prueba y se refinará con miras a organiza</w:t>
      </w:r>
      <w:r w:rsidR="005E7060" w:rsidRPr="004E3263">
        <w:rPr>
          <w:rFonts w:eastAsia="Times New Roman"/>
          <w:spacing w:val="-2"/>
          <w:kern w:val="22"/>
          <w:szCs w:val="22"/>
          <w:lang w:val="es-ES"/>
        </w:rPr>
        <w:t>r</w:t>
      </w:r>
      <w:r w:rsidRPr="004E3263">
        <w:rPr>
          <w:rFonts w:eastAsia="Times New Roman"/>
          <w:spacing w:val="-2"/>
          <w:kern w:val="22"/>
          <w:szCs w:val="22"/>
          <w:lang w:val="es-ES"/>
        </w:rPr>
        <w:t xml:space="preserve"> una “Expo de Innovación Tecnológica para la Biodiversidad” </w:t>
      </w:r>
      <w:r w:rsidR="005E7060" w:rsidRPr="004E3263">
        <w:rPr>
          <w:rFonts w:eastAsia="Times New Roman"/>
          <w:spacing w:val="-2"/>
          <w:kern w:val="22"/>
          <w:szCs w:val="22"/>
          <w:lang w:val="es-ES"/>
        </w:rPr>
        <w:t xml:space="preserve">mucho </w:t>
      </w:r>
      <w:r w:rsidRPr="004E3263">
        <w:rPr>
          <w:rFonts w:eastAsia="Times New Roman"/>
          <w:spacing w:val="-2"/>
          <w:kern w:val="22"/>
          <w:szCs w:val="22"/>
          <w:lang w:val="es-ES"/>
        </w:rPr>
        <w:t>más grande en la 15ª reunión que se celebrará en 2020 en China;</w:t>
      </w:r>
    </w:p>
    <w:p w:rsidR="00B27C0B" w:rsidRPr="00843F53" w:rsidRDefault="00B27C0B" w:rsidP="002449F0">
      <w:pPr>
        <w:pStyle w:val="Para1"/>
        <w:numPr>
          <w:ilvl w:val="1"/>
          <w:numId w:val="13"/>
        </w:numPr>
        <w:tabs>
          <w:tab w:val="clear" w:pos="1440"/>
        </w:tabs>
        <w:spacing w:before="120"/>
        <w:ind w:left="0" w:firstLine="709"/>
        <w:rPr>
          <w:rFonts w:eastAsia="Times New Roman"/>
          <w:kern w:val="22"/>
          <w:szCs w:val="22"/>
          <w:lang w:val="es-ES"/>
        </w:rPr>
      </w:pPr>
      <w:r w:rsidRPr="00843F53">
        <w:rPr>
          <w:rFonts w:eastAsia="Times New Roman"/>
          <w:kern w:val="22"/>
          <w:szCs w:val="22"/>
          <w:lang w:val="es-ES"/>
        </w:rPr>
        <w:t>El desarrollo de un videojuego para generar conciencia sobre el uso de tecnologías y demostrar las posibilidades que ofrece en términos de facilitar la toma de decisiones y catalizar acciones en torno a cuestiones que sustentan las Metas de Aichi para la Diversidad Biológica.</w:t>
      </w:r>
    </w:p>
    <w:p w:rsidR="009E61CC" w:rsidRPr="00843F53" w:rsidRDefault="009E61CC" w:rsidP="009E61CC">
      <w:pPr>
        <w:pStyle w:val="Para1"/>
        <w:numPr>
          <w:ilvl w:val="0"/>
          <w:numId w:val="14"/>
        </w:numPr>
        <w:suppressLineNumbers/>
        <w:tabs>
          <w:tab w:val="num" w:pos="720"/>
        </w:tabs>
        <w:suppressAutoHyphens/>
        <w:spacing w:before="120"/>
        <w:ind w:left="0" w:firstLine="0"/>
        <w:rPr>
          <w:rFonts w:eastAsia="Times New Roman"/>
          <w:kern w:val="22"/>
          <w:szCs w:val="22"/>
          <w:lang w:val="es-ES"/>
        </w:rPr>
      </w:pPr>
      <w:r w:rsidRPr="00843F53">
        <w:rPr>
          <w:rFonts w:eastAsia="Times New Roman"/>
          <w:szCs w:val="22"/>
          <w:lang w:val="es-ES"/>
        </w:rPr>
        <w:t>Con el fin de ayudar a la Secretaria Ejecutiva en la promoción y facilitación de</w:t>
      </w:r>
      <w:r w:rsidR="004D12CB">
        <w:rPr>
          <w:rFonts w:eastAsia="Times New Roman"/>
          <w:szCs w:val="22"/>
          <w:lang w:val="es-ES"/>
        </w:rPr>
        <w:t xml:space="preserve"> la</w:t>
      </w:r>
      <w:r w:rsidRPr="00843F53">
        <w:rPr>
          <w:rFonts w:eastAsia="Times New Roman"/>
          <w:szCs w:val="22"/>
          <w:lang w:val="es-ES"/>
        </w:rPr>
        <w:t xml:space="preserve"> cooperación científica y técnica y actividades </w:t>
      </w:r>
      <w:r w:rsidR="004D12CB" w:rsidRPr="00843F53">
        <w:rPr>
          <w:rFonts w:eastAsia="Times New Roman"/>
          <w:szCs w:val="22"/>
          <w:lang w:val="es-ES"/>
        </w:rPr>
        <w:t xml:space="preserve">relacionadas </w:t>
      </w:r>
      <w:r w:rsidRPr="00843F53">
        <w:rPr>
          <w:rFonts w:eastAsia="Times New Roman"/>
          <w:szCs w:val="22"/>
          <w:lang w:val="es-ES"/>
        </w:rPr>
        <w:t xml:space="preserve">de creación de capacidad de manera coherente y coordinada sobre la base de diversas perspectivas y experiencias, el Órgano Subsidiario sobre la Aplicación podría estimar oportuno recomendar el establecimiento de un comité asesor oficioso sobre cooperación científica y técnica para realizar las tareas que se especifican en el anexo I del presente. El comité asesor oficioso propuesto también podría </w:t>
      </w:r>
      <w:r w:rsidR="004D12CB">
        <w:rPr>
          <w:rFonts w:eastAsia="Times New Roman"/>
          <w:szCs w:val="22"/>
          <w:lang w:val="es-ES"/>
        </w:rPr>
        <w:t xml:space="preserve">asumir </w:t>
      </w:r>
      <w:r w:rsidRPr="00843F53">
        <w:rPr>
          <w:rFonts w:eastAsia="Times New Roman"/>
          <w:szCs w:val="22"/>
          <w:lang w:val="es-ES"/>
        </w:rPr>
        <w:t xml:space="preserve">el mandato del actual Comité Asesor Oficioso </w:t>
      </w:r>
      <w:r w:rsidR="00F34A51">
        <w:rPr>
          <w:rFonts w:eastAsia="Times New Roman"/>
          <w:szCs w:val="22"/>
          <w:lang w:val="es-ES"/>
        </w:rPr>
        <w:t xml:space="preserve">para </w:t>
      </w:r>
      <w:r w:rsidRPr="00843F53">
        <w:rPr>
          <w:rFonts w:eastAsia="Times New Roman"/>
          <w:szCs w:val="22"/>
          <w:lang w:val="es-ES"/>
        </w:rPr>
        <w:t xml:space="preserve">el </w:t>
      </w:r>
      <w:r w:rsidRPr="00843F53">
        <w:rPr>
          <w:rFonts w:eastAsia="Times New Roman"/>
          <w:kern w:val="22"/>
          <w:szCs w:val="22"/>
          <w:lang w:val="es-ES"/>
        </w:rPr>
        <w:t>Mecanismo de Facilitación.</w:t>
      </w:r>
    </w:p>
    <w:p w:rsidR="00832911" w:rsidRPr="00843F53" w:rsidRDefault="00832911" w:rsidP="005115FB">
      <w:pPr>
        <w:pStyle w:val="Para1"/>
        <w:numPr>
          <w:ilvl w:val="0"/>
          <w:numId w:val="14"/>
        </w:numPr>
        <w:suppressLineNumbers/>
        <w:tabs>
          <w:tab w:val="num" w:pos="720"/>
        </w:tabs>
        <w:suppressAutoHyphens/>
        <w:spacing w:before="120"/>
        <w:ind w:left="0" w:firstLine="0"/>
        <w:rPr>
          <w:rFonts w:eastAsia="Times New Roman"/>
          <w:szCs w:val="22"/>
          <w:lang w:val="es-ES"/>
        </w:rPr>
      </w:pPr>
      <w:r w:rsidRPr="00843F53">
        <w:rPr>
          <w:rFonts w:eastAsia="Times New Roman"/>
          <w:kern w:val="22"/>
          <w:szCs w:val="22"/>
          <w:lang w:val="es-ES"/>
        </w:rPr>
        <w:t xml:space="preserve">El Órgano Subsidiario sobre la Aplicación podría estimar oportuno tomar nota de los </w:t>
      </w:r>
      <w:r w:rsidR="00912CE9">
        <w:rPr>
          <w:rFonts w:eastAsia="Times New Roman"/>
          <w:kern w:val="22"/>
          <w:szCs w:val="22"/>
          <w:lang w:val="es-ES"/>
        </w:rPr>
        <w:t>progresos</w:t>
      </w:r>
      <w:r w:rsidRPr="00843F53">
        <w:rPr>
          <w:rFonts w:eastAsia="Times New Roman"/>
          <w:kern w:val="22"/>
          <w:szCs w:val="22"/>
          <w:lang w:val="es-ES"/>
        </w:rPr>
        <w:t xml:space="preserve"> </w:t>
      </w:r>
      <w:r w:rsidR="00912CE9">
        <w:rPr>
          <w:rFonts w:eastAsia="Times New Roman"/>
          <w:kern w:val="22"/>
          <w:szCs w:val="22"/>
          <w:lang w:val="es-ES"/>
        </w:rPr>
        <w:t>rea</w:t>
      </w:r>
      <w:r w:rsidRPr="00843F53">
        <w:rPr>
          <w:rFonts w:eastAsia="Times New Roman"/>
          <w:kern w:val="22"/>
          <w:szCs w:val="22"/>
          <w:lang w:val="es-ES"/>
        </w:rPr>
        <w:t>l</w:t>
      </w:r>
      <w:r w:rsidR="00912CE9">
        <w:rPr>
          <w:rFonts w:eastAsia="Times New Roman"/>
          <w:kern w:val="22"/>
          <w:szCs w:val="22"/>
          <w:lang w:val="es-ES"/>
        </w:rPr>
        <w:t>iz</w:t>
      </w:r>
      <w:r w:rsidRPr="00843F53">
        <w:rPr>
          <w:rFonts w:eastAsia="Times New Roman"/>
          <w:kern w:val="22"/>
          <w:szCs w:val="22"/>
          <w:lang w:val="es-ES"/>
        </w:rPr>
        <w:t xml:space="preserve">ados en la facilitación de la cooperación científica y técnica y brindar orientaciones adicionales sobre </w:t>
      </w:r>
      <w:r w:rsidR="00912CE9">
        <w:rPr>
          <w:rFonts w:eastAsia="Times New Roman"/>
          <w:kern w:val="22"/>
          <w:szCs w:val="22"/>
          <w:lang w:val="es-ES"/>
        </w:rPr>
        <w:t xml:space="preserve">posibles </w:t>
      </w:r>
      <w:r w:rsidRPr="00843F53">
        <w:rPr>
          <w:rFonts w:eastAsia="Times New Roman"/>
          <w:kern w:val="22"/>
          <w:szCs w:val="22"/>
          <w:lang w:val="es-ES"/>
        </w:rPr>
        <w:t xml:space="preserve">medidas para mejorar la aplicación, así como formular recomendaciones </w:t>
      </w:r>
      <w:r w:rsidR="00912CE9" w:rsidRPr="00843F53">
        <w:rPr>
          <w:rFonts w:eastAsia="Times New Roman"/>
          <w:kern w:val="22"/>
          <w:szCs w:val="22"/>
          <w:lang w:val="es-ES"/>
        </w:rPr>
        <w:t xml:space="preserve">del tenor de lo propuesto en la sección </w:t>
      </w:r>
      <w:r w:rsidR="00B364C5">
        <w:rPr>
          <w:rFonts w:eastAsia="Times New Roman"/>
          <w:kern w:val="22"/>
          <w:szCs w:val="22"/>
          <w:lang w:val="es-ES"/>
        </w:rPr>
        <w:t>VI</w:t>
      </w:r>
      <w:r w:rsidR="00912CE9" w:rsidRPr="00843F53">
        <w:rPr>
          <w:rFonts w:eastAsia="Times New Roman"/>
          <w:kern w:val="22"/>
          <w:szCs w:val="22"/>
          <w:lang w:val="es-ES"/>
        </w:rPr>
        <w:t xml:space="preserve"> del presente</w:t>
      </w:r>
      <w:r w:rsidR="00912CE9">
        <w:rPr>
          <w:rFonts w:eastAsia="Times New Roman"/>
          <w:kern w:val="22"/>
          <w:szCs w:val="22"/>
          <w:lang w:val="es-ES"/>
        </w:rPr>
        <w:t xml:space="preserve">, </w:t>
      </w:r>
      <w:r w:rsidRPr="00843F53">
        <w:rPr>
          <w:rFonts w:eastAsia="Times New Roman"/>
          <w:kern w:val="22"/>
          <w:szCs w:val="22"/>
          <w:lang w:val="es-ES"/>
        </w:rPr>
        <w:t xml:space="preserve">para </w:t>
      </w:r>
      <w:r w:rsidR="00912CE9">
        <w:rPr>
          <w:rFonts w:eastAsia="Times New Roman"/>
          <w:kern w:val="22"/>
          <w:szCs w:val="22"/>
          <w:lang w:val="es-ES"/>
        </w:rPr>
        <w:t xml:space="preserve">someter a </w:t>
      </w:r>
      <w:r w:rsidRPr="00843F53">
        <w:rPr>
          <w:rFonts w:eastAsia="Times New Roman"/>
          <w:kern w:val="22"/>
          <w:szCs w:val="22"/>
          <w:lang w:val="es-ES"/>
        </w:rPr>
        <w:t>consideración de la Conferencia de las Partes en su 14ª reunión</w:t>
      </w:r>
      <w:r w:rsidR="00912CE9">
        <w:rPr>
          <w:rFonts w:eastAsia="Times New Roman"/>
          <w:kern w:val="22"/>
          <w:szCs w:val="22"/>
          <w:lang w:val="es-ES"/>
        </w:rPr>
        <w:t>.</w:t>
      </w:r>
    </w:p>
    <w:p w:rsidR="002449F0" w:rsidRPr="005115FB" w:rsidRDefault="002449F0" w:rsidP="002449F0">
      <w:pPr>
        <w:keepNext/>
        <w:spacing w:before="120" w:after="120"/>
        <w:ind w:left="1170" w:hanging="450"/>
        <w:jc w:val="left"/>
        <w:rPr>
          <w:rFonts w:ascii="Times New Roman Bold" w:eastAsia="Times New Roman" w:hAnsi="Times New Roman Bold" w:cs="Times New Roman"/>
          <w:b/>
          <w:i/>
          <w:caps/>
          <w:kern w:val="22"/>
          <w:szCs w:val="22"/>
          <w:lang w:val="es-ES"/>
        </w:rPr>
      </w:pPr>
      <w:r w:rsidRPr="00843F53">
        <w:rPr>
          <w:rFonts w:eastAsia="Times New Roman" w:cs="Times New Roman"/>
          <w:b/>
          <w:caps/>
          <w:kern w:val="22"/>
          <w:szCs w:val="22"/>
          <w:lang w:val="es-ES"/>
        </w:rPr>
        <w:t>IV.</w:t>
      </w:r>
      <w:r w:rsidRPr="00843F53">
        <w:rPr>
          <w:rFonts w:eastAsia="Times New Roman" w:cs="Times New Roman"/>
          <w:b/>
          <w:caps/>
          <w:kern w:val="22"/>
          <w:szCs w:val="22"/>
          <w:lang w:val="es-ES"/>
        </w:rPr>
        <w:tab/>
      </w:r>
      <w:r w:rsidRPr="005115FB">
        <w:rPr>
          <w:rFonts w:ascii="Times New Roman Bold" w:eastAsia="Times New Roman" w:hAnsi="Times New Roman Bold" w:cs="Times New Roman"/>
          <w:b/>
          <w:caps/>
          <w:kern w:val="22"/>
          <w:szCs w:val="22"/>
          <w:lang w:val="es-ES"/>
        </w:rPr>
        <w:t xml:space="preserve">preparaCiÓn DEL marco estratégico </w:t>
      </w:r>
      <w:r w:rsidR="005115FB" w:rsidRPr="005115FB">
        <w:rPr>
          <w:rFonts w:ascii="Times New Roman Bold" w:eastAsia="Times New Roman" w:hAnsi="Times New Roman Bold" w:cs="Times New Roman"/>
          <w:b/>
          <w:caps/>
          <w:kern w:val="22"/>
          <w:szCs w:val="22"/>
          <w:lang w:val="es-ES"/>
        </w:rPr>
        <w:t>PARA LA</w:t>
      </w:r>
      <w:r w:rsidRPr="005115FB">
        <w:rPr>
          <w:rFonts w:ascii="Times New Roman Bold" w:eastAsia="Times New Roman" w:hAnsi="Times New Roman Bold" w:cs="Times New Roman"/>
          <w:b/>
          <w:caps/>
          <w:kern w:val="22"/>
          <w:szCs w:val="22"/>
          <w:lang w:val="es-ES"/>
        </w:rPr>
        <w:t xml:space="preserve"> creación de capacidad </w:t>
      </w:r>
      <w:r w:rsidR="005115FB" w:rsidRPr="005115FB">
        <w:rPr>
          <w:rFonts w:ascii="Times New Roman Bold" w:eastAsia="Times New Roman" w:hAnsi="Times New Roman Bold" w:cs="Times New Roman"/>
          <w:b/>
          <w:caps/>
          <w:kern w:val="22"/>
          <w:szCs w:val="22"/>
          <w:lang w:val="es-ES"/>
        </w:rPr>
        <w:t>DESPUÉS</w:t>
      </w:r>
      <w:r w:rsidRPr="005115FB">
        <w:rPr>
          <w:rFonts w:ascii="Times New Roman Bold" w:eastAsia="Times New Roman" w:hAnsi="Times New Roman Bold" w:cs="Times New Roman"/>
          <w:b/>
          <w:caps/>
          <w:kern w:val="22"/>
          <w:szCs w:val="22"/>
          <w:lang w:val="es-ES"/>
        </w:rPr>
        <w:t xml:space="preserve"> </w:t>
      </w:r>
      <w:r w:rsidR="005115FB" w:rsidRPr="005115FB">
        <w:rPr>
          <w:rFonts w:ascii="Times New Roman Bold" w:eastAsia="Times New Roman" w:hAnsi="Times New Roman Bold" w:cs="Times New Roman"/>
          <w:b/>
          <w:caps/>
          <w:kern w:val="22"/>
          <w:szCs w:val="22"/>
          <w:lang w:val="es-ES"/>
        </w:rPr>
        <w:t>DE</w:t>
      </w:r>
      <w:r w:rsidRPr="005115FB">
        <w:rPr>
          <w:rFonts w:ascii="Times New Roman Bold" w:eastAsia="Times New Roman" w:hAnsi="Times New Roman Bold" w:cs="Times New Roman"/>
          <w:b/>
          <w:caps/>
          <w:kern w:val="22"/>
          <w:szCs w:val="22"/>
          <w:lang w:val="es-ES"/>
        </w:rPr>
        <w:t xml:space="preserve"> 2020</w:t>
      </w:r>
    </w:p>
    <w:p w:rsidR="00097243" w:rsidRPr="00843F53" w:rsidRDefault="00097243" w:rsidP="00097243">
      <w:pPr>
        <w:pStyle w:val="Para1"/>
        <w:numPr>
          <w:ilvl w:val="0"/>
          <w:numId w:val="14"/>
        </w:numPr>
        <w:suppressLineNumbers/>
        <w:tabs>
          <w:tab w:val="num" w:pos="720"/>
        </w:tabs>
        <w:suppressAutoHyphens/>
        <w:spacing w:before="120"/>
        <w:ind w:left="0" w:firstLine="0"/>
        <w:rPr>
          <w:rFonts w:eastAsia="Times New Roman"/>
          <w:kern w:val="22"/>
          <w:szCs w:val="22"/>
          <w:lang w:val="es-ES"/>
        </w:rPr>
      </w:pPr>
      <w:r w:rsidRPr="00843F53">
        <w:rPr>
          <w:rFonts w:eastAsia="Times New Roman"/>
          <w:szCs w:val="22"/>
          <w:lang w:val="es-ES"/>
        </w:rPr>
        <w:t xml:space="preserve">La aplicación efectiva de los resultados de un marco mundial de la diversidad biológica posterior a 2020, como instrumento que sucederá al Plan Estratégico para la Diversidad Biológica </w:t>
      </w:r>
      <w:r w:rsidR="007F466D">
        <w:rPr>
          <w:rFonts w:eastAsia="Times New Roman"/>
          <w:kern w:val="22"/>
          <w:szCs w:val="22"/>
          <w:lang w:val="es-ES"/>
        </w:rPr>
        <w:t xml:space="preserve">2011-2020 y </w:t>
      </w:r>
      <w:r w:rsidRPr="00843F53">
        <w:rPr>
          <w:rFonts w:eastAsia="Times New Roman"/>
          <w:kern w:val="22"/>
          <w:szCs w:val="22"/>
          <w:lang w:val="es-ES"/>
        </w:rPr>
        <w:t>el Plan Estratégico para el Protocolo de Cartagena sobre la Seguridad de la Biotecnología 2011-2020,</w:t>
      </w:r>
      <w:r w:rsidRPr="00843F53">
        <w:rPr>
          <w:rFonts w:eastAsia="Times New Roman"/>
          <w:szCs w:val="22"/>
          <w:lang w:val="es-ES"/>
        </w:rPr>
        <w:t xml:space="preserve"> se sustentará en </w:t>
      </w:r>
      <w:r w:rsidR="00B364C5">
        <w:rPr>
          <w:rFonts w:eastAsia="Times New Roman"/>
          <w:szCs w:val="22"/>
          <w:lang w:val="es-ES"/>
        </w:rPr>
        <w:t xml:space="preserve">el fortalecimiento y ampliación de los </w:t>
      </w:r>
      <w:r w:rsidRPr="00843F53">
        <w:rPr>
          <w:rFonts w:eastAsia="Times New Roman"/>
          <w:szCs w:val="22"/>
          <w:lang w:val="es-ES"/>
        </w:rPr>
        <w:t xml:space="preserve">medios de aplicación, en particular </w:t>
      </w:r>
      <w:r w:rsidR="007F466D">
        <w:rPr>
          <w:rFonts w:eastAsia="Times New Roman"/>
          <w:szCs w:val="22"/>
          <w:lang w:val="es-ES"/>
        </w:rPr>
        <w:t xml:space="preserve">en materia de </w:t>
      </w:r>
      <w:r w:rsidR="00B364C5">
        <w:rPr>
          <w:rFonts w:eastAsia="Times New Roman"/>
          <w:szCs w:val="22"/>
          <w:lang w:val="es-ES"/>
        </w:rPr>
        <w:t>desarrollo</w:t>
      </w:r>
      <w:r w:rsidRPr="00843F53">
        <w:rPr>
          <w:rFonts w:eastAsia="Times New Roman"/>
          <w:szCs w:val="22"/>
          <w:lang w:val="es-ES"/>
        </w:rPr>
        <w:t xml:space="preserve"> de capacidad</w:t>
      </w:r>
      <w:r w:rsidR="00B364C5">
        <w:rPr>
          <w:rFonts w:eastAsia="Times New Roman"/>
          <w:szCs w:val="22"/>
          <w:lang w:val="es-ES"/>
        </w:rPr>
        <w:t>es</w:t>
      </w:r>
      <w:r w:rsidRPr="00843F53">
        <w:rPr>
          <w:rFonts w:eastAsia="Times New Roman"/>
          <w:szCs w:val="22"/>
          <w:lang w:val="es-ES"/>
        </w:rPr>
        <w:t xml:space="preserve">, cooperación científica y técnica, transferencia de tecnología, movilización de recursos, cooperación entre múltiples interesados directos y asociaciones entre sectores. </w:t>
      </w:r>
      <w:r w:rsidR="007F466D">
        <w:rPr>
          <w:rFonts w:eastAsia="Times New Roman"/>
          <w:szCs w:val="22"/>
          <w:lang w:val="es-ES"/>
        </w:rPr>
        <w:t>S</w:t>
      </w:r>
      <w:r w:rsidRPr="00843F53">
        <w:rPr>
          <w:rFonts w:eastAsia="Times New Roman"/>
          <w:szCs w:val="22"/>
          <w:lang w:val="es-ES"/>
        </w:rPr>
        <w:t>ería prudente</w:t>
      </w:r>
      <w:r w:rsidR="007F466D">
        <w:rPr>
          <w:rFonts w:eastAsia="Times New Roman"/>
          <w:szCs w:val="22"/>
          <w:lang w:val="es-ES"/>
        </w:rPr>
        <w:t>,</w:t>
      </w:r>
      <w:r w:rsidRPr="00843F53">
        <w:rPr>
          <w:rFonts w:eastAsia="Times New Roman"/>
          <w:szCs w:val="22"/>
          <w:lang w:val="es-ES"/>
        </w:rPr>
        <w:t xml:space="preserve"> </w:t>
      </w:r>
      <w:r w:rsidR="007F466D">
        <w:rPr>
          <w:rFonts w:eastAsia="Times New Roman"/>
          <w:szCs w:val="22"/>
          <w:lang w:val="es-ES"/>
        </w:rPr>
        <w:t>p</w:t>
      </w:r>
      <w:r w:rsidR="007F466D" w:rsidRPr="00843F53">
        <w:rPr>
          <w:rFonts w:eastAsia="Times New Roman"/>
          <w:szCs w:val="22"/>
          <w:lang w:val="es-ES"/>
        </w:rPr>
        <w:t xml:space="preserve">or lo tanto, </w:t>
      </w:r>
      <w:r w:rsidR="007F466D">
        <w:rPr>
          <w:rFonts w:eastAsia="Times New Roman"/>
          <w:szCs w:val="22"/>
          <w:lang w:val="es-ES"/>
        </w:rPr>
        <w:t>que</w:t>
      </w:r>
      <w:r w:rsidRPr="00843F53">
        <w:rPr>
          <w:rFonts w:eastAsia="Times New Roman"/>
          <w:szCs w:val="22"/>
          <w:lang w:val="es-ES"/>
        </w:rPr>
        <w:t xml:space="preserve"> como parte d</w:t>
      </w:r>
      <w:r w:rsidRPr="00843F53">
        <w:rPr>
          <w:rFonts w:eastAsia="Times New Roman"/>
          <w:kern w:val="22"/>
          <w:szCs w:val="22"/>
          <w:lang w:val="es-ES"/>
        </w:rPr>
        <w:t xml:space="preserve">el proceso de </w:t>
      </w:r>
      <w:r w:rsidR="007F466D">
        <w:rPr>
          <w:rFonts w:eastAsia="Times New Roman"/>
          <w:kern w:val="22"/>
          <w:szCs w:val="22"/>
          <w:lang w:val="es-ES"/>
        </w:rPr>
        <w:t>desarrollo</w:t>
      </w:r>
      <w:r w:rsidRPr="00843F53">
        <w:rPr>
          <w:rFonts w:eastAsia="Times New Roman"/>
          <w:kern w:val="22"/>
          <w:szCs w:val="22"/>
          <w:lang w:val="es-ES"/>
        </w:rPr>
        <w:t xml:space="preserve"> de un marco mundial de la diversidad biológica posterior a 2020 propuesto en el documento CBD/SBI/2/17, se elaboraran estrategias para </w:t>
      </w:r>
      <w:r w:rsidR="007F466D">
        <w:rPr>
          <w:rFonts w:eastAsia="Times New Roman"/>
          <w:kern w:val="22"/>
          <w:szCs w:val="22"/>
          <w:lang w:val="es-ES"/>
        </w:rPr>
        <w:t>garantizar que sus objetivos y metas estén</w:t>
      </w:r>
      <w:r w:rsidRPr="00843F53">
        <w:rPr>
          <w:rFonts w:eastAsia="Times New Roman"/>
          <w:kern w:val="22"/>
          <w:szCs w:val="22"/>
          <w:lang w:val="es-ES"/>
        </w:rPr>
        <w:t xml:space="preserve"> </w:t>
      </w:r>
      <w:r w:rsidR="007F466D">
        <w:rPr>
          <w:rFonts w:eastAsia="Times New Roman"/>
          <w:kern w:val="22"/>
          <w:szCs w:val="22"/>
          <w:lang w:val="es-ES"/>
        </w:rPr>
        <w:t xml:space="preserve">acompañados de </w:t>
      </w:r>
      <w:r w:rsidRPr="00843F53">
        <w:rPr>
          <w:rFonts w:eastAsia="Times New Roman"/>
          <w:kern w:val="22"/>
          <w:szCs w:val="22"/>
          <w:lang w:val="es-ES"/>
        </w:rPr>
        <w:t>medios de a</w:t>
      </w:r>
      <w:r w:rsidR="00B364C5">
        <w:rPr>
          <w:rFonts w:eastAsia="Times New Roman"/>
          <w:kern w:val="22"/>
          <w:szCs w:val="22"/>
          <w:lang w:val="es-ES"/>
        </w:rPr>
        <w:t>plica</w:t>
      </w:r>
      <w:r w:rsidRPr="00843F53">
        <w:rPr>
          <w:rFonts w:eastAsia="Times New Roman"/>
          <w:kern w:val="22"/>
          <w:szCs w:val="22"/>
          <w:lang w:val="es-ES"/>
        </w:rPr>
        <w:t>ción adecuados para lograrlos.</w:t>
      </w:r>
    </w:p>
    <w:p w:rsidR="00136875" w:rsidRPr="00843F53" w:rsidRDefault="00136875" w:rsidP="00136875">
      <w:pPr>
        <w:pStyle w:val="Para1"/>
        <w:numPr>
          <w:ilvl w:val="0"/>
          <w:numId w:val="14"/>
        </w:numPr>
        <w:suppressLineNumbers/>
        <w:tabs>
          <w:tab w:val="num" w:pos="720"/>
        </w:tabs>
        <w:suppressAutoHyphens/>
        <w:spacing w:before="120"/>
        <w:ind w:left="0" w:firstLine="0"/>
        <w:rPr>
          <w:rFonts w:eastAsia="Times New Roman"/>
          <w:kern w:val="22"/>
          <w:szCs w:val="22"/>
          <w:lang w:val="es-ES"/>
        </w:rPr>
      </w:pPr>
      <w:r w:rsidRPr="00843F53">
        <w:rPr>
          <w:rFonts w:eastAsia="Times New Roman"/>
          <w:szCs w:val="22"/>
          <w:lang w:val="es-ES"/>
        </w:rPr>
        <w:t xml:space="preserve">En esta sección se destacan consideraciones pertinentes que podrían tenerse en cuenta </w:t>
      </w:r>
      <w:r w:rsidRPr="00843F53">
        <w:rPr>
          <w:rFonts w:eastAsia="Times New Roman"/>
          <w:kern w:val="22"/>
          <w:szCs w:val="22"/>
          <w:lang w:val="es-ES"/>
        </w:rPr>
        <w:t xml:space="preserve">en la </w:t>
      </w:r>
      <w:r w:rsidR="007F466D">
        <w:rPr>
          <w:rFonts w:eastAsia="Times New Roman"/>
          <w:kern w:val="22"/>
          <w:szCs w:val="22"/>
          <w:lang w:val="es-ES"/>
        </w:rPr>
        <w:t>prepar</w:t>
      </w:r>
      <w:r w:rsidRPr="00843F53">
        <w:rPr>
          <w:rFonts w:eastAsia="Times New Roman"/>
          <w:kern w:val="22"/>
          <w:szCs w:val="22"/>
          <w:lang w:val="es-ES"/>
        </w:rPr>
        <w:t xml:space="preserve">ación del marco estratégico a largo plazo </w:t>
      </w:r>
      <w:r w:rsidR="007F466D">
        <w:rPr>
          <w:rFonts w:eastAsia="Times New Roman"/>
          <w:kern w:val="22"/>
          <w:szCs w:val="22"/>
          <w:lang w:val="es-ES"/>
        </w:rPr>
        <w:t>para la</w:t>
      </w:r>
      <w:r w:rsidRPr="00843F53">
        <w:rPr>
          <w:rFonts w:eastAsia="Times New Roman"/>
          <w:kern w:val="22"/>
          <w:szCs w:val="22"/>
          <w:lang w:val="es-ES"/>
        </w:rPr>
        <w:t xml:space="preserve"> creación de capacidad después de 2020, co</w:t>
      </w:r>
      <w:r w:rsidRPr="00843F53">
        <w:rPr>
          <w:rFonts w:eastAsia="Times New Roman"/>
          <w:szCs w:val="22"/>
          <w:lang w:val="es-ES"/>
        </w:rPr>
        <w:t xml:space="preserve">nforme al párrafo 15 m) de la decisión XIII/23 de la Conferencia de las Partes en el Convenio, y se esbozan elementos para el proceso de </w:t>
      </w:r>
      <w:r w:rsidR="007F466D">
        <w:rPr>
          <w:rFonts w:eastAsia="Times New Roman"/>
          <w:szCs w:val="22"/>
          <w:lang w:val="es-ES"/>
        </w:rPr>
        <w:t>p</w:t>
      </w:r>
      <w:r w:rsidRPr="00843F53">
        <w:rPr>
          <w:rFonts w:eastAsia="Times New Roman"/>
          <w:szCs w:val="22"/>
          <w:lang w:val="es-ES"/>
        </w:rPr>
        <w:t>r</w:t>
      </w:r>
      <w:r w:rsidR="007F466D">
        <w:rPr>
          <w:rFonts w:eastAsia="Times New Roman"/>
          <w:szCs w:val="22"/>
          <w:lang w:val="es-ES"/>
        </w:rPr>
        <w:t>epar</w:t>
      </w:r>
      <w:r w:rsidRPr="00843F53">
        <w:rPr>
          <w:rFonts w:eastAsia="Times New Roman"/>
          <w:szCs w:val="22"/>
          <w:lang w:val="es-ES"/>
        </w:rPr>
        <w:t xml:space="preserve">ación de un marco estratégico a largo plazo </w:t>
      </w:r>
      <w:r w:rsidR="007F466D">
        <w:rPr>
          <w:rFonts w:eastAsia="Times New Roman"/>
          <w:szCs w:val="22"/>
          <w:lang w:val="es-ES"/>
        </w:rPr>
        <w:t>para la</w:t>
      </w:r>
      <w:r w:rsidRPr="00843F53">
        <w:rPr>
          <w:rFonts w:eastAsia="Times New Roman"/>
          <w:szCs w:val="22"/>
          <w:lang w:val="es-ES"/>
        </w:rPr>
        <w:t xml:space="preserve"> creación de capacidad, </w:t>
      </w:r>
      <w:r w:rsidR="007F466D">
        <w:rPr>
          <w:rFonts w:eastAsia="Times New Roman"/>
          <w:szCs w:val="22"/>
          <w:lang w:val="es-ES"/>
        </w:rPr>
        <w:t>que figuran en</w:t>
      </w:r>
      <w:r w:rsidRPr="00843F53">
        <w:rPr>
          <w:rFonts w:eastAsia="Times New Roman"/>
          <w:szCs w:val="22"/>
          <w:lang w:val="es-ES"/>
        </w:rPr>
        <w:t xml:space="preserve"> el anexo </w:t>
      </w:r>
      <w:r w:rsidRPr="00843F53">
        <w:rPr>
          <w:rFonts w:eastAsia="Times New Roman"/>
          <w:kern w:val="22"/>
          <w:szCs w:val="22"/>
          <w:lang w:val="es-ES"/>
        </w:rPr>
        <w:t>II del presente.</w:t>
      </w:r>
      <w:r w:rsidRPr="00843F53">
        <w:rPr>
          <w:rFonts w:eastAsia="Times New Roman"/>
          <w:szCs w:val="22"/>
          <w:lang w:val="es-ES"/>
        </w:rPr>
        <w:t xml:space="preserve"> En respuesta al pedido </w:t>
      </w:r>
      <w:r w:rsidR="001902D3">
        <w:rPr>
          <w:rFonts w:eastAsia="Times New Roman"/>
          <w:szCs w:val="22"/>
          <w:lang w:val="es-ES"/>
        </w:rPr>
        <w:t>d</w:t>
      </w:r>
      <w:r w:rsidRPr="00843F53">
        <w:rPr>
          <w:rFonts w:eastAsia="Times New Roman"/>
          <w:szCs w:val="22"/>
          <w:lang w:val="es-ES"/>
        </w:rPr>
        <w:t>el párrafo 15 n)</w:t>
      </w:r>
      <w:r w:rsidRPr="00843F53">
        <w:rPr>
          <w:rFonts w:eastAsia="Times New Roman"/>
          <w:kern w:val="22"/>
          <w:szCs w:val="22"/>
          <w:lang w:val="es-ES"/>
        </w:rPr>
        <w:t xml:space="preserve"> de esa misma decisión, en el apéndice 1 del anexo II </w:t>
      </w:r>
      <w:r w:rsidR="00B364C5">
        <w:rPr>
          <w:rFonts w:eastAsia="Times New Roman"/>
          <w:kern w:val="22"/>
          <w:szCs w:val="22"/>
          <w:lang w:val="es-ES"/>
        </w:rPr>
        <w:t xml:space="preserve">del presente </w:t>
      </w:r>
      <w:r w:rsidRPr="00843F53">
        <w:rPr>
          <w:rFonts w:eastAsia="Times New Roman"/>
          <w:kern w:val="22"/>
          <w:szCs w:val="22"/>
          <w:lang w:val="es-ES"/>
        </w:rPr>
        <w:t xml:space="preserve">se brinda también un proyecto de mandato para la realización de un estudio que proporcione </w:t>
      </w:r>
      <w:r w:rsidR="00B364C5">
        <w:rPr>
          <w:rFonts w:eastAsia="Times New Roman"/>
          <w:kern w:val="22"/>
          <w:szCs w:val="22"/>
          <w:lang w:val="es-ES"/>
        </w:rPr>
        <w:t>l</w:t>
      </w:r>
      <w:r w:rsidRPr="00843F53">
        <w:rPr>
          <w:rFonts w:eastAsia="Times New Roman"/>
          <w:kern w:val="22"/>
          <w:szCs w:val="22"/>
          <w:lang w:val="es-ES"/>
        </w:rPr>
        <w:t xml:space="preserve">a base de conocimientos necesarios para la </w:t>
      </w:r>
      <w:r w:rsidR="001902D3">
        <w:rPr>
          <w:rFonts w:eastAsia="Times New Roman"/>
          <w:kern w:val="22"/>
          <w:szCs w:val="22"/>
          <w:lang w:val="es-ES"/>
        </w:rPr>
        <w:t>p</w:t>
      </w:r>
      <w:r w:rsidRPr="00843F53">
        <w:rPr>
          <w:rFonts w:eastAsia="Times New Roman"/>
          <w:kern w:val="22"/>
          <w:szCs w:val="22"/>
          <w:lang w:val="es-ES"/>
        </w:rPr>
        <w:t>r</w:t>
      </w:r>
      <w:r w:rsidR="001902D3">
        <w:rPr>
          <w:rFonts w:eastAsia="Times New Roman"/>
          <w:kern w:val="22"/>
          <w:szCs w:val="22"/>
          <w:lang w:val="es-ES"/>
        </w:rPr>
        <w:t>epar</w:t>
      </w:r>
      <w:r w:rsidRPr="00843F53">
        <w:rPr>
          <w:rFonts w:eastAsia="Times New Roman"/>
          <w:kern w:val="22"/>
          <w:szCs w:val="22"/>
          <w:lang w:val="es-ES"/>
        </w:rPr>
        <w:t>ación de dicho marco estratégico, para que sea considerado por el Órgano Subsidiario sobre la Aplicación en la presente reunión y posteriormente por la Conferencia de las Partes en su 14ª reunión y las reuniones de las Partes en los dos Protocolos. El proyecto de mandato incluye los siguientes elementos: objetivos y alcance del estudio, la metodología aplicada y las principales fuentes de información</w:t>
      </w:r>
      <w:r w:rsidRPr="00843F53">
        <w:rPr>
          <w:rFonts w:eastAsia="Times New Roman"/>
          <w:szCs w:val="22"/>
          <w:lang w:val="es-ES"/>
        </w:rPr>
        <w:t>.</w:t>
      </w:r>
    </w:p>
    <w:p w:rsidR="00136875" w:rsidRPr="00843F53" w:rsidRDefault="00136875" w:rsidP="00136875">
      <w:pPr>
        <w:pStyle w:val="Para1"/>
        <w:numPr>
          <w:ilvl w:val="0"/>
          <w:numId w:val="14"/>
        </w:numPr>
        <w:suppressLineNumbers/>
        <w:tabs>
          <w:tab w:val="num" w:pos="720"/>
        </w:tabs>
        <w:suppressAutoHyphens/>
        <w:spacing w:after="0"/>
        <w:ind w:left="0" w:firstLine="0"/>
        <w:rPr>
          <w:rFonts w:eastAsia="Times New Roman"/>
          <w:kern w:val="22"/>
          <w:szCs w:val="22"/>
          <w:lang w:val="es-ES"/>
        </w:rPr>
      </w:pPr>
      <w:r w:rsidRPr="00843F53">
        <w:rPr>
          <w:rFonts w:eastAsia="Times New Roman"/>
          <w:kern w:val="22"/>
          <w:szCs w:val="22"/>
          <w:lang w:val="es-ES"/>
        </w:rPr>
        <w:t xml:space="preserve">En respuesta a los pedidos de los </w:t>
      </w:r>
      <w:r w:rsidRPr="00843F53">
        <w:rPr>
          <w:rFonts w:eastAsia="Times New Roman"/>
          <w:szCs w:val="22"/>
          <w:lang w:val="es-ES"/>
        </w:rPr>
        <w:t xml:space="preserve">párrafos 15 m) y 15 n) de la decisión XIII/23, en la </w:t>
      </w:r>
      <w:r w:rsidR="001902D3">
        <w:rPr>
          <w:rFonts w:eastAsia="Times New Roman"/>
          <w:szCs w:val="22"/>
          <w:lang w:val="es-ES"/>
        </w:rPr>
        <w:t>p</w:t>
      </w:r>
      <w:r w:rsidRPr="00843F53">
        <w:rPr>
          <w:rFonts w:eastAsia="Times New Roman"/>
          <w:szCs w:val="22"/>
          <w:lang w:val="es-ES"/>
        </w:rPr>
        <w:t>r</w:t>
      </w:r>
      <w:r w:rsidR="001902D3">
        <w:rPr>
          <w:rFonts w:eastAsia="Times New Roman"/>
          <w:szCs w:val="22"/>
          <w:lang w:val="es-ES"/>
        </w:rPr>
        <w:t>ep</w:t>
      </w:r>
      <w:r w:rsidRPr="00843F53">
        <w:rPr>
          <w:rFonts w:eastAsia="Times New Roman"/>
          <w:szCs w:val="22"/>
          <w:lang w:val="es-ES"/>
        </w:rPr>
        <w:t>a</w:t>
      </w:r>
      <w:r w:rsidR="001902D3">
        <w:rPr>
          <w:rFonts w:eastAsia="Times New Roman"/>
          <w:szCs w:val="22"/>
          <w:lang w:val="es-ES"/>
        </w:rPr>
        <w:t>ra</w:t>
      </w:r>
      <w:r w:rsidRPr="00843F53">
        <w:rPr>
          <w:rFonts w:eastAsia="Times New Roman"/>
          <w:szCs w:val="22"/>
          <w:lang w:val="es-ES"/>
        </w:rPr>
        <w:t xml:space="preserve">ción del marco estratégico </w:t>
      </w:r>
      <w:r w:rsidR="001902D3">
        <w:rPr>
          <w:rFonts w:eastAsia="Times New Roman"/>
          <w:szCs w:val="22"/>
          <w:lang w:val="es-ES"/>
        </w:rPr>
        <w:t>para la</w:t>
      </w:r>
      <w:r w:rsidRPr="00843F53">
        <w:rPr>
          <w:rFonts w:eastAsia="Times New Roman"/>
          <w:szCs w:val="22"/>
          <w:lang w:val="es-ES"/>
        </w:rPr>
        <w:t xml:space="preserve"> creación de capacidad después d</w:t>
      </w:r>
      <w:r w:rsidRPr="00843F53">
        <w:rPr>
          <w:rFonts w:eastAsia="Times New Roman"/>
          <w:kern w:val="22"/>
          <w:szCs w:val="22"/>
          <w:lang w:val="es-ES"/>
        </w:rPr>
        <w:t>e 2020 se tendrá en cuenta, entre otras cosas, los</w:t>
      </w:r>
      <w:r w:rsidRPr="00843F53">
        <w:rPr>
          <w:rFonts w:eastAsia="Times New Roman"/>
          <w:kern w:val="20"/>
          <w:szCs w:val="22"/>
          <w:lang w:val="es-ES"/>
        </w:rPr>
        <w:t xml:space="preserve"> informes de las evaluaciones de los marcos de creación de capacidad del</w:t>
      </w:r>
      <w:r w:rsidRPr="00843F53">
        <w:rPr>
          <w:rFonts w:eastAsia="Times New Roman"/>
          <w:kern w:val="22"/>
          <w:szCs w:val="22"/>
          <w:lang w:val="es-ES"/>
        </w:rPr>
        <w:t xml:space="preserve"> Protocolo</w:t>
      </w:r>
      <w:r w:rsidRPr="00843F53">
        <w:rPr>
          <w:rFonts w:eastAsia="Times New Roman"/>
          <w:kern w:val="20"/>
          <w:szCs w:val="22"/>
          <w:lang w:val="es-ES"/>
        </w:rPr>
        <w:t xml:space="preserve"> d</w:t>
      </w:r>
      <w:r w:rsidRPr="00843F53">
        <w:rPr>
          <w:rFonts w:eastAsia="Times New Roman"/>
          <w:kern w:val="22"/>
          <w:szCs w:val="22"/>
          <w:lang w:val="es-ES"/>
        </w:rPr>
        <w:t xml:space="preserve">e Nagoya y del Protocolo de Cartagena, la </w:t>
      </w:r>
      <w:r w:rsidRPr="00843F53">
        <w:rPr>
          <w:rFonts w:eastAsia="Times New Roman"/>
          <w:szCs w:val="22"/>
          <w:lang w:val="es-ES"/>
        </w:rPr>
        <w:t xml:space="preserve">evaluación de </w:t>
      </w:r>
      <w:r w:rsidR="00727230" w:rsidRPr="00843F53">
        <w:rPr>
          <w:rFonts w:eastAsia="Times New Roman"/>
          <w:szCs w:val="22"/>
          <w:lang w:val="es-ES"/>
        </w:rPr>
        <w:t>l</w:t>
      </w:r>
      <w:r w:rsidR="00727230">
        <w:rPr>
          <w:rFonts w:eastAsia="Times New Roman"/>
          <w:szCs w:val="22"/>
          <w:lang w:val="es-ES"/>
        </w:rPr>
        <w:t>a</w:t>
      </w:r>
      <w:r w:rsidR="00727230" w:rsidRPr="00843F53">
        <w:rPr>
          <w:rFonts w:eastAsia="Times New Roman"/>
          <w:szCs w:val="22"/>
          <w:lang w:val="es-ES"/>
        </w:rPr>
        <w:t xml:space="preserve">s </w:t>
      </w:r>
      <w:r w:rsidR="00727230">
        <w:rPr>
          <w:rFonts w:eastAsia="Times New Roman"/>
          <w:szCs w:val="22"/>
          <w:lang w:val="es-ES"/>
        </w:rPr>
        <w:t>r</w:t>
      </w:r>
      <w:r w:rsidR="00727230" w:rsidRPr="00843F53">
        <w:rPr>
          <w:rFonts w:eastAsia="Times New Roman"/>
          <w:szCs w:val="22"/>
          <w:lang w:val="es-ES"/>
        </w:rPr>
        <w:t>e</w:t>
      </w:r>
      <w:r w:rsidR="00727230">
        <w:rPr>
          <w:rFonts w:eastAsia="Times New Roman"/>
          <w:szCs w:val="22"/>
          <w:lang w:val="es-ES"/>
        </w:rPr>
        <w:t>per</w:t>
      </w:r>
      <w:r w:rsidR="00727230" w:rsidRPr="00843F53">
        <w:rPr>
          <w:rFonts w:eastAsia="Times New Roman"/>
          <w:szCs w:val="22"/>
          <w:lang w:val="es-ES"/>
        </w:rPr>
        <w:t>c</w:t>
      </w:r>
      <w:r w:rsidR="00727230">
        <w:rPr>
          <w:rFonts w:eastAsia="Times New Roman"/>
          <w:szCs w:val="22"/>
          <w:lang w:val="es-ES"/>
        </w:rPr>
        <w:t>usi</w:t>
      </w:r>
      <w:r w:rsidR="00727230" w:rsidRPr="00843F53">
        <w:rPr>
          <w:rFonts w:eastAsia="Times New Roman"/>
          <w:szCs w:val="22"/>
          <w:lang w:val="es-ES"/>
        </w:rPr>
        <w:t>o</w:t>
      </w:r>
      <w:r w:rsidR="00727230">
        <w:rPr>
          <w:rFonts w:eastAsia="Times New Roman"/>
          <w:szCs w:val="22"/>
          <w:lang w:val="es-ES"/>
        </w:rPr>
        <w:t>ne</w:t>
      </w:r>
      <w:r w:rsidR="00727230" w:rsidRPr="00843F53">
        <w:rPr>
          <w:rFonts w:eastAsia="Times New Roman"/>
          <w:szCs w:val="22"/>
          <w:lang w:val="es-ES"/>
        </w:rPr>
        <w:t>s</w:t>
      </w:r>
      <w:r w:rsidRPr="00843F53">
        <w:rPr>
          <w:rFonts w:eastAsia="Times New Roman"/>
          <w:szCs w:val="22"/>
          <w:lang w:val="es-ES"/>
        </w:rPr>
        <w:t>,</w:t>
      </w:r>
      <w:r w:rsidR="00727230">
        <w:rPr>
          <w:rFonts w:eastAsia="Times New Roman"/>
          <w:szCs w:val="22"/>
          <w:lang w:val="es-ES"/>
        </w:rPr>
        <w:t xml:space="preserve"> los</w:t>
      </w:r>
      <w:r w:rsidRPr="00843F53">
        <w:rPr>
          <w:rFonts w:eastAsia="Times New Roman"/>
          <w:szCs w:val="22"/>
          <w:lang w:val="es-ES"/>
        </w:rPr>
        <w:t xml:space="preserve"> resultados y </w:t>
      </w:r>
      <w:r w:rsidR="00727230">
        <w:rPr>
          <w:rFonts w:eastAsia="Times New Roman"/>
          <w:szCs w:val="22"/>
          <w:lang w:val="es-ES"/>
        </w:rPr>
        <w:t xml:space="preserve">la </w:t>
      </w:r>
      <w:r w:rsidRPr="00843F53">
        <w:rPr>
          <w:rFonts w:eastAsia="Times New Roman"/>
          <w:szCs w:val="22"/>
          <w:lang w:val="es-ES"/>
        </w:rPr>
        <w:t xml:space="preserve">eficacia del plan de acción a corto plazo (2017-2020) para mejorar y apoyar la creación de capacidad y </w:t>
      </w:r>
      <w:r w:rsidRPr="00843F53">
        <w:rPr>
          <w:rFonts w:eastAsia="Times New Roman"/>
          <w:kern w:val="22"/>
          <w:szCs w:val="22"/>
          <w:lang w:val="es-ES"/>
        </w:rPr>
        <w:t xml:space="preserve">experiencias pertinentes comunicadas por las Partes en sus informes nacionales. </w:t>
      </w:r>
      <w:r w:rsidRPr="00843F53">
        <w:rPr>
          <w:rFonts w:eastAsia="Times New Roman"/>
          <w:szCs w:val="22"/>
          <w:lang w:val="es-ES"/>
        </w:rPr>
        <w:t xml:space="preserve">La </w:t>
      </w:r>
      <w:r w:rsidR="001902D3">
        <w:rPr>
          <w:rFonts w:eastAsia="Times New Roman"/>
          <w:szCs w:val="22"/>
          <w:lang w:val="es-ES"/>
        </w:rPr>
        <w:t>p</w:t>
      </w:r>
      <w:r w:rsidRPr="00843F53">
        <w:rPr>
          <w:rFonts w:eastAsia="Times New Roman"/>
          <w:kern w:val="22"/>
          <w:szCs w:val="22"/>
          <w:lang w:val="es-ES"/>
        </w:rPr>
        <w:t>r</w:t>
      </w:r>
      <w:r w:rsidR="001902D3">
        <w:rPr>
          <w:rFonts w:eastAsia="Times New Roman"/>
          <w:kern w:val="22"/>
          <w:szCs w:val="22"/>
          <w:lang w:val="es-ES"/>
        </w:rPr>
        <w:t>epar</w:t>
      </w:r>
      <w:r w:rsidRPr="00843F53">
        <w:rPr>
          <w:rFonts w:eastAsia="Times New Roman"/>
          <w:kern w:val="22"/>
          <w:szCs w:val="22"/>
          <w:lang w:val="es-ES"/>
        </w:rPr>
        <w:t xml:space="preserve">ación de un marco </w:t>
      </w:r>
      <w:r w:rsidRPr="00843F53">
        <w:rPr>
          <w:rFonts w:eastAsia="Times New Roman"/>
          <w:kern w:val="22"/>
          <w:szCs w:val="22"/>
          <w:lang w:val="es-ES"/>
        </w:rPr>
        <w:lastRenderedPageBreak/>
        <w:t xml:space="preserve">estratégico </w:t>
      </w:r>
      <w:r w:rsidR="001902D3">
        <w:rPr>
          <w:rFonts w:eastAsia="Times New Roman"/>
          <w:kern w:val="22"/>
          <w:szCs w:val="22"/>
          <w:lang w:val="es-ES"/>
        </w:rPr>
        <w:t>para la</w:t>
      </w:r>
      <w:r w:rsidRPr="00843F53">
        <w:rPr>
          <w:rFonts w:eastAsia="Times New Roman"/>
          <w:kern w:val="22"/>
          <w:szCs w:val="22"/>
          <w:lang w:val="es-ES"/>
        </w:rPr>
        <w:t xml:space="preserve"> creación de capacidad después de 2020 también se armonizará con el instrumento suce</w:t>
      </w:r>
      <w:r w:rsidR="0036613A">
        <w:rPr>
          <w:rFonts w:eastAsia="Times New Roman"/>
          <w:kern w:val="22"/>
          <w:szCs w:val="22"/>
          <w:lang w:val="es-ES"/>
        </w:rPr>
        <w:t>so</w:t>
      </w:r>
      <w:r w:rsidRPr="00843F53">
        <w:rPr>
          <w:rFonts w:eastAsia="Times New Roman"/>
          <w:kern w:val="22"/>
          <w:szCs w:val="22"/>
          <w:lang w:val="es-ES"/>
        </w:rPr>
        <w:t xml:space="preserve">r </w:t>
      </w:r>
      <w:r w:rsidR="0036613A">
        <w:rPr>
          <w:rFonts w:eastAsia="Times New Roman"/>
          <w:kern w:val="22"/>
          <w:szCs w:val="22"/>
          <w:lang w:val="es-ES"/>
        </w:rPr>
        <w:t>de</w:t>
      </w:r>
      <w:r w:rsidRPr="00843F53">
        <w:rPr>
          <w:rFonts w:eastAsia="Times New Roman"/>
          <w:kern w:val="22"/>
          <w:szCs w:val="22"/>
          <w:lang w:val="es-ES"/>
        </w:rPr>
        <w:t>l Plan Estratégico para la Diversidad Biológica 2011-2020 y la labor de los Protocolos, según proceda.</w:t>
      </w:r>
    </w:p>
    <w:p w:rsidR="007622D9" w:rsidRPr="00843F53" w:rsidRDefault="007622D9" w:rsidP="007622D9">
      <w:pPr>
        <w:pStyle w:val="Para1"/>
        <w:numPr>
          <w:ilvl w:val="0"/>
          <w:numId w:val="14"/>
        </w:numPr>
        <w:suppressLineNumbers/>
        <w:tabs>
          <w:tab w:val="num" w:pos="720"/>
        </w:tabs>
        <w:suppressAutoHyphens/>
        <w:spacing w:before="120"/>
        <w:ind w:left="0" w:firstLine="0"/>
        <w:rPr>
          <w:rFonts w:eastAsia="Times New Roman"/>
          <w:kern w:val="22"/>
          <w:szCs w:val="22"/>
          <w:lang w:val="es-ES"/>
        </w:rPr>
      </w:pPr>
      <w:r w:rsidRPr="00843F53">
        <w:rPr>
          <w:rFonts w:eastAsia="Times New Roman"/>
          <w:szCs w:val="22"/>
          <w:lang w:val="es-ES"/>
        </w:rPr>
        <w:t xml:space="preserve">El proceso de </w:t>
      </w:r>
      <w:r w:rsidR="001902D3">
        <w:rPr>
          <w:rFonts w:eastAsia="Times New Roman"/>
          <w:szCs w:val="22"/>
          <w:lang w:val="es-ES"/>
        </w:rPr>
        <w:t>prepar</w:t>
      </w:r>
      <w:r w:rsidRPr="00843F53">
        <w:rPr>
          <w:rFonts w:eastAsia="Times New Roman"/>
          <w:szCs w:val="22"/>
          <w:lang w:val="es-ES"/>
        </w:rPr>
        <w:t xml:space="preserve">ación del marco estratégico </w:t>
      </w:r>
      <w:r w:rsidR="001902D3">
        <w:rPr>
          <w:rFonts w:eastAsia="Times New Roman"/>
          <w:szCs w:val="22"/>
          <w:lang w:val="es-ES"/>
        </w:rPr>
        <w:t>para</w:t>
      </w:r>
      <w:r w:rsidRPr="00843F53">
        <w:rPr>
          <w:rFonts w:eastAsia="Times New Roman"/>
          <w:szCs w:val="22"/>
          <w:lang w:val="es-ES"/>
        </w:rPr>
        <w:t xml:space="preserve"> </w:t>
      </w:r>
      <w:r w:rsidR="001902D3">
        <w:rPr>
          <w:rFonts w:eastAsia="Times New Roman"/>
          <w:szCs w:val="22"/>
          <w:lang w:val="es-ES"/>
        </w:rPr>
        <w:t xml:space="preserve">la </w:t>
      </w:r>
      <w:r w:rsidRPr="00843F53">
        <w:rPr>
          <w:rFonts w:eastAsia="Times New Roman"/>
          <w:szCs w:val="22"/>
          <w:lang w:val="es-ES"/>
        </w:rPr>
        <w:t xml:space="preserve">creación de capacidad después de </w:t>
      </w:r>
      <w:r w:rsidRPr="00843F53">
        <w:rPr>
          <w:rFonts w:eastAsia="Times New Roman"/>
          <w:kern w:val="22"/>
          <w:szCs w:val="22"/>
          <w:lang w:val="es-ES"/>
        </w:rPr>
        <w:t>2020 podría comprender, entre otras</w:t>
      </w:r>
      <w:r w:rsidR="00B364C5">
        <w:rPr>
          <w:rFonts w:eastAsia="Times New Roman"/>
          <w:kern w:val="22"/>
          <w:szCs w:val="22"/>
          <w:lang w:val="es-ES"/>
        </w:rPr>
        <w:t xml:space="preserve"> cosas</w:t>
      </w:r>
      <w:r w:rsidRPr="00843F53">
        <w:rPr>
          <w:rFonts w:eastAsia="Times New Roman"/>
          <w:kern w:val="22"/>
          <w:szCs w:val="22"/>
          <w:lang w:val="es-ES"/>
        </w:rPr>
        <w:t xml:space="preserve">, la realización de un ejercicio de evaluación del estado de situación para establecer los valores de referencia contra los cuales se medirán los </w:t>
      </w:r>
      <w:r w:rsidR="00590C84">
        <w:rPr>
          <w:rFonts w:eastAsia="Times New Roman"/>
          <w:kern w:val="22"/>
          <w:szCs w:val="22"/>
          <w:lang w:val="es-ES"/>
        </w:rPr>
        <w:t>progresos</w:t>
      </w:r>
      <w:r w:rsidRPr="00843F53">
        <w:rPr>
          <w:rFonts w:eastAsia="Times New Roman"/>
          <w:kern w:val="22"/>
          <w:szCs w:val="22"/>
          <w:lang w:val="es-ES"/>
        </w:rPr>
        <w:t>, así como un examen y análisis de las principales necesidades y carencias de las Partes en materia de creación de capacidad, tomando en cuenta la información de referencia existente y las necesidades ya identificadas, según proceda. Esto podría entrañar determina</w:t>
      </w:r>
      <w:r w:rsidR="0036613A">
        <w:rPr>
          <w:rFonts w:eastAsia="Times New Roman"/>
          <w:kern w:val="22"/>
          <w:szCs w:val="22"/>
          <w:lang w:val="es-ES"/>
        </w:rPr>
        <w:t>r</w:t>
      </w:r>
      <w:r w:rsidRPr="00843F53">
        <w:rPr>
          <w:rFonts w:eastAsia="Times New Roman"/>
          <w:kern w:val="22"/>
          <w:szCs w:val="22"/>
          <w:lang w:val="es-ES"/>
        </w:rPr>
        <w:t xml:space="preserve"> los niveles actuales de capacidad institucional y de recursos humanos,</w:t>
      </w:r>
      <w:r w:rsidR="00590C84">
        <w:rPr>
          <w:rFonts w:eastAsia="Times New Roman"/>
          <w:kern w:val="22"/>
          <w:szCs w:val="22"/>
          <w:lang w:val="es-ES"/>
        </w:rPr>
        <w:t xml:space="preserve"> </w:t>
      </w:r>
      <w:r w:rsidRPr="00843F53">
        <w:rPr>
          <w:rFonts w:eastAsia="Times New Roman"/>
          <w:kern w:val="22"/>
          <w:szCs w:val="22"/>
          <w:lang w:val="es-ES"/>
        </w:rPr>
        <w:t>documenta</w:t>
      </w:r>
      <w:r w:rsidR="0036613A">
        <w:rPr>
          <w:rFonts w:eastAsia="Times New Roman"/>
          <w:kern w:val="22"/>
          <w:szCs w:val="22"/>
          <w:lang w:val="es-ES"/>
        </w:rPr>
        <w:t>r</w:t>
      </w:r>
      <w:r w:rsidRPr="00843F53">
        <w:rPr>
          <w:rFonts w:eastAsia="Times New Roman"/>
          <w:kern w:val="22"/>
          <w:szCs w:val="22"/>
          <w:lang w:val="es-ES"/>
        </w:rPr>
        <w:t xml:space="preserve"> las iniciativas y herramientas de creación de capacidad</w:t>
      </w:r>
      <w:r w:rsidR="00590C84" w:rsidRPr="00590C84">
        <w:rPr>
          <w:rFonts w:eastAsia="Times New Roman"/>
          <w:kern w:val="22"/>
          <w:szCs w:val="22"/>
          <w:lang w:val="es-ES"/>
        </w:rPr>
        <w:t xml:space="preserve"> </w:t>
      </w:r>
      <w:r w:rsidR="00590C84" w:rsidRPr="00843F53">
        <w:rPr>
          <w:rFonts w:eastAsia="Times New Roman"/>
          <w:kern w:val="22"/>
          <w:szCs w:val="22"/>
          <w:lang w:val="es-ES"/>
        </w:rPr>
        <w:t>existentes</w:t>
      </w:r>
      <w:r w:rsidRPr="00843F53">
        <w:rPr>
          <w:rFonts w:eastAsia="Times New Roman"/>
          <w:kern w:val="22"/>
          <w:szCs w:val="22"/>
          <w:lang w:val="es-ES"/>
        </w:rPr>
        <w:t>,</w:t>
      </w:r>
      <w:r w:rsidR="00590C84">
        <w:rPr>
          <w:rFonts w:eastAsia="Times New Roman"/>
          <w:kern w:val="22"/>
          <w:szCs w:val="22"/>
          <w:lang w:val="es-ES"/>
        </w:rPr>
        <w:t xml:space="preserve"> </w:t>
      </w:r>
      <w:r w:rsidRPr="00843F53">
        <w:rPr>
          <w:rFonts w:eastAsia="Times New Roman"/>
          <w:kern w:val="22"/>
          <w:szCs w:val="22"/>
          <w:lang w:val="es-ES"/>
        </w:rPr>
        <w:t>identifica</w:t>
      </w:r>
      <w:r w:rsidR="0036613A">
        <w:rPr>
          <w:rFonts w:eastAsia="Times New Roman"/>
          <w:kern w:val="22"/>
          <w:szCs w:val="22"/>
          <w:lang w:val="es-ES"/>
        </w:rPr>
        <w:t>r</w:t>
      </w:r>
      <w:r w:rsidR="00590C84">
        <w:rPr>
          <w:rFonts w:eastAsia="Times New Roman"/>
          <w:kern w:val="22"/>
          <w:szCs w:val="22"/>
          <w:lang w:val="es-ES"/>
        </w:rPr>
        <w:t xml:space="preserve"> </w:t>
      </w:r>
      <w:r w:rsidRPr="00843F53">
        <w:rPr>
          <w:rFonts w:eastAsia="Times New Roman"/>
          <w:kern w:val="22"/>
          <w:szCs w:val="22"/>
          <w:lang w:val="es-ES"/>
        </w:rPr>
        <w:t xml:space="preserve">los principales proveedores de apoyo para la creación de capacidad relacionada con la diversidad biológica, </w:t>
      </w:r>
      <w:r w:rsidR="0036613A">
        <w:rPr>
          <w:rFonts w:eastAsia="Times New Roman"/>
          <w:kern w:val="22"/>
          <w:szCs w:val="22"/>
          <w:lang w:val="es-ES"/>
        </w:rPr>
        <w:t xml:space="preserve">hacer </w:t>
      </w:r>
      <w:r w:rsidR="00590C84">
        <w:rPr>
          <w:rFonts w:eastAsia="Times New Roman"/>
          <w:kern w:val="22"/>
          <w:szCs w:val="22"/>
          <w:lang w:val="es-ES"/>
        </w:rPr>
        <w:t xml:space="preserve">un relevamiento de las </w:t>
      </w:r>
      <w:r w:rsidRPr="00843F53">
        <w:rPr>
          <w:rFonts w:eastAsia="Times New Roman"/>
          <w:kern w:val="22"/>
          <w:szCs w:val="22"/>
          <w:lang w:val="es-ES"/>
        </w:rPr>
        <w:t>redes y asociaciones existentes,</w:t>
      </w:r>
      <w:r w:rsidR="00590C84">
        <w:rPr>
          <w:rFonts w:eastAsia="Times New Roman"/>
          <w:kern w:val="22"/>
          <w:szCs w:val="22"/>
          <w:lang w:val="es-ES"/>
        </w:rPr>
        <w:t xml:space="preserve"> </w:t>
      </w:r>
      <w:r w:rsidRPr="00843F53">
        <w:rPr>
          <w:rFonts w:eastAsia="Times New Roman"/>
          <w:kern w:val="22"/>
          <w:szCs w:val="22"/>
          <w:lang w:val="es-ES"/>
        </w:rPr>
        <w:t>an</w:t>
      </w:r>
      <w:r w:rsidR="0036613A">
        <w:rPr>
          <w:rFonts w:eastAsia="Times New Roman"/>
          <w:kern w:val="22"/>
          <w:szCs w:val="22"/>
          <w:lang w:val="es-ES"/>
        </w:rPr>
        <w:t>a</w:t>
      </w:r>
      <w:r w:rsidRPr="00843F53">
        <w:rPr>
          <w:rFonts w:eastAsia="Times New Roman"/>
          <w:kern w:val="22"/>
          <w:szCs w:val="22"/>
          <w:lang w:val="es-ES"/>
        </w:rPr>
        <w:t>li</w:t>
      </w:r>
      <w:r w:rsidR="0036613A">
        <w:rPr>
          <w:rFonts w:eastAsia="Times New Roman"/>
          <w:kern w:val="22"/>
          <w:szCs w:val="22"/>
          <w:lang w:val="es-ES"/>
        </w:rPr>
        <w:t>zar</w:t>
      </w:r>
      <w:r w:rsidRPr="00843F53">
        <w:rPr>
          <w:rFonts w:eastAsia="Times New Roman"/>
          <w:kern w:val="22"/>
          <w:szCs w:val="22"/>
          <w:lang w:val="es-ES"/>
        </w:rPr>
        <w:t xml:space="preserve"> las fortalezas y debilidades de las modalidades y enfoques de creación de capacidad utilizados actualmente, an</w:t>
      </w:r>
      <w:r w:rsidR="0036613A">
        <w:rPr>
          <w:rFonts w:eastAsia="Times New Roman"/>
          <w:kern w:val="22"/>
          <w:szCs w:val="22"/>
          <w:lang w:val="es-ES"/>
        </w:rPr>
        <w:t>a</w:t>
      </w:r>
      <w:r w:rsidRPr="00843F53">
        <w:rPr>
          <w:rFonts w:eastAsia="Times New Roman"/>
          <w:kern w:val="22"/>
          <w:szCs w:val="22"/>
          <w:lang w:val="es-ES"/>
        </w:rPr>
        <w:t>li</w:t>
      </w:r>
      <w:r w:rsidR="0036613A">
        <w:rPr>
          <w:rFonts w:eastAsia="Times New Roman"/>
          <w:kern w:val="22"/>
          <w:szCs w:val="22"/>
          <w:lang w:val="es-ES"/>
        </w:rPr>
        <w:t>zar</w:t>
      </w:r>
      <w:r w:rsidR="00590C84">
        <w:rPr>
          <w:rFonts w:eastAsia="Times New Roman"/>
          <w:kern w:val="22"/>
          <w:szCs w:val="22"/>
          <w:lang w:val="es-ES"/>
        </w:rPr>
        <w:t xml:space="preserve"> </w:t>
      </w:r>
      <w:r w:rsidRPr="00843F53">
        <w:rPr>
          <w:rFonts w:eastAsia="Times New Roman"/>
          <w:kern w:val="22"/>
          <w:szCs w:val="22"/>
          <w:lang w:val="es-ES"/>
        </w:rPr>
        <w:t xml:space="preserve">los principales obstáculos y limitaciones </w:t>
      </w:r>
      <w:r w:rsidR="0036613A">
        <w:rPr>
          <w:rFonts w:eastAsia="Times New Roman"/>
          <w:kern w:val="22"/>
          <w:szCs w:val="22"/>
          <w:lang w:val="es-ES"/>
        </w:rPr>
        <w:t>e</w:t>
      </w:r>
      <w:r w:rsidRPr="00843F53">
        <w:rPr>
          <w:rFonts w:eastAsia="Times New Roman"/>
          <w:kern w:val="22"/>
          <w:szCs w:val="22"/>
          <w:lang w:val="es-ES"/>
        </w:rPr>
        <w:t xml:space="preserve"> identific</w:t>
      </w:r>
      <w:r w:rsidR="0036613A">
        <w:rPr>
          <w:rFonts w:eastAsia="Times New Roman"/>
          <w:kern w:val="22"/>
          <w:szCs w:val="22"/>
          <w:lang w:val="es-ES"/>
        </w:rPr>
        <w:t>ar</w:t>
      </w:r>
      <w:r w:rsidRPr="00843F53">
        <w:rPr>
          <w:rFonts w:eastAsia="Times New Roman"/>
          <w:kern w:val="22"/>
          <w:szCs w:val="22"/>
          <w:lang w:val="es-ES"/>
        </w:rPr>
        <w:t xml:space="preserve"> oportunidades y buenas prácticas que puedan aprovecharse. El proceso debería además incluir un examen de oportunidades existentes y una síntesis de experiencias y lecciones aprendidas pertinentes</w:t>
      </w:r>
      <w:r w:rsidRPr="00843F53">
        <w:rPr>
          <w:rFonts w:eastAsia="Times New Roman"/>
          <w:szCs w:val="22"/>
          <w:lang w:val="es-ES"/>
        </w:rPr>
        <w:t>. Asimismo, se deberían determinar mecanismos para mejorar la coordinación, coherencia y colaboración en la pr</w:t>
      </w:r>
      <w:r w:rsidR="00590C84">
        <w:rPr>
          <w:rFonts w:eastAsia="Times New Roman"/>
          <w:szCs w:val="22"/>
          <w:lang w:val="es-ES"/>
        </w:rPr>
        <w:t>e</w:t>
      </w:r>
      <w:r w:rsidRPr="00843F53">
        <w:rPr>
          <w:rFonts w:eastAsia="Times New Roman"/>
          <w:szCs w:val="22"/>
          <w:lang w:val="es-ES"/>
        </w:rPr>
        <w:t>s</w:t>
      </w:r>
      <w:r w:rsidR="00590C84">
        <w:rPr>
          <w:rFonts w:eastAsia="Times New Roman"/>
          <w:szCs w:val="22"/>
          <w:lang w:val="es-ES"/>
        </w:rPr>
        <w:t>tac</w:t>
      </w:r>
      <w:r w:rsidRPr="00843F53">
        <w:rPr>
          <w:rFonts w:eastAsia="Times New Roman"/>
          <w:szCs w:val="22"/>
          <w:lang w:val="es-ES"/>
        </w:rPr>
        <w:t xml:space="preserve">ión de apoyo </w:t>
      </w:r>
      <w:r w:rsidR="00590C84">
        <w:rPr>
          <w:rFonts w:eastAsia="Times New Roman"/>
          <w:szCs w:val="22"/>
          <w:lang w:val="es-ES"/>
        </w:rPr>
        <w:t>para la</w:t>
      </w:r>
      <w:r w:rsidRPr="00843F53">
        <w:rPr>
          <w:rFonts w:eastAsia="Times New Roman"/>
          <w:szCs w:val="22"/>
          <w:lang w:val="es-ES"/>
        </w:rPr>
        <w:t xml:space="preserve"> creación de capacidad y brindar un acceso más amplio al apoyo existente en materia de creación de capacidad</w:t>
      </w:r>
      <w:r w:rsidRPr="00843F53">
        <w:rPr>
          <w:rFonts w:eastAsia="Times New Roman"/>
          <w:kern w:val="22"/>
          <w:szCs w:val="22"/>
          <w:lang w:val="es-ES"/>
        </w:rPr>
        <w:t>.</w:t>
      </w:r>
    </w:p>
    <w:p w:rsidR="00221CB8" w:rsidRPr="00843F53" w:rsidRDefault="00221CB8" w:rsidP="00843F53">
      <w:pPr>
        <w:pStyle w:val="Para1"/>
        <w:numPr>
          <w:ilvl w:val="0"/>
          <w:numId w:val="14"/>
        </w:numPr>
        <w:suppressLineNumbers/>
        <w:tabs>
          <w:tab w:val="num" w:pos="720"/>
        </w:tabs>
        <w:suppressAutoHyphens/>
        <w:spacing w:before="120"/>
        <w:ind w:left="0" w:firstLine="0"/>
        <w:rPr>
          <w:rFonts w:eastAsia="Times New Roman"/>
          <w:szCs w:val="22"/>
          <w:lang w:val="es-ES"/>
        </w:rPr>
      </w:pPr>
      <w:r w:rsidRPr="00843F53">
        <w:rPr>
          <w:rFonts w:eastAsia="Times New Roman"/>
          <w:szCs w:val="22"/>
          <w:lang w:val="es-ES"/>
        </w:rPr>
        <w:t xml:space="preserve">El marco estratégico </w:t>
      </w:r>
      <w:r w:rsidR="001902D3" w:rsidRPr="00843F53">
        <w:rPr>
          <w:rFonts w:eastAsia="Times New Roman"/>
          <w:szCs w:val="22"/>
          <w:lang w:val="es-ES"/>
        </w:rPr>
        <w:t xml:space="preserve">para </w:t>
      </w:r>
      <w:r w:rsidR="001902D3">
        <w:rPr>
          <w:rFonts w:eastAsia="Times New Roman"/>
          <w:szCs w:val="22"/>
          <w:lang w:val="es-ES"/>
        </w:rPr>
        <w:t>la</w:t>
      </w:r>
      <w:r w:rsidRPr="00843F53">
        <w:rPr>
          <w:rFonts w:eastAsia="Times New Roman"/>
          <w:szCs w:val="22"/>
          <w:lang w:val="es-ES"/>
        </w:rPr>
        <w:t xml:space="preserve"> creación de capacidad después de 2020 debería brindar una descripción conceptual clara del papel </w:t>
      </w:r>
      <w:r w:rsidR="00590C84">
        <w:rPr>
          <w:rFonts w:eastAsia="Times New Roman"/>
          <w:szCs w:val="22"/>
          <w:lang w:val="es-ES"/>
        </w:rPr>
        <w:t>qu</w:t>
      </w:r>
      <w:r w:rsidRPr="00843F53">
        <w:rPr>
          <w:rFonts w:eastAsia="Times New Roman"/>
          <w:szCs w:val="22"/>
          <w:lang w:val="es-ES"/>
        </w:rPr>
        <w:t xml:space="preserve">e </w:t>
      </w:r>
      <w:r w:rsidR="00590C84">
        <w:rPr>
          <w:rFonts w:eastAsia="Times New Roman"/>
          <w:szCs w:val="22"/>
          <w:lang w:val="es-ES"/>
        </w:rPr>
        <w:t xml:space="preserve">cumple </w:t>
      </w:r>
      <w:r w:rsidRPr="00843F53">
        <w:rPr>
          <w:rFonts w:eastAsia="Times New Roman"/>
          <w:szCs w:val="22"/>
          <w:lang w:val="es-ES"/>
        </w:rPr>
        <w:t xml:space="preserve">la creación de capacidad en la facilitación de un cambio transformativo que llevaría al logro de la visión 2050 de “vivir en armonía con la naturaleza”. También debería brindar una dirección estratégica visionaria y fijar objetivos de creación de capacidad </w:t>
      </w:r>
      <w:r w:rsidR="00590C84">
        <w:rPr>
          <w:rFonts w:eastAsia="Times New Roman"/>
          <w:szCs w:val="22"/>
          <w:lang w:val="es-ES"/>
        </w:rPr>
        <w:t>a</w:t>
      </w:r>
      <w:r w:rsidRPr="00843F53">
        <w:rPr>
          <w:rFonts w:eastAsia="Times New Roman"/>
          <w:szCs w:val="22"/>
          <w:lang w:val="es-ES"/>
        </w:rPr>
        <w:t xml:space="preserve"> mediano plazo que sean ambiciosos pero realistas. Asimismo, el marco debería dirigir esfuerzos mundiales hacia el desarrollo de capacidades institucionales básicas de los países para las distintas metas o esferas temáticas de diversidad biológica, incluido a través de planes y programas específicos de desarrollo de capacidad diseñados para atender las necesidades y prioridades identificadas de las Partes. El marco debería también incorporar elementos para promover y facilitar la cooperación científica y técnica en consonancia con el artículo 18 y otros artículos conexos del Convenio.</w:t>
      </w:r>
    </w:p>
    <w:p w:rsidR="00562012" w:rsidRPr="00843F53" w:rsidRDefault="00562012" w:rsidP="00843F53">
      <w:pPr>
        <w:pStyle w:val="Para1"/>
        <w:numPr>
          <w:ilvl w:val="0"/>
          <w:numId w:val="14"/>
        </w:numPr>
        <w:suppressLineNumbers/>
        <w:tabs>
          <w:tab w:val="num" w:pos="720"/>
        </w:tabs>
        <w:suppressAutoHyphens/>
        <w:spacing w:before="120"/>
        <w:ind w:left="0" w:firstLine="0"/>
        <w:rPr>
          <w:rFonts w:eastAsia="Times New Roman"/>
          <w:kern w:val="22"/>
          <w:szCs w:val="22"/>
          <w:lang w:val="es-ES"/>
        </w:rPr>
      </w:pPr>
      <w:r w:rsidRPr="00843F53">
        <w:rPr>
          <w:rFonts w:eastAsia="Times New Roman"/>
          <w:szCs w:val="22"/>
          <w:lang w:val="es-ES"/>
        </w:rPr>
        <w:t>También sería prudente inc</w:t>
      </w:r>
      <w:r w:rsidR="001902D3">
        <w:rPr>
          <w:rFonts w:eastAsia="Times New Roman"/>
          <w:szCs w:val="22"/>
          <w:lang w:val="es-ES"/>
        </w:rPr>
        <w:t xml:space="preserve">luir en el marco estratégico </w:t>
      </w:r>
      <w:r w:rsidR="001902D3" w:rsidRPr="00843F53">
        <w:rPr>
          <w:rFonts w:eastAsia="Times New Roman"/>
          <w:szCs w:val="22"/>
          <w:lang w:val="es-ES"/>
        </w:rPr>
        <w:t xml:space="preserve">para </w:t>
      </w:r>
      <w:r w:rsidR="001902D3">
        <w:rPr>
          <w:rFonts w:eastAsia="Times New Roman"/>
          <w:szCs w:val="22"/>
          <w:lang w:val="es-ES"/>
        </w:rPr>
        <w:t xml:space="preserve">la </w:t>
      </w:r>
      <w:r w:rsidRPr="00843F53">
        <w:rPr>
          <w:rFonts w:eastAsia="Times New Roman"/>
          <w:szCs w:val="22"/>
          <w:lang w:val="es-ES"/>
        </w:rPr>
        <w:t>creación de capacidad después de 2020 una teoría del cambio que de</w:t>
      </w:r>
      <w:r w:rsidR="001855B3">
        <w:rPr>
          <w:rFonts w:eastAsia="Times New Roman"/>
          <w:szCs w:val="22"/>
          <w:lang w:val="es-ES"/>
        </w:rPr>
        <w:t>fini</w:t>
      </w:r>
      <w:r w:rsidRPr="00843F53">
        <w:rPr>
          <w:rFonts w:eastAsia="Times New Roman"/>
          <w:szCs w:val="22"/>
          <w:lang w:val="es-ES"/>
        </w:rPr>
        <w:t xml:space="preserve">era resultados, </w:t>
      </w:r>
      <w:r w:rsidR="001855B3">
        <w:rPr>
          <w:rFonts w:eastAsia="Times New Roman"/>
          <w:szCs w:val="22"/>
          <w:lang w:val="es-ES"/>
        </w:rPr>
        <w:t>valores</w:t>
      </w:r>
      <w:r w:rsidRPr="00843F53">
        <w:rPr>
          <w:rFonts w:eastAsia="Times New Roman"/>
          <w:szCs w:val="22"/>
          <w:lang w:val="es-ES"/>
        </w:rPr>
        <w:t xml:space="preserve"> de referencia e indicadores ambiciosos de </w:t>
      </w:r>
      <w:r w:rsidR="001855B3">
        <w:rPr>
          <w:rFonts w:eastAsia="Times New Roman"/>
          <w:szCs w:val="22"/>
          <w:lang w:val="es-ES"/>
        </w:rPr>
        <w:t>desarrollo</w:t>
      </w:r>
      <w:r w:rsidRPr="00843F53">
        <w:rPr>
          <w:rFonts w:eastAsia="Times New Roman"/>
          <w:szCs w:val="22"/>
          <w:lang w:val="es-ES"/>
        </w:rPr>
        <w:t xml:space="preserve"> de capacidad a largo plazo para apoyar el cambio transformativo que se requiere para logr</w:t>
      </w:r>
      <w:r w:rsidR="008D40C0" w:rsidRPr="00843F53">
        <w:rPr>
          <w:rFonts w:eastAsia="Times New Roman"/>
          <w:szCs w:val="22"/>
          <w:lang w:val="es-ES"/>
        </w:rPr>
        <w:t>ar</w:t>
      </w:r>
      <w:r w:rsidRPr="00843F53">
        <w:rPr>
          <w:rFonts w:eastAsia="Times New Roman"/>
          <w:szCs w:val="22"/>
          <w:lang w:val="es-ES"/>
        </w:rPr>
        <w:t xml:space="preserve"> la visión 2050 de “vivir en armonía con la naturaleza”.</w:t>
      </w:r>
      <w:r w:rsidRPr="00843F53">
        <w:rPr>
          <w:rFonts w:eastAsia="Times New Roman"/>
          <w:kern w:val="22"/>
          <w:szCs w:val="22"/>
          <w:lang w:val="es-ES"/>
        </w:rPr>
        <w:t xml:space="preserve"> Esta teoría del cambio debería entrañar un </w:t>
      </w:r>
      <w:r w:rsidR="001855B3">
        <w:rPr>
          <w:rFonts w:eastAsia="Times New Roman"/>
          <w:kern w:val="22"/>
          <w:szCs w:val="22"/>
          <w:lang w:val="es-ES"/>
        </w:rPr>
        <w:t xml:space="preserve">desplazamiento </w:t>
      </w:r>
      <w:r w:rsidRPr="00843F53">
        <w:rPr>
          <w:rFonts w:eastAsia="Times New Roman"/>
          <w:kern w:val="22"/>
          <w:szCs w:val="22"/>
          <w:lang w:val="es-ES"/>
        </w:rPr>
        <w:t xml:space="preserve">hacia programas </w:t>
      </w:r>
      <w:r w:rsidR="001855B3" w:rsidRPr="00843F53">
        <w:rPr>
          <w:rFonts w:eastAsia="Times New Roman"/>
          <w:kern w:val="22"/>
          <w:szCs w:val="22"/>
          <w:lang w:val="es-ES"/>
        </w:rPr>
        <w:t xml:space="preserve">más ambiciosos </w:t>
      </w:r>
      <w:r w:rsidR="001855B3">
        <w:rPr>
          <w:rFonts w:eastAsia="Times New Roman"/>
          <w:kern w:val="22"/>
          <w:szCs w:val="22"/>
          <w:lang w:val="es-ES"/>
        </w:rPr>
        <w:t xml:space="preserve">e </w:t>
      </w:r>
      <w:r w:rsidR="001855B3" w:rsidRPr="00843F53">
        <w:rPr>
          <w:rFonts w:eastAsia="Times New Roman"/>
          <w:kern w:val="22"/>
          <w:szCs w:val="22"/>
          <w:lang w:val="es-ES"/>
        </w:rPr>
        <w:t xml:space="preserve">integrados </w:t>
      </w:r>
      <w:r w:rsidRPr="00843F53">
        <w:rPr>
          <w:rFonts w:eastAsia="Times New Roman"/>
          <w:kern w:val="22"/>
          <w:szCs w:val="22"/>
          <w:lang w:val="es-ES"/>
        </w:rPr>
        <w:t xml:space="preserve">de creación de capacidad </w:t>
      </w:r>
      <w:r w:rsidR="001855B3" w:rsidRPr="00843F53">
        <w:rPr>
          <w:rFonts w:eastAsia="Times New Roman"/>
          <w:kern w:val="22"/>
          <w:szCs w:val="22"/>
          <w:lang w:val="es-ES"/>
        </w:rPr>
        <w:t xml:space="preserve">a largo plazo </w:t>
      </w:r>
      <w:r w:rsidRPr="00843F53">
        <w:rPr>
          <w:rFonts w:eastAsia="Times New Roman"/>
          <w:kern w:val="22"/>
          <w:szCs w:val="22"/>
          <w:lang w:val="es-ES"/>
        </w:rPr>
        <w:t>que vayan más allá del enfoque tradicional en los recursos humanos y el desarrollo institucional e incluya</w:t>
      </w:r>
      <w:r w:rsidR="001855B3">
        <w:rPr>
          <w:rFonts w:eastAsia="Times New Roman"/>
          <w:kern w:val="22"/>
          <w:szCs w:val="22"/>
          <w:lang w:val="es-ES"/>
        </w:rPr>
        <w:t>n</w:t>
      </w:r>
      <w:r w:rsidRPr="00843F53">
        <w:rPr>
          <w:rFonts w:eastAsia="Times New Roman"/>
          <w:kern w:val="22"/>
          <w:szCs w:val="22"/>
          <w:lang w:val="es-ES"/>
        </w:rPr>
        <w:t xml:space="preserve"> </w:t>
      </w:r>
      <w:r w:rsidR="005455CE">
        <w:rPr>
          <w:rFonts w:eastAsia="Times New Roman"/>
          <w:kern w:val="22"/>
          <w:szCs w:val="22"/>
          <w:lang w:val="es-ES"/>
        </w:rPr>
        <w:t>e</w:t>
      </w:r>
      <w:r w:rsidRPr="00843F53">
        <w:rPr>
          <w:rFonts w:eastAsia="Times New Roman"/>
          <w:kern w:val="22"/>
          <w:szCs w:val="22"/>
          <w:lang w:val="es-ES"/>
        </w:rPr>
        <w:t>l</w:t>
      </w:r>
      <w:r w:rsidR="005455CE">
        <w:rPr>
          <w:rFonts w:eastAsia="Times New Roman"/>
          <w:kern w:val="22"/>
          <w:szCs w:val="22"/>
          <w:lang w:val="es-ES"/>
        </w:rPr>
        <w:t xml:space="preserve"> desarrollo</w:t>
      </w:r>
      <w:r w:rsidRPr="00843F53">
        <w:rPr>
          <w:rFonts w:eastAsia="Times New Roman"/>
          <w:kern w:val="22"/>
          <w:szCs w:val="22"/>
          <w:lang w:val="es-ES"/>
        </w:rPr>
        <w:t xml:space="preserve"> de capacidades a nivel sistémico. </w:t>
      </w:r>
      <w:r w:rsidRPr="00843F53">
        <w:rPr>
          <w:rFonts w:eastAsia="Times New Roman"/>
          <w:szCs w:val="22"/>
          <w:lang w:val="es-ES"/>
        </w:rPr>
        <w:t xml:space="preserve">El marco debería además incluir mecanismos para </w:t>
      </w:r>
      <w:r w:rsidRPr="00843F53">
        <w:rPr>
          <w:rFonts w:eastAsia="Times New Roman"/>
          <w:kern w:val="22"/>
          <w:szCs w:val="22"/>
          <w:lang w:val="es-ES"/>
        </w:rPr>
        <w:t xml:space="preserve">acelerar </w:t>
      </w:r>
      <w:r w:rsidR="005455CE">
        <w:rPr>
          <w:rFonts w:eastAsia="Times New Roman"/>
          <w:kern w:val="22"/>
          <w:szCs w:val="22"/>
          <w:lang w:val="es-ES"/>
        </w:rPr>
        <w:t xml:space="preserve">las </w:t>
      </w:r>
      <w:r w:rsidR="005455CE" w:rsidRPr="00843F53">
        <w:rPr>
          <w:rFonts w:eastAsia="Times New Roman"/>
          <w:kern w:val="22"/>
          <w:szCs w:val="22"/>
          <w:lang w:val="es-ES"/>
        </w:rPr>
        <w:t xml:space="preserve">innovaciones </w:t>
      </w:r>
      <w:r w:rsidR="005455CE">
        <w:rPr>
          <w:rFonts w:eastAsia="Times New Roman"/>
          <w:kern w:val="22"/>
          <w:szCs w:val="22"/>
          <w:lang w:val="es-ES"/>
        </w:rPr>
        <w:t xml:space="preserve">y </w:t>
      </w:r>
      <w:r w:rsidRPr="00843F53">
        <w:rPr>
          <w:rFonts w:eastAsia="Times New Roman"/>
          <w:kern w:val="22"/>
          <w:szCs w:val="22"/>
          <w:lang w:val="es-ES"/>
        </w:rPr>
        <w:t>l</w:t>
      </w:r>
      <w:r w:rsidR="005455CE">
        <w:rPr>
          <w:rFonts w:eastAsia="Times New Roman"/>
          <w:kern w:val="22"/>
          <w:szCs w:val="22"/>
          <w:lang w:val="es-ES"/>
        </w:rPr>
        <w:t>o</w:t>
      </w:r>
      <w:r w:rsidRPr="00843F53">
        <w:rPr>
          <w:rFonts w:eastAsia="Times New Roman"/>
          <w:kern w:val="22"/>
          <w:szCs w:val="22"/>
          <w:lang w:val="es-ES"/>
        </w:rPr>
        <w:t xml:space="preserve">s </w:t>
      </w:r>
      <w:r w:rsidR="005455CE">
        <w:rPr>
          <w:rFonts w:eastAsia="Times New Roman"/>
          <w:kern w:val="22"/>
          <w:szCs w:val="22"/>
          <w:lang w:val="es-ES"/>
        </w:rPr>
        <w:t xml:space="preserve">adelantos </w:t>
      </w:r>
      <w:r w:rsidRPr="00843F53">
        <w:rPr>
          <w:rFonts w:eastAsia="Times New Roman"/>
          <w:kern w:val="22"/>
          <w:szCs w:val="22"/>
          <w:lang w:val="es-ES"/>
        </w:rPr>
        <w:t>tecnológic</w:t>
      </w:r>
      <w:r w:rsidR="005455CE">
        <w:rPr>
          <w:rFonts w:eastAsia="Times New Roman"/>
          <w:kern w:val="22"/>
          <w:szCs w:val="22"/>
          <w:lang w:val="es-ES"/>
        </w:rPr>
        <w:t>o</w:t>
      </w:r>
      <w:r w:rsidRPr="00843F53">
        <w:rPr>
          <w:rFonts w:eastAsia="Times New Roman"/>
          <w:kern w:val="22"/>
          <w:szCs w:val="22"/>
          <w:lang w:val="es-ES"/>
        </w:rPr>
        <w:t xml:space="preserve">s, </w:t>
      </w:r>
      <w:r w:rsidRPr="00843F53">
        <w:rPr>
          <w:rFonts w:eastAsia="Times New Roman"/>
          <w:szCs w:val="22"/>
          <w:lang w:val="es-ES"/>
        </w:rPr>
        <w:t xml:space="preserve">promover sinergias entre diversas iniciativas de </w:t>
      </w:r>
      <w:r w:rsidR="005455CE">
        <w:rPr>
          <w:rFonts w:eastAsia="Times New Roman"/>
          <w:szCs w:val="22"/>
          <w:lang w:val="es-ES"/>
        </w:rPr>
        <w:t>desarrollo</w:t>
      </w:r>
      <w:r w:rsidRPr="00843F53">
        <w:rPr>
          <w:rFonts w:eastAsia="Times New Roman"/>
          <w:szCs w:val="22"/>
          <w:lang w:val="es-ES"/>
        </w:rPr>
        <w:t xml:space="preserve"> de capacidad y fomentar asociaciones de colaboración más fuertes en las que participen organismos gubernamentales, entidades no gubernamentales e innovadores empresariales y sociales que actúen como impulsores del cambio.</w:t>
      </w:r>
    </w:p>
    <w:p w:rsidR="00200233" w:rsidRPr="00843F53" w:rsidRDefault="00200233" w:rsidP="00200233">
      <w:pPr>
        <w:pStyle w:val="Para1"/>
        <w:numPr>
          <w:ilvl w:val="0"/>
          <w:numId w:val="14"/>
        </w:numPr>
        <w:suppressLineNumbers/>
        <w:tabs>
          <w:tab w:val="num" w:pos="720"/>
        </w:tabs>
        <w:suppressAutoHyphens/>
        <w:spacing w:before="120"/>
        <w:ind w:left="0" w:firstLine="0"/>
        <w:rPr>
          <w:rFonts w:eastAsia="Times New Roman"/>
          <w:szCs w:val="22"/>
          <w:lang w:val="es-ES"/>
        </w:rPr>
      </w:pPr>
      <w:r w:rsidRPr="00843F53">
        <w:rPr>
          <w:rFonts w:eastAsia="Times New Roman"/>
          <w:kern w:val="22"/>
          <w:szCs w:val="22"/>
          <w:lang w:val="es-ES"/>
        </w:rPr>
        <w:t xml:space="preserve">Como señaló el Órgano Subsidiario de Asesoramiento Científico, Técnico y Tecnológico (OSACTT) en su 21ª reunión, los caminos hacia un futuro sostenible requerirán cambios transformativos a diversos niveles, incluido a través del establecimiento de políticas para fomentar innovaciones y cambios positivos. Este cambio requerirá </w:t>
      </w:r>
      <w:r w:rsidR="0036613A">
        <w:rPr>
          <w:rFonts w:eastAsia="Times New Roman"/>
          <w:kern w:val="22"/>
          <w:szCs w:val="22"/>
          <w:lang w:val="es-ES"/>
        </w:rPr>
        <w:t>crear</w:t>
      </w:r>
      <w:r w:rsidRPr="00843F53">
        <w:rPr>
          <w:rFonts w:eastAsia="Times New Roman"/>
          <w:kern w:val="22"/>
          <w:szCs w:val="22"/>
          <w:lang w:val="es-ES"/>
        </w:rPr>
        <w:t xml:space="preserve"> capacidad para la adopción de decisiones con base empírica y </w:t>
      </w:r>
      <w:r w:rsidR="005455CE">
        <w:rPr>
          <w:rFonts w:eastAsia="Times New Roman"/>
          <w:kern w:val="22"/>
          <w:szCs w:val="22"/>
          <w:lang w:val="es-ES"/>
        </w:rPr>
        <w:t>un mayor</w:t>
      </w:r>
      <w:r w:rsidRPr="00843F53">
        <w:rPr>
          <w:rFonts w:eastAsia="Times New Roman"/>
          <w:kern w:val="22"/>
          <w:szCs w:val="22"/>
          <w:lang w:val="es-ES"/>
        </w:rPr>
        <w:t xml:space="preserve"> desarroll</w:t>
      </w:r>
      <w:r w:rsidR="005455CE">
        <w:rPr>
          <w:rFonts w:eastAsia="Times New Roman"/>
          <w:kern w:val="22"/>
          <w:szCs w:val="22"/>
          <w:lang w:val="es-ES"/>
        </w:rPr>
        <w:t xml:space="preserve">o </w:t>
      </w:r>
      <w:r w:rsidRPr="00843F53">
        <w:rPr>
          <w:rFonts w:eastAsia="Times New Roman"/>
          <w:kern w:val="22"/>
          <w:szCs w:val="22"/>
          <w:lang w:val="es-ES"/>
        </w:rPr>
        <w:t>d</w:t>
      </w:r>
      <w:r w:rsidR="005455CE">
        <w:rPr>
          <w:rFonts w:eastAsia="Times New Roman"/>
          <w:kern w:val="22"/>
          <w:szCs w:val="22"/>
          <w:lang w:val="es-ES"/>
        </w:rPr>
        <w:t>e</w:t>
      </w:r>
      <w:r w:rsidRPr="00843F53">
        <w:rPr>
          <w:rFonts w:eastAsia="Times New Roman"/>
          <w:kern w:val="22"/>
          <w:szCs w:val="22"/>
          <w:lang w:val="es-ES"/>
        </w:rPr>
        <w:t xml:space="preserve"> escenarios y modelos para alimentar los procesos de formulación de políticas, planificación y ejecución dirigidos a lograr los Objetivos de Desarrollo Sostenible. </w:t>
      </w:r>
      <w:r w:rsidRPr="00843F53">
        <w:rPr>
          <w:kern w:val="22"/>
          <w:szCs w:val="22"/>
          <w:lang w:val="es-ES"/>
        </w:rPr>
        <w:t xml:space="preserve">En este sentido, el OSACTT hizo hincapié en la necesidad de crear capacidad para que los países puedan participar en </w:t>
      </w:r>
      <w:r w:rsidR="006A0551">
        <w:rPr>
          <w:kern w:val="22"/>
          <w:szCs w:val="22"/>
          <w:lang w:val="es-ES"/>
        </w:rPr>
        <w:t>la elaboración</w:t>
      </w:r>
      <w:r w:rsidRPr="00843F53">
        <w:rPr>
          <w:kern w:val="22"/>
          <w:szCs w:val="22"/>
          <w:lang w:val="es-ES"/>
        </w:rPr>
        <w:t xml:space="preserve"> y aplicación de escenarios y pidió al Secretario Ejecutivo que, cuando preparara propuestas para el proceso de </w:t>
      </w:r>
      <w:r w:rsidR="001902D3">
        <w:rPr>
          <w:kern w:val="22"/>
          <w:szCs w:val="22"/>
          <w:lang w:val="es-ES"/>
        </w:rPr>
        <w:t>desarrollo</w:t>
      </w:r>
      <w:r w:rsidRPr="00843F53">
        <w:rPr>
          <w:kern w:val="22"/>
          <w:szCs w:val="22"/>
          <w:lang w:val="es-ES"/>
        </w:rPr>
        <w:t xml:space="preserve"> de un marco mundial de la diversidad biológica posterior a 2020 se asegurara de que el marco, entre otras cosas, tuviera en cuenta las lecciones aprendidas en la aplicación del Convenio, sus Protocolos y el Plan Estratégico para la Diversidad </w:t>
      </w:r>
      <w:r w:rsidRPr="00843F53">
        <w:rPr>
          <w:kern w:val="22"/>
          <w:szCs w:val="22"/>
          <w:lang w:val="es-ES"/>
        </w:rPr>
        <w:lastRenderedPageBreak/>
        <w:t>Biológica 2011-2020</w:t>
      </w:r>
      <w:r w:rsidRPr="00843F53">
        <w:rPr>
          <w:rFonts w:eastAsia="Malgun Gothic"/>
          <w:kern w:val="22"/>
          <w:szCs w:val="22"/>
          <w:vertAlign w:val="superscript"/>
          <w:lang w:val="es-ES"/>
        </w:rPr>
        <w:footnoteReference w:id="17"/>
      </w:r>
      <w:r w:rsidRPr="00843F53">
        <w:rPr>
          <w:kern w:val="22"/>
          <w:szCs w:val="22"/>
          <w:lang w:val="es-ES"/>
        </w:rPr>
        <w:t>, incluidos los logros, problemas, oportunidades y necesidades de creación de capacidad.</w:t>
      </w:r>
    </w:p>
    <w:p w:rsidR="001D7024" w:rsidRPr="00843F53" w:rsidRDefault="001D7024" w:rsidP="001D7024">
      <w:pPr>
        <w:pStyle w:val="Para1"/>
        <w:numPr>
          <w:ilvl w:val="0"/>
          <w:numId w:val="14"/>
        </w:numPr>
        <w:suppressLineNumbers/>
        <w:tabs>
          <w:tab w:val="num" w:pos="720"/>
        </w:tabs>
        <w:suppressAutoHyphens/>
        <w:spacing w:before="120"/>
        <w:ind w:left="0" w:firstLine="0"/>
        <w:rPr>
          <w:rFonts w:eastAsia="Times New Roman"/>
          <w:szCs w:val="22"/>
          <w:lang w:val="es-ES"/>
        </w:rPr>
      </w:pPr>
      <w:r w:rsidRPr="00843F53">
        <w:rPr>
          <w:rFonts w:eastAsia="Times New Roman"/>
          <w:kern w:val="22"/>
          <w:szCs w:val="22"/>
          <w:lang w:val="es-ES"/>
        </w:rPr>
        <w:t xml:space="preserve">Se espera que esta información </w:t>
      </w:r>
      <w:r w:rsidR="006A0551">
        <w:rPr>
          <w:rFonts w:eastAsia="Times New Roman"/>
          <w:kern w:val="22"/>
          <w:szCs w:val="22"/>
          <w:lang w:val="es-ES"/>
        </w:rPr>
        <w:t>sirva</w:t>
      </w:r>
      <w:r w:rsidRPr="00843F53">
        <w:rPr>
          <w:rFonts w:eastAsia="Times New Roman"/>
          <w:kern w:val="22"/>
          <w:szCs w:val="22"/>
          <w:lang w:val="es-ES"/>
        </w:rPr>
        <w:t xml:space="preserve"> para identificar áreas que requieran una intervención específica y áreas que deban priorizarse, determinar las estrategias de aplicación y los enfoques de ejecución que podrían ser </w:t>
      </w:r>
      <w:r w:rsidR="00EB7AA5">
        <w:rPr>
          <w:rFonts w:eastAsia="Times New Roman"/>
          <w:kern w:val="22"/>
          <w:szCs w:val="22"/>
          <w:lang w:val="es-ES"/>
        </w:rPr>
        <w:t xml:space="preserve">los </w:t>
      </w:r>
      <w:r w:rsidRPr="00843F53">
        <w:rPr>
          <w:rFonts w:eastAsia="Times New Roman"/>
          <w:kern w:val="22"/>
          <w:szCs w:val="22"/>
          <w:lang w:val="es-ES"/>
        </w:rPr>
        <w:t xml:space="preserve">más eficaces e identificar interesados directos clave y asociados estratégicos que podrían apoyar y contribuir significativamente a la aplicación del marco. La información también podría usarse para desarrollar formatos comunes de evaluación y presentación de informes y sistemas de medición apropiados que serían usados por las Partes y organizaciones pertinentes para medir los efectos de las actividades de </w:t>
      </w:r>
      <w:r w:rsidR="00EB7AA5">
        <w:rPr>
          <w:rFonts w:eastAsia="Times New Roman"/>
          <w:kern w:val="22"/>
          <w:szCs w:val="22"/>
          <w:lang w:val="es-ES"/>
        </w:rPr>
        <w:t>desarrollo</w:t>
      </w:r>
      <w:r w:rsidRPr="00843F53">
        <w:rPr>
          <w:rFonts w:eastAsia="Times New Roman"/>
          <w:kern w:val="22"/>
          <w:szCs w:val="22"/>
          <w:lang w:val="es-ES"/>
        </w:rPr>
        <w:t xml:space="preserve"> de capacidad en diversas esferas temáticas.</w:t>
      </w:r>
    </w:p>
    <w:p w:rsidR="00410B3C" w:rsidRPr="00843F53" w:rsidRDefault="00410B3C" w:rsidP="00410B3C">
      <w:pPr>
        <w:pStyle w:val="Para1"/>
        <w:numPr>
          <w:ilvl w:val="0"/>
          <w:numId w:val="14"/>
        </w:numPr>
        <w:suppressLineNumbers/>
        <w:tabs>
          <w:tab w:val="num" w:pos="720"/>
        </w:tabs>
        <w:suppressAutoHyphens/>
        <w:spacing w:after="0"/>
        <w:ind w:left="0" w:firstLine="0"/>
        <w:rPr>
          <w:rFonts w:eastAsia="Times New Roman"/>
          <w:szCs w:val="22"/>
          <w:lang w:val="es-ES"/>
        </w:rPr>
      </w:pPr>
      <w:r w:rsidRPr="00843F53">
        <w:rPr>
          <w:rFonts w:eastAsia="Times New Roman"/>
          <w:kern w:val="22"/>
          <w:szCs w:val="22"/>
          <w:lang w:val="es-ES"/>
        </w:rPr>
        <w:t xml:space="preserve">En la </w:t>
      </w:r>
      <w:r w:rsidR="001902D3">
        <w:rPr>
          <w:rFonts w:eastAsia="Times New Roman"/>
          <w:kern w:val="22"/>
          <w:szCs w:val="22"/>
          <w:lang w:val="es-ES"/>
        </w:rPr>
        <w:t>preparación</w:t>
      </w:r>
      <w:r w:rsidRPr="00843F53">
        <w:rPr>
          <w:rFonts w:eastAsia="Times New Roman"/>
          <w:kern w:val="22"/>
          <w:szCs w:val="22"/>
          <w:lang w:val="es-ES"/>
        </w:rPr>
        <w:t xml:space="preserve"> del marco estratégico </w:t>
      </w:r>
      <w:r w:rsidR="001902D3">
        <w:rPr>
          <w:rFonts w:eastAsia="Times New Roman"/>
          <w:kern w:val="22"/>
          <w:szCs w:val="22"/>
          <w:lang w:val="es-ES"/>
        </w:rPr>
        <w:t>para la</w:t>
      </w:r>
      <w:r w:rsidRPr="00843F53">
        <w:rPr>
          <w:rFonts w:eastAsia="Times New Roman"/>
          <w:kern w:val="22"/>
          <w:szCs w:val="22"/>
          <w:lang w:val="es-ES"/>
        </w:rPr>
        <w:t xml:space="preserve"> creación de capacidad después de 2020 podría también tenerse en cuenta, según proceda, los informes de otros estudios y procesos pertinentes, entre ellos la evaluación independiente del Fondo Japonés para la Diversidad Biológica, la encuesta sobre desarrollo de capacidad</w:t>
      </w:r>
      <w:r w:rsidR="00EB7AA5">
        <w:rPr>
          <w:rFonts w:eastAsia="Times New Roman"/>
          <w:kern w:val="22"/>
          <w:szCs w:val="22"/>
          <w:lang w:val="es-ES"/>
        </w:rPr>
        <w:t>es</w:t>
      </w:r>
      <w:r w:rsidRPr="00843F53">
        <w:rPr>
          <w:rFonts w:eastAsia="Times New Roman"/>
          <w:kern w:val="22"/>
          <w:szCs w:val="22"/>
          <w:lang w:val="es-ES"/>
        </w:rPr>
        <w:t xml:space="preserve"> nacional</w:t>
      </w:r>
      <w:r w:rsidR="00EB7AA5">
        <w:rPr>
          <w:rFonts w:eastAsia="Times New Roman"/>
          <w:kern w:val="22"/>
          <w:szCs w:val="22"/>
          <w:lang w:val="es-ES"/>
        </w:rPr>
        <w:t>es</w:t>
      </w:r>
      <w:r w:rsidRPr="00843F53">
        <w:rPr>
          <w:rFonts w:eastAsia="Times New Roman"/>
          <w:kern w:val="22"/>
          <w:szCs w:val="22"/>
          <w:lang w:val="es-ES"/>
        </w:rPr>
        <w:t xml:space="preserve"> en relación con la aplicación de las convenciones relacionadas con la diversidad biológica realizada por ONU-Medio Ambiente (PNUMA) en colaboración con la Unión Internacional para la Conservación de la Naturaleza (UICN) y el Centro Mundial de Vigilancia de la Conservación de ONU-Medio Ambiente (CMVC-PNUMA), </w:t>
      </w:r>
      <w:r w:rsidRPr="00843F53">
        <w:rPr>
          <w:rFonts w:eastAsia="Times New Roman"/>
          <w:szCs w:val="22"/>
          <w:lang w:val="es-ES"/>
        </w:rPr>
        <w:t>el informe del</w:t>
      </w:r>
      <w:r w:rsidR="00EB7AA5">
        <w:rPr>
          <w:rFonts w:eastAsia="Times New Roman"/>
          <w:szCs w:val="22"/>
          <w:lang w:val="es-ES"/>
        </w:rPr>
        <w:t xml:space="preserve"> Programa de las Naciones Unidas para el Desarrollo</w:t>
      </w:r>
      <w:r w:rsidRPr="00843F53">
        <w:rPr>
          <w:rFonts w:eastAsia="Times New Roman"/>
          <w:szCs w:val="22"/>
          <w:lang w:val="es-ES"/>
        </w:rPr>
        <w:t xml:space="preserve"> </w:t>
      </w:r>
      <w:r w:rsidR="00EB7AA5">
        <w:rPr>
          <w:rFonts w:eastAsia="Times New Roman"/>
          <w:szCs w:val="22"/>
          <w:lang w:val="es-ES"/>
        </w:rPr>
        <w:t>(</w:t>
      </w:r>
      <w:r w:rsidRPr="00843F53">
        <w:rPr>
          <w:rFonts w:eastAsia="Times New Roman"/>
          <w:szCs w:val="22"/>
          <w:lang w:val="es-ES"/>
        </w:rPr>
        <w:t>PNUD</w:t>
      </w:r>
      <w:r w:rsidR="00EB7AA5">
        <w:rPr>
          <w:rFonts w:eastAsia="Times New Roman"/>
          <w:szCs w:val="22"/>
          <w:lang w:val="es-ES"/>
        </w:rPr>
        <w:t>)</w:t>
      </w:r>
      <w:r w:rsidRPr="00843F53">
        <w:rPr>
          <w:rFonts w:eastAsia="Times New Roman"/>
          <w:szCs w:val="22"/>
          <w:lang w:val="es-ES"/>
        </w:rPr>
        <w:t xml:space="preserve"> basado en el análisis de más de 140 estrategias y planes de acción nacionales en materia de biodiversidad y los informes de evaluación de proyectos relacionados con la diversidad biológica realizados por la Oficina de Evaluación del </w:t>
      </w:r>
      <w:r w:rsidR="00EB7AA5">
        <w:rPr>
          <w:rFonts w:eastAsia="Times New Roman"/>
          <w:szCs w:val="22"/>
          <w:lang w:val="es-ES"/>
        </w:rPr>
        <w:t>Fondo para el Medio Ambiente Mundial (</w:t>
      </w:r>
      <w:r w:rsidRPr="00843F53">
        <w:rPr>
          <w:rFonts w:eastAsia="Times New Roman"/>
          <w:szCs w:val="22"/>
          <w:lang w:val="es-ES"/>
        </w:rPr>
        <w:t>FMAM</w:t>
      </w:r>
      <w:r w:rsidR="00EB7AA5">
        <w:rPr>
          <w:rFonts w:eastAsia="Times New Roman"/>
          <w:szCs w:val="22"/>
          <w:lang w:val="es-ES"/>
        </w:rPr>
        <w:t>)</w:t>
      </w:r>
      <w:r w:rsidRPr="00843F53">
        <w:rPr>
          <w:rFonts w:eastAsia="Times New Roman"/>
          <w:szCs w:val="22"/>
          <w:lang w:val="es-ES"/>
        </w:rPr>
        <w:t xml:space="preserve"> y otras organizaciones.</w:t>
      </w:r>
      <w:r w:rsidRPr="00843F53">
        <w:rPr>
          <w:rFonts w:eastAsia="Times New Roman"/>
          <w:kern w:val="22"/>
          <w:szCs w:val="22"/>
          <w:lang w:val="es-ES"/>
        </w:rPr>
        <w:t xml:space="preserve"> </w:t>
      </w:r>
    </w:p>
    <w:p w:rsidR="00795E39" w:rsidRPr="00843F53" w:rsidRDefault="00EB7AA5" w:rsidP="00795E39">
      <w:pPr>
        <w:pStyle w:val="Para1"/>
        <w:numPr>
          <w:ilvl w:val="0"/>
          <w:numId w:val="14"/>
        </w:numPr>
        <w:suppressLineNumbers/>
        <w:tabs>
          <w:tab w:val="num" w:pos="720"/>
        </w:tabs>
        <w:suppressAutoHyphens/>
        <w:spacing w:before="120"/>
        <w:ind w:left="0" w:firstLine="0"/>
        <w:rPr>
          <w:rFonts w:eastAsia="Times New Roman"/>
          <w:szCs w:val="22"/>
          <w:lang w:val="es-ES"/>
        </w:rPr>
      </w:pPr>
      <w:r>
        <w:rPr>
          <w:rFonts w:eastAsia="Times New Roman"/>
          <w:kern w:val="22"/>
          <w:szCs w:val="22"/>
          <w:lang w:val="es-ES"/>
        </w:rPr>
        <w:t>Con l</w:t>
      </w:r>
      <w:r w:rsidR="00795E39" w:rsidRPr="00843F53">
        <w:rPr>
          <w:rFonts w:eastAsia="Times New Roman"/>
          <w:kern w:val="22"/>
          <w:szCs w:val="22"/>
          <w:lang w:val="es-ES"/>
        </w:rPr>
        <w:t>a encuesta que están llevando a cabo el PNUMA, la UICN y el CMVC-PNUMA como parte de un proyecto más amplio titulado “</w:t>
      </w:r>
      <w:r w:rsidR="00795E39" w:rsidRPr="00843F53">
        <w:rPr>
          <w:rFonts w:eastAsia="Times New Roman"/>
          <w:kern w:val="22"/>
          <w:szCs w:val="22"/>
          <w:lang w:val="en-US"/>
        </w:rPr>
        <w:t>Realizing synergies among biodiversity-related conventions</w:t>
      </w:r>
      <w:r w:rsidR="00795E39" w:rsidRPr="00843F53">
        <w:rPr>
          <w:rFonts w:eastAsia="Times New Roman"/>
          <w:kern w:val="22"/>
          <w:szCs w:val="22"/>
          <w:lang w:val="es-ES"/>
        </w:rPr>
        <w:t>” (</w:t>
      </w:r>
      <w:r w:rsidR="00F62885" w:rsidRPr="00843F53">
        <w:rPr>
          <w:rFonts w:eastAsia="Times New Roman"/>
          <w:kern w:val="22"/>
          <w:szCs w:val="22"/>
          <w:lang w:val="es-ES"/>
        </w:rPr>
        <w:t>“</w:t>
      </w:r>
      <w:r w:rsidR="00795E39" w:rsidRPr="00843F53">
        <w:rPr>
          <w:rFonts w:eastAsia="Times New Roman"/>
          <w:kern w:val="22"/>
          <w:szCs w:val="22"/>
          <w:lang w:val="es-ES"/>
        </w:rPr>
        <w:t>Generación de sinergias entre las convenciones relacionadas con la diversidad biológica</w:t>
      </w:r>
      <w:r w:rsidR="00F62885" w:rsidRPr="00843F53">
        <w:rPr>
          <w:rFonts w:eastAsia="Times New Roman"/>
          <w:kern w:val="22"/>
          <w:szCs w:val="22"/>
          <w:lang w:val="es-ES"/>
        </w:rPr>
        <w:t>”</w:t>
      </w:r>
      <w:r w:rsidR="00795E39" w:rsidRPr="00843F53">
        <w:rPr>
          <w:rFonts w:eastAsia="Times New Roman"/>
          <w:kern w:val="22"/>
          <w:szCs w:val="22"/>
          <w:lang w:val="es-ES"/>
        </w:rPr>
        <w:t>)</w:t>
      </w:r>
      <w:r w:rsidR="00795E39" w:rsidRPr="00843F53">
        <w:rPr>
          <w:rStyle w:val="StyleFootnoteReferencenumberFootnoteReferenceSuperscript-EF"/>
          <w:rFonts w:eastAsia="Times New Roman"/>
          <w:sz w:val="22"/>
          <w:szCs w:val="22"/>
          <w:lang w:val="es-ES"/>
        </w:rPr>
        <w:footnoteReference w:id="18"/>
      </w:r>
      <w:r w:rsidR="00795E39" w:rsidRPr="00843F53">
        <w:rPr>
          <w:rFonts w:eastAsia="Times New Roman"/>
          <w:kern w:val="22"/>
          <w:szCs w:val="22"/>
          <w:lang w:val="es-ES"/>
        </w:rPr>
        <w:t xml:space="preserve"> </w:t>
      </w:r>
      <w:r>
        <w:rPr>
          <w:rFonts w:eastAsia="Times New Roman"/>
          <w:kern w:val="22"/>
          <w:szCs w:val="22"/>
          <w:lang w:val="es-ES"/>
        </w:rPr>
        <w:t xml:space="preserve">se </w:t>
      </w:r>
      <w:r w:rsidR="00795E39" w:rsidRPr="00843F53">
        <w:rPr>
          <w:rFonts w:eastAsia="Times New Roman"/>
          <w:kern w:val="22"/>
          <w:szCs w:val="22"/>
          <w:lang w:val="es-ES"/>
        </w:rPr>
        <w:t xml:space="preserve">está recabando información sobre necesidades y carencias nacionales de creación de capacidad para la aplicación de las convenciones relacionadas con la diversidad biológica, haciendo un inventario de las actividades de creación de capacidad de diversas organizaciones y evaluando cómo puede el marco estratégico </w:t>
      </w:r>
      <w:r w:rsidR="00A36C50">
        <w:rPr>
          <w:rFonts w:eastAsia="Times New Roman"/>
          <w:kern w:val="22"/>
          <w:szCs w:val="22"/>
          <w:lang w:val="es-ES"/>
        </w:rPr>
        <w:t>para</w:t>
      </w:r>
      <w:r w:rsidR="00795E39" w:rsidRPr="00843F53">
        <w:rPr>
          <w:rFonts w:eastAsia="Times New Roman"/>
          <w:kern w:val="22"/>
          <w:szCs w:val="22"/>
          <w:lang w:val="es-ES"/>
        </w:rPr>
        <w:t xml:space="preserve"> </w:t>
      </w:r>
      <w:r w:rsidR="00A36C50">
        <w:rPr>
          <w:rFonts w:eastAsia="Times New Roman"/>
          <w:kern w:val="22"/>
          <w:szCs w:val="22"/>
          <w:lang w:val="es-ES"/>
        </w:rPr>
        <w:t xml:space="preserve">la </w:t>
      </w:r>
      <w:r w:rsidR="00795E39" w:rsidRPr="00843F53">
        <w:rPr>
          <w:rFonts w:eastAsia="Times New Roman"/>
          <w:kern w:val="22"/>
          <w:szCs w:val="22"/>
          <w:lang w:val="es-ES"/>
        </w:rPr>
        <w:t xml:space="preserve">creación de capacidad </w:t>
      </w:r>
      <w:r w:rsidR="00A36C50" w:rsidRPr="00843F53">
        <w:rPr>
          <w:rFonts w:eastAsia="Times New Roman"/>
          <w:kern w:val="22"/>
          <w:szCs w:val="22"/>
          <w:lang w:val="es-ES"/>
        </w:rPr>
        <w:t xml:space="preserve">en materia de diversidad biológica después de 2020 </w:t>
      </w:r>
      <w:r w:rsidR="00795E39" w:rsidRPr="00843F53">
        <w:rPr>
          <w:rFonts w:eastAsia="Times New Roman"/>
          <w:kern w:val="22"/>
          <w:szCs w:val="22"/>
          <w:lang w:val="es-ES"/>
        </w:rPr>
        <w:t xml:space="preserve">apoyar enfoques más integrados y sinérgicos en la aplicación de </w:t>
      </w:r>
      <w:r>
        <w:rPr>
          <w:rFonts w:eastAsia="Times New Roman"/>
          <w:kern w:val="22"/>
          <w:szCs w:val="22"/>
          <w:lang w:val="es-ES"/>
        </w:rPr>
        <w:t xml:space="preserve">los </w:t>
      </w:r>
      <w:r w:rsidR="00795E39" w:rsidRPr="00843F53">
        <w:rPr>
          <w:rFonts w:eastAsia="Times New Roman"/>
          <w:kern w:val="22"/>
          <w:szCs w:val="22"/>
          <w:lang w:val="es-ES"/>
        </w:rPr>
        <w:t xml:space="preserve">acuerdos relacionados con la diversidad biológica. </w:t>
      </w:r>
    </w:p>
    <w:p w:rsidR="00F9558F" w:rsidRPr="00843F53" w:rsidRDefault="00F9558F" w:rsidP="00F9558F">
      <w:pPr>
        <w:pStyle w:val="Para1"/>
        <w:numPr>
          <w:ilvl w:val="0"/>
          <w:numId w:val="14"/>
        </w:numPr>
        <w:suppressLineNumbers/>
        <w:tabs>
          <w:tab w:val="num" w:pos="720"/>
        </w:tabs>
        <w:suppressAutoHyphens/>
        <w:spacing w:before="120"/>
        <w:ind w:left="0" w:firstLine="0"/>
        <w:rPr>
          <w:rFonts w:eastAsia="Times New Roman"/>
          <w:kern w:val="22"/>
          <w:szCs w:val="22"/>
          <w:lang w:val="es-ES"/>
        </w:rPr>
      </w:pPr>
      <w:r w:rsidRPr="00843F53">
        <w:rPr>
          <w:rFonts w:eastAsia="Times New Roman"/>
          <w:kern w:val="22"/>
          <w:szCs w:val="22"/>
          <w:lang w:val="es-ES"/>
        </w:rPr>
        <w:t xml:space="preserve">La quinta edición de la </w:t>
      </w:r>
      <w:r w:rsidRPr="00843F53">
        <w:rPr>
          <w:rFonts w:eastAsia="Times New Roman"/>
          <w:i/>
          <w:kern w:val="22"/>
          <w:szCs w:val="22"/>
          <w:lang w:val="es-ES"/>
        </w:rPr>
        <w:t>Perspectiva Mundial sobre la Diversidad Biológica</w:t>
      </w:r>
      <w:r w:rsidRPr="00843F53">
        <w:rPr>
          <w:rFonts w:eastAsia="Times New Roman"/>
          <w:kern w:val="22"/>
          <w:szCs w:val="22"/>
          <w:lang w:val="es-ES"/>
        </w:rPr>
        <w:t xml:space="preserve"> y las evaluaciones regionales y mundiales de la Plataforma Intergubernamental Científico</w:t>
      </w:r>
      <w:r w:rsidRPr="00843F53">
        <w:rPr>
          <w:rFonts w:eastAsia="Times New Roman"/>
          <w:kern w:val="22"/>
          <w:szCs w:val="22"/>
          <w:lang w:val="es-ES"/>
        </w:rPr>
        <w:noBreakHyphen/>
        <w:t xml:space="preserve">Normativa sobre Diversidad Biológica y Servicios de los Ecosistemas (IPBES) también aportarán información útil sobre las áreas que requieren mayor apoyo para la creación de capacidad. </w:t>
      </w:r>
    </w:p>
    <w:p w:rsidR="00B41EA8" w:rsidRPr="00843F53" w:rsidRDefault="00B41EA8" w:rsidP="00B41EA8">
      <w:pPr>
        <w:pStyle w:val="Para1"/>
        <w:numPr>
          <w:ilvl w:val="0"/>
          <w:numId w:val="14"/>
        </w:numPr>
        <w:suppressLineNumbers/>
        <w:tabs>
          <w:tab w:val="num" w:pos="720"/>
        </w:tabs>
        <w:suppressAutoHyphens/>
        <w:spacing w:before="120"/>
        <w:ind w:left="0" w:firstLine="0"/>
        <w:rPr>
          <w:rFonts w:eastAsia="Times New Roman"/>
          <w:kern w:val="22"/>
          <w:szCs w:val="22"/>
          <w:lang w:val="es-ES"/>
        </w:rPr>
      </w:pPr>
      <w:r w:rsidRPr="00843F53">
        <w:rPr>
          <w:rFonts w:eastAsia="Times New Roman"/>
          <w:szCs w:val="22"/>
          <w:lang w:val="es-ES"/>
        </w:rPr>
        <w:t xml:space="preserve">El Órgano Subsidiario sobre la Aplicación podría estimar oportuno recomendar a la Conferencia de las Partes la propuesta de mandato para un estudio que brinde una base de información para la </w:t>
      </w:r>
      <w:r w:rsidR="001902D3">
        <w:rPr>
          <w:rFonts w:eastAsia="Times New Roman"/>
          <w:szCs w:val="22"/>
          <w:lang w:val="es-ES"/>
        </w:rPr>
        <w:t>p</w:t>
      </w:r>
      <w:r w:rsidRPr="00843F53">
        <w:rPr>
          <w:rFonts w:eastAsia="Times New Roman"/>
          <w:szCs w:val="22"/>
          <w:lang w:val="es-ES"/>
        </w:rPr>
        <w:t>r</w:t>
      </w:r>
      <w:r w:rsidR="001902D3">
        <w:rPr>
          <w:rFonts w:eastAsia="Times New Roman"/>
          <w:szCs w:val="22"/>
          <w:lang w:val="es-ES"/>
        </w:rPr>
        <w:t>epar</w:t>
      </w:r>
      <w:r w:rsidRPr="00843F53">
        <w:rPr>
          <w:rFonts w:eastAsia="Times New Roman"/>
          <w:szCs w:val="22"/>
          <w:lang w:val="es-ES"/>
        </w:rPr>
        <w:t xml:space="preserve">ación del marco estratégico </w:t>
      </w:r>
      <w:r w:rsidR="001902D3">
        <w:rPr>
          <w:rFonts w:eastAsia="Times New Roman"/>
          <w:szCs w:val="22"/>
          <w:lang w:val="es-ES"/>
        </w:rPr>
        <w:t>para la</w:t>
      </w:r>
      <w:r w:rsidRPr="00843F53">
        <w:rPr>
          <w:rFonts w:eastAsia="Times New Roman"/>
          <w:szCs w:val="22"/>
          <w:lang w:val="es-ES"/>
        </w:rPr>
        <w:t xml:space="preserve"> creación de capacidad después de 2020, que figura en el apéndice I del anexo II del presente, y pedir a la Secretaria Ejecutiva que, en colaboración con organizaciones e interesados directos pertinentes, encargue </w:t>
      </w:r>
      <w:r w:rsidR="00EB7AA5">
        <w:rPr>
          <w:rFonts w:eastAsia="Times New Roman"/>
          <w:szCs w:val="22"/>
          <w:lang w:val="es-ES"/>
        </w:rPr>
        <w:t>la realización d</w:t>
      </w:r>
      <w:r w:rsidRPr="00843F53">
        <w:rPr>
          <w:rFonts w:eastAsia="Times New Roman"/>
          <w:szCs w:val="22"/>
          <w:lang w:val="es-ES"/>
        </w:rPr>
        <w:t>el estudio con arreglo al mandato y que presente el informe al Órgano Subsidiario sobre la Aplicación para que lo considere en su tercera reunión.</w:t>
      </w:r>
    </w:p>
    <w:p w:rsidR="00B41EA8" w:rsidRPr="00843F53" w:rsidRDefault="00B41EA8" w:rsidP="00B41EA8">
      <w:pPr>
        <w:keepNext/>
        <w:spacing w:before="120" w:after="120"/>
        <w:ind w:left="1170" w:hanging="450"/>
        <w:jc w:val="left"/>
        <w:rPr>
          <w:rFonts w:eastAsia="Times New Roman" w:cs="Times New Roman"/>
          <w:szCs w:val="22"/>
          <w:lang w:val="es-ES"/>
        </w:rPr>
      </w:pPr>
      <w:r w:rsidRPr="00843F53">
        <w:rPr>
          <w:rFonts w:eastAsia="Times New Roman" w:cs="Times New Roman"/>
          <w:b/>
          <w:caps/>
          <w:kern w:val="22"/>
          <w:szCs w:val="22"/>
          <w:lang w:val="es-ES"/>
        </w:rPr>
        <w:t>V.</w:t>
      </w:r>
      <w:r w:rsidRPr="00843F53">
        <w:rPr>
          <w:rFonts w:eastAsia="Times New Roman" w:cs="Times New Roman"/>
          <w:b/>
          <w:caps/>
          <w:kern w:val="22"/>
          <w:szCs w:val="22"/>
          <w:lang w:val="es-ES"/>
        </w:rPr>
        <w:tab/>
        <w:t xml:space="preserve">informe sobre los </w:t>
      </w:r>
      <w:r w:rsidR="00967D8E">
        <w:rPr>
          <w:rFonts w:eastAsia="Times New Roman" w:cs="Times New Roman"/>
          <w:b/>
          <w:caps/>
          <w:kern w:val="22"/>
          <w:szCs w:val="22"/>
          <w:lang w:val="es-ES"/>
        </w:rPr>
        <w:t>PROGRESO</w:t>
      </w:r>
      <w:r w:rsidRPr="00843F53">
        <w:rPr>
          <w:rFonts w:eastAsia="Times New Roman" w:cs="Times New Roman"/>
          <w:b/>
          <w:caps/>
          <w:kern w:val="22"/>
          <w:szCs w:val="22"/>
          <w:lang w:val="es-ES"/>
        </w:rPr>
        <w:t xml:space="preserve">S </w:t>
      </w:r>
      <w:r w:rsidR="00967D8E">
        <w:rPr>
          <w:rFonts w:eastAsia="Times New Roman" w:cs="Times New Roman"/>
          <w:b/>
          <w:caps/>
          <w:kern w:val="22"/>
          <w:szCs w:val="22"/>
          <w:lang w:val="es-ES"/>
        </w:rPr>
        <w:t xml:space="preserve">REALIZADOS </w:t>
      </w:r>
      <w:r w:rsidRPr="00843F53">
        <w:rPr>
          <w:rFonts w:eastAsia="Times New Roman" w:cs="Times New Roman"/>
          <w:b/>
          <w:caps/>
          <w:color w:val="000000"/>
          <w:kern w:val="22"/>
          <w:szCs w:val="22"/>
          <w:lang w:val="es-ES"/>
        </w:rPr>
        <w:t xml:space="preserve">en LA </w:t>
      </w:r>
      <w:r w:rsidR="00967D8E">
        <w:rPr>
          <w:rFonts w:eastAsia="Times New Roman" w:cs="Times New Roman"/>
          <w:b/>
          <w:caps/>
          <w:color w:val="000000"/>
          <w:kern w:val="22"/>
          <w:szCs w:val="22"/>
          <w:lang w:val="es-ES"/>
        </w:rPr>
        <w:t>PUESTA EN PRÁCTICA</w:t>
      </w:r>
      <w:r w:rsidRPr="00843F53">
        <w:rPr>
          <w:rFonts w:eastAsia="Times New Roman" w:cs="Times New Roman"/>
          <w:b/>
          <w:caps/>
          <w:color w:val="000000"/>
          <w:kern w:val="22"/>
          <w:szCs w:val="22"/>
          <w:lang w:val="es-ES"/>
        </w:rPr>
        <w:t xml:space="preserve"> DE LA ESTRATEGIA WEB Y EL mecanismo de facilitación</w:t>
      </w:r>
    </w:p>
    <w:p w:rsidR="003E0F46" w:rsidRPr="00843F53" w:rsidRDefault="003E0F46" w:rsidP="003E0F46">
      <w:pPr>
        <w:pStyle w:val="Para1"/>
        <w:numPr>
          <w:ilvl w:val="0"/>
          <w:numId w:val="14"/>
        </w:numPr>
        <w:suppressLineNumbers/>
        <w:tabs>
          <w:tab w:val="num" w:pos="720"/>
        </w:tabs>
        <w:suppressAutoHyphens/>
        <w:spacing w:before="120"/>
        <w:ind w:left="0" w:firstLine="0"/>
        <w:rPr>
          <w:rFonts w:eastAsia="Times New Roman"/>
          <w:szCs w:val="22"/>
          <w:lang w:val="es-ES"/>
        </w:rPr>
      </w:pPr>
      <w:r w:rsidRPr="00843F53">
        <w:rPr>
          <w:rFonts w:eastAsia="Times New Roman"/>
          <w:kern w:val="22"/>
          <w:szCs w:val="22"/>
          <w:lang w:val="es-ES"/>
        </w:rPr>
        <w:t xml:space="preserve">En el párrafo 19 de su decisión XII/2 B, la Conferencia de las Partes pidió al Secretario Ejecutivo que desarrollara una estrategia web para garantizar que toda información común o pertinente al mecanismo de facilitación, el Centro de Intercambio de Información sobre Acceso y Participación en los Beneficios y el </w:t>
      </w:r>
      <w:r w:rsidRPr="00843F53">
        <w:rPr>
          <w:rFonts w:eastAsia="Times New Roman"/>
          <w:color w:val="000000"/>
          <w:kern w:val="22"/>
          <w:szCs w:val="22"/>
          <w:lang w:val="es-ES"/>
        </w:rPr>
        <w:t>Centro de Intercambio de Información sobre Seguridad de la Biotecnología</w:t>
      </w:r>
      <w:r w:rsidRPr="00843F53">
        <w:rPr>
          <w:rFonts w:eastAsia="Times New Roman"/>
          <w:kern w:val="22"/>
          <w:szCs w:val="22"/>
          <w:lang w:val="es-ES"/>
        </w:rPr>
        <w:t xml:space="preserve">, así como otras plataformas desarrolladas en el marco del Convenio, pudiera accederse centralmente a fin de evitar </w:t>
      </w:r>
      <w:r w:rsidRPr="00843F53">
        <w:rPr>
          <w:rFonts w:eastAsia="Times New Roman"/>
          <w:kern w:val="22"/>
          <w:szCs w:val="22"/>
          <w:lang w:val="es-ES"/>
        </w:rPr>
        <w:lastRenderedPageBreak/>
        <w:t>la duplicación de esfuerzos. En respuesta a este pedido, el Secretario Ejecutivo preparó una “Estrategia web para el Convenio y sus Protocolos” y la puso a disposición de la 13ª reunión de la Conferencia de las Partes (CBD/COP/13/14/Add.1).</w:t>
      </w:r>
    </w:p>
    <w:p w:rsidR="003E0F46" w:rsidRPr="00843F53" w:rsidRDefault="003E0F46" w:rsidP="003E0F46">
      <w:pPr>
        <w:pStyle w:val="Para1"/>
        <w:numPr>
          <w:ilvl w:val="0"/>
          <w:numId w:val="14"/>
        </w:numPr>
        <w:suppressLineNumbers/>
        <w:tabs>
          <w:tab w:val="num" w:pos="720"/>
        </w:tabs>
        <w:suppressAutoHyphens/>
        <w:spacing w:before="120"/>
        <w:ind w:left="0" w:firstLine="0"/>
        <w:rPr>
          <w:rFonts w:eastAsia="Times New Roman"/>
          <w:kern w:val="22"/>
          <w:szCs w:val="22"/>
          <w:lang w:val="es-ES"/>
        </w:rPr>
      </w:pPr>
      <w:r w:rsidRPr="00843F53">
        <w:rPr>
          <w:rFonts w:eastAsia="Times New Roman"/>
          <w:kern w:val="22"/>
          <w:szCs w:val="22"/>
          <w:lang w:val="es-ES"/>
        </w:rPr>
        <w:t xml:space="preserve">En los párrafos 15 i), j) y k) de la decisión XIII/23, la Conferencia de las Partes pidió al Secretario Ejecutivo que pusiera en práctica la estrategia web en consonancia con el Marco para una Estrategia de Comunicaciones, adoptado en la decisión XIII/22; </w:t>
      </w:r>
      <w:r w:rsidR="00891CAD">
        <w:rPr>
          <w:rFonts w:eastAsia="Times New Roman"/>
          <w:kern w:val="22"/>
          <w:szCs w:val="22"/>
          <w:lang w:val="es-ES"/>
        </w:rPr>
        <w:t xml:space="preserve">que </w:t>
      </w:r>
      <w:r w:rsidRPr="00843F53">
        <w:rPr>
          <w:rFonts w:eastAsia="Times New Roman"/>
          <w:kern w:val="22"/>
          <w:szCs w:val="22"/>
          <w:lang w:val="es-ES"/>
        </w:rPr>
        <w:t>actualizara la estrategia web con acciones prioritarias que debían realizarse antes de 2018 teniendo en cuenta las decisiones de las últimas reuniones de las Partes; y que desarrollara más a fondo el mecanismo de facilitación</w:t>
      </w:r>
      <w:r w:rsidR="00891CAD">
        <w:rPr>
          <w:rFonts w:eastAsia="Times New Roman"/>
          <w:kern w:val="22"/>
          <w:szCs w:val="22"/>
          <w:lang w:val="es-ES"/>
        </w:rPr>
        <w:t>,</w:t>
      </w:r>
      <w:r w:rsidRPr="00843F53">
        <w:rPr>
          <w:rFonts w:eastAsia="Times New Roman"/>
          <w:kern w:val="22"/>
          <w:szCs w:val="22"/>
          <w:lang w:val="es-ES"/>
        </w:rPr>
        <w:t xml:space="preserve"> en consonancia con la estrategia web y con el programa de trabajo para el mecanismo de facilitación en apoyo al Plan Estratégico para la Diversidad Biológica 2011-2020.</w:t>
      </w:r>
    </w:p>
    <w:p w:rsidR="003E0F46" w:rsidRPr="00843F53" w:rsidRDefault="003E0F46" w:rsidP="003E0F46">
      <w:pPr>
        <w:pStyle w:val="Para1"/>
        <w:numPr>
          <w:ilvl w:val="0"/>
          <w:numId w:val="14"/>
        </w:numPr>
        <w:suppressLineNumbers/>
        <w:tabs>
          <w:tab w:val="num" w:pos="720"/>
        </w:tabs>
        <w:suppressAutoHyphens/>
        <w:spacing w:before="120"/>
        <w:ind w:left="0" w:firstLine="0"/>
        <w:rPr>
          <w:rFonts w:eastAsia="Times New Roman"/>
          <w:szCs w:val="22"/>
          <w:lang w:val="es-ES"/>
        </w:rPr>
      </w:pPr>
      <w:r w:rsidRPr="00843F53">
        <w:rPr>
          <w:rFonts w:eastAsia="Times New Roman"/>
          <w:kern w:val="22"/>
          <w:szCs w:val="22"/>
          <w:lang w:val="es-ES"/>
        </w:rPr>
        <w:t xml:space="preserve">En esta sección se brinda un resumen de los </w:t>
      </w:r>
      <w:r w:rsidR="00982439">
        <w:rPr>
          <w:rFonts w:eastAsia="Times New Roman"/>
          <w:kern w:val="22"/>
          <w:szCs w:val="22"/>
          <w:lang w:val="es-ES"/>
        </w:rPr>
        <w:t>progresos</w:t>
      </w:r>
      <w:r w:rsidRPr="00843F53">
        <w:rPr>
          <w:rFonts w:eastAsia="Times New Roman"/>
          <w:kern w:val="22"/>
          <w:szCs w:val="22"/>
          <w:lang w:val="es-ES"/>
        </w:rPr>
        <w:t xml:space="preserve"> realizados desde la 13ª reunión de la Conferencia de la Partes en el cumplimiento de estos pedidos así como decisiones anteriores referidas al mecanismo de facilitación. También se destacan iniciativas pertinentes emprendidas en col</w:t>
      </w:r>
      <w:r w:rsidR="004D12CB">
        <w:rPr>
          <w:rFonts w:eastAsia="Times New Roman"/>
          <w:kern w:val="22"/>
          <w:szCs w:val="22"/>
          <w:lang w:val="es-ES"/>
        </w:rPr>
        <w:t xml:space="preserve">aboración con </w:t>
      </w:r>
      <w:r w:rsidR="00982439">
        <w:rPr>
          <w:rFonts w:eastAsia="Times New Roman"/>
          <w:kern w:val="22"/>
          <w:szCs w:val="22"/>
          <w:lang w:val="es-ES"/>
        </w:rPr>
        <w:t>a</w:t>
      </w:r>
      <w:r w:rsidR="004D12CB">
        <w:rPr>
          <w:rFonts w:eastAsia="Times New Roman"/>
          <w:kern w:val="22"/>
          <w:szCs w:val="22"/>
          <w:lang w:val="es-ES"/>
        </w:rPr>
        <w:t>soci</w:t>
      </w:r>
      <w:r w:rsidR="00982439">
        <w:rPr>
          <w:rFonts w:eastAsia="Times New Roman"/>
          <w:kern w:val="22"/>
          <w:szCs w:val="22"/>
          <w:lang w:val="es-ES"/>
        </w:rPr>
        <w:t>ad</w:t>
      </w:r>
      <w:r w:rsidR="004D12CB">
        <w:rPr>
          <w:rFonts w:eastAsia="Times New Roman"/>
          <w:kern w:val="22"/>
          <w:szCs w:val="22"/>
          <w:lang w:val="es-ES"/>
        </w:rPr>
        <w:t>os y la labor</w:t>
      </w:r>
      <w:r w:rsidRPr="00843F53">
        <w:rPr>
          <w:rFonts w:eastAsia="Times New Roman"/>
          <w:kern w:val="22"/>
          <w:szCs w:val="22"/>
          <w:lang w:val="es-ES"/>
        </w:rPr>
        <w:t xml:space="preserve"> del Comité Asesor Oficioso </w:t>
      </w:r>
      <w:r w:rsidR="00F34A51">
        <w:rPr>
          <w:rFonts w:eastAsia="Times New Roman"/>
          <w:kern w:val="22"/>
          <w:szCs w:val="22"/>
          <w:lang w:val="es-ES"/>
        </w:rPr>
        <w:t xml:space="preserve">para </w:t>
      </w:r>
      <w:r w:rsidRPr="00843F53">
        <w:rPr>
          <w:rFonts w:eastAsia="Times New Roman"/>
          <w:kern w:val="22"/>
          <w:szCs w:val="22"/>
          <w:lang w:val="es-ES"/>
        </w:rPr>
        <w:t>el Mecanismo de Facilitación.</w:t>
      </w:r>
    </w:p>
    <w:p w:rsidR="003E0F46" w:rsidRPr="00843F53" w:rsidRDefault="003E0F46" w:rsidP="003E0F46">
      <w:pPr>
        <w:pStyle w:val="Heading2"/>
        <w:rPr>
          <w:rFonts w:eastAsia="Times New Roman" w:cs="Times New Roman"/>
          <w:bCs w:val="0"/>
          <w:i w:val="0"/>
          <w:iCs w:val="0"/>
          <w:szCs w:val="22"/>
          <w:lang w:val="es-ES"/>
        </w:rPr>
      </w:pPr>
      <w:r w:rsidRPr="00843F53">
        <w:rPr>
          <w:rFonts w:eastAsia="Times New Roman" w:cs="Times New Roman"/>
          <w:bCs w:val="0"/>
          <w:i w:val="0"/>
          <w:iCs w:val="0"/>
          <w:kern w:val="22"/>
          <w:szCs w:val="22"/>
          <w:lang w:val="es-ES"/>
        </w:rPr>
        <w:t>A.</w:t>
      </w:r>
      <w:r w:rsidRPr="00843F53">
        <w:rPr>
          <w:rFonts w:eastAsia="Times New Roman" w:cs="Times New Roman"/>
          <w:bCs w:val="0"/>
          <w:i w:val="0"/>
          <w:iCs w:val="0"/>
          <w:kern w:val="22"/>
          <w:szCs w:val="22"/>
          <w:lang w:val="es-ES"/>
        </w:rPr>
        <w:tab/>
        <w:t>Actualización de la estrategia web</w:t>
      </w:r>
    </w:p>
    <w:p w:rsidR="00A82D48" w:rsidRPr="00843F53" w:rsidRDefault="00A82D48" w:rsidP="00A82D48">
      <w:pPr>
        <w:pStyle w:val="Para1"/>
        <w:numPr>
          <w:ilvl w:val="0"/>
          <w:numId w:val="14"/>
        </w:numPr>
        <w:suppressLineNumbers/>
        <w:tabs>
          <w:tab w:val="num" w:pos="720"/>
        </w:tabs>
        <w:suppressAutoHyphens/>
        <w:spacing w:before="120"/>
        <w:ind w:left="0" w:firstLine="0"/>
        <w:rPr>
          <w:rFonts w:eastAsia="Times New Roman"/>
          <w:szCs w:val="22"/>
          <w:lang w:val="es-ES"/>
        </w:rPr>
      </w:pPr>
      <w:r w:rsidRPr="00843F53">
        <w:rPr>
          <w:rFonts w:eastAsia="Times New Roman"/>
          <w:kern w:val="22"/>
          <w:szCs w:val="22"/>
          <w:lang w:val="es-ES"/>
        </w:rPr>
        <w:t xml:space="preserve">En respuesta al pedido formulado en el párrafo 15 j) de la decisión XIII/23, la Secretaría preparó un proyecto de estrategia web actualizada y lo puso a disposición del Comité Asesor Oficioso </w:t>
      </w:r>
      <w:r w:rsidR="00F34A51">
        <w:rPr>
          <w:rFonts w:eastAsia="Times New Roman"/>
          <w:kern w:val="22"/>
          <w:szCs w:val="22"/>
          <w:lang w:val="es-ES"/>
        </w:rPr>
        <w:t xml:space="preserve">para </w:t>
      </w:r>
      <w:r w:rsidRPr="00843F53">
        <w:rPr>
          <w:rFonts w:eastAsia="Times New Roman"/>
          <w:kern w:val="22"/>
          <w:szCs w:val="22"/>
          <w:lang w:val="es-ES"/>
        </w:rPr>
        <w:t>el Mecanismo de Facilitación en la reunión que se celebró en Montreal del 7 al 9 de diciembre de 2017</w:t>
      </w:r>
      <w:r w:rsidRPr="00843F53">
        <w:rPr>
          <w:rFonts w:eastAsia="Times New Roman"/>
          <w:color w:val="000000"/>
          <w:kern w:val="22"/>
          <w:szCs w:val="22"/>
          <w:lang w:val="es-ES"/>
        </w:rPr>
        <w:t>.</w:t>
      </w:r>
      <w:r w:rsidRPr="00843F53">
        <w:rPr>
          <w:rFonts w:eastAsia="Times New Roman"/>
          <w:kern w:val="22"/>
          <w:szCs w:val="22"/>
          <w:lang w:val="es-ES"/>
        </w:rPr>
        <w:t xml:space="preserve"> El</w:t>
      </w:r>
      <w:r w:rsidR="00982439">
        <w:rPr>
          <w:rFonts w:eastAsia="Times New Roman"/>
          <w:kern w:val="22"/>
          <w:szCs w:val="22"/>
          <w:lang w:val="es-ES"/>
        </w:rPr>
        <w:t> </w:t>
      </w:r>
      <w:r w:rsidRPr="00843F53">
        <w:rPr>
          <w:rFonts w:eastAsia="Times New Roman"/>
          <w:kern w:val="22"/>
          <w:szCs w:val="22"/>
          <w:lang w:val="es-ES"/>
        </w:rPr>
        <w:t xml:space="preserve">proyecto de estrategia web actualizada está disponible como documento </w:t>
      </w:r>
      <w:r w:rsidR="00343D6B" w:rsidRPr="00843F53">
        <w:rPr>
          <w:rFonts w:eastAsia="Times New Roman"/>
          <w:kern w:val="22"/>
          <w:szCs w:val="22"/>
          <w:lang w:val="es-ES"/>
        </w:rPr>
        <w:t xml:space="preserve">de información </w:t>
      </w:r>
      <w:r w:rsidRPr="00843F53">
        <w:rPr>
          <w:rFonts w:eastAsia="Times New Roman"/>
          <w:kern w:val="22"/>
          <w:szCs w:val="22"/>
          <w:lang w:val="es-ES"/>
        </w:rPr>
        <w:t>CBD/SBI/2/INF/16.</w:t>
      </w:r>
    </w:p>
    <w:p w:rsidR="00A82D48" w:rsidRPr="00843F53" w:rsidRDefault="00A82D48" w:rsidP="00A82D48">
      <w:pPr>
        <w:pStyle w:val="Heading2"/>
        <w:rPr>
          <w:rFonts w:eastAsia="Times New Roman" w:cs="Times New Roman"/>
          <w:bCs w:val="0"/>
          <w:i w:val="0"/>
          <w:iCs w:val="0"/>
          <w:szCs w:val="22"/>
          <w:lang w:val="es-ES"/>
        </w:rPr>
      </w:pPr>
      <w:r w:rsidRPr="00843F53">
        <w:rPr>
          <w:rFonts w:eastAsia="Times New Roman" w:cs="Times New Roman"/>
          <w:bCs w:val="0"/>
          <w:i w:val="0"/>
          <w:iCs w:val="0"/>
          <w:kern w:val="22"/>
          <w:szCs w:val="22"/>
          <w:lang w:val="es-ES"/>
        </w:rPr>
        <w:t>B.</w:t>
      </w:r>
      <w:r w:rsidRPr="00843F53">
        <w:rPr>
          <w:rFonts w:eastAsia="Times New Roman" w:cs="Times New Roman"/>
          <w:bCs w:val="0"/>
          <w:i w:val="0"/>
          <w:iCs w:val="0"/>
          <w:kern w:val="22"/>
          <w:szCs w:val="22"/>
          <w:lang w:val="es-ES"/>
        </w:rPr>
        <w:tab/>
        <w:t>Puesta en práctica de la estrategia web</w:t>
      </w:r>
    </w:p>
    <w:p w:rsidR="002A6C5A" w:rsidRPr="00843F53" w:rsidRDefault="002A6C5A" w:rsidP="002A6C5A">
      <w:pPr>
        <w:pStyle w:val="Para1"/>
        <w:numPr>
          <w:ilvl w:val="0"/>
          <w:numId w:val="14"/>
        </w:numPr>
        <w:suppressLineNumbers/>
        <w:tabs>
          <w:tab w:val="num" w:pos="720"/>
        </w:tabs>
        <w:suppressAutoHyphens/>
        <w:spacing w:before="120"/>
        <w:ind w:left="0" w:firstLine="0"/>
        <w:rPr>
          <w:rFonts w:eastAsia="Times New Roman"/>
          <w:szCs w:val="22"/>
          <w:lang w:val="es-ES"/>
        </w:rPr>
      </w:pPr>
      <w:r w:rsidRPr="00843F53">
        <w:rPr>
          <w:rFonts w:eastAsia="Times New Roman"/>
          <w:kern w:val="22"/>
          <w:szCs w:val="22"/>
          <w:lang w:val="es-ES"/>
        </w:rPr>
        <w:t xml:space="preserve">Conforme al pedido formulado en el párrafo 15 i) de la decisión XIII/23, la Secretaría ha emprendido una serie de acciones para poner en práctica la estrategia web para el Convenio y sus Protocolos. Algunos de los resultados obtenidos hasta la fecha son: una versión actualizada de la herramienta de presentación de informes en línea </w:t>
      </w:r>
      <w:r w:rsidR="00891CAD">
        <w:rPr>
          <w:rFonts w:eastAsia="Times New Roman"/>
          <w:kern w:val="22"/>
          <w:szCs w:val="22"/>
          <w:lang w:val="es-ES"/>
        </w:rPr>
        <w:t>a</w:t>
      </w:r>
      <w:r w:rsidR="00982439">
        <w:rPr>
          <w:rFonts w:eastAsia="Times New Roman"/>
          <w:kern w:val="22"/>
          <w:szCs w:val="22"/>
          <w:lang w:val="es-ES"/>
        </w:rPr>
        <w:t>line</w:t>
      </w:r>
      <w:r w:rsidR="00891CAD">
        <w:rPr>
          <w:rFonts w:eastAsia="Times New Roman"/>
          <w:kern w:val="22"/>
          <w:szCs w:val="22"/>
          <w:lang w:val="es-ES"/>
        </w:rPr>
        <w:t>ada</w:t>
      </w:r>
      <w:r w:rsidRPr="00843F53">
        <w:rPr>
          <w:rFonts w:eastAsia="Times New Roman"/>
          <w:kern w:val="22"/>
          <w:szCs w:val="22"/>
          <w:lang w:val="es-ES"/>
        </w:rPr>
        <w:t xml:space="preserve"> con el formato de presentación de informes para los sextos informes nacionales; un analizador para el marco de presentación de informes financieros; un sitio web mejorado para el Decenio de las Naciones Unidas sobre la Diversidad Biológica 2011</w:t>
      </w:r>
      <w:r w:rsidRPr="00843F53">
        <w:rPr>
          <w:rFonts w:eastAsia="Times New Roman"/>
          <w:kern w:val="22"/>
          <w:szCs w:val="22"/>
          <w:lang w:val="es-ES"/>
        </w:rPr>
        <w:noBreakHyphen/>
        <w:t>2020; una plataforma web para la Iniciativa Bio-Bridge; una plataforma web de aprendizaje electrónico basada en el software Moodle; y un analizador de informes nacionales para el Protocolo de Nagoya.</w:t>
      </w:r>
    </w:p>
    <w:p w:rsidR="00343D6B" w:rsidRPr="00843F53" w:rsidRDefault="00343D6B" w:rsidP="00343D6B">
      <w:pPr>
        <w:pStyle w:val="Para1"/>
        <w:numPr>
          <w:ilvl w:val="0"/>
          <w:numId w:val="14"/>
        </w:numPr>
        <w:suppressLineNumbers/>
        <w:tabs>
          <w:tab w:val="num" w:pos="720"/>
        </w:tabs>
        <w:suppressAutoHyphens/>
        <w:spacing w:before="120"/>
        <w:ind w:left="0" w:firstLine="0"/>
        <w:rPr>
          <w:rFonts w:eastAsia="Times New Roman"/>
          <w:szCs w:val="22"/>
          <w:lang w:val="es-ES"/>
        </w:rPr>
      </w:pPr>
      <w:r w:rsidRPr="00843F53">
        <w:rPr>
          <w:rFonts w:eastAsia="Times New Roman"/>
          <w:kern w:val="22"/>
          <w:szCs w:val="22"/>
          <w:lang w:val="es-ES"/>
        </w:rPr>
        <w:t xml:space="preserve">En agosto de 2017, se estableció un “Equipo de Tareas de la Estrategia Web dentro de la Secretaría” para coordinar y facilitar la puesta en práctica de la estrategia web en consonancia con la estrategia de comunicaciones. El equipo de tareas desarrolló un enfoque para la puesta en práctica y una hoja de ruta que consiste de dos fases. La primera fase se extenderá hasta la 14ª reunión de la Conferencia </w:t>
      </w:r>
      <w:r w:rsidR="00891CAD">
        <w:rPr>
          <w:rFonts w:eastAsia="Times New Roman"/>
          <w:kern w:val="22"/>
          <w:szCs w:val="22"/>
          <w:lang w:val="es-ES"/>
        </w:rPr>
        <w:t xml:space="preserve">de las Partes </w:t>
      </w:r>
      <w:r w:rsidRPr="00843F53">
        <w:rPr>
          <w:rFonts w:eastAsia="Times New Roman"/>
          <w:kern w:val="22"/>
          <w:szCs w:val="22"/>
          <w:lang w:val="es-ES"/>
        </w:rPr>
        <w:t>y se centra en</w:t>
      </w:r>
      <w:r w:rsidRPr="00843F53">
        <w:rPr>
          <w:rFonts w:eastAsia="Times New Roman"/>
          <w:szCs w:val="22"/>
          <w:lang w:val="es-ES"/>
        </w:rPr>
        <w:t xml:space="preserve"> actividades</w:t>
      </w:r>
      <w:r w:rsidRPr="00843F53">
        <w:rPr>
          <w:rFonts w:eastAsia="Times New Roman"/>
          <w:kern w:val="22"/>
          <w:szCs w:val="22"/>
          <w:lang w:val="es-ES"/>
        </w:rPr>
        <w:t xml:space="preserve"> </w:t>
      </w:r>
      <w:r w:rsidRPr="00843F53">
        <w:rPr>
          <w:rFonts w:eastAsia="Times New Roman"/>
          <w:szCs w:val="22"/>
          <w:lang w:val="es-ES"/>
        </w:rPr>
        <w:t xml:space="preserve">urgentes y resultados que deben lograrse antes de esa reunión, según lo solicitado por Conferencia de las Partes. </w:t>
      </w:r>
      <w:r w:rsidR="00891CAD">
        <w:rPr>
          <w:rFonts w:eastAsia="Times New Roman"/>
          <w:kern w:val="22"/>
          <w:szCs w:val="22"/>
          <w:lang w:val="es-ES"/>
        </w:rPr>
        <w:t>Est</w:t>
      </w:r>
      <w:r w:rsidRPr="00843F53">
        <w:rPr>
          <w:rFonts w:eastAsia="Times New Roman"/>
          <w:kern w:val="22"/>
          <w:szCs w:val="22"/>
          <w:lang w:val="es-ES"/>
        </w:rPr>
        <w:t xml:space="preserve">a fase también incluirá el desarrollo de la primera versión de un nuevo sitio web del CDB, que se </w:t>
      </w:r>
      <w:r w:rsidR="00891CAD">
        <w:rPr>
          <w:rFonts w:eastAsia="Times New Roman"/>
          <w:kern w:val="22"/>
          <w:szCs w:val="22"/>
          <w:lang w:val="es-ES"/>
        </w:rPr>
        <w:t>prevé</w:t>
      </w:r>
      <w:r w:rsidRPr="00843F53">
        <w:rPr>
          <w:rFonts w:eastAsia="Times New Roman"/>
          <w:kern w:val="22"/>
          <w:szCs w:val="22"/>
          <w:lang w:val="es-ES"/>
        </w:rPr>
        <w:t xml:space="preserve"> se</w:t>
      </w:r>
      <w:r w:rsidR="00891CAD">
        <w:rPr>
          <w:rFonts w:eastAsia="Times New Roman"/>
          <w:kern w:val="22"/>
          <w:szCs w:val="22"/>
          <w:lang w:val="es-ES"/>
        </w:rPr>
        <w:t>rá</w:t>
      </w:r>
      <w:r w:rsidRPr="00843F53">
        <w:rPr>
          <w:rFonts w:eastAsia="Times New Roman"/>
          <w:kern w:val="22"/>
          <w:szCs w:val="22"/>
          <w:lang w:val="es-ES"/>
        </w:rPr>
        <w:t xml:space="preserve"> más dinámico, atractivo y fácil de usar</w:t>
      </w:r>
      <w:r w:rsidRPr="00843F53">
        <w:rPr>
          <w:rFonts w:eastAsia="Times New Roman"/>
          <w:szCs w:val="22"/>
          <w:lang w:val="es-ES"/>
        </w:rPr>
        <w:t>.</w:t>
      </w:r>
      <w:r w:rsidRPr="00843F53">
        <w:rPr>
          <w:rFonts w:eastAsia="Times New Roman"/>
          <w:kern w:val="22"/>
          <w:szCs w:val="22"/>
          <w:lang w:val="es-ES"/>
        </w:rPr>
        <w:t xml:space="preserve"> La segunda fase se extenderá hasta la 15ª reunión de la Conferencia </w:t>
      </w:r>
      <w:r w:rsidR="009F0E89">
        <w:rPr>
          <w:rFonts w:eastAsia="Times New Roman"/>
          <w:kern w:val="22"/>
          <w:szCs w:val="22"/>
          <w:lang w:val="es-ES"/>
        </w:rPr>
        <w:t xml:space="preserve">de las Partes </w:t>
      </w:r>
      <w:r w:rsidRPr="00843F53">
        <w:rPr>
          <w:rFonts w:eastAsia="Times New Roman"/>
          <w:kern w:val="22"/>
          <w:szCs w:val="22"/>
          <w:lang w:val="es-ES"/>
        </w:rPr>
        <w:t xml:space="preserve">en 2020 y se centrará en </w:t>
      </w:r>
      <w:r w:rsidR="009F0E89">
        <w:rPr>
          <w:rFonts w:eastAsia="Times New Roman"/>
          <w:kern w:val="22"/>
          <w:szCs w:val="22"/>
          <w:lang w:val="es-ES"/>
        </w:rPr>
        <w:t>ejecutar</w:t>
      </w:r>
      <w:r w:rsidRPr="00843F53">
        <w:rPr>
          <w:rFonts w:eastAsia="Times New Roman"/>
          <w:kern w:val="22"/>
          <w:szCs w:val="22"/>
          <w:lang w:val="es-ES"/>
        </w:rPr>
        <w:t xml:space="preserve"> los demás </w:t>
      </w:r>
      <w:r w:rsidR="009F0E89">
        <w:rPr>
          <w:rFonts w:eastAsia="Times New Roman"/>
          <w:kern w:val="22"/>
          <w:szCs w:val="22"/>
          <w:lang w:val="es-ES"/>
        </w:rPr>
        <w:t>product</w:t>
      </w:r>
      <w:r w:rsidRPr="00843F53">
        <w:rPr>
          <w:rFonts w:eastAsia="Times New Roman"/>
          <w:kern w:val="22"/>
          <w:szCs w:val="22"/>
          <w:lang w:val="es-ES"/>
        </w:rPr>
        <w:t>os previstos en la estrategia web y mejora</w:t>
      </w:r>
      <w:r w:rsidR="009F0E89">
        <w:rPr>
          <w:rFonts w:eastAsia="Times New Roman"/>
          <w:kern w:val="22"/>
          <w:szCs w:val="22"/>
          <w:lang w:val="es-ES"/>
        </w:rPr>
        <w:t>r</w:t>
      </w:r>
      <w:r w:rsidRPr="00843F53">
        <w:rPr>
          <w:rFonts w:eastAsia="Times New Roman"/>
          <w:kern w:val="22"/>
          <w:szCs w:val="22"/>
          <w:lang w:val="es-ES"/>
        </w:rPr>
        <w:t xml:space="preserve"> los </w:t>
      </w:r>
      <w:r w:rsidR="009F0E89">
        <w:rPr>
          <w:rFonts w:eastAsia="Times New Roman"/>
          <w:kern w:val="22"/>
          <w:szCs w:val="22"/>
          <w:lang w:val="es-ES"/>
        </w:rPr>
        <w:t>p</w:t>
      </w:r>
      <w:r w:rsidRPr="00843F53">
        <w:rPr>
          <w:rFonts w:eastAsia="Times New Roman"/>
          <w:kern w:val="22"/>
          <w:szCs w:val="22"/>
          <w:lang w:val="es-ES"/>
        </w:rPr>
        <w:t>r</w:t>
      </w:r>
      <w:r w:rsidR="009F0E89">
        <w:rPr>
          <w:rFonts w:eastAsia="Times New Roman"/>
          <w:kern w:val="22"/>
          <w:szCs w:val="22"/>
          <w:lang w:val="es-ES"/>
        </w:rPr>
        <w:t>oduct</w:t>
      </w:r>
      <w:r w:rsidRPr="00843F53">
        <w:rPr>
          <w:rFonts w:eastAsia="Times New Roman"/>
          <w:kern w:val="22"/>
          <w:szCs w:val="22"/>
          <w:lang w:val="es-ES"/>
        </w:rPr>
        <w:t xml:space="preserve">os de la primera fase. La lista de actividades y </w:t>
      </w:r>
      <w:r w:rsidR="009F0E89">
        <w:rPr>
          <w:rFonts w:eastAsia="Times New Roman"/>
          <w:kern w:val="22"/>
          <w:szCs w:val="22"/>
          <w:lang w:val="es-ES"/>
        </w:rPr>
        <w:t>productos</w:t>
      </w:r>
      <w:r w:rsidRPr="00843F53">
        <w:rPr>
          <w:rFonts w:eastAsia="Times New Roman"/>
          <w:kern w:val="22"/>
          <w:szCs w:val="22"/>
          <w:lang w:val="es-ES"/>
        </w:rPr>
        <w:t xml:space="preserve"> de las dos fases se </w:t>
      </w:r>
      <w:r w:rsidR="009F0E89">
        <w:rPr>
          <w:rFonts w:eastAsia="Times New Roman"/>
          <w:kern w:val="22"/>
          <w:szCs w:val="22"/>
          <w:lang w:val="es-ES"/>
        </w:rPr>
        <w:t>incluye</w:t>
      </w:r>
      <w:r w:rsidRPr="00843F53">
        <w:rPr>
          <w:rFonts w:eastAsia="Times New Roman"/>
          <w:kern w:val="22"/>
          <w:szCs w:val="22"/>
          <w:lang w:val="es-ES"/>
        </w:rPr>
        <w:t xml:space="preserve"> en el proyecto de estrategia web actualizada </w:t>
      </w:r>
      <w:r w:rsidR="009F0E89">
        <w:rPr>
          <w:rFonts w:eastAsia="Times New Roman"/>
          <w:kern w:val="22"/>
          <w:szCs w:val="22"/>
          <w:lang w:val="es-ES"/>
        </w:rPr>
        <w:t xml:space="preserve">que </w:t>
      </w:r>
      <w:r w:rsidRPr="00843F53">
        <w:rPr>
          <w:rFonts w:eastAsia="Times New Roman"/>
          <w:kern w:val="22"/>
          <w:szCs w:val="22"/>
          <w:lang w:val="es-ES"/>
        </w:rPr>
        <w:t>está disponible como documento de información CBD/SBI/2/INF/16.</w:t>
      </w:r>
    </w:p>
    <w:p w:rsidR="00343D6B" w:rsidRPr="00843F53" w:rsidRDefault="00343D6B" w:rsidP="00343D6B">
      <w:pPr>
        <w:pStyle w:val="Heading2"/>
        <w:rPr>
          <w:rFonts w:eastAsia="Times New Roman" w:cs="Times New Roman"/>
          <w:bCs w:val="0"/>
          <w:i w:val="0"/>
          <w:iCs w:val="0"/>
          <w:szCs w:val="22"/>
          <w:lang w:val="es-ES"/>
        </w:rPr>
      </w:pPr>
      <w:r w:rsidRPr="00843F53">
        <w:rPr>
          <w:rFonts w:eastAsia="Times New Roman" w:cs="Times New Roman"/>
          <w:bCs w:val="0"/>
          <w:i w:val="0"/>
          <w:iCs w:val="0"/>
          <w:kern w:val="22"/>
          <w:szCs w:val="22"/>
          <w:lang w:val="es-ES"/>
        </w:rPr>
        <w:t>C.</w:t>
      </w:r>
      <w:r w:rsidRPr="00843F53">
        <w:rPr>
          <w:rFonts w:eastAsia="Times New Roman" w:cs="Times New Roman"/>
          <w:bCs w:val="0"/>
          <w:i w:val="0"/>
          <w:iCs w:val="0"/>
          <w:kern w:val="22"/>
          <w:szCs w:val="22"/>
          <w:lang w:val="es-ES"/>
        </w:rPr>
        <w:tab/>
        <w:t>Traducción del sitio web</w:t>
      </w:r>
    </w:p>
    <w:p w:rsidR="004807D7" w:rsidRPr="00843F53" w:rsidRDefault="004807D7" w:rsidP="004807D7">
      <w:pPr>
        <w:pStyle w:val="Para1"/>
        <w:numPr>
          <w:ilvl w:val="0"/>
          <w:numId w:val="14"/>
        </w:numPr>
        <w:suppressLineNumbers/>
        <w:tabs>
          <w:tab w:val="num" w:pos="720"/>
        </w:tabs>
        <w:suppressAutoHyphens/>
        <w:spacing w:before="120"/>
        <w:ind w:left="0" w:firstLine="0"/>
        <w:rPr>
          <w:rFonts w:eastAsia="Times New Roman"/>
          <w:szCs w:val="22"/>
          <w:lang w:val="es-ES"/>
        </w:rPr>
      </w:pPr>
      <w:r w:rsidRPr="00843F53">
        <w:rPr>
          <w:rFonts w:eastAsia="Times New Roman"/>
          <w:kern w:val="22"/>
          <w:szCs w:val="22"/>
          <w:lang w:val="es-ES"/>
        </w:rPr>
        <w:t>Con respecto a la traducción del sitio web, la Secretaría del Convenio mejoró su software de traducción web con la compra e instalación de</w:t>
      </w:r>
      <w:r w:rsidR="009F0E89">
        <w:rPr>
          <w:rFonts w:eastAsia="Times New Roman"/>
          <w:kern w:val="22"/>
          <w:szCs w:val="22"/>
          <w:lang w:val="es-ES"/>
        </w:rPr>
        <w:t xml:space="preserve"> varias</w:t>
      </w:r>
      <w:r w:rsidRPr="00843F53">
        <w:rPr>
          <w:rFonts w:eastAsia="Times New Roman"/>
          <w:kern w:val="22"/>
          <w:szCs w:val="22"/>
          <w:lang w:val="es-ES"/>
        </w:rPr>
        <w:t xml:space="preserve"> licencias del software SDL Trados Studio 2017. Una vez realizados los </w:t>
      </w:r>
      <w:r w:rsidR="00982439">
        <w:rPr>
          <w:rFonts w:eastAsia="Times New Roman"/>
          <w:kern w:val="22"/>
          <w:szCs w:val="22"/>
          <w:lang w:val="es-ES"/>
        </w:rPr>
        <w:t xml:space="preserve">necesarios </w:t>
      </w:r>
      <w:r w:rsidRPr="00843F53">
        <w:rPr>
          <w:rFonts w:eastAsia="Times New Roman"/>
          <w:kern w:val="22"/>
          <w:szCs w:val="22"/>
          <w:lang w:val="es-ES"/>
        </w:rPr>
        <w:t xml:space="preserve">ajustes técnicos y pruebas, se reanudó el proceso de traducción de la web </w:t>
      </w:r>
      <w:r w:rsidR="009F0E89">
        <w:rPr>
          <w:rFonts w:eastAsia="Times New Roman"/>
          <w:kern w:val="22"/>
          <w:szCs w:val="22"/>
          <w:lang w:val="es-ES"/>
        </w:rPr>
        <w:t>para</w:t>
      </w:r>
      <w:r w:rsidRPr="00843F53">
        <w:rPr>
          <w:rFonts w:eastAsia="Times New Roman"/>
          <w:kern w:val="22"/>
          <w:szCs w:val="22"/>
          <w:lang w:val="es-ES"/>
        </w:rPr>
        <w:t xml:space="preserve"> los seis idiomas oficiales de las Naciones Unidas (árabe, chino, español, francés, inglés y ruso) con la lista de traductores y el presupuesto disponible, incluida financiación voluntaria de la Unión Europea. </w:t>
      </w:r>
      <w:r w:rsidR="009F0E89">
        <w:rPr>
          <w:rFonts w:eastAsia="Times New Roman"/>
          <w:kern w:val="22"/>
          <w:szCs w:val="22"/>
          <w:lang w:val="es-ES"/>
        </w:rPr>
        <w:t>Entre el 1</w:t>
      </w:r>
      <w:r w:rsidRPr="009F0E89">
        <w:t xml:space="preserve"> </w:t>
      </w:r>
      <w:r w:rsidRPr="00843F53">
        <w:rPr>
          <w:rFonts w:eastAsia="Times New Roman"/>
          <w:kern w:val="22"/>
          <w:szCs w:val="22"/>
          <w:lang w:val="es-ES"/>
        </w:rPr>
        <w:t xml:space="preserve">de junio de 2017 y el 28 de febrero de 2018, se tradujeron un total de 307.093 palabras para el sitio web (69.385 </w:t>
      </w:r>
      <w:r w:rsidR="009F0E89">
        <w:rPr>
          <w:rFonts w:eastAsia="Times New Roman"/>
          <w:kern w:val="22"/>
          <w:szCs w:val="22"/>
          <w:lang w:val="es-ES"/>
        </w:rPr>
        <w:t>d</w:t>
      </w:r>
      <w:r w:rsidRPr="00843F53">
        <w:rPr>
          <w:rFonts w:eastAsia="Times New Roman"/>
          <w:kern w:val="22"/>
          <w:szCs w:val="22"/>
          <w:lang w:val="es-ES"/>
        </w:rPr>
        <w:t xml:space="preserve">e árabe; 59.133 </w:t>
      </w:r>
      <w:r w:rsidR="009F0E89">
        <w:rPr>
          <w:rFonts w:eastAsia="Times New Roman"/>
          <w:kern w:val="22"/>
          <w:szCs w:val="22"/>
          <w:lang w:val="es-ES"/>
        </w:rPr>
        <w:t>d</w:t>
      </w:r>
      <w:r w:rsidRPr="00843F53">
        <w:rPr>
          <w:rFonts w:eastAsia="Times New Roman"/>
          <w:kern w:val="22"/>
          <w:szCs w:val="22"/>
          <w:lang w:val="es-ES"/>
        </w:rPr>
        <w:t xml:space="preserve">e chino; 59.740 </w:t>
      </w:r>
      <w:r w:rsidR="009F0E89">
        <w:rPr>
          <w:rFonts w:eastAsia="Times New Roman"/>
          <w:kern w:val="22"/>
          <w:szCs w:val="22"/>
          <w:lang w:val="es-ES"/>
        </w:rPr>
        <w:t>d</w:t>
      </w:r>
      <w:r w:rsidRPr="00843F53">
        <w:rPr>
          <w:rFonts w:eastAsia="Times New Roman"/>
          <w:kern w:val="22"/>
          <w:szCs w:val="22"/>
          <w:lang w:val="es-ES"/>
        </w:rPr>
        <w:t xml:space="preserve">e español; 53.998 </w:t>
      </w:r>
      <w:r w:rsidR="009F0E89">
        <w:rPr>
          <w:rFonts w:eastAsia="Times New Roman"/>
          <w:kern w:val="22"/>
          <w:szCs w:val="22"/>
          <w:lang w:val="es-ES"/>
        </w:rPr>
        <w:t>d</w:t>
      </w:r>
      <w:r w:rsidRPr="00843F53">
        <w:rPr>
          <w:rFonts w:eastAsia="Times New Roman"/>
          <w:kern w:val="22"/>
          <w:szCs w:val="22"/>
          <w:lang w:val="es-ES"/>
        </w:rPr>
        <w:t xml:space="preserve">e francés; y 64.837 </w:t>
      </w:r>
      <w:r w:rsidR="009F0E89">
        <w:rPr>
          <w:rFonts w:eastAsia="Times New Roman"/>
          <w:kern w:val="22"/>
          <w:szCs w:val="22"/>
          <w:lang w:val="es-ES"/>
        </w:rPr>
        <w:t>d</w:t>
      </w:r>
      <w:r w:rsidRPr="00843F53">
        <w:rPr>
          <w:rFonts w:eastAsia="Times New Roman"/>
          <w:kern w:val="22"/>
          <w:szCs w:val="22"/>
          <w:lang w:val="es-ES"/>
        </w:rPr>
        <w:t>e ruso).</w:t>
      </w:r>
    </w:p>
    <w:p w:rsidR="004807D7" w:rsidRPr="00843F53" w:rsidRDefault="004807D7" w:rsidP="004807D7">
      <w:pPr>
        <w:pStyle w:val="Heading2"/>
        <w:rPr>
          <w:rFonts w:eastAsia="Times New Roman" w:cs="Times New Roman"/>
          <w:bCs w:val="0"/>
          <w:i w:val="0"/>
          <w:iCs w:val="0"/>
          <w:szCs w:val="22"/>
          <w:lang w:val="es-ES"/>
        </w:rPr>
      </w:pPr>
      <w:r w:rsidRPr="00843F53">
        <w:rPr>
          <w:rFonts w:eastAsia="Times New Roman" w:cs="Times New Roman"/>
          <w:bCs w:val="0"/>
          <w:i w:val="0"/>
          <w:iCs w:val="0"/>
          <w:kern w:val="22"/>
          <w:szCs w:val="22"/>
          <w:lang w:val="es-ES"/>
        </w:rPr>
        <w:lastRenderedPageBreak/>
        <w:t>D.</w:t>
      </w:r>
      <w:r w:rsidRPr="00843F53">
        <w:rPr>
          <w:rFonts w:eastAsia="Times New Roman" w:cs="Times New Roman"/>
          <w:bCs w:val="0"/>
          <w:i w:val="0"/>
          <w:iCs w:val="0"/>
          <w:kern w:val="22"/>
          <w:szCs w:val="22"/>
          <w:lang w:val="es-ES"/>
        </w:rPr>
        <w:tab/>
      </w:r>
      <w:r w:rsidR="009F0E89">
        <w:rPr>
          <w:rFonts w:eastAsia="Times New Roman" w:cs="Times New Roman"/>
          <w:bCs w:val="0"/>
          <w:i w:val="0"/>
          <w:iCs w:val="0"/>
          <w:kern w:val="22"/>
          <w:szCs w:val="22"/>
          <w:lang w:val="es-ES"/>
        </w:rPr>
        <w:t>La h</w:t>
      </w:r>
      <w:r w:rsidRPr="00843F53">
        <w:rPr>
          <w:rFonts w:eastAsia="Times New Roman" w:cs="Times New Roman"/>
          <w:bCs w:val="0"/>
          <w:i w:val="0"/>
          <w:iCs w:val="0"/>
          <w:kern w:val="22"/>
          <w:szCs w:val="22"/>
          <w:lang w:val="es-ES"/>
        </w:rPr>
        <w:t>erramienta de presentación de informes en línea</w:t>
      </w:r>
    </w:p>
    <w:p w:rsidR="00E53E36" w:rsidRPr="00843F53" w:rsidRDefault="00E53E36" w:rsidP="00E53E36">
      <w:pPr>
        <w:pStyle w:val="Para1"/>
        <w:numPr>
          <w:ilvl w:val="0"/>
          <w:numId w:val="14"/>
        </w:numPr>
        <w:suppressLineNumbers/>
        <w:tabs>
          <w:tab w:val="num" w:pos="720"/>
        </w:tabs>
        <w:suppressAutoHyphens/>
        <w:spacing w:before="120"/>
        <w:ind w:left="0" w:firstLine="0"/>
        <w:rPr>
          <w:rFonts w:eastAsia="Times New Roman"/>
          <w:szCs w:val="22"/>
          <w:lang w:val="es-ES"/>
        </w:rPr>
      </w:pPr>
      <w:r w:rsidRPr="00843F53">
        <w:rPr>
          <w:rFonts w:eastAsia="Times New Roman"/>
          <w:kern w:val="22"/>
          <w:szCs w:val="22"/>
          <w:lang w:val="es-ES"/>
        </w:rPr>
        <w:t>En el párrafo 18 a) de la decisión XII/2 B, la Conferencia de las Partes pidió al Secretario Ejecutivo que estableciera una herramienta de presentación de informes en línea plenamente operativa que permitiera a las Partes presentar, con carácter voluntario, información sobre sus avances en el logro de las metas nacionales y las Metas de Aichi para la Diversidad Biológica, dando participación directa a las Partes en el proceso de desarrollo y prueba de esta</w:t>
      </w:r>
      <w:r w:rsidR="00982439">
        <w:rPr>
          <w:rFonts w:eastAsia="Times New Roman"/>
          <w:kern w:val="22"/>
          <w:szCs w:val="22"/>
          <w:lang w:val="es-ES"/>
        </w:rPr>
        <w:t xml:space="preserve"> herramienta. En respuesta a es</w:t>
      </w:r>
      <w:r w:rsidRPr="00843F53">
        <w:rPr>
          <w:rFonts w:eastAsia="Times New Roman"/>
          <w:kern w:val="22"/>
          <w:szCs w:val="22"/>
          <w:lang w:val="es-ES"/>
        </w:rPr>
        <w:t xml:space="preserve">a decisión y al párrafo 2 b) de la decisión XIII/27, el Secretario Ejecutivo desarrolló más a fondo la herramienta de presentación de informes en línea de carácter voluntario y la armonizó con las plantillas de presentación de informes para los sextos informes nacionales. La herramienta </w:t>
      </w:r>
      <w:r w:rsidR="009F0E89">
        <w:rPr>
          <w:rFonts w:eastAsia="Times New Roman"/>
          <w:kern w:val="22"/>
          <w:szCs w:val="22"/>
          <w:lang w:val="es-ES"/>
        </w:rPr>
        <w:t>fue</w:t>
      </w:r>
      <w:r w:rsidRPr="00843F53">
        <w:rPr>
          <w:rFonts w:eastAsia="Times New Roman"/>
          <w:kern w:val="22"/>
          <w:szCs w:val="22"/>
          <w:lang w:val="es-ES"/>
        </w:rPr>
        <w:t xml:space="preserve"> anunci</w:t>
      </w:r>
      <w:r w:rsidR="009F0E89">
        <w:rPr>
          <w:rFonts w:eastAsia="Times New Roman"/>
          <w:kern w:val="22"/>
          <w:szCs w:val="22"/>
          <w:lang w:val="es-ES"/>
        </w:rPr>
        <w:t>ada</w:t>
      </w:r>
      <w:r w:rsidRPr="00843F53">
        <w:rPr>
          <w:rFonts w:eastAsia="Times New Roman"/>
          <w:kern w:val="22"/>
          <w:szCs w:val="22"/>
          <w:lang w:val="es-ES"/>
        </w:rPr>
        <w:t xml:space="preserve"> por notificación 2017-031, </w:t>
      </w:r>
      <w:r w:rsidR="009F0E89">
        <w:rPr>
          <w:rFonts w:eastAsia="Times New Roman"/>
          <w:kern w:val="22"/>
          <w:szCs w:val="22"/>
          <w:lang w:val="es-ES"/>
        </w:rPr>
        <w:t>de</w:t>
      </w:r>
      <w:r w:rsidRPr="00843F53">
        <w:rPr>
          <w:rFonts w:eastAsia="Times New Roman"/>
          <w:kern w:val="22"/>
          <w:szCs w:val="22"/>
          <w:lang w:val="es-ES"/>
        </w:rPr>
        <w:t xml:space="preserve"> </w:t>
      </w:r>
      <w:r w:rsidR="009F0E89">
        <w:rPr>
          <w:rFonts w:eastAsia="Times New Roman"/>
          <w:kern w:val="22"/>
          <w:szCs w:val="22"/>
          <w:lang w:val="es-ES"/>
        </w:rPr>
        <w:t>f</w:t>
      </w:r>
      <w:r w:rsidRPr="00843F53">
        <w:rPr>
          <w:rFonts w:eastAsia="Times New Roman"/>
          <w:kern w:val="22"/>
          <w:szCs w:val="22"/>
          <w:lang w:val="es-ES"/>
        </w:rPr>
        <w:t>e</w:t>
      </w:r>
      <w:r w:rsidR="009F0E89">
        <w:rPr>
          <w:rFonts w:eastAsia="Times New Roman"/>
          <w:kern w:val="22"/>
          <w:szCs w:val="22"/>
          <w:lang w:val="es-ES"/>
        </w:rPr>
        <w:t>cha</w:t>
      </w:r>
      <w:r w:rsidRPr="00843F53">
        <w:rPr>
          <w:rFonts w:eastAsia="Times New Roman"/>
          <w:kern w:val="22"/>
          <w:szCs w:val="22"/>
          <w:lang w:val="es-ES"/>
        </w:rPr>
        <w:t xml:space="preserve"> 31 de marzo de 2017 y está disponible en los seis idiomas de las Naciones Unidas a través de los Servicios de Presentación de Información del mecanismo de facilitación en </w:t>
      </w:r>
      <w:hyperlink r:id="rId15" w:history="1">
        <w:r w:rsidRPr="00843F53">
          <w:rPr>
            <w:rStyle w:val="Hyperlink"/>
            <w:rFonts w:eastAsia="Times New Roman"/>
            <w:kern w:val="22"/>
            <w:szCs w:val="22"/>
            <w:lang w:val="es-ES"/>
          </w:rPr>
          <w:t>https://chm.cbd.int</w:t>
        </w:r>
      </w:hyperlink>
      <w:r w:rsidRPr="00843F53">
        <w:rPr>
          <w:rFonts w:eastAsia="Times New Roman"/>
          <w:kern w:val="22"/>
          <w:szCs w:val="22"/>
          <w:lang w:val="es-ES"/>
        </w:rPr>
        <w:t xml:space="preserve">. En el documento </w:t>
      </w:r>
      <w:r w:rsidRPr="00843F53">
        <w:rPr>
          <w:rFonts w:eastAsia="Times New Roman"/>
          <w:color w:val="000000"/>
          <w:kern w:val="22"/>
          <w:szCs w:val="22"/>
          <w:lang w:val="es-ES"/>
        </w:rPr>
        <w:t>CBD/SBI/2/12 sobre presentación de informes nacionales se brinda más información al respecto</w:t>
      </w:r>
      <w:r w:rsidRPr="00843F53">
        <w:rPr>
          <w:rFonts w:eastAsia="Times New Roman"/>
          <w:kern w:val="22"/>
          <w:szCs w:val="22"/>
          <w:lang w:val="es-ES"/>
        </w:rPr>
        <w:t>.</w:t>
      </w:r>
    </w:p>
    <w:p w:rsidR="00071828" w:rsidRPr="00843F53" w:rsidRDefault="00071828" w:rsidP="00071828">
      <w:pPr>
        <w:pStyle w:val="Para1"/>
        <w:numPr>
          <w:ilvl w:val="0"/>
          <w:numId w:val="14"/>
        </w:numPr>
        <w:suppressLineNumbers/>
        <w:tabs>
          <w:tab w:val="num" w:pos="720"/>
        </w:tabs>
        <w:suppressAutoHyphens/>
        <w:spacing w:before="120"/>
        <w:ind w:left="0" w:firstLine="0"/>
        <w:rPr>
          <w:rFonts w:eastAsia="Times New Roman"/>
          <w:szCs w:val="22"/>
          <w:lang w:val="es-ES"/>
        </w:rPr>
      </w:pPr>
      <w:r w:rsidRPr="00843F53">
        <w:rPr>
          <w:rFonts w:eastAsia="Times New Roman"/>
          <w:kern w:val="22"/>
          <w:szCs w:val="22"/>
          <w:lang w:val="es-ES"/>
        </w:rPr>
        <w:t xml:space="preserve">Se habilitó a los Puntos Focales Nacionales a publicar información nacional y dar acceso a esta herramienta a otros usuarios asignándoles el papel de Autoridad Nacional de Publicación o Usuario Nacional Autorizado, según corresponda. Si precisan ayuda, los usuarios pueden solicitarla a través de un botón de ayuda en vivo ubicado en la parte inferior de cada página o por correo electrónico enviado a la dirección </w:t>
      </w:r>
      <w:hyperlink r:id="rId16" w:history="1">
        <w:r w:rsidRPr="00843F53">
          <w:rPr>
            <w:rStyle w:val="Hyperlink"/>
            <w:rFonts w:eastAsia="Times New Roman"/>
            <w:kern w:val="22"/>
            <w:szCs w:val="22"/>
            <w:lang w:val="es-ES"/>
          </w:rPr>
          <w:t>onlinereporting@cbd.int</w:t>
        </w:r>
      </w:hyperlink>
      <w:r w:rsidRPr="00843F53">
        <w:rPr>
          <w:rFonts w:eastAsia="Times New Roman"/>
          <w:kern w:val="22"/>
          <w:szCs w:val="22"/>
          <w:lang w:val="es-ES"/>
        </w:rPr>
        <w:t>. Se han realizado más esfuerzos para desarrollar una infraestructura común para el mecanismo de facilitación y los dos centros de intercambio de información como parte de la puesta en práctica de la estrategia web para el Convenio y sus Protocolos. En la estrategia web actualizada (</w:t>
      </w:r>
      <w:r w:rsidRPr="00843F53">
        <w:rPr>
          <w:rFonts w:eastAsia="Times New Roman"/>
          <w:color w:val="000000"/>
          <w:kern w:val="22"/>
          <w:szCs w:val="22"/>
          <w:lang w:val="es-ES"/>
        </w:rPr>
        <w:t>CBD/SBI/2/INF/16</w:t>
      </w:r>
      <w:r w:rsidRPr="00843F53">
        <w:rPr>
          <w:rFonts w:eastAsia="Times New Roman"/>
          <w:kern w:val="22"/>
          <w:szCs w:val="22"/>
          <w:lang w:val="es-ES"/>
        </w:rPr>
        <w:t xml:space="preserve">) y en la documentación técnica de apoyo </w:t>
      </w:r>
      <w:r w:rsidR="005460AE">
        <w:rPr>
          <w:rFonts w:eastAsia="Times New Roman"/>
          <w:kern w:val="22"/>
          <w:szCs w:val="22"/>
          <w:lang w:val="es-ES"/>
        </w:rPr>
        <w:t>referida a</w:t>
      </w:r>
      <w:r w:rsidRPr="00843F53">
        <w:rPr>
          <w:rFonts w:eastAsia="Times New Roman"/>
          <w:kern w:val="22"/>
          <w:szCs w:val="22"/>
          <w:lang w:val="es-ES"/>
        </w:rPr>
        <w:t xml:space="preserve"> su puesta en práctica se brindan detalles técnicos, incluido</w:t>
      </w:r>
      <w:r w:rsidR="005460AE">
        <w:rPr>
          <w:rFonts w:eastAsia="Times New Roman"/>
          <w:kern w:val="22"/>
          <w:szCs w:val="22"/>
          <w:lang w:val="es-ES"/>
        </w:rPr>
        <w:t xml:space="preserve"> </w:t>
      </w:r>
      <w:r w:rsidRPr="00843F53">
        <w:rPr>
          <w:rFonts w:eastAsia="Times New Roman"/>
          <w:kern w:val="22"/>
          <w:szCs w:val="22"/>
          <w:lang w:val="es-ES"/>
        </w:rPr>
        <w:t>s</w:t>
      </w:r>
      <w:r w:rsidR="005460AE">
        <w:rPr>
          <w:rFonts w:eastAsia="Times New Roman"/>
          <w:kern w:val="22"/>
          <w:szCs w:val="22"/>
          <w:lang w:val="es-ES"/>
        </w:rPr>
        <w:t>obre</w:t>
      </w:r>
      <w:r w:rsidRPr="00843F53">
        <w:rPr>
          <w:rFonts w:eastAsia="Times New Roman"/>
          <w:kern w:val="22"/>
          <w:szCs w:val="22"/>
          <w:lang w:val="es-ES"/>
        </w:rPr>
        <w:t xml:space="preserve"> el diseño, el acceso y las cuentas del portal común.</w:t>
      </w:r>
    </w:p>
    <w:p w:rsidR="00071828" w:rsidRPr="00843F53" w:rsidRDefault="00071828" w:rsidP="00071828">
      <w:pPr>
        <w:pStyle w:val="Heading2"/>
        <w:rPr>
          <w:rFonts w:eastAsia="Times New Roman" w:cs="Times New Roman"/>
          <w:bCs w:val="0"/>
          <w:i w:val="0"/>
          <w:iCs w:val="0"/>
          <w:szCs w:val="22"/>
          <w:lang w:val="es-ES"/>
        </w:rPr>
      </w:pPr>
      <w:r w:rsidRPr="00843F53">
        <w:rPr>
          <w:rFonts w:eastAsia="Times New Roman" w:cs="Times New Roman"/>
          <w:bCs w:val="0"/>
          <w:i w:val="0"/>
          <w:iCs w:val="0"/>
          <w:kern w:val="22"/>
          <w:szCs w:val="22"/>
          <w:lang w:val="es-ES"/>
        </w:rPr>
        <w:t>E.</w:t>
      </w:r>
      <w:r w:rsidRPr="00843F53">
        <w:rPr>
          <w:rFonts w:eastAsia="Times New Roman" w:cs="Times New Roman"/>
          <w:bCs w:val="0"/>
          <w:i w:val="0"/>
          <w:iCs w:val="0"/>
          <w:kern w:val="22"/>
          <w:szCs w:val="22"/>
          <w:lang w:val="es-ES"/>
        </w:rPr>
        <w:tab/>
        <w:t>Interoperabilidad</w:t>
      </w:r>
    </w:p>
    <w:p w:rsidR="00E872D2" w:rsidRPr="00843F53" w:rsidRDefault="00E872D2" w:rsidP="00E872D2">
      <w:pPr>
        <w:pStyle w:val="Para1"/>
        <w:numPr>
          <w:ilvl w:val="0"/>
          <w:numId w:val="14"/>
        </w:numPr>
        <w:suppressLineNumbers/>
        <w:tabs>
          <w:tab w:val="num" w:pos="720"/>
        </w:tabs>
        <w:suppressAutoHyphens/>
        <w:spacing w:before="120"/>
        <w:ind w:left="0" w:firstLine="0"/>
        <w:rPr>
          <w:rFonts w:eastAsia="Times New Roman"/>
          <w:szCs w:val="22"/>
          <w:lang w:val="es-ES"/>
        </w:rPr>
      </w:pPr>
      <w:r w:rsidRPr="00843F53">
        <w:rPr>
          <w:rFonts w:eastAsia="Times New Roman"/>
          <w:kern w:val="22"/>
          <w:szCs w:val="22"/>
          <w:lang w:val="es-ES"/>
        </w:rPr>
        <w:t>En el párrafo 18 b) de la decisión XII/2 B se pidió al Secretario Ejecutivo que desarrollara la interoperabilidad con mecanismos nacionales de facilitación, entre ellos el conjunto existente de herramientas para portales utilizado por muchos mecanismos nacionales de facilitación. En respuesta a este pedido, el Secretario Ejecutivo desarroll</w:t>
      </w:r>
      <w:r w:rsidR="00101593">
        <w:rPr>
          <w:rFonts w:eastAsia="Times New Roman"/>
          <w:kern w:val="22"/>
          <w:szCs w:val="22"/>
          <w:lang w:val="es-ES"/>
        </w:rPr>
        <w:t>ó</w:t>
      </w:r>
      <w:r w:rsidRPr="00843F53">
        <w:rPr>
          <w:rFonts w:eastAsia="Times New Roman"/>
          <w:kern w:val="22"/>
          <w:szCs w:val="22"/>
          <w:lang w:val="es-ES"/>
        </w:rPr>
        <w:t xml:space="preserve"> una interfaz de programación de aplicaciones (API) para permitir la interoperabilidad con mecanismos de facilitación nacionales y otros asociados. La API evolucionó y es ahora la principal vía de acceso a los registros del mecanismo de facilitación. Este enfoque significa que todos los servicios de presentación de información del mecanismo de facilitación basados en la nueva infraestructura web, como la herramienta de presentación de informes en línea y la herramienta de búsqueda de decisiones, utilizan esta API para almacenar y recuperar sus registros. Además, el código fuente de estos sistemas en línea está disponible como proyectos de software libre en el repositorio en línea de GitHub en </w:t>
      </w:r>
      <w:hyperlink r:id="rId17" w:history="1">
        <w:r w:rsidRPr="00843F53">
          <w:rPr>
            <w:rFonts w:eastAsia="Times New Roman"/>
            <w:szCs w:val="22"/>
            <w:lang w:val="es-ES"/>
          </w:rPr>
          <w:t>https://github.com/scbd</w:t>
        </w:r>
      </w:hyperlink>
      <w:r w:rsidRPr="00843F53">
        <w:rPr>
          <w:rFonts w:eastAsia="Times New Roman"/>
          <w:kern w:val="22"/>
          <w:szCs w:val="22"/>
          <w:lang w:val="es-ES"/>
        </w:rPr>
        <w:t>. El trabajo futuro que se realice con respecto a la API se armonizará con el proceso de puesta en práctica de la estrategia web.</w:t>
      </w:r>
    </w:p>
    <w:p w:rsidR="00E872D2" w:rsidRPr="00843F53" w:rsidRDefault="00E872D2" w:rsidP="00E872D2">
      <w:pPr>
        <w:pStyle w:val="Para1"/>
        <w:numPr>
          <w:ilvl w:val="0"/>
          <w:numId w:val="14"/>
        </w:numPr>
        <w:suppressLineNumbers/>
        <w:tabs>
          <w:tab w:val="num" w:pos="720"/>
        </w:tabs>
        <w:suppressAutoHyphens/>
        <w:spacing w:before="120"/>
        <w:ind w:left="0" w:firstLine="0"/>
        <w:rPr>
          <w:rFonts w:eastAsia="Times New Roman"/>
          <w:kern w:val="22"/>
          <w:szCs w:val="22"/>
          <w:lang w:val="es-ES"/>
        </w:rPr>
      </w:pPr>
      <w:r w:rsidRPr="00101593">
        <w:rPr>
          <w:rFonts w:eastAsia="Times New Roman"/>
          <w:spacing w:val="-2"/>
          <w:szCs w:val="22"/>
          <w:lang w:val="es-ES"/>
        </w:rPr>
        <w:t xml:space="preserve">En el párrafo 18 c) de la decisión XII/2 B, se pidió al Secretario Ejecutivo que mantuviera la interoperabilidad con InforMEA para permitir búsquedas mundiales de información pertinente referida al Convenio sobre la Diversidad Biológica en el sitio web de InforMEA </w:t>
      </w:r>
      <w:r w:rsidRPr="00101593">
        <w:rPr>
          <w:rFonts w:eastAsia="Times New Roman"/>
          <w:spacing w:val="-2"/>
          <w:kern w:val="22"/>
          <w:szCs w:val="22"/>
          <w:lang w:val="es-ES"/>
        </w:rPr>
        <w:t>(</w:t>
      </w:r>
      <w:hyperlink r:id="rId18" w:history="1">
        <w:r w:rsidRPr="00101593">
          <w:rPr>
            <w:rStyle w:val="Hyperlink"/>
            <w:rFonts w:eastAsia="Times New Roman"/>
            <w:spacing w:val="-2"/>
            <w:kern w:val="22"/>
            <w:szCs w:val="22"/>
            <w:lang w:val="es-ES"/>
          </w:rPr>
          <w:t>http://www.informea.org/es</w:t>
        </w:r>
      </w:hyperlink>
      <w:r w:rsidRPr="00101593">
        <w:rPr>
          <w:rFonts w:eastAsia="Times New Roman"/>
          <w:spacing w:val="-2"/>
          <w:kern w:val="22"/>
          <w:szCs w:val="22"/>
          <w:lang w:val="es-ES"/>
        </w:rPr>
        <w:t>), al que se puede acceder a través del sitio web del CDB</w:t>
      </w:r>
      <w:r w:rsidRPr="00101593">
        <w:rPr>
          <w:rFonts w:eastAsia="Times New Roman"/>
          <w:spacing w:val="-2"/>
          <w:szCs w:val="22"/>
          <w:lang w:val="es-ES"/>
        </w:rPr>
        <w:t>.</w:t>
      </w:r>
      <w:r w:rsidRPr="00101593">
        <w:rPr>
          <w:rFonts w:eastAsia="Times New Roman"/>
          <w:spacing w:val="-2"/>
          <w:kern w:val="22"/>
          <w:szCs w:val="22"/>
          <w:lang w:val="es-ES"/>
        </w:rPr>
        <w:t xml:space="preserve"> La Secretaría ha estado implementando y manteniendo la API de InforMEA según las especificaciones que se brindan en </w:t>
      </w:r>
      <w:hyperlink r:id="rId19" w:history="1">
        <w:r w:rsidRPr="00101593">
          <w:rPr>
            <w:rStyle w:val="Hyperlink"/>
            <w:rFonts w:eastAsia="Times New Roman"/>
            <w:spacing w:val="-2"/>
            <w:kern w:val="22"/>
            <w:szCs w:val="22"/>
            <w:lang w:val="es-ES"/>
          </w:rPr>
          <w:t>https://www.informea.org/es/about/api</w:t>
        </w:r>
      </w:hyperlink>
      <w:r w:rsidRPr="00843F53">
        <w:rPr>
          <w:rFonts w:eastAsia="Times New Roman"/>
          <w:kern w:val="22"/>
          <w:szCs w:val="22"/>
          <w:lang w:val="es-ES"/>
        </w:rPr>
        <w:t>.</w:t>
      </w:r>
    </w:p>
    <w:p w:rsidR="00E872D2" w:rsidRPr="00843F53" w:rsidRDefault="00E872D2" w:rsidP="00E872D2">
      <w:pPr>
        <w:pStyle w:val="Heading2"/>
        <w:rPr>
          <w:rFonts w:eastAsia="Times New Roman" w:cs="Times New Roman"/>
          <w:bCs w:val="0"/>
          <w:i w:val="0"/>
          <w:iCs w:val="0"/>
          <w:szCs w:val="22"/>
          <w:lang w:val="es-ES"/>
        </w:rPr>
      </w:pPr>
      <w:r w:rsidRPr="00843F53">
        <w:rPr>
          <w:rFonts w:eastAsia="Times New Roman" w:cs="Times New Roman"/>
          <w:bCs w:val="0"/>
          <w:i w:val="0"/>
          <w:iCs w:val="0"/>
          <w:kern w:val="22"/>
          <w:szCs w:val="22"/>
          <w:lang w:val="es-ES"/>
        </w:rPr>
        <w:t>F.</w:t>
      </w:r>
      <w:r w:rsidRPr="00843F53">
        <w:rPr>
          <w:rFonts w:eastAsia="Times New Roman" w:cs="Times New Roman"/>
          <w:bCs w:val="0"/>
          <w:i w:val="0"/>
          <w:iCs w:val="0"/>
          <w:kern w:val="22"/>
          <w:szCs w:val="22"/>
          <w:lang w:val="es-ES"/>
        </w:rPr>
        <w:tab/>
        <w:t>Apoyo para los mecanismos de facilitación nacionales</w:t>
      </w:r>
    </w:p>
    <w:p w:rsidR="00D729CB" w:rsidRPr="00ED5CB5" w:rsidRDefault="00D729CB" w:rsidP="00D729CB">
      <w:pPr>
        <w:pStyle w:val="Para1"/>
        <w:numPr>
          <w:ilvl w:val="0"/>
          <w:numId w:val="14"/>
        </w:numPr>
        <w:suppressLineNumbers/>
        <w:tabs>
          <w:tab w:val="num" w:pos="720"/>
        </w:tabs>
        <w:suppressAutoHyphens/>
        <w:spacing w:before="120"/>
        <w:ind w:left="0" w:firstLine="0"/>
        <w:rPr>
          <w:rFonts w:eastAsia="Times New Roman"/>
          <w:szCs w:val="22"/>
          <w:lang w:val="es-ES"/>
        </w:rPr>
      </w:pPr>
      <w:r w:rsidRPr="00ED5CB5">
        <w:rPr>
          <w:rFonts w:eastAsia="Times New Roman"/>
          <w:kern w:val="22"/>
          <w:szCs w:val="22"/>
          <w:lang w:val="es-ES"/>
        </w:rPr>
        <w:t>En la decisión XII/2 B, la Conferencia de las Partes invitó a las Partes y a socios a brindar apoyo a las Partes que</w:t>
      </w:r>
      <w:r w:rsidR="00067B5B" w:rsidRPr="00ED5CB5">
        <w:rPr>
          <w:rFonts w:eastAsia="Times New Roman"/>
          <w:kern w:val="22"/>
          <w:szCs w:val="22"/>
          <w:lang w:val="es-ES"/>
        </w:rPr>
        <w:t xml:space="preserve"> fueran países en desarrollo</w:t>
      </w:r>
      <w:r w:rsidRPr="00ED5CB5">
        <w:rPr>
          <w:rFonts w:eastAsia="Times New Roman"/>
          <w:kern w:val="22"/>
          <w:szCs w:val="22"/>
          <w:lang w:val="es-ES"/>
        </w:rPr>
        <w:t xml:space="preserve"> </w:t>
      </w:r>
      <w:r w:rsidR="00067B5B" w:rsidRPr="00ED5CB5">
        <w:rPr>
          <w:rFonts w:eastAsia="Times New Roman"/>
          <w:kern w:val="22"/>
          <w:szCs w:val="22"/>
          <w:lang w:val="es-ES"/>
        </w:rPr>
        <w:t xml:space="preserve">y </w:t>
      </w:r>
      <w:r w:rsidRPr="00ED5CB5">
        <w:rPr>
          <w:rFonts w:eastAsia="Times New Roman"/>
          <w:kern w:val="22"/>
          <w:szCs w:val="22"/>
          <w:lang w:val="es-ES"/>
        </w:rPr>
        <w:t>estuvieran desarrollando sus mecanismos de facilitación nacionales</w:t>
      </w:r>
      <w:r w:rsidR="00D93D6F" w:rsidRPr="00ED5CB5">
        <w:rPr>
          <w:rFonts w:eastAsia="Times New Roman"/>
          <w:kern w:val="22"/>
          <w:szCs w:val="22"/>
          <w:lang w:val="es-ES"/>
        </w:rPr>
        <w:t xml:space="preserve"> </w:t>
      </w:r>
      <w:r w:rsidRPr="00ED5CB5">
        <w:rPr>
          <w:rFonts w:eastAsia="Times New Roman"/>
          <w:kern w:val="22"/>
          <w:szCs w:val="22"/>
          <w:lang w:val="es-ES"/>
        </w:rPr>
        <w:t>(párr. 1</w:t>
      </w:r>
      <w:r w:rsidR="00ED5CB5" w:rsidRPr="00ED5CB5">
        <w:rPr>
          <w:rFonts w:eastAsia="Times New Roman"/>
          <w:kern w:val="22"/>
          <w:szCs w:val="22"/>
          <w:lang w:val="es-ES"/>
        </w:rPr>
        <w:t>5</w:t>
      </w:r>
      <w:r w:rsidRPr="00ED5CB5">
        <w:rPr>
          <w:rFonts w:eastAsia="Times New Roman"/>
          <w:kern w:val="22"/>
          <w:szCs w:val="22"/>
          <w:lang w:val="es-ES"/>
        </w:rPr>
        <w:t>) y también invitó a las Partes y a los donantes a que siguieran brindando apoyo financiero para establecer y fortalecer sus mecanismos de facilitación nacionales, incluida la preparación de contenidos y para su traducción a fin de facilitar el intercambio de información y conocimientos (párr.</w:t>
      </w:r>
      <w:r w:rsidR="00067B5B" w:rsidRPr="00ED5CB5">
        <w:rPr>
          <w:rFonts w:eastAsia="Times New Roman"/>
          <w:kern w:val="22"/>
          <w:szCs w:val="22"/>
          <w:lang w:val="es-ES"/>
        </w:rPr>
        <w:t> </w:t>
      </w:r>
      <w:r w:rsidRPr="00ED5CB5">
        <w:rPr>
          <w:rFonts w:eastAsia="Times New Roman"/>
          <w:kern w:val="22"/>
          <w:szCs w:val="22"/>
          <w:lang w:val="es-ES"/>
        </w:rPr>
        <w:t>1</w:t>
      </w:r>
      <w:r w:rsidR="00ED5CB5" w:rsidRPr="00ED5CB5">
        <w:rPr>
          <w:rFonts w:eastAsia="Times New Roman"/>
          <w:kern w:val="22"/>
          <w:szCs w:val="22"/>
          <w:lang w:val="es-ES"/>
        </w:rPr>
        <w:t>6</w:t>
      </w:r>
      <w:r w:rsidRPr="00ED5CB5">
        <w:rPr>
          <w:rFonts w:eastAsia="Times New Roman"/>
          <w:kern w:val="22"/>
          <w:szCs w:val="22"/>
          <w:lang w:val="es-ES"/>
        </w:rPr>
        <w:t xml:space="preserve">). En el párrafo 12 de la decisión XIII/23, la Conferencia de las Partes alentó a las Partes a que continuaran sus esfuerzos para establecer, mantener y desarrollar mecanismos de facilitación nacionales eficaces en apoyo a la implementación de sus estrategias y planes de acción nacionales en materia de biodiversidad. </w:t>
      </w:r>
    </w:p>
    <w:p w:rsidR="008204BA" w:rsidRPr="00843F53" w:rsidRDefault="008204BA" w:rsidP="008204BA">
      <w:pPr>
        <w:pStyle w:val="Para1"/>
        <w:numPr>
          <w:ilvl w:val="0"/>
          <w:numId w:val="14"/>
        </w:numPr>
        <w:suppressLineNumbers/>
        <w:tabs>
          <w:tab w:val="num" w:pos="720"/>
        </w:tabs>
        <w:suppressAutoHyphens/>
        <w:spacing w:before="120"/>
        <w:ind w:left="0" w:firstLine="0"/>
        <w:rPr>
          <w:rFonts w:eastAsia="Times New Roman"/>
          <w:szCs w:val="22"/>
          <w:lang w:val="es-ES"/>
        </w:rPr>
      </w:pPr>
      <w:r w:rsidRPr="00843F53">
        <w:rPr>
          <w:rFonts w:eastAsia="Times New Roman"/>
          <w:kern w:val="22"/>
          <w:szCs w:val="22"/>
          <w:lang w:val="es-ES"/>
        </w:rPr>
        <w:lastRenderedPageBreak/>
        <w:t>La Secretaría brindó apoyo para el desarrollo de mecanismos de facilitación nacionales durante el período 2017-2018. Este apoyo incluyó la organización de dos talleres regionales de creación de capacidad sobre el mecanismo de facilitación, a los que se hace referencia en el documento CBD/SBI/2/INF/6, así como apoyo para seguir desarrollando y poner en funcionamiento la herramienta Bioland que facilita el establecimiento de mecanismos de facilitación nacionales. La primera versión de la herramienta Bioland para ayudar a las Partes a establecer sus mecanismos de facilitación nacionales se presentó en los dos talleres mencionados, que se llevaron a cabo en Etiopía y Togo. Desde entonces, la Secretaría desarrolló una versión m</w:t>
      </w:r>
      <w:r w:rsidR="005D0442">
        <w:rPr>
          <w:rFonts w:eastAsia="Times New Roman"/>
          <w:kern w:val="22"/>
          <w:szCs w:val="22"/>
          <w:lang w:val="es-ES"/>
        </w:rPr>
        <w:t>ejor</w:t>
      </w:r>
      <w:r w:rsidRPr="00843F53">
        <w:rPr>
          <w:rFonts w:eastAsia="Times New Roman"/>
          <w:kern w:val="22"/>
          <w:szCs w:val="22"/>
          <w:lang w:val="es-ES"/>
        </w:rPr>
        <w:t xml:space="preserve">ada de esta herramienta. Entre otras cosas, esta nueva versión agilizaría la migración de los mecanismos de facilitación nacionales existentes desarrollados con el conjunto europeo de herramientas para portales de mecanismos de facilitación a la nueva herramienta Bioland. La versión actual de la herramienta puede visualizarse en </w:t>
      </w:r>
      <w:hyperlink r:id="rId20" w:history="1">
        <w:r w:rsidRPr="00843F53">
          <w:rPr>
            <w:rFonts w:eastAsia="Times New Roman"/>
            <w:szCs w:val="22"/>
            <w:lang w:val="es-ES"/>
          </w:rPr>
          <w:t>https://demo.chm-cbd.net</w:t>
        </w:r>
      </w:hyperlink>
      <w:r w:rsidRPr="00843F53">
        <w:rPr>
          <w:rFonts w:eastAsia="Times New Roman"/>
          <w:kern w:val="22"/>
          <w:szCs w:val="22"/>
          <w:lang w:val="es-ES"/>
        </w:rPr>
        <w:t>. Varias Partes que ya ha</w:t>
      </w:r>
      <w:r w:rsidR="00C66277">
        <w:rPr>
          <w:rFonts w:eastAsia="Times New Roman"/>
          <w:kern w:val="22"/>
          <w:szCs w:val="22"/>
          <w:lang w:val="es-ES"/>
        </w:rPr>
        <w:t>bía</w:t>
      </w:r>
      <w:r w:rsidRPr="00843F53">
        <w:rPr>
          <w:rFonts w:eastAsia="Times New Roman"/>
          <w:kern w:val="22"/>
          <w:szCs w:val="22"/>
          <w:lang w:val="es-ES"/>
        </w:rPr>
        <w:t>n establecido un mecanismo de facilitación nacional mostra</w:t>
      </w:r>
      <w:r w:rsidR="00C66277">
        <w:rPr>
          <w:rFonts w:eastAsia="Times New Roman"/>
          <w:kern w:val="22"/>
          <w:szCs w:val="22"/>
          <w:lang w:val="es-ES"/>
        </w:rPr>
        <w:t>r</w:t>
      </w:r>
      <w:r w:rsidRPr="00843F53">
        <w:rPr>
          <w:rFonts w:eastAsia="Times New Roman"/>
          <w:kern w:val="22"/>
          <w:szCs w:val="22"/>
          <w:lang w:val="es-ES"/>
        </w:rPr>
        <w:t>o</w:t>
      </w:r>
      <w:r w:rsidR="00C66277">
        <w:rPr>
          <w:rFonts w:eastAsia="Times New Roman"/>
          <w:kern w:val="22"/>
          <w:szCs w:val="22"/>
          <w:lang w:val="es-ES"/>
        </w:rPr>
        <w:t>n</w:t>
      </w:r>
      <w:r w:rsidRPr="00843F53">
        <w:rPr>
          <w:rFonts w:eastAsia="Times New Roman"/>
          <w:kern w:val="22"/>
          <w:szCs w:val="22"/>
          <w:lang w:val="es-ES"/>
        </w:rPr>
        <w:t xml:space="preserve"> interés en migrar sus sitios web del mecanismo de facilitación nacional</w:t>
      </w:r>
      <w:r w:rsidR="00C66277">
        <w:rPr>
          <w:rFonts w:eastAsia="Times New Roman"/>
          <w:kern w:val="22"/>
          <w:szCs w:val="22"/>
          <w:lang w:val="es-ES"/>
        </w:rPr>
        <w:t xml:space="preserve"> existentes</w:t>
      </w:r>
      <w:r w:rsidRPr="00843F53">
        <w:rPr>
          <w:rFonts w:eastAsia="Times New Roman"/>
          <w:kern w:val="22"/>
          <w:szCs w:val="22"/>
          <w:lang w:val="es-ES"/>
        </w:rPr>
        <w:t xml:space="preserve"> a la herramienta Bioland. Por otra pa</w:t>
      </w:r>
      <w:r w:rsidR="00D14BAF" w:rsidRPr="00843F53">
        <w:rPr>
          <w:rFonts w:eastAsia="Times New Roman"/>
          <w:kern w:val="22"/>
          <w:szCs w:val="22"/>
          <w:lang w:val="es-ES"/>
        </w:rPr>
        <w:t>r</w:t>
      </w:r>
      <w:r w:rsidRPr="00843F53">
        <w:rPr>
          <w:rFonts w:eastAsia="Times New Roman"/>
          <w:kern w:val="22"/>
          <w:szCs w:val="22"/>
          <w:lang w:val="es-ES"/>
        </w:rPr>
        <w:t xml:space="preserve">te, el conjunto europeo de herramientas para portales de mecanismos de facilitación en los que se sustentan más de 30 mecanismos de facilitación nacionales no estará en condiciones de </w:t>
      </w:r>
      <w:r w:rsidR="00C66277">
        <w:rPr>
          <w:rFonts w:eastAsia="Times New Roman"/>
          <w:kern w:val="22"/>
          <w:szCs w:val="22"/>
          <w:lang w:val="es-ES"/>
        </w:rPr>
        <w:t xml:space="preserve">seguir </w:t>
      </w:r>
      <w:r w:rsidRPr="00843F53">
        <w:rPr>
          <w:rFonts w:eastAsia="Times New Roman"/>
          <w:kern w:val="22"/>
          <w:szCs w:val="22"/>
          <w:lang w:val="es-ES"/>
        </w:rPr>
        <w:t>brinda</w:t>
      </w:r>
      <w:r w:rsidR="00C66277">
        <w:rPr>
          <w:rFonts w:eastAsia="Times New Roman"/>
          <w:kern w:val="22"/>
          <w:szCs w:val="22"/>
          <w:lang w:val="es-ES"/>
        </w:rPr>
        <w:t>ndo</w:t>
      </w:r>
      <w:r w:rsidRPr="00843F53">
        <w:rPr>
          <w:rFonts w:eastAsia="Times New Roman"/>
          <w:kern w:val="22"/>
          <w:szCs w:val="22"/>
          <w:lang w:val="es-ES"/>
        </w:rPr>
        <w:t xml:space="preserve"> apoyo a las Partes. Por lo tanto, se está </w:t>
      </w:r>
      <w:r w:rsidR="00C66277">
        <w:rPr>
          <w:rFonts w:eastAsia="Times New Roman"/>
          <w:kern w:val="22"/>
          <w:szCs w:val="22"/>
          <w:lang w:val="es-ES"/>
        </w:rPr>
        <w:t>emprendiendo</w:t>
      </w:r>
      <w:r w:rsidRPr="00843F53">
        <w:rPr>
          <w:rFonts w:eastAsia="Times New Roman"/>
          <w:kern w:val="22"/>
          <w:szCs w:val="22"/>
          <w:lang w:val="es-ES"/>
        </w:rPr>
        <w:t xml:space="preserve"> un proceso para migrar estos mecanismos de facilitación</w:t>
      </w:r>
      <w:r w:rsidR="00C66277">
        <w:rPr>
          <w:rFonts w:eastAsia="Times New Roman"/>
          <w:kern w:val="22"/>
          <w:szCs w:val="22"/>
          <w:lang w:val="es-ES"/>
        </w:rPr>
        <w:t xml:space="preserve"> nacionales</w:t>
      </w:r>
      <w:r w:rsidRPr="00843F53">
        <w:rPr>
          <w:rFonts w:eastAsia="Times New Roman"/>
          <w:kern w:val="22"/>
          <w:szCs w:val="22"/>
          <w:lang w:val="es-ES"/>
        </w:rPr>
        <w:t xml:space="preserve"> a la herramienta Bioland. </w:t>
      </w:r>
    </w:p>
    <w:p w:rsidR="008204BA" w:rsidRPr="00843F53" w:rsidRDefault="008204BA" w:rsidP="008204BA">
      <w:pPr>
        <w:pStyle w:val="Heading2"/>
        <w:rPr>
          <w:rFonts w:eastAsia="Times New Roman" w:cs="Times New Roman"/>
          <w:bCs w:val="0"/>
          <w:i w:val="0"/>
          <w:iCs w:val="0"/>
          <w:szCs w:val="22"/>
          <w:lang w:val="es-ES"/>
        </w:rPr>
      </w:pPr>
      <w:r w:rsidRPr="00843F53">
        <w:rPr>
          <w:rFonts w:eastAsia="Times New Roman" w:cs="Times New Roman"/>
          <w:bCs w:val="0"/>
          <w:i w:val="0"/>
          <w:iCs w:val="0"/>
          <w:kern w:val="22"/>
          <w:szCs w:val="22"/>
          <w:lang w:val="es-ES"/>
        </w:rPr>
        <w:t>G.</w:t>
      </w:r>
      <w:r w:rsidRPr="00843F53">
        <w:rPr>
          <w:rFonts w:eastAsia="Times New Roman" w:cs="Times New Roman"/>
          <w:bCs w:val="0"/>
          <w:i w:val="0"/>
          <w:iCs w:val="0"/>
          <w:kern w:val="22"/>
          <w:szCs w:val="22"/>
          <w:lang w:val="es-ES"/>
        </w:rPr>
        <w:tab/>
        <w:t>Premio para mecanismos de facilitación nacionales</w:t>
      </w:r>
    </w:p>
    <w:p w:rsidR="008808A5" w:rsidRPr="00843F53" w:rsidRDefault="008808A5" w:rsidP="008808A5">
      <w:pPr>
        <w:pStyle w:val="Para1"/>
        <w:numPr>
          <w:ilvl w:val="0"/>
          <w:numId w:val="14"/>
        </w:numPr>
        <w:suppressLineNumbers/>
        <w:tabs>
          <w:tab w:val="num" w:pos="720"/>
        </w:tabs>
        <w:suppressAutoHyphens/>
        <w:spacing w:before="120"/>
        <w:ind w:left="0" w:firstLine="0"/>
        <w:rPr>
          <w:rFonts w:eastAsia="Times New Roman"/>
          <w:szCs w:val="22"/>
          <w:lang w:val="es-ES"/>
        </w:rPr>
      </w:pPr>
      <w:r w:rsidRPr="00843F53">
        <w:rPr>
          <w:rFonts w:eastAsia="Times New Roman"/>
          <w:kern w:val="22"/>
          <w:szCs w:val="22"/>
          <w:lang w:val="es-ES"/>
        </w:rPr>
        <w:t xml:space="preserve">En el párrafo 15 de la decisión XII/2 B, la Conferencia de las Partes pidió al Secretario Ejecutivo que propusiera, en colaboración con el Comité Asesor Oficioso </w:t>
      </w:r>
      <w:r w:rsidR="00F34A51">
        <w:rPr>
          <w:rFonts w:eastAsia="Times New Roman"/>
          <w:kern w:val="22"/>
          <w:szCs w:val="22"/>
          <w:lang w:val="es-ES"/>
        </w:rPr>
        <w:t xml:space="preserve">para </w:t>
      </w:r>
      <w:r w:rsidRPr="00843F53">
        <w:rPr>
          <w:rFonts w:eastAsia="Times New Roman"/>
          <w:kern w:val="22"/>
          <w:szCs w:val="22"/>
          <w:lang w:val="es-ES"/>
        </w:rPr>
        <w:t>el Mecanismo de Facilitación, un proceso dirigido a otorgar, en las reuniones 13ª, 14ª y 15ª de la Conferencia de las Partes, un premio a aquellas Partes que h</w:t>
      </w:r>
      <w:r w:rsidR="00C66277">
        <w:rPr>
          <w:rFonts w:eastAsia="Times New Roman"/>
          <w:kern w:val="22"/>
          <w:szCs w:val="22"/>
          <w:lang w:val="es-ES"/>
        </w:rPr>
        <w:t>ubier</w:t>
      </w:r>
      <w:r w:rsidRPr="00843F53">
        <w:rPr>
          <w:rFonts w:eastAsia="Times New Roman"/>
          <w:kern w:val="22"/>
          <w:szCs w:val="22"/>
          <w:lang w:val="es-ES"/>
        </w:rPr>
        <w:t>an logrado los mayores avances en el establecimiento o en el perfeccionamiento de sus mecanismos de facilitación nacionales. En atención a este pedido, en la 13ª reunión de la Conferencia de las Partes se otorgaron los primeros premios. Por notificación 2018-010, de fecha 15 de enero de 2018, se dio inicio al proceso para la segunda ronda de premios que serán otorgados en la 14ª</w:t>
      </w:r>
      <w:r w:rsidR="00ED5CB5">
        <w:rPr>
          <w:rFonts w:eastAsia="Times New Roman"/>
          <w:kern w:val="22"/>
          <w:szCs w:val="22"/>
          <w:lang w:val="es-ES"/>
        </w:rPr>
        <w:t> </w:t>
      </w:r>
      <w:r w:rsidRPr="00843F53">
        <w:rPr>
          <w:rFonts w:eastAsia="Times New Roman"/>
          <w:kern w:val="22"/>
          <w:szCs w:val="22"/>
          <w:lang w:val="es-ES"/>
        </w:rPr>
        <w:t xml:space="preserve">reunión de la Conferencia de las Partes. Las Partes tienen hasta el 31 de julio de 2018 para presentar sus cuestionarios </w:t>
      </w:r>
      <w:r w:rsidR="00ED5CB5">
        <w:rPr>
          <w:rFonts w:eastAsia="Times New Roman"/>
          <w:kern w:val="22"/>
          <w:szCs w:val="22"/>
          <w:lang w:val="es-ES"/>
        </w:rPr>
        <w:t>si</w:t>
      </w:r>
      <w:r w:rsidRPr="00843F53">
        <w:rPr>
          <w:rFonts w:eastAsia="Times New Roman"/>
          <w:kern w:val="22"/>
          <w:szCs w:val="22"/>
          <w:lang w:val="es-ES"/>
        </w:rPr>
        <w:t xml:space="preserve"> quieren que se las considere para los premios.</w:t>
      </w:r>
    </w:p>
    <w:p w:rsidR="008808A5" w:rsidRPr="00843F53" w:rsidRDefault="008808A5" w:rsidP="008808A5">
      <w:pPr>
        <w:pStyle w:val="Heading2"/>
        <w:rPr>
          <w:rFonts w:eastAsia="Times New Roman" w:cs="Times New Roman"/>
          <w:bCs w:val="0"/>
          <w:i w:val="0"/>
          <w:iCs w:val="0"/>
          <w:szCs w:val="22"/>
          <w:lang w:val="es-ES"/>
        </w:rPr>
      </w:pPr>
      <w:r w:rsidRPr="00843F53">
        <w:rPr>
          <w:rFonts w:eastAsia="Times New Roman" w:cs="Times New Roman"/>
          <w:bCs w:val="0"/>
          <w:i w:val="0"/>
          <w:iCs w:val="0"/>
          <w:kern w:val="22"/>
          <w:szCs w:val="22"/>
          <w:lang w:val="es-ES"/>
        </w:rPr>
        <w:t>H.</w:t>
      </w:r>
      <w:r w:rsidRPr="00843F53">
        <w:rPr>
          <w:rFonts w:eastAsia="Times New Roman" w:cs="Times New Roman"/>
          <w:bCs w:val="0"/>
          <w:i w:val="0"/>
          <w:iCs w:val="0"/>
          <w:kern w:val="22"/>
          <w:szCs w:val="22"/>
          <w:lang w:val="es-ES"/>
        </w:rPr>
        <w:tab/>
        <w:t>Otras iniciativas ejecutadas en colaboración con asociados</w:t>
      </w:r>
    </w:p>
    <w:p w:rsidR="00F73F49" w:rsidRPr="00843F53" w:rsidRDefault="00F73F49" w:rsidP="00D14BAF">
      <w:pPr>
        <w:pStyle w:val="Para1"/>
        <w:numPr>
          <w:ilvl w:val="0"/>
          <w:numId w:val="14"/>
        </w:numPr>
        <w:suppressLineNumbers/>
        <w:tabs>
          <w:tab w:val="num" w:pos="720"/>
        </w:tabs>
        <w:suppressAutoHyphens/>
        <w:spacing w:before="120"/>
        <w:ind w:left="0" w:firstLine="0"/>
        <w:rPr>
          <w:rFonts w:eastAsia="Times New Roman"/>
          <w:kern w:val="22"/>
          <w:szCs w:val="22"/>
          <w:lang w:val="es-ES"/>
        </w:rPr>
      </w:pPr>
      <w:r w:rsidRPr="00843F53">
        <w:rPr>
          <w:rFonts w:eastAsia="Times New Roman"/>
          <w:kern w:val="22"/>
          <w:szCs w:val="22"/>
          <w:lang w:val="es-ES"/>
        </w:rPr>
        <w:t>La Secretaría continúo colaborando con</w:t>
      </w:r>
      <w:r w:rsidR="00C66277">
        <w:rPr>
          <w:rFonts w:eastAsia="Times New Roman"/>
          <w:kern w:val="22"/>
          <w:szCs w:val="22"/>
          <w:lang w:val="es-ES"/>
        </w:rPr>
        <w:t xml:space="preserve"> la</w:t>
      </w:r>
      <w:r w:rsidRPr="00843F53">
        <w:rPr>
          <w:rFonts w:eastAsia="Times New Roman"/>
          <w:kern w:val="22"/>
          <w:szCs w:val="22"/>
          <w:lang w:val="es-ES"/>
        </w:rPr>
        <w:t xml:space="preserve"> Iniciativa de Gestión de Información y Conocimientos de los Acuerdos Ambientales Multilaterales (MEA-IKM) en diversos temas, incluidos </w:t>
      </w:r>
      <w:r w:rsidR="00C66277">
        <w:rPr>
          <w:rFonts w:eastAsia="Times New Roman"/>
          <w:kern w:val="22"/>
          <w:szCs w:val="22"/>
          <w:lang w:val="es-ES"/>
        </w:rPr>
        <w:t>l</w:t>
      </w:r>
      <w:r w:rsidRPr="00843F53">
        <w:rPr>
          <w:rFonts w:eastAsia="Times New Roman"/>
          <w:kern w:val="22"/>
          <w:szCs w:val="22"/>
          <w:lang w:val="es-ES"/>
        </w:rPr>
        <w:t>a ontología de derecho y medio ambiente (</w:t>
      </w:r>
      <w:r w:rsidRPr="00843F53">
        <w:rPr>
          <w:rFonts w:eastAsia="Times New Roman"/>
          <w:kern w:val="22"/>
          <w:szCs w:val="22"/>
          <w:lang w:val="en-US"/>
        </w:rPr>
        <w:t>Law and Environment Ontology</w:t>
      </w:r>
      <w:r w:rsidR="00D14BAF" w:rsidRPr="00843F53">
        <w:rPr>
          <w:rFonts w:eastAsia="Times New Roman"/>
          <w:kern w:val="22"/>
          <w:szCs w:val="22"/>
          <w:lang w:val="en-US"/>
        </w:rPr>
        <w:t>,</w:t>
      </w:r>
      <w:r w:rsidRPr="00843F53">
        <w:rPr>
          <w:rFonts w:eastAsia="Times New Roman"/>
          <w:kern w:val="22"/>
          <w:szCs w:val="22"/>
          <w:lang w:val="es-ES"/>
        </w:rPr>
        <w:t xml:space="preserve"> </w:t>
      </w:r>
      <w:r w:rsidR="00D14BAF" w:rsidRPr="00843F53">
        <w:rPr>
          <w:rFonts w:eastAsia="Times New Roman"/>
          <w:kern w:val="22"/>
          <w:szCs w:val="22"/>
          <w:lang w:val="es-ES"/>
        </w:rPr>
        <w:t>o</w:t>
      </w:r>
      <w:r w:rsidRPr="00843F53">
        <w:rPr>
          <w:rFonts w:eastAsia="Times New Roman"/>
          <w:kern w:val="22"/>
          <w:szCs w:val="22"/>
          <w:lang w:val="es-ES"/>
        </w:rPr>
        <w:t xml:space="preserve"> LEO), la interoperabilidad, el aprendizaje electrónico, la utilización del formato Akoma-Ntoso adoptado para documentos de las Naciones Unidas y sinergias en la presentación de informes nacionales a través de la Herramienta de Presentación de Datos (DART). </w:t>
      </w:r>
      <w:r w:rsidR="00C66277">
        <w:rPr>
          <w:rFonts w:eastAsia="Times New Roman"/>
          <w:szCs w:val="22"/>
          <w:lang w:val="es-ES"/>
        </w:rPr>
        <w:t>Hay</w:t>
      </w:r>
      <w:r w:rsidRPr="00843F53">
        <w:rPr>
          <w:rFonts w:eastAsia="Times New Roman"/>
          <w:szCs w:val="22"/>
          <w:lang w:val="es-ES"/>
        </w:rPr>
        <w:t xml:space="preserve"> más información </w:t>
      </w:r>
      <w:r w:rsidR="00C66277">
        <w:rPr>
          <w:rFonts w:eastAsia="Times New Roman"/>
          <w:szCs w:val="22"/>
          <w:lang w:val="es-ES"/>
        </w:rPr>
        <w:t>disponible al respecto en</w:t>
      </w:r>
      <w:r w:rsidRPr="00843F53">
        <w:rPr>
          <w:rFonts w:eastAsia="Times New Roman"/>
          <w:kern w:val="22"/>
          <w:szCs w:val="22"/>
          <w:lang w:val="es-ES"/>
        </w:rPr>
        <w:t xml:space="preserve"> </w:t>
      </w:r>
      <w:hyperlink r:id="rId21" w:history="1">
        <w:r w:rsidRPr="00843F53">
          <w:rPr>
            <w:rStyle w:val="Hyperlink"/>
            <w:rFonts w:eastAsia="Times New Roman"/>
            <w:kern w:val="22"/>
            <w:szCs w:val="22"/>
            <w:lang w:val="es-ES"/>
          </w:rPr>
          <w:t>https://www.informea.org/es/about</w:t>
        </w:r>
      </w:hyperlink>
      <w:r w:rsidRPr="00843F53">
        <w:rPr>
          <w:rFonts w:eastAsia="Times New Roman"/>
          <w:kern w:val="22"/>
          <w:szCs w:val="22"/>
          <w:lang w:val="es-ES"/>
        </w:rPr>
        <w:t>.</w:t>
      </w:r>
    </w:p>
    <w:p w:rsidR="00F73F49" w:rsidRPr="00843F53" w:rsidRDefault="00F73F49" w:rsidP="00F73F49">
      <w:pPr>
        <w:pStyle w:val="Heading2"/>
        <w:rPr>
          <w:rFonts w:eastAsia="Times New Roman" w:cs="Times New Roman"/>
          <w:bCs w:val="0"/>
          <w:i w:val="0"/>
          <w:iCs w:val="0"/>
          <w:szCs w:val="22"/>
          <w:lang w:val="es-ES"/>
        </w:rPr>
      </w:pPr>
      <w:r w:rsidRPr="00843F53">
        <w:rPr>
          <w:rFonts w:eastAsia="Times New Roman" w:cs="Times New Roman"/>
          <w:bCs w:val="0"/>
          <w:i w:val="0"/>
          <w:iCs w:val="0"/>
          <w:kern w:val="22"/>
          <w:szCs w:val="22"/>
          <w:lang w:val="es-ES"/>
        </w:rPr>
        <w:t>I.</w:t>
      </w:r>
      <w:r w:rsidRPr="00843F53">
        <w:rPr>
          <w:rFonts w:eastAsia="Times New Roman" w:cs="Times New Roman"/>
          <w:bCs w:val="0"/>
          <w:i w:val="0"/>
          <w:iCs w:val="0"/>
          <w:kern w:val="22"/>
          <w:szCs w:val="22"/>
          <w:lang w:val="es-ES"/>
        </w:rPr>
        <w:tab/>
        <w:t>Labor del Comité Asesor Oficioso para el Mecanismo de Facilitación</w:t>
      </w:r>
    </w:p>
    <w:p w:rsidR="0035708A" w:rsidRPr="00843F53" w:rsidRDefault="0035708A" w:rsidP="00F34A51">
      <w:pPr>
        <w:pStyle w:val="Para1"/>
        <w:numPr>
          <w:ilvl w:val="0"/>
          <w:numId w:val="14"/>
        </w:numPr>
        <w:suppressLineNumbers/>
        <w:tabs>
          <w:tab w:val="num" w:pos="720"/>
        </w:tabs>
        <w:suppressAutoHyphens/>
        <w:spacing w:before="120"/>
        <w:ind w:left="0" w:firstLine="0"/>
        <w:rPr>
          <w:rFonts w:eastAsia="Times New Roman"/>
          <w:kern w:val="22"/>
          <w:szCs w:val="22"/>
          <w:lang w:val="es-ES"/>
        </w:rPr>
      </w:pPr>
      <w:r w:rsidRPr="00843F53">
        <w:rPr>
          <w:rFonts w:eastAsia="Times New Roman"/>
          <w:kern w:val="22"/>
          <w:szCs w:val="22"/>
          <w:lang w:val="es-ES"/>
        </w:rPr>
        <w:t xml:space="preserve">En el párrafo 10 de la decisión XIII/23, la Conferencia de las Partes prorrogó el mandato del Comité Asesor Oficioso para el Mecanismo de Facilitación de conformidad con sus directrices operacionales hasta la 15ª reunión de la Conferencia de las Partes. </w:t>
      </w:r>
      <w:r w:rsidRPr="00843F53">
        <w:rPr>
          <w:rFonts w:eastAsia="Times New Roman"/>
          <w:szCs w:val="22"/>
          <w:lang w:val="es-ES"/>
        </w:rPr>
        <w:t>Por consiguiente, medi</w:t>
      </w:r>
      <w:r w:rsidR="00C66277">
        <w:rPr>
          <w:rFonts w:eastAsia="Times New Roman"/>
          <w:szCs w:val="22"/>
          <w:lang w:val="es-ES"/>
        </w:rPr>
        <w:t>ant</w:t>
      </w:r>
      <w:r w:rsidRPr="00843F53">
        <w:rPr>
          <w:rFonts w:eastAsia="Times New Roman"/>
          <w:szCs w:val="22"/>
          <w:lang w:val="es-ES"/>
        </w:rPr>
        <w:t xml:space="preserve">e la notificación </w:t>
      </w:r>
      <w:r w:rsidRPr="00843F53">
        <w:rPr>
          <w:rFonts w:eastAsia="Times New Roman"/>
          <w:kern w:val="22"/>
          <w:szCs w:val="22"/>
          <w:lang w:val="es-ES"/>
        </w:rPr>
        <w:t>2017-015</w:t>
      </w:r>
      <w:r w:rsidR="00C66277">
        <w:rPr>
          <w:rFonts w:eastAsia="Times New Roman"/>
          <w:kern w:val="22"/>
          <w:szCs w:val="22"/>
          <w:lang w:val="es-ES"/>
        </w:rPr>
        <w:t>,</w:t>
      </w:r>
      <w:r w:rsidRPr="00843F53">
        <w:rPr>
          <w:rFonts w:eastAsia="Times New Roman"/>
          <w:kern w:val="22"/>
          <w:szCs w:val="22"/>
          <w:lang w:val="es-ES"/>
        </w:rPr>
        <w:t xml:space="preserve"> de</w:t>
      </w:r>
      <w:r w:rsidR="00C66277">
        <w:rPr>
          <w:rFonts w:eastAsia="Times New Roman"/>
          <w:kern w:val="22"/>
          <w:szCs w:val="22"/>
          <w:lang w:val="es-ES"/>
        </w:rPr>
        <w:t xml:space="preserve"> fecha</w:t>
      </w:r>
      <w:r w:rsidRPr="00843F53">
        <w:rPr>
          <w:rFonts w:eastAsia="Times New Roman"/>
          <w:kern w:val="22"/>
          <w:szCs w:val="22"/>
          <w:lang w:val="es-ES"/>
        </w:rPr>
        <w:t xml:space="preserve"> 21 de febrero de </w:t>
      </w:r>
      <w:r w:rsidRPr="00843F53">
        <w:rPr>
          <w:rFonts w:eastAsia="Times New Roman"/>
          <w:szCs w:val="22"/>
          <w:lang w:val="es-ES"/>
        </w:rPr>
        <w:t>2017, el Secretario Ejecutivo invitó a las Partes a proponer candidatos y la composición del Comité se anunció medi</w:t>
      </w:r>
      <w:r w:rsidR="00C66277">
        <w:rPr>
          <w:rFonts w:eastAsia="Times New Roman"/>
          <w:szCs w:val="22"/>
          <w:lang w:val="es-ES"/>
        </w:rPr>
        <w:t>ant</w:t>
      </w:r>
      <w:r w:rsidRPr="00843F53">
        <w:rPr>
          <w:rFonts w:eastAsia="Times New Roman"/>
          <w:szCs w:val="22"/>
          <w:lang w:val="es-ES"/>
        </w:rPr>
        <w:t xml:space="preserve">e la notificación </w:t>
      </w:r>
      <w:r w:rsidRPr="00843F53">
        <w:rPr>
          <w:rFonts w:eastAsia="Times New Roman"/>
          <w:kern w:val="22"/>
          <w:szCs w:val="22"/>
          <w:lang w:val="es-ES"/>
        </w:rPr>
        <w:t>2017-047</w:t>
      </w:r>
      <w:r w:rsidR="008C2F7F">
        <w:rPr>
          <w:rFonts w:eastAsia="Times New Roman"/>
          <w:kern w:val="22"/>
          <w:szCs w:val="22"/>
          <w:lang w:val="es-ES"/>
        </w:rPr>
        <w:t>,</w:t>
      </w:r>
      <w:r w:rsidRPr="00843F53">
        <w:rPr>
          <w:rFonts w:eastAsia="Times New Roman"/>
          <w:kern w:val="22"/>
          <w:szCs w:val="22"/>
          <w:lang w:val="es-ES"/>
        </w:rPr>
        <w:t xml:space="preserve"> de</w:t>
      </w:r>
      <w:r w:rsidR="008C2F7F">
        <w:rPr>
          <w:rFonts w:eastAsia="Times New Roman"/>
          <w:kern w:val="22"/>
          <w:szCs w:val="22"/>
          <w:lang w:val="es-ES"/>
        </w:rPr>
        <w:t xml:space="preserve"> fecha</w:t>
      </w:r>
      <w:r w:rsidR="00ED5CB5">
        <w:rPr>
          <w:rFonts w:eastAsia="Times New Roman"/>
          <w:kern w:val="22"/>
          <w:szCs w:val="22"/>
          <w:lang w:val="es-ES"/>
        </w:rPr>
        <w:t> </w:t>
      </w:r>
      <w:r w:rsidRPr="00843F53">
        <w:rPr>
          <w:rFonts w:eastAsia="Times New Roman"/>
          <w:kern w:val="22"/>
          <w:szCs w:val="22"/>
          <w:lang w:val="es-ES"/>
        </w:rPr>
        <w:t>1</w:t>
      </w:r>
      <w:r w:rsidR="00ED5CB5">
        <w:rPr>
          <w:rFonts w:eastAsia="Times New Roman"/>
          <w:kern w:val="22"/>
          <w:szCs w:val="22"/>
          <w:lang w:val="es-ES"/>
        </w:rPr>
        <w:t> </w:t>
      </w:r>
      <w:r w:rsidRPr="00843F53">
        <w:rPr>
          <w:rFonts w:eastAsia="Times New Roman"/>
          <w:kern w:val="22"/>
          <w:szCs w:val="22"/>
          <w:lang w:val="es-ES"/>
        </w:rPr>
        <w:t xml:space="preserve">de junio de </w:t>
      </w:r>
      <w:r w:rsidRPr="00843F53">
        <w:rPr>
          <w:rFonts w:eastAsia="Times New Roman"/>
          <w:szCs w:val="22"/>
          <w:lang w:val="es-ES"/>
        </w:rPr>
        <w:t>2017.</w:t>
      </w:r>
      <w:r w:rsidRPr="00843F53">
        <w:rPr>
          <w:rFonts w:eastAsia="Times New Roman"/>
          <w:kern w:val="22"/>
          <w:szCs w:val="22"/>
          <w:lang w:val="es-ES"/>
        </w:rPr>
        <w:t xml:space="preserve"> El </w:t>
      </w:r>
      <w:r w:rsidR="008C2F7F" w:rsidRPr="00843F53">
        <w:rPr>
          <w:rFonts w:eastAsia="Times New Roman"/>
          <w:kern w:val="22"/>
          <w:szCs w:val="22"/>
          <w:lang w:val="es-ES"/>
        </w:rPr>
        <w:t xml:space="preserve">13 de junio de 2017 el </w:t>
      </w:r>
      <w:r w:rsidRPr="00843F53">
        <w:rPr>
          <w:rFonts w:eastAsia="Times New Roman"/>
          <w:kern w:val="22"/>
          <w:szCs w:val="22"/>
          <w:lang w:val="es-ES"/>
        </w:rPr>
        <w:t xml:space="preserve">Comité se reunió en línea y, gracias al apoyo financiero de la Unión Europea, los días 7 y 8 de diciembre de 2017 </w:t>
      </w:r>
      <w:r w:rsidR="008C2F7F">
        <w:rPr>
          <w:rFonts w:eastAsia="Times New Roman"/>
          <w:kern w:val="22"/>
          <w:szCs w:val="22"/>
          <w:lang w:val="es-ES"/>
        </w:rPr>
        <w:t xml:space="preserve">se </w:t>
      </w:r>
      <w:r w:rsidRPr="00843F53">
        <w:rPr>
          <w:rFonts w:eastAsia="Times New Roman"/>
          <w:kern w:val="22"/>
          <w:szCs w:val="22"/>
          <w:lang w:val="es-ES"/>
        </w:rPr>
        <w:t>celebró una reunión presencial de dos días en Montreal</w:t>
      </w:r>
      <w:r w:rsidRPr="00843F53">
        <w:rPr>
          <w:rFonts w:eastAsia="Times New Roman"/>
          <w:szCs w:val="22"/>
          <w:lang w:val="es-ES"/>
        </w:rPr>
        <w:t>.</w:t>
      </w:r>
      <w:r w:rsidRPr="00843F53">
        <w:rPr>
          <w:rFonts w:eastAsia="Times New Roman"/>
          <w:kern w:val="22"/>
          <w:szCs w:val="22"/>
          <w:lang w:val="es-ES"/>
        </w:rPr>
        <w:t xml:space="preserve"> Las recomendaciones surgidas de esa reunión están disponibles en el documento</w:t>
      </w:r>
      <w:r w:rsidRPr="00843F53">
        <w:rPr>
          <w:rFonts w:eastAsia="Times New Roman"/>
          <w:szCs w:val="22"/>
          <w:lang w:val="es-ES"/>
        </w:rPr>
        <w:t xml:space="preserve"> CBD/CHM/IAC/2017/1/5.</w:t>
      </w:r>
    </w:p>
    <w:p w:rsidR="0035708A" w:rsidRPr="00F34A51" w:rsidRDefault="0035708A" w:rsidP="00F34A51">
      <w:pPr>
        <w:keepNext/>
        <w:spacing w:before="120" w:after="120"/>
        <w:ind w:left="1170" w:hanging="450"/>
        <w:jc w:val="center"/>
        <w:rPr>
          <w:rFonts w:eastAsia="Times New Roman" w:cs="Times New Roman"/>
          <w:b/>
          <w:caps/>
          <w:kern w:val="22"/>
          <w:szCs w:val="22"/>
          <w:lang w:val="es-ES"/>
        </w:rPr>
      </w:pPr>
      <w:r w:rsidRPr="00F34A51">
        <w:rPr>
          <w:rFonts w:eastAsia="Times New Roman" w:cs="Times New Roman"/>
          <w:b/>
          <w:caps/>
          <w:kern w:val="22"/>
          <w:szCs w:val="22"/>
          <w:lang w:val="es-ES"/>
        </w:rPr>
        <w:t>6.</w:t>
      </w:r>
      <w:r w:rsidRPr="00F34A51">
        <w:rPr>
          <w:rFonts w:eastAsia="Times New Roman" w:cs="Times New Roman"/>
          <w:b/>
          <w:caps/>
          <w:kern w:val="22"/>
          <w:szCs w:val="22"/>
          <w:lang w:val="es-ES"/>
        </w:rPr>
        <w:tab/>
        <w:t>RECOMENDACIONES SUGERIDAS</w:t>
      </w:r>
    </w:p>
    <w:p w:rsidR="0035708A" w:rsidRPr="00843F53" w:rsidRDefault="0035708A" w:rsidP="00704F0E">
      <w:pPr>
        <w:pStyle w:val="Para1"/>
        <w:widowControl w:val="0"/>
        <w:numPr>
          <w:ilvl w:val="0"/>
          <w:numId w:val="14"/>
        </w:numPr>
        <w:suppressLineNumbers/>
        <w:tabs>
          <w:tab w:val="num" w:pos="720"/>
        </w:tabs>
        <w:suppressAutoHyphens/>
        <w:spacing w:before="120"/>
        <w:ind w:left="0" w:firstLine="0"/>
        <w:rPr>
          <w:rFonts w:eastAsia="Times New Roman"/>
          <w:szCs w:val="22"/>
          <w:lang w:val="es-ES"/>
        </w:rPr>
      </w:pPr>
      <w:r w:rsidRPr="00843F53">
        <w:rPr>
          <w:rFonts w:eastAsia="Times New Roman"/>
          <w:szCs w:val="22"/>
          <w:lang w:val="es-ES"/>
        </w:rPr>
        <w:t>El Órgano Subsidiario sobre la Aplicación podría estimar oportuno considerar recomendar a la Conferencia de las Partes que adopte una decisión del siguiente tenor:</w:t>
      </w:r>
    </w:p>
    <w:p w:rsidR="0035708A" w:rsidRPr="00843F53" w:rsidRDefault="0035708A" w:rsidP="00704F0E">
      <w:pPr>
        <w:pStyle w:val="Para1"/>
        <w:keepNext/>
        <w:keepLines/>
        <w:suppressLineNumbers/>
        <w:suppressAutoHyphens/>
        <w:spacing w:before="120"/>
        <w:ind w:firstLine="709"/>
        <w:rPr>
          <w:rFonts w:eastAsia="Times New Roman"/>
          <w:kern w:val="22"/>
          <w:szCs w:val="22"/>
          <w:lang w:val="es-ES"/>
        </w:rPr>
      </w:pPr>
      <w:r w:rsidRPr="00843F53">
        <w:rPr>
          <w:rFonts w:eastAsia="Times New Roman"/>
          <w:i/>
          <w:kern w:val="22"/>
          <w:szCs w:val="22"/>
          <w:lang w:val="es-ES"/>
        </w:rPr>
        <w:t>La Conferencia de las Partes</w:t>
      </w:r>
      <w:r w:rsidRPr="00843F53">
        <w:rPr>
          <w:rFonts w:eastAsia="Times New Roman"/>
          <w:kern w:val="22"/>
          <w:szCs w:val="22"/>
          <w:lang w:val="es-ES"/>
        </w:rPr>
        <w:t>,</w:t>
      </w:r>
    </w:p>
    <w:p w:rsidR="003559D3" w:rsidRPr="00843F53" w:rsidRDefault="003559D3" w:rsidP="00704F0E">
      <w:pPr>
        <w:pStyle w:val="Para1"/>
        <w:keepNext/>
        <w:keepLines/>
        <w:suppressLineNumbers/>
        <w:suppressAutoHyphens/>
        <w:spacing w:before="120"/>
        <w:rPr>
          <w:rFonts w:eastAsia="Times New Roman"/>
          <w:kern w:val="22"/>
          <w:szCs w:val="22"/>
          <w:lang w:val="es-ES"/>
        </w:rPr>
        <w:sectPr w:rsidR="003559D3" w:rsidRPr="00843F53" w:rsidSect="006F4060">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567" w:right="1440" w:bottom="851" w:left="1440" w:header="461" w:footer="720" w:gutter="0"/>
          <w:cols w:space="720"/>
          <w:titlePg/>
          <w:docGrid w:linePitch="299"/>
        </w:sectPr>
      </w:pPr>
    </w:p>
    <w:p w:rsidR="0035708A" w:rsidRPr="00843F53" w:rsidRDefault="0035708A" w:rsidP="00704F0E">
      <w:pPr>
        <w:pStyle w:val="Para1"/>
        <w:keepNext/>
        <w:keepLines/>
        <w:suppressLineNumbers/>
        <w:suppressAutoHyphens/>
        <w:spacing w:before="120"/>
        <w:jc w:val="center"/>
        <w:rPr>
          <w:rFonts w:eastAsia="Times New Roman"/>
          <w:b/>
          <w:kern w:val="22"/>
          <w:szCs w:val="22"/>
          <w:lang w:val="es-ES"/>
        </w:rPr>
      </w:pPr>
      <w:r w:rsidRPr="00843F53">
        <w:rPr>
          <w:rFonts w:eastAsia="Times New Roman"/>
          <w:b/>
          <w:kern w:val="22"/>
          <w:szCs w:val="22"/>
          <w:lang w:val="es-ES"/>
        </w:rPr>
        <w:lastRenderedPageBreak/>
        <w:t>1.</w:t>
      </w:r>
      <w:r w:rsidRPr="00843F53">
        <w:rPr>
          <w:rFonts w:eastAsia="Times New Roman"/>
          <w:b/>
          <w:kern w:val="22"/>
          <w:szCs w:val="22"/>
          <w:lang w:val="es-ES"/>
        </w:rPr>
        <w:tab/>
        <w:t>Creación de capacidad</w:t>
      </w:r>
    </w:p>
    <w:p w:rsidR="0035708A" w:rsidRPr="00843F53" w:rsidRDefault="0035708A" w:rsidP="00704F0E">
      <w:pPr>
        <w:pStyle w:val="Para1"/>
        <w:keepNext/>
        <w:keepLines/>
        <w:suppressLineNumbers/>
        <w:suppressAutoHyphens/>
        <w:spacing w:before="120"/>
        <w:ind w:firstLine="720"/>
        <w:rPr>
          <w:rFonts w:eastAsia="Times New Roman"/>
          <w:szCs w:val="22"/>
          <w:lang w:val="es-ES"/>
        </w:rPr>
      </w:pPr>
      <w:r w:rsidRPr="00843F53">
        <w:rPr>
          <w:rFonts w:eastAsia="Times New Roman"/>
          <w:i/>
          <w:szCs w:val="22"/>
          <w:lang w:val="es-ES"/>
        </w:rPr>
        <w:t xml:space="preserve">Recordando </w:t>
      </w:r>
      <w:r w:rsidRPr="00843F53">
        <w:rPr>
          <w:rFonts w:eastAsia="Times New Roman"/>
          <w:szCs w:val="22"/>
          <w:lang w:val="es-ES"/>
        </w:rPr>
        <w:t>las decisiones XIII/23 y XIII/24,</w:t>
      </w:r>
    </w:p>
    <w:p w:rsidR="005925E4" w:rsidRPr="00843F53" w:rsidRDefault="005925E4" w:rsidP="00704F0E">
      <w:pPr>
        <w:pStyle w:val="Para1"/>
        <w:keepNext/>
        <w:keepLines/>
        <w:suppressLineNumbers/>
        <w:suppressAutoHyphens/>
        <w:spacing w:after="0"/>
        <w:ind w:firstLine="720"/>
        <w:rPr>
          <w:rFonts w:eastAsia="Times New Roman"/>
          <w:kern w:val="20"/>
          <w:szCs w:val="22"/>
          <w:lang w:val="es-ES"/>
        </w:rPr>
      </w:pPr>
      <w:r w:rsidRPr="00843F53">
        <w:rPr>
          <w:rFonts w:eastAsia="Times New Roman"/>
          <w:i/>
          <w:kern w:val="20"/>
          <w:szCs w:val="22"/>
          <w:lang w:val="es-ES"/>
        </w:rPr>
        <w:t xml:space="preserve">Observando con reconocimiento </w:t>
      </w:r>
      <w:r w:rsidRPr="00843F53">
        <w:rPr>
          <w:rFonts w:eastAsia="Times New Roman"/>
          <w:kern w:val="20"/>
          <w:szCs w:val="22"/>
          <w:lang w:val="es-ES"/>
        </w:rPr>
        <w:t xml:space="preserve">el apoyo brindado por las Partes, otros Gobiernos y organizaciones pertinentes a las actividades de creación de capacidad y </w:t>
      </w:r>
      <w:r w:rsidRPr="00843F53">
        <w:rPr>
          <w:rFonts w:eastAsia="Times New Roman"/>
          <w:szCs w:val="22"/>
          <w:lang w:val="es-ES"/>
        </w:rPr>
        <w:t>cooperación científica y técnica tendientes a ayudar a las Partes que son países en desarrollo y a los pueblos indígenas y las comunidades locales</w:t>
      </w:r>
      <w:r w:rsidRPr="00843F53">
        <w:rPr>
          <w:rFonts w:eastAsia="Times New Roman"/>
          <w:kern w:val="20"/>
          <w:szCs w:val="22"/>
          <w:lang w:val="es-ES"/>
        </w:rPr>
        <w:t>,</w:t>
      </w:r>
    </w:p>
    <w:p w:rsidR="005925E4" w:rsidRPr="00843F53" w:rsidRDefault="005925E4" w:rsidP="005925E4">
      <w:pPr>
        <w:pStyle w:val="Para1"/>
        <w:suppressLineNumbers/>
        <w:suppressAutoHyphens/>
        <w:adjustRightInd w:val="0"/>
        <w:snapToGrid w:val="0"/>
        <w:spacing w:before="120"/>
        <w:ind w:firstLine="720"/>
        <w:rPr>
          <w:rFonts w:eastAsia="Times New Roman"/>
          <w:kern w:val="22"/>
          <w:szCs w:val="22"/>
          <w:lang w:val="es-ES"/>
        </w:rPr>
      </w:pPr>
      <w:r w:rsidRPr="00843F53">
        <w:rPr>
          <w:rFonts w:eastAsia="Times New Roman"/>
          <w:szCs w:val="22"/>
          <w:lang w:val="es-ES"/>
        </w:rPr>
        <w:t>1.</w:t>
      </w:r>
      <w:r w:rsidRPr="00843F53">
        <w:rPr>
          <w:rFonts w:eastAsia="Times New Roman"/>
          <w:szCs w:val="22"/>
          <w:lang w:val="es-ES"/>
        </w:rPr>
        <w:tab/>
      </w:r>
      <w:r w:rsidRPr="00843F53">
        <w:rPr>
          <w:rFonts w:eastAsia="Times New Roman"/>
          <w:i/>
          <w:szCs w:val="22"/>
          <w:lang w:val="es-ES"/>
        </w:rPr>
        <w:t>Toma nota</w:t>
      </w:r>
      <w:r w:rsidRPr="00843F53">
        <w:rPr>
          <w:rFonts w:eastAsia="Times New Roman"/>
          <w:szCs w:val="22"/>
          <w:lang w:val="es-ES"/>
        </w:rPr>
        <w:t xml:space="preserve"> del informe sobre los </w:t>
      </w:r>
      <w:r w:rsidR="00967D8E">
        <w:rPr>
          <w:rFonts w:eastAsia="Times New Roman"/>
          <w:szCs w:val="22"/>
          <w:lang w:val="es-ES"/>
        </w:rPr>
        <w:t>progresos realizados</w:t>
      </w:r>
      <w:r w:rsidRPr="00843F53">
        <w:rPr>
          <w:rFonts w:eastAsia="Times New Roman"/>
          <w:szCs w:val="22"/>
          <w:lang w:val="es-ES"/>
        </w:rPr>
        <w:t xml:space="preserve"> en la implementación del plan de acción a corto plazo </w:t>
      </w:r>
      <w:r w:rsidRPr="00843F53">
        <w:rPr>
          <w:rFonts w:eastAsia="Times New Roman"/>
          <w:kern w:val="22"/>
          <w:szCs w:val="22"/>
          <w:lang w:val="es-ES"/>
        </w:rPr>
        <w:t>(2017-2020) para mejor</w:t>
      </w:r>
      <w:r w:rsidR="00B64C6A" w:rsidRPr="00843F53">
        <w:rPr>
          <w:rFonts w:eastAsia="Times New Roman"/>
          <w:kern w:val="22"/>
          <w:szCs w:val="22"/>
          <w:lang w:val="es-ES"/>
        </w:rPr>
        <w:t>ar</w:t>
      </w:r>
      <w:r w:rsidRPr="00843F53">
        <w:rPr>
          <w:rFonts w:eastAsia="Times New Roman"/>
          <w:kern w:val="22"/>
          <w:szCs w:val="22"/>
          <w:lang w:val="es-ES"/>
        </w:rPr>
        <w:t xml:space="preserve"> y apoyar la creación de capacidad para la aplicación del Convenio y sus Protocolos</w:t>
      </w:r>
      <w:r w:rsidRPr="00843F53">
        <w:rPr>
          <w:rFonts w:eastAsia="Times New Roman"/>
          <w:szCs w:val="22"/>
          <w:lang w:val="es-ES"/>
        </w:rPr>
        <w:t xml:space="preserve"> </w:t>
      </w:r>
      <w:r w:rsidRPr="00843F53">
        <w:rPr>
          <w:rFonts w:eastAsia="Times New Roman"/>
          <w:kern w:val="20"/>
          <w:szCs w:val="22"/>
          <w:lang w:val="es-ES"/>
        </w:rPr>
        <w:t>apoyada y facilitada por la Secretaria Ejecutiva en colaboración con diversos asociados</w:t>
      </w:r>
      <w:r w:rsidRPr="00843F53">
        <w:rPr>
          <w:rStyle w:val="StyleFootnoteReferencenumberFootnoteReferenceSuperscript-EF"/>
          <w:rFonts w:eastAsia="Times New Roman"/>
          <w:sz w:val="22"/>
          <w:szCs w:val="22"/>
          <w:lang w:val="es-ES"/>
        </w:rPr>
        <w:footnoteReference w:id="19"/>
      </w:r>
      <w:r w:rsidRPr="00843F53">
        <w:rPr>
          <w:rFonts w:eastAsia="Times New Roman"/>
          <w:kern w:val="20"/>
          <w:szCs w:val="22"/>
          <w:lang w:val="es-ES"/>
        </w:rPr>
        <w:t>;</w:t>
      </w:r>
    </w:p>
    <w:p w:rsidR="005925E4" w:rsidRPr="00843F53" w:rsidRDefault="005925E4" w:rsidP="005925E4">
      <w:pPr>
        <w:pStyle w:val="Para1"/>
        <w:suppressLineNumbers/>
        <w:suppressAutoHyphens/>
        <w:adjustRightInd w:val="0"/>
        <w:snapToGrid w:val="0"/>
        <w:spacing w:before="120"/>
        <w:ind w:firstLine="720"/>
        <w:rPr>
          <w:rFonts w:eastAsia="Times New Roman"/>
          <w:szCs w:val="22"/>
          <w:lang w:val="es-ES"/>
        </w:rPr>
      </w:pPr>
      <w:r w:rsidRPr="00843F53">
        <w:rPr>
          <w:rFonts w:eastAsia="Times New Roman"/>
          <w:szCs w:val="22"/>
          <w:lang w:val="es-ES"/>
        </w:rPr>
        <w:t>2.</w:t>
      </w:r>
      <w:r w:rsidRPr="00843F53">
        <w:rPr>
          <w:rFonts w:eastAsia="Times New Roman"/>
          <w:szCs w:val="22"/>
          <w:lang w:val="es-ES"/>
        </w:rPr>
        <w:tab/>
      </w:r>
      <w:r w:rsidRPr="00843F53">
        <w:rPr>
          <w:rFonts w:eastAsia="Times New Roman"/>
          <w:i/>
          <w:szCs w:val="22"/>
          <w:lang w:val="es-ES"/>
        </w:rPr>
        <w:t>Invita</w:t>
      </w:r>
      <w:r w:rsidRPr="00843F53">
        <w:rPr>
          <w:rFonts w:eastAsia="Times New Roman"/>
          <w:szCs w:val="22"/>
          <w:lang w:val="es-ES"/>
        </w:rPr>
        <w:t xml:space="preserve"> a las Partes, otros Gobiernos y organizaciones pertinentes que estén en condiciones de hacerlo a que brinden recursos adicionales para apoyar las actividades del plan de acción a corto plazo que aún no se hayan llevado a cabo;</w:t>
      </w:r>
    </w:p>
    <w:p w:rsidR="005925E4" w:rsidRPr="00843F53" w:rsidRDefault="005925E4" w:rsidP="005925E4">
      <w:pPr>
        <w:pStyle w:val="Para1"/>
        <w:suppressLineNumbers/>
        <w:suppressAutoHyphens/>
        <w:adjustRightInd w:val="0"/>
        <w:snapToGrid w:val="0"/>
        <w:spacing w:before="120"/>
        <w:ind w:firstLine="720"/>
        <w:rPr>
          <w:rFonts w:eastAsia="Times New Roman"/>
          <w:kern w:val="22"/>
          <w:szCs w:val="22"/>
          <w:lang w:val="es-ES"/>
        </w:rPr>
      </w:pPr>
      <w:r w:rsidRPr="00843F53">
        <w:rPr>
          <w:rFonts w:eastAsia="Times New Roman"/>
          <w:kern w:val="22"/>
          <w:szCs w:val="22"/>
          <w:lang w:val="es-ES"/>
        </w:rPr>
        <w:t>3.</w:t>
      </w:r>
      <w:r w:rsidRPr="00843F53">
        <w:rPr>
          <w:rFonts w:eastAsia="Times New Roman"/>
          <w:kern w:val="22"/>
          <w:szCs w:val="22"/>
          <w:lang w:val="es-ES"/>
        </w:rPr>
        <w:tab/>
      </w:r>
      <w:r w:rsidRPr="00843F53">
        <w:rPr>
          <w:rFonts w:eastAsia="Times New Roman"/>
          <w:i/>
          <w:kern w:val="22"/>
          <w:szCs w:val="22"/>
          <w:lang w:val="es-ES"/>
        </w:rPr>
        <w:t>Acoge con satisfacción</w:t>
      </w:r>
      <w:r w:rsidRPr="00843F53">
        <w:rPr>
          <w:rFonts w:eastAsia="Times New Roman"/>
          <w:kern w:val="22"/>
          <w:szCs w:val="22"/>
          <w:lang w:val="es-ES"/>
        </w:rPr>
        <w:t xml:space="preserve"> los </w:t>
      </w:r>
      <w:r w:rsidRPr="00843F53">
        <w:rPr>
          <w:rFonts w:eastAsia="Times New Roman"/>
          <w:szCs w:val="22"/>
          <w:lang w:val="es-ES"/>
        </w:rPr>
        <w:t xml:space="preserve">elementos del proceso para la </w:t>
      </w:r>
      <w:r w:rsidR="001902D3">
        <w:rPr>
          <w:rFonts w:eastAsia="Times New Roman"/>
          <w:szCs w:val="22"/>
          <w:lang w:val="es-ES"/>
        </w:rPr>
        <w:t>p</w:t>
      </w:r>
      <w:r w:rsidRPr="00843F53">
        <w:rPr>
          <w:rFonts w:eastAsia="Times New Roman"/>
          <w:szCs w:val="22"/>
          <w:lang w:val="es-ES"/>
        </w:rPr>
        <w:t>r</w:t>
      </w:r>
      <w:r w:rsidR="001902D3">
        <w:rPr>
          <w:rFonts w:eastAsia="Times New Roman"/>
          <w:szCs w:val="22"/>
          <w:lang w:val="es-ES"/>
        </w:rPr>
        <w:t>ep</w:t>
      </w:r>
      <w:r w:rsidRPr="00843F53">
        <w:rPr>
          <w:rFonts w:eastAsia="Times New Roman"/>
          <w:szCs w:val="22"/>
          <w:lang w:val="es-ES"/>
        </w:rPr>
        <w:t>a</w:t>
      </w:r>
      <w:r w:rsidR="001902D3">
        <w:rPr>
          <w:rFonts w:eastAsia="Times New Roman"/>
          <w:szCs w:val="22"/>
          <w:lang w:val="es-ES"/>
        </w:rPr>
        <w:t>ra</w:t>
      </w:r>
      <w:r w:rsidRPr="00843F53">
        <w:rPr>
          <w:rFonts w:eastAsia="Times New Roman"/>
          <w:szCs w:val="22"/>
          <w:lang w:val="es-ES"/>
        </w:rPr>
        <w:t xml:space="preserve">ción del marco estratégico </w:t>
      </w:r>
      <w:r w:rsidR="001902D3">
        <w:rPr>
          <w:rFonts w:eastAsia="Times New Roman"/>
          <w:szCs w:val="22"/>
          <w:lang w:val="es-ES"/>
        </w:rPr>
        <w:t xml:space="preserve">para </w:t>
      </w:r>
      <w:r w:rsidR="00A36C50">
        <w:rPr>
          <w:rFonts w:eastAsia="Times New Roman"/>
          <w:szCs w:val="22"/>
          <w:lang w:val="es-ES"/>
        </w:rPr>
        <w:t>la creación</w:t>
      </w:r>
      <w:r w:rsidRPr="00843F53">
        <w:rPr>
          <w:rFonts w:eastAsia="Times New Roman"/>
          <w:szCs w:val="22"/>
          <w:lang w:val="es-ES"/>
        </w:rPr>
        <w:t xml:space="preserve"> de capacidad después de 2020 y el mandato para el estudio que proporcione una base de </w:t>
      </w:r>
      <w:r w:rsidRPr="00843F53">
        <w:rPr>
          <w:rFonts w:eastAsia="Times New Roman"/>
          <w:kern w:val="22"/>
          <w:szCs w:val="22"/>
          <w:lang w:val="es-ES"/>
        </w:rPr>
        <w:t xml:space="preserve">información para la </w:t>
      </w:r>
      <w:r w:rsidR="001902D3">
        <w:rPr>
          <w:rFonts w:eastAsia="Times New Roman"/>
          <w:kern w:val="22"/>
          <w:szCs w:val="22"/>
          <w:lang w:val="es-ES"/>
        </w:rPr>
        <w:t>p</w:t>
      </w:r>
      <w:r w:rsidRPr="00843F53">
        <w:rPr>
          <w:rFonts w:eastAsia="Times New Roman"/>
          <w:kern w:val="22"/>
          <w:szCs w:val="22"/>
          <w:lang w:val="es-ES"/>
        </w:rPr>
        <w:t>r</w:t>
      </w:r>
      <w:r w:rsidR="001902D3">
        <w:rPr>
          <w:rFonts w:eastAsia="Times New Roman"/>
          <w:kern w:val="22"/>
          <w:szCs w:val="22"/>
          <w:lang w:val="es-ES"/>
        </w:rPr>
        <w:t>epar</w:t>
      </w:r>
      <w:r w:rsidRPr="00843F53">
        <w:rPr>
          <w:rFonts w:eastAsia="Times New Roman"/>
          <w:kern w:val="22"/>
          <w:szCs w:val="22"/>
          <w:lang w:val="es-ES"/>
        </w:rPr>
        <w:t>ación de ese marco</w:t>
      </w:r>
      <w:r w:rsidRPr="00843F53">
        <w:rPr>
          <w:rStyle w:val="FootnoteReference"/>
          <w:rFonts w:eastAsia="Times New Roman"/>
          <w:kern w:val="22"/>
          <w:sz w:val="22"/>
          <w:szCs w:val="22"/>
          <w:u w:val="none"/>
          <w:vertAlign w:val="superscript"/>
          <w:lang w:val="es-ES"/>
        </w:rPr>
        <w:footnoteReference w:id="20"/>
      </w:r>
      <w:r w:rsidRPr="00843F53">
        <w:rPr>
          <w:rFonts w:eastAsia="Times New Roman"/>
          <w:kern w:val="22"/>
          <w:szCs w:val="22"/>
          <w:lang w:val="es-ES"/>
        </w:rPr>
        <w:t xml:space="preserve">, y </w:t>
      </w:r>
      <w:r w:rsidRPr="00843F53">
        <w:rPr>
          <w:rFonts w:eastAsia="Times New Roman"/>
          <w:i/>
          <w:szCs w:val="22"/>
          <w:lang w:val="es-ES"/>
        </w:rPr>
        <w:t>pide</w:t>
      </w:r>
      <w:r w:rsidRPr="00843F53">
        <w:rPr>
          <w:rFonts w:eastAsia="Times New Roman"/>
          <w:szCs w:val="22"/>
          <w:lang w:val="es-ES"/>
        </w:rPr>
        <w:t xml:space="preserve"> a la Secretaria Ejecutiva que, con sujeción a la disponibilidad de fondos, encargue la realización del estudio de conformidad con el mandato</w:t>
      </w:r>
      <w:r w:rsidRPr="00843F53">
        <w:rPr>
          <w:rFonts w:eastAsia="Times New Roman"/>
          <w:kern w:val="22"/>
          <w:szCs w:val="22"/>
          <w:lang w:val="es-ES"/>
        </w:rPr>
        <w:t>;</w:t>
      </w:r>
    </w:p>
    <w:p w:rsidR="003D47BC" w:rsidRPr="00843F53" w:rsidRDefault="003D47BC" w:rsidP="003D47BC">
      <w:pPr>
        <w:pStyle w:val="Para1"/>
        <w:suppressLineNumbers/>
        <w:suppressAutoHyphens/>
        <w:adjustRightInd w:val="0"/>
        <w:snapToGrid w:val="0"/>
        <w:spacing w:before="120"/>
        <w:ind w:firstLine="720"/>
        <w:rPr>
          <w:rFonts w:eastAsia="Times New Roman"/>
          <w:szCs w:val="22"/>
          <w:lang w:val="es-ES"/>
        </w:rPr>
      </w:pPr>
      <w:r w:rsidRPr="00843F53">
        <w:rPr>
          <w:rFonts w:eastAsia="Times New Roman"/>
          <w:szCs w:val="22"/>
          <w:lang w:val="es-ES"/>
        </w:rPr>
        <w:t>4.</w:t>
      </w:r>
      <w:r w:rsidRPr="00843F53">
        <w:rPr>
          <w:rFonts w:eastAsia="Times New Roman"/>
          <w:szCs w:val="22"/>
          <w:lang w:val="es-ES"/>
        </w:rPr>
        <w:tab/>
      </w:r>
      <w:r w:rsidRPr="00843F53">
        <w:rPr>
          <w:rFonts w:eastAsia="Times New Roman"/>
          <w:i/>
          <w:szCs w:val="22"/>
          <w:lang w:val="es-ES"/>
        </w:rPr>
        <w:t xml:space="preserve">Invita </w:t>
      </w:r>
      <w:r w:rsidRPr="00843F53">
        <w:rPr>
          <w:rFonts w:eastAsia="Times New Roman"/>
          <w:szCs w:val="22"/>
          <w:lang w:val="es-ES"/>
        </w:rPr>
        <w:t xml:space="preserve">a las Partes, los pueblos indígenas y las comunidades locales y organizaciones pertinentes a que proporcionen a la Secretaria Ejecutiva información pertinente para el estudio antedicho, incluidas sus necesidades y carencias prioritarias en materia de capacidad, sus principales iniciativas de desarrollo de capacidad </w:t>
      </w:r>
      <w:r w:rsidR="006B2229" w:rsidRPr="00843F53">
        <w:rPr>
          <w:rFonts w:eastAsia="Times New Roman"/>
          <w:szCs w:val="22"/>
          <w:lang w:val="es-ES"/>
        </w:rPr>
        <w:t xml:space="preserve">en curso </w:t>
      </w:r>
      <w:r w:rsidRPr="00843F53">
        <w:rPr>
          <w:rFonts w:eastAsia="Times New Roman"/>
          <w:szCs w:val="22"/>
          <w:lang w:val="es-ES"/>
        </w:rPr>
        <w:t xml:space="preserve">y estudios de caso en los que se destaquen mejores prácticas y lecciones aprendidas, así como opiniones y sugerencias sobre posibles elementos para el marco estratégico </w:t>
      </w:r>
      <w:r w:rsidR="001902D3" w:rsidRPr="00843F53">
        <w:rPr>
          <w:rFonts w:eastAsia="Times New Roman"/>
          <w:szCs w:val="22"/>
          <w:lang w:val="es-ES"/>
        </w:rPr>
        <w:t xml:space="preserve">para </w:t>
      </w:r>
      <w:r w:rsidR="001902D3">
        <w:rPr>
          <w:rFonts w:eastAsia="Times New Roman"/>
          <w:szCs w:val="22"/>
          <w:lang w:val="es-ES"/>
        </w:rPr>
        <w:t>la creación</w:t>
      </w:r>
      <w:r w:rsidRPr="00843F53">
        <w:rPr>
          <w:rFonts w:eastAsia="Times New Roman"/>
          <w:szCs w:val="22"/>
          <w:lang w:val="es-ES"/>
        </w:rPr>
        <w:t xml:space="preserve"> de capacidad después de 2020;</w:t>
      </w:r>
    </w:p>
    <w:p w:rsidR="003D47BC" w:rsidRPr="00843F53" w:rsidRDefault="003D47BC" w:rsidP="003D47BC">
      <w:pPr>
        <w:pStyle w:val="Para1"/>
        <w:adjustRightInd w:val="0"/>
        <w:snapToGrid w:val="0"/>
        <w:spacing w:before="120"/>
        <w:ind w:firstLine="720"/>
        <w:rPr>
          <w:rFonts w:eastAsia="Times New Roman"/>
          <w:kern w:val="22"/>
          <w:szCs w:val="22"/>
          <w:lang w:val="es-ES"/>
        </w:rPr>
      </w:pPr>
      <w:r w:rsidRPr="00ED5CB5">
        <w:rPr>
          <w:rFonts w:eastAsia="Times New Roman"/>
          <w:szCs w:val="22"/>
          <w:lang w:val="es-ES"/>
        </w:rPr>
        <w:t>5.</w:t>
      </w:r>
      <w:r w:rsidRPr="00ED5CB5">
        <w:rPr>
          <w:rFonts w:eastAsia="Times New Roman"/>
          <w:szCs w:val="22"/>
          <w:lang w:val="es-ES"/>
        </w:rPr>
        <w:tab/>
      </w:r>
      <w:r w:rsidRPr="00ED5CB5">
        <w:rPr>
          <w:rFonts w:eastAsia="Times New Roman"/>
          <w:i/>
          <w:kern w:val="20"/>
          <w:szCs w:val="22"/>
          <w:lang w:val="es-ES"/>
        </w:rPr>
        <w:t xml:space="preserve">Pide </w:t>
      </w:r>
      <w:r w:rsidRPr="00ED5CB5">
        <w:rPr>
          <w:rFonts w:eastAsia="Times New Roman"/>
          <w:kern w:val="20"/>
          <w:szCs w:val="22"/>
          <w:lang w:val="es-ES"/>
        </w:rPr>
        <w:t xml:space="preserve">a la Secretaria </w:t>
      </w:r>
      <w:r w:rsidRPr="00ED5CB5">
        <w:rPr>
          <w:rFonts w:eastAsia="Times New Roman"/>
          <w:szCs w:val="22"/>
          <w:lang w:val="es-ES"/>
        </w:rPr>
        <w:t xml:space="preserve">Ejecutiva que, con sujeción a la disponibilidad de fondos, como parte </w:t>
      </w:r>
      <w:r w:rsidRPr="00ED5CB5">
        <w:rPr>
          <w:rFonts w:eastAsia="Times New Roman"/>
          <w:kern w:val="20"/>
          <w:szCs w:val="22"/>
          <w:lang w:val="es-ES"/>
        </w:rPr>
        <w:t xml:space="preserve">de la evaluación independiente de </w:t>
      </w:r>
      <w:r w:rsidR="00727230" w:rsidRPr="00ED5CB5">
        <w:rPr>
          <w:rFonts w:eastAsia="Times New Roman"/>
          <w:szCs w:val="22"/>
          <w:lang w:val="es-ES"/>
        </w:rPr>
        <w:t>las repercusiones</w:t>
      </w:r>
      <w:r w:rsidRPr="00ED5CB5">
        <w:rPr>
          <w:rFonts w:eastAsia="Times New Roman"/>
          <w:kern w:val="20"/>
          <w:szCs w:val="22"/>
          <w:lang w:val="es-ES"/>
        </w:rPr>
        <w:t>, los resultados y la eficacia del plan de acción a corto plazo (2017-2020), solicitada en el párrafo 15 g) de la decisión XIII/</w:t>
      </w:r>
      <w:r w:rsidR="006B2229" w:rsidRPr="00ED5CB5">
        <w:rPr>
          <w:rFonts w:eastAsia="Times New Roman"/>
          <w:kern w:val="20"/>
          <w:szCs w:val="22"/>
          <w:lang w:val="es-ES"/>
        </w:rPr>
        <w:t>2</w:t>
      </w:r>
      <w:r w:rsidRPr="00ED5CB5">
        <w:rPr>
          <w:rFonts w:eastAsia="Times New Roman"/>
          <w:kern w:val="20"/>
          <w:szCs w:val="22"/>
          <w:lang w:val="es-ES"/>
        </w:rPr>
        <w:t xml:space="preserve">3, </w:t>
      </w:r>
      <w:r w:rsidRPr="00ED5CB5">
        <w:rPr>
          <w:rFonts w:eastAsia="Times New Roman"/>
          <w:szCs w:val="22"/>
          <w:lang w:val="es-ES"/>
        </w:rPr>
        <w:t xml:space="preserve">incluya </w:t>
      </w:r>
      <w:r w:rsidRPr="00ED5CB5">
        <w:rPr>
          <w:rFonts w:eastAsia="Times New Roman"/>
          <w:kern w:val="20"/>
          <w:szCs w:val="22"/>
          <w:lang w:val="es-ES"/>
        </w:rPr>
        <w:t xml:space="preserve">el seguimiento y la evaluación de los resultados y la eficacia de las actividades de creación de capacidad en curso apoyadas y facilitadas por la </w:t>
      </w:r>
      <w:r w:rsidRPr="00ED5CB5">
        <w:rPr>
          <w:rFonts w:eastAsia="Times New Roman"/>
          <w:kern w:val="22"/>
          <w:szCs w:val="22"/>
          <w:lang w:val="es-ES"/>
        </w:rPr>
        <w:t>Secretaría</w:t>
      </w:r>
      <w:r w:rsidRPr="00ED5CB5">
        <w:rPr>
          <w:rFonts w:eastAsia="Times New Roman"/>
          <w:szCs w:val="22"/>
          <w:lang w:val="es-ES"/>
        </w:rPr>
        <w:t>;</w:t>
      </w:r>
    </w:p>
    <w:p w:rsidR="00254374" w:rsidRPr="00843F53" w:rsidRDefault="00254374" w:rsidP="00254374">
      <w:pPr>
        <w:pStyle w:val="Para1"/>
        <w:suppressLineNumbers/>
        <w:suppressAutoHyphens/>
        <w:adjustRightInd w:val="0"/>
        <w:snapToGrid w:val="0"/>
        <w:spacing w:before="120"/>
        <w:ind w:firstLine="720"/>
        <w:rPr>
          <w:rFonts w:eastAsia="Times New Roman"/>
          <w:szCs w:val="22"/>
          <w:lang w:val="es-ES"/>
        </w:rPr>
      </w:pPr>
      <w:r w:rsidRPr="00843F53">
        <w:rPr>
          <w:rFonts w:eastAsia="Times New Roman"/>
          <w:kern w:val="22"/>
          <w:szCs w:val="22"/>
          <w:lang w:val="es-ES"/>
        </w:rPr>
        <w:t>6.</w:t>
      </w:r>
      <w:r w:rsidRPr="00843F53">
        <w:rPr>
          <w:rFonts w:eastAsia="Times New Roman"/>
          <w:kern w:val="22"/>
          <w:szCs w:val="22"/>
          <w:lang w:val="es-ES"/>
        </w:rPr>
        <w:tab/>
      </w:r>
      <w:r w:rsidRPr="00843F53">
        <w:rPr>
          <w:rFonts w:eastAsia="Times New Roman"/>
          <w:i/>
          <w:kern w:val="20"/>
          <w:szCs w:val="22"/>
          <w:lang w:val="es-ES"/>
        </w:rPr>
        <w:t xml:space="preserve">Asimismo pide </w:t>
      </w:r>
      <w:r w:rsidRPr="00843F53">
        <w:rPr>
          <w:rFonts w:eastAsia="Times New Roman"/>
          <w:kern w:val="20"/>
          <w:szCs w:val="22"/>
          <w:lang w:val="es-ES"/>
        </w:rPr>
        <w:t>a la</w:t>
      </w:r>
      <w:r w:rsidRPr="00843F53">
        <w:rPr>
          <w:rFonts w:eastAsia="Times New Roman"/>
          <w:szCs w:val="22"/>
          <w:lang w:val="es-ES"/>
        </w:rPr>
        <w:t xml:space="preserve"> Secretaria</w:t>
      </w:r>
      <w:r w:rsidRPr="00843F53">
        <w:rPr>
          <w:rFonts w:eastAsia="Times New Roman"/>
          <w:kern w:val="20"/>
          <w:szCs w:val="22"/>
          <w:lang w:val="es-ES"/>
        </w:rPr>
        <w:t xml:space="preserve"> </w:t>
      </w:r>
      <w:r w:rsidRPr="00843F53">
        <w:rPr>
          <w:rFonts w:eastAsia="Times New Roman"/>
          <w:szCs w:val="22"/>
          <w:lang w:val="es-ES"/>
        </w:rPr>
        <w:t xml:space="preserve">Ejecutiva que, con sujeción a la disponibilidad de fondos, organice, conjuntamente con el proceso del marco mundial de la diversidad biológica posterior a 2020, talleres consultivos regionales y foros de debate en línea para que las Partes en el Convenio y en sus Protocolos, así como los pueblos indígenas y las comunidades locales y organizaciones pertinentes, puedan contribuir a la </w:t>
      </w:r>
      <w:r w:rsidR="001902D3">
        <w:rPr>
          <w:rFonts w:eastAsia="Times New Roman"/>
          <w:szCs w:val="22"/>
          <w:lang w:val="es-ES"/>
        </w:rPr>
        <w:t>preparación</w:t>
      </w:r>
      <w:r w:rsidRPr="00843F53">
        <w:rPr>
          <w:rFonts w:eastAsia="Times New Roman"/>
          <w:szCs w:val="22"/>
          <w:lang w:val="es-ES"/>
        </w:rPr>
        <w:t xml:space="preserve"> del marco estratégico </w:t>
      </w:r>
      <w:r w:rsidR="001902D3">
        <w:rPr>
          <w:rFonts w:eastAsia="Times New Roman"/>
          <w:szCs w:val="22"/>
          <w:lang w:val="es-ES"/>
        </w:rPr>
        <w:t>para la</w:t>
      </w:r>
      <w:r w:rsidRPr="00843F53">
        <w:rPr>
          <w:rFonts w:eastAsia="Times New Roman"/>
          <w:szCs w:val="22"/>
          <w:lang w:val="es-ES"/>
        </w:rPr>
        <w:t xml:space="preserve"> </w:t>
      </w:r>
      <w:r w:rsidR="001902D3">
        <w:rPr>
          <w:rFonts w:eastAsia="Times New Roman"/>
          <w:szCs w:val="22"/>
          <w:lang w:val="es-ES"/>
        </w:rPr>
        <w:t>creación</w:t>
      </w:r>
      <w:r w:rsidRPr="00843F53">
        <w:rPr>
          <w:rFonts w:eastAsia="Times New Roman"/>
          <w:szCs w:val="22"/>
          <w:lang w:val="es-ES"/>
        </w:rPr>
        <w:t xml:space="preserve"> de capacidad después de 2020, tomando en cuenta la síntesis de información y opiniones recibidas;</w:t>
      </w:r>
    </w:p>
    <w:p w:rsidR="00254374" w:rsidRPr="00843F53" w:rsidRDefault="00254374" w:rsidP="00254374">
      <w:pPr>
        <w:spacing w:before="120" w:after="120"/>
        <w:ind w:firstLine="720"/>
        <w:rPr>
          <w:rFonts w:eastAsia="Times New Roman" w:cs="Times New Roman"/>
          <w:i/>
          <w:szCs w:val="22"/>
          <w:lang w:val="es-ES"/>
        </w:rPr>
      </w:pPr>
      <w:r w:rsidRPr="00843F53">
        <w:rPr>
          <w:rFonts w:eastAsia="Times New Roman" w:cs="Times New Roman"/>
          <w:szCs w:val="22"/>
          <w:lang w:val="es-ES"/>
        </w:rPr>
        <w:t>7.</w:t>
      </w:r>
      <w:r w:rsidRPr="00843F53">
        <w:rPr>
          <w:rFonts w:eastAsia="Times New Roman" w:cs="Times New Roman"/>
          <w:szCs w:val="22"/>
          <w:lang w:val="es-ES"/>
        </w:rPr>
        <w:tab/>
      </w:r>
      <w:r w:rsidRPr="00843F53">
        <w:rPr>
          <w:rFonts w:eastAsia="Times New Roman" w:cs="Times New Roman"/>
          <w:i/>
          <w:szCs w:val="22"/>
          <w:lang w:val="es-ES"/>
        </w:rPr>
        <w:t xml:space="preserve">Invita </w:t>
      </w:r>
      <w:r w:rsidRPr="00843F53">
        <w:rPr>
          <w:rFonts w:eastAsia="Times New Roman" w:cs="Times New Roman"/>
          <w:szCs w:val="22"/>
          <w:lang w:val="es-ES"/>
        </w:rPr>
        <w:t>a las Partes, otros Gobiernos y organizaciones pertinentes a proporcionar apoyo financiero y técnico para la organización de dichos talleres consultivos regionales y foros de debate en línea;</w:t>
      </w:r>
    </w:p>
    <w:p w:rsidR="00254374" w:rsidRPr="00843F53" w:rsidRDefault="00254374" w:rsidP="00254374">
      <w:pPr>
        <w:pStyle w:val="Para1"/>
        <w:suppressLineNumbers/>
        <w:suppressAutoHyphens/>
        <w:spacing w:before="120"/>
        <w:ind w:firstLine="720"/>
        <w:rPr>
          <w:rFonts w:eastAsia="Times New Roman"/>
          <w:szCs w:val="22"/>
          <w:lang w:val="es-ES"/>
        </w:rPr>
      </w:pPr>
      <w:r w:rsidRPr="00843F53">
        <w:rPr>
          <w:rFonts w:eastAsia="Times New Roman"/>
          <w:kern w:val="20"/>
          <w:szCs w:val="22"/>
          <w:lang w:val="es-ES"/>
        </w:rPr>
        <w:t>8.</w:t>
      </w:r>
      <w:r w:rsidRPr="00843F53">
        <w:rPr>
          <w:rFonts w:eastAsia="Times New Roman"/>
          <w:kern w:val="20"/>
          <w:szCs w:val="22"/>
          <w:lang w:val="es-ES"/>
        </w:rPr>
        <w:tab/>
      </w:r>
      <w:r w:rsidRPr="00843F53">
        <w:rPr>
          <w:rFonts w:eastAsia="Times New Roman"/>
          <w:i/>
          <w:szCs w:val="22"/>
          <w:lang w:val="es-ES"/>
        </w:rPr>
        <w:t xml:space="preserve">Pide </w:t>
      </w:r>
      <w:r w:rsidRPr="00843F53">
        <w:rPr>
          <w:rFonts w:eastAsia="Times New Roman"/>
          <w:szCs w:val="22"/>
          <w:lang w:val="es-ES"/>
        </w:rPr>
        <w:t xml:space="preserve">a la Secretaria Ejecutiva que presente un </w:t>
      </w:r>
      <w:r w:rsidRPr="00843F53">
        <w:rPr>
          <w:rFonts w:eastAsia="Times New Roman"/>
          <w:color w:val="000000"/>
          <w:szCs w:val="22"/>
          <w:lang w:val="es-ES"/>
        </w:rPr>
        <w:t xml:space="preserve">proyecto de marco estratégico </w:t>
      </w:r>
      <w:r w:rsidR="001902D3">
        <w:rPr>
          <w:rFonts w:eastAsia="Times New Roman"/>
          <w:color w:val="000000"/>
          <w:szCs w:val="22"/>
          <w:lang w:val="es-ES"/>
        </w:rPr>
        <w:t>para la creación</w:t>
      </w:r>
      <w:r w:rsidRPr="00843F53">
        <w:rPr>
          <w:rFonts w:eastAsia="Times New Roman"/>
          <w:color w:val="000000"/>
          <w:szCs w:val="22"/>
          <w:lang w:val="es-ES"/>
        </w:rPr>
        <w:t xml:space="preserve"> de capacidad después de 2020</w:t>
      </w:r>
      <w:r w:rsidR="00ED5CB5">
        <w:rPr>
          <w:rFonts w:eastAsia="Times New Roman"/>
          <w:color w:val="000000"/>
          <w:szCs w:val="22"/>
          <w:lang w:val="es-ES"/>
        </w:rPr>
        <w:t>,</w:t>
      </w:r>
      <w:r w:rsidRPr="00843F53">
        <w:rPr>
          <w:rFonts w:eastAsia="Times New Roman"/>
          <w:color w:val="000000"/>
          <w:szCs w:val="22"/>
          <w:lang w:val="es-ES"/>
        </w:rPr>
        <w:t xml:space="preserve"> junto con el proyecto de marco de la diversidad biológica posterior a 2020</w:t>
      </w:r>
      <w:r w:rsidR="00ED5CB5">
        <w:rPr>
          <w:rFonts w:eastAsia="Times New Roman"/>
          <w:color w:val="000000"/>
          <w:szCs w:val="22"/>
          <w:lang w:val="es-ES"/>
        </w:rPr>
        <w:t>,</w:t>
      </w:r>
      <w:r w:rsidRPr="00843F53">
        <w:rPr>
          <w:rFonts w:eastAsia="Times New Roman"/>
          <w:color w:val="000000"/>
          <w:szCs w:val="22"/>
          <w:lang w:val="es-ES"/>
        </w:rPr>
        <w:t xml:space="preserve"> </w:t>
      </w:r>
      <w:r w:rsidRPr="00843F53">
        <w:rPr>
          <w:rFonts w:eastAsia="Times New Roman"/>
          <w:szCs w:val="22"/>
          <w:lang w:val="es-ES"/>
        </w:rPr>
        <w:t xml:space="preserve">para consideración del Órgano Subsidiario sobre la Aplicación en su tercera reunión y para su posterior consideración por la Conferencia de las Partes </w:t>
      </w:r>
      <w:r w:rsidRPr="00843F53">
        <w:rPr>
          <w:rFonts w:eastAsia="Times New Roman"/>
          <w:color w:val="000000"/>
          <w:szCs w:val="22"/>
          <w:lang w:val="es-ES"/>
        </w:rPr>
        <w:t xml:space="preserve">en su 15ª </w:t>
      </w:r>
      <w:r w:rsidRPr="00843F53">
        <w:rPr>
          <w:rFonts w:eastAsia="Times New Roman"/>
          <w:szCs w:val="22"/>
          <w:lang w:val="es-ES"/>
        </w:rPr>
        <w:t>reunión;</w:t>
      </w:r>
    </w:p>
    <w:p w:rsidR="00254374" w:rsidRPr="00843F53" w:rsidRDefault="00254374" w:rsidP="00704F0E">
      <w:pPr>
        <w:pStyle w:val="Para1"/>
        <w:widowControl w:val="0"/>
        <w:suppressLineNumbers/>
        <w:suppressAutoHyphens/>
        <w:spacing w:before="120"/>
        <w:jc w:val="center"/>
        <w:rPr>
          <w:rFonts w:eastAsia="Times New Roman"/>
          <w:b/>
          <w:kern w:val="22"/>
          <w:szCs w:val="22"/>
          <w:lang w:val="es-ES"/>
        </w:rPr>
      </w:pPr>
      <w:r w:rsidRPr="00843F53">
        <w:rPr>
          <w:rFonts w:eastAsia="Times New Roman"/>
          <w:b/>
          <w:kern w:val="22"/>
          <w:szCs w:val="22"/>
          <w:lang w:val="es-ES"/>
        </w:rPr>
        <w:t>2.</w:t>
      </w:r>
      <w:r w:rsidRPr="00843F53">
        <w:rPr>
          <w:rFonts w:eastAsia="Times New Roman"/>
          <w:b/>
          <w:kern w:val="22"/>
          <w:szCs w:val="22"/>
          <w:lang w:val="es-ES"/>
        </w:rPr>
        <w:tab/>
        <w:t>Cooperación científica y técnica</w:t>
      </w:r>
    </w:p>
    <w:p w:rsidR="00254374" w:rsidRPr="00843F53" w:rsidRDefault="00254374" w:rsidP="00704F0E">
      <w:pPr>
        <w:pStyle w:val="Para1"/>
        <w:widowControl w:val="0"/>
        <w:suppressLineNumbers/>
        <w:suppressAutoHyphens/>
        <w:spacing w:before="120"/>
        <w:ind w:firstLine="720"/>
        <w:rPr>
          <w:rFonts w:eastAsia="Times New Roman"/>
          <w:szCs w:val="22"/>
          <w:lang w:val="es-ES"/>
        </w:rPr>
      </w:pPr>
      <w:r w:rsidRPr="00843F53">
        <w:rPr>
          <w:rFonts w:eastAsia="Times New Roman"/>
          <w:i/>
          <w:szCs w:val="22"/>
          <w:lang w:val="es-ES"/>
        </w:rPr>
        <w:t xml:space="preserve">Recordando </w:t>
      </w:r>
      <w:r w:rsidRPr="00843F53">
        <w:rPr>
          <w:rFonts w:eastAsia="Times New Roman"/>
          <w:szCs w:val="22"/>
          <w:lang w:val="es-ES"/>
        </w:rPr>
        <w:t>las</w:t>
      </w:r>
      <w:r w:rsidRPr="00843F53">
        <w:rPr>
          <w:rFonts w:eastAsia="Times New Roman"/>
          <w:i/>
          <w:szCs w:val="22"/>
          <w:lang w:val="es-ES"/>
        </w:rPr>
        <w:t xml:space="preserve"> </w:t>
      </w:r>
      <w:r w:rsidRPr="00843F53">
        <w:rPr>
          <w:rFonts w:eastAsia="Times New Roman"/>
          <w:szCs w:val="22"/>
          <w:lang w:val="es-ES"/>
        </w:rPr>
        <w:t>decisiones XIII/23, XII/2, X/16, IX/14, VIII/12 y VII/29, referidas a la cooperación científica y técnica y la transferencia de tecnología,</w:t>
      </w:r>
    </w:p>
    <w:p w:rsidR="002546C4" w:rsidRPr="00843F53" w:rsidRDefault="002546C4" w:rsidP="002546C4">
      <w:pPr>
        <w:pStyle w:val="Para1"/>
        <w:suppressLineNumbers/>
        <w:suppressAutoHyphens/>
        <w:spacing w:before="120"/>
        <w:ind w:firstLine="720"/>
        <w:rPr>
          <w:rFonts w:eastAsia="Times New Roman"/>
          <w:kern w:val="22"/>
          <w:szCs w:val="22"/>
          <w:lang w:val="es-ES"/>
        </w:rPr>
      </w:pPr>
      <w:r w:rsidRPr="00843F53">
        <w:rPr>
          <w:rFonts w:eastAsia="Times New Roman"/>
          <w:kern w:val="22"/>
          <w:szCs w:val="22"/>
          <w:lang w:val="es-ES"/>
        </w:rPr>
        <w:lastRenderedPageBreak/>
        <w:t>9.</w:t>
      </w:r>
      <w:r w:rsidRPr="00843F53">
        <w:rPr>
          <w:rFonts w:eastAsia="Times New Roman"/>
          <w:kern w:val="22"/>
          <w:szCs w:val="22"/>
          <w:lang w:val="es-ES"/>
        </w:rPr>
        <w:tab/>
      </w:r>
      <w:r w:rsidRPr="00843F53">
        <w:rPr>
          <w:rFonts w:eastAsia="Times New Roman"/>
          <w:i/>
          <w:kern w:val="22"/>
          <w:szCs w:val="22"/>
          <w:lang w:val="es-ES"/>
        </w:rPr>
        <w:t xml:space="preserve">Toma nota </w:t>
      </w:r>
      <w:r w:rsidRPr="00843F53">
        <w:rPr>
          <w:rFonts w:eastAsia="Times New Roman"/>
          <w:kern w:val="22"/>
          <w:szCs w:val="22"/>
          <w:lang w:val="es-ES"/>
        </w:rPr>
        <w:t xml:space="preserve">del informe sobre los </w:t>
      </w:r>
      <w:r w:rsidR="00967D8E">
        <w:rPr>
          <w:rFonts w:eastAsia="Times New Roman"/>
          <w:kern w:val="22"/>
          <w:szCs w:val="22"/>
          <w:lang w:val="es-ES"/>
        </w:rPr>
        <w:t>progr</w:t>
      </w:r>
      <w:r w:rsidRPr="00843F53">
        <w:rPr>
          <w:rFonts w:eastAsia="Times New Roman"/>
          <w:kern w:val="22"/>
          <w:szCs w:val="22"/>
          <w:lang w:val="es-ES"/>
        </w:rPr>
        <w:t>es</w:t>
      </w:r>
      <w:r w:rsidR="00967D8E">
        <w:rPr>
          <w:rFonts w:eastAsia="Times New Roman"/>
          <w:kern w:val="22"/>
          <w:szCs w:val="22"/>
          <w:lang w:val="es-ES"/>
        </w:rPr>
        <w:t>os realizados</w:t>
      </w:r>
      <w:r w:rsidRPr="00843F53">
        <w:rPr>
          <w:rFonts w:eastAsia="Times New Roman"/>
          <w:kern w:val="22"/>
          <w:szCs w:val="22"/>
          <w:lang w:val="es-ES"/>
        </w:rPr>
        <w:t xml:space="preserve"> en la promoción y facilitación de la cooperación científica y técnica, incluidos los logros</w:t>
      </w:r>
      <w:r w:rsidR="008A5246">
        <w:rPr>
          <w:rFonts w:eastAsia="Times New Roman"/>
          <w:kern w:val="22"/>
          <w:szCs w:val="22"/>
          <w:lang w:val="es-ES"/>
        </w:rPr>
        <w:t xml:space="preserve"> alcanzados</w:t>
      </w:r>
      <w:r w:rsidRPr="00843F53">
        <w:rPr>
          <w:rFonts w:eastAsia="Times New Roman"/>
          <w:kern w:val="22"/>
          <w:szCs w:val="22"/>
          <w:lang w:val="es-ES"/>
        </w:rPr>
        <w:t xml:space="preserve"> en el marco de la Iniciativa Bio-Bridge</w:t>
      </w:r>
      <w:r w:rsidRPr="00843F53">
        <w:rPr>
          <w:rStyle w:val="StyleFootnoteReferencenumberFootnoteReferenceSuperscript-EF"/>
          <w:rFonts w:eastAsia="Times New Roman"/>
          <w:sz w:val="22"/>
          <w:szCs w:val="22"/>
          <w:lang w:val="es-ES"/>
        </w:rPr>
        <w:footnoteReference w:id="21"/>
      </w:r>
      <w:r w:rsidRPr="00843F53">
        <w:rPr>
          <w:rFonts w:eastAsia="Times New Roman"/>
          <w:kern w:val="22"/>
          <w:szCs w:val="22"/>
          <w:lang w:val="es-ES"/>
        </w:rPr>
        <w:t>;</w:t>
      </w:r>
    </w:p>
    <w:p w:rsidR="002546C4" w:rsidRPr="00843F53" w:rsidRDefault="002546C4" w:rsidP="002546C4">
      <w:pPr>
        <w:pStyle w:val="Para1"/>
        <w:suppressLineNumbers/>
        <w:suppressAutoHyphens/>
        <w:spacing w:before="120"/>
        <w:ind w:firstLine="720"/>
        <w:rPr>
          <w:rFonts w:eastAsia="Times New Roman"/>
          <w:kern w:val="22"/>
          <w:szCs w:val="22"/>
          <w:lang w:val="es-ES"/>
        </w:rPr>
      </w:pPr>
      <w:r w:rsidRPr="00843F53">
        <w:rPr>
          <w:rFonts w:eastAsia="Times New Roman"/>
          <w:kern w:val="22"/>
          <w:szCs w:val="22"/>
          <w:lang w:val="es-ES"/>
        </w:rPr>
        <w:t>10.</w:t>
      </w:r>
      <w:r w:rsidRPr="00843F53">
        <w:rPr>
          <w:rFonts w:eastAsia="Times New Roman"/>
          <w:kern w:val="22"/>
          <w:szCs w:val="22"/>
          <w:lang w:val="es-ES"/>
        </w:rPr>
        <w:tab/>
      </w:r>
      <w:r w:rsidRPr="00843F53">
        <w:rPr>
          <w:rFonts w:eastAsia="Times New Roman"/>
          <w:i/>
          <w:kern w:val="22"/>
          <w:szCs w:val="22"/>
          <w:lang w:val="es-ES"/>
        </w:rPr>
        <w:t>Invita</w:t>
      </w:r>
      <w:r w:rsidRPr="00843F53">
        <w:rPr>
          <w:rFonts w:eastAsia="Times New Roman"/>
          <w:kern w:val="22"/>
          <w:szCs w:val="22"/>
          <w:lang w:val="es-ES"/>
        </w:rPr>
        <w:t xml:space="preserve"> a las Partes y organizaciones pertinentes que estén en condiciones de hacerlo a registrarse como proveedores de asistencia técnica a través de la plataforma web Bio-Bridge;</w:t>
      </w:r>
    </w:p>
    <w:p w:rsidR="002546C4" w:rsidRPr="00843F53" w:rsidRDefault="002546C4" w:rsidP="002546C4">
      <w:pPr>
        <w:pStyle w:val="Para1"/>
        <w:suppressLineNumbers/>
        <w:suppressAutoHyphens/>
        <w:spacing w:before="120"/>
        <w:ind w:firstLine="720"/>
        <w:rPr>
          <w:rFonts w:eastAsia="Times New Roman"/>
          <w:kern w:val="22"/>
          <w:szCs w:val="22"/>
          <w:lang w:val="es-ES"/>
        </w:rPr>
      </w:pPr>
      <w:r w:rsidRPr="00843F53">
        <w:rPr>
          <w:rFonts w:eastAsia="Times New Roman"/>
          <w:kern w:val="22"/>
          <w:szCs w:val="22"/>
          <w:lang w:val="es-ES"/>
        </w:rPr>
        <w:t>11.</w:t>
      </w:r>
      <w:r w:rsidRPr="00843F53">
        <w:rPr>
          <w:rFonts w:eastAsia="Times New Roman"/>
          <w:kern w:val="22"/>
          <w:szCs w:val="22"/>
          <w:lang w:val="es-ES"/>
        </w:rPr>
        <w:tab/>
      </w:r>
      <w:r w:rsidRPr="00843F53">
        <w:rPr>
          <w:rFonts w:eastAsia="Times New Roman"/>
          <w:i/>
          <w:kern w:val="22"/>
          <w:szCs w:val="22"/>
          <w:lang w:val="es-ES"/>
        </w:rPr>
        <w:t xml:space="preserve">Invita </w:t>
      </w:r>
      <w:r w:rsidRPr="00843F53">
        <w:rPr>
          <w:rFonts w:eastAsia="Times New Roman"/>
          <w:kern w:val="22"/>
          <w:szCs w:val="22"/>
          <w:lang w:val="es-ES"/>
        </w:rPr>
        <w:t xml:space="preserve">a proveedores de asistencia, incluido el Consorcio de Socios Científicos, a comunicar a la Secretaria Ejecutiva los temas prioritarios, cobertura geográfica y tipos de servicios </w:t>
      </w:r>
      <w:r w:rsidR="007D280C">
        <w:rPr>
          <w:rFonts w:eastAsia="Times New Roman"/>
          <w:kern w:val="22"/>
          <w:szCs w:val="22"/>
          <w:lang w:val="es-ES"/>
        </w:rPr>
        <w:t>que deseen</w:t>
      </w:r>
      <w:r w:rsidRPr="00843F53">
        <w:rPr>
          <w:rFonts w:eastAsia="Times New Roman"/>
          <w:kern w:val="22"/>
          <w:szCs w:val="22"/>
          <w:lang w:val="es-ES"/>
        </w:rPr>
        <w:t xml:space="preserve"> ofrecer a otras Partes;</w:t>
      </w:r>
    </w:p>
    <w:p w:rsidR="008C30EF" w:rsidRPr="00843F53" w:rsidRDefault="008C30EF" w:rsidP="008C30EF">
      <w:pPr>
        <w:pStyle w:val="Para1"/>
        <w:suppressLineNumbers/>
        <w:suppressAutoHyphens/>
        <w:spacing w:before="120"/>
        <w:ind w:firstLine="720"/>
        <w:rPr>
          <w:rFonts w:eastAsia="Times New Roman"/>
          <w:kern w:val="22"/>
          <w:szCs w:val="22"/>
          <w:lang w:val="es-ES"/>
        </w:rPr>
      </w:pPr>
      <w:r w:rsidRPr="00843F53">
        <w:rPr>
          <w:rFonts w:eastAsia="Times New Roman"/>
          <w:kern w:val="22"/>
          <w:szCs w:val="22"/>
          <w:lang w:val="es-ES"/>
        </w:rPr>
        <w:t>12.</w:t>
      </w:r>
      <w:r w:rsidRPr="00843F53">
        <w:rPr>
          <w:rFonts w:eastAsia="Times New Roman"/>
          <w:kern w:val="22"/>
          <w:szCs w:val="22"/>
          <w:lang w:val="es-ES"/>
        </w:rPr>
        <w:tab/>
      </w:r>
      <w:r w:rsidRPr="00843F53">
        <w:rPr>
          <w:rFonts w:eastAsia="Times New Roman"/>
          <w:i/>
          <w:szCs w:val="22"/>
          <w:lang w:val="es-ES"/>
        </w:rPr>
        <w:t>Decide</w:t>
      </w:r>
      <w:r w:rsidRPr="00843F53">
        <w:rPr>
          <w:rFonts w:eastAsia="Times New Roman"/>
          <w:szCs w:val="22"/>
          <w:lang w:val="es-ES"/>
        </w:rPr>
        <w:t xml:space="preserve"> establecer un Comité Asesor Oficioso sobre Cooperación </w:t>
      </w:r>
      <w:r w:rsidR="00ED5CB5" w:rsidRPr="00843F53">
        <w:rPr>
          <w:rFonts w:eastAsia="Times New Roman"/>
          <w:szCs w:val="22"/>
          <w:lang w:val="es-ES"/>
        </w:rPr>
        <w:t xml:space="preserve">Científica </w:t>
      </w:r>
      <w:r w:rsidRPr="00843F53">
        <w:rPr>
          <w:rFonts w:eastAsia="Times New Roman"/>
          <w:szCs w:val="22"/>
          <w:lang w:val="es-ES"/>
        </w:rPr>
        <w:t xml:space="preserve">y </w:t>
      </w:r>
      <w:r w:rsidR="00ED5CB5" w:rsidRPr="00843F53">
        <w:rPr>
          <w:rFonts w:eastAsia="Times New Roman"/>
          <w:szCs w:val="22"/>
          <w:lang w:val="es-ES"/>
        </w:rPr>
        <w:t xml:space="preserve">Técnica </w:t>
      </w:r>
      <w:r w:rsidRPr="00843F53">
        <w:rPr>
          <w:rFonts w:eastAsia="Times New Roman"/>
          <w:szCs w:val="22"/>
          <w:lang w:val="es-ES"/>
        </w:rPr>
        <w:t>encargado de brindar asesoramiento a la Secretaria Ejecutiva sobre medidas prácticas, herramientas y oportunidades para promover y facilitar la cooperación científica y técnica para la aplicación efectiva del Convenio, con arreglo al mandato que figura en el anexo II de la presente;</w:t>
      </w:r>
    </w:p>
    <w:p w:rsidR="00623B3C" w:rsidRPr="00843F53" w:rsidRDefault="00623B3C" w:rsidP="00623B3C">
      <w:pPr>
        <w:pStyle w:val="Para1"/>
        <w:suppressLineNumbers/>
        <w:suppressAutoHyphens/>
        <w:spacing w:before="120"/>
        <w:ind w:firstLine="720"/>
        <w:rPr>
          <w:rFonts w:eastAsia="Times New Roman"/>
          <w:kern w:val="22"/>
          <w:szCs w:val="22"/>
          <w:lang w:val="es-ES"/>
        </w:rPr>
      </w:pPr>
      <w:r w:rsidRPr="00843F53">
        <w:rPr>
          <w:rFonts w:eastAsia="Times New Roman"/>
          <w:kern w:val="22"/>
          <w:szCs w:val="22"/>
          <w:lang w:val="es-ES"/>
        </w:rPr>
        <w:t>13.</w:t>
      </w:r>
      <w:r w:rsidRPr="00843F53">
        <w:rPr>
          <w:rFonts w:eastAsia="Times New Roman"/>
          <w:kern w:val="22"/>
          <w:szCs w:val="22"/>
          <w:lang w:val="es-ES"/>
        </w:rPr>
        <w:tab/>
      </w:r>
      <w:r w:rsidRPr="00843F53">
        <w:rPr>
          <w:rFonts w:eastAsia="Times New Roman"/>
          <w:i/>
          <w:kern w:val="22"/>
          <w:szCs w:val="22"/>
          <w:lang w:val="es-ES"/>
        </w:rPr>
        <w:t>Pide</w:t>
      </w:r>
      <w:r w:rsidRPr="00843F53">
        <w:rPr>
          <w:rFonts w:eastAsia="Times New Roman"/>
          <w:kern w:val="22"/>
          <w:szCs w:val="22"/>
          <w:lang w:val="es-ES"/>
        </w:rPr>
        <w:t xml:space="preserve"> a la Secretaria Ejecutiva que, en colaboración con asociados y con sujeción a la disponibilidad de recursos, continúe promoviendo y facilitando la cooperación científica y técnica y presente un informe sobre los </w:t>
      </w:r>
      <w:r w:rsidR="00967D8E">
        <w:rPr>
          <w:rFonts w:eastAsia="Times New Roman"/>
          <w:kern w:val="22"/>
          <w:szCs w:val="22"/>
          <w:lang w:val="es-ES"/>
        </w:rPr>
        <w:t>progr</w:t>
      </w:r>
      <w:r w:rsidRPr="00843F53">
        <w:rPr>
          <w:rFonts w:eastAsia="Times New Roman"/>
          <w:kern w:val="22"/>
          <w:szCs w:val="22"/>
          <w:lang w:val="es-ES"/>
        </w:rPr>
        <w:t>es</w:t>
      </w:r>
      <w:r w:rsidR="00967D8E">
        <w:rPr>
          <w:rFonts w:eastAsia="Times New Roman"/>
          <w:kern w:val="22"/>
          <w:szCs w:val="22"/>
          <w:lang w:val="es-ES"/>
        </w:rPr>
        <w:t>os realizados</w:t>
      </w:r>
      <w:r w:rsidRPr="00843F53">
        <w:rPr>
          <w:rFonts w:eastAsia="Times New Roman"/>
          <w:kern w:val="22"/>
          <w:szCs w:val="22"/>
          <w:lang w:val="es-ES"/>
        </w:rPr>
        <w:t xml:space="preserve"> para someterlo a consideración del Órgano Subsidiario sobre la Aplicación en su tercera reunión y la Conferencia de las Partes en su 15ª reunión;</w:t>
      </w:r>
    </w:p>
    <w:p w:rsidR="00623B3C" w:rsidRPr="00843F53" w:rsidRDefault="00623B3C" w:rsidP="00623B3C">
      <w:pPr>
        <w:pStyle w:val="Para1"/>
        <w:suppressLineNumbers/>
        <w:suppressAutoHyphens/>
        <w:spacing w:before="120"/>
        <w:jc w:val="center"/>
        <w:rPr>
          <w:rFonts w:eastAsia="Times New Roman"/>
          <w:b/>
          <w:kern w:val="22"/>
          <w:szCs w:val="22"/>
          <w:lang w:val="es-ES"/>
        </w:rPr>
      </w:pPr>
      <w:r w:rsidRPr="00843F53">
        <w:rPr>
          <w:rFonts w:eastAsia="Times New Roman"/>
          <w:b/>
          <w:kern w:val="22"/>
          <w:szCs w:val="22"/>
          <w:lang w:val="es-ES"/>
        </w:rPr>
        <w:t>3.</w:t>
      </w:r>
      <w:r w:rsidRPr="00843F53">
        <w:rPr>
          <w:rFonts w:eastAsia="Times New Roman"/>
          <w:b/>
          <w:kern w:val="22"/>
          <w:szCs w:val="22"/>
          <w:lang w:val="es-ES"/>
        </w:rPr>
        <w:tab/>
        <w:t>Mecanismo de facilitación</w:t>
      </w:r>
    </w:p>
    <w:p w:rsidR="007C7A8F" w:rsidRPr="00843F53" w:rsidRDefault="007C7A8F" w:rsidP="007C7A8F">
      <w:pPr>
        <w:ind w:firstLine="720"/>
        <w:rPr>
          <w:rFonts w:eastAsia="Times New Roman" w:cs="Times New Roman"/>
          <w:szCs w:val="22"/>
          <w:lang w:val="es-ES"/>
        </w:rPr>
      </w:pPr>
      <w:r w:rsidRPr="00843F53">
        <w:rPr>
          <w:rFonts w:eastAsia="Times New Roman" w:cs="Times New Roman"/>
          <w:i/>
          <w:szCs w:val="22"/>
          <w:lang w:val="es-ES"/>
        </w:rPr>
        <w:t xml:space="preserve">Observando </w:t>
      </w:r>
      <w:r w:rsidRPr="00843F53">
        <w:rPr>
          <w:rFonts w:eastAsia="Times New Roman" w:cs="Times New Roman"/>
          <w:szCs w:val="22"/>
          <w:lang w:val="es-ES"/>
        </w:rPr>
        <w:t xml:space="preserve">los </w:t>
      </w:r>
      <w:r w:rsidR="007D280C">
        <w:rPr>
          <w:rFonts w:eastAsia="Times New Roman" w:cs="Times New Roman"/>
          <w:szCs w:val="22"/>
          <w:lang w:val="es-ES"/>
        </w:rPr>
        <w:t>progresos realizados</w:t>
      </w:r>
      <w:r w:rsidRPr="00843F53">
        <w:rPr>
          <w:rFonts w:eastAsia="Times New Roman" w:cs="Times New Roman"/>
          <w:szCs w:val="22"/>
          <w:lang w:val="es-ES"/>
        </w:rPr>
        <w:t xml:space="preserve"> en la </w:t>
      </w:r>
      <w:r w:rsidR="007D280C">
        <w:rPr>
          <w:rFonts w:eastAsia="Times New Roman" w:cs="Times New Roman"/>
          <w:szCs w:val="22"/>
          <w:lang w:val="es-ES"/>
        </w:rPr>
        <w:t>puesta en práctica</w:t>
      </w:r>
      <w:r w:rsidRPr="00843F53">
        <w:rPr>
          <w:rFonts w:eastAsia="Times New Roman" w:cs="Times New Roman"/>
          <w:szCs w:val="22"/>
          <w:lang w:val="es-ES"/>
        </w:rPr>
        <w:t xml:space="preserve"> de la estrategia web para el </w:t>
      </w:r>
      <w:r w:rsidRPr="00843F53">
        <w:rPr>
          <w:rFonts w:eastAsia="Times New Roman" w:cs="Times New Roman"/>
          <w:kern w:val="22"/>
          <w:szCs w:val="22"/>
          <w:lang w:val="es-ES"/>
        </w:rPr>
        <w:t>Convenio y sus Protocolos</w:t>
      </w:r>
      <w:r w:rsidRPr="00843F53">
        <w:rPr>
          <w:rFonts w:eastAsia="Times New Roman" w:cs="Times New Roman"/>
          <w:szCs w:val="22"/>
          <w:lang w:val="es-ES"/>
        </w:rPr>
        <w:t xml:space="preserve"> y el desarrollo de mecanismos de facilitación nacionales, incluida la puesta en funcionamiento de la herramienta Bioland por la Secretaria</w:t>
      </w:r>
      <w:r w:rsidRPr="00843F53">
        <w:rPr>
          <w:rFonts w:eastAsia="Times New Roman" w:cs="Times New Roman"/>
          <w:kern w:val="22"/>
          <w:szCs w:val="22"/>
          <w:lang w:val="es-ES"/>
        </w:rPr>
        <w:t xml:space="preserve"> </w:t>
      </w:r>
      <w:r w:rsidRPr="00843F53">
        <w:rPr>
          <w:rFonts w:eastAsia="Times New Roman" w:cs="Times New Roman"/>
          <w:szCs w:val="22"/>
          <w:lang w:val="es-ES"/>
        </w:rPr>
        <w:t>Ejecutiva para ayudar a las</w:t>
      </w:r>
      <w:r w:rsidRPr="00843F53">
        <w:rPr>
          <w:rFonts w:eastAsia="Times New Roman" w:cs="Times New Roman"/>
          <w:kern w:val="22"/>
          <w:szCs w:val="22"/>
          <w:lang w:val="es-ES"/>
        </w:rPr>
        <w:t xml:space="preserve"> Partes en el establecimiento o mejora de sus mecanismos de facilitación nacionales</w:t>
      </w:r>
      <w:r w:rsidRPr="00843F53">
        <w:rPr>
          <w:rStyle w:val="FootnoteReference"/>
          <w:rFonts w:eastAsia="Times New Roman" w:cs="Times New Roman"/>
          <w:sz w:val="22"/>
          <w:szCs w:val="22"/>
          <w:u w:val="none"/>
          <w:vertAlign w:val="superscript"/>
          <w:lang w:val="es-ES"/>
        </w:rPr>
        <w:footnoteReference w:id="22"/>
      </w:r>
      <w:r w:rsidRPr="00843F53">
        <w:rPr>
          <w:rFonts w:eastAsia="Times New Roman" w:cs="Times New Roman"/>
          <w:szCs w:val="22"/>
          <w:lang w:val="es-ES"/>
        </w:rPr>
        <w:t>,</w:t>
      </w:r>
    </w:p>
    <w:p w:rsidR="007C7A8F" w:rsidRPr="00843F53" w:rsidRDefault="007C7A8F" w:rsidP="007C7A8F">
      <w:pPr>
        <w:pStyle w:val="Para1"/>
        <w:suppressLineNumbers/>
        <w:suppressAutoHyphens/>
        <w:spacing w:before="120"/>
        <w:ind w:firstLine="720"/>
        <w:rPr>
          <w:rFonts w:eastAsia="Times New Roman"/>
          <w:szCs w:val="22"/>
          <w:lang w:val="es-ES"/>
        </w:rPr>
      </w:pPr>
      <w:r w:rsidRPr="00843F53">
        <w:rPr>
          <w:rFonts w:eastAsia="Times New Roman"/>
          <w:szCs w:val="22"/>
          <w:lang w:val="es-ES"/>
        </w:rPr>
        <w:t>14.</w:t>
      </w:r>
      <w:r w:rsidRPr="00843F53">
        <w:rPr>
          <w:rFonts w:eastAsia="Times New Roman"/>
          <w:szCs w:val="22"/>
          <w:lang w:val="es-ES"/>
        </w:rPr>
        <w:tab/>
      </w:r>
      <w:r w:rsidRPr="00843F53">
        <w:rPr>
          <w:rFonts w:eastAsia="Times New Roman"/>
          <w:i/>
          <w:szCs w:val="22"/>
          <w:lang w:val="es-ES"/>
        </w:rPr>
        <w:t>Invita</w:t>
      </w:r>
      <w:r w:rsidRPr="00843F53">
        <w:rPr>
          <w:rFonts w:eastAsia="Times New Roman"/>
          <w:szCs w:val="22"/>
          <w:lang w:val="es-ES"/>
        </w:rPr>
        <w:t xml:space="preserve"> a las Partes y otros Gobiernos </w:t>
      </w:r>
      <w:r w:rsidRPr="00843F53">
        <w:rPr>
          <w:rFonts w:eastAsia="Times New Roman"/>
          <w:kern w:val="22"/>
          <w:szCs w:val="22"/>
          <w:lang w:val="es-ES"/>
        </w:rPr>
        <w:t>a que, según proceda, migren los sitios web de su</w:t>
      </w:r>
      <w:r w:rsidR="002600E1" w:rsidRPr="00843F53">
        <w:rPr>
          <w:rFonts w:eastAsia="Times New Roman"/>
          <w:kern w:val="22"/>
          <w:szCs w:val="22"/>
          <w:lang w:val="es-ES"/>
        </w:rPr>
        <w:t>s</w:t>
      </w:r>
      <w:r w:rsidRPr="00843F53">
        <w:rPr>
          <w:rFonts w:eastAsia="Times New Roman"/>
          <w:kern w:val="22"/>
          <w:szCs w:val="22"/>
          <w:lang w:val="es-ES"/>
        </w:rPr>
        <w:t xml:space="preserve"> mecanismo</w:t>
      </w:r>
      <w:r w:rsidR="002600E1" w:rsidRPr="00843F53">
        <w:rPr>
          <w:rFonts w:eastAsia="Times New Roman"/>
          <w:kern w:val="22"/>
          <w:szCs w:val="22"/>
          <w:lang w:val="es-ES"/>
        </w:rPr>
        <w:t>s</w:t>
      </w:r>
      <w:r w:rsidRPr="00843F53">
        <w:rPr>
          <w:rFonts w:eastAsia="Times New Roman"/>
          <w:kern w:val="22"/>
          <w:szCs w:val="22"/>
          <w:lang w:val="es-ES"/>
        </w:rPr>
        <w:t xml:space="preserve"> de facilitación nacionales existentes a la herramienta Bioland desarrollada por la Secretaria Ejecutiva;</w:t>
      </w:r>
    </w:p>
    <w:p w:rsidR="00156C62" w:rsidRPr="00843F53" w:rsidRDefault="00156C62" w:rsidP="00156C62">
      <w:pPr>
        <w:pStyle w:val="Para1"/>
        <w:suppressLineNumbers/>
        <w:suppressAutoHyphens/>
        <w:spacing w:before="120"/>
        <w:ind w:firstLine="720"/>
        <w:rPr>
          <w:rFonts w:eastAsia="Times New Roman"/>
          <w:szCs w:val="22"/>
          <w:lang w:val="es-ES"/>
        </w:rPr>
      </w:pPr>
      <w:r w:rsidRPr="00843F53">
        <w:rPr>
          <w:rFonts w:eastAsia="Times New Roman"/>
          <w:szCs w:val="22"/>
          <w:lang w:val="es-ES"/>
        </w:rPr>
        <w:t>15.</w:t>
      </w:r>
      <w:r w:rsidRPr="00843F53">
        <w:rPr>
          <w:rFonts w:eastAsia="Times New Roman"/>
          <w:szCs w:val="22"/>
          <w:lang w:val="es-ES"/>
        </w:rPr>
        <w:tab/>
      </w:r>
      <w:r w:rsidRPr="00843F53">
        <w:rPr>
          <w:rFonts w:eastAsia="Times New Roman"/>
          <w:i/>
          <w:szCs w:val="22"/>
          <w:lang w:val="es-ES"/>
        </w:rPr>
        <w:t>Invita</w:t>
      </w:r>
      <w:r w:rsidRPr="00843F53">
        <w:rPr>
          <w:rFonts w:eastAsia="Times New Roman"/>
          <w:szCs w:val="22"/>
          <w:lang w:val="es-ES"/>
        </w:rPr>
        <w:t xml:space="preserve"> a las Partes, otros Gobiernos y organizaciones pertinentes que estén en condiciones de hacerlo a que sigan proporcionando los recursos financieros, técnicos y humanos necesarios para apoyar un mayor desarrollo de los mecanismos de facilitación nacionales, o para la migración de los sitios web de mecanismos nacionales de facilitación </w:t>
      </w:r>
      <w:r w:rsidR="007D280C">
        <w:rPr>
          <w:rFonts w:eastAsia="Times New Roman"/>
          <w:szCs w:val="22"/>
          <w:lang w:val="es-ES"/>
        </w:rPr>
        <w:t>existentes</w:t>
      </w:r>
      <w:r w:rsidRPr="00843F53">
        <w:rPr>
          <w:rFonts w:eastAsia="Times New Roman"/>
          <w:szCs w:val="22"/>
          <w:lang w:val="es-ES"/>
        </w:rPr>
        <w:t xml:space="preserve"> al sitio web de la herramienta Bioland;</w:t>
      </w:r>
    </w:p>
    <w:p w:rsidR="00156C62" w:rsidRPr="00843F53" w:rsidRDefault="00156C62" w:rsidP="00156C62">
      <w:pPr>
        <w:pStyle w:val="Para1"/>
        <w:suppressLineNumbers/>
        <w:suppressAutoHyphens/>
        <w:adjustRightInd w:val="0"/>
        <w:snapToGrid w:val="0"/>
        <w:spacing w:before="120"/>
        <w:ind w:firstLine="720"/>
        <w:rPr>
          <w:rFonts w:eastAsia="Times New Roman"/>
          <w:szCs w:val="22"/>
          <w:lang w:val="es-ES"/>
        </w:rPr>
      </w:pPr>
      <w:r w:rsidRPr="00843F53">
        <w:rPr>
          <w:rFonts w:eastAsia="Times New Roman"/>
          <w:szCs w:val="22"/>
          <w:lang w:val="es-ES"/>
        </w:rPr>
        <w:t>16.</w:t>
      </w:r>
      <w:r w:rsidRPr="00843F53">
        <w:rPr>
          <w:rFonts w:eastAsia="Times New Roman"/>
          <w:szCs w:val="22"/>
          <w:lang w:val="es-ES"/>
        </w:rPr>
        <w:tab/>
      </w:r>
      <w:r w:rsidRPr="00843F53">
        <w:rPr>
          <w:rFonts w:eastAsia="Times New Roman"/>
          <w:i/>
          <w:kern w:val="22"/>
          <w:szCs w:val="22"/>
          <w:lang w:val="es-ES"/>
        </w:rPr>
        <w:t>Pide</w:t>
      </w:r>
      <w:r w:rsidRPr="00843F53">
        <w:rPr>
          <w:rFonts w:eastAsia="Times New Roman"/>
          <w:szCs w:val="22"/>
          <w:lang w:val="es-ES"/>
        </w:rPr>
        <w:t xml:space="preserve"> a la Secretaria Ejecutiva que, con sujeción a la disponibilidad de financiación:</w:t>
      </w:r>
    </w:p>
    <w:p w:rsidR="00156C62" w:rsidRPr="00843F53" w:rsidRDefault="007D280C" w:rsidP="00F96A8B">
      <w:pPr>
        <w:pStyle w:val="ListParagraph"/>
        <w:numPr>
          <w:ilvl w:val="0"/>
          <w:numId w:val="20"/>
        </w:numPr>
        <w:tabs>
          <w:tab w:val="clear" w:pos="1080"/>
        </w:tabs>
        <w:adjustRightInd w:val="0"/>
        <w:snapToGrid w:val="0"/>
        <w:spacing w:after="120"/>
        <w:ind w:left="0" w:firstLine="720"/>
        <w:rPr>
          <w:rFonts w:eastAsia="Times New Roman" w:cs="Times New Roman"/>
          <w:szCs w:val="22"/>
          <w:lang w:val="es-ES"/>
        </w:rPr>
      </w:pPr>
      <w:r>
        <w:rPr>
          <w:rFonts w:eastAsia="Times New Roman" w:cs="Times New Roman"/>
          <w:szCs w:val="22"/>
          <w:lang w:val="es-ES"/>
        </w:rPr>
        <w:t>continúe</w:t>
      </w:r>
      <w:r w:rsidR="00156C62" w:rsidRPr="00843F53">
        <w:rPr>
          <w:rFonts w:eastAsia="Times New Roman" w:cs="Times New Roman"/>
          <w:szCs w:val="22"/>
          <w:lang w:val="es-ES"/>
        </w:rPr>
        <w:t xml:space="preserve"> apoyando los esfuerzos de las Partes para establece</w:t>
      </w:r>
      <w:r>
        <w:rPr>
          <w:rFonts w:eastAsia="Times New Roman" w:cs="Times New Roman"/>
          <w:szCs w:val="22"/>
          <w:lang w:val="es-ES"/>
        </w:rPr>
        <w:t>r</w:t>
      </w:r>
      <w:r w:rsidR="00156C62" w:rsidRPr="00843F53">
        <w:rPr>
          <w:rFonts w:eastAsia="Times New Roman" w:cs="Times New Roman"/>
          <w:szCs w:val="22"/>
          <w:lang w:val="es-ES"/>
        </w:rPr>
        <w:t>, manten</w:t>
      </w:r>
      <w:r>
        <w:rPr>
          <w:rFonts w:eastAsia="Times New Roman" w:cs="Times New Roman"/>
          <w:szCs w:val="22"/>
          <w:lang w:val="es-ES"/>
        </w:rPr>
        <w:t>er</w:t>
      </w:r>
      <w:r w:rsidR="00156C62" w:rsidRPr="00843F53">
        <w:rPr>
          <w:rFonts w:eastAsia="Times New Roman" w:cs="Times New Roman"/>
          <w:szCs w:val="22"/>
          <w:lang w:val="es-ES"/>
        </w:rPr>
        <w:t xml:space="preserve"> y </w:t>
      </w:r>
      <w:r>
        <w:rPr>
          <w:rFonts w:eastAsia="Times New Roman" w:cs="Times New Roman"/>
          <w:szCs w:val="22"/>
          <w:lang w:val="es-ES"/>
        </w:rPr>
        <w:t>segui</w:t>
      </w:r>
      <w:r w:rsidR="00156C62" w:rsidRPr="00843F53">
        <w:rPr>
          <w:rFonts w:eastAsia="Times New Roman" w:cs="Times New Roman"/>
          <w:szCs w:val="22"/>
          <w:lang w:val="es-ES"/>
        </w:rPr>
        <w:t>r desarroll</w:t>
      </w:r>
      <w:r>
        <w:rPr>
          <w:rFonts w:eastAsia="Times New Roman" w:cs="Times New Roman"/>
          <w:szCs w:val="22"/>
          <w:lang w:val="es-ES"/>
        </w:rPr>
        <w:t>and</w:t>
      </w:r>
      <w:r w:rsidR="00156C62" w:rsidRPr="00843F53">
        <w:rPr>
          <w:rFonts w:eastAsia="Times New Roman" w:cs="Times New Roman"/>
          <w:szCs w:val="22"/>
          <w:lang w:val="es-ES"/>
        </w:rPr>
        <w:t>o sus mecani</w:t>
      </w:r>
      <w:r w:rsidR="001B0727" w:rsidRPr="00843F53">
        <w:rPr>
          <w:rFonts w:eastAsia="Times New Roman" w:cs="Times New Roman"/>
          <w:szCs w:val="22"/>
          <w:lang w:val="es-ES"/>
        </w:rPr>
        <w:t>smos de facilitación nacionales</w:t>
      </w:r>
      <w:r w:rsidR="00156C62" w:rsidRPr="00843F53">
        <w:rPr>
          <w:rFonts w:eastAsia="Times New Roman" w:cs="Times New Roman"/>
          <w:szCs w:val="22"/>
          <w:lang w:val="es-ES"/>
        </w:rPr>
        <w:t xml:space="preserve">, entre otras cosas, </w:t>
      </w:r>
      <w:r w:rsidR="001B0727" w:rsidRPr="00843F53">
        <w:rPr>
          <w:rFonts w:eastAsia="Times New Roman" w:cs="Times New Roman"/>
          <w:szCs w:val="22"/>
          <w:lang w:val="es-ES"/>
        </w:rPr>
        <w:t>me</w:t>
      </w:r>
      <w:r w:rsidR="00156C62" w:rsidRPr="00843F53">
        <w:rPr>
          <w:rFonts w:eastAsia="Times New Roman" w:cs="Times New Roman"/>
          <w:szCs w:val="22"/>
          <w:lang w:val="es-ES"/>
        </w:rPr>
        <w:t>d</w:t>
      </w:r>
      <w:r w:rsidR="001B0727" w:rsidRPr="00843F53">
        <w:rPr>
          <w:rFonts w:eastAsia="Times New Roman" w:cs="Times New Roman"/>
          <w:szCs w:val="22"/>
          <w:lang w:val="es-ES"/>
        </w:rPr>
        <w:t>iant</w:t>
      </w:r>
      <w:r w:rsidR="00156C62" w:rsidRPr="00843F53">
        <w:rPr>
          <w:rFonts w:eastAsia="Times New Roman" w:cs="Times New Roman"/>
          <w:szCs w:val="22"/>
          <w:lang w:val="es-ES"/>
        </w:rPr>
        <w:t>e</w:t>
      </w:r>
      <w:r w:rsidR="00A3046E" w:rsidRPr="00843F53">
        <w:rPr>
          <w:rFonts w:eastAsia="Times New Roman" w:cs="Times New Roman"/>
          <w:szCs w:val="22"/>
          <w:lang w:val="es-ES"/>
        </w:rPr>
        <w:t xml:space="preserve"> lo siguiente</w:t>
      </w:r>
      <w:r w:rsidR="00156C62" w:rsidRPr="00843F53">
        <w:rPr>
          <w:rFonts w:eastAsia="Times New Roman" w:cs="Times New Roman"/>
          <w:szCs w:val="22"/>
          <w:lang w:val="es-ES"/>
        </w:rPr>
        <w:t>:</w:t>
      </w:r>
    </w:p>
    <w:p w:rsidR="00DB4EFE" w:rsidRPr="00843F53" w:rsidRDefault="00DB4EFE" w:rsidP="002D4414">
      <w:pPr>
        <w:pStyle w:val="ListParagraph"/>
        <w:numPr>
          <w:ilvl w:val="0"/>
          <w:numId w:val="21"/>
        </w:numPr>
        <w:adjustRightInd w:val="0"/>
        <w:snapToGrid w:val="0"/>
        <w:spacing w:after="60"/>
        <w:ind w:left="1440" w:hanging="448"/>
        <w:jc w:val="left"/>
        <w:rPr>
          <w:rFonts w:eastAsia="Times New Roman" w:cs="Times New Roman"/>
          <w:szCs w:val="22"/>
          <w:lang w:val="es-ES"/>
        </w:rPr>
      </w:pPr>
      <w:r w:rsidRPr="00843F53">
        <w:rPr>
          <w:rFonts w:eastAsia="Times New Roman" w:cs="Times New Roman"/>
          <w:szCs w:val="22"/>
          <w:lang w:val="es-ES"/>
        </w:rPr>
        <w:t>el desarrollo y la promoción continuos de la herramienta Bioland;</w:t>
      </w:r>
    </w:p>
    <w:p w:rsidR="00A3046E" w:rsidRPr="00843F53" w:rsidRDefault="00A3046E" w:rsidP="002D4414">
      <w:pPr>
        <w:pStyle w:val="ListParagraph"/>
        <w:numPr>
          <w:ilvl w:val="0"/>
          <w:numId w:val="21"/>
        </w:numPr>
        <w:adjustRightInd w:val="0"/>
        <w:snapToGrid w:val="0"/>
        <w:spacing w:after="60"/>
        <w:ind w:left="1440" w:hanging="448"/>
        <w:jc w:val="left"/>
        <w:rPr>
          <w:rFonts w:eastAsia="Times New Roman" w:cs="Times New Roman"/>
          <w:szCs w:val="22"/>
          <w:lang w:val="es-ES"/>
        </w:rPr>
      </w:pPr>
      <w:r w:rsidRPr="00843F53">
        <w:rPr>
          <w:rFonts w:eastAsia="Times New Roman" w:cs="Times New Roman"/>
          <w:szCs w:val="22"/>
          <w:lang w:val="es-ES"/>
        </w:rPr>
        <w:t>la organización de instancias de capacitación para ayudar a las Partes en el desarrollo de sus mecanismos de facilitación nacionales;</w:t>
      </w:r>
    </w:p>
    <w:p w:rsidR="00A3046E" w:rsidRPr="00843F53" w:rsidRDefault="00A3046E" w:rsidP="00843F53">
      <w:pPr>
        <w:pStyle w:val="ListParagraph"/>
        <w:numPr>
          <w:ilvl w:val="0"/>
          <w:numId w:val="20"/>
        </w:numPr>
        <w:adjustRightInd w:val="0"/>
        <w:snapToGrid w:val="0"/>
        <w:ind w:left="0" w:firstLine="720"/>
        <w:rPr>
          <w:rFonts w:eastAsia="Times New Roman" w:cs="Times New Roman"/>
          <w:szCs w:val="22"/>
          <w:lang w:val="es-ES"/>
        </w:rPr>
      </w:pPr>
      <w:r w:rsidRPr="00843F53">
        <w:rPr>
          <w:rFonts w:eastAsia="Times New Roman" w:cs="Times New Roman"/>
          <w:szCs w:val="22"/>
          <w:lang w:val="es-ES"/>
        </w:rPr>
        <w:t>contin</w:t>
      </w:r>
      <w:r w:rsidR="00843F53">
        <w:rPr>
          <w:rFonts w:eastAsia="Times New Roman" w:cs="Times New Roman"/>
          <w:szCs w:val="22"/>
          <w:lang w:val="es-ES"/>
        </w:rPr>
        <w:t>úe</w:t>
      </w:r>
      <w:r w:rsidRPr="00843F53">
        <w:rPr>
          <w:rFonts w:eastAsia="Times New Roman" w:cs="Times New Roman"/>
          <w:szCs w:val="22"/>
          <w:lang w:val="es-ES"/>
        </w:rPr>
        <w:t xml:space="preserve"> con la implementación del programa de trabajo para el mecanismo de facilitación en apoyo al Plan Estratégico para la Diversidad Biológica 2011</w:t>
      </w:r>
      <w:r w:rsidRPr="00843F53">
        <w:rPr>
          <w:rFonts w:eastAsia="Times New Roman" w:cs="Times New Roman"/>
          <w:szCs w:val="22"/>
          <w:lang w:val="es-ES"/>
        </w:rPr>
        <w:noBreakHyphen/>
        <w:t xml:space="preserve">2020 con la orientación del Comité Asesor Oficioso </w:t>
      </w:r>
      <w:r w:rsidR="00F34A51">
        <w:rPr>
          <w:rFonts w:eastAsia="Times New Roman" w:cs="Times New Roman"/>
          <w:szCs w:val="22"/>
          <w:lang w:val="es-ES"/>
        </w:rPr>
        <w:t xml:space="preserve">para </w:t>
      </w:r>
      <w:r w:rsidRPr="00843F53">
        <w:rPr>
          <w:rFonts w:eastAsia="Times New Roman" w:cs="Times New Roman"/>
          <w:szCs w:val="22"/>
          <w:lang w:val="es-ES"/>
        </w:rPr>
        <w:t>el Mecanismo de Facilitación.</w:t>
      </w:r>
    </w:p>
    <w:p w:rsidR="00A3046E" w:rsidRPr="00843F53" w:rsidRDefault="00A3046E" w:rsidP="00A3046E">
      <w:pPr>
        <w:pStyle w:val="Para1"/>
        <w:numPr>
          <w:ilvl w:val="0"/>
          <w:numId w:val="14"/>
        </w:numPr>
        <w:suppressLineNumbers/>
        <w:tabs>
          <w:tab w:val="num" w:pos="720"/>
        </w:tabs>
        <w:suppressAutoHyphens/>
        <w:adjustRightInd w:val="0"/>
        <w:snapToGrid w:val="0"/>
        <w:spacing w:before="120"/>
        <w:ind w:left="0" w:firstLine="0"/>
        <w:rPr>
          <w:rFonts w:eastAsia="Times New Roman"/>
          <w:szCs w:val="22"/>
          <w:lang w:val="es-ES"/>
        </w:rPr>
      </w:pPr>
      <w:r w:rsidRPr="00843F53">
        <w:rPr>
          <w:rFonts w:eastAsia="Times New Roman"/>
          <w:szCs w:val="22"/>
          <w:lang w:val="es-ES"/>
        </w:rPr>
        <w:t>El Órgano Subsidiario sobre la Aplicación también podría estimar oportuno considerar recomendar a la Conferencia de las Partes que actúa como reunión de las Partes en el Protocolo de Nagoya que adopte una decisión del siguiente tenor:</w:t>
      </w:r>
    </w:p>
    <w:p w:rsidR="00A3046E" w:rsidRPr="00843F53" w:rsidRDefault="00A3046E" w:rsidP="00F34A51">
      <w:pPr>
        <w:pStyle w:val="Para1"/>
        <w:widowControl w:val="0"/>
        <w:suppressLineNumbers/>
        <w:suppressAutoHyphens/>
        <w:adjustRightInd w:val="0"/>
        <w:snapToGrid w:val="0"/>
        <w:spacing w:before="120"/>
        <w:ind w:firstLine="709"/>
        <w:rPr>
          <w:rFonts w:eastAsia="Times New Roman"/>
          <w:i/>
          <w:kern w:val="22"/>
          <w:szCs w:val="22"/>
          <w:lang w:val="es-ES"/>
        </w:rPr>
      </w:pPr>
      <w:r w:rsidRPr="00843F53">
        <w:rPr>
          <w:rFonts w:eastAsia="Times New Roman"/>
          <w:i/>
          <w:szCs w:val="22"/>
          <w:lang w:val="es-ES"/>
        </w:rPr>
        <w:t>La Conferencia de las Partes que actúa como reunión de las Partes en el Protocolo de Nagoya,</w:t>
      </w:r>
    </w:p>
    <w:p w:rsidR="00B64C6A" w:rsidRPr="00843F53" w:rsidRDefault="00B64C6A" w:rsidP="00F34A51">
      <w:pPr>
        <w:pStyle w:val="Para1"/>
        <w:widowControl w:val="0"/>
        <w:suppressLineNumbers/>
        <w:suppressAutoHyphens/>
        <w:spacing w:before="120"/>
        <w:ind w:firstLine="720"/>
        <w:rPr>
          <w:rFonts w:eastAsia="Times New Roman"/>
          <w:kern w:val="20"/>
          <w:szCs w:val="22"/>
          <w:lang w:val="es-ES"/>
        </w:rPr>
      </w:pPr>
      <w:r w:rsidRPr="00843F53">
        <w:rPr>
          <w:rFonts w:eastAsia="Times New Roman"/>
          <w:i/>
          <w:kern w:val="20"/>
          <w:szCs w:val="22"/>
          <w:lang w:val="es-ES"/>
        </w:rPr>
        <w:t xml:space="preserve">Recordando las </w:t>
      </w:r>
      <w:r w:rsidRPr="00843F53">
        <w:rPr>
          <w:rFonts w:eastAsia="Times New Roman"/>
          <w:kern w:val="20"/>
          <w:szCs w:val="22"/>
          <w:lang w:val="es-ES"/>
        </w:rPr>
        <w:t xml:space="preserve">decisiones </w:t>
      </w:r>
      <w:hyperlink r:id="rId28" w:history="1">
        <w:r w:rsidRPr="00843F53">
          <w:rPr>
            <w:rStyle w:val="Hyperlink"/>
            <w:rFonts w:eastAsia="Times New Roman"/>
            <w:kern w:val="22"/>
            <w:szCs w:val="22"/>
            <w:lang w:val="es-ES"/>
          </w:rPr>
          <w:t>NP-1/8</w:t>
        </w:r>
      </w:hyperlink>
      <w:r w:rsidRPr="00843F53">
        <w:rPr>
          <w:rFonts w:eastAsia="Times New Roman"/>
          <w:kern w:val="22"/>
          <w:szCs w:val="22"/>
          <w:lang w:val="es-ES"/>
        </w:rPr>
        <w:t xml:space="preserve"> y </w:t>
      </w:r>
      <w:hyperlink r:id="rId29" w:history="1">
        <w:r w:rsidRPr="00843F53">
          <w:rPr>
            <w:rStyle w:val="Hyperlink"/>
            <w:rFonts w:eastAsia="Times New Roman"/>
            <w:kern w:val="22"/>
            <w:szCs w:val="22"/>
            <w:lang w:val="es-ES"/>
          </w:rPr>
          <w:t>NP-2/8</w:t>
        </w:r>
      </w:hyperlink>
      <w:r w:rsidRPr="00843F53">
        <w:rPr>
          <w:rFonts w:eastAsia="Times New Roman"/>
          <w:kern w:val="20"/>
          <w:szCs w:val="22"/>
          <w:lang w:val="es-ES"/>
        </w:rPr>
        <w:t>,</w:t>
      </w:r>
    </w:p>
    <w:p w:rsidR="00B64C6A" w:rsidRPr="00843F53" w:rsidRDefault="00B64C6A" w:rsidP="00F34A51">
      <w:pPr>
        <w:pStyle w:val="Para1"/>
        <w:widowControl w:val="0"/>
        <w:suppressLineNumbers/>
        <w:suppressAutoHyphens/>
        <w:spacing w:before="120"/>
        <w:ind w:firstLine="720"/>
        <w:rPr>
          <w:rFonts w:eastAsia="Times New Roman"/>
          <w:kern w:val="22"/>
          <w:szCs w:val="22"/>
          <w:lang w:val="es-ES"/>
        </w:rPr>
      </w:pPr>
      <w:r w:rsidRPr="00843F53">
        <w:rPr>
          <w:rFonts w:eastAsia="Times New Roman"/>
          <w:szCs w:val="22"/>
          <w:lang w:val="es-ES"/>
        </w:rPr>
        <w:t>1.</w:t>
      </w:r>
      <w:r w:rsidRPr="00843F53">
        <w:rPr>
          <w:rFonts w:eastAsia="Times New Roman"/>
          <w:szCs w:val="22"/>
          <w:lang w:val="es-ES"/>
        </w:rPr>
        <w:tab/>
      </w:r>
      <w:r w:rsidRPr="00843F53">
        <w:rPr>
          <w:rFonts w:eastAsia="Times New Roman"/>
          <w:i/>
          <w:szCs w:val="22"/>
          <w:lang w:val="es-ES"/>
        </w:rPr>
        <w:t>Toma nota</w:t>
      </w:r>
      <w:r w:rsidRPr="00843F53">
        <w:rPr>
          <w:rFonts w:eastAsia="Times New Roman"/>
          <w:szCs w:val="22"/>
          <w:lang w:val="es-ES"/>
        </w:rPr>
        <w:t xml:space="preserve"> del informe sobre los </w:t>
      </w:r>
      <w:r w:rsidR="00967D8E">
        <w:rPr>
          <w:rFonts w:eastAsia="Times New Roman"/>
          <w:szCs w:val="22"/>
          <w:lang w:val="es-ES"/>
        </w:rPr>
        <w:t>progresos</w:t>
      </w:r>
      <w:r w:rsidRPr="00843F53">
        <w:rPr>
          <w:rFonts w:eastAsia="Times New Roman"/>
          <w:szCs w:val="22"/>
          <w:lang w:val="es-ES"/>
        </w:rPr>
        <w:t xml:space="preserve"> </w:t>
      </w:r>
      <w:r w:rsidR="00967D8E">
        <w:rPr>
          <w:rFonts w:eastAsia="Times New Roman"/>
          <w:szCs w:val="22"/>
          <w:lang w:val="es-ES"/>
        </w:rPr>
        <w:t xml:space="preserve">realizados </w:t>
      </w:r>
      <w:r w:rsidRPr="00843F53">
        <w:rPr>
          <w:rFonts w:eastAsia="Times New Roman"/>
          <w:szCs w:val="22"/>
          <w:lang w:val="es-ES"/>
        </w:rPr>
        <w:t>en la implementación del plan de acción a corto plazo (2017-2020) para mejor</w:t>
      </w:r>
      <w:r w:rsidR="001D489A">
        <w:rPr>
          <w:rFonts w:eastAsia="Times New Roman"/>
          <w:szCs w:val="22"/>
          <w:lang w:val="es-ES"/>
        </w:rPr>
        <w:t>ar</w:t>
      </w:r>
      <w:r w:rsidRPr="00843F53">
        <w:rPr>
          <w:rFonts w:eastAsia="Times New Roman"/>
          <w:szCs w:val="22"/>
          <w:lang w:val="es-ES"/>
        </w:rPr>
        <w:t xml:space="preserve"> y apoyar la creación de capacidad para la aplicación del </w:t>
      </w:r>
      <w:r w:rsidRPr="00843F53">
        <w:rPr>
          <w:rFonts w:eastAsia="Times New Roman"/>
          <w:szCs w:val="22"/>
          <w:lang w:val="es-ES"/>
        </w:rPr>
        <w:lastRenderedPageBreak/>
        <w:t>Convenio y sus Protocolos apoyada y facilitada por la Secretaria Ejecutiva en colaboración con diversos asociados</w:t>
      </w:r>
      <w:r w:rsidRPr="00843F53">
        <w:rPr>
          <w:rStyle w:val="StyleFootnoteReferencenumberFootnoteReferenceSuperscript-EF"/>
          <w:rFonts w:eastAsia="Times New Roman"/>
          <w:sz w:val="22"/>
          <w:szCs w:val="22"/>
          <w:lang w:val="es-ES"/>
        </w:rPr>
        <w:footnoteReference w:id="23"/>
      </w:r>
      <w:r w:rsidRPr="00843F53">
        <w:rPr>
          <w:rFonts w:eastAsia="Times New Roman"/>
          <w:kern w:val="20"/>
          <w:szCs w:val="22"/>
          <w:lang w:val="es-ES"/>
        </w:rPr>
        <w:t>;</w:t>
      </w:r>
    </w:p>
    <w:p w:rsidR="003A2D9C" w:rsidRPr="00843F53" w:rsidRDefault="003A2D9C" w:rsidP="002D7874">
      <w:pPr>
        <w:pStyle w:val="Para1"/>
        <w:suppressLineNumbers/>
        <w:suppressAutoHyphens/>
        <w:spacing w:before="120"/>
        <w:ind w:firstLine="720"/>
        <w:rPr>
          <w:rFonts w:eastAsia="Times New Roman"/>
          <w:kern w:val="22"/>
          <w:szCs w:val="22"/>
          <w:lang w:val="es-ES"/>
        </w:rPr>
      </w:pPr>
      <w:r w:rsidRPr="00843F53">
        <w:rPr>
          <w:rFonts w:eastAsia="Times New Roman"/>
          <w:szCs w:val="22"/>
          <w:lang w:val="es-ES"/>
        </w:rPr>
        <w:t>2.</w:t>
      </w:r>
      <w:r w:rsidRPr="00843F53">
        <w:rPr>
          <w:rFonts w:eastAsia="Times New Roman"/>
          <w:szCs w:val="22"/>
          <w:lang w:val="es-ES"/>
        </w:rPr>
        <w:tab/>
      </w:r>
      <w:r w:rsidRPr="00843F53">
        <w:rPr>
          <w:rFonts w:eastAsia="Times New Roman"/>
          <w:i/>
          <w:kern w:val="22"/>
          <w:szCs w:val="22"/>
          <w:lang w:val="es-ES"/>
        </w:rPr>
        <w:t>Acoge con satisfacción</w:t>
      </w:r>
      <w:r w:rsidRPr="00843F53">
        <w:rPr>
          <w:rFonts w:eastAsia="Times New Roman"/>
          <w:kern w:val="22"/>
          <w:szCs w:val="22"/>
          <w:lang w:val="es-ES"/>
        </w:rPr>
        <w:t xml:space="preserve"> el mandato para el </w:t>
      </w:r>
      <w:r w:rsidRPr="00843F53">
        <w:rPr>
          <w:rFonts w:eastAsia="Times New Roman"/>
          <w:szCs w:val="22"/>
          <w:lang w:val="es-ES"/>
        </w:rPr>
        <w:t xml:space="preserve">estudio dirigido a proporcionar una base de </w:t>
      </w:r>
      <w:r w:rsidRPr="00843F53">
        <w:rPr>
          <w:rFonts w:eastAsia="Times New Roman"/>
          <w:kern w:val="22"/>
          <w:szCs w:val="22"/>
          <w:lang w:val="es-ES"/>
        </w:rPr>
        <w:t xml:space="preserve">información para la </w:t>
      </w:r>
      <w:r w:rsidR="001902D3">
        <w:rPr>
          <w:rFonts w:eastAsia="Times New Roman"/>
          <w:kern w:val="22"/>
          <w:szCs w:val="22"/>
          <w:lang w:val="es-ES"/>
        </w:rPr>
        <w:t>preparación</w:t>
      </w:r>
      <w:r w:rsidRPr="00843F53">
        <w:rPr>
          <w:rFonts w:eastAsia="Times New Roman"/>
          <w:kern w:val="22"/>
          <w:szCs w:val="22"/>
          <w:lang w:val="es-ES"/>
        </w:rPr>
        <w:t xml:space="preserve"> del marco estratégico </w:t>
      </w:r>
      <w:r w:rsidR="001902D3">
        <w:rPr>
          <w:rFonts w:eastAsia="Times New Roman"/>
          <w:kern w:val="22"/>
          <w:szCs w:val="22"/>
          <w:lang w:val="es-ES"/>
        </w:rPr>
        <w:t>para</w:t>
      </w:r>
      <w:r w:rsidRPr="00843F53">
        <w:rPr>
          <w:rFonts w:eastAsia="Times New Roman"/>
          <w:kern w:val="22"/>
          <w:szCs w:val="22"/>
          <w:lang w:val="es-ES"/>
        </w:rPr>
        <w:t xml:space="preserve"> </w:t>
      </w:r>
      <w:r w:rsidR="00A36C50">
        <w:rPr>
          <w:rFonts w:eastAsia="Times New Roman"/>
          <w:kern w:val="22"/>
          <w:szCs w:val="22"/>
          <w:lang w:val="es-ES"/>
        </w:rPr>
        <w:t>la creación</w:t>
      </w:r>
      <w:r w:rsidRPr="00843F53">
        <w:rPr>
          <w:rFonts w:eastAsia="Times New Roman"/>
          <w:kern w:val="22"/>
          <w:szCs w:val="22"/>
          <w:lang w:val="es-ES"/>
        </w:rPr>
        <w:t xml:space="preserve"> de capacidad después de 2020, que figura en el apéndice</w:t>
      </w:r>
      <w:r w:rsidR="0020459B">
        <w:rPr>
          <w:rFonts w:eastAsia="Times New Roman"/>
          <w:kern w:val="22"/>
          <w:szCs w:val="22"/>
          <w:lang w:val="es-ES"/>
        </w:rPr>
        <w:t xml:space="preserve"> del anexo</w:t>
      </w:r>
      <w:r w:rsidRPr="00843F53">
        <w:rPr>
          <w:rFonts w:eastAsia="Times New Roman"/>
          <w:kern w:val="22"/>
          <w:szCs w:val="22"/>
          <w:lang w:val="es-ES"/>
        </w:rPr>
        <w:t xml:space="preserve"> II de la presente, y </w:t>
      </w:r>
      <w:r w:rsidRPr="00843F53">
        <w:rPr>
          <w:rFonts w:eastAsia="Times New Roman"/>
          <w:i/>
          <w:szCs w:val="22"/>
          <w:lang w:val="es-ES"/>
        </w:rPr>
        <w:t>pide</w:t>
      </w:r>
      <w:r w:rsidRPr="00843F53">
        <w:rPr>
          <w:rFonts w:eastAsia="Times New Roman"/>
          <w:szCs w:val="22"/>
          <w:lang w:val="es-ES"/>
        </w:rPr>
        <w:t xml:space="preserve"> a la Secretaria Ejecutiva que encargue la realización del estudio de conformidad con ese mandato</w:t>
      </w:r>
      <w:r w:rsidRPr="00843F53">
        <w:rPr>
          <w:rFonts w:eastAsia="Times New Roman"/>
          <w:kern w:val="22"/>
          <w:szCs w:val="22"/>
          <w:lang w:val="es-ES"/>
        </w:rPr>
        <w:t>;</w:t>
      </w:r>
    </w:p>
    <w:p w:rsidR="003A2D9C" w:rsidRPr="00843F53" w:rsidRDefault="003A2D9C" w:rsidP="003A2D9C">
      <w:pPr>
        <w:pStyle w:val="Para1"/>
        <w:suppressLineNumbers/>
        <w:suppressAutoHyphens/>
        <w:spacing w:before="120"/>
        <w:ind w:firstLine="720"/>
        <w:rPr>
          <w:rFonts w:eastAsia="Times New Roman"/>
          <w:szCs w:val="22"/>
          <w:lang w:val="es-ES"/>
        </w:rPr>
      </w:pPr>
      <w:r w:rsidRPr="00843F53">
        <w:rPr>
          <w:rFonts w:eastAsia="Times New Roman"/>
          <w:szCs w:val="22"/>
          <w:lang w:val="es-ES"/>
        </w:rPr>
        <w:t>3.</w:t>
      </w:r>
      <w:r w:rsidRPr="00843F53">
        <w:rPr>
          <w:rFonts w:eastAsia="Times New Roman"/>
          <w:szCs w:val="22"/>
          <w:lang w:val="es-ES"/>
        </w:rPr>
        <w:tab/>
      </w:r>
      <w:r w:rsidRPr="00843F53">
        <w:rPr>
          <w:rFonts w:eastAsia="Times New Roman"/>
          <w:i/>
          <w:szCs w:val="22"/>
          <w:lang w:val="es-ES"/>
        </w:rPr>
        <w:t>Invita</w:t>
      </w:r>
      <w:r w:rsidRPr="00843F53">
        <w:rPr>
          <w:rFonts w:eastAsia="Times New Roman"/>
          <w:szCs w:val="22"/>
          <w:lang w:val="es-ES"/>
        </w:rPr>
        <w:t xml:space="preserve"> a las Partes, pueblos indígenas y comunidades locales y organizaciones pertinentes a que presenten a la Secretaria Ejecutiva sus opiniones y sugerencias sobre los posibles elementos para el marco estratégico </w:t>
      </w:r>
      <w:r w:rsidR="001902D3" w:rsidRPr="00843F53">
        <w:rPr>
          <w:rFonts w:eastAsia="Times New Roman"/>
          <w:szCs w:val="22"/>
          <w:lang w:val="es-ES"/>
        </w:rPr>
        <w:t xml:space="preserve">para </w:t>
      </w:r>
      <w:r w:rsidR="00A36C50">
        <w:rPr>
          <w:rFonts w:eastAsia="Times New Roman"/>
          <w:szCs w:val="22"/>
          <w:lang w:val="es-ES"/>
        </w:rPr>
        <w:t>la creación</w:t>
      </w:r>
      <w:r w:rsidRPr="00843F53">
        <w:rPr>
          <w:rFonts w:eastAsia="Times New Roman"/>
          <w:szCs w:val="22"/>
          <w:lang w:val="es-ES"/>
        </w:rPr>
        <w:t xml:space="preserve"> de capacidad después de 2020;</w:t>
      </w:r>
    </w:p>
    <w:p w:rsidR="003A2D9C" w:rsidRPr="00843F53" w:rsidRDefault="003A2D9C" w:rsidP="003A2D9C">
      <w:pPr>
        <w:pStyle w:val="Para1"/>
        <w:suppressLineNumbers/>
        <w:suppressAutoHyphens/>
        <w:spacing w:before="120"/>
        <w:ind w:firstLine="709"/>
        <w:rPr>
          <w:rFonts w:eastAsia="Times New Roman"/>
          <w:szCs w:val="22"/>
          <w:lang w:val="es-ES"/>
        </w:rPr>
      </w:pPr>
      <w:r w:rsidRPr="00843F53">
        <w:rPr>
          <w:rFonts w:eastAsia="Times New Roman"/>
          <w:kern w:val="22"/>
          <w:szCs w:val="22"/>
          <w:lang w:val="es-ES"/>
        </w:rPr>
        <w:t>4.</w:t>
      </w:r>
      <w:r w:rsidRPr="00843F53">
        <w:rPr>
          <w:rFonts w:eastAsia="Times New Roman"/>
          <w:kern w:val="22"/>
          <w:szCs w:val="22"/>
          <w:lang w:val="es-ES"/>
        </w:rPr>
        <w:tab/>
      </w:r>
      <w:r w:rsidRPr="00843F53">
        <w:rPr>
          <w:rFonts w:eastAsia="Times New Roman"/>
          <w:i/>
          <w:kern w:val="20"/>
          <w:szCs w:val="22"/>
          <w:lang w:val="es-ES"/>
        </w:rPr>
        <w:t xml:space="preserve">Invita </w:t>
      </w:r>
      <w:r w:rsidRPr="00843F53">
        <w:rPr>
          <w:rFonts w:eastAsia="Times New Roman"/>
          <w:szCs w:val="22"/>
          <w:lang w:val="es-ES"/>
        </w:rPr>
        <w:t xml:space="preserve">a las Partes en el Protocolo, así como a pueblos indígenas y comunidades locales y organizaciones pertinentes, a que participen en los talleres consultivos y foros de debate en línea sobre el </w:t>
      </w:r>
      <w:r w:rsidR="002D7874" w:rsidRPr="00843F53">
        <w:rPr>
          <w:rFonts w:eastAsia="Times New Roman"/>
          <w:szCs w:val="22"/>
          <w:lang w:val="es-ES"/>
        </w:rPr>
        <w:t xml:space="preserve">proyecto de </w:t>
      </w:r>
      <w:r w:rsidRPr="00843F53">
        <w:rPr>
          <w:rFonts w:eastAsia="Times New Roman"/>
          <w:szCs w:val="22"/>
          <w:lang w:val="es-ES"/>
        </w:rPr>
        <w:t xml:space="preserve">marco estratégico </w:t>
      </w:r>
      <w:r w:rsidR="001902D3" w:rsidRPr="00843F53">
        <w:rPr>
          <w:rFonts w:eastAsia="Times New Roman"/>
          <w:szCs w:val="22"/>
          <w:lang w:val="es-ES"/>
        </w:rPr>
        <w:t xml:space="preserve">para </w:t>
      </w:r>
      <w:r w:rsidR="00A36C50">
        <w:rPr>
          <w:rFonts w:eastAsia="Times New Roman"/>
          <w:szCs w:val="22"/>
          <w:lang w:val="es-ES"/>
        </w:rPr>
        <w:t>la creación</w:t>
      </w:r>
      <w:r w:rsidRPr="00843F53">
        <w:rPr>
          <w:rFonts w:eastAsia="Times New Roman"/>
          <w:szCs w:val="22"/>
          <w:lang w:val="es-ES"/>
        </w:rPr>
        <w:t xml:space="preserve"> de capacidad después de 2020 que organizará la Secretaria Ejecutiva, con sujeción a la disponibilidad de fondos, conjuntamente con el proceso del marco mundial de la diversidad biológica posterior a 2020;</w:t>
      </w:r>
    </w:p>
    <w:p w:rsidR="003A2D9C" w:rsidRPr="00843F53" w:rsidRDefault="003A2D9C" w:rsidP="003A2D9C">
      <w:pPr>
        <w:pStyle w:val="Para1"/>
        <w:suppressLineNumbers/>
        <w:suppressAutoHyphens/>
        <w:spacing w:before="120"/>
        <w:ind w:firstLine="709"/>
        <w:rPr>
          <w:rFonts w:eastAsia="Times New Roman"/>
          <w:kern w:val="20"/>
          <w:szCs w:val="22"/>
          <w:lang w:val="es-ES"/>
        </w:rPr>
      </w:pPr>
      <w:r w:rsidRPr="00843F53">
        <w:rPr>
          <w:rFonts w:eastAsia="Times New Roman"/>
          <w:kern w:val="20"/>
          <w:szCs w:val="22"/>
          <w:lang w:val="es-ES"/>
        </w:rPr>
        <w:t>5.</w:t>
      </w:r>
      <w:r w:rsidRPr="00843F53">
        <w:rPr>
          <w:rFonts w:eastAsia="Times New Roman"/>
          <w:kern w:val="20"/>
          <w:szCs w:val="22"/>
          <w:lang w:val="es-ES"/>
        </w:rPr>
        <w:tab/>
      </w:r>
      <w:r w:rsidRPr="00843F53">
        <w:rPr>
          <w:rFonts w:eastAsia="Times New Roman"/>
          <w:i/>
          <w:szCs w:val="22"/>
          <w:lang w:val="es-ES"/>
        </w:rPr>
        <w:t xml:space="preserve">Pide además </w:t>
      </w:r>
      <w:r w:rsidRPr="00843F53">
        <w:rPr>
          <w:rFonts w:eastAsia="Times New Roman"/>
          <w:szCs w:val="22"/>
          <w:lang w:val="es-ES"/>
        </w:rPr>
        <w:t xml:space="preserve">a la Secretaria Ejecutiva que presente un </w:t>
      </w:r>
      <w:r w:rsidRPr="00843F53">
        <w:rPr>
          <w:rFonts w:eastAsia="Times New Roman"/>
          <w:color w:val="000000"/>
          <w:szCs w:val="22"/>
          <w:lang w:val="es-ES"/>
        </w:rPr>
        <w:t xml:space="preserve">proyecto de marco estratégico </w:t>
      </w:r>
      <w:r w:rsidR="001902D3" w:rsidRPr="00843F53">
        <w:rPr>
          <w:rFonts w:eastAsia="Times New Roman"/>
          <w:color w:val="000000"/>
          <w:szCs w:val="22"/>
          <w:lang w:val="es-ES"/>
        </w:rPr>
        <w:t xml:space="preserve">para </w:t>
      </w:r>
      <w:r w:rsidR="001902D3">
        <w:rPr>
          <w:rFonts w:eastAsia="Times New Roman"/>
          <w:color w:val="000000"/>
          <w:szCs w:val="22"/>
          <w:lang w:val="es-ES"/>
        </w:rPr>
        <w:t>la creación</w:t>
      </w:r>
      <w:r w:rsidRPr="00843F53">
        <w:rPr>
          <w:rFonts w:eastAsia="Times New Roman"/>
          <w:color w:val="000000"/>
          <w:szCs w:val="22"/>
          <w:lang w:val="es-ES"/>
        </w:rPr>
        <w:t xml:space="preserve"> de capacidad después de 2020 </w:t>
      </w:r>
      <w:r w:rsidRPr="00843F53">
        <w:rPr>
          <w:rFonts w:eastAsia="Times New Roman"/>
          <w:szCs w:val="22"/>
          <w:lang w:val="es-ES"/>
        </w:rPr>
        <w:t xml:space="preserve">para consideración del Órgano Subsidiario sobre la Aplicación en su tercera reunión y para su posterior consideración por la Conferencia de las Partes que actúa como reunión de las Partes en el Protocolo </w:t>
      </w:r>
      <w:r w:rsidRPr="00843F53">
        <w:rPr>
          <w:rFonts w:eastAsia="Times New Roman"/>
          <w:color w:val="000000"/>
          <w:szCs w:val="22"/>
          <w:lang w:val="es-ES"/>
        </w:rPr>
        <w:t xml:space="preserve">en su cuarta </w:t>
      </w:r>
      <w:r w:rsidRPr="00843F53">
        <w:rPr>
          <w:rFonts w:eastAsia="Times New Roman"/>
          <w:szCs w:val="22"/>
          <w:lang w:val="es-ES"/>
        </w:rPr>
        <w:t>reunión;</w:t>
      </w:r>
    </w:p>
    <w:p w:rsidR="003A2D9C" w:rsidRPr="00843F53" w:rsidRDefault="003A2D9C" w:rsidP="003A2D9C">
      <w:pPr>
        <w:pStyle w:val="Para1"/>
        <w:numPr>
          <w:ilvl w:val="0"/>
          <w:numId w:val="14"/>
        </w:numPr>
        <w:suppressLineNumbers/>
        <w:tabs>
          <w:tab w:val="num" w:pos="720"/>
        </w:tabs>
        <w:suppressAutoHyphens/>
        <w:spacing w:before="120"/>
        <w:ind w:left="0" w:firstLine="0"/>
        <w:rPr>
          <w:rFonts w:eastAsia="Times New Roman"/>
          <w:szCs w:val="22"/>
          <w:lang w:val="es-ES"/>
        </w:rPr>
      </w:pPr>
      <w:r w:rsidRPr="00843F53">
        <w:rPr>
          <w:rFonts w:eastAsia="Times New Roman"/>
          <w:szCs w:val="22"/>
          <w:lang w:val="es-ES"/>
        </w:rPr>
        <w:t>El Órgano Subsidiario sobre la Aplicación podría también estimar oportuno considerar recomendar a la Conferencia de las Partes que actúa como reunión de las Partes en el Protocolo de Cartagena sobre Seguridad de la Biotecnología que adopte una decisión del siguiente tenor:</w:t>
      </w:r>
    </w:p>
    <w:p w:rsidR="003A2D9C" w:rsidRPr="00843F53" w:rsidRDefault="003A2D9C" w:rsidP="003A2D9C">
      <w:pPr>
        <w:pStyle w:val="Para1"/>
        <w:suppressLineNumbers/>
        <w:suppressAutoHyphens/>
        <w:spacing w:before="120"/>
        <w:ind w:firstLine="720"/>
        <w:rPr>
          <w:rFonts w:eastAsia="Times New Roman"/>
          <w:i/>
          <w:kern w:val="22"/>
          <w:szCs w:val="22"/>
          <w:lang w:val="es-ES"/>
        </w:rPr>
      </w:pPr>
      <w:r w:rsidRPr="00843F53">
        <w:rPr>
          <w:rFonts w:eastAsia="Times New Roman"/>
          <w:i/>
          <w:szCs w:val="22"/>
          <w:lang w:val="es-ES"/>
        </w:rPr>
        <w:t>La Conferencia de las Partes que actúa como reunión de las Partes en el Protocolo de Cartagena sobre Seguridad de la Biotecnología,</w:t>
      </w:r>
    </w:p>
    <w:p w:rsidR="003A2D9C" w:rsidRPr="00843F53" w:rsidRDefault="003A2D9C" w:rsidP="003A2D9C">
      <w:pPr>
        <w:pStyle w:val="Para1"/>
        <w:suppressLineNumbers/>
        <w:suppressAutoHyphens/>
        <w:spacing w:before="120"/>
        <w:ind w:firstLine="720"/>
        <w:rPr>
          <w:rFonts w:eastAsia="Times New Roman"/>
          <w:kern w:val="20"/>
          <w:szCs w:val="22"/>
          <w:lang w:val="es-ES"/>
        </w:rPr>
      </w:pPr>
      <w:r w:rsidRPr="00843F53">
        <w:rPr>
          <w:rFonts w:eastAsia="Times New Roman"/>
          <w:i/>
          <w:kern w:val="20"/>
          <w:szCs w:val="22"/>
          <w:lang w:val="es-ES"/>
        </w:rPr>
        <w:t xml:space="preserve">Recordando </w:t>
      </w:r>
      <w:r w:rsidRPr="00843F53">
        <w:rPr>
          <w:rFonts w:eastAsia="Times New Roman"/>
          <w:kern w:val="20"/>
          <w:szCs w:val="22"/>
          <w:lang w:val="es-ES"/>
        </w:rPr>
        <w:t xml:space="preserve">las decisiones </w:t>
      </w:r>
      <w:hyperlink r:id="rId30" w:history="1">
        <w:r w:rsidRPr="00843F53">
          <w:rPr>
            <w:rStyle w:val="Hyperlink"/>
            <w:rFonts w:eastAsia="Times New Roman"/>
            <w:kern w:val="22"/>
            <w:szCs w:val="22"/>
            <w:lang w:val="es-ES"/>
          </w:rPr>
          <w:t>BS-VI/3</w:t>
        </w:r>
      </w:hyperlink>
      <w:r w:rsidRPr="00843F53">
        <w:rPr>
          <w:rFonts w:eastAsia="Times New Roman"/>
          <w:kern w:val="22"/>
          <w:szCs w:val="22"/>
          <w:lang w:val="es-ES"/>
        </w:rPr>
        <w:t xml:space="preserve"> y </w:t>
      </w:r>
      <w:hyperlink r:id="rId31" w:history="1">
        <w:r w:rsidRPr="00843F53">
          <w:rPr>
            <w:rStyle w:val="Hyperlink"/>
            <w:rFonts w:eastAsia="Times New Roman"/>
            <w:kern w:val="22"/>
            <w:szCs w:val="22"/>
            <w:lang w:val="es-ES"/>
          </w:rPr>
          <w:t>CP-VIII/3</w:t>
        </w:r>
      </w:hyperlink>
      <w:r w:rsidRPr="00843F53">
        <w:rPr>
          <w:rFonts w:eastAsia="Times New Roman"/>
          <w:kern w:val="20"/>
          <w:szCs w:val="22"/>
          <w:lang w:val="es-ES"/>
        </w:rPr>
        <w:t>,</w:t>
      </w:r>
    </w:p>
    <w:p w:rsidR="002D7874" w:rsidRPr="00843F53" w:rsidRDefault="002D7874" w:rsidP="002D7874">
      <w:pPr>
        <w:pStyle w:val="Para1"/>
        <w:suppressLineNumbers/>
        <w:suppressAutoHyphens/>
        <w:spacing w:before="120"/>
        <w:ind w:firstLine="720"/>
        <w:rPr>
          <w:rFonts w:eastAsia="Times New Roman"/>
          <w:kern w:val="22"/>
          <w:szCs w:val="22"/>
          <w:lang w:val="es-ES"/>
        </w:rPr>
      </w:pPr>
      <w:r w:rsidRPr="00843F53">
        <w:rPr>
          <w:rFonts w:eastAsia="Times New Roman"/>
          <w:szCs w:val="22"/>
          <w:lang w:val="es-ES"/>
        </w:rPr>
        <w:t>1.</w:t>
      </w:r>
      <w:r w:rsidRPr="00843F53">
        <w:rPr>
          <w:rFonts w:eastAsia="Times New Roman"/>
          <w:szCs w:val="22"/>
          <w:lang w:val="es-ES"/>
        </w:rPr>
        <w:tab/>
      </w:r>
      <w:r w:rsidRPr="00F34A51">
        <w:rPr>
          <w:rFonts w:eastAsia="Times New Roman"/>
          <w:i/>
          <w:spacing w:val="-4"/>
          <w:szCs w:val="22"/>
          <w:lang w:val="es-ES"/>
        </w:rPr>
        <w:t>Toma nota</w:t>
      </w:r>
      <w:r w:rsidRPr="00F34A51">
        <w:rPr>
          <w:rFonts w:eastAsia="Times New Roman"/>
          <w:spacing w:val="-4"/>
          <w:szCs w:val="22"/>
          <w:lang w:val="es-ES"/>
        </w:rPr>
        <w:t xml:space="preserve"> del informe sobre los </w:t>
      </w:r>
      <w:r w:rsidR="00967D8E" w:rsidRPr="00F34A51">
        <w:rPr>
          <w:rFonts w:eastAsia="Times New Roman"/>
          <w:spacing w:val="-4"/>
          <w:szCs w:val="22"/>
          <w:lang w:val="es-ES"/>
        </w:rPr>
        <w:t>progr</w:t>
      </w:r>
      <w:r w:rsidRPr="00F34A51">
        <w:rPr>
          <w:rFonts w:eastAsia="Times New Roman"/>
          <w:spacing w:val="-4"/>
          <w:szCs w:val="22"/>
          <w:lang w:val="es-ES"/>
        </w:rPr>
        <w:t>es</w:t>
      </w:r>
      <w:r w:rsidR="00967D8E" w:rsidRPr="00F34A51">
        <w:rPr>
          <w:rFonts w:eastAsia="Times New Roman"/>
          <w:spacing w:val="-4"/>
          <w:szCs w:val="22"/>
          <w:lang w:val="es-ES"/>
        </w:rPr>
        <w:t>os realizados</w:t>
      </w:r>
      <w:r w:rsidRPr="00F34A51">
        <w:rPr>
          <w:rFonts w:eastAsia="Times New Roman"/>
          <w:spacing w:val="-4"/>
          <w:szCs w:val="22"/>
          <w:lang w:val="es-ES"/>
        </w:rPr>
        <w:t xml:space="preserve"> en la implementación del plan de acción a corto plazo (2017-2020) para mejor</w:t>
      </w:r>
      <w:r w:rsidR="001D489A">
        <w:rPr>
          <w:rFonts w:eastAsia="Times New Roman"/>
          <w:spacing w:val="-4"/>
          <w:szCs w:val="22"/>
          <w:lang w:val="es-ES"/>
        </w:rPr>
        <w:t>ar</w:t>
      </w:r>
      <w:r w:rsidRPr="00F34A51">
        <w:rPr>
          <w:rFonts w:eastAsia="Times New Roman"/>
          <w:spacing w:val="-4"/>
          <w:szCs w:val="22"/>
          <w:lang w:val="es-ES"/>
        </w:rPr>
        <w:t xml:space="preserve"> y apoyar la creación de capacidad para la aplicación del Convenio y sus Protocolos apoyada y facilitada por la Secretaria Ejecutiva en colaboración con diversos asociados</w:t>
      </w:r>
      <w:r w:rsidRPr="00843F53">
        <w:rPr>
          <w:rStyle w:val="StyleFootnoteReferencenumberFootnoteReferenceSuperscript-EF"/>
          <w:rFonts w:eastAsia="Times New Roman"/>
          <w:sz w:val="22"/>
          <w:szCs w:val="22"/>
          <w:lang w:val="es-ES"/>
        </w:rPr>
        <w:footnoteReference w:id="24"/>
      </w:r>
      <w:r w:rsidRPr="00843F53">
        <w:rPr>
          <w:rFonts w:eastAsia="Times New Roman"/>
          <w:kern w:val="20"/>
          <w:szCs w:val="22"/>
          <w:lang w:val="es-ES"/>
        </w:rPr>
        <w:t>;</w:t>
      </w:r>
    </w:p>
    <w:p w:rsidR="002D7874" w:rsidRPr="00843F53" w:rsidRDefault="002D7874" w:rsidP="002D7874">
      <w:pPr>
        <w:pStyle w:val="Para1"/>
        <w:suppressLineNumbers/>
        <w:suppressAutoHyphens/>
        <w:spacing w:before="120"/>
        <w:ind w:firstLine="720"/>
        <w:rPr>
          <w:rFonts w:eastAsia="Times New Roman"/>
          <w:kern w:val="22"/>
          <w:szCs w:val="22"/>
          <w:lang w:val="es-ES"/>
        </w:rPr>
      </w:pPr>
      <w:r w:rsidRPr="00843F53">
        <w:rPr>
          <w:rFonts w:eastAsia="Times New Roman"/>
          <w:szCs w:val="22"/>
          <w:lang w:val="es-ES"/>
        </w:rPr>
        <w:t>2.</w:t>
      </w:r>
      <w:r w:rsidRPr="00843F53">
        <w:rPr>
          <w:rFonts w:eastAsia="Times New Roman"/>
          <w:szCs w:val="22"/>
          <w:lang w:val="es-ES"/>
        </w:rPr>
        <w:tab/>
      </w:r>
      <w:r w:rsidRPr="00843F53">
        <w:rPr>
          <w:rFonts w:eastAsia="Times New Roman"/>
          <w:i/>
          <w:kern w:val="22"/>
          <w:szCs w:val="22"/>
          <w:lang w:val="es-ES"/>
        </w:rPr>
        <w:t>Acoge con satisfacción</w:t>
      </w:r>
      <w:r w:rsidRPr="00843F53">
        <w:rPr>
          <w:rFonts w:eastAsia="Times New Roman"/>
          <w:kern w:val="22"/>
          <w:szCs w:val="22"/>
          <w:lang w:val="es-ES"/>
        </w:rPr>
        <w:t xml:space="preserve"> el mandato para el </w:t>
      </w:r>
      <w:r w:rsidRPr="00843F53">
        <w:rPr>
          <w:rFonts w:eastAsia="Times New Roman"/>
          <w:szCs w:val="22"/>
          <w:lang w:val="es-ES"/>
        </w:rPr>
        <w:t xml:space="preserve">estudio dirigido a proporcionar una base de </w:t>
      </w:r>
      <w:r w:rsidRPr="00843F53">
        <w:rPr>
          <w:rFonts w:eastAsia="Times New Roman"/>
          <w:kern w:val="22"/>
          <w:szCs w:val="22"/>
          <w:lang w:val="es-ES"/>
        </w:rPr>
        <w:t xml:space="preserve">información para la </w:t>
      </w:r>
      <w:r w:rsidR="001902D3">
        <w:rPr>
          <w:rFonts w:eastAsia="Times New Roman"/>
          <w:kern w:val="22"/>
          <w:szCs w:val="22"/>
          <w:lang w:val="es-ES"/>
        </w:rPr>
        <w:t>p</w:t>
      </w:r>
      <w:r w:rsidRPr="00843F53">
        <w:rPr>
          <w:rFonts w:eastAsia="Times New Roman"/>
          <w:kern w:val="22"/>
          <w:szCs w:val="22"/>
          <w:lang w:val="es-ES"/>
        </w:rPr>
        <w:t>r</w:t>
      </w:r>
      <w:r w:rsidR="001902D3">
        <w:rPr>
          <w:rFonts w:eastAsia="Times New Roman"/>
          <w:kern w:val="22"/>
          <w:szCs w:val="22"/>
          <w:lang w:val="es-ES"/>
        </w:rPr>
        <w:t>epar</w:t>
      </w:r>
      <w:r w:rsidRPr="00843F53">
        <w:rPr>
          <w:rFonts w:eastAsia="Times New Roman"/>
          <w:kern w:val="22"/>
          <w:szCs w:val="22"/>
          <w:lang w:val="es-ES"/>
        </w:rPr>
        <w:t xml:space="preserve">ación del marco estratégico </w:t>
      </w:r>
      <w:r w:rsidR="001902D3">
        <w:rPr>
          <w:rFonts w:eastAsia="Times New Roman"/>
          <w:kern w:val="22"/>
          <w:szCs w:val="22"/>
          <w:lang w:val="es-ES"/>
        </w:rPr>
        <w:t>para</w:t>
      </w:r>
      <w:r w:rsidRPr="00843F53">
        <w:rPr>
          <w:rFonts w:eastAsia="Times New Roman"/>
          <w:kern w:val="22"/>
          <w:szCs w:val="22"/>
          <w:lang w:val="es-ES"/>
        </w:rPr>
        <w:t xml:space="preserve"> </w:t>
      </w:r>
      <w:r w:rsidR="001902D3">
        <w:rPr>
          <w:rFonts w:eastAsia="Times New Roman"/>
          <w:kern w:val="22"/>
          <w:szCs w:val="22"/>
          <w:lang w:val="es-ES"/>
        </w:rPr>
        <w:t>la creación</w:t>
      </w:r>
      <w:r w:rsidRPr="00843F53">
        <w:rPr>
          <w:rFonts w:eastAsia="Times New Roman"/>
          <w:kern w:val="22"/>
          <w:szCs w:val="22"/>
          <w:lang w:val="es-ES"/>
        </w:rPr>
        <w:t xml:space="preserve"> de capacidad después de 2020, que figura en el apéndice</w:t>
      </w:r>
      <w:r w:rsidR="0020459B">
        <w:rPr>
          <w:rFonts w:eastAsia="Times New Roman"/>
          <w:kern w:val="22"/>
          <w:szCs w:val="22"/>
          <w:lang w:val="es-ES"/>
        </w:rPr>
        <w:t xml:space="preserve"> del anexo</w:t>
      </w:r>
      <w:r w:rsidRPr="00843F53">
        <w:rPr>
          <w:rFonts w:eastAsia="Times New Roman"/>
          <w:kern w:val="22"/>
          <w:szCs w:val="22"/>
          <w:lang w:val="es-ES"/>
        </w:rPr>
        <w:t xml:space="preserve"> II de la presente, y </w:t>
      </w:r>
      <w:r w:rsidRPr="00843F53">
        <w:rPr>
          <w:rFonts w:eastAsia="Times New Roman"/>
          <w:i/>
          <w:szCs w:val="22"/>
          <w:lang w:val="es-ES"/>
        </w:rPr>
        <w:t>pide</w:t>
      </w:r>
      <w:r w:rsidRPr="00843F53">
        <w:rPr>
          <w:rFonts w:eastAsia="Times New Roman"/>
          <w:szCs w:val="22"/>
          <w:lang w:val="es-ES"/>
        </w:rPr>
        <w:t xml:space="preserve"> a la Secretaria Ejecutiva que encargue la realización del estudio de conformidad con ese mandato</w:t>
      </w:r>
      <w:r w:rsidRPr="00843F53">
        <w:rPr>
          <w:rFonts w:eastAsia="Times New Roman"/>
          <w:kern w:val="22"/>
          <w:szCs w:val="22"/>
          <w:lang w:val="es-ES"/>
        </w:rPr>
        <w:t>;</w:t>
      </w:r>
    </w:p>
    <w:p w:rsidR="002D7874" w:rsidRPr="00843F53" w:rsidRDefault="002D7874" w:rsidP="002D7874">
      <w:pPr>
        <w:pStyle w:val="Para1"/>
        <w:suppressLineNumbers/>
        <w:suppressAutoHyphens/>
        <w:spacing w:before="120"/>
        <w:ind w:firstLine="720"/>
        <w:rPr>
          <w:rFonts w:eastAsia="Times New Roman"/>
          <w:szCs w:val="22"/>
          <w:lang w:val="es-ES"/>
        </w:rPr>
      </w:pPr>
      <w:r w:rsidRPr="00843F53">
        <w:rPr>
          <w:rFonts w:eastAsia="Times New Roman"/>
          <w:szCs w:val="22"/>
          <w:lang w:val="es-ES"/>
        </w:rPr>
        <w:t>3.</w:t>
      </w:r>
      <w:r w:rsidRPr="00843F53">
        <w:rPr>
          <w:rFonts w:eastAsia="Times New Roman"/>
          <w:szCs w:val="22"/>
          <w:lang w:val="es-ES"/>
        </w:rPr>
        <w:tab/>
      </w:r>
      <w:r w:rsidRPr="00843F53">
        <w:rPr>
          <w:rFonts w:eastAsia="Times New Roman"/>
          <w:i/>
          <w:szCs w:val="22"/>
          <w:lang w:val="es-ES"/>
        </w:rPr>
        <w:t>Invita</w:t>
      </w:r>
      <w:r w:rsidRPr="00843F53">
        <w:rPr>
          <w:rFonts w:eastAsia="Times New Roman"/>
          <w:szCs w:val="22"/>
          <w:lang w:val="es-ES"/>
        </w:rPr>
        <w:t xml:space="preserve"> a las Partes, pueblos indígenas y comunidades locales y organizaciones pertinentes a que presenten a la Secretaria Ejecutiva sus opiniones y sugerencias sobre posibles elementos para el marco estratégico </w:t>
      </w:r>
      <w:r w:rsidR="001902D3" w:rsidRPr="00843F53">
        <w:rPr>
          <w:rFonts w:eastAsia="Times New Roman"/>
          <w:szCs w:val="22"/>
          <w:lang w:val="es-ES"/>
        </w:rPr>
        <w:t xml:space="preserve">para </w:t>
      </w:r>
      <w:r w:rsidR="001902D3">
        <w:rPr>
          <w:rFonts w:eastAsia="Times New Roman"/>
          <w:szCs w:val="22"/>
          <w:lang w:val="es-ES"/>
        </w:rPr>
        <w:t>la creación</w:t>
      </w:r>
      <w:r w:rsidRPr="00843F53">
        <w:rPr>
          <w:rFonts w:eastAsia="Times New Roman"/>
          <w:szCs w:val="22"/>
          <w:lang w:val="es-ES"/>
        </w:rPr>
        <w:t xml:space="preserve"> de capacidad después de 2020;</w:t>
      </w:r>
    </w:p>
    <w:p w:rsidR="002D7874" w:rsidRPr="00843F53" w:rsidRDefault="002D7874" w:rsidP="002D7874">
      <w:pPr>
        <w:pStyle w:val="Para1"/>
        <w:suppressLineNumbers/>
        <w:suppressAutoHyphens/>
        <w:spacing w:before="120"/>
        <w:ind w:firstLine="709"/>
        <w:rPr>
          <w:rFonts w:eastAsia="Times New Roman"/>
          <w:szCs w:val="22"/>
          <w:lang w:val="es-ES"/>
        </w:rPr>
      </w:pPr>
      <w:r w:rsidRPr="00843F53">
        <w:rPr>
          <w:rFonts w:eastAsia="Times New Roman"/>
          <w:kern w:val="22"/>
          <w:szCs w:val="22"/>
          <w:lang w:val="es-ES"/>
        </w:rPr>
        <w:t>4.</w:t>
      </w:r>
      <w:r w:rsidRPr="00843F53">
        <w:rPr>
          <w:rFonts w:eastAsia="Times New Roman"/>
          <w:kern w:val="22"/>
          <w:szCs w:val="22"/>
          <w:lang w:val="es-ES"/>
        </w:rPr>
        <w:tab/>
      </w:r>
      <w:r w:rsidRPr="00843F53">
        <w:rPr>
          <w:rFonts w:eastAsia="Times New Roman"/>
          <w:i/>
          <w:kern w:val="20"/>
          <w:szCs w:val="22"/>
          <w:lang w:val="es-ES"/>
        </w:rPr>
        <w:t xml:space="preserve">Invita </w:t>
      </w:r>
      <w:r w:rsidRPr="00843F53">
        <w:rPr>
          <w:rFonts w:eastAsia="Times New Roman"/>
          <w:szCs w:val="22"/>
          <w:lang w:val="es-ES"/>
        </w:rPr>
        <w:t xml:space="preserve">a las Partes en el Protocolo, así como a pueblos indígenas y comunidades locales y organizaciones pertinentes, a que participen en los talleres consultivos y foros de debate en línea sobre el proyecto de marco estratégico </w:t>
      </w:r>
      <w:r w:rsidR="001902D3" w:rsidRPr="00843F53">
        <w:rPr>
          <w:rFonts w:eastAsia="Times New Roman"/>
          <w:szCs w:val="22"/>
          <w:lang w:val="es-ES"/>
        </w:rPr>
        <w:t xml:space="preserve">para </w:t>
      </w:r>
      <w:r w:rsidR="001902D3">
        <w:rPr>
          <w:rFonts w:eastAsia="Times New Roman"/>
          <w:szCs w:val="22"/>
          <w:lang w:val="es-ES"/>
        </w:rPr>
        <w:t xml:space="preserve">la creación </w:t>
      </w:r>
      <w:r w:rsidRPr="00843F53">
        <w:rPr>
          <w:rFonts w:eastAsia="Times New Roman"/>
          <w:szCs w:val="22"/>
          <w:lang w:val="es-ES"/>
        </w:rPr>
        <w:t>de capacidad después de 2020 que organizará la Secretaria Ejecutiva, con sujeción a la disponibilidad de fondos, conjuntamente con el proceso del marco mundial de la diversidad biológica posterior a 2020;</w:t>
      </w:r>
    </w:p>
    <w:p w:rsidR="002F061F" w:rsidRPr="00843F53" w:rsidRDefault="002D7874" w:rsidP="00F34A51">
      <w:pPr>
        <w:pStyle w:val="Para1"/>
        <w:suppressLineNumbers/>
        <w:suppressAutoHyphens/>
        <w:spacing w:before="120"/>
        <w:ind w:firstLine="709"/>
        <w:rPr>
          <w:szCs w:val="22"/>
          <w:lang w:val="es-ES"/>
        </w:rPr>
      </w:pPr>
      <w:r w:rsidRPr="00843F53">
        <w:rPr>
          <w:rFonts w:eastAsia="Times New Roman"/>
          <w:kern w:val="20"/>
          <w:szCs w:val="22"/>
          <w:lang w:val="es-ES"/>
        </w:rPr>
        <w:t>5.</w:t>
      </w:r>
      <w:r w:rsidRPr="00843F53">
        <w:rPr>
          <w:rFonts w:eastAsia="Times New Roman"/>
          <w:kern w:val="20"/>
          <w:szCs w:val="22"/>
          <w:lang w:val="es-ES"/>
        </w:rPr>
        <w:tab/>
      </w:r>
      <w:r w:rsidRPr="00843F53">
        <w:rPr>
          <w:rFonts w:eastAsia="Times New Roman"/>
          <w:i/>
          <w:szCs w:val="22"/>
          <w:lang w:val="es-ES"/>
        </w:rPr>
        <w:t xml:space="preserve">Pide </w:t>
      </w:r>
      <w:r w:rsidRPr="00843F53">
        <w:rPr>
          <w:rFonts w:eastAsia="Times New Roman"/>
          <w:szCs w:val="22"/>
          <w:lang w:val="es-ES"/>
        </w:rPr>
        <w:t xml:space="preserve">a la Secretaria Ejecutiva que presente un </w:t>
      </w:r>
      <w:r w:rsidRPr="00843F53">
        <w:rPr>
          <w:rFonts w:eastAsia="Times New Roman"/>
          <w:color w:val="000000"/>
          <w:szCs w:val="22"/>
          <w:lang w:val="es-ES"/>
        </w:rPr>
        <w:t xml:space="preserve">proyecto de marco estratégico </w:t>
      </w:r>
      <w:r w:rsidR="001902D3">
        <w:rPr>
          <w:rFonts w:eastAsia="Times New Roman"/>
          <w:color w:val="000000"/>
          <w:szCs w:val="22"/>
          <w:lang w:val="es-ES"/>
        </w:rPr>
        <w:t>para la creación de</w:t>
      </w:r>
      <w:r w:rsidRPr="00843F53">
        <w:rPr>
          <w:rFonts w:eastAsia="Times New Roman"/>
          <w:color w:val="000000"/>
          <w:szCs w:val="22"/>
          <w:lang w:val="es-ES"/>
        </w:rPr>
        <w:t xml:space="preserve"> capacidad después de 2020 </w:t>
      </w:r>
      <w:r w:rsidRPr="00843F53">
        <w:rPr>
          <w:rFonts w:eastAsia="Times New Roman"/>
          <w:szCs w:val="22"/>
          <w:lang w:val="es-ES"/>
        </w:rPr>
        <w:t xml:space="preserve">para consideración del Órgano Subsidiario sobre la Aplicación en su tercera reunión y para su posterior consideración por la Conferencia de las Partes que actúa como reunión de las Partes en el Protocolo de Cartagena sobre Seguridad de la Biotecnología </w:t>
      </w:r>
      <w:r w:rsidRPr="00843F53">
        <w:rPr>
          <w:rFonts w:eastAsia="Times New Roman"/>
          <w:color w:val="000000"/>
          <w:szCs w:val="22"/>
          <w:lang w:val="es-ES"/>
        </w:rPr>
        <w:t xml:space="preserve">en su décima </w:t>
      </w:r>
      <w:r w:rsidRPr="00843F53">
        <w:rPr>
          <w:rFonts w:eastAsia="Times New Roman"/>
          <w:szCs w:val="22"/>
          <w:lang w:val="es-ES"/>
        </w:rPr>
        <w:t>reunión.</w:t>
      </w:r>
    </w:p>
    <w:p w:rsidR="00A8651C" w:rsidRPr="00843F53" w:rsidRDefault="00A8651C" w:rsidP="00BA19CA">
      <w:pPr>
        <w:pStyle w:val="ListParagraph"/>
        <w:spacing w:after="200" w:line="276" w:lineRule="auto"/>
        <w:contextualSpacing/>
        <w:jc w:val="left"/>
        <w:rPr>
          <w:rFonts w:cs="Times New Roman"/>
          <w:szCs w:val="22"/>
          <w:lang w:val="es-ES"/>
        </w:rPr>
        <w:sectPr w:rsidR="00A8651C" w:rsidRPr="00843F53" w:rsidSect="006F4060">
          <w:headerReference w:type="even" r:id="rId32"/>
          <w:headerReference w:type="default" r:id="rId33"/>
          <w:footerReference w:type="even" r:id="rId34"/>
          <w:headerReference w:type="first" r:id="rId35"/>
          <w:footerReference w:type="first" r:id="rId36"/>
          <w:type w:val="continuous"/>
          <w:pgSz w:w="12240" w:h="15840" w:code="1"/>
          <w:pgMar w:top="567" w:right="1440" w:bottom="851" w:left="1440" w:header="461" w:footer="720" w:gutter="0"/>
          <w:cols w:space="720"/>
          <w:titlePg/>
          <w:docGrid w:linePitch="299"/>
        </w:sectPr>
      </w:pPr>
    </w:p>
    <w:p w:rsidR="002D7874" w:rsidRPr="00843F53" w:rsidRDefault="002D7874" w:rsidP="002D7874">
      <w:pPr>
        <w:pStyle w:val="Para1"/>
        <w:suppressLineNumbers/>
        <w:suppressAutoHyphens/>
        <w:spacing w:before="120"/>
        <w:jc w:val="center"/>
        <w:rPr>
          <w:rFonts w:eastAsia="Times New Roman"/>
          <w:i/>
          <w:kern w:val="22"/>
          <w:szCs w:val="22"/>
          <w:lang w:val="es-ES"/>
        </w:rPr>
      </w:pPr>
      <w:r w:rsidRPr="00843F53">
        <w:rPr>
          <w:rFonts w:eastAsia="Times New Roman"/>
          <w:i/>
          <w:kern w:val="22"/>
          <w:szCs w:val="22"/>
          <w:lang w:val="es-ES"/>
        </w:rPr>
        <w:lastRenderedPageBreak/>
        <w:t>Anexo I</w:t>
      </w:r>
    </w:p>
    <w:p w:rsidR="002D7874" w:rsidRPr="00843F53" w:rsidRDefault="002D7874" w:rsidP="002D7874">
      <w:pPr>
        <w:pStyle w:val="Heading1"/>
        <w:tabs>
          <w:tab w:val="clear" w:pos="720"/>
        </w:tabs>
        <w:spacing w:before="0" w:after="0"/>
        <w:rPr>
          <w:rFonts w:eastAsia="Times New Roman" w:cs="Times New Roman"/>
          <w:szCs w:val="22"/>
          <w:lang w:val="es-ES"/>
        </w:rPr>
      </w:pPr>
      <w:r w:rsidRPr="00843F53">
        <w:rPr>
          <w:rFonts w:eastAsia="Times New Roman" w:cs="Times New Roman"/>
          <w:szCs w:val="22"/>
          <w:lang w:val="es-ES"/>
        </w:rPr>
        <w:t>Proyecto de manda</w:t>
      </w:r>
      <w:r w:rsidRPr="00843F53">
        <w:rPr>
          <w:rFonts w:eastAsia="Times New Roman" w:cs="Times New Roman"/>
          <w:caps w:val="0"/>
          <w:szCs w:val="22"/>
          <w:lang w:val="es-ES"/>
        </w:rPr>
        <w:t>T</w:t>
      </w:r>
      <w:r w:rsidRPr="00843F53">
        <w:rPr>
          <w:rFonts w:eastAsia="Times New Roman" w:cs="Times New Roman"/>
          <w:szCs w:val="22"/>
          <w:lang w:val="es-ES"/>
        </w:rPr>
        <w:t xml:space="preserve">o </w:t>
      </w:r>
      <w:r w:rsidR="00F60605">
        <w:rPr>
          <w:rFonts w:eastAsia="Times New Roman" w:cs="Times New Roman"/>
          <w:szCs w:val="22"/>
          <w:lang w:val="es-ES"/>
        </w:rPr>
        <w:t xml:space="preserve">PARA </w:t>
      </w:r>
      <w:r w:rsidRPr="00843F53">
        <w:rPr>
          <w:rFonts w:eastAsia="Times New Roman" w:cs="Times New Roman"/>
          <w:szCs w:val="22"/>
          <w:lang w:val="es-ES"/>
        </w:rPr>
        <w:t>eL COMITÉ ASESOR OFICIOSO SOBRE COOPERACIÓN CIENTÍFICA Y TÉCNICA</w:t>
      </w:r>
    </w:p>
    <w:p w:rsidR="00192DBA" w:rsidRPr="00843F53" w:rsidRDefault="00192DBA" w:rsidP="00192DBA">
      <w:pPr>
        <w:pStyle w:val="NoSpacing"/>
        <w:rPr>
          <w:rFonts w:ascii="Times New Roman" w:eastAsia="Times New Roman" w:hAnsi="Times New Roman"/>
          <w:lang w:val="es-ES" w:eastAsia="en-CA"/>
        </w:rPr>
      </w:pPr>
    </w:p>
    <w:p w:rsidR="002D7874" w:rsidRPr="00843F53" w:rsidRDefault="002D7874" w:rsidP="002D7874">
      <w:pPr>
        <w:pStyle w:val="NoSpacing"/>
        <w:numPr>
          <w:ilvl w:val="0"/>
          <w:numId w:val="23"/>
        </w:numPr>
        <w:rPr>
          <w:rFonts w:ascii="Times New Roman" w:hAnsi="Times New Roman"/>
          <w:b/>
          <w:lang w:val="es-ES"/>
        </w:rPr>
      </w:pPr>
      <w:r w:rsidRPr="00843F53">
        <w:rPr>
          <w:rFonts w:ascii="Times New Roman" w:hAnsi="Times New Roman"/>
          <w:b/>
          <w:lang w:val="es-ES"/>
        </w:rPr>
        <w:t>Antecedentes</w:t>
      </w:r>
    </w:p>
    <w:p w:rsidR="00192DBA" w:rsidRPr="00843F53" w:rsidRDefault="00192DBA" w:rsidP="00192DBA">
      <w:pPr>
        <w:pStyle w:val="NoSpacing"/>
        <w:rPr>
          <w:rFonts w:ascii="Times New Roman" w:eastAsia="Times New Roman" w:hAnsi="Times New Roman"/>
          <w:lang w:val="es-ES" w:eastAsia="en-CA"/>
        </w:rPr>
      </w:pPr>
    </w:p>
    <w:p w:rsidR="00DA7F5D" w:rsidRPr="00843F53" w:rsidRDefault="00DA7F5D" w:rsidP="00DA7F5D">
      <w:pPr>
        <w:pStyle w:val="NoSpacing"/>
        <w:jc w:val="both"/>
        <w:rPr>
          <w:rFonts w:ascii="Times New Roman" w:hAnsi="Times New Roman"/>
          <w:lang w:val="es-ES"/>
        </w:rPr>
      </w:pPr>
      <w:r w:rsidRPr="00843F53">
        <w:rPr>
          <w:rFonts w:ascii="Times New Roman" w:hAnsi="Times New Roman"/>
          <w:lang w:val="es-ES"/>
        </w:rPr>
        <w:t>Conforme al artículo 18 del Convenio sobre la Diversidad Biológica las Partes deben fomentar la cooperación científica y técnica en la esfera de la conservación y utilización sostenible de la diversidad biológica, incluida la cooperación para el desarrollo de los recursos humanos y la creación de instituciones, el desarrollo y utilización de tecnologías (incluidas las tecnologías autóctonas y tradicionales), la capacitación de personal, el intercambio de expertos y el establecimiento de empresas conjuntas para el desarrollo de tecnologías pertinentes.</w:t>
      </w:r>
    </w:p>
    <w:p w:rsidR="00192DBA" w:rsidRPr="00843F53" w:rsidRDefault="00192DBA" w:rsidP="00192DBA">
      <w:pPr>
        <w:pStyle w:val="NoSpacing"/>
        <w:jc w:val="both"/>
        <w:rPr>
          <w:rFonts w:ascii="Times New Roman" w:eastAsia="Times New Roman" w:hAnsi="Times New Roman"/>
          <w:lang w:val="es-ES" w:eastAsia="en-CA"/>
        </w:rPr>
      </w:pPr>
    </w:p>
    <w:p w:rsidR="00023DA9" w:rsidRPr="00843F53" w:rsidRDefault="00023DA9" w:rsidP="00023DA9">
      <w:pPr>
        <w:pStyle w:val="NoSpacing"/>
        <w:jc w:val="both"/>
        <w:rPr>
          <w:rFonts w:ascii="Times New Roman" w:hAnsi="Times New Roman"/>
          <w:lang w:val="es-ES"/>
        </w:rPr>
      </w:pPr>
      <w:r w:rsidRPr="00843F53">
        <w:rPr>
          <w:rFonts w:ascii="Times New Roman" w:hAnsi="Times New Roman"/>
          <w:lang w:val="es-ES"/>
        </w:rPr>
        <w:t>En las decisiones XIII/23, XII/2, X/16, IX/14, VIII/12 y VII/29, la Conferencia de las Partes adoptó una serie de medidas y brind</w:t>
      </w:r>
      <w:r w:rsidR="0020459B">
        <w:rPr>
          <w:rFonts w:ascii="Times New Roman" w:hAnsi="Times New Roman"/>
          <w:lang w:val="es-ES"/>
        </w:rPr>
        <w:t>ó</w:t>
      </w:r>
      <w:r w:rsidRPr="00843F53">
        <w:rPr>
          <w:rFonts w:ascii="Times New Roman" w:hAnsi="Times New Roman"/>
          <w:lang w:val="es-ES"/>
        </w:rPr>
        <w:t xml:space="preserve"> orientaciones sobre diversos aspectos relacionados con la cooperación científica y técnica y la transferencia de tecnología. En la 12ª reunión de la Conferencia de las Partes se estableció la Iniciativa Bio-Bridge (BBI), con </w:t>
      </w:r>
      <w:r w:rsidR="00533871">
        <w:rPr>
          <w:rFonts w:ascii="Times New Roman" w:hAnsi="Times New Roman"/>
          <w:lang w:val="es-ES"/>
        </w:rPr>
        <w:t xml:space="preserve">el </w:t>
      </w:r>
      <w:r w:rsidRPr="00843F53">
        <w:rPr>
          <w:rFonts w:ascii="Times New Roman" w:hAnsi="Times New Roman"/>
          <w:lang w:val="es-ES"/>
        </w:rPr>
        <w:t xml:space="preserve">apoyo inicial del Gobierno de la República de Corea, para promover y facilitar la cooperación científica y técnica para la aplicación efectiva del Convenio. En diciembre de 2016, en la 13ª reunión de la Conferencia de las Partes celebrada en Cancún, se dio inicio al Plan de Acción Bio-Bridge para orientar las actividades y operaciones de la Iniciativa </w:t>
      </w:r>
      <w:r w:rsidR="00533871">
        <w:rPr>
          <w:rFonts w:ascii="Times New Roman" w:hAnsi="Times New Roman"/>
          <w:lang w:val="es-ES"/>
        </w:rPr>
        <w:t>durante</w:t>
      </w:r>
      <w:r w:rsidRPr="00843F53">
        <w:rPr>
          <w:rFonts w:ascii="Times New Roman" w:hAnsi="Times New Roman"/>
          <w:lang w:val="es-ES"/>
        </w:rPr>
        <w:t xml:space="preserve"> el período 2017-2020.</w:t>
      </w:r>
    </w:p>
    <w:p w:rsidR="00192DBA" w:rsidRPr="00843F53" w:rsidRDefault="00192DBA" w:rsidP="00192DBA">
      <w:pPr>
        <w:pStyle w:val="NoSpacing"/>
        <w:jc w:val="both"/>
        <w:rPr>
          <w:rFonts w:ascii="Times New Roman" w:eastAsia="Times New Roman" w:hAnsi="Times New Roman"/>
          <w:lang w:val="es-ES" w:eastAsia="en-CA"/>
        </w:rPr>
      </w:pPr>
    </w:p>
    <w:p w:rsidR="00023DA9" w:rsidRPr="00843F53" w:rsidRDefault="00B364C5" w:rsidP="00023DA9">
      <w:pPr>
        <w:pStyle w:val="NoSpacing"/>
        <w:numPr>
          <w:ilvl w:val="0"/>
          <w:numId w:val="23"/>
        </w:numPr>
        <w:jc w:val="both"/>
        <w:rPr>
          <w:rFonts w:ascii="Times New Roman" w:hAnsi="Times New Roman"/>
          <w:b/>
          <w:lang w:val="es-ES"/>
        </w:rPr>
      </w:pPr>
      <w:r>
        <w:rPr>
          <w:rFonts w:ascii="Times New Roman" w:hAnsi="Times New Roman"/>
          <w:b/>
          <w:lang w:val="es-ES"/>
        </w:rPr>
        <w:t>Cometidos</w:t>
      </w:r>
    </w:p>
    <w:p w:rsidR="00192DBA" w:rsidRPr="00843F53" w:rsidRDefault="00192DBA" w:rsidP="00192DBA">
      <w:pPr>
        <w:pStyle w:val="NoSpacing"/>
        <w:jc w:val="both"/>
        <w:rPr>
          <w:rFonts w:ascii="Times New Roman" w:eastAsia="Times New Roman" w:hAnsi="Times New Roman"/>
          <w:lang w:val="es-ES" w:eastAsia="en-CA"/>
        </w:rPr>
      </w:pPr>
    </w:p>
    <w:p w:rsidR="00023DA9" w:rsidRPr="00843F53" w:rsidRDefault="00023DA9" w:rsidP="00023DA9">
      <w:pPr>
        <w:pStyle w:val="NoSpacing"/>
        <w:jc w:val="both"/>
        <w:rPr>
          <w:rFonts w:ascii="Times New Roman" w:hAnsi="Times New Roman"/>
          <w:lang w:val="es-ES"/>
        </w:rPr>
      </w:pPr>
      <w:r w:rsidRPr="00843F53">
        <w:rPr>
          <w:rFonts w:ascii="Times New Roman" w:hAnsi="Times New Roman"/>
          <w:lang w:val="es-ES"/>
        </w:rPr>
        <w:t xml:space="preserve">El Comité Asesor Oficioso brindará asesoramiento a la Secretaria Ejecutiva sobre formas y medios de promover y facilitar la cooperación científica y técnica entre las Partes en el Convenio. En particular, el Comité Asesor Oficioso tendrá los siguientes cometidos: </w:t>
      </w:r>
    </w:p>
    <w:p w:rsidR="00192DBA" w:rsidRPr="00843F53" w:rsidRDefault="00192DBA" w:rsidP="00192DBA">
      <w:pPr>
        <w:pStyle w:val="NoSpacing"/>
        <w:jc w:val="both"/>
        <w:rPr>
          <w:rFonts w:ascii="Times New Roman" w:eastAsia="Times New Roman" w:hAnsi="Times New Roman"/>
          <w:lang w:val="es-ES" w:eastAsia="en-CA"/>
        </w:rPr>
      </w:pPr>
    </w:p>
    <w:p w:rsidR="00023DA9" w:rsidRPr="00843F53" w:rsidRDefault="00023DA9" w:rsidP="00B55FE8">
      <w:pPr>
        <w:pStyle w:val="NoSpacing"/>
        <w:numPr>
          <w:ilvl w:val="0"/>
          <w:numId w:val="34"/>
        </w:numPr>
        <w:tabs>
          <w:tab w:val="clear" w:pos="720"/>
        </w:tabs>
        <w:adjustRightInd w:val="0"/>
        <w:snapToGrid w:val="0"/>
        <w:spacing w:after="120"/>
        <w:ind w:left="0" w:firstLine="720"/>
        <w:jc w:val="both"/>
        <w:rPr>
          <w:rFonts w:ascii="Times New Roman" w:hAnsi="Times New Roman"/>
          <w:lang w:val="es-ES"/>
        </w:rPr>
      </w:pPr>
      <w:r w:rsidRPr="00843F53">
        <w:rPr>
          <w:rFonts w:ascii="Times New Roman" w:hAnsi="Times New Roman"/>
          <w:lang w:val="es-ES"/>
        </w:rPr>
        <w:t>brindar asesoramiento y formular recomendaciones sobre medidas prácticas, enfoques y mecanismos para promover la cooperación científica y técnica para la aplicación efectiva del Convenio;</w:t>
      </w:r>
    </w:p>
    <w:p w:rsidR="00572BFF" w:rsidRPr="00843F53" w:rsidRDefault="00572BFF" w:rsidP="00B55FE8">
      <w:pPr>
        <w:pStyle w:val="NoSpacing"/>
        <w:numPr>
          <w:ilvl w:val="0"/>
          <w:numId w:val="34"/>
        </w:numPr>
        <w:tabs>
          <w:tab w:val="clear" w:pos="720"/>
        </w:tabs>
        <w:adjustRightInd w:val="0"/>
        <w:snapToGrid w:val="0"/>
        <w:spacing w:after="120"/>
        <w:ind w:left="0" w:firstLine="720"/>
        <w:jc w:val="both"/>
        <w:rPr>
          <w:rFonts w:ascii="Times New Roman" w:hAnsi="Times New Roman"/>
          <w:lang w:val="es-ES"/>
        </w:rPr>
      </w:pPr>
      <w:r w:rsidRPr="00843F53">
        <w:rPr>
          <w:rFonts w:ascii="Times New Roman" w:hAnsi="Times New Roman"/>
          <w:lang w:val="es-ES"/>
        </w:rPr>
        <w:t xml:space="preserve">brindar orientaciones estratégicas y programáticas a la Iniciativa Bio-Bridge y otros programas que contribuyan a la aplicación del artículo 18 y disposiciones conexas del Convenio, incluida la revisión y aprobación de sus propuestas en materia de prioridades programáticas, planes de trabajo, informes sobre los </w:t>
      </w:r>
      <w:r w:rsidR="00533871">
        <w:rPr>
          <w:rFonts w:ascii="Times New Roman" w:hAnsi="Times New Roman"/>
          <w:lang w:val="es-ES"/>
        </w:rPr>
        <w:t>progresos realizados</w:t>
      </w:r>
      <w:r w:rsidRPr="00843F53">
        <w:rPr>
          <w:rFonts w:ascii="Times New Roman" w:hAnsi="Times New Roman"/>
          <w:lang w:val="es-ES"/>
        </w:rPr>
        <w:t xml:space="preserve"> y políticas y procedimientos operativos, entre ellos criterios y procedimientos de selección de proyectos;</w:t>
      </w:r>
    </w:p>
    <w:p w:rsidR="00572BFF" w:rsidRPr="00843F53" w:rsidRDefault="00533871" w:rsidP="00B55FE8">
      <w:pPr>
        <w:pStyle w:val="NoSpacing"/>
        <w:numPr>
          <w:ilvl w:val="0"/>
          <w:numId w:val="34"/>
        </w:numPr>
        <w:tabs>
          <w:tab w:val="clear" w:pos="720"/>
        </w:tabs>
        <w:adjustRightInd w:val="0"/>
        <w:snapToGrid w:val="0"/>
        <w:spacing w:after="120"/>
        <w:ind w:left="0" w:firstLine="720"/>
        <w:jc w:val="both"/>
        <w:rPr>
          <w:rFonts w:ascii="Times New Roman" w:hAnsi="Times New Roman"/>
          <w:lang w:val="es-ES"/>
        </w:rPr>
      </w:pPr>
      <w:r>
        <w:rPr>
          <w:rFonts w:ascii="Times New Roman" w:hAnsi="Times New Roman"/>
          <w:lang w:val="es-ES"/>
        </w:rPr>
        <w:t>h</w:t>
      </w:r>
      <w:r w:rsidR="00572BFF" w:rsidRPr="00843F53">
        <w:rPr>
          <w:rFonts w:ascii="Times New Roman" w:hAnsi="Times New Roman"/>
          <w:lang w:val="es-ES"/>
        </w:rPr>
        <w:t>a</w:t>
      </w:r>
      <w:r>
        <w:rPr>
          <w:rFonts w:ascii="Times New Roman" w:hAnsi="Times New Roman"/>
          <w:lang w:val="es-ES"/>
        </w:rPr>
        <w:t>ce</w:t>
      </w:r>
      <w:r w:rsidR="00572BFF" w:rsidRPr="00843F53">
        <w:rPr>
          <w:rFonts w:ascii="Times New Roman" w:hAnsi="Times New Roman"/>
          <w:lang w:val="es-ES"/>
        </w:rPr>
        <w:t>r un seguimiento de la implementación de la Iniciativa Bio-Bridge y otros programas que contribuyan a promover la cooperación científica y técnica;</w:t>
      </w:r>
    </w:p>
    <w:p w:rsidR="00572BFF" w:rsidRPr="00843F53" w:rsidRDefault="00572BFF" w:rsidP="00B55FE8">
      <w:pPr>
        <w:pStyle w:val="NoSpacing"/>
        <w:numPr>
          <w:ilvl w:val="0"/>
          <w:numId w:val="34"/>
        </w:numPr>
        <w:tabs>
          <w:tab w:val="clear" w:pos="720"/>
        </w:tabs>
        <w:adjustRightInd w:val="0"/>
        <w:snapToGrid w:val="0"/>
        <w:spacing w:after="120"/>
        <w:ind w:left="0" w:firstLine="720"/>
        <w:jc w:val="both"/>
        <w:rPr>
          <w:rFonts w:ascii="Times New Roman" w:hAnsi="Times New Roman"/>
          <w:lang w:val="es-ES"/>
        </w:rPr>
      </w:pPr>
      <w:r w:rsidRPr="00843F53">
        <w:rPr>
          <w:rFonts w:ascii="Times New Roman" w:hAnsi="Times New Roman"/>
          <w:lang w:val="es-ES"/>
        </w:rPr>
        <w:t>brindar asesoramiento a la Secretaria Ejecutiva sobre el desarrollo y la implementación de herramientas y mecanismos para promover y facilitar la cooperación científica y técnica, incluidas orientaciones sobre la resolución de problemas técnicos y prácticos relacionados con el mecanismo de facilitación;</w:t>
      </w:r>
    </w:p>
    <w:p w:rsidR="00572BFF" w:rsidRPr="00843F53" w:rsidRDefault="00572BFF" w:rsidP="00B55FE8">
      <w:pPr>
        <w:pStyle w:val="NoSpacing"/>
        <w:numPr>
          <w:ilvl w:val="0"/>
          <w:numId w:val="34"/>
        </w:numPr>
        <w:tabs>
          <w:tab w:val="clear" w:pos="720"/>
        </w:tabs>
        <w:adjustRightInd w:val="0"/>
        <w:snapToGrid w:val="0"/>
        <w:spacing w:after="120"/>
        <w:ind w:left="0" w:firstLine="720"/>
        <w:jc w:val="both"/>
        <w:rPr>
          <w:rFonts w:ascii="Times New Roman" w:hAnsi="Times New Roman"/>
          <w:lang w:val="es-ES"/>
        </w:rPr>
      </w:pPr>
      <w:r w:rsidRPr="00843F53">
        <w:rPr>
          <w:rFonts w:ascii="Times New Roman" w:hAnsi="Times New Roman"/>
          <w:lang w:val="es-ES"/>
        </w:rPr>
        <w:t>brindar asesoramiento y orientaciones sobre oportunidades de movilización de recursos, sostenibilidad y planes transformativos para promover y facilitar la cooperación científica y técnica.</w:t>
      </w:r>
    </w:p>
    <w:p w:rsidR="00192DBA" w:rsidRPr="00843F53" w:rsidRDefault="00192DBA" w:rsidP="00192DBA">
      <w:pPr>
        <w:pStyle w:val="NoSpacing"/>
        <w:ind w:left="360"/>
        <w:jc w:val="both"/>
        <w:rPr>
          <w:rFonts w:ascii="Times New Roman" w:eastAsia="Times New Roman" w:hAnsi="Times New Roman"/>
          <w:lang w:val="es-ES" w:eastAsia="en-CA"/>
        </w:rPr>
      </w:pPr>
    </w:p>
    <w:p w:rsidR="00B55FE8" w:rsidRPr="00843F53" w:rsidRDefault="00B55FE8" w:rsidP="00B55FE8">
      <w:pPr>
        <w:pStyle w:val="NoSpacing"/>
        <w:jc w:val="both"/>
        <w:rPr>
          <w:rFonts w:ascii="Times New Roman" w:hAnsi="Times New Roman"/>
          <w:lang w:val="es-ES"/>
        </w:rPr>
      </w:pPr>
      <w:r w:rsidRPr="00843F53">
        <w:rPr>
          <w:rFonts w:ascii="Times New Roman" w:hAnsi="Times New Roman"/>
          <w:lang w:val="es-ES"/>
        </w:rPr>
        <w:t>La Secretaría del Convenio sobre la Diversidad Biológica prestará servicios al Comité Asesor Oficioso, incluido el apoyo logístico y administrativo necesario para su labor.</w:t>
      </w:r>
    </w:p>
    <w:p w:rsidR="00192DBA" w:rsidRPr="00843F53" w:rsidRDefault="00192DBA" w:rsidP="00192DBA">
      <w:pPr>
        <w:pStyle w:val="NoSpacing"/>
        <w:jc w:val="both"/>
        <w:rPr>
          <w:rFonts w:ascii="Times New Roman" w:eastAsia="Times New Roman" w:hAnsi="Times New Roman"/>
          <w:lang w:val="es-ES" w:eastAsia="en-CA"/>
        </w:rPr>
      </w:pPr>
    </w:p>
    <w:p w:rsidR="00B55FE8" w:rsidRPr="00843F53" w:rsidRDefault="00B55FE8" w:rsidP="00533871">
      <w:pPr>
        <w:pStyle w:val="NoSpacing"/>
        <w:widowControl w:val="0"/>
        <w:numPr>
          <w:ilvl w:val="0"/>
          <w:numId w:val="23"/>
        </w:numPr>
        <w:jc w:val="both"/>
        <w:rPr>
          <w:rFonts w:ascii="Times New Roman" w:hAnsi="Times New Roman"/>
          <w:b/>
          <w:lang w:val="es-ES"/>
        </w:rPr>
      </w:pPr>
      <w:r w:rsidRPr="00843F53">
        <w:rPr>
          <w:rFonts w:ascii="Times New Roman" w:hAnsi="Times New Roman"/>
          <w:b/>
          <w:lang w:val="es-ES"/>
        </w:rPr>
        <w:t>Integración</w:t>
      </w:r>
    </w:p>
    <w:p w:rsidR="00192DBA" w:rsidRPr="00843F53" w:rsidRDefault="00192DBA" w:rsidP="00533871">
      <w:pPr>
        <w:pStyle w:val="NoSpacing"/>
        <w:widowControl w:val="0"/>
        <w:jc w:val="both"/>
        <w:rPr>
          <w:rFonts w:ascii="Times New Roman" w:eastAsia="Times New Roman" w:hAnsi="Times New Roman"/>
          <w:lang w:val="es-ES" w:eastAsia="en-CA"/>
        </w:rPr>
      </w:pPr>
    </w:p>
    <w:p w:rsidR="00531997" w:rsidRPr="00843F53" w:rsidRDefault="00531997" w:rsidP="00533871">
      <w:pPr>
        <w:pStyle w:val="NoSpacing"/>
        <w:widowControl w:val="0"/>
        <w:spacing w:before="120" w:after="120"/>
        <w:jc w:val="both"/>
        <w:rPr>
          <w:rFonts w:ascii="Times New Roman" w:hAnsi="Times New Roman"/>
          <w:lang w:val="es-ES"/>
        </w:rPr>
      </w:pPr>
      <w:r w:rsidRPr="00843F53">
        <w:rPr>
          <w:rFonts w:ascii="Times New Roman" w:hAnsi="Times New Roman"/>
          <w:lang w:val="es-ES"/>
        </w:rPr>
        <w:t xml:space="preserve">El Comité Asesor Oficioso estará compuesto por expertos nominados por Partes en el Convenio </w:t>
      </w:r>
      <w:r w:rsidRPr="00843F53">
        <w:rPr>
          <w:rFonts w:ascii="Times New Roman" w:hAnsi="Times New Roman"/>
          <w:lang w:val="es-ES"/>
        </w:rPr>
        <w:lastRenderedPageBreak/>
        <w:t xml:space="preserve">pertenecientes a cada una de las cinco regiones, así como por expertos de organizaciones pertinentes. </w:t>
      </w:r>
      <w:r w:rsidR="00533871">
        <w:rPr>
          <w:rFonts w:ascii="Times New Roman" w:hAnsi="Times New Roman"/>
          <w:lang w:val="es-ES"/>
        </w:rPr>
        <w:t>Los</w:t>
      </w:r>
      <w:r w:rsidRPr="00843F53">
        <w:rPr>
          <w:rFonts w:ascii="Times New Roman" w:hAnsi="Times New Roman"/>
          <w:lang w:val="es-ES"/>
        </w:rPr>
        <w:t xml:space="preserve"> integr</w:t>
      </w:r>
      <w:r w:rsidR="00533871">
        <w:rPr>
          <w:rFonts w:ascii="Times New Roman" w:hAnsi="Times New Roman"/>
          <w:lang w:val="es-ES"/>
        </w:rPr>
        <w:t>a</w:t>
      </w:r>
      <w:r w:rsidRPr="00843F53">
        <w:rPr>
          <w:rFonts w:ascii="Times New Roman" w:hAnsi="Times New Roman"/>
          <w:lang w:val="es-ES"/>
        </w:rPr>
        <w:t>n</w:t>
      </w:r>
      <w:r w:rsidR="00533871">
        <w:rPr>
          <w:rFonts w:ascii="Times New Roman" w:hAnsi="Times New Roman"/>
          <w:lang w:val="es-ES"/>
        </w:rPr>
        <w:t>tes</w:t>
      </w:r>
      <w:r w:rsidRPr="00843F53">
        <w:rPr>
          <w:rFonts w:ascii="Times New Roman" w:hAnsi="Times New Roman"/>
          <w:lang w:val="es-ES"/>
        </w:rPr>
        <w:t xml:space="preserve"> </w:t>
      </w:r>
      <w:r w:rsidR="00533871">
        <w:rPr>
          <w:rFonts w:ascii="Times New Roman" w:hAnsi="Times New Roman"/>
          <w:lang w:val="es-ES"/>
        </w:rPr>
        <w:t>d</w:t>
      </w:r>
      <w:r w:rsidRPr="00843F53">
        <w:rPr>
          <w:rFonts w:ascii="Times New Roman" w:hAnsi="Times New Roman"/>
          <w:lang w:val="es-ES"/>
        </w:rPr>
        <w:t>el Comité Asesor Oficioso deberán ser autoridades en sus respectivos campos de especialización e impulsores de</w:t>
      </w:r>
      <w:r w:rsidR="00533871">
        <w:rPr>
          <w:rFonts w:ascii="Times New Roman" w:hAnsi="Times New Roman"/>
          <w:lang w:val="es-ES"/>
        </w:rPr>
        <w:t>l cambio</w:t>
      </w:r>
      <w:r w:rsidRPr="00843F53">
        <w:rPr>
          <w:rFonts w:ascii="Times New Roman" w:hAnsi="Times New Roman"/>
          <w:lang w:val="es-ES"/>
        </w:rPr>
        <w:t>. Para la selección de los integrantes se tendrán en cuenta los siguientes criterios, según lo indicado en sus currículos:</w:t>
      </w:r>
    </w:p>
    <w:p w:rsidR="00531997" w:rsidRPr="00843F53" w:rsidRDefault="00531997" w:rsidP="00531997">
      <w:pPr>
        <w:pStyle w:val="NoSpacing"/>
        <w:numPr>
          <w:ilvl w:val="0"/>
          <w:numId w:val="32"/>
        </w:numPr>
        <w:tabs>
          <w:tab w:val="clear" w:pos="720"/>
        </w:tabs>
        <w:spacing w:after="120"/>
        <w:ind w:left="0" w:firstLine="720"/>
        <w:jc w:val="both"/>
        <w:rPr>
          <w:rFonts w:ascii="Times New Roman" w:hAnsi="Times New Roman"/>
          <w:lang w:val="es-ES"/>
        </w:rPr>
      </w:pPr>
      <w:r w:rsidRPr="00843F53">
        <w:rPr>
          <w:rFonts w:ascii="Times New Roman" w:hAnsi="Times New Roman"/>
          <w:lang w:val="es-ES"/>
        </w:rPr>
        <w:t>por lo menos cinco años de experiencia de trabajo en áreas científicas y técnicas relacionadas con la aplicación del Convenio sobre la Diversidad Biológica u otras convenciones relacionadas con la diversidad biológica;</w:t>
      </w:r>
    </w:p>
    <w:p w:rsidR="00956CDB" w:rsidRPr="00843F53" w:rsidRDefault="00956CDB" w:rsidP="00956CDB">
      <w:pPr>
        <w:pStyle w:val="NoSpacing"/>
        <w:numPr>
          <w:ilvl w:val="0"/>
          <w:numId w:val="32"/>
        </w:numPr>
        <w:tabs>
          <w:tab w:val="clear" w:pos="720"/>
        </w:tabs>
        <w:spacing w:after="120"/>
        <w:ind w:left="0" w:firstLine="720"/>
        <w:jc w:val="both"/>
        <w:rPr>
          <w:rFonts w:ascii="Times New Roman" w:hAnsi="Times New Roman"/>
          <w:lang w:val="es-ES"/>
        </w:rPr>
      </w:pPr>
      <w:r w:rsidRPr="00843F53">
        <w:rPr>
          <w:rFonts w:ascii="Times New Roman" w:hAnsi="Times New Roman"/>
          <w:lang w:val="es-ES"/>
        </w:rPr>
        <w:t>experiencia interdisciplinaria en ciencia, tecnología e innovación en relación con los temas señalados en el artículo 18 y otras disposiciones pertinentes del Convenio, el Plan Estratégico para la Diversidad Biológica 2011-2020 y sus Metas de Aichi para la Diversidad Biológica;</w:t>
      </w:r>
    </w:p>
    <w:p w:rsidR="00956CDB" w:rsidRPr="00843F53" w:rsidRDefault="00956CDB" w:rsidP="00956CDB">
      <w:pPr>
        <w:pStyle w:val="NoSpacing"/>
        <w:numPr>
          <w:ilvl w:val="0"/>
          <w:numId w:val="32"/>
        </w:numPr>
        <w:tabs>
          <w:tab w:val="clear" w:pos="720"/>
        </w:tabs>
        <w:spacing w:after="120"/>
        <w:ind w:left="0" w:firstLine="720"/>
        <w:jc w:val="both"/>
        <w:rPr>
          <w:rFonts w:ascii="Times New Roman" w:hAnsi="Times New Roman"/>
          <w:lang w:val="es-ES"/>
        </w:rPr>
      </w:pPr>
      <w:r w:rsidRPr="00843F53">
        <w:rPr>
          <w:rFonts w:ascii="Times New Roman" w:hAnsi="Times New Roman"/>
          <w:lang w:val="es-ES"/>
        </w:rPr>
        <w:t>experiencia demostrada en procesos de cooperación regional o internacional y programas de desarrollo de capacidad relacionados con el Convenio.</w:t>
      </w:r>
    </w:p>
    <w:p w:rsidR="00192DBA" w:rsidRPr="00843F53" w:rsidRDefault="00192DBA" w:rsidP="00192DBA">
      <w:pPr>
        <w:pStyle w:val="NoSpacing"/>
        <w:jc w:val="both"/>
        <w:rPr>
          <w:rFonts w:ascii="Times New Roman" w:eastAsia="Times New Roman" w:hAnsi="Times New Roman"/>
          <w:lang w:val="es-ES" w:eastAsia="en-CA"/>
        </w:rPr>
      </w:pPr>
    </w:p>
    <w:p w:rsidR="00E534BB" w:rsidRPr="00843F53" w:rsidRDefault="00E534BB" w:rsidP="00E534BB">
      <w:pPr>
        <w:pStyle w:val="NoSpacing"/>
        <w:jc w:val="both"/>
        <w:rPr>
          <w:rFonts w:ascii="Times New Roman" w:hAnsi="Times New Roman"/>
          <w:lang w:val="es-ES"/>
        </w:rPr>
      </w:pPr>
      <w:r w:rsidRPr="00843F53">
        <w:rPr>
          <w:rFonts w:ascii="Times New Roman" w:hAnsi="Times New Roman"/>
          <w:lang w:val="es-ES"/>
        </w:rPr>
        <w:t>Los integrantes del Comité Asesor Oficioso se seleccionarán mediante un proceso de nominación formal sobre la base de estos criterios. La Secretaria Ejecutiva podrá seleccionar expertos para cuestiones o temas específicos que se trat</w:t>
      </w:r>
      <w:r w:rsidR="00F60605">
        <w:rPr>
          <w:rFonts w:ascii="Times New Roman" w:hAnsi="Times New Roman"/>
          <w:lang w:val="es-ES"/>
        </w:rPr>
        <w:t>e</w:t>
      </w:r>
      <w:r w:rsidRPr="00843F53">
        <w:rPr>
          <w:rFonts w:ascii="Times New Roman" w:hAnsi="Times New Roman"/>
          <w:lang w:val="es-ES"/>
        </w:rPr>
        <w:t>n en cada una de las reuniones del Comité Asesor Oficioso, procurando que haya un equilibrio entre los expertos en asuntos relacionados con el Convenio. Los integrantes actuarán a título personal y no como representantes de un Gobierno, organización u otra entidad.</w:t>
      </w:r>
    </w:p>
    <w:p w:rsidR="00192DBA" w:rsidRPr="00843F53" w:rsidRDefault="00192DBA" w:rsidP="00192DBA">
      <w:pPr>
        <w:pStyle w:val="NoSpacing"/>
        <w:jc w:val="both"/>
        <w:rPr>
          <w:rFonts w:ascii="Times New Roman" w:eastAsia="Times New Roman" w:hAnsi="Times New Roman"/>
          <w:lang w:val="es-ES" w:eastAsia="en-CA"/>
        </w:rPr>
      </w:pPr>
    </w:p>
    <w:p w:rsidR="00E534BB" w:rsidRPr="00843F53" w:rsidRDefault="00E534BB" w:rsidP="00E534BB">
      <w:pPr>
        <w:pStyle w:val="NoSpacing"/>
        <w:jc w:val="both"/>
        <w:rPr>
          <w:rFonts w:ascii="Times New Roman" w:hAnsi="Times New Roman"/>
          <w:lang w:val="es-ES"/>
        </w:rPr>
      </w:pPr>
      <w:r w:rsidRPr="00843F53">
        <w:rPr>
          <w:rFonts w:ascii="Times New Roman" w:hAnsi="Times New Roman"/>
          <w:lang w:val="es-ES"/>
        </w:rPr>
        <w:t>Los integrantes del Comité Asesor Oficioso desempeñarán sus funciones por un período de dos años, con posibilidad de prórroga por un período adicional de dos años.</w:t>
      </w:r>
    </w:p>
    <w:p w:rsidR="00192DBA" w:rsidRPr="00843F53" w:rsidRDefault="00192DBA" w:rsidP="00192DBA">
      <w:pPr>
        <w:pStyle w:val="NoSpacing"/>
        <w:jc w:val="both"/>
        <w:rPr>
          <w:rFonts w:ascii="Times New Roman" w:eastAsia="Times New Roman" w:hAnsi="Times New Roman"/>
          <w:lang w:val="es-ES" w:eastAsia="en-CA"/>
        </w:rPr>
      </w:pPr>
    </w:p>
    <w:p w:rsidR="00E534BB" w:rsidRPr="00843F53" w:rsidRDefault="00E534BB" w:rsidP="00E534BB">
      <w:pPr>
        <w:pStyle w:val="NoSpacing"/>
        <w:jc w:val="both"/>
        <w:rPr>
          <w:rFonts w:ascii="Times New Roman" w:hAnsi="Times New Roman"/>
          <w:b/>
          <w:lang w:val="es-ES"/>
        </w:rPr>
      </w:pPr>
      <w:r w:rsidRPr="00843F53">
        <w:rPr>
          <w:rFonts w:ascii="Times New Roman" w:hAnsi="Times New Roman"/>
          <w:b/>
          <w:i/>
          <w:lang w:val="es-ES"/>
        </w:rPr>
        <w:t>Modus operandi</w:t>
      </w:r>
    </w:p>
    <w:p w:rsidR="00192DBA" w:rsidRPr="00843F53" w:rsidRDefault="00192DBA" w:rsidP="00192DBA">
      <w:pPr>
        <w:pStyle w:val="NoSpacing"/>
        <w:jc w:val="both"/>
        <w:rPr>
          <w:rFonts w:ascii="Times New Roman" w:eastAsia="Times New Roman" w:hAnsi="Times New Roman"/>
          <w:lang w:val="es-ES" w:eastAsia="en-CA"/>
        </w:rPr>
      </w:pPr>
    </w:p>
    <w:p w:rsidR="00AD72D0" w:rsidRPr="00843F53" w:rsidRDefault="00AD72D0" w:rsidP="00AD72D0">
      <w:pPr>
        <w:pStyle w:val="NoSpacing"/>
        <w:numPr>
          <w:ilvl w:val="0"/>
          <w:numId w:val="42"/>
        </w:numPr>
        <w:tabs>
          <w:tab w:val="clear" w:pos="720"/>
        </w:tabs>
        <w:spacing w:after="120"/>
        <w:ind w:left="0" w:firstLine="720"/>
        <w:jc w:val="both"/>
        <w:rPr>
          <w:rFonts w:ascii="Times New Roman" w:hAnsi="Times New Roman"/>
          <w:lang w:val="es-ES"/>
        </w:rPr>
      </w:pPr>
      <w:r w:rsidRPr="00843F53">
        <w:rPr>
          <w:rFonts w:ascii="Times New Roman" w:hAnsi="Times New Roman"/>
          <w:lang w:val="es-ES"/>
        </w:rPr>
        <w:t>El Comité Asesor se reunirá en forma presencial por lo menos una vez al año, dentro de lo posible paralelamente a otras reuniones pertinentes. Los integrantes podrán ajustar la frecuencia de las reuniones s</w:t>
      </w:r>
      <w:r w:rsidR="00F60605">
        <w:rPr>
          <w:rFonts w:ascii="Times New Roman" w:hAnsi="Times New Roman"/>
          <w:lang w:val="es-ES"/>
        </w:rPr>
        <w:t>egún</w:t>
      </w:r>
      <w:r w:rsidRPr="00843F53">
        <w:rPr>
          <w:rFonts w:ascii="Times New Roman" w:hAnsi="Times New Roman"/>
          <w:lang w:val="es-ES"/>
        </w:rPr>
        <w:t xml:space="preserve"> </w:t>
      </w:r>
      <w:r w:rsidR="00F60605">
        <w:rPr>
          <w:rFonts w:ascii="Times New Roman" w:hAnsi="Times New Roman"/>
          <w:lang w:val="es-ES"/>
        </w:rPr>
        <w:t>s</w:t>
      </w:r>
      <w:r w:rsidRPr="00843F53">
        <w:rPr>
          <w:rFonts w:ascii="Times New Roman" w:hAnsi="Times New Roman"/>
          <w:lang w:val="es-ES"/>
        </w:rPr>
        <w:t>ea necesario. En los períodos entre sesiones, el Comité trabajará, según proceda, por medios electrónicos;</w:t>
      </w:r>
    </w:p>
    <w:p w:rsidR="00D74AB0" w:rsidRPr="00843F53" w:rsidRDefault="00D74AB0" w:rsidP="00D74AB0">
      <w:pPr>
        <w:pStyle w:val="NoSpacing"/>
        <w:numPr>
          <w:ilvl w:val="0"/>
          <w:numId w:val="42"/>
        </w:numPr>
        <w:tabs>
          <w:tab w:val="clear" w:pos="720"/>
        </w:tabs>
        <w:spacing w:after="120"/>
        <w:ind w:left="0" w:firstLine="720"/>
        <w:jc w:val="both"/>
        <w:rPr>
          <w:rFonts w:ascii="Times New Roman" w:hAnsi="Times New Roman"/>
          <w:lang w:val="es-ES"/>
        </w:rPr>
      </w:pPr>
      <w:r w:rsidRPr="00843F53">
        <w:rPr>
          <w:rFonts w:ascii="Times New Roman" w:hAnsi="Times New Roman"/>
          <w:lang w:val="es-ES"/>
        </w:rPr>
        <w:t>Los integrantes del Comité Asesor no recibirán honorarios, pagos ni otras remuneraciones de las Naciones Unidas. No obstante, los costos de participación de los integrantes del Comité nominados por Partes que son países en desarrollo y Partes con economías en transición estarán cubiertos, conforme al reglamento y la reglamentación de las Naciones Unidas;</w:t>
      </w:r>
    </w:p>
    <w:p w:rsidR="008805BA" w:rsidRPr="00843F53" w:rsidRDefault="008805BA" w:rsidP="00533871">
      <w:pPr>
        <w:pStyle w:val="NoSpacing"/>
        <w:numPr>
          <w:ilvl w:val="0"/>
          <w:numId w:val="42"/>
        </w:numPr>
        <w:tabs>
          <w:tab w:val="clear" w:pos="720"/>
        </w:tabs>
        <w:spacing w:after="120"/>
        <w:ind w:left="0" w:firstLine="720"/>
        <w:jc w:val="both"/>
        <w:rPr>
          <w:rFonts w:ascii="Times New Roman" w:hAnsi="Times New Roman"/>
          <w:lang w:val="es-ES"/>
        </w:rPr>
      </w:pPr>
      <w:r w:rsidRPr="00843F53">
        <w:rPr>
          <w:rFonts w:ascii="Times New Roman" w:hAnsi="Times New Roman"/>
          <w:lang w:val="es-ES"/>
        </w:rPr>
        <w:t>El Comité Asesor Oficioso elegirá un Presidente para dirigir sus reuniones conforme a un sistema de rotación. Cada Presidente ejercerá por</w:t>
      </w:r>
      <w:r w:rsidR="00533871">
        <w:rPr>
          <w:rFonts w:ascii="Times New Roman" w:hAnsi="Times New Roman"/>
          <w:lang w:val="es-ES"/>
        </w:rPr>
        <w:t xml:space="preserve"> un</w:t>
      </w:r>
      <w:r w:rsidRPr="00843F53">
        <w:rPr>
          <w:rFonts w:ascii="Times New Roman" w:hAnsi="Times New Roman"/>
          <w:lang w:val="es-ES"/>
        </w:rPr>
        <w:t xml:space="preserve"> período de un año</w:t>
      </w:r>
      <w:r w:rsidR="00533871">
        <w:rPr>
          <w:rFonts w:ascii="Times New Roman" w:hAnsi="Times New Roman"/>
          <w:lang w:val="es-ES"/>
        </w:rPr>
        <w:t xml:space="preserve"> por vez</w:t>
      </w:r>
      <w:r w:rsidRPr="00843F53">
        <w:rPr>
          <w:rFonts w:ascii="Times New Roman" w:hAnsi="Times New Roman"/>
          <w:lang w:val="es-ES"/>
        </w:rPr>
        <w:t>;</w:t>
      </w:r>
    </w:p>
    <w:p w:rsidR="008805BA" w:rsidRPr="00843F53" w:rsidRDefault="008805BA" w:rsidP="008805BA">
      <w:pPr>
        <w:pStyle w:val="NoSpacing"/>
        <w:numPr>
          <w:ilvl w:val="0"/>
          <w:numId w:val="42"/>
        </w:numPr>
        <w:tabs>
          <w:tab w:val="clear" w:pos="720"/>
        </w:tabs>
        <w:spacing w:after="120"/>
        <w:ind w:left="0" w:firstLine="720"/>
        <w:jc w:val="both"/>
        <w:rPr>
          <w:rFonts w:ascii="Times New Roman" w:hAnsi="Times New Roman"/>
          <w:lang w:val="es-ES"/>
        </w:rPr>
      </w:pPr>
      <w:r w:rsidRPr="00843F53">
        <w:rPr>
          <w:rFonts w:ascii="Times New Roman" w:hAnsi="Times New Roman"/>
          <w:lang w:val="es-ES"/>
        </w:rPr>
        <w:t xml:space="preserve">El Comité Asesor Oficioso adoptará sus decisiones y recomendaciones por consenso; </w:t>
      </w:r>
    </w:p>
    <w:p w:rsidR="008805BA" w:rsidRPr="00843F53" w:rsidRDefault="008805BA" w:rsidP="008805BA">
      <w:pPr>
        <w:pStyle w:val="NoSpacing"/>
        <w:numPr>
          <w:ilvl w:val="0"/>
          <w:numId w:val="42"/>
        </w:numPr>
        <w:tabs>
          <w:tab w:val="clear" w:pos="720"/>
        </w:tabs>
        <w:spacing w:after="120"/>
        <w:ind w:left="0" w:firstLine="720"/>
        <w:jc w:val="both"/>
        <w:rPr>
          <w:rFonts w:ascii="Times New Roman" w:hAnsi="Times New Roman"/>
          <w:lang w:val="es-ES"/>
        </w:rPr>
      </w:pPr>
      <w:r w:rsidRPr="00843F53">
        <w:rPr>
          <w:rFonts w:ascii="Times New Roman" w:hAnsi="Times New Roman"/>
          <w:lang w:val="es-ES"/>
        </w:rPr>
        <w:t xml:space="preserve">El Comité Asesor Oficioso podrá modificar por consenso y en cualquier momento sus métodos de trabajo; </w:t>
      </w:r>
    </w:p>
    <w:p w:rsidR="008805BA" w:rsidRPr="00843F53" w:rsidRDefault="008805BA" w:rsidP="008805BA">
      <w:pPr>
        <w:pStyle w:val="NoSpacing"/>
        <w:numPr>
          <w:ilvl w:val="0"/>
          <w:numId w:val="42"/>
        </w:numPr>
        <w:tabs>
          <w:tab w:val="clear" w:pos="720"/>
        </w:tabs>
        <w:spacing w:after="120"/>
        <w:ind w:left="0" w:firstLine="720"/>
        <w:jc w:val="both"/>
        <w:rPr>
          <w:rFonts w:ascii="Times New Roman" w:hAnsi="Times New Roman"/>
          <w:lang w:val="es-ES"/>
        </w:rPr>
      </w:pPr>
      <w:r w:rsidRPr="00843F53">
        <w:rPr>
          <w:rFonts w:ascii="Times New Roman" w:hAnsi="Times New Roman"/>
          <w:lang w:val="es-ES"/>
        </w:rPr>
        <w:t>El idioma de trabajo del Comité será inglés.</w:t>
      </w:r>
    </w:p>
    <w:p w:rsidR="00192DBA" w:rsidRPr="00843F53" w:rsidRDefault="00192DBA" w:rsidP="000615B8">
      <w:pPr>
        <w:pStyle w:val="Para1"/>
        <w:suppressLineNumbers/>
        <w:suppressAutoHyphens/>
        <w:spacing w:before="120"/>
        <w:jc w:val="center"/>
        <w:rPr>
          <w:kern w:val="22"/>
          <w:szCs w:val="22"/>
          <w:lang w:val="es-ES"/>
        </w:rPr>
      </w:pPr>
    </w:p>
    <w:p w:rsidR="007E7FD5" w:rsidRPr="00843F53" w:rsidRDefault="007E7FD5" w:rsidP="007E7FD5">
      <w:pPr>
        <w:pStyle w:val="Para1"/>
        <w:suppressLineNumbers/>
        <w:suppressAutoHyphens/>
        <w:spacing w:before="120"/>
        <w:jc w:val="center"/>
        <w:rPr>
          <w:rFonts w:eastAsia="Times New Roman"/>
          <w:i/>
          <w:kern w:val="22"/>
          <w:szCs w:val="22"/>
          <w:lang w:val="es-ES"/>
        </w:rPr>
      </w:pPr>
      <w:r w:rsidRPr="00843F53">
        <w:rPr>
          <w:rFonts w:eastAsia="Times New Roman"/>
          <w:kern w:val="22"/>
          <w:szCs w:val="22"/>
          <w:lang w:val="es-ES"/>
        </w:rPr>
        <w:br w:type="page"/>
      </w:r>
      <w:r w:rsidRPr="00843F53">
        <w:rPr>
          <w:rFonts w:eastAsia="Times New Roman"/>
          <w:i/>
          <w:kern w:val="22"/>
          <w:szCs w:val="22"/>
          <w:lang w:val="es-ES"/>
        </w:rPr>
        <w:lastRenderedPageBreak/>
        <w:t>Anexo II</w:t>
      </w:r>
    </w:p>
    <w:p w:rsidR="007E7FD5" w:rsidRPr="00843F53" w:rsidRDefault="007E7FD5" w:rsidP="007E7FD5">
      <w:pPr>
        <w:pStyle w:val="Heading1"/>
        <w:rPr>
          <w:rFonts w:eastAsia="Times New Roman" w:cs="Times New Roman"/>
          <w:szCs w:val="22"/>
          <w:lang w:val="es-ES"/>
        </w:rPr>
      </w:pPr>
      <w:r w:rsidRPr="00843F53">
        <w:rPr>
          <w:rFonts w:eastAsia="Times New Roman" w:cs="Times New Roman"/>
          <w:szCs w:val="22"/>
          <w:lang w:val="es-ES"/>
        </w:rPr>
        <w:t>ELEMENTOS DE</w:t>
      </w:r>
      <w:r w:rsidR="000415EB">
        <w:rPr>
          <w:rFonts w:eastAsia="Times New Roman" w:cs="Times New Roman"/>
          <w:szCs w:val="22"/>
          <w:lang w:val="es-ES"/>
        </w:rPr>
        <w:t>L</w:t>
      </w:r>
      <w:r w:rsidRPr="00843F53">
        <w:rPr>
          <w:rFonts w:eastAsia="Times New Roman" w:cs="Times New Roman"/>
          <w:szCs w:val="22"/>
          <w:lang w:val="es-ES"/>
        </w:rPr>
        <w:t xml:space="preserve"> PROCESO DE preparaCiÓn DEL marco estratégico </w:t>
      </w:r>
      <w:r w:rsidR="007F466D">
        <w:rPr>
          <w:rFonts w:eastAsia="Times New Roman" w:cs="Times New Roman"/>
          <w:szCs w:val="22"/>
          <w:lang w:val="es-ES"/>
        </w:rPr>
        <w:t>para</w:t>
      </w:r>
      <w:r w:rsidR="001902D3">
        <w:rPr>
          <w:rFonts w:eastAsia="Times New Roman" w:cs="Times New Roman"/>
          <w:szCs w:val="22"/>
          <w:lang w:val="es-ES"/>
        </w:rPr>
        <w:t> </w:t>
      </w:r>
      <w:r w:rsidR="007F466D">
        <w:rPr>
          <w:rFonts w:eastAsia="Times New Roman" w:cs="Times New Roman"/>
          <w:szCs w:val="22"/>
          <w:lang w:val="es-ES"/>
        </w:rPr>
        <w:t>l</w:t>
      </w:r>
      <w:r w:rsidR="001902D3">
        <w:rPr>
          <w:rFonts w:eastAsia="Times New Roman" w:cs="Times New Roman"/>
          <w:szCs w:val="22"/>
          <w:lang w:val="es-ES"/>
        </w:rPr>
        <w:t xml:space="preserve">A CREACIÓN </w:t>
      </w:r>
      <w:r w:rsidRPr="00843F53">
        <w:rPr>
          <w:rFonts w:eastAsia="Times New Roman" w:cs="Times New Roman"/>
          <w:szCs w:val="22"/>
          <w:lang w:val="es-ES"/>
        </w:rPr>
        <w:t>de capacidad después de 2020</w:t>
      </w:r>
    </w:p>
    <w:p w:rsidR="000615B8" w:rsidRPr="00843F53" w:rsidRDefault="000615B8" w:rsidP="000615B8">
      <w:pPr>
        <w:pStyle w:val="ListParagraph"/>
        <w:ind w:left="0"/>
        <w:rPr>
          <w:rFonts w:cs="Times New Roman"/>
          <w:szCs w:val="22"/>
          <w:lang w:val="es-ES"/>
        </w:rPr>
      </w:pPr>
    </w:p>
    <w:p w:rsidR="007E7FD5" w:rsidRPr="00843F53" w:rsidRDefault="007E7FD5" w:rsidP="007E7FD5">
      <w:pPr>
        <w:pStyle w:val="Heading2"/>
        <w:numPr>
          <w:ilvl w:val="4"/>
          <w:numId w:val="15"/>
        </w:numPr>
        <w:ind w:firstLine="270"/>
        <w:jc w:val="left"/>
        <w:rPr>
          <w:rFonts w:eastAsia="Times New Roman" w:cs="Times New Roman"/>
          <w:i w:val="0"/>
          <w:iCs w:val="0"/>
          <w:szCs w:val="22"/>
          <w:lang w:val="es-ES"/>
        </w:rPr>
      </w:pPr>
      <w:r w:rsidRPr="00843F53">
        <w:rPr>
          <w:rFonts w:eastAsia="Times New Roman" w:cs="Times New Roman"/>
          <w:i w:val="0"/>
          <w:iCs w:val="0"/>
          <w:szCs w:val="22"/>
          <w:lang w:val="es-ES"/>
        </w:rPr>
        <w:t>Introducción</w:t>
      </w:r>
    </w:p>
    <w:p w:rsidR="0056150E" w:rsidRPr="00843F53" w:rsidRDefault="0056150E" w:rsidP="005874E1">
      <w:pPr>
        <w:pStyle w:val="Para1"/>
        <w:numPr>
          <w:ilvl w:val="0"/>
          <w:numId w:val="18"/>
        </w:numPr>
        <w:tabs>
          <w:tab w:val="clear" w:pos="360"/>
          <w:tab w:val="num" w:pos="720"/>
        </w:tabs>
        <w:spacing w:before="60" w:after="60"/>
        <w:rPr>
          <w:rFonts w:eastAsia="Times New Roman"/>
          <w:szCs w:val="22"/>
          <w:lang w:val="es-ES"/>
        </w:rPr>
      </w:pPr>
      <w:r w:rsidRPr="00843F53">
        <w:rPr>
          <w:rFonts w:eastAsia="Times New Roman"/>
          <w:szCs w:val="22"/>
          <w:lang w:val="es-ES"/>
        </w:rPr>
        <w:t>En su 13ª reunión</w:t>
      </w:r>
      <w:r w:rsidR="000415EB">
        <w:rPr>
          <w:rFonts w:eastAsia="Times New Roman"/>
          <w:szCs w:val="22"/>
          <w:lang w:val="es-ES"/>
        </w:rPr>
        <w:t>,</w:t>
      </w:r>
      <w:r w:rsidRPr="00843F53">
        <w:rPr>
          <w:rFonts w:eastAsia="Times New Roman"/>
          <w:szCs w:val="22"/>
          <w:lang w:val="es-ES"/>
        </w:rPr>
        <w:t xml:space="preserve"> la Conferencia de las Partes pidió al Secretario Ejecutivo que iniciara </w:t>
      </w:r>
      <w:r w:rsidR="005874E1" w:rsidRPr="00843F53">
        <w:rPr>
          <w:rFonts w:eastAsia="Times New Roman"/>
          <w:szCs w:val="22"/>
          <w:lang w:val="es-ES"/>
        </w:rPr>
        <w:t>el</w:t>
      </w:r>
      <w:r w:rsidRPr="00843F53">
        <w:rPr>
          <w:rFonts w:eastAsia="Times New Roman"/>
          <w:szCs w:val="22"/>
          <w:lang w:val="es-ES"/>
        </w:rPr>
        <w:t xml:space="preserve"> proceso de preparación de un marco estratégico a largo plazo para la creación de capacidad después de 2020, asegurando que estuviera en armonía con el instrumento sucesor del Plan Estratégico para la Diversidad Biológica 2011-2020 y la labor de los Protocolos, y </w:t>
      </w:r>
      <w:r w:rsidR="005874E1" w:rsidRPr="00843F53">
        <w:rPr>
          <w:rFonts w:eastAsia="Times New Roman"/>
          <w:szCs w:val="22"/>
          <w:lang w:val="es-ES"/>
        </w:rPr>
        <w:t>as</w:t>
      </w:r>
      <w:r w:rsidR="000415EB">
        <w:rPr>
          <w:rFonts w:eastAsia="Times New Roman"/>
          <w:szCs w:val="22"/>
          <w:lang w:val="es-ES"/>
        </w:rPr>
        <w:t>eg</w:t>
      </w:r>
      <w:r w:rsidR="005874E1" w:rsidRPr="00843F53">
        <w:rPr>
          <w:rFonts w:eastAsia="Times New Roman"/>
          <w:szCs w:val="22"/>
          <w:lang w:val="es-ES"/>
        </w:rPr>
        <w:t>urando</w:t>
      </w:r>
      <w:r w:rsidRPr="00843F53">
        <w:rPr>
          <w:rFonts w:eastAsia="Times New Roman"/>
          <w:szCs w:val="22"/>
          <w:lang w:val="es-ES"/>
        </w:rPr>
        <w:t xml:space="preserve"> su coordinación con el </w:t>
      </w:r>
      <w:r w:rsidR="005874E1" w:rsidRPr="00843F53">
        <w:rPr>
          <w:rFonts w:eastAsia="Times New Roman"/>
          <w:szCs w:val="22"/>
          <w:lang w:val="es-ES"/>
        </w:rPr>
        <w:t>calendario</w:t>
      </w:r>
      <w:r w:rsidRPr="00843F53">
        <w:rPr>
          <w:rFonts w:eastAsia="Times New Roman"/>
          <w:szCs w:val="22"/>
          <w:lang w:val="es-ES"/>
        </w:rPr>
        <w:t xml:space="preserve"> para el desarrollo de ese marco, con miras a identificar oportunamente las acciones prioritarias de creación de capacidad.</w:t>
      </w:r>
    </w:p>
    <w:p w:rsidR="005874E1" w:rsidRPr="00843F53" w:rsidRDefault="005874E1" w:rsidP="005874E1">
      <w:pPr>
        <w:pStyle w:val="Para1"/>
        <w:numPr>
          <w:ilvl w:val="0"/>
          <w:numId w:val="18"/>
        </w:numPr>
        <w:tabs>
          <w:tab w:val="clear" w:pos="360"/>
          <w:tab w:val="num" w:pos="720"/>
        </w:tabs>
        <w:spacing w:before="60" w:after="60"/>
        <w:rPr>
          <w:rFonts w:eastAsia="Times New Roman"/>
          <w:szCs w:val="22"/>
          <w:lang w:val="es-ES"/>
        </w:rPr>
      </w:pPr>
      <w:r w:rsidRPr="00843F53">
        <w:rPr>
          <w:rFonts w:eastAsia="Times New Roman"/>
          <w:kern w:val="20"/>
          <w:szCs w:val="22"/>
          <w:lang w:val="es-ES"/>
        </w:rPr>
        <w:t xml:space="preserve">En el párrafo 15 n) de su decisión XIII/23, la Conferencia de las Partes pidió al Secretario Ejecutivo que preparara el mandato para un estudio que </w:t>
      </w:r>
      <w:r w:rsidRPr="00843F53">
        <w:rPr>
          <w:rFonts w:eastAsia="Times New Roman"/>
          <w:kern w:val="22"/>
          <w:szCs w:val="22"/>
          <w:lang w:val="es-ES"/>
        </w:rPr>
        <w:t>proporcionara la base de conocimientos para preparar un marco e</w:t>
      </w:r>
      <w:r w:rsidRPr="00843F53">
        <w:rPr>
          <w:rFonts w:eastAsia="Times New Roman"/>
          <w:kern w:val="20"/>
          <w:szCs w:val="22"/>
          <w:lang w:val="es-ES"/>
        </w:rPr>
        <w:t xml:space="preserve">stratégico a largo plazo para la creación de capacidad después de 2020, de manera que lo pudiera </w:t>
      </w:r>
      <w:r w:rsidRPr="00843F53">
        <w:rPr>
          <w:rFonts w:eastAsia="Times New Roman"/>
          <w:kern w:val="22"/>
          <w:szCs w:val="22"/>
          <w:lang w:val="es-ES"/>
        </w:rPr>
        <w:t xml:space="preserve">considerar el Órgano Subsidiario sobre la Aplicación en su segunda reunión y posteriormente la </w:t>
      </w:r>
      <w:r w:rsidRPr="00843F53">
        <w:rPr>
          <w:rFonts w:eastAsia="Times New Roman"/>
          <w:kern w:val="20"/>
          <w:szCs w:val="22"/>
          <w:lang w:val="es-ES"/>
        </w:rPr>
        <w:t>Conferencia de las Partes en su 14ª reunión,</w:t>
      </w:r>
      <w:r w:rsidRPr="00843F53">
        <w:rPr>
          <w:rFonts w:eastAsia="Times New Roman"/>
          <w:kern w:val="22"/>
          <w:szCs w:val="22"/>
          <w:lang w:val="es-ES"/>
        </w:rPr>
        <w:t xml:space="preserve"> asegurando que el estudio tuviera en cuenta, entre otras cosas, la implementación del plan de acción de creación de capacidad a corto plazo y las experiencias pertinentes comunicadas por las Partes en sus informes nacionales.</w:t>
      </w:r>
    </w:p>
    <w:p w:rsidR="005874E1" w:rsidRPr="00843F53" w:rsidRDefault="005874E1" w:rsidP="005874E1">
      <w:pPr>
        <w:pStyle w:val="Para1"/>
        <w:numPr>
          <w:ilvl w:val="0"/>
          <w:numId w:val="18"/>
        </w:numPr>
        <w:tabs>
          <w:tab w:val="clear" w:pos="360"/>
          <w:tab w:val="num" w:pos="720"/>
        </w:tabs>
        <w:spacing w:before="60" w:after="60"/>
        <w:rPr>
          <w:rFonts w:eastAsia="Times New Roman"/>
          <w:szCs w:val="22"/>
          <w:lang w:val="es-ES"/>
        </w:rPr>
      </w:pPr>
      <w:r w:rsidRPr="00843F53">
        <w:rPr>
          <w:rFonts w:eastAsia="Times New Roman"/>
          <w:szCs w:val="22"/>
          <w:lang w:val="es-ES"/>
        </w:rPr>
        <w:t xml:space="preserve">En el marco del Protocolo de Cartagena sobre Seguridad de la Biotecnología, en su sexta reunión la Conferencia de las Partes que actúa como reunión de las Partes en el Protocolo adoptó el Marco y Plan de Acción de Creación de Capacidad para la Aplicación Eficaz del Protocolo de Cartagena y decidió examinarlo en la octava reunión de las Partes (decisión BS-VI/3). </w:t>
      </w:r>
      <w:r w:rsidRPr="00843F53">
        <w:rPr>
          <w:rFonts w:eastAsia="Times New Roman"/>
          <w:kern w:val="22"/>
          <w:szCs w:val="22"/>
          <w:lang w:val="es-ES"/>
        </w:rPr>
        <w:t>Como resultado de ese examen, las Partes en el Protocolo decidieron mantener el Marco y Plan de Acción hasta 2020 (decisión CP-VIII/3).</w:t>
      </w:r>
      <w:r w:rsidRPr="00843F53">
        <w:rPr>
          <w:rFonts w:eastAsia="Times New Roman"/>
          <w:szCs w:val="22"/>
          <w:lang w:val="es-ES"/>
        </w:rPr>
        <w:t xml:space="preserve"> </w:t>
      </w:r>
    </w:p>
    <w:p w:rsidR="005874E1" w:rsidRPr="00843F53" w:rsidRDefault="005874E1" w:rsidP="005874E1">
      <w:pPr>
        <w:pStyle w:val="Para1"/>
        <w:numPr>
          <w:ilvl w:val="0"/>
          <w:numId w:val="18"/>
        </w:numPr>
        <w:tabs>
          <w:tab w:val="clear" w:pos="360"/>
          <w:tab w:val="num" w:pos="720"/>
        </w:tabs>
        <w:spacing w:before="60" w:after="60"/>
        <w:rPr>
          <w:rFonts w:eastAsia="Times New Roman"/>
          <w:szCs w:val="22"/>
          <w:lang w:val="es-ES"/>
        </w:rPr>
      </w:pPr>
      <w:r w:rsidRPr="00843F53">
        <w:rPr>
          <w:rFonts w:eastAsia="Times New Roman"/>
          <w:kern w:val="22"/>
          <w:szCs w:val="22"/>
          <w:lang w:val="es-ES"/>
        </w:rPr>
        <w:t xml:space="preserve">Análogamente, la Conferencia de las Partes que actúa como reunión de las Partes en el Protocolo de Nagoya, en su </w:t>
      </w:r>
      <w:r w:rsidRPr="00843F53">
        <w:rPr>
          <w:rFonts w:eastAsia="Times New Roman"/>
          <w:szCs w:val="22"/>
          <w:lang w:val="es-ES"/>
        </w:rPr>
        <w:t>decisión NP-1/8</w:t>
      </w:r>
      <w:r w:rsidRPr="00843F53">
        <w:rPr>
          <w:rFonts w:eastAsia="Times New Roman"/>
          <w:kern w:val="22"/>
          <w:szCs w:val="22"/>
          <w:lang w:val="es-ES"/>
        </w:rPr>
        <w:t>, adoptó un marco estratégico para la creación y desarrollo de capacidad en apoyo a la aplicación del Protocolo de Nagoya que abarca el período hasta 2020. En la misma decisión, se pidió al Secretario Ejecutivo que preparara una evaluación del marco estratégico en 2019 y presentara un informe para consideración de la reunión de las Partes en el Protocolo de Nagoya en 2020 con el fin de facilitar el examen y la posible revisión del marco estratégico en conjunto con el examen del Plan Estratégico para la Diversidad Biológica 2011-2020.</w:t>
      </w:r>
    </w:p>
    <w:p w:rsidR="005874E1" w:rsidRPr="00843F53" w:rsidRDefault="005874E1" w:rsidP="005874E1">
      <w:pPr>
        <w:pStyle w:val="Heading2"/>
        <w:numPr>
          <w:ilvl w:val="0"/>
          <w:numId w:val="27"/>
        </w:numPr>
        <w:rPr>
          <w:rFonts w:eastAsia="Times New Roman" w:cs="Times New Roman"/>
          <w:i w:val="0"/>
          <w:iCs w:val="0"/>
          <w:szCs w:val="22"/>
          <w:lang w:val="es-ES"/>
        </w:rPr>
      </w:pPr>
      <w:r w:rsidRPr="00843F53">
        <w:rPr>
          <w:rFonts w:eastAsia="Times New Roman" w:cs="Times New Roman"/>
          <w:i w:val="0"/>
          <w:iCs w:val="0"/>
          <w:szCs w:val="22"/>
          <w:lang w:val="es-ES"/>
        </w:rPr>
        <w:t>Alcance del proceso para la preparación del marco</w:t>
      </w:r>
    </w:p>
    <w:p w:rsidR="005874E1" w:rsidRPr="00843F53" w:rsidRDefault="005874E1" w:rsidP="005874E1">
      <w:pPr>
        <w:pStyle w:val="Para1"/>
        <w:numPr>
          <w:ilvl w:val="0"/>
          <w:numId w:val="18"/>
        </w:numPr>
        <w:tabs>
          <w:tab w:val="clear" w:pos="360"/>
          <w:tab w:val="num" w:pos="720"/>
        </w:tabs>
        <w:spacing w:before="120"/>
        <w:rPr>
          <w:rFonts w:eastAsia="Times New Roman"/>
          <w:szCs w:val="22"/>
          <w:lang w:val="es-ES"/>
        </w:rPr>
      </w:pPr>
      <w:r w:rsidRPr="00843F53">
        <w:rPr>
          <w:rFonts w:eastAsia="Times New Roman"/>
          <w:szCs w:val="22"/>
          <w:lang w:val="es-ES"/>
        </w:rPr>
        <w:t>El proceso comprenderá las siguientes tareas:</w:t>
      </w:r>
    </w:p>
    <w:p w:rsidR="008D40C0" w:rsidRPr="00843F53" w:rsidRDefault="008D40C0" w:rsidP="008D40C0">
      <w:pPr>
        <w:pStyle w:val="Para1"/>
        <w:numPr>
          <w:ilvl w:val="1"/>
          <w:numId w:val="18"/>
        </w:numPr>
        <w:tabs>
          <w:tab w:val="clear" w:pos="1440"/>
        </w:tabs>
        <w:spacing w:before="60" w:after="60"/>
        <w:ind w:left="0" w:firstLine="720"/>
        <w:rPr>
          <w:rFonts w:eastAsia="Times New Roman"/>
          <w:szCs w:val="22"/>
          <w:lang w:val="es-ES"/>
        </w:rPr>
      </w:pPr>
      <w:r w:rsidRPr="00843F53">
        <w:rPr>
          <w:rFonts w:eastAsia="Times New Roman"/>
          <w:kern w:val="22"/>
          <w:szCs w:val="22"/>
          <w:lang w:val="es-ES"/>
        </w:rPr>
        <w:t>La realización de un estudio para proporcionar una base de conocimientos para la preparación del marco estratégico a largo plazo para la creación de capacidad después de 2020 de conformidad con el mandato que figura en el apéndice 1 del presente</w:t>
      </w:r>
      <w:r w:rsidRPr="00843F53">
        <w:rPr>
          <w:rFonts w:eastAsia="Times New Roman"/>
          <w:szCs w:val="22"/>
          <w:lang w:val="es-ES"/>
        </w:rPr>
        <w:t>;</w:t>
      </w:r>
    </w:p>
    <w:p w:rsidR="004A583C" w:rsidRPr="00843F53" w:rsidRDefault="004A583C" w:rsidP="004A583C">
      <w:pPr>
        <w:pStyle w:val="Para1"/>
        <w:numPr>
          <w:ilvl w:val="1"/>
          <w:numId w:val="18"/>
        </w:numPr>
        <w:tabs>
          <w:tab w:val="clear" w:pos="1440"/>
        </w:tabs>
        <w:spacing w:before="60" w:after="60"/>
        <w:ind w:left="0" w:firstLine="720"/>
        <w:rPr>
          <w:rFonts w:eastAsia="Times New Roman"/>
          <w:szCs w:val="22"/>
          <w:lang w:val="es-ES"/>
        </w:rPr>
      </w:pPr>
      <w:r w:rsidRPr="00843F53">
        <w:rPr>
          <w:rFonts w:eastAsia="Times New Roman"/>
          <w:szCs w:val="22"/>
          <w:lang w:val="es-ES"/>
        </w:rPr>
        <w:t xml:space="preserve">La elaboración de un proyecto de elementos del marco estratégico para la creación de capacidad después de 2020, tomando en cuenta la información aportada en el informe del estudio señalado. El proyecto de elementos incluirá, entre otras cosas, una visión general y una teoría del cambio que defina </w:t>
      </w:r>
      <w:r w:rsidR="000415EB">
        <w:rPr>
          <w:rFonts w:eastAsia="Times New Roman"/>
          <w:szCs w:val="22"/>
          <w:lang w:val="es-ES"/>
        </w:rPr>
        <w:t>valores</w:t>
      </w:r>
      <w:r w:rsidRPr="00843F53">
        <w:rPr>
          <w:rFonts w:eastAsia="Times New Roman"/>
          <w:szCs w:val="22"/>
          <w:lang w:val="es-ES"/>
        </w:rPr>
        <w:t xml:space="preserve"> de referencia y resultados ambiciosos en materia de creación de capacidad a largo plazo para apoyar el</w:t>
      </w:r>
      <w:r w:rsidRPr="00843F53">
        <w:rPr>
          <w:rFonts w:eastAsia="Times New Roman"/>
          <w:kern w:val="22"/>
          <w:szCs w:val="22"/>
          <w:lang w:val="es-ES"/>
        </w:rPr>
        <w:t xml:space="preserve"> cambio transformativo que se requiere para lograr</w:t>
      </w:r>
      <w:r w:rsidRPr="00843F53">
        <w:rPr>
          <w:rFonts w:eastAsia="Times New Roman"/>
          <w:szCs w:val="22"/>
          <w:lang w:val="es-ES"/>
        </w:rPr>
        <w:t xml:space="preserve"> la visión 2050 de “vivir en armonía con la naturaleza”, principios rectores generales, posible </w:t>
      </w:r>
      <w:r w:rsidRPr="00843F53">
        <w:rPr>
          <w:rFonts w:eastAsia="Times New Roman"/>
          <w:kern w:val="22"/>
          <w:szCs w:val="22"/>
          <w:lang w:val="es-ES"/>
        </w:rPr>
        <w:t xml:space="preserve">vías para </w:t>
      </w:r>
      <w:r w:rsidR="000415EB">
        <w:rPr>
          <w:rFonts w:eastAsia="Times New Roman"/>
          <w:kern w:val="22"/>
          <w:szCs w:val="22"/>
          <w:lang w:val="es-ES"/>
        </w:rPr>
        <w:t>una creación</w:t>
      </w:r>
      <w:r w:rsidRPr="00843F53">
        <w:rPr>
          <w:rFonts w:eastAsia="Times New Roman"/>
          <w:kern w:val="22"/>
          <w:szCs w:val="22"/>
          <w:lang w:val="es-ES"/>
        </w:rPr>
        <w:t xml:space="preserve"> de capacidad eficaz </w:t>
      </w:r>
      <w:r w:rsidR="000415EB">
        <w:rPr>
          <w:rFonts w:eastAsia="Times New Roman"/>
          <w:kern w:val="22"/>
          <w:szCs w:val="22"/>
          <w:lang w:val="es-ES"/>
        </w:rPr>
        <w:t>e</w:t>
      </w:r>
      <w:r w:rsidRPr="00843F53">
        <w:rPr>
          <w:rFonts w:eastAsia="Times New Roman"/>
          <w:kern w:val="22"/>
          <w:szCs w:val="22"/>
          <w:lang w:val="es-ES"/>
        </w:rPr>
        <w:t xml:space="preserve"> impactante y un marco de seguimiento y </w:t>
      </w:r>
      <w:r w:rsidRPr="00843F53">
        <w:rPr>
          <w:rFonts w:eastAsia="Times New Roman"/>
          <w:szCs w:val="22"/>
          <w:lang w:val="es-ES"/>
        </w:rPr>
        <w:t>evaluación con posibles indicadores mensurables de los resultados en materia de capacidad a mediano y largo plazo;</w:t>
      </w:r>
    </w:p>
    <w:p w:rsidR="004A583C" w:rsidRPr="00843F53" w:rsidRDefault="004A583C" w:rsidP="004A583C">
      <w:pPr>
        <w:pStyle w:val="Para1"/>
        <w:numPr>
          <w:ilvl w:val="1"/>
          <w:numId w:val="18"/>
        </w:numPr>
        <w:tabs>
          <w:tab w:val="clear" w:pos="1440"/>
        </w:tabs>
        <w:spacing w:before="120" w:after="240"/>
        <w:ind w:left="0" w:firstLine="720"/>
        <w:rPr>
          <w:rFonts w:eastAsia="Times New Roman"/>
          <w:szCs w:val="22"/>
          <w:lang w:val="es-ES"/>
        </w:rPr>
      </w:pPr>
      <w:r w:rsidRPr="00843F53">
        <w:rPr>
          <w:rFonts w:eastAsia="Times New Roman"/>
          <w:szCs w:val="22"/>
          <w:lang w:val="es-ES"/>
        </w:rPr>
        <w:t>La organización de talleres consultivos regionales y foros de debate en línea, realizados conjuntamente con el proceso del marco mundial de la diversidad biológica posterior a 2020.</w:t>
      </w:r>
    </w:p>
    <w:p w:rsidR="00165E6A" w:rsidRPr="00843F53" w:rsidRDefault="00165E6A" w:rsidP="00165E6A">
      <w:pPr>
        <w:pStyle w:val="Para1"/>
        <w:numPr>
          <w:ilvl w:val="0"/>
          <w:numId w:val="18"/>
        </w:numPr>
        <w:tabs>
          <w:tab w:val="clear" w:pos="360"/>
          <w:tab w:val="num" w:pos="720"/>
        </w:tabs>
        <w:spacing w:before="120"/>
        <w:rPr>
          <w:rFonts w:eastAsia="Times New Roman"/>
          <w:szCs w:val="22"/>
          <w:lang w:val="es-ES"/>
        </w:rPr>
      </w:pPr>
      <w:r w:rsidRPr="00843F53">
        <w:rPr>
          <w:rFonts w:eastAsia="Times New Roman"/>
          <w:szCs w:val="22"/>
          <w:lang w:val="es-ES"/>
        </w:rPr>
        <w:t xml:space="preserve">Con sujeción a la disponibilidad de financiación, se contratará a una empresa consultora para que lleve a cabo el estudio y prepare un proyecto de informe del estudio, así como un proyecto de elementos </w:t>
      </w:r>
      <w:r w:rsidRPr="00843F53">
        <w:rPr>
          <w:rFonts w:eastAsia="Times New Roman"/>
          <w:szCs w:val="22"/>
          <w:lang w:val="es-ES"/>
        </w:rPr>
        <w:lastRenderedPageBreak/>
        <w:t xml:space="preserve">para el marco estratégico para la creación de capacidad después de 2020. Los proyectos se tratarán en los talleres consultivos regionales y los foros de debate en línea que organizarán la Secretaría y organizaciones pertinentes conjuntamente con el proceso del marco mundial de la diversidad biológica posterior a 2020. La empresa consultora incorporará los insumos aportados a través de los talleres consultivos y los foros de debate en línea en el proyecto definitivo de marco estratégico </w:t>
      </w:r>
      <w:r w:rsidR="001902D3">
        <w:rPr>
          <w:rFonts w:eastAsia="Times New Roman"/>
          <w:szCs w:val="22"/>
          <w:lang w:val="es-ES"/>
        </w:rPr>
        <w:t>para la</w:t>
      </w:r>
      <w:r w:rsidRPr="00843F53">
        <w:rPr>
          <w:rFonts w:eastAsia="Times New Roman"/>
          <w:szCs w:val="22"/>
          <w:lang w:val="es-ES"/>
        </w:rPr>
        <w:t xml:space="preserve"> creación de capacidad que se presentar</w:t>
      </w:r>
      <w:r w:rsidR="001902D3">
        <w:rPr>
          <w:rFonts w:eastAsia="Times New Roman"/>
          <w:szCs w:val="22"/>
          <w:lang w:val="es-ES"/>
        </w:rPr>
        <w:t>á</w:t>
      </w:r>
      <w:r w:rsidRPr="00843F53">
        <w:rPr>
          <w:rFonts w:eastAsia="Times New Roman"/>
          <w:szCs w:val="22"/>
          <w:lang w:val="es-ES"/>
        </w:rPr>
        <w:t xml:space="preserve"> luego al Órgano Subsidiario sobre la Aplicación para que lo considere en su tercera reunión y por último a la Conferencia de las Partes para que lo considere en su 15ª reunión.</w:t>
      </w:r>
    </w:p>
    <w:p w:rsidR="00165E6A" w:rsidRPr="00843F53" w:rsidRDefault="00165E6A" w:rsidP="00165E6A">
      <w:pPr>
        <w:pStyle w:val="Heading2"/>
        <w:rPr>
          <w:rFonts w:eastAsia="Times New Roman" w:cs="Times New Roman"/>
          <w:bCs w:val="0"/>
          <w:i w:val="0"/>
          <w:iCs w:val="0"/>
          <w:szCs w:val="22"/>
          <w:lang w:val="es-ES"/>
        </w:rPr>
      </w:pPr>
      <w:r w:rsidRPr="00843F53">
        <w:rPr>
          <w:rFonts w:eastAsia="Times New Roman" w:cs="Times New Roman"/>
          <w:bCs w:val="0"/>
          <w:i w:val="0"/>
          <w:iCs w:val="0"/>
          <w:szCs w:val="22"/>
          <w:lang w:val="es-ES"/>
        </w:rPr>
        <w:t>C.</w:t>
      </w:r>
      <w:r w:rsidRPr="00843F53">
        <w:rPr>
          <w:rFonts w:eastAsia="Times New Roman" w:cs="Times New Roman"/>
          <w:bCs w:val="0"/>
          <w:i w:val="0"/>
          <w:iCs w:val="0"/>
          <w:szCs w:val="22"/>
          <w:lang w:val="es-ES"/>
        </w:rPr>
        <w:tab/>
        <w:t>Cronograma indicativo de actividades</w:t>
      </w:r>
    </w:p>
    <w:p w:rsidR="00E203B7" w:rsidRPr="00843F53" w:rsidRDefault="00546D1D" w:rsidP="00546D1D">
      <w:pPr>
        <w:pStyle w:val="Para1"/>
        <w:numPr>
          <w:ilvl w:val="0"/>
          <w:numId w:val="18"/>
        </w:numPr>
        <w:tabs>
          <w:tab w:val="clear" w:pos="360"/>
          <w:tab w:val="num" w:pos="720"/>
        </w:tabs>
        <w:spacing w:before="120" w:after="240"/>
        <w:rPr>
          <w:rFonts w:eastAsia="Times New Roman"/>
          <w:szCs w:val="22"/>
          <w:lang w:val="es-ES"/>
        </w:rPr>
      </w:pPr>
      <w:r w:rsidRPr="00843F53">
        <w:rPr>
          <w:rFonts w:eastAsia="Times New Roman"/>
          <w:szCs w:val="22"/>
          <w:lang w:val="es-ES"/>
        </w:rPr>
        <w:t xml:space="preserve">El proceso de preparación de un marco estratégico a largo plazo para la creación de capacidad después de 2020 incluirá las siguientes actividades, armonizadas con el calendario para </w:t>
      </w:r>
      <w:r w:rsidR="000415EB">
        <w:rPr>
          <w:rFonts w:eastAsia="Times New Roman"/>
          <w:szCs w:val="22"/>
          <w:lang w:val="es-ES"/>
        </w:rPr>
        <w:t>el desarrollo</w:t>
      </w:r>
      <w:r w:rsidRPr="00843F53">
        <w:rPr>
          <w:rFonts w:eastAsia="Times New Roman"/>
          <w:szCs w:val="22"/>
          <w:lang w:val="es-ES"/>
        </w:rPr>
        <w:t xml:space="preserve"> del instrumento sucesor del Plan Estratégico para la Diversidad Biológica 2011-2020:</w:t>
      </w:r>
    </w:p>
    <w:tbl>
      <w:tblPr>
        <w:tblW w:w="9747" w:type="dxa"/>
        <w:tblCellMar>
          <w:left w:w="28" w:type="dxa"/>
          <w:right w:w="28" w:type="dxa"/>
        </w:tblCellMar>
        <w:tblLook w:val="01E0"/>
      </w:tblPr>
      <w:tblGrid>
        <w:gridCol w:w="4928"/>
        <w:gridCol w:w="2126"/>
        <w:gridCol w:w="2693"/>
      </w:tblGrid>
      <w:tr w:rsidR="00564E8B" w:rsidRPr="00843F53" w:rsidTr="003E1E92">
        <w:trPr>
          <w:tblHeader/>
        </w:trPr>
        <w:tc>
          <w:tcPr>
            <w:tcW w:w="4928" w:type="dxa"/>
          </w:tcPr>
          <w:p w:rsidR="00546D1D" w:rsidRPr="00843F53" w:rsidRDefault="00546D1D" w:rsidP="00546D1D">
            <w:pPr>
              <w:pStyle w:val="Para1"/>
              <w:spacing w:after="0"/>
              <w:jc w:val="center"/>
              <w:rPr>
                <w:rFonts w:eastAsia="Times New Roman"/>
                <w:szCs w:val="22"/>
              </w:rPr>
            </w:pPr>
            <w:r w:rsidRPr="00843F53">
              <w:rPr>
                <w:rFonts w:eastAsia="Times New Roman"/>
                <w:i/>
                <w:szCs w:val="22"/>
                <w:lang w:val="es-ES"/>
              </w:rPr>
              <w:t>Actividad/Tarea</w:t>
            </w:r>
          </w:p>
          <w:p w:rsidR="00564E8B" w:rsidRPr="00843F53" w:rsidRDefault="00564E8B" w:rsidP="00546D1D">
            <w:pPr>
              <w:pStyle w:val="Para1"/>
              <w:spacing w:after="0"/>
              <w:jc w:val="center"/>
              <w:rPr>
                <w:i/>
                <w:szCs w:val="22"/>
                <w:lang w:val="es-ES"/>
              </w:rPr>
            </w:pPr>
          </w:p>
        </w:tc>
        <w:tc>
          <w:tcPr>
            <w:tcW w:w="2126" w:type="dxa"/>
          </w:tcPr>
          <w:p w:rsidR="00564E8B" w:rsidRPr="00843F53" w:rsidRDefault="00546D1D" w:rsidP="00546D1D">
            <w:pPr>
              <w:pStyle w:val="Para1"/>
              <w:spacing w:before="60" w:after="60"/>
              <w:jc w:val="center"/>
              <w:rPr>
                <w:rFonts w:eastAsia="Times New Roman"/>
                <w:szCs w:val="22"/>
              </w:rPr>
            </w:pPr>
            <w:r w:rsidRPr="00843F53">
              <w:rPr>
                <w:rFonts w:eastAsia="Times New Roman"/>
                <w:i/>
                <w:szCs w:val="22"/>
                <w:lang w:val="es-ES"/>
              </w:rPr>
              <w:t>Marco temporal</w:t>
            </w:r>
          </w:p>
        </w:tc>
        <w:tc>
          <w:tcPr>
            <w:tcW w:w="2693" w:type="dxa"/>
          </w:tcPr>
          <w:p w:rsidR="00564E8B" w:rsidRPr="00843F53" w:rsidRDefault="00546D1D" w:rsidP="00546D1D">
            <w:pPr>
              <w:pStyle w:val="Para1"/>
              <w:spacing w:before="60" w:after="60"/>
              <w:jc w:val="center"/>
              <w:rPr>
                <w:rFonts w:eastAsia="Times New Roman"/>
                <w:szCs w:val="22"/>
              </w:rPr>
            </w:pPr>
            <w:r w:rsidRPr="00843F53">
              <w:rPr>
                <w:rFonts w:eastAsia="Times New Roman"/>
                <w:i/>
                <w:szCs w:val="22"/>
                <w:lang w:val="es-ES"/>
              </w:rPr>
              <w:t>Responsabilidad</w:t>
            </w:r>
          </w:p>
        </w:tc>
      </w:tr>
      <w:tr w:rsidR="004553EE" w:rsidRPr="00843F53" w:rsidTr="003E1E92">
        <w:tc>
          <w:tcPr>
            <w:tcW w:w="4928" w:type="dxa"/>
          </w:tcPr>
          <w:p w:rsidR="004553EE" w:rsidRPr="00843F53" w:rsidRDefault="00546D1D" w:rsidP="001902D3">
            <w:pPr>
              <w:pStyle w:val="Para1"/>
              <w:numPr>
                <w:ilvl w:val="0"/>
                <w:numId w:val="19"/>
              </w:numPr>
              <w:spacing w:before="60" w:after="60"/>
              <w:jc w:val="left"/>
              <w:rPr>
                <w:rFonts w:eastAsia="Times New Roman"/>
                <w:szCs w:val="22"/>
              </w:rPr>
            </w:pPr>
            <w:r w:rsidRPr="00843F53">
              <w:rPr>
                <w:rFonts w:eastAsia="Times New Roman"/>
                <w:szCs w:val="22"/>
                <w:lang w:val="es-ES"/>
              </w:rPr>
              <w:t xml:space="preserve">Invitación a las Partes, pueblos indígenas y comunidades locales y organizaciones pertinentes a que presenten información sobre necesidades y prioridades de creación de capacidad, lecciones aprendidas y experiencias pertinentes, así como opiniones y sugerencias sobre los posibles elementos del marco estratégico </w:t>
            </w:r>
            <w:r w:rsidR="001902D3">
              <w:rPr>
                <w:rFonts w:eastAsia="Times New Roman"/>
                <w:szCs w:val="22"/>
                <w:lang w:val="es-ES"/>
              </w:rPr>
              <w:t>para la</w:t>
            </w:r>
            <w:r w:rsidRPr="00843F53">
              <w:rPr>
                <w:rFonts w:eastAsia="Times New Roman"/>
                <w:szCs w:val="22"/>
                <w:lang w:val="es-ES"/>
              </w:rPr>
              <w:t xml:space="preserve"> creación de capacidad después de 2020, complementando la información brindada a tr</w:t>
            </w:r>
            <w:r w:rsidR="003C546F">
              <w:rPr>
                <w:rFonts w:eastAsia="Times New Roman"/>
                <w:szCs w:val="22"/>
                <w:lang w:val="es-ES"/>
              </w:rPr>
              <w:t>avés de los informes nacionales</w:t>
            </w:r>
          </w:p>
        </w:tc>
        <w:tc>
          <w:tcPr>
            <w:tcW w:w="2126" w:type="dxa"/>
            <w:tcMar>
              <w:left w:w="57" w:type="dxa"/>
              <w:right w:w="28" w:type="dxa"/>
            </w:tcMar>
          </w:tcPr>
          <w:p w:rsidR="004553EE" w:rsidRPr="00843F53" w:rsidRDefault="00546D1D" w:rsidP="00557139">
            <w:pPr>
              <w:pStyle w:val="Para1"/>
              <w:spacing w:before="60" w:after="60"/>
              <w:jc w:val="left"/>
              <w:rPr>
                <w:rFonts w:eastAsia="Times New Roman"/>
                <w:szCs w:val="22"/>
              </w:rPr>
            </w:pPr>
            <w:r w:rsidRPr="00843F53">
              <w:rPr>
                <w:rFonts w:eastAsia="Times New Roman"/>
                <w:szCs w:val="22"/>
                <w:lang w:val="es-ES"/>
              </w:rPr>
              <w:t>agosto-noviembre 2018</w:t>
            </w:r>
          </w:p>
        </w:tc>
        <w:tc>
          <w:tcPr>
            <w:tcW w:w="2693" w:type="dxa"/>
          </w:tcPr>
          <w:p w:rsidR="004553EE" w:rsidRPr="00843F53" w:rsidRDefault="00546D1D" w:rsidP="00546D1D">
            <w:pPr>
              <w:pStyle w:val="Para1"/>
              <w:spacing w:before="60" w:after="60"/>
              <w:jc w:val="left"/>
              <w:rPr>
                <w:rFonts w:eastAsia="Times New Roman"/>
                <w:szCs w:val="22"/>
              </w:rPr>
            </w:pPr>
            <w:r w:rsidRPr="00843F53">
              <w:rPr>
                <w:rFonts w:eastAsia="Times New Roman"/>
                <w:szCs w:val="22"/>
                <w:lang w:val="es-ES"/>
              </w:rPr>
              <w:t>Secretaría; Partes; pueblos indígenas y comunidades locales; y organizaciones pertinentes</w:t>
            </w:r>
          </w:p>
        </w:tc>
      </w:tr>
      <w:tr w:rsidR="00996B21" w:rsidRPr="00843F53" w:rsidTr="003E1E92">
        <w:tc>
          <w:tcPr>
            <w:tcW w:w="4928" w:type="dxa"/>
          </w:tcPr>
          <w:p w:rsidR="00996B21" w:rsidRPr="00843F53" w:rsidRDefault="00546D1D" w:rsidP="00546D1D">
            <w:pPr>
              <w:pStyle w:val="Para1"/>
              <w:numPr>
                <w:ilvl w:val="0"/>
                <w:numId w:val="19"/>
              </w:numPr>
              <w:spacing w:before="60" w:after="60"/>
              <w:jc w:val="left"/>
              <w:rPr>
                <w:rFonts w:eastAsia="Times New Roman"/>
                <w:szCs w:val="22"/>
              </w:rPr>
            </w:pPr>
            <w:r w:rsidRPr="00843F53">
              <w:rPr>
                <w:rFonts w:eastAsia="Times New Roman"/>
                <w:szCs w:val="22"/>
                <w:lang w:val="es-ES"/>
              </w:rPr>
              <w:t>Presentación de los informes nacionales</w:t>
            </w:r>
          </w:p>
        </w:tc>
        <w:tc>
          <w:tcPr>
            <w:tcW w:w="2126" w:type="dxa"/>
            <w:tcMar>
              <w:left w:w="57" w:type="dxa"/>
              <w:right w:w="28" w:type="dxa"/>
            </w:tcMar>
          </w:tcPr>
          <w:p w:rsidR="00996B21" w:rsidRPr="00843F53" w:rsidRDefault="00546D1D" w:rsidP="00557139">
            <w:pPr>
              <w:pStyle w:val="Para1"/>
              <w:spacing w:before="60" w:after="60"/>
              <w:jc w:val="left"/>
              <w:rPr>
                <w:rFonts w:eastAsia="Times New Roman"/>
                <w:szCs w:val="22"/>
              </w:rPr>
            </w:pPr>
            <w:r w:rsidRPr="00843F53">
              <w:rPr>
                <w:rFonts w:eastAsia="Times New Roman"/>
                <w:szCs w:val="22"/>
                <w:lang w:val="es-ES"/>
              </w:rPr>
              <w:t>diciembre 2018</w:t>
            </w:r>
          </w:p>
        </w:tc>
        <w:tc>
          <w:tcPr>
            <w:tcW w:w="2693" w:type="dxa"/>
          </w:tcPr>
          <w:p w:rsidR="00996B21" w:rsidRPr="00843F53" w:rsidRDefault="00546D1D" w:rsidP="00546D1D">
            <w:pPr>
              <w:pStyle w:val="Para1"/>
              <w:spacing w:before="60" w:after="60"/>
              <w:jc w:val="left"/>
              <w:rPr>
                <w:rFonts w:eastAsia="Times New Roman"/>
                <w:szCs w:val="22"/>
              </w:rPr>
            </w:pPr>
            <w:r w:rsidRPr="00843F53">
              <w:rPr>
                <w:rFonts w:eastAsia="Times New Roman"/>
                <w:szCs w:val="22"/>
                <w:lang w:val="es-ES"/>
              </w:rPr>
              <w:t>Partes</w:t>
            </w:r>
          </w:p>
        </w:tc>
      </w:tr>
      <w:tr w:rsidR="00721D84" w:rsidRPr="00843F53" w:rsidTr="003E1E92">
        <w:tc>
          <w:tcPr>
            <w:tcW w:w="4928" w:type="dxa"/>
          </w:tcPr>
          <w:p w:rsidR="00721D84" w:rsidRPr="00843F53" w:rsidRDefault="00546D1D" w:rsidP="003C546F">
            <w:pPr>
              <w:pStyle w:val="Para1"/>
              <w:numPr>
                <w:ilvl w:val="0"/>
                <w:numId w:val="19"/>
              </w:numPr>
              <w:spacing w:before="60" w:after="60"/>
              <w:jc w:val="left"/>
              <w:rPr>
                <w:szCs w:val="22"/>
                <w:lang w:val="es-ES"/>
              </w:rPr>
            </w:pPr>
            <w:r w:rsidRPr="00843F53">
              <w:rPr>
                <w:rFonts w:eastAsia="Times New Roman"/>
                <w:szCs w:val="22"/>
                <w:lang w:val="es-ES"/>
              </w:rPr>
              <w:t xml:space="preserve">Evaluación independiente de </w:t>
            </w:r>
            <w:r w:rsidR="00727230" w:rsidRPr="00843F53">
              <w:rPr>
                <w:rFonts w:eastAsia="Times New Roman"/>
                <w:szCs w:val="22"/>
                <w:lang w:val="es-ES"/>
              </w:rPr>
              <w:t>l</w:t>
            </w:r>
            <w:r w:rsidR="00727230">
              <w:rPr>
                <w:rFonts w:eastAsia="Times New Roman"/>
                <w:szCs w:val="22"/>
                <w:lang w:val="es-ES"/>
              </w:rPr>
              <w:t>a</w:t>
            </w:r>
            <w:r w:rsidR="00727230" w:rsidRPr="00843F53">
              <w:rPr>
                <w:rFonts w:eastAsia="Times New Roman"/>
                <w:szCs w:val="22"/>
                <w:lang w:val="es-ES"/>
              </w:rPr>
              <w:t xml:space="preserve">s </w:t>
            </w:r>
            <w:r w:rsidR="00727230">
              <w:rPr>
                <w:rFonts w:eastAsia="Times New Roman"/>
                <w:szCs w:val="22"/>
                <w:lang w:val="es-ES"/>
              </w:rPr>
              <w:t>r</w:t>
            </w:r>
            <w:r w:rsidR="00727230" w:rsidRPr="00843F53">
              <w:rPr>
                <w:rFonts w:eastAsia="Times New Roman"/>
                <w:szCs w:val="22"/>
                <w:lang w:val="es-ES"/>
              </w:rPr>
              <w:t>e</w:t>
            </w:r>
            <w:r w:rsidR="00727230">
              <w:rPr>
                <w:rFonts w:eastAsia="Times New Roman"/>
                <w:szCs w:val="22"/>
                <w:lang w:val="es-ES"/>
              </w:rPr>
              <w:t>per</w:t>
            </w:r>
            <w:r w:rsidR="00727230" w:rsidRPr="00843F53">
              <w:rPr>
                <w:rFonts w:eastAsia="Times New Roman"/>
                <w:szCs w:val="22"/>
                <w:lang w:val="es-ES"/>
              </w:rPr>
              <w:t>c</w:t>
            </w:r>
            <w:r w:rsidR="00727230">
              <w:rPr>
                <w:rFonts w:eastAsia="Times New Roman"/>
                <w:szCs w:val="22"/>
                <w:lang w:val="es-ES"/>
              </w:rPr>
              <w:t>usi</w:t>
            </w:r>
            <w:r w:rsidR="00727230" w:rsidRPr="00843F53">
              <w:rPr>
                <w:rFonts w:eastAsia="Times New Roman"/>
                <w:szCs w:val="22"/>
                <w:lang w:val="es-ES"/>
              </w:rPr>
              <w:t>o</w:t>
            </w:r>
            <w:r w:rsidR="00727230">
              <w:rPr>
                <w:rFonts w:eastAsia="Times New Roman"/>
                <w:szCs w:val="22"/>
                <w:lang w:val="es-ES"/>
              </w:rPr>
              <w:t>ne</w:t>
            </w:r>
            <w:r w:rsidR="00727230" w:rsidRPr="00843F53">
              <w:rPr>
                <w:rFonts w:eastAsia="Times New Roman"/>
                <w:szCs w:val="22"/>
                <w:lang w:val="es-ES"/>
              </w:rPr>
              <w:t>s</w:t>
            </w:r>
            <w:r w:rsidRPr="00843F53">
              <w:rPr>
                <w:rFonts w:eastAsia="Times New Roman"/>
                <w:szCs w:val="22"/>
                <w:lang w:val="es-ES"/>
              </w:rPr>
              <w:t xml:space="preserve">, </w:t>
            </w:r>
            <w:r w:rsidR="00727230">
              <w:rPr>
                <w:rFonts w:eastAsia="Times New Roman"/>
                <w:szCs w:val="22"/>
                <w:lang w:val="es-ES"/>
              </w:rPr>
              <w:t xml:space="preserve">los </w:t>
            </w:r>
            <w:r w:rsidRPr="00843F53">
              <w:rPr>
                <w:rFonts w:eastAsia="Times New Roman"/>
                <w:szCs w:val="22"/>
                <w:lang w:val="es-ES"/>
              </w:rPr>
              <w:t xml:space="preserve">resultados y </w:t>
            </w:r>
            <w:r w:rsidR="00727230">
              <w:rPr>
                <w:rFonts w:eastAsia="Times New Roman"/>
                <w:szCs w:val="22"/>
                <w:lang w:val="es-ES"/>
              </w:rPr>
              <w:t xml:space="preserve">la </w:t>
            </w:r>
            <w:r w:rsidRPr="00843F53">
              <w:rPr>
                <w:rFonts w:eastAsia="Times New Roman"/>
                <w:szCs w:val="22"/>
                <w:lang w:val="es-ES"/>
              </w:rPr>
              <w:t xml:space="preserve">eficacia </w:t>
            </w:r>
            <w:r w:rsidR="0013363E" w:rsidRPr="00843F53">
              <w:rPr>
                <w:rFonts w:eastAsia="Times New Roman"/>
                <w:szCs w:val="22"/>
                <w:lang w:val="es-ES"/>
              </w:rPr>
              <w:t>d</w:t>
            </w:r>
            <w:r w:rsidRPr="00843F53">
              <w:rPr>
                <w:rFonts w:eastAsia="Times New Roman"/>
                <w:szCs w:val="22"/>
                <w:lang w:val="es-ES"/>
              </w:rPr>
              <w:t>el plan de acción a corto plazo (2017-2020) para mejorar y apoyar la creación de capacidad para la aplicación del Convenio y sus Protocolos</w:t>
            </w:r>
          </w:p>
        </w:tc>
        <w:tc>
          <w:tcPr>
            <w:tcW w:w="2126" w:type="dxa"/>
            <w:tcMar>
              <w:left w:w="57" w:type="dxa"/>
              <w:right w:w="28" w:type="dxa"/>
            </w:tcMar>
          </w:tcPr>
          <w:p w:rsidR="00721D84" w:rsidRPr="00843F53" w:rsidRDefault="00546D1D" w:rsidP="00557139">
            <w:pPr>
              <w:pStyle w:val="Para1"/>
              <w:spacing w:before="60" w:after="60"/>
              <w:jc w:val="left"/>
              <w:rPr>
                <w:rFonts w:eastAsia="Times New Roman"/>
                <w:szCs w:val="22"/>
              </w:rPr>
            </w:pPr>
            <w:r w:rsidRPr="00843F53">
              <w:rPr>
                <w:rFonts w:eastAsia="Times New Roman"/>
                <w:szCs w:val="22"/>
                <w:lang w:val="es-ES"/>
              </w:rPr>
              <w:t>enero-mayo de 2019</w:t>
            </w:r>
          </w:p>
        </w:tc>
        <w:tc>
          <w:tcPr>
            <w:tcW w:w="2693" w:type="dxa"/>
          </w:tcPr>
          <w:p w:rsidR="00721D84" w:rsidRPr="00843F53" w:rsidRDefault="00546D1D" w:rsidP="00546D1D">
            <w:pPr>
              <w:pStyle w:val="Para1"/>
              <w:spacing w:before="60" w:after="60"/>
              <w:rPr>
                <w:rFonts w:eastAsia="Times New Roman"/>
                <w:szCs w:val="22"/>
              </w:rPr>
            </w:pPr>
            <w:r w:rsidRPr="00843F53">
              <w:rPr>
                <w:rFonts w:eastAsia="Times New Roman"/>
                <w:szCs w:val="22"/>
                <w:lang w:val="es-ES"/>
              </w:rPr>
              <w:t>Consultor</w:t>
            </w:r>
          </w:p>
        </w:tc>
      </w:tr>
      <w:tr w:rsidR="00721D84" w:rsidRPr="00843F53" w:rsidTr="003E1E92">
        <w:tc>
          <w:tcPr>
            <w:tcW w:w="4928" w:type="dxa"/>
          </w:tcPr>
          <w:p w:rsidR="00721D84" w:rsidRPr="00843F53" w:rsidRDefault="00546D1D" w:rsidP="00546D1D">
            <w:pPr>
              <w:pStyle w:val="Para1"/>
              <w:numPr>
                <w:ilvl w:val="0"/>
                <w:numId w:val="19"/>
              </w:numPr>
              <w:spacing w:before="60" w:after="60"/>
              <w:jc w:val="left"/>
              <w:rPr>
                <w:rFonts w:eastAsia="Times New Roman"/>
                <w:szCs w:val="22"/>
              </w:rPr>
            </w:pPr>
            <w:r w:rsidRPr="00843F53">
              <w:rPr>
                <w:rFonts w:eastAsia="Times New Roman"/>
                <w:szCs w:val="22"/>
                <w:lang w:val="es-ES"/>
              </w:rPr>
              <w:t>Realización de un estudio que proporcione una base de conocimientos para la preparación del marco estratégico a largo plazo para la creación de capacidad después de 2020, incluido</w:t>
            </w:r>
            <w:r w:rsidR="003E1E92">
              <w:rPr>
                <w:rFonts w:eastAsia="Times New Roman"/>
                <w:szCs w:val="22"/>
                <w:lang w:val="es-ES"/>
              </w:rPr>
              <w:t>s</w:t>
            </w:r>
            <w:r w:rsidRPr="00843F53">
              <w:rPr>
                <w:rFonts w:eastAsia="Times New Roman"/>
                <w:szCs w:val="22"/>
                <w:lang w:val="es-ES"/>
              </w:rPr>
              <w:t xml:space="preserve"> un examen documental de informes y documentos pertinentes, una síntesis de la información aportada por las Partes, los pueblos indígenas y las comunidades locales y organizaciones pertinentes y encuestas/entrevistas a interesados directos clave</w:t>
            </w:r>
          </w:p>
        </w:tc>
        <w:tc>
          <w:tcPr>
            <w:tcW w:w="2126" w:type="dxa"/>
            <w:tcMar>
              <w:left w:w="57" w:type="dxa"/>
              <w:right w:w="28" w:type="dxa"/>
            </w:tcMar>
          </w:tcPr>
          <w:p w:rsidR="00721D84" w:rsidRPr="00843F53" w:rsidRDefault="00546D1D" w:rsidP="00557139">
            <w:pPr>
              <w:pStyle w:val="Para1"/>
              <w:spacing w:before="60" w:after="60"/>
              <w:jc w:val="left"/>
              <w:rPr>
                <w:rFonts w:eastAsia="Times New Roman"/>
                <w:szCs w:val="22"/>
              </w:rPr>
            </w:pPr>
            <w:r w:rsidRPr="00843F53">
              <w:rPr>
                <w:rFonts w:eastAsia="Times New Roman"/>
                <w:szCs w:val="22"/>
                <w:lang w:val="es-ES"/>
              </w:rPr>
              <w:t>enero-abril de 2019</w:t>
            </w:r>
          </w:p>
        </w:tc>
        <w:tc>
          <w:tcPr>
            <w:tcW w:w="2693" w:type="dxa"/>
          </w:tcPr>
          <w:p w:rsidR="00721D84" w:rsidRPr="00843F53" w:rsidRDefault="00546D1D" w:rsidP="00546D1D">
            <w:pPr>
              <w:pStyle w:val="Para1"/>
              <w:spacing w:before="60" w:after="60"/>
              <w:rPr>
                <w:rFonts w:eastAsia="Times New Roman"/>
                <w:szCs w:val="22"/>
              </w:rPr>
            </w:pPr>
            <w:r w:rsidRPr="00843F53">
              <w:rPr>
                <w:rFonts w:eastAsia="Times New Roman"/>
                <w:szCs w:val="22"/>
                <w:lang w:val="es-ES"/>
              </w:rPr>
              <w:t>Consultor</w:t>
            </w:r>
          </w:p>
        </w:tc>
      </w:tr>
      <w:tr w:rsidR="00721D84" w:rsidRPr="00843F53" w:rsidTr="003E1E92">
        <w:tc>
          <w:tcPr>
            <w:tcW w:w="4928" w:type="dxa"/>
          </w:tcPr>
          <w:p w:rsidR="00721D84" w:rsidRPr="00843F53" w:rsidRDefault="00546D1D" w:rsidP="005E3E85">
            <w:pPr>
              <w:pStyle w:val="Para1"/>
              <w:numPr>
                <w:ilvl w:val="0"/>
                <w:numId w:val="19"/>
              </w:numPr>
              <w:spacing w:before="60" w:after="60"/>
              <w:jc w:val="left"/>
              <w:rPr>
                <w:rFonts w:eastAsia="Times New Roman"/>
                <w:szCs w:val="22"/>
              </w:rPr>
            </w:pPr>
            <w:r w:rsidRPr="00843F53">
              <w:rPr>
                <w:rFonts w:eastAsia="Times New Roman"/>
                <w:szCs w:val="22"/>
                <w:lang w:val="es-ES"/>
              </w:rPr>
              <w:t>Preparación de un proyecto de informe de</w:t>
            </w:r>
            <w:r w:rsidR="005E3E85">
              <w:rPr>
                <w:rFonts w:eastAsia="Times New Roman"/>
                <w:szCs w:val="22"/>
                <w:lang w:val="es-ES"/>
              </w:rPr>
              <w:t>l</w:t>
            </w:r>
            <w:r w:rsidRPr="00843F53">
              <w:rPr>
                <w:rFonts w:eastAsia="Times New Roman"/>
                <w:szCs w:val="22"/>
                <w:lang w:val="es-ES"/>
              </w:rPr>
              <w:t xml:space="preserve"> estudio sobre la base de los aportes </w:t>
            </w:r>
            <w:r w:rsidR="005E3E85">
              <w:rPr>
                <w:rFonts w:eastAsia="Times New Roman"/>
                <w:szCs w:val="22"/>
                <w:lang w:val="es-ES"/>
              </w:rPr>
              <w:t>recibidos de</w:t>
            </w:r>
            <w:r w:rsidRPr="00843F53">
              <w:rPr>
                <w:rFonts w:eastAsia="Times New Roman"/>
                <w:szCs w:val="22"/>
                <w:lang w:val="es-ES"/>
              </w:rPr>
              <w:t xml:space="preserve"> las Partes, los pueblos indígenas y las comunidades locales y organizaciones e interesados directos pertinentes y el examen de los informes nacionales y otros documentos pertinentes</w:t>
            </w:r>
          </w:p>
        </w:tc>
        <w:tc>
          <w:tcPr>
            <w:tcW w:w="2126" w:type="dxa"/>
            <w:tcMar>
              <w:left w:w="57" w:type="dxa"/>
              <w:right w:w="28" w:type="dxa"/>
            </w:tcMar>
          </w:tcPr>
          <w:p w:rsidR="00721D84" w:rsidRPr="00843F53" w:rsidRDefault="00546D1D" w:rsidP="00557139">
            <w:pPr>
              <w:pStyle w:val="Para1"/>
              <w:spacing w:before="60" w:after="60"/>
              <w:jc w:val="left"/>
              <w:rPr>
                <w:rFonts w:eastAsia="Times New Roman"/>
                <w:szCs w:val="22"/>
              </w:rPr>
            </w:pPr>
            <w:r w:rsidRPr="00843F53">
              <w:rPr>
                <w:rFonts w:eastAsia="Times New Roman"/>
                <w:szCs w:val="22"/>
                <w:lang w:val="es-ES"/>
              </w:rPr>
              <w:t>abril-mayo de 2019</w:t>
            </w:r>
          </w:p>
        </w:tc>
        <w:tc>
          <w:tcPr>
            <w:tcW w:w="2693" w:type="dxa"/>
          </w:tcPr>
          <w:p w:rsidR="00721D84" w:rsidRPr="00843F53" w:rsidRDefault="00546D1D" w:rsidP="00546D1D">
            <w:pPr>
              <w:pStyle w:val="Para1"/>
              <w:spacing w:before="60" w:after="60"/>
              <w:jc w:val="left"/>
              <w:rPr>
                <w:rFonts w:eastAsia="Times New Roman"/>
                <w:szCs w:val="22"/>
              </w:rPr>
            </w:pPr>
            <w:r w:rsidRPr="00843F53">
              <w:rPr>
                <w:rFonts w:eastAsia="Times New Roman"/>
                <w:szCs w:val="22"/>
                <w:lang w:val="es-ES"/>
              </w:rPr>
              <w:t>Consultor; Secretaría</w:t>
            </w:r>
          </w:p>
        </w:tc>
      </w:tr>
      <w:tr w:rsidR="00627A4D" w:rsidRPr="00843F53" w:rsidTr="003E1E92">
        <w:tc>
          <w:tcPr>
            <w:tcW w:w="4928" w:type="dxa"/>
          </w:tcPr>
          <w:p w:rsidR="00627A4D" w:rsidRPr="00843F53" w:rsidRDefault="00546D1D" w:rsidP="001902D3">
            <w:pPr>
              <w:pStyle w:val="Para1"/>
              <w:numPr>
                <w:ilvl w:val="0"/>
                <w:numId w:val="19"/>
              </w:numPr>
              <w:spacing w:before="60" w:after="60"/>
              <w:jc w:val="left"/>
              <w:rPr>
                <w:rFonts w:eastAsia="Times New Roman"/>
                <w:szCs w:val="22"/>
              </w:rPr>
            </w:pPr>
            <w:r w:rsidRPr="00843F53">
              <w:rPr>
                <w:rFonts w:eastAsia="Times New Roman"/>
                <w:szCs w:val="22"/>
                <w:lang w:val="es-ES"/>
              </w:rPr>
              <w:t xml:space="preserve">Preparación del proyecto de elementos del marco estratégico </w:t>
            </w:r>
            <w:r w:rsidR="001902D3">
              <w:rPr>
                <w:rFonts w:eastAsia="Times New Roman"/>
                <w:szCs w:val="22"/>
                <w:lang w:val="es-ES"/>
              </w:rPr>
              <w:t>para la</w:t>
            </w:r>
            <w:r w:rsidRPr="00843F53">
              <w:rPr>
                <w:rFonts w:eastAsia="Times New Roman"/>
                <w:szCs w:val="22"/>
                <w:lang w:val="es-ES"/>
              </w:rPr>
              <w:t xml:space="preserve"> creación de capacidad después de 2020</w:t>
            </w:r>
          </w:p>
        </w:tc>
        <w:tc>
          <w:tcPr>
            <w:tcW w:w="2126" w:type="dxa"/>
            <w:tcMar>
              <w:left w:w="57" w:type="dxa"/>
              <w:right w:w="28" w:type="dxa"/>
            </w:tcMar>
          </w:tcPr>
          <w:p w:rsidR="00627A4D" w:rsidRPr="00843F53" w:rsidRDefault="00546D1D" w:rsidP="00557139">
            <w:pPr>
              <w:pStyle w:val="Para1"/>
              <w:spacing w:before="60" w:after="60"/>
              <w:jc w:val="left"/>
              <w:rPr>
                <w:rFonts w:eastAsia="Times New Roman"/>
                <w:szCs w:val="22"/>
              </w:rPr>
            </w:pPr>
            <w:r w:rsidRPr="00843F53">
              <w:rPr>
                <w:rFonts w:eastAsia="Times New Roman"/>
                <w:szCs w:val="22"/>
                <w:lang w:val="es-ES"/>
              </w:rPr>
              <w:t>mayo-junio de 2019</w:t>
            </w:r>
          </w:p>
        </w:tc>
        <w:tc>
          <w:tcPr>
            <w:tcW w:w="2693" w:type="dxa"/>
          </w:tcPr>
          <w:p w:rsidR="00546D1D" w:rsidRPr="00843F53" w:rsidRDefault="00546D1D" w:rsidP="00546D1D">
            <w:pPr>
              <w:pStyle w:val="Para1"/>
              <w:spacing w:after="0"/>
              <w:jc w:val="left"/>
              <w:rPr>
                <w:rFonts w:eastAsia="Times New Roman"/>
                <w:szCs w:val="22"/>
              </w:rPr>
            </w:pPr>
            <w:r w:rsidRPr="00843F53">
              <w:rPr>
                <w:rFonts w:eastAsia="Times New Roman"/>
                <w:szCs w:val="22"/>
                <w:lang w:val="es-ES"/>
              </w:rPr>
              <w:t>Consultor; Secretaría</w:t>
            </w:r>
          </w:p>
          <w:p w:rsidR="00627A4D" w:rsidRPr="00843F53" w:rsidRDefault="00627A4D" w:rsidP="00546D1D">
            <w:pPr>
              <w:pStyle w:val="Para1"/>
              <w:spacing w:after="0"/>
              <w:jc w:val="left"/>
              <w:rPr>
                <w:szCs w:val="22"/>
                <w:lang w:val="es-ES"/>
              </w:rPr>
            </w:pPr>
          </w:p>
        </w:tc>
      </w:tr>
      <w:tr w:rsidR="00721D84" w:rsidRPr="00843F53" w:rsidTr="003E1E92">
        <w:trPr>
          <w:cantSplit/>
        </w:trPr>
        <w:tc>
          <w:tcPr>
            <w:tcW w:w="4928" w:type="dxa"/>
          </w:tcPr>
          <w:p w:rsidR="00721D84" w:rsidRPr="00843F53" w:rsidRDefault="00546D1D" w:rsidP="001902D3">
            <w:pPr>
              <w:pStyle w:val="Para1"/>
              <w:numPr>
                <w:ilvl w:val="0"/>
                <w:numId w:val="19"/>
              </w:numPr>
              <w:spacing w:before="60" w:after="60"/>
              <w:jc w:val="left"/>
              <w:rPr>
                <w:szCs w:val="22"/>
              </w:rPr>
            </w:pPr>
            <w:r w:rsidRPr="00843F53">
              <w:rPr>
                <w:rFonts w:eastAsia="Times New Roman"/>
                <w:szCs w:val="22"/>
                <w:lang w:val="es-ES"/>
              </w:rPr>
              <w:lastRenderedPageBreak/>
              <w:t xml:space="preserve">Talleres consultivos regionales y foros de debate en línea sobre el proyecto de informe del estudio y documentos de debate relacionados y el proyecto de elementos del marco estratégico </w:t>
            </w:r>
            <w:r w:rsidR="001902D3">
              <w:rPr>
                <w:rFonts w:eastAsia="Times New Roman"/>
                <w:szCs w:val="22"/>
                <w:lang w:val="es-ES"/>
              </w:rPr>
              <w:t>para la</w:t>
            </w:r>
            <w:r w:rsidRPr="00843F53">
              <w:rPr>
                <w:rFonts w:eastAsia="Times New Roman"/>
                <w:szCs w:val="22"/>
                <w:lang w:val="es-ES"/>
              </w:rPr>
              <w:t xml:space="preserve"> creación de capacidad después de 2020 (conjuntamente con el proceso del marco mundial de la diversidad biológica posterior a 2020)</w:t>
            </w:r>
          </w:p>
        </w:tc>
        <w:tc>
          <w:tcPr>
            <w:tcW w:w="2126" w:type="dxa"/>
            <w:tcMar>
              <w:left w:w="57" w:type="dxa"/>
              <w:right w:w="28" w:type="dxa"/>
            </w:tcMar>
          </w:tcPr>
          <w:p w:rsidR="00546D1D" w:rsidRPr="00843F53" w:rsidRDefault="00546D1D" w:rsidP="00557139">
            <w:pPr>
              <w:pStyle w:val="Para1"/>
              <w:spacing w:after="0"/>
              <w:jc w:val="left"/>
              <w:rPr>
                <w:rFonts w:eastAsia="Times New Roman"/>
                <w:szCs w:val="22"/>
              </w:rPr>
            </w:pPr>
            <w:r w:rsidRPr="00843F53">
              <w:rPr>
                <w:rFonts w:eastAsia="Times New Roman"/>
                <w:szCs w:val="22"/>
                <w:lang w:val="es-ES"/>
              </w:rPr>
              <w:t>enero-julio de 2019</w:t>
            </w:r>
          </w:p>
          <w:p w:rsidR="00721D84" w:rsidRPr="00843F53" w:rsidRDefault="00721D84" w:rsidP="00557139">
            <w:pPr>
              <w:pStyle w:val="Para1"/>
              <w:spacing w:after="0"/>
              <w:jc w:val="left"/>
              <w:rPr>
                <w:szCs w:val="22"/>
                <w:lang w:val="es-ES"/>
              </w:rPr>
            </w:pPr>
          </w:p>
        </w:tc>
        <w:tc>
          <w:tcPr>
            <w:tcW w:w="2693" w:type="dxa"/>
          </w:tcPr>
          <w:p w:rsidR="00721D84" w:rsidRPr="00843F53" w:rsidRDefault="00546D1D" w:rsidP="00546D1D">
            <w:pPr>
              <w:pStyle w:val="Para1"/>
              <w:spacing w:before="60" w:after="60"/>
              <w:jc w:val="left"/>
              <w:rPr>
                <w:rFonts w:eastAsia="Times New Roman"/>
                <w:szCs w:val="22"/>
              </w:rPr>
            </w:pPr>
            <w:r w:rsidRPr="00843F53">
              <w:rPr>
                <w:rFonts w:eastAsia="Times New Roman"/>
                <w:szCs w:val="22"/>
                <w:lang w:val="es-ES"/>
              </w:rPr>
              <w:t>Secretaría; Consultor</w:t>
            </w:r>
          </w:p>
        </w:tc>
      </w:tr>
      <w:tr w:rsidR="00721D84" w:rsidRPr="00843F53" w:rsidTr="003E1E92">
        <w:tc>
          <w:tcPr>
            <w:tcW w:w="4928" w:type="dxa"/>
          </w:tcPr>
          <w:p w:rsidR="00721D84" w:rsidRPr="00843F53" w:rsidRDefault="00546D1D" w:rsidP="003E1E92">
            <w:pPr>
              <w:pStyle w:val="Para1"/>
              <w:numPr>
                <w:ilvl w:val="0"/>
                <w:numId w:val="19"/>
              </w:numPr>
              <w:spacing w:before="60" w:after="60"/>
              <w:jc w:val="left"/>
              <w:rPr>
                <w:szCs w:val="22"/>
                <w:lang w:val="es-ES"/>
              </w:rPr>
            </w:pPr>
            <w:r w:rsidRPr="00843F53">
              <w:rPr>
                <w:rFonts w:eastAsia="Times New Roman"/>
                <w:szCs w:val="22"/>
                <w:lang w:val="es-ES"/>
              </w:rPr>
              <w:t>Presentación de la versión revisada del informe</w:t>
            </w:r>
            <w:r w:rsidR="005E3E85">
              <w:rPr>
                <w:rFonts w:eastAsia="Times New Roman"/>
                <w:szCs w:val="22"/>
                <w:lang w:val="es-ES"/>
              </w:rPr>
              <w:t xml:space="preserve"> del</w:t>
            </w:r>
            <w:r w:rsidR="003E1E92">
              <w:rPr>
                <w:rFonts w:eastAsia="Times New Roman"/>
                <w:szCs w:val="22"/>
                <w:lang w:val="es-ES"/>
              </w:rPr>
              <w:t> </w:t>
            </w:r>
            <w:r w:rsidR="005E3E85">
              <w:rPr>
                <w:rFonts w:eastAsia="Times New Roman"/>
                <w:szCs w:val="22"/>
                <w:lang w:val="es-ES"/>
              </w:rPr>
              <w:t>estudio</w:t>
            </w:r>
            <w:r w:rsidRPr="00843F53">
              <w:rPr>
                <w:rFonts w:eastAsia="Times New Roman"/>
                <w:szCs w:val="22"/>
                <w:lang w:val="es-ES"/>
              </w:rPr>
              <w:t xml:space="preserve"> y la versión revisada del proyecto de elementos del marco estratégico </w:t>
            </w:r>
            <w:r w:rsidR="001902D3">
              <w:rPr>
                <w:rFonts w:eastAsia="Times New Roman"/>
                <w:szCs w:val="22"/>
                <w:lang w:val="es-ES"/>
              </w:rPr>
              <w:t>para la</w:t>
            </w:r>
            <w:r w:rsidRPr="00843F53">
              <w:rPr>
                <w:rFonts w:eastAsia="Times New Roman"/>
                <w:szCs w:val="22"/>
                <w:lang w:val="es-ES"/>
              </w:rPr>
              <w:t xml:space="preserve"> creación de capacidad después de 2020</w:t>
            </w:r>
          </w:p>
        </w:tc>
        <w:tc>
          <w:tcPr>
            <w:tcW w:w="2126" w:type="dxa"/>
            <w:tcMar>
              <w:left w:w="57" w:type="dxa"/>
              <w:right w:w="28" w:type="dxa"/>
            </w:tcMar>
          </w:tcPr>
          <w:p w:rsidR="00721D84" w:rsidRPr="00843F53" w:rsidRDefault="00546D1D" w:rsidP="00557139">
            <w:pPr>
              <w:pStyle w:val="Para1"/>
              <w:spacing w:before="60" w:after="60"/>
              <w:jc w:val="left"/>
              <w:rPr>
                <w:rFonts w:eastAsia="Times New Roman"/>
                <w:szCs w:val="22"/>
              </w:rPr>
            </w:pPr>
            <w:r w:rsidRPr="00843F53">
              <w:rPr>
                <w:rFonts w:eastAsia="Times New Roman"/>
                <w:szCs w:val="22"/>
                <w:lang w:val="es-ES"/>
              </w:rPr>
              <w:t>agosto de 2019</w:t>
            </w:r>
          </w:p>
        </w:tc>
        <w:tc>
          <w:tcPr>
            <w:tcW w:w="2693" w:type="dxa"/>
          </w:tcPr>
          <w:p w:rsidR="00721D84" w:rsidRPr="00843F53" w:rsidRDefault="00546D1D" w:rsidP="00546D1D">
            <w:pPr>
              <w:pStyle w:val="Para1"/>
              <w:spacing w:before="60" w:after="60"/>
              <w:jc w:val="left"/>
              <w:rPr>
                <w:rFonts w:eastAsia="Times New Roman"/>
                <w:szCs w:val="22"/>
              </w:rPr>
            </w:pPr>
            <w:r w:rsidRPr="00843F53">
              <w:rPr>
                <w:rFonts w:eastAsia="Times New Roman"/>
                <w:szCs w:val="22"/>
                <w:lang w:val="es-ES"/>
              </w:rPr>
              <w:t>Consultor</w:t>
            </w:r>
          </w:p>
        </w:tc>
      </w:tr>
      <w:tr w:rsidR="00721D84" w:rsidRPr="00843F53" w:rsidTr="003E1E92">
        <w:tc>
          <w:tcPr>
            <w:tcW w:w="4928" w:type="dxa"/>
          </w:tcPr>
          <w:p w:rsidR="00721D84" w:rsidRPr="00843F53" w:rsidRDefault="00546D1D" w:rsidP="005E3E85">
            <w:pPr>
              <w:pStyle w:val="Para1"/>
              <w:numPr>
                <w:ilvl w:val="0"/>
                <w:numId w:val="19"/>
              </w:numPr>
              <w:spacing w:before="60" w:after="60"/>
              <w:jc w:val="left"/>
              <w:rPr>
                <w:szCs w:val="22"/>
                <w:lang w:val="es-ES"/>
              </w:rPr>
            </w:pPr>
            <w:r w:rsidRPr="00843F53">
              <w:rPr>
                <w:rFonts w:eastAsia="Times New Roman"/>
                <w:szCs w:val="22"/>
                <w:lang w:val="es-ES"/>
              </w:rPr>
              <w:t xml:space="preserve">Taller o talleres consultivos sobre la versión revisada del proyecto de elementos del marco estratégico </w:t>
            </w:r>
            <w:r w:rsidR="001902D3">
              <w:rPr>
                <w:rFonts w:eastAsia="Times New Roman"/>
                <w:szCs w:val="22"/>
                <w:lang w:val="es-ES"/>
              </w:rPr>
              <w:t>para la</w:t>
            </w:r>
            <w:r w:rsidRPr="00843F53">
              <w:rPr>
                <w:rFonts w:eastAsia="Times New Roman"/>
                <w:szCs w:val="22"/>
                <w:lang w:val="es-ES"/>
              </w:rPr>
              <w:t xml:space="preserve"> creación de capacidad después</w:t>
            </w:r>
            <w:r w:rsidR="005E3E85">
              <w:rPr>
                <w:rFonts w:eastAsia="Times New Roman"/>
                <w:szCs w:val="22"/>
                <w:lang w:val="es-ES"/>
              </w:rPr>
              <w:t> </w:t>
            </w:r>
            <w:r w:rsidRPr="00843F53">
              <w:rPr>
                <w:rFonts w:eastAsia="Times New Roman"/>
                <w:szCs w:val="22"/>
                <w:lang w:val="es-ES"/>
              </w:rPr>
              <w:t>de 2020</w:t>
            </w:r>
          </w:p>
        </w:tc>
        <w:tc>
          <w:tcPr>
            <w:tcW w:w="2126" w:type="dxa"/>
            <w:tcMar>
              <w:left w:w="57" w:type="dxa"/>
              <w:right w:w="28" w:type="dxa"/>
            </w:tcMar>
          </w:tcPr>
          <w:p w:rsidR="00721D84" w:rsidRPr="00843F53" w:rsidRDefault="00546D1D" w:rsidP="00557139">
            <w:pPr>
              <w:pStyle w:val="Para1"/>
              <w:spacing w:before="60" w:after="60"/>
              <w:jc w:val="left"/>
              <w:rPr>
                <w:rFonts w:eastAsia="Times New Roman"/>
                <w:szCs w:val="22"/>
              </w:rPr>
            </w:pPr>
            <w:r w:rsidRPr="00843F53">
              <w:rPr>
                <w:rFonts w:eastAsia="Times New Roman"/>
                <w:szCs w:val="22"/>
                <w:lang w:val="es-ES"/>
              </w:rPr>
              <w:t>septiembre-octubre de 2019</w:t>
            </w:r>
          </w:p>
        </w:tc>
        <w:tc>
          <w:tcPr>
            <w:tcW w:w="2693" w:type="dxa"/>
          </w:tcPr>
          <w:p w:rsidR="00721D84" w:rsidRPr="00843F53" w:rsidRDefault="00546D1D" w:rsidP="005E3E85">
            <w:pPr>
              <w:pStyle w:val="Para1"/>
              <w:spacing w:before="60" w:after="60"/>
              <w:jc w:val="left"/>
              <w:rPr>
                <w:rFonts w:eastAsia="Times New Roman"/>
                <w:szCs w:val="22"/>
              </w:rPr>
            </w:pPr>
            <w:r w:rsidRPr="00843F53">
              <w:rPr>
                <w:rFonts w:eastAsia="Times New Roman"/>
                <w:szCs w:val="22"/>
                <w:lang w:val="es-ES"/>
              </w:rPr>
              <w:t xml:space="preserve">Expertos nominados por </w:t>
            </w:r>
            <w:r w:rsidR="005E3E85">
              <w:rPr>
                <w:rFonts w:eastAsia="Times New Roman"/>
                <w:szCs w:val="22"/>
                <w:lang w:val="es-ES"/>
              </w:rPr>
              <w:t>G</w:t>
            </w:r>
            <w:r w:rsidRPr="00843F53">
              <w:rPr>
                <w:rFonts w:eastAsia="Times New Roman"/>
                <w:szCs w:val="22"/>
                <w:lang w:val="es-ES"/>
              </w:rPr>
              <w:t>obiernos y organizaciones pertinentes</w:t>
            </w:r>
          </w:p>
        </w:tc>
      </w:tr>
      <w:tr w:rsidR="00721D84" w:rsidRPr="00843F53" w:rsidTr="003E1E92">
        <w:tc>
          <w:tcPr>
            <w:tcW w:w="4928" w:type="dxa"/>
          </w:tcPr>
          <w:p w:rsidR="00721D84" w:rsidRPr="00843F53" w:rsidRDefault="00546D1D" w:rsidP="003E1E92">
            <w:pPr>
              <w:pStyle w:val="Para1"/>
              <w:numPr>
                <w:ilvl w:val="0"/>
                <w:numId w:val="19"/>
              </w:numPr>
              <w:spacing w:before="60" w:after="60"/>
              <w:jc w:val="left"/>
              <w:rPr>
                <w:rFonts w:eastAsia="Times New Roman"/>
                <w:szCs w:val="22"/>
              </w:rPr>
            </w:pPr>
            <w:r w:rsidRPr="00843F53">
              <w:rPr>
                <w:rFonts w:eastAsia="Times New Roman"/>
                <w:szCs w:val="22"/>
                <w:lang w:val="es-ES"/>
              </w:rPr>
              <w:t xml:space="preserve">Preparación del proyecto definitivo del marco estratégico </w:t>
            </w:r>
            <w:r w:rsidR="001902D3">
              <w:rPr>
                <w:rFonts w:eastAsia="Times New Roman"/>
                <w:szCs w:val="22"/>
                <w:lang w:val="es-ES"/>
              </w:rPr>
              <w:t>para la</w:t>
            </w:r>
            <w:r w:rsidRPr="00843F53">
              <w:rPr>
                <w:rFonts w:eastAsia="Times New Roman"/>
                <w:szCs w:val="22"/>
                <w:lang w:val="es-ES"/>
              </w:rPr>
              <w:t xml:space="preserve"> creación de capacidad después</w:t>
            </w:r>
            <w:r w:rsidR="005E3E85">
              <w:rPr>
                <w:rFonts w:eastAsia="Times New Roman"/>
                <w:szCs w:val="22"/>
                <w:lang w:val="es-ES"/>
              </w:rPr>
              <w:t> </w:t>
            </w:r>
            <w:r w:rsidRPr="00843F53">
              <w:rPr>
                <w:rFonts w:eastAsia="Times New Roman"/>
                <w:szCs w:val="22"/>
                <w:lang w:val="es-ES"/>
              </w:rPr>
              <w:t>de 2020 sobre la base de los aportes de</w:t>
            </w:r>
            <w:r w:rsidR="005E3E85">
              <w:rPr>
                <w:rFonts w:eastAsia="Times New Roman"/>
                <w:szCs w:val="22"/>
                <w:lang w:val="es-ES"/>
              </w:rPr>
              <w:t> </w:t>
            </w:r>
            <w:r w:rsidRPr="00843F53">
              <w:rPr>
                <w:rFonts w:eastAsia="Times New Roman"/>
                <w:szCs w:val="22"/>
                <w:lang w:val="es-ES"/>
              </w:rPr>
              <w:t>los</w:t>
            </w:r>
            <w:r w:rsidR="003E1E92">
              <w:rPr>
                <w:rFonts w:eastAsia="Times New Roman"/>
                <w:szCs w:val="22"/>
                <w:lang w:val="es-ES"/>
              </w:rPr>
              <w:t> </w:t>
            </w:r>
            <w:r w:rsidRPr="00843F53">
              <w:rPr>
                <w:rFonts w:eastAsia="Times New Roman"/>
                <w:szCs w:val="22"/>
                <w:lang w:val="es-ES"/>
              </w:rPr>
              <w:t>talleres consultivos</w:t>
            </w:r>
          </w:p>
        </w:tc>
        <w:tc>
          <w:tcPr>
            <w:tcW w:w="2126" w:type="dxa"/>
            <w:tcMar>
              <w:left w:w="57" w:type="dxa"/>
              <w:right w:w="28" w:type="dxa"/>
            </w:tcMar>
          </w:tcPr>
          <w:p w:rsidR="00721D84" w:rsidRPr="00843F53" w:rsidRDefault="00546D1D" w:rsidP="00557139">
            <w:pPr>
              <w:pStyle w:val="Para1"/>
              <w:spacing w:before="60" w:after="60"/>
              <w:jc w:val="left"/>
              <w:rPr>
                <w:rFonts w:eastAsia="Times New Roman"/>
                <w:szCs w:val="22"/>
              </w:rPr>
            </w:pPr>
            <w:r w:rsidRPr="00843F53">
              <w:rPr>
                <w:rFonts w:eastAsia="Times New Roman"/>
                <w:szCs w:val="22"/>
                <w:lang w:val="es-ES"/>
              </w:rPr>
              <w:t>noviembre de 2019</w:t>
            </w:r>
          </w:p>
        </w:tc>
        <w:tc>
          <w:tcPr>
            <w:tcW w:w="2693" w:type="dxa"/>
          </w:tcPr>
          <w:p w:rsidR="00721D84" w:rsidRPr="00843F53" w:rsidRDefault="00546D1D" w:rsidP="00546D1D">
            <w:pPr>
              <w:pStyle w:val="Para1"/>
              <w:spacing w:before="60" w:after="60"/>
              <w:rPr>
                <w:rFonts w:eastAsia="Times New Roman"/>
                <w:szCs w:val="22"/>
              </w:rPr>
            </w:pPr>
            <w:r w:rsidRPr="00843F53">
              <w:rPr>
                <w:rFonts w:eastAsia="Times New Roman"/>
                <w:szCs w:val="22"/>
                <w:lang w:val="es-ES"/>
              </w:rPr>
              <w:t>Secretaría; Consultor</w:t>
            </w:r>
          </w:p>
        </w:tc>
      </w:tr>
      <w:tr w:rsidR="00721D84" w:rsidRPr="00843F53" w:rsidTr="003E1E92">
        <w:tc>
          <w:tcPr>
            <w:tcW w:w="4928" w:type="dxa"/>
          </w:tcPr>
          <w:p w:rsidR="00721D84" w:rsidRPr="00843F53" w:rsidRDefault="003B13B1" w:rsidP="005E3E85">
            <w:pPr>
              <w:pStyle w:val="Para1"/>
              <w:numPr>
                <w:ilvl w:val="0"/>
                <w:numId w:val="19"/>
              </w:numPr>
              <w:spacing w:before="60" w:after="60"/>
              <w:jc w:val="left"/>
              <w:rPr>
                <w:rFonts w:eastAsia="Times New Roman"/>
                <w:szCs w:val="22"/>
              </w:rPr>
            </w:pPr>
            <w:r w:rsidRPr="00843F53">
              <w:rPr>
                <w:rFonts w:eastAsia="Times New Roman"/>
                <w:szCs w:val="22"/>
                <w:lang w:val="es-ES"/>
              </w:rPr>
              <w:t xml:space="preserve">Notificación solicitando opiniones sobre el proyecto definitivo del marco estratégico </w:t>
            </w:r>
            <w:r w:rsidR="001902D3">
              <w:rPr>
                <w:rFonts w:eastAsia="Times New Roman"/>
                <w:szCs w:val="22"/>
                <w:lang w:val="es-ES"/>
              </w:rPr>
              <w:t>para la</w:t>
            </w:r>
            <w:r w:rsidR="005E3E85">
              <w:rPr>
                <w:rFonts w:eastAsia="Times New Roman"/>
                <w:szCs w:val="22"/>
                <w:lang w:val="es-ES"/>
              </w:rPr>
              <w:t> </w:t>
            </w:r>
            <w:r w:rsidRPr="00843F53">
              <w:rPr>
                <w:rFonts w:eastAsia="Times New Roman"/>
                <w:szCs w:val="22"/>
                <w:lang w:val="es-ES"/>
              </w:rPr>
              <w:t>creación de capacidad después de 2020</w:t>
            </w:r>
          </w:p>
        </w:tc>
        <w:tc>
          <w:tcPr>
            <w:tcW w:w="2126" w:type="dxa"/>
            <w:tcMar>
              <w:left w:w="57" w:type="dxa"/>
              <w:right w:w="28" w:type="dxa"/>
            </w:tcMar>
          </w:tcPr>
          <w:p w:rsidR="00721D84" w:rsidRPr="00843F53" w:rsidRDefault="003B13B1" w:rsidP="00557139">
            <w:pPr>
              <w:pStyle w:val="Para1"/>
              <w:spacing w:before="60" w:after="60"/>
              <w:jc w:val="left"/>
              <w:rPr>
                <w:rFonts w:eastAsia="Times New Roman"/>
                <w:szCs w:val="22"/>
              </w:rPr>
            </w:pPr>
            <w:r w:rsidRPr="00843F53">
              <w:rPr>
                <w:rFonts w:eastAsia="Times New Roman"/>
                <w:szCs w:val="22"/>
                <w:lang w:val="es-ES"/>
              </w:rPr>
              <w:t>diciembre 2019 - febrero 2020</w:t>
            </w:r>
          </w:p>
        </w:tc>
        <w:tc>
          <w:tcPr>
            <w:tcW w:w="2693" w:type="dxa"/>
          </w:tcPr>
          <w:p w:rsidR="00721D84" w:rsidRPr="00843F53" w:rsidRDefault="003B13B1" w:rsidP="005E3E85">
            <w:pPr>
              <w:pStyle w:val="Para1"/>
              <w:spacing w:before="60" w:after="60"/>
              <w:jc w:val="left"/>
              <w:rPr>
                <w:rFonts w:eastAsia="Times New Roman"/>
                <w:szCs w:val="22"/>
              </w:rPr>
            </w:pPr>
            <w:r w:rsidRPr="00843F53">
              <w:rPr>
                <w:rFonts w:eastAsia="Times New Roman"/>
                <w:szCs w:val="22"/>
                <w:lang w:val="es-ES"/>
              </w:rPr>
              <w:t>Partes; pueblos indígenas y comunidades locales; y organizaciones pertinentes</w:t>
            </w:r>
          </w:p>
        </w:tc>
      </w:tr>
      <w:tr w:rsidR="00721D84" w:rsidRPr="00843F53" w:rsidTr="003E1E92">
        <w:tc>
          <w:tcPr>
            <w:tcW w:w="4928" w:type="dxa"/>
          </w:tcPr>
          <w:p w:rsidR="00721D84" w:rsidRPr="00843F53" w:rsidRDefault="003B13B1" w:rsidP="005E3E85">
            <w:pPr>
              <w:pStyle w:val="Para1"/>
              <w:numPr>
                <w:ilvl w:val="0"/>
                <w:numId w:val="19"/>
              </w:numPr>
              <w:spacing w:before="60" w:after="60"/>
              <w:jc w:val="left"/>
              <w:rPr>
                <w:szCs w:val="22"/>
                <w:lang w:val="es-ES"/>
              </w:rPr>
            </w:pPr>
            <w:r w:rsidRPr="00843F53">
              <w:rPr>
                <w:rFonts w:eastAsia="Times New Roman"/>
                <w:szCs w:val="22"/>
                <w:lang w:val="es-ES"/>
              </w:rPr>
              <w:t xml:space="preserve">Consideración del proyecto definitivo de marco estratégico </w:t>
            </w:r>
            <w:r w:rsidR="001902D3">
              <w:rPr>
                <w:rFonts w:eastAsia="Times New Roman"/>
                <w:szCs w:val="22"/>
                <w:lang w:val="es-ES"/>
              </w:rPr>
              <w:t>para la</w:t>
            </w:r>
            <w:r w:rsidRPr="00843F53">
              <w:rPr>
                <w:rFonts w:eastAsia="Times New Roman"/>
                <w:szCs w:val="22"/>
                <w:lang w:val="es-ES"/>
              </w:rPr>
              <w:t xml:space="preserve"> creación de capacidad después</w:t>
            </w:r>
            <w:r w:rsidR="005E3E85">
              <w:rPr>
                <w:rFonts w:eastAsia="Times New Roman"/>
                <w:szCs w:val="22"/>
                <w:lang w:val="es-ES"/>
              </w:rPr>
              <w:t> </w:t>
            </w:r>
            <w:r w:rsidRPr="00843F53">
              <w:rPr>
                <w:rFonts w:eastAsia="Times New Roman"/>
                <w:szCs w:val="22"/>
                <w:lang w:val="es-ES"/>
              </w:rPr>
              <w:t>de 2020 por la tercera reunión del OSA</w:t>
            </w:r>
          </w:p>
        </w:tc>
        <w:tc>
          <w:tcPr>
            <w:tcW w:w="2126" w:type="dxa"/>
            <w:tcMar>
              <w:left w:w="57" w:type="dxa"/>
              <w:right w:w="28" w:type="dxa"/>
            </w:tcMar>
          </w:tcPr>
          <w:p w:rsidR="00721D84" w:rsidRPr="00843F53" w:rsidRDefault="003B13B1" w:rsidP="00557139">
            <w:pPr>
              <w:pStyle w:val="Para1"/>
              <w:spacing w:before="60" w:after="60"/>
              <w:jc w:val="left"/>
              <w:rPr>
                <w:rFonts w:eastAsia="Times New Roman"/>
                <w:szCs w:val="22"/>
              </w:rPr>
            </w:pPr>
            <w:r w:rsidRPr="00843F53">
              <w:rPr>
                <w:rFonts w:eastAsia="Times New Roman"/>
                <w:szCs w:val="22"/>
                <w:lang w:val="es-ES"/>
              </w:rPr>
              <w:t>mayo-junio de 2020</w:t>
            </w:r>
          </w:p>
        </w:tc>
        <w:tc>
          <w:tcPr>
            <w:tcW w:w="2693" w:type="dxa"/>
          </w:tcPr>
          <w:p w:rsidR="00721D84" w:rsidRPr="00843F53" w:rsidRDefault="003B13B1" w:rsidP="003B13B1">
            <w:pPr>
              <w:pStyle w:val="Para1"/>
              <w:spacing w:before="60" w:after="60"/>
              <w:rPr>
                <w:rFonts w:eastAsia="Times New Roman"/>
                <w:szCs w:val="22"/>
              </w:rPr>
            </w:pPr>
            <w:r w:rsidRPr="00843F53">
              <w:rPr>
                <w:rFonts w:eastAsia="Times New Roman"/>
                <w:szCs w:val="22"/>
                <w:lang w:val="es-ES"/>
              </w:rPr>
              <w:t>OSA-3</w:t>
            </w:r>
          </w:p>
        </w:tc>
      </w:tr>
    </w:tbl>
    <w:p w:rsidR="009E3438" w:rsidRPr="00843F53" w:rsidRDefault="009E3438" w:rsidP="009E3438">
      <w:pPr>
        <w:pStyle w:val="Para1"/>
        <w:spacing w:before="60" w:after="60"/>
        <w:rPr>
          <w:szCs w:val="22"/>
          <w:lang w:val="es-ES"/>
        </w:rPr>
      </w:pPr>
    </w:p>
    <w:p w:rsidR="003B13B1" w:rsidRPr="00843F53" w:rsidRDefault="003B13B1" w:rsidP="003B13B1">
      <w:pPr>
        <w:pStyle w:val="Para1"/>
        <w:suppressLineNumbers/>
        <w:suppressAutoHyphens/>
        <w:spacing w:before="120"/>
        <w:jc w:val="center"/>
        <w:rPr>
          <w:rFonts w:eastAsia="Times New Roman"/>
          <w:b/>
          <w:kern w:val="22"/>
          <w:szCs w:val="22"/>
          <w:lang w:val="es-ES"/>
        </w:rPr>
      </w:pPr>
      <w:r w:rsidRPr="00843F53">
        <w:rPr>
          <w:rFonts w:eastAsia="Times New Roman"/>
          <w:b/>
          <w:kern w:val="22"/>
          <w:szCs w:val="22"/>
          <w:lang w:val="es-ES"/>
        </w:rPr>
        <w:t>Apéndice I</w:t>
      </w:r>
    </w:p>
    <w:p w:rsidR="003B13B1" w:rsidRPr="00843F53" w:rsidRDefault="003B13B1" w:rsidP="003B13B1">
      <w:pPr>
        <w:pStyle w:val="Heading1"/>
        <w:rPr>
          <w:rFonts w:eastAsia="Times New Roman" w:cs="Times New Roman"/>
          <w:szCs w:val="22"/>
          <w:lang w:val="es-ES"/>
        </w:rPr>
      </w:pPr>
      <w:r w:rsidRPr="00843F53">
        <w:rPr>
          <w:rFonts w:eastAsia="Times New Roman" w:cs="Times New Roman"/>
          <w:szCs w:val="22"/>
          <w:lang w:val="es-ES"/>
        </w:rPr>
        <w:t xml:space="preserve">MANDATO PARA UN ESTUDIO QUE PROPORCIONE UNA BASE DE INFORMACIÓN PARA LA preparaCiÓn DEL marco estratégico </w:t>
      </w:r>
      <w:r w:rsidR="001902D3">
        <w:rPr>
          <w:rFonts w:eastAsia="Times New Roman" w:cs="Times New Roman"/>
          <w:szCs w:val="22"/>
          <w:lang w:val="es-ES"/>
        </w:rPr>
        <w:t>PARA LA</w:t>
      </w:r>
      <w:r w:rsidRPr="00843F53">
        <w:rPr>
          <w:rFonts w:eastAsia="Times New Roman" w:cs="Times New Roman"/>
          <w:szCs w:val="22"/>
          <w:lang w:val="es-ES"/>
        </w:rPr>
        <w:t xml:space="preserve"> creación de capacidad después de 2020</w:t>
      </w:r>
    </w:p>
    <w:p w:rsidR="00D67550" w:rsidRPr="00843F53" w:rsidRDefault="00D67550" w:rsidP="00D67550">
      <w:pPr>
        <w:pStyle w:val="Heading2"/>
        <w:numPr>
          <w:ilvl w:val="0"/>
          <w:numId w:val="29"/>
        </w:numPr>
        <w:ind w:left="1077" w:hanging="357"/>
        <w:rPr>
          <w:rFonts w:eastAsia="Times New Roman" w:cs="Times New Roman"/>
          <w:i w:val="0"/>
          <w:iCs w:val="0"/>
          <w:szCs w:val="22"/>
          <w:lang w:val="es-ES"/>
        </w:rPr>
      </w:pPr>
      <w:r w:rsidRPr="00843F53">
        <w:rPr>
          <w:rFonts w:eastAsia="Times New Roman" w:cs="Times New Roman"/>
          <w:i w:val="0"/>
          <w:iCs w:val="0"/>
          <w:szCs w:val="22"/>
          <w:lang w:val="es-ES"/>
        </w:rPr>
        <w:t>Alcance del estudio y del proceso para la preparación del marco</w:t>
      </w:r>
    </w:p>
    <w:p w:rsidR="00D67550" w:rsidRPr="00843F53" w:rsidRDefault="00D67550" w:rsidP="003C546F">
      <w:pPr>
        <w:pStyle w:val="Para1"/>
        <w:numPr>
          <w:ilvl w:val="6"/>
          <w:numId w:val="18"/>
        </w:numPr>
        <w:tabs>
          <w:tab w:val="clear" w:pos="360"/>
        </w:tabs>
        <w:spacing w:before="60" w:after="60"/>
        <w:ind w:left="440" w:hanging="440"/>
        <w:rPr>
          <w:rFonts w:eastAsia="Times New Roman"/>
          <w:szCs w:val="22"/>
          <w:lang w:val="es-ES"/>
        </w:rPr>
      </w:pPr>
      <w:r w:rsidRPr="00843F53">
        <w:rPr>
          <w:rFonts w:eastAsia="Times New Roman"/>
          <w:szCs w:val="22"/>
          <w:lang w:val="es-ES"/>
        </w:rPr>
        <w:t>El estudio comprenderá las siguientes tareas:</w:t>
      </w:r>
    </w:p>
    <w:p w:rsidR="00F77C38" w:rsidRPr="00843F53" w:rsidRDefault="00D6015E" w:rsidP="00F77C38">
      <w:pPr>
        <w:pStyle w:val="Para1"/>
        <w:numPr>
          <w:ilvl w:val="1"/>
          <w:numId w:val="35"/>
        </w:numPr>
        <w:tabs>
          <w:tab w:val="clear" w:pos="1440"/>
        </w:tabs>
        <w:spacing w:before="60" w:after="60"/>
        <w:ind w:left="0" w:firstLine="720"/>
        <w:rPr>
          <w:rFonts w:eastAsia="Times New Roman"/>
          <w:szCs w:val="22"/>
          <w:lang w:val="es-ES"/>
        </w:rPr>
      </w:pPr>
      <w:r>
        <w:rPr>
          <w:rFonts w:eastAsia="Times New Roman"/>
          <w:szCs w:val="22"/>
          <w:lang w:val="es-ES"/>
        </w:rPr>
        <w:t>Hacer un relevamiento</w:t>
      </w:r>
      <w:r w:rsidR="005E3E85">
        <w:rPr>
          <w:rFonts w:eastAsia="Times New Roman"/>
          <w:szCs w:val="22"/>
          <w:lang w:val="es-ES"/>
        </w:rPr>
        <w:t xml:space="preserve"> </w:t>
      </w:r>
      <w:r>
        <w:rPr>
          <w:rFonts w:eastAsia="Times New Roman"/>
          <w:szCs w:val="22"/>
          <w:lang w:val="es-ES"/>
        </w:rPr>
        <w:t>d</w:t>
      </w:r>
      <w:r w:rsidR="00F77C38" w:rsidRPr="00843F53">
        <w:rPr>
          <w:rFonts w:eastAsia="Times New Roman"/>
          <w:szCs w:val="22"/>
          <w:lang w:val="es-ES"/>
        </w:rPr>
        <w:t>el estado de la creación de capacidad relacionada con la aplicación del Convenio y sus Protocolos, incluidas los principales programas/iniciativas, herramientas, redes y asociaciones en materia de creación de capacidad;</w:t>
      </w:r>
    </w:p>
    <w:p w:rsidR="00F77C38" w:rsidRPr="00843F53" w:rsidRDefault="005E3E85" w:rsidP="00F77C38">
      <w:pPr>
        <w:pStyle w:val="Para1"/>
        <w:numPr>
          <w:ilvl w:val="1"/>
          <w:numId w:val="35"/>
        </w:numPr>
        <w:tabs>
          <w:tab w:val="clear" w:pos="1440"/>
        </w:tabs>
        <w:spacing w:before="60" w:after="60"/>
        <w:ind w:left="0" w:firstLine="720"/>
        <w:rPr>
          <w:rFonts w:eastAsia="Times New Roman"/>
          <w:szCs w:val="22"/>
          <w:lang w:val="es-ES"/>
        </w:rPr>
      </w:pPr>
      <w:r>
        <w:rPr>
          <w:rFonts w:eastAsia="Times New Roman"/>
          <w:kern w:val="22"/>
          <w:szCs w:val="22"/>
          <w:lang w:val="es-ES"/>
        </w:rPr>
        <w:t>I</w:t>
      </w:r>
      <w:r w:rsidR="00F77C38" w:rsidRPr="00843F53">
        <w:rPr>
          <w:rFonts w:eastAsia="Times New Roman"/>
          <w:kern w:val="22"/>
          <w:szCs w:val="22"/>
          <w:lang w:val="es-ES"/>
        </w:rPr>
        <w:t>dentifica</w:t>
      </w:r>
      <w:r>
        <w:rPr>
          <w:rFonts w:eastAsia="Times New Roman"/>
          <w:kern w:val="22"/>
          <w:szCs w:val="22"/>
          <w:lang w:val="es-ES"/>
        </w:rPr>
        <w:t>r</w:t>
      </w:r>
      <w:r w:rsidR="00F77C38" w:rsidRPr="00843F53">
        <w:rPr>
          <w:rFonts w:eastAsia="Times New Roman"/>
          <w:kern w:val="22"/>
          <w:szCs w:val="22"/>
          <w:lang w:val="es-ES"/>
        </w:rPr>
        <w:t xml:space="preserve"> y localiza</w:t>
      </w:r>
      <w:r>
        <w:rPr>
          <w:rFonts w:eastAsia="Times New Roman"/>
          <w:kern w:val="22"/>
          <w:szCs w:val="22"/>
          <w:lang w:val="es-ES"/>
        </w:rPr>
        <w:t>r</w:t>
      </w:r>
      <w:r w:rsidR="00F77C38" w:rsidRPr="00843F53">
        <w:rPr>
          <w:rFonts w:eastAsia="Times New Roman"/>
          <w:kern w:val="22"/>
          <w:szCs w:val="22"/>
          <w:lang w:val="es-ES"/>
        </w:rPr>
        <w:t xml:space="preserve"> </w:t>
      </w:r>
      <w:r>
        <w:rPr>
          <w:rFonts w:eastAsia="Times New Roman"/>
          <w:kern w:val="22"/>
          <w:szCs w:val="22"/>
          <w:lang w:val="es-ES"/>
        </w:rPr>
        <w:t xml:space="preserve">a </w:t>
      </w:r>
      <w:r w:rsidR="00F77C38" w:rsidRPr="00843F53">
        <w:rPr>
          <w:rFonts w:eastAsia="Times New Roman"/>
          <w:kern w:val="22"/>
          <w:szCs w:val="22"/>
          <w:lang w:val="es-ES"/>
        </w:rPr>
        <w:t>los principales proveedores de apoyo en materia de creación de capacidad para la aplicación del Convenio y sus Protocolos en distintas regiones, incluidas sus competencias y puntos fuertes;</w:t>
      </w:r>
    </w:p>
    <w:p w:rsidR="00F77C38" w:rsidRPr="00843F53" w:rsidRDefault="00F77C38" w:rsidP="00F77C38">
      <w:pPr>
        <w:pStyle w:val="Para1"/>
        <w:numPr>
          <w:ilvl w:val="1"/>
          <w:numId w:val="35"/>
        </w:numPr>
        <w:tabs>
          <w:tab w:val="clear" w:pos="1440"/>
        </w:tabs>
        <w:spacing w:before="60" w:after="60"/>
        <w:ind w:left="0" w:firstLine="720"/>
        <w:rPr>
          <w:rFonts w:eastAsia="Times New Roman"/>
          <w:szCs w:val="22"/>
          <w:lang w:val="es-ES"/>
        </w:rPr>
      </w:pPr>
      <w:r w:rsidRPr="00843F53">
        <w:rPr>
          <w:rFonts w:eastAsia="Times New Roman"/>
          <w:szCs w:val="22"/>
          <w:lang w:val="es-ES"/>
        </w:rPr>
        <w:t xml:space="preserve">Examinar las nuevas experiencias y las lecciones aprendidas con las diversas modalidades </w:t>
      </w:r>
      <w:r w:rsidR="00B474BA" w:rsidRPr="00843F53">
        <w:rPr>
          <w:rFonts w:eastAsia="Times New Roman"/>
          <w:szCs w:val="22"/>
          <w:lang w:val="es-ES"/>
        </w:rPr>
        <w:t xml:space="preserve">y enfoques </w:t>
      </w:r>
      <w:r w:rsidRPr="00843F53">
        <w:rPr>
          <w:rFonts w:eastAsia="Times New Roman"/>
          <w:szCs w:val="22"/>
          <w:lang w:val="es-ES"/>
        </w:rPr>
        <w:t xml:space="preserve">de prestación de creación de capacidad utilizados y evaluar su eficacia </w:t>
      </w:r>
      <w:r w:rsidR="00D6015E">
        <w:rPr>
          <w:rFonts w:eastAsia="Times New Roman"/>
          <w:szCs w:val="22"/>
          <w:lang w:val="es-ES"/>
        </w:rPr>
        <w:t>relativa</w:t>
      </w:r>
      <w:r w:rsidR="00D6015E" w:rsidRPr="00843F53">
        <w:rPr>
          <w:rFonts w:eastAsia="Times New Roman"/>
          <w:szCs w:val="22"/>
          <w:lang w:val="es-ES"/>
        </w:rPr>
        <w:t xml:space="preserve"> </w:t>
      </w:r>
      <w:r w:rsidRPr="00843F53">
        <w:rPr>
          <w:rFonts w:eastAsia="Times New Roman"/>
          <w:szCs w:val="22"/>
          <w:lang w:val="es-ES"/>
        </w:rPr>
        <w:t xml:space="preserve">y </w:t>
      </w:r>
      <w:r w:rsidR="00D6015E">
        <w:rPr>
          <w:rFonts w:eastAsia="Times New Roman"/>
          <w:szCs w:val="22"/>
          <w:lang w:val="es-ES"/>
        </w:rPr>
        <w:t xml:space="preserve">sus </w:t>
      </w:r>
      <w:r w:rsidRPr="00843F53">
        <w:rPr>
          <w:rFonts w:eastAsia="Times New Roman"/>
          <w:szCs w:val="22"/>
          <w:lang w:val="es-ES"/>
        </w:rPr>
        <w:t>limitaciones;</w:t>
      </w:r>
    </w:p>
    <w:p w:rsidR="00F77C38" w:rsidRPr="00843F53" w:rsidRDefault="00F77C38" w:rsidP="00F77C38">
      <w:pPr>
        <w:pStyle w:val="Para1"/>
        <w:numPr>
          <w:ilvl w:val="1"/>
          <w:numId w:val="35"/>
        </w:numPr>
        <w:tabs>
          <w:tab w:val="clear" w:pos="1440"/>
        </w:tabs>
        <w:spacing w:after="0"/>
        <w:ind w:left="0" w:firstLine="720"/>
        <w:rPr>
          <w:rFonts w:eastAsia="Times New Roman"/>
          <w:szCs w:val="22"/>
          <w:lang w:val="es-ES"/>
        </w:rPr>
      </w:pPr>
      <w:r w:rsidRPr="00843F53">
        <w:rPr>
          <w:rFonts w:eastAsia="Times New Roman"/>
          <w:szCs w:val="22"/>
          <w:lang w:val="es-ES"/>
        </w:rPr>
        <w:t>Identificar las principales necesidades y carencias tecnológicas y de creación de capacidad de las Partes;</w:t>
      </w:r>
    </w:p>
    <w:p w:rsidR="00F77C38" w:rsidRPr="00843F53" w:rsidRDefault="00F77C38" w:rsidP="00F77C38">
      <w:pPr>
        <w:pStyle w:val="Para1"/>
        <w:numPr>
          <w:ilvl w:val="1"/>
          <w:numId w:val="35"/>
        </w:numPr>
        <w:tabs>
          <w:tab w:val="clear" w:pos="1440"/>
        </w:tabs>
        <w:spacing w:before="60" w:after="60"/>
        <w:ind w:left="0" w:firstLine="720"/>
        <w:rPr>
          <w:rFonts w:eastAsia="Times New Roman"/>
          <w:szCs w:val="22"/>
          <w:lang w:val="es-ES"/>
        </w:rPr>
      </w:pPr>
      <w:r w:rsidRPr="00843F53">
        <w:rPr>
          <w:rFonts w:eastAsia="Times New Roman"/>
          <w:szCs w:val="22"/>
          <w:lang w:val="es-ES"/>
        </w:rPr>
        <w:t>Analizar lo que se ha hecho y los tipos de actividades de creación de capacidad que han contribuido a los avances logrados;</w:t>
      </w:r>
    </w:p>
    <w:p w:rsidR="00F77C38" w:rsidRPr="00843F53" w:rsidRDefault="00F77C38" w:rsidP="00F77C38">
      <w:pPr>
        <w:pStyle w:val="Para1"/>
        <w:numPr>
          <w:ilvl w:val="1"/>
          <w:numId w:val="35"/>
        </w:numPr>
        <w:tabs>
          <w:tab w:val="clear" w:pos="1440"/>
        </w:tabs>
        <w:spacing w:before="60" w:after="60"/>
        <w:ind w:left="0" w:firstLine="720"/>
        <w:rPr>
          <w:rFonts w:eastAsia="Times New Roman"/>
          <w:szCs w:val="22"/>
          <w:lang w:val="es-ES"/>
        </w:rPr>
      </w:pPr>
      <w:r w:rsidRPr="00843F53">
        <w:rPr>
          <w:rFonts w:eastAsia="Times New Roman"/>
          <w:szCs w:val="22"/>
          <w:lang w:val="es-ES"/>
        </w:rPr>
        <w:lastRenderedPageBreak/>
        <w:t xml:space="preserve">Formular recomendaciones sobre la dirección general del marco </w:t>
      </w:r>
      <w:r w:rsidR="005E3E85">
        <w:rPr>
          <w:rFonts w:eastAsia="Times New Roman"/>
          <w:szCs w:val="22"/>
          <w:lang w:val="es-ES"/>
        </w:rPr>
        <w:t>para la</w:t>
      </w:r>
      <w:r w:rsidRPr="00843F53">
        <w:rPr>
          <w:rFonts w:eastAsia="Times New Roman"/>
          <w:szCs w:val="22"/>
          <w:lang w:val="es-ES"/>
        </w:rPr>
        <w:t xml:space="preserve"> </w:t>
      </w:r>
      <w:r w:rsidR="005E3E85">
        <w:rPr>
          <w:rFonts w:eastAsia="Times New Roman"/>
          <w:szCs w:val="22"/>
          <w:lang w:val="es-ES"/>
        </w:rPr>
        <w:t>creación</w:t>
      </w:r>
      <w:r w:rsidRPr="00843F53">
        <w:rPr>
          <w:rFonts w:eastAsia="Times New Roman"/>
          <w:szCs w:val="22"/>
          <w:lang w:val="es-ES"/>
        </w:rPr>
        <w:t xml:space="preserve"> de capacidad después de 2020 y las medidas prioritarias en materia de creación de capacidad que deben adoptarse para lograr </w:t>
      </w:r>
      <w:r w:rsidR="005E3E85" w:rsidRPr="00843F53">
        <w:rPr>
          <w:rFonts w:eastAsia="Times New Roman"/>
          <w:szCs w:val="22"/>
          <w:lang w:val="es-ES"/>
        </w:rPr>
        <w:t xml:space="preserve">los objetivos y </w:t>
      </w:r>
      <w:r w:rsidRPr="00843F53">
        <w:rPr>
          <w:rFonts w:eastAsia="Times New Roman"/>
          <w:szCs w:val="22"/>
          <w:lang w:val="es-ES"/>
        </w:rPr>
        <w:t>las metas del instrumento suce</w:t>
      </w:r>
      <w:r w:rsidR="005E3E85">
        <w:rPr>
          <w:rFonts w:eastAsia="Times New Roman"/>
          <w:szCs w:val="22"/>
          <w:lang w:val="es-ES"/>
        </w:rPr>
        <w:t>so</w:t>
      </w:r>
      <w:r w:rsidRPr="00843F53">
        <w:rPr>
          <w:rFonts w:eastAsia="Times New Roman"/>
          <w:szCs w:val="22"/>
          <w:lang w:val="es-ES"/>
        </w:rPr>
        <w:t>r</w:t>
      </w:r>
      <w:r w:rsidR="005E3E85">
        <w:rPr>
          <w:rFonts w:eastAsia="Times New Roman"/>
          <w:szCs w:val="22"/>
          <w:lang w:val="es-ES"/>
        </w:rPr>
        <w:t xml:space="preserve"> de</w:t>
      </w:r>
      <w:r w:rsidRPr="00843F53">
        <w:rPr>
          <w:rFonts w:eastAsia="Times New Roman"/>
          <w:szCs w:val="22"/>
          <w:lang w:val="es-ES"/>
        </w:rPr>
        <w:t>l Plan Es</w:t>
      </w:r>
      <w:r w:rsidRPr="00843F53">
        <w:rPr>
          <w:rFonts w:eastAsia="Times New Roman"/>
          <w:kern w:val="22"/>
          <w:szCs w:val="22"/>
          <w:lang w:val="es-ES"/>
        </w:rPr>
        <w:t>tratégico para la Diversidad Biológica 2011-2020</w:t>
      </w:r>
      <w:r w:rsidRPr="00843F53">
        <w:rPr>
          <w:rFonts w:eastAsia="Times New Roman"/>
          <w:szCs w:val="22"/>
          <w:lang w:val="es-ES"/>
        </w:rPr>
        <w:t>.</w:t>
      </w:r>
    </w:p>
    <w:p w:rsidR="00F77C38" w:rsidRPr="00843F53" w:rsidRDefault="00F77C38" w:rsidP="00F77C38">
      <w:pPr>
        <w:pStyle w:val="Heading2"/>
        <w:numPr>
          <w:ilvl w:val="0"/>
          <w:numId w:val="29"/>
        </w:numPr>
        <w:rPr>
          <w:rFonts w:eastAsia="Times New Roman" w:cs="Times New Roman"/>
          <w:i w:val="0"/>
          <w:szCs w:val="22"/>
          <w:lang w:val="es-ES"/>
        </w:rPr>
      </w:pPr>
      <w:r w:rsidRPr="00843F53">
        <w:rPr>
          <w:rFonts w:eastAsia="Times New Roman" w:cs="Times New Roman"/>
          <w:i w:val="0"/>
          <w:szCs w:val="22"/>
          <w:lang w:val="es-ES"/>
        </w:rPr>
        <w:t xml:space="preserve"> Metodología y fuentes de información</w:t>
      </w:r>
    </w:p>
    <w:p w:rsidR="0013363E" w:rsidRPr="00D6015E" w:rsidRDefault="0013363E" w:rsidP="0013363E">
      <w:pPr>
        <w:pStyle w:val="Para1"/>
        <w:numPr>
          <w:ilvl w:val="0"/>
          <w:numId w:val="35"/>
        </w:numPr>
        <w:spacing w:before="120"/>
        <w:rPr>
          <w:rFonts w:eastAsia="Times New Roman"/>
          <w:szCs w:val="22"/>
          <w:lang w:val="es-ES"/>
        </w:rPr>
      </w:pPr>
      <w:r w:rsidRPr="00D6015E">
        <w:rPr>
          <w:rFonts w:eastAsia="Times New Roman"/>
          <w:szCs w:val="22"/>
          <w:lang w:val="es-ES"/>
        </w:rPr>
        <w:t>El estudio utilizará los siguientes métodos de recolección de datos y recurrirá a diversas fuentes de datos:</w:t>
      </w:r>
    </w:p>
    <w:p w:rsidR="0013363E" w:rsidRPr="00843F53" w:rsidRDefault="0013363E" w:rsidP="0013363E">
      <w:pPr>
        <w:pStyle w:val="Para1"/>
        <w:numPr>
          <w:ilvl w:val="1"/>
          <w:numId w:val="35"/>
        </w:numPr>
        <w:spacing w:before="120"/>
        <w:ind w:left="0" w:firstLine="720"/>
        <w:rPr>
          <w:rFonts w:eastAsia="Times New Roman"/>
          <w:szCs w:val="22"/>
          <w:lang w:val="es-ES"/>
        </w:rPr>
      </w:pPr>
      <w:r w:rsidRPr="00843F53">
        <w:rPr>
          <w:rFonts w:eastAsia="Times New Roman"/>
          <w:szCs w:val="22"/>
          <w:lang w:val="es-ES"/>
        </w:rPr>
        <w:t>Examen documental de documentos pertinentes, entre otros:</w:t>
      </w:r>
    </w:p>
    <w:p w:rsidR="0013363E" w:rsidRPr="00843F53" w:rsidRDefault="0013363E" w:rsidP="00601E65">
      <w:pPr>
        <w:pStyle w:val="Para1"/>
        <w:numPr>
          <w:ilvl w:val="2"/>
          <w:numId w:val="35"/>
        </w:numPr>
        <w:tabs>
          <w:tab w:val="clear" w:pos="1260"/>
        </w:tabs>
        <w:spacing w:after="60"/>
        <w:ind w:left="1418" w:hanging="567"/>
        <w:rPr>
          <w:rFonts w:eastAsia="Times New Roman"/>
          <w:szCs w:val="22"/>
          <w:lang w:val="es-ES"/>
        </w:rPr>
      </w:pPr>
      <w:r w:rsidRPr="00843F53">
        <w:rPr>
          <w:rFonts w:eastAsia="Times New Roman"/>
          <w:szCs w:val="22"/>
          <w:lang w:val="es-ES"/>
        </w:rPr>
        <w:t xml:space="preserve">los sextos informes nacionales </w:t>
      </w:r>
      <w:r w:rsidR="00C9727C">
        <w:rPr>
          <w:rFonts w:eastAsia="Times New Roman"/>
          <w:szCs w:val="22"/>
          <w:lang w:val="es-ES"/>
        </w:rPr>
        <w:t xml:space="preserve">presentados </w:t>
      </w:r>
      <w:r w:rsidRPr="00843F53">
        <w:rPr>
          <w:rFonts w:eastAsia="Times New Roman"/>
          <w:szCs w:val="22"/>
          <w:lang w:val="es-ES"/>
        </w:rPr>
        <w:t>en el marco del Convenio;</w:t>
      </w:r>
    </w:p>
    <w:p w:rsidR="0013363E" w:rsidRPr="00843F53" w:rsidRDefault="0013363E" w:rsidP="00601E65">
      <w:pPr>
        <w:pStyle w:val="Para1"/>
        <w:numPr>
          <w:ilvl w:val="2"/>
          <w:numId w:val="35"/>
        </w:numPr>
        <w:tabs>
          <w:tab w:val="clear" w:pos="1260"/>
        </w:tabs>
        <w:spacing w:after="60"/>
        <w:ind w:left="1418" w:hanging="567"/>
        <w:rPr>
          <w:rFonts w:eastAsia="Times New Roman"/>
          <w:szCs w:val="22"/>
          <w:lang w:val="es-ES"/>
        </w:rPr>
      </w:pPr>
      <w:r w:rsidRPr="00843F53">
        <w:rPr>
          <w:rFonts w:eastAsia="Times New Roman"/>
          <w:szCs w:val="22"/>
          <w:lang w:val="es-ES"/>
        </w:rPr>
        <w:t>los resultados de la primera Evaluación y Revisión del Protocolo de Nagoya;</w:t>
      </w:r>
    </w:p>
    <w:p w:rsidR="0013363E" w:rsidRPr="00843F53" w:rsidRDefault="0013363E" w:rsidP="00601E65">
      <w:pPr>
        <w:pStyle w:val="Para1"/>
        <w:numPr>
          <w:ilvl w:val="2"/>
          <w:numId w:val="35"/>
        </w:numPr>
        <w:tabs>
          <w:tab w:val="clear" w:pos="1260"/>
        </w:tabs>
        <w:spacing w:after="60"/>
        <w:ind w:left="1418" w:hanging="567"/>
        <w:rPr>
          <w:rFonts w:eastAsia="Times New Roman"/>
          <w:szCs w:val="22"/>
          <w:lang w:val="es-ES"/>
        </w:rPr>
      </w:pPr>
      <w:r w:rsidRPr="00843F53">
        <w:rPr>
          <w:rFonts w:eastAsia="Times New Roman"/>
          <w:szCs w:val="22"/>
          <w:lang w:val="es-ES"/>
        </w:rPr>
        <w:t xml:space="preserve">los informes nacionales segundo (como base de referencia) y cuarto </w:t>
      </w:r>
      <w:r w:rsidR="00C9727C">
        <w:rPr>
          <w:rFonts w:eastAsia="Times New Roman"/>
          <w:szCs w:val="22"/>
          <w:lang w:val="es-ES"/>
        </w:rPr>
        <w:t xml:space="preserve">presentados </w:t>
      </w:r>
      <w:r w:rsidRPr="00843F53">
        <w:rPr>
          <w:rFonts w:eastAsia="Times New Roman"/>
          <w:szCs w:val="22"/>
          <w:lang w:val="es-ES"/>
        </w:rPr>
        <w:t>en el marco del Protocolo de Cartagena sobre Seguridad de la Biotecnología;</w:t>
      </w:r>
    </w:p>
    <w:p w:rsidR="0013363E" w:rsidRPr="00843F53" w:rsidRDefault="0013363E" w:rsidP="00601E65">
      <w:pPr>
        <w:pStyle w:val="Para1"/>
        <w:numPr>
          <w:ilvl w:val="2"/>
          <w:numId w:val="35"/>
        </w:numPr>
        <w:tabs>
          <w:tab w:val="clear" w:pos="1260"/>
        </w:tabs>
        <w:spacing w:after="60"/>
        <w:ind w:left="1418" w:hanging="567"/>
        <w:rPr>
          <w:rFonts w:eastAsia="Times New Roman"/>
          <w:szCs w:val="22"/>
          <w:lang w:val="es-ES"/>
        </w:rPr>
      </w:pPr>
      <w:r w:rsidRPr="00843F53">
        <w:rPr>
          <w:rFonts w:eastAsia="Times New Roman"/>
          <w:szCs w:val="22"/>
          <w:lang w:val="es-ES"/>
        </w:rPr>
        <w:t>estrategias y planes de acción nacionales en materia de creación de capacidad</w:t>
      </w:r>
      <w:r w:rsidRPr="00843F53">
        <w:rPr>
          <w:rStyle w:val="FootnoteReference"/>
          <w:rFonts w:eastAsia="Times New Roman"/>
          <w:sz w:val="22"/>
          <w:szCs w:val="22"/>
          <w:u w:val="none"/>
          <w:vertAlign w:val="superscript"/>
          <w:lang w:val="es-ES"/>
        </w:rPr>
        <w:footnoteReference w:id="25"/>
      </w:r>
      <w:r w:rsidRPr="00843F53">
        <w:rPr>
          <w:rFonts w:eastAsia="Times New Roman"/>
          <w:szCs w:val="22"/>
          <w:lang w:val="es-ES"/>
        </w:rPr>
        <w:t>;</w:t>
      </w:r>
    </w:p>
    <w:p w:rsidR="0013363E" w:rsidRPr="00843F53" w:rsidRDefault="0013363E" w:rsidP="00601E65">
      <w:pPr>
        <w:pStyle w:val="Para1"/>
        <w:numPr>
          <w:ilvl w:val="2"/>
          <w:numId w:val="35"/>
        </w:numPr>
        <w:tabs>
          <w:tab w:val="clear" w:pos="1260"/>
        </w:tabs>
        <w:spacing w:after="60"/>
        <w:ind w:left="1418" w:hanging="567"/>
        <w:rPr>
          <w:rFonts w:eastAsia="Times New Roman"/>
          <w:szCs w:val="22"/>
          <w:lang w:val="es-ES"/>
        </w:rPr>
      </w:pPr>
      <w:r w:rsidRPr="00843F53">
        <w:rPr>
          <w:rFonts w:eastAsia="Times New Roman"/>
          <w:szCs w:val="22"/>
          <w:lang w:val="es-ES"/>
        </w:rPr>
        <w:t>informes de las evaluaciones de los marcos estratégicos para la creación de capacidad del Protocolo de Nagoya y el Protocolo de Cartagena;</w:t>
      </w:r>
    </w:p>
    <w:p w:rsidR="0013363E" w:rsidRPr="00843F53" w:rsidRDefault="0013363E" w:rsidP="00601E65">
      <w:pPr>
        <w:pStyle w:val="Para1"/>
        <w:numPr>
          <w:ilvl w:val="2"/>
          <w:numId w:val="35"/>
        </w:numPr>
        <w:tabs>
          <w:tab w:val="clear" w:pos="1260"/>
        </w:tabs>
        <w:spacing w:after="60"/>
        <w:ind w:left="1418" w:hanging="567"/>
        <w:rPr>
          <w:rFonts w:eastAsia="Times New Roman"/>
          <w:szCs w:val="22"/>
          <w:lang w:val="es-ES"/>
        </w:rPr>
      </w:pPr>
      <w:r w:rsidRPr="00843F53">
        <w:rPr>
          <w:rFonts w:eastAsia="Times New Roman"/>
          <w:szCs w:val="22"/>
          <w:lang w:val="es-ES"/>
        </w:rPr>
        <w:t xml:space="preserve">el informe de la evaluación independiente de </w:t>
      </w:r>
      <w:r w:rsidR="004F7385" w:rsidRPr="00843F53">
        <w:rPr>
          <w:rFonts w:eastAsia="Times New Roman"/>
          <w:szCs w:val="22"/>
          <w:lang w:val="es-ES"/>
        </w:rPr>
        <w:t>l</w:t>
      </w:r>
      <w:r w:rsidR="004F7385">
        <w:rPr>
          <w:rFonts w:eastAsia="Times New Roman"/>
          <w:szCs w:val="22"/>
          <w:lang w:val="es-ES"/>
        </w:rPr>
        <w:t>a</w:t>
      </w:r>
      <w:r w:rsidR="004F7385" w:rsidRPr="00843F53">
        <w:rPr>
          <w:rFonts w:eastAsia="Times New Roman"/>
          <w:szCs w:val="22"/>
          <w:lang w:val="es-ES"/>
        </w:rPr>
        <w:t xml:space="preserve">s </w:t>
      </w:r>
      <w:r w:rsidR="004F7385">
        <w:rPr>
          <w:rFonts w:eastAsia="Times New Roman"/>
          <w:szCs w:val="22"/>
          <w:lang w:val="es-ES"/>
        </w:rPr>
        <w:t>r</w:t>
      </w:r>
      <w:r w:rsidR="004F7385" w:rsidRPr="00843F53">
        <w:rPr>
          <w:rFonts w:eastAsia="Times New Roman"/>
          <w:szCs w:val="22"/>
          <w:lang w:val="es-ES"/>
        </w:rPr>
        <w:t>e</w:t>
      </w:r>
      <w:r w:rsidR="004F7385">
        <w:rPr>
          <w:rFonts w:eastAsia="Times New Roman"/>
          <w:szCs w:val="22"/>
          <w:lang w:val="es-ES"/>
        </w:rPr>
        <w:t>per</w:t>
      </w:r>
      <w:r w:rsidR="004F7385" w:rsidRPr="00843F53">
        <w:rPr>
          <w:rFonts w:eastAsia="Times New Roman"/>
          <w:szCs w:val="22"/>
          <w:lang w:val="es-ES"/>
        </w:rPr>
        <w:t>c</w:t>
      </w:r>
      <w:r w:rsidR="004F7385">
        <w:rPr>
          <w:rFonts w:eastAsia="Times New Roman"/>
          <w:szCs w:val="22"/>
          <w:lang w:val="es-ES"/>
        </w:rPr>
        <w:t>usi</w:t>
      </w:r>
      <w:r w:rsidR="004F7385" w:rsidRPr="00843F53">
        <w:rPr>
          <w:rFonts w:eastAsia="Times New Roman"/>
          <w:szCs w:val="22"/>
          <w:lang w:val="es-ES"/>
        </w:rPr>
        <w:t>o</w:t>
      </w:r>
      <w:r w:rsidR="004F7385">
        <w:rPr>
          <w:rFonts w:eastAsia="Times New Roman"/>
          <w:szCs w:val="22"/>
          <w:lang w:val="es-ES"/>
        </w:rPr>
        <w:t>ne</w:t>
      </w:r>
      <w:r w:rsidR="004F7385" w:rsidRPr="00843F53">
        <w:rPr>
          <w:rFonts w:eastAsia="Times New Roman"/>
          <w:szCs w:val="22"/>
          <w:lang w:val="es-ES"/>
        </w:rPr>
        <w:t>s</w:t>
      </w:r>
      <w:r w:rsidRPr="00843F53">
        <w:rPr>
          <w:rFonts w:eastAsia="Times New Roman"/>
          <w:szCs w:val="22"/>
          <w:lang w:val="es-ES"/>
        </w:rPr>
        <w:t xml:space="preserve">, </w:t>
      </w:r>
      <w:r w:rsidR="004F7385">
        <w:rPr>
          <w:rFonts w:eastAsia="Times New Roman"/>
          <w:szCs w:val="22"/>
          <w:lang w:val="es-ES"/>
        </w:rPr>
        <w:t xml:space="preserve">los </w:t>
      </w:r>
      <w:r w:rsidRPr="00843F53">
        <w:rPr>
          <w:rFonts w:eastAsia="Times New Roman"/>
          <w:szCs w:val="22"/>
          <w:lang w:val="es-ES"/>
        </w:rPr>
        <w:t xml:space="preserve">resultados y </w:t>
      </w:r>
      <w:r w:rsidR="004F7385">
        <w:rPr>
          <w:rFonts w:eastAsia="Times New Roman"/>
          <w:szCs w:val="22"/>
          <w:lang w:val="es-ES"/>
        </w:rPr>
        <w:t xml:space="preserve">la </w:t>
      </w:r>
      <w:r w:rsidRPr="00843F53">
        <w:rPr>
          <w:rFonts w:eastAsia="Times New Roman"/>
          <w:szCs w:val="22"/>
          <w:lang w:val="es-ES"/>
        </w:rPr>
        <w:t>eficacia del plan de acción a corto plazo (2017-2020) para mejorar y apoyar la creación de capacidad para la aplicación del Convenio y sus Protocolos;</w:t>
      </w:r>
    </w:p>
    <w:p w:rsidR="003339D5" w:rsidRPr="00843F53" w:rsidRDefault="003339D5" w:rsidP="00601E65">
      <w:pPr>
        <w:pStyle w:val="Para1"/>
        <w:numPr>
          <w:ilvl w:val="2"/>
          <w:numId w:val="35"/>
        </w:numPr>
        <w:tabs>
          <w:tab w:val="clear" w:pos="1260"/>
        </w:tabs>
        <w:spacing w:after="60"/>
        <w:ind w:left="1418" w:hanging="567"/>
        <w:rPr>
          <w:rFonts w:eastAsia="Times New Roman"/>
          <w:szCs w:val="22"/>
          <w:lang w:val="es-ES"/>
        </w:rPr>
      </w:pPr>
      <w:r w:rsidRPr="00843F53">
        <w:rPr>
          <w:rFonts w:eastAsia="Times New Roman"/>
          <w:szCs w:val="22"/>
          <w:lang w:val="es-ES"/>
        </w:rPr>
        <w:t>informes de estudios, encuestas y evaluaciones de necesidades pertinentes realizados por organizaciones pertinentes</w:t>
      </w:r>
      <w:r w:rsidRPr="00843F53">
        <w:rPr>
          <w:rStyle w:val="FootnoteReference"/>
          <w:rFonts w:eastAsia="Times New Roman"/>
          <w:sz w:val="22"/>
          <w:szCs w:val="22"/>
          <w:u w:val="none"/>
          <w:vertAlign w:val="superscript"/>
          <w:lang w:val="es-ES"/>
        </w:rPr>
        <w:footnoteReference w:id="26"/>
      </w:r>
      <w:r w:rsidRPr="00843F53">
        <w:rPr>
          <w:rFonts w:eastAsia="Times New Roman"/>
          <w:szCs w:val="22"/>
          <w:lang w:val="es-ES"/>
        </w:rPr>
        <w:t>;</w:t>
      </w:r>
    </w:p>
    <w:p w:rsidR="003339D5" w:rsidRPr="00843F53" w:rsidRDefault="003339D5" w:rsidP="00601E65">
      <w:pPr>
        <w:pStyle w:val="Para1"/>
        <w:numPr>
          <w:ilvl w:val="2"/>
          <w:numId w:val="35"/>
        </w:numPr>
        <w:tabs>
          <w:tab w:val="clear" w:pos="1260"/>
        </w:tabs>
        <w:spacing w:after="60"/>
        <w:ind w:left="1418" w:hanging="567"/>
        <w:rPr>
          <w:rFonts w:eastAsia="Times New Roman"/>
          <w:szCs w:val="22"/>
          <w:lang w:val="es-ES"/>
        </w:rPr>
      </w:pPr>
      <w:r w:rsidRPr="00843F53">
        <w:rPr>
          <w:rFonts w:eastAsia="Times New Roman"/>
          <w:szCs w:val="22"/>
          <w:lang w:val="es-ES"/>
        </w:rPr>
        <w:t>informes de evaluación de proyectos de creación de capacidad pertinentes;</w:t>
      </w:r>
    </w:p>
    <w:p w:rsidR="004C2C22" w:rsidRPr="00843F53" w:rsidRDefault="004C2C22" w:rsidP="004C2C22">
      <w:pPr>
        <w:pStyle w:val="Para1"/>
        <w:numPr>
          <w:ilvl w:val="1"/>
          <w:numId w:val="35"/>
        </w:numPr>
        <w:tabs>
          <w:tab w:val="clear" w:pos="1440"/>
        </w:tabs>
        <w:spacing w:before="120"/>
        <w:ind w:left="0" w:firstLine="720"/>
        <w:rPr>
          <w:rFonts w:eastAsia="Times New Roman"/>
          <w:szCs w:val="22"/>
          <w:lang w:val="es-ES"/>
        </w:rPr>
      </w:pPr>
      <w:r w:rsidRPr="00843F53">
        <w:rPr>
          <w:rFonts w:eastAsia="Times New Roman"/>
          <w:szCs w:val="22"/>
          <w:lang w:val="es-ES"/>
        </w:rPr>
        <w:t xml:space="preserve">Una encuesta de las Partes y asociados clave para determinar, entre otras cosas, sus necesidades de capacidad </w:t>
      </w:r>
      <w:r w:rsidR="00920B07" w:rsidRPr="00843F53">
        <w:rPr>
          <w:rFonts w:eastAsia="Times New Roman"/>
          <w:szCs w:val="22"/>
          <w:lang w:val="es-ES"/>
        </w:rPr>
        <w:t xml:space="preserve">prioritarias </w:t>
      </w:r>
      <w:r w:rsidRPr="00843F53">
        <w:rPr>
          <w:rFonts w:eastAsia="Times New Roman"/>
          <w:szCs w:val="22"/>
          <w:lang w:val="es-ES"/>
        </w:rPr>
        <w:t xml:space="preserve">y las capacidades que requerirán en el próximo decenio, así como las posibles ofertas de asistencia y otras oportunidades, herramientas y servicios de </w:t>
      </w:r>
      <w:r w:rsidR="00920B07">
        <w:rPr>
          <w:rFonts w:eastAsia="Times New Roman"/>
          <w:szCs w:val="22"/>
          <w:lang w:val="es-ES"/>
        </w:rPr>
        <w:t>desarrollo</w:t>
      </w:r>
      <w:r w:rsidRPr="00843F53">
        <w:rPr>
          <w:rFonts w:eastAsia="Times New Roman"/>
          <w:szCs w:val="22"/>
          <w:lang w:val="es-ES"/>
        </w:rPr>
        <w:t xml:space="preserve"> de capacidad;</w:t>
      </w:r>
    </w:p>
    <w:p w:rsidR="00B90610" w:rsidRPr="00843F53" w:rsidRDefault="00B90610" w:rsidP="00B90610">
      <w:pPr>
        <w:pStyle w:val="Para1"/>
        <w:numPr>
          <w:ilvl w:val="1"/>
          <w:numId w:val="35"/>
        </w:numPr>
        <w:tabs>
          <w:tab w:val="clear" w:pos="1440"/>
        </w:tabs>
        <w:spacing w:before="120"/>
        <w:ind w:left="0" w:firstLine="720"/>
        <w:rPr>
          <w:rFonts w:eastAsia="Times New Roman"/>
          <w:szCs w:val="22"/>
          <w:lang w:val="es-ES"/>
        </w:rPr>
      </w:pPr>
      <w:r w:rsidRPr="00843F53">
        <w:rPr>
          <w:rFonts w:eastAsia="Times New Roman"/>
          <w:szCs w:val="22"/>
          <w:lang w:val="es-ES"/>
        </w:rPr>
        <w:t>Entrevistas a una muestra representativa de interesados directos, incluidos personal del CDB y representantes de las Partes, organizaciones asociadas y otros actores de distintas regiones, incluidas instituciones técnicas y científicas. Se invitará a los entrevistados a que compartan, entre otras cosas, información y opiniones sobre l</w:t>
      </w:r>
      <w:r w:rsidR="00920B07">
        <w:rPr>
          <w:rFonts w:eastAsia="Times New Roman"/>
          <w:szCs w:val="22"/>
          <w:lang w:val="es-ES"/>
        </w:rPr>
        <w:t>a</w:t>
      </w:r>
      <w:r w:rsidRPr="00843F53">
        <w:rPr>
          <w:rFonts w:eastAsia="Times New Roman"/>
          <w:szCs w:val="22"/>
          <w:lang w:val="es-ES"/>
        </w:rPr>
        <w:t xml:space="preserve">s </w:t>
      </w:r>
      <w:r w:rsidR="00920B07">
        <w:rPr>
          <w:rFonts w:eastAsia="Times New Roman"/>
          <w:szCs w:val="22"/>
          <w:lang w:val="es-ES"/>
        </w:rPr>
        <w:t xml:space="preserve">fortalezas </w:t>
      </w:r>
      <w:r w:rsidRPr="00843F53">
        <w:rPr>
          <w:rFonts w:eastAsia="Times New Roman"/>
          <w:szCs w:val="22"/>
          <w:lang w:val="es-ES"/>
        </w:rPr>
        <w:t>y d</w:t>
      </w:r>
      <w:r w:rsidR="00920B07">
        <w:rPr>
          <w:rFonts w:eastAsia="Times New Roman"/>
          <w:szCs w:val="22"/>
          <w:lang w:val="es-ES"/>
        </w:rPr>
        <w:t>e</w:t>
      </w:r>
      <w:r w:rsidRPr="00843F53">
        <w:rPr>
          <w:rFonts w:eastAsia="Times New Roman"/>
          <w:szCs w:val="22"/>
          <w:lang w:val="es-ES"/>
        </w:rPr>
        <w:t>bil</w:t>
      </w:r>
      <w:r w:rsidR="00920B07">
        <w:rPr>
          <w:rFonts w:eastAsia="Times New Roman"/>
          <w:szCs w:val="22"/>
          <w:lang w:val="es-ES"/>
        </w:rPr>
        <w:t>idad</w:t>
      </w:r>
      <w:r w:rsidRPr="00843F53">
        <w:rPr>
          <w:rFonts w:eastAsia="Times New Roman"/>
          <w:szCs w:val="22"/>
          <w:lang w:val="es-ES"/>
        </w:rPr>
        <w:t>es percibid</w:t>
      </w:r>
      <w:r w:rsidR="00920B07">
        <w:rPr>
          <w:rFonts w:eastAsia="Times New Roman"/>
          <w:szCs w:val="22"/>
          <w:lang w:val="es-ES"/>
        </w:rPr>
        <w:t>a</w:t>
      </w:r>
      <w:r w:rsidRPr="00843F53">
        <w:rPr>
          <w:rFonts w:eastAsia="Times New Roman"/>
          <w:szCs w:val="22"/>
          <w:lang w:val="es-ES"/>
        </w:rPr>
        <w:t>s en l</w:t>
      </w:r>
      <w:r w:rsidR="00920B07">
        <w:rPr>
          <w:rFonts w:eastAsia="Times New Roman"/>
          <w:szCs w:val="22"/>
          <w:lang w:val="es-ES"/>
        </w:rPr>
        <w:t>a</w:t>
      </w:r>
      <w:r w:rsidRPr="00843F53">
        <w:rPr>
          <w:rFonts w:eastAsia="Times New Roman"/>
          <w:szCs w:val="22"/>
          <w:lang w:val="es-ES"/>
        </w:rPr>
        <w:t>s divers</w:t>
      </w:r>
      <w:r w:rsidR="00920B07">
        <w:rPr>
          <w:rFonts w:eastAsia="Times New Roman"/>
          <w:szCs w:val="22"/>
          <w:lang w:val="es-ES"/>
        </w:rPr>
        <w:t>a</w:t>
      </w:r>
      <w:r w:rsidRPr="00843F53">
        <w:rPr>
          <w:rFonts w:eastAsia="Times New Roman"/>
          <w:szCs w:val="22"/>
          <w:lang w:val="es-ES"/>
        </w:rPr>
        <w:t xml:space="preserve">s </w:t>
      </w:r>
      <w:r w:rsidR="00B474BA" w:rsidRPr="00843F53">
        <w:rPr>
          <w:rFonts w:eastAsia="Times New Roman"/>
          <w:szCs w:val="22"/>
          <w:lang w:val="es-ES"/>
        </w:rPr>
        <w:t xml:space="preserve">modalidades </w:t>
      </w:r>
      <w:r w:rsidRPr="00843F53">
        <w:rPr>
          <w:rFonts w:eastAsia="Times New Roman"/>
          <w:szCs w:val="22"/>
          <w:lang w:val="es-ES"/>
        </w:rPr>
        <w:t xml:space="preserve">y </w:t>
      </w:r>
      <w:r w:rsidR="00B474BA" w:rsidRPr="00843F53">
        <w:rPr>
          <w:rFonts w:eastAsia="Times New Roman"/>
          <w:szCs w:val="22"/>
          <w:lang w:val="es-ES"/>
        </w:rPr>
        <w:t xml:space="preserve">enfoques </w:t>
      </w:r>
      <w:r w:rsidRPr="00843F53">
        <w:rPr>
          <w:rFonts w:eastAsia="Times New Roman"/>
          <w:szCs w:val="22"/>
          <w:lang w:val="es-ES"/>
        </w:rPr>
        <w:t xml:space="preserve">de prestación de creación de capacidad en distintas circunstancias, experiencias </w:t>
      </w:r>
      <w:r w:rsidR="00920B07" w:rsidRPr="00843F53">
        <w:rPr>
          <w:rFonts w:eastAsia="Times New Roman"/>
          <w:szCs w:val="22"/>
          <w:lang w:val="es-ES"/>
        </w:rPr>
        <w:t xml:space="preserve">y lecciones aprendidas </w:t>
      </w:r>
      <w:r w:rsidRPr="00843F53">
        <w:rPr>
          <w:rFonts w:eastAsia="Times New Roman"/>
          <w:szCs w:val="22"/>
          <w:lang w:val="es-ES"/>
        </w:rPr>
        <w:t>pertinentes y ejemplos de buenas prácticas que podrían aprovecharse, así como opiniones sobre posibles impulsores de</w:t>
      </w:r>
      <w:r w:rsidR="00920B07">
        <w:rPr>
          <w:rFonts w:eastAsia="Times New Roman"/>
          <w:szCs w:val="22"/>
          <w:lang w:val="es-ES"/>
        </w:rPr>
        <w:t>l</w:t>
      </w:r>
      <w:r w:rsidRPr="00843F53">
        <w:rPr>
          <w:rFonts w:eastAsia="Times New Roman"/>
          <w:szCs w:val="22"/>
          <w:lang w:val="es-ES"/>
        </w:rPr>
        <w:t xml:space="preserve"> cambio transformativo para la creación de capacidad en el futuro.</w:t>
      </w:r>
    </w:p>
    <w:p w:rsidR="00AE7A38" w:rsidRPr="00843F53" w:rsidRDefault="00AE7A38" w:rsidP="005552F3">
      <w:pPr>
        <w:pStyle w:val="Para1"/>
        <w:jc w:val="center"/>
        <w:rPr>
          <w:kern w:val="22"/>
          <w:szCs w:val="22"/>
          <w:lang w:val="es-ES"/>
        </w:rPr>
      </w:pPr>
      <w:r w:rsidRPr="00843F53">
        <w:rPr>
          <w:kern w:val="22"/>
          <w:szCs w:val="22"/>
          <w:lang w:val="es-ES"/>
        </w:rPr>
        <w:t>________</w:t>
      </w:r>
      <w:r w:rsidR="007A31F6" w:rsidRPr="00843F53">
        <w:rPr>
          <w:kern w:val="22"/>
          <w:szCs w:val="22"/>
          <w:lang w:val="es-ES"/>
        </w:rPr>
        <w:t>__</w:t>
      </w:r>
    </w:p>
    <w:p w:rsidR="00AE7A38" w:rsidRPr="00843F53" w:rsidRDefault="00AE7A38" w:rsidP="00AE7A38">
      <w:pPr>
        <w:pStyle w:val="Para1"/>
        <w:suppressLineNumbers/>
        <w:suppressAutoHyphens/>
        <w:spacing w:before="120"/>
        <w:rPr>
          <w:kern w:val="22"/>
          <w:szCs w:val="22"/>
          <w:lang w:val="es-ES"/>
        </w:rPr>
      </w:pPr>
    </w:p>
    <w:sectPr w:rsidR="00AE7A38" w:rsidRPr="00843F53" w:rsidSect="00A8651C">
      <w:pgSz w:w="12240" w:h="15840" w:code="1"/>
      <w:pgMar w:top="567" w:right="1440" w:bottom="851" w:left="1440" w:header="461"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73B" w:rsidRDefault="00CE273B">
      <w:r>
        <w:separator/>
      </w:r>
    </w:p>
  </w:endnote>
  <w:endnote w:type="continuationSeparator" w:id="0">
    <w:p w:rsidR="00CE273B" w:rsidRDefault="00CE2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variable"/>
    <w:sig w:usb0="20000003" w:usb1="00000000" w:usb2="00000000" w:usb3="00000000" w:csb0="000001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05" w:rsidRDefault="00F60605" w:rsidP="006F4060">
    <w:pPr>
      <w:pStyle w:val="Footer"/>
      <w:tabs>
        <w:tab w:val="clear" w:pos="4320"/>
        <w:tab w:val="clear" w:pos="8640"/>
      </w:tabs>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05" w:rsidRDefault="00F60605" w:rsidP="002F5491">
    <w:pPr>
      <w:pStyle w:val="Footer"/>
      <w:tabs>
        <w:tab w:val="clear" w:pos="4320"/>
        <w:tab w:val="clear" w:pos="8640"/>
      </w:tabs>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05" w:rsidRPr="009F11A4" w:rsidRDefault="00F60605" w:rsidP="002F5491">
    <w:pPr>
      <w:pStyle w:val="Footer"/>
      <w:tabs>
        <w:tab w:val="clear" w:pos="4320"/>
        <w:tab w:val="clear" w:pos="8640"/>
      </w:tabs>
      <w:ind w:firstLine="0"/>
      <w:jc w:val="left"/>
      <w:rPr>
        <w:noProof/>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05" w:rsidRDefault="00F60605" w:rsidP="006F4060">
    <w:pPr>
      <w:pStyle w:val="Footer"/>
      <w:tabs>
        <w:tab w:val="clear" w:pos="4320"/>
        <w:tab w:val="clear" w:pos="8640"/>
      </w:tabs>
      <w:ind w:firstLine="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05" w:rsidRPr="009F11A4" w:rsidRDefault="00F60605" w:rsidP="009F11A4">
    <w:pPr>
      <w:pStyle w:val="Footer"/>
      <w:tabs>
        <w:tab w:val="clear" w:pos="4320"/>
        <w:tab w:val="clear" w:pos="8640"/>
      </w:tabs>
      <w:jc w:val="center"/>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73B" w:rsidRDefault="00CE273B">
      <w:r>
        <w:separator/>
      </w:r>
    </w:p>
  </w:footnote>
  <w:footnote w:type="continuationSeparator" w:id="0">
    <w:p w:rsidR="00CE273B" w:rsidRDefault="00CE273B">
      <w:r>
        <w:continuationSeparator/>
      </w:r>
    </w:p>
  </w:footnote>
  <w:footnote w:id="1">
    <w:p w:rsidR="00F60605" w:rsidRPr="00963892" w:rsidRDefault="00F60605" w:rsidP="002F5491">
      <w:pPr>
        <w:pStyle w:val="FootnoteText"/>
        <w:kinsoku w:val="0"/>
        <w:overflowPunct w:val="0"/>
        <w:autoSpaceDE w:val="0"/>
        <w:autoSpaceDN w:val="0"/>
        <w:adjustRightInd w:val="0"/>
        <w:snapToGrid w:val="0"/>
        <w:ind w:firstLine="0"/>
        <w:jc w:val="left"/>
        <w:rPr>
          <w:snapToGrid w:val="0"/>
          <w:kern w:val="18"/>
          <w:szCs w:val="18"/>
          <w:lang w:val="es-ES"/>
        </w:rPr>
      </w:pPr>
      <w:r w:rsidRPr="00963892">
        <w:rPr>
          <w:rStyle w:val="FootnoteReference"/>
          <w:snapToGrid w:val="0"/>
          <w:kern w:val="18"/>
          <w:szCs w:val="18"/>
          <w:u w:val="none"/>
          <w:lang w:val="es-ES"/>
        </w:rPr>
        <w:t>*</w:t>
      </w:r>
      <w:r w:rsidRPr="00963892">
        <w:rPr>
          <w:snapToGrid w:val="0"/>
          <w:kern w:val="18"/>
          <w:szCs w:val="18"/>
          <w:lang w:val="es-ES"/>
        </w:rPr>
        <w:t xml:space="preserve"> CBD/SBI/2/1.</w:t>
      </w:r>
    </w:p>
  </w:footnote>
  <w:footnote w:id="2">
    <w:p w:rsidR="00F60605" w:rsidRDefault="00F60605">
      <w:pPr>
        <w:pStyle w:val="FootnoteText"/>
        <w:kinsoku w:val="0"/>
        <w:overflowPunct w:val="0"/>
        <w:autoSpaceDE w:val="0"/>
        <w:autoSpaceDN w:val="0"/>
        <w:adjustRightInd w:val="0"/>
        <w:snapToGrid w:val="0"/>
        <w:ind w:firstLine="0"/>
        <w:jc w:val="left"/>
        <w:rPr>
          <w:rFonts w:eastAsia="Times New Roman"/>
        </w:rPr>
      </w:pPr>
      <w:r>
        <w:rPr>
          <w:rStyle w:val="FootnoteReference"/>
          <w:rFonts w:eastAsia="Times New Roman"/>
          <w:kern w:val="18"/>
          <w:u w:val="none"/>
          <w:vertAlign w:val="superscript"/>
          <w:lang w:val="es-ES"/>
        </w:rPr>
        <w:footnoteRef/>
      </w:r>
      <w:r>
        <w:rPr>
          <w:rFonts w:eastAsia="Times New Roman"/>
          <w:kern w:val="18"/>
          <w:lang w:val="es-ES"/>
        </w:rPr>
        <w:t xml:space="preserve"> En la tercera reunión del Comité Asesor Oficioso sobre Creación de Capacidad para la Aplicación del Protocolo de Nagoya, celebrada en marzo de 2018, se trató un proyecto de elementos para la evaluación del marco estratégico (véase el documento CBD/ABS/CB-IAC/2018/1/3 disponible en inglés en </w:t>
      </w:r>
      <w:hyperlink r:id="rId1" w:history="1">
        <w:r>
          <w:rPr>
            <w:rStyle w:val="Hyperlink"/>
            <w:rFonts w:eastAsia="Times New Roman"/>
            <w:kern w:val="18"/>
            <w:lang w:val="es-ES"/>
          </w:rPr>
          <w:t>https://www.cbd.int/meetings/ABSCBIAC-2018-01</w:t>
        </w:r>
      </w:hyperlink>
      <w:r>
        <w:rPr>
          <w:rFonts w:eastAsia="Times New Roman"/>
          <w:kern w:val="18"/>
          <w:lang w:val="es-ES"/>
        </w:rPr>
        <w:t>).</w:t>
      </w:r>
    </w:p>
  </w:footnote>
  <w:footnote w:id="3">
    <w:p w:rsidR="00F60605" w:rsidRDefault="00F60605" w:rsidP="00843F53">
      <w:pPr>
        <w:pStyle w:val="FootnoteText"/>
        <w:kinsoku w:val="0"/>
        <w:overflowPunct w:val="0"/>
        <w:autoSpaceDE w:val="0"/>
        <w:autoSpaceDN w:val="0"/>
        <w:adjustRightInd w:val="0"/>
        <w:snapToGrid w:val="0"/>
        <w:ind w:firstLine="0"/>
        <w:jc w:val="left"/>
        <w:rPr>
          <w:rFonts w:eastAsia="Times New Roman"/>
        </w:rPr>
      </w:pPr>
      <w:r>
        <w:rPr>
          <w:rStyle w:val="FootnoteReference"/>
          <w:rFonts w:eastAsia="Times New Roman"/>
          <w:kern w:val="18"/>
          <w:u w:val="none"/>
          <w:vertAlign w:val="superscript"/>
          <w:lang w:val="es-ES"/>
        </w:rPr>
        <w:footnoteRef/>
      </w:r>
      <w:r>
        <w:rPr>
          <w:rFonts w:eastAsia="Times New Roman"/>
          <w:kern w:val="18"/>
          <w:lang w:val="es-ES"/>
        </w:rPr>
        <w:t xml:space="preserve"> Los números de BioCAP están disponibles en el sitio web del Convenio en:</w:t>
      </w:r>
      <w:r>
        <w:rPr>
          <w:rFonts w:eastAsia="Times New Roman"/>
          <w:kern w:val="18"/>
        </w:rPr>
        <w:t xml:space="preserve"> </w:t>
      </w:r>
      <w:hyperlink r:id="rId2" w:history="1">
        <w:r>
          <w:rPr>
            <w:rStyle w:val="Hyperlink"/>
            <w:rFonts w:eastAsia="Times New Roman"/>
            <w:kern w:val="18"/>
            <w:lang w:val="es-ES"/>
          </w:rPr>
          <w:t>https://www.cbd.int/doc/newsletters/default.shtml</w:t>
        </w:r>
      </w:hyperlink>
      <w:r>
        <w:rPr>
          <w:rFonts w:eastAsia="Times New Roman"/>
          <w:kern w:val="18"/>
          <w:lang w:val="es-ES"/>
        </w:rPr>
        <w:t>.</w:t>
      </w:r>
    </w:p>
  </w:footnote>
  <w:footnote w:id="4">
    <w:p w:rsidR="00F60605" w:rsidRDefault="00F60605" w:rsidP="00956682">
      <w:pPr>
        <w:pStyle w:val="FootnoteText"/>
        <w:kinsoku w:val="0"/>
        <w:overflowPunct w:val="0"/>
        <w:autoSpaceDE w:val="0"/>
        <w:autoSpaceDN w:val="0"/>
        <w:adjustRightInd w:val="0"/>
        <w:snapToGrid w:val="0"/>
        <w:ind w:firstLine="0"/>
        <w:jc w:val="left"/>
        <w:rPr>
          <w:rFonts w:eastAsia="Times New Roman"/>
        </w:rPr>
      </w:pPr>
      <w:r>
        <w:rPr>
          <w:rStyle w:val="FootnoteReference"/>
          <w:rFonts w:eastAsia="Times New Roman"/>
          <w:kern w:val="18"/>
          <w:u w:val="none"/>
          <w:vertAlign w:val="superscript"/>
          <w:lang w:val="es-ES"/>
        </w:rPr>
        <w:footnoteRef/>
      </w:r>
      <w:r>
        <w:rPr>
          <w:rFonts w:eastAsia="Times New Roman"/>
          <w:kern w:val="18"/>
          <w:lang w:val="es-ES"/>
        </w:rPr>
        <w:t xml:space="preserve"> Para mayor información sobre esta reunión y la del Grupo de Enlace, véase el documento CBD/SBI/2/INF/12.</w:t>
      </w:r>
    </w:p>
  </w:footnote>
  <w:footnote w:id="5">
    <w:p w:rsidR="00F60605" w:rsidRDefault="00F60605" w:rsidP="004E6589">
      <w:pPr>
        <w:pStyle w:val="FootnoteText"/>
        <w:kinsoku w:val="0"/>
        <w:overflowPunct w:val="0"/>
        <w:autoSpaceDE w:val="0"/>
        <w:autoSpaceDN w:val="0"/>
        <w:adjustRightInd w:val="0"/>
        <w:snapToGrid w:val="0"/>
        <w:ind w:firstLine="0"/>
        <w:jc w:val="left"/>
        <w:rPr>
          <w:rFonts w:eastAsia="Times New Roman"/>
        </w:rPr>
      </w:pPr>
      <w:r>
        <w:rPr>
          <w:rStyle w:val="FootnoteReference"/>
          <w:rFonts w:eastAsia="Times New Roman"/>
          <w:kern w:val="18"/>
          <w:u w:val="none"/>
          <w:vertAlign w:val="superscript"/>
          <w:lang w:val="es-ES"/>
        </w:rPr>
        <w:footnoteRef/>
      </w:r>
      <w:r>
        <w:rPr>
          <w:rFonts w:eastAsia="Times New Roman"/>
          <w:kern w:val="18"/>
          <w:lang w:val="es-ES"/>
        </w:rPr>
        <w:t xml:space="preserve"> Para más detalles sobre Bioland véase </w:t>
      </w:r>
      <w:hyperlink r:id="rId3" w:history="1">
        <w:r>
          <w:rPr>
            <w:rStyle w:val="Hyperlink"/>
            <w:rFonts w:eastAsia="Times New Roman"/>
            <w:kern w:val="18"/>
            <w:lang w:val="es-ES"/>
          </w:rPr>
          <w:t>https://demo.chm-cbd.net/es</w:t>
        </w:r>
      </w:hyperlink>
      <w:r>
        <w:rPr>
          <w:rFonts w:eastAsia="Times New Roman"/>
          <w:lang w:val="es-ES"/>
        </w:rPr>
        <w:t>.</w:t>
      </w:r>
    </w:p>
  </w:footnote>
  <w:footnote w:id="6">
    <w:p w:rsidR="00F60605" w:rsidRDefault="00F60605" w:rsidP="0032141D">
      <w:pPr>
        <w:pStyle w:val="FootnoteText"/>
        <w:kinsoku w:val="0"/>
        <w:overflowPunct w:val="0"/>
        <w:autoSpaceDE w:val="0"/>
        <w:autoSpaceDN w:val="0"/>
        <w:adjustRightInd w:val="0"/>
        <w:snapToGrid w:val="0"/>
        <w:ind w:firstLine="0"/>
        <w:jc w:val="left"/>
        <w:rPr>
          <w:rFonts w:eastAsia="Times New Roman"/>
        </w:rPr>
      </w:pPr>
      <w:r>
        <w:rPr>
          <w:rStyle w:val="FootnoteReference"/>
          <w:rFonts w:eastAsia="Times New Roman"/>
          <w:kern w:val="18"/>
          <w:u w:val="none"/>
          <w:vertAlign w:val="superscript"/>
          <w:lang w:val="es-ES"/>
        </w:rPr>
        <w:footnoteRef/>
      </w:r>
      <w:r>
        <w:rPr>
          <w:rFonts w:eastAsia="Times New Roman"/>
          <w:kern w:val="18"/>
          <w:lang w:val="es-ES"/>
        </w:rPr>
        <w:t xml:space="preserve"> Los países que se han beneficiado directamente de proyectos de pequeña escala son: Antigua y Barbuda, Belarús, Bhután, Botswana, Brasil, Burundi, Camboya, Camerún, China, Colombia, Cuba, Ecuador, Etiopía, Filipinas, Ghana, India, Kenya, Madagascar, Malawi, Marruecos, México, Mongolia, Nigeria, Perú, República de Moldova, Sri Lanka, Suriname, Togo, Túnez, Turquía, Uruguay, Venezuela, Viet Nam y Zimbabwe.</w:t>
      </w:r>
    </w:p>
  </w:footnote>
  <w:footnote w:id="7">
    <w:p w:rsidR="00F60605" w:rsidRDefault="00F60605" w:rsidP="0032141D">
      <w:pPr>
        <w:pStyle w:val="FootnoteText"/>
        <w:kinsoku w:val="0"/>
        <w:overflowPunct w:val="0"/>
        <w:autoSpaceDE w:val="0"/>
        <w:autoSpaceDN w:val="0"/>
        <w:adjustRightInd w:val="0"/>
        <w:snapToGrid w:val="0"/>
        <w:ind w:firstLine="0"/>
        <w:jc w:val="left"/>
        <w:rPr>
          <w:rFonts w:eastAsia="Times New Roman"/>
        </w:rPr>
      </w:pPr>
      <w:r>
        <w:rPr>
          <w:rStyle w:val="FootnoteReference"/>
          <w:rFonts w:eastAsia="Times New Roman"/>
          <w:kern w:val="18"/>
          <w:u w:val="none"/>
          <w:vertAlign w:val="superscript"/>
          <w:lang w:val="es-ES"/>
        </w:rPr>
        <w:footnoteRef/>
      </w:r>
      <w:r>
        <w:rPr>
          <w:rFonts w:eastAsia="Times New Roman"/>
          <w:kern w:val="18"/>
          <w:lang w:val="es-ES"/>
        </w:rPr>
        <w:t xml:space="preserve"> Como se describe en los párrafos 30 y 31 del documento CBD/SBI/2/INF/6, los proyectos experimentales se centraron en información y datos espaciales, datos socioeconómicos e integración de la diversidad biológica, y los resultados fueron incorporados a procesos nacionales de formulación de políticas o planificación con la introducción de escenarios alternativos favorables a la diversidad biológica.</w:t>
      </w:r>
    </w:p>
  </w:footnote>
  <w:footnote w:id="8">
    <w:p w:rsidR="00F60605" w:rsidRPr="00843F53" w:rsidRDefault="00F60605" w:rsidP="00843F53">
      <w:pPr>
        <w:pStyle w:val="FootnoteText"/>
        <w:ind w:firstLine="0"/>
        <w:rPr>
          <w:lang w:val="es-ES"/>
        </w:rPr>
      </w:pPr>
      <w:r w:rsidRPr="00843F53">
        <w:rPr>
          <w:rStyle w:val="FootnoteReference"/>
          <w:u w:val="none"/>
          <w:vertAlign w:val="superscript"/>
          <w:lang w:val="es-ES"/>
        </w:rPr>
        <w:footnoteRef/>
      </w:r>
      <w:r w:rsidRPr="00843F53">
        <w:rPr>
          <w:lang w:val="es-ES"/>
        </w:rPr>
        <w:t xml:space="preserve"> Para facilitar la aplicación descentralizada de las hojas de ruta de la Meta 11 y las acciones </w:t>
      </w:r>
      <w:r>
        <w:rPr>
          <w:lang w:val="es-ES"/>
        </w:rPr>
        <w:t>d</w:t>
      </w:r>
      <w:r w:rsidRPr="00843F53">
        <w:rPr>
          <w:lang w:val="es-ES"/>
        </w:rPr>
        <w:t>e las versiones revisadas de las EPANB a nivel subregional, la Secretaría identificó y facilitó el establecimiento y puesta en funcionamiento de redes de apoyo en diez subregiones, cada una de ellas coordinada por un organismo, las cuales reúnen a interesados directos pertinentes en las respectivas subregiones para que armonicen sus actividades y logren así intervenciones más enfocadas.</w:t>
      </w:r>
    </w:p>
  </w:footnote>
  <w:footnote w:id="9">
    <w:p w:rsidR="00F60605" w:rsidRDefault="00F60605" w:rsidP="000759CE">
      <w:pPr>
        <w:pStyle w:val="FootnoteText"/>
        <w:kinsoku w:val="0"/>
        <w:overflowPunct w:val="0"/>
        <w:autoSpaceDE w:val="0"/>
        <w:autoSpaceDN w:val="0"/>
        <w:adjustRightInd w:val="0"/>
        <w:snapToGrid w:val="0"/>
        <w:ind w:firstLine="0"/>
        <w:jc w:val="left"/>
        <w:rPr>
          <w:rFonts w:eastAsia="Times New Roman"/>
        </w:rPr>
      </w:pPr>
      <w:r>
        <w:rPr>
          <w:rStyle w:val="FootnoteReference"/>
          <w:rFonts w:eastAsia="Times New Roman"/>
          <w:kern w:val="18"/>
          <w:u w:val="none"/>
          <w:vertAlign w:val="superscript"/>
          <w:lang w:val="es-ES"/>
        </w:rPr>
        <w:footnoteRef/>
      </w:r>
      <w:r>
        <w:rPr>
          <w:rFonts w:eastAsia="Times New Roman"/>
          <w:kern w:val="18"/>
          <w:lang w:val="es-ES"/>
        </w:rPr>
        <w:t xml:space="preserve"> </w:t>
      </w:r>
      <w:r>
        <w:rPr>
          <w:rFonts w:eastAsia="Times New Roman"/>
          <w:lang w:val="es-ES"/>
        </w:rPr>
        <w:t xml:space="preserve">Para detalles, véase </w:t>
      </w:r>
      <w:hyperlink r:id="rId4" w:history="1">
        <w:r>
          <w:rPr>
            <w:rStyle w:val="Hyperlink"/>
            <w:rFonts w:eastAsia="Times New Roman"/>
            <w:kern w:val="18"/>
            <w:lang w:val="es-ES"/>
          </w:rPr>
          <w:t>http://www.biodiversityfinance.net/regional-nodes</w:t>
        </w:r>
      </w:hyperlink>
      <w:r>
        <w:rPr>
          <w:rFonts w:eastAsia="Times New Roman"/>
          <w:lang w:val="es-ES"/>
        </w:rPr>
        <w:t>.</w:t>
      </w:r>
    </w:p>
  </w:footnote>
  <w:footnote w:id="10">
    <w:p w:rsidR="00F60605" w:rsidRDefault="00F60605" w:rsidP="000759CE">
      <w:pPr>
        <w:pStyle w:val="FootnoteText"/>
        <w:kinsoku w:val="0"/>
        <w:overflowPunct w:val="0"/>
        <w:autoSpaceDE w:val="0"/>
        <w:autoSpaceDN w:val="0"/>
        <w:adjustRightInd w:val="0"/>
        <w:snapToGrid w:val="0"/>
        <w:ind w:firstLine="0"/>
        <w:jc w:val="left"/>
        <w:rPr>
          <w:rFonts w:eastAsia="Times New Roman"/>
        </w:rPr>
      </w:pPr>
      <w:r>
        <w:rPr>
          <w:rStyle w:val="FootnoteReference"/>
          <w:rFonts w:eastAsia="Times New Roman"/>
          <w:kern w:val="18"/>
          <w:u w:val="none"/>
          <w:vertAlign w:val="superscript"/>
          <w:lang w:val="es-ES"/>
        </w:rPr>
        <w:footnoteRef/>
      </w:r>
      <w:r>
        <w:rPr>
          <w:rFonts w:eastAsia="Times New Roman"/>
          <w:kern w:val="18"/>
          <w:lang w:val="es-ES"/>
        </w:rPr>
        <w:t xml:space="preserve"> Para detalles, véase: </w:t>
      </w:r>
      <w:hyperlink r:id="rId5" w:history="1">
        <w:r>
          <w:rPr>
            <w:rStyle w:val="Hyperlink"/>
            <w:rFonts w:eastAsia="Times New Roman"/>
            <w:kern w:val="18"/>
            <w:lang w:val="es-ES"/>
          </w:rPr>
          <w:t>http://bch.cbd.int/onlineconferences/portal_detection/lab_network.shtml</w:t>
        </w:r>
      </w:hyperlink>
      <w:r>
        <w:rPr>
          <w:rFonts w:eastAsia="Times New Roman"/>
          <w:kern w:val="18"/>
          <w:lang w:val="es-ES"/>
        </w:rPr>
        <w:t>.</w:t>
      </w:r>
    </w:p>
  </w:footnote>
  <w:footnote w:id="11">
    <w:p w:rsidR="00F60605" w:rsidRPr="002B508A" w:rsidRDefault="00F60605" w:rsidP="002B508A">
      <w:pPr>
        <w:pStyle w:val="FootnoteText"/>
        <w:ind w:firstLine="0"/>
        <w:rPr>
          <w:lang w:val="es-UY"/>
        </w:rPr>
      </w:pPr>
      <w:r w:rsidRPr="002B508A">
        <w:rPr>
          <w:rStyle w:val="FootnoteReference"/>
          <w:u w:val="none"/>
          <w:vertAlign w:val="superscript"/>
        </w:rPr>
        <w:footnoteRef/>
      </w:r>
      <w:r>
        <w:t xml:space="preserve"> </w:t>
      </w:r>
      <w:r>
        <w:rPr>
          <w:rFonts w:eastAsia="Times New Roman"/>
          <w:kern w:val="18"/>
          <w:lang w:val="es-ES"/>
        </w:rPr>
        <w:t xml:space="preserve">Véase </w:t>
      </w:r>
      <w:hyperlink r:id="rId6" w:history="1">
        <w:r>
          <w:rPr>
            <w:rStyle w:val="Hyperlink"/>
            <w:rFonts w:eastAsia="Times New Roman"/>
            <w:kern w:val="18"/>
            <w:lang w:val="es-ES"/>
          </w:rPr>
          <w:t>http://www.idlo.int/what-we-do/initiatives/advancing-nagoya-protocol</w:t>
        </w:r>
      </w:hyperlink>
      <w:r>
        <w:rPr>
          <w:rFonts w:eastAsia="Times New Roman"/>
          <w:kern w:val="18"/>
          <w:lang w:val="es-ES"/>
        </w:rPr>
        <w:t>.</w:t>
      </w:r>
    </w:p>
  </w:footnote>
  <w:footnote w:id="12">
    <w:p w:rsidR="00F60605" w:rsidRDefault="00F60605" w:rsidP="00451F31">
      <w:pPr>
        <w:pStyle w:val="FootnoteText"/>
        <w:kinsoku w:val="0"/>
        <w:overflowPunct w:val="0"/>
        <w:autoSpaceDE w:val="0"/>
        <w:autoSpaceDN w:val="0"/>
        <w:adjustRightInd w:val="0"/>
        <w:snapToGrid w:val="0"/>
        <w:ind w:firstLine="0"/>
        <w:jc w:val="left"/>
        <w:rPr>
          <w:rFonts w:eastAsia="Times New Roman"/>
        </w:rPr>
      </w:pPr>
      <w:r>
        <w:rPr>
          <w:rStyle w:val="FootnoteReference"/>
          <w:rFonts w:eastAsia="Times New Roman"/>
          <w:kern w:val="18"/>
          <w:u w:val="none"/>
          <w:vertAlign w:val="superscript"/>
          <w:lang w:val="es-ES"/>
        </w:rPr>
        <w:footnoteRef/>
      </w:r>
      <w:r>
        <w:rPr>
          <w:rFonts w:eastAsia="Times New Roman"/>
          <w:kern w:val="18"/>
          <w:lang w:val="es-ES"/>
        </w:rPr>
        <w:t xml:space="preserve"> El Plan de Acción está disponible en inglés en: </w:t>
      </w:r>
      <w:hyperlink r:id="rId7" w:history="1">
        <w:r>
          <w:rPr>
            <w:rStyle w:val="Hyperlink"/>
            <w:rFonts w:eastAsia="Times New Roman"/>
            <w:kern w:val="18"/>
            <w:lang w:val="es-ES"/>
          </w:rPr>
          <w:t>https://www.cbd.int/bio-bridge/BBI-Action-Plan-2017-2020.pdf</w:t>
        </w:r>
      </w:hyperlink>
      <w:r>
        <w:rPr>
          <w:rFonts w:eastAsia="Times New Roman"/>
          <w:lang w:val="es-ES"/>
        </w:rPr>
        <w:t>.</w:t>
      </w:r>
      <w:r>
        <w:rPr>
          <w:rFonts w:eastAsia="Times New Roman"/>
          <w:kern w:val="18"/>
        </w:rPr>
        <w:t xml:space="preserve"> </w:t>
      </w:r>
    </w:p>
  </w:footnote>
  <w:footnote w:id="13">
    <w:p w:rsidR="00F60605" w:rsidRDefault="00F60605" w:rsidP="00F16290">
      <w:pPr>
        <w:pStyle w:val="FootnoteText"/>
        <w:kinsoku w:val="0"/>
        <w:overflowPunct w:val="0"/>
        <w:autoSpaceDE w:val="0"/>
        <w:autoSpaceDN w:val="0"/>
        <w:adjustRightInd w:val="0"/>
        <w:snapToGrid w:val="0"/>
        <w:ind w:firstLine="0"/>
        <w:jc w:val="left"/>
        <w:rPr>
          <w:rFonts w:eastAsia="Times New Roman"/>
        </w:rPr>
      </w:pPr>
      <w:r>
        <w:rPr>
          <w:rStyle w:val="FootnoteReference"/>
          <w:rFonts w:eastAsia="Times New Roman"/>
          <w:kern w:val="18"/>
          <w:u w:val="none"/>
          <w:vertAlign w:val="superscript"/>
          <w:lang w:val="es-ES"/>
        </w:rPr>
        <w:footnoteRef/>
      </w:r>
      <w:r>
        <w:rPr>
          <w:rFonts w:eastAsia="Times New Roman"/>
          <w:kern w:val="18"/>
          <w:lang w:val="es-ES"/>
        </w:rPr>
        <w:t xml:space="preserve"> Puede accederse a la plataforma en </w:t>
      </w:r>
      <w:hyperlink r:id="rId8" w:history="1">
        <w:r>
          <w:rPr>
            <w:rStyle w:val="Hyperlink"/>
            <w:rFonts w:eastAsia="Times New Roman"/>
            <w:kern w:val="18"/>
            <w:lang w:val="es-ES"/>
          </w:rPr>
          <w:t>https://www.cbd.int/biobridge/platform</w:t>
        </w:r>
      </w:hyperlink>
      <w:r>
        <w:rPr>
          <w:rFonts w:eastAsia="Times New Roman"/>
          <w:lang w:val="es-ES"/>
        </w:rPr>
        <w:t>.</w:t>
      </w:r>
      <w:r>
        <w:rPr>
          <w:rFonts w:eastAsia="Times New Roman"/>
          <w:kern w:val="18"/>
          <w:lang w:val="es-ES"/>
        </w:rPr>
        <w:t xml:space="preserve"> </w:t>
      </w:r>
    </w:p>
  </w:footnote>
  <w:footnote w:id="14">
    <w:p w:rsidR="00F60605" w:rsidRDefault="00F60605" w:rsidP="00545EDD">
      <w:pPr>
        <w:pStyle w:val="FootnoteText"/>
        <w:kinsoku w:val="0"/>
        <w:overflowPunct w:val="0"/>
        <w:autoSpaceDE w:val="0"/>
        <w:autoSpaceDN w:val="0"/>
        <w:adjustRightInd w:val="0"/>
        <w:snapToGrid w:val="0"/>
        <w:ind w:firstLine="0"/>
        <w:jc w:val="left"/>
        <w:rPr>
          <w:rFonts w:eastAsia="Times New Roman"/>
        </w:rPr>
      </w:pPr>
      <w:r>
        <w:rPr>
          <w:rStyle w:val="FootnoteReference"/>
          <w:rFonts w:eastAsia="Times New Roman"/>
          <w:kern w:val="18"/>
          <w:u w:val="none"/>
          <w:vertAlign w:val="superscript"/>
          <w:lang w:val="es-ES"/>
        </w:rPr>
        <w:footnoteRef/>
      </w:r>
      <w:r>
        <w:rPr>
          <w:rFonts w:eastAsia="Times New Roman"/>
          <w:kern w:val="18"/>
          <w:lang w:val="es-ES"/>
        </w:rPr>
        <w:t xml:space="preserve"> Para más detalles, véase la notificación 2018-022, disponible en: </w:t>
      </w:r>
      <w:hyperlink r:id="rId9" w:history="1">
        <w:r>
          <w:rPr>
            <w:rStyle w:val="Hyperlink"/>
            <w:rFonts w:eastAsia="Times New Roman"/>
            <w:kern w:val="18"/>
            <w:lang w:val="es-ES"/>
          </w:rPr>
          <w:t>https://www.cbd.int/doc/notifications/2018/ntf-2018-022-bbi-en.pdf</w:t>
        </w:r>
      </w:hyperlink>
      <w:r>
        <w:rPr>
          <w:rFonts w:eastAsia="Times New Roman"/>
          <w:kern w:val="18"/>
          <w:lang w:val="es-ES"/>
        </w:rPr>
        <w:t>.</w:t>
      </w:r>
      <w:r>
        <w:rPr>
          <w:rFonts w:eastAsia="Times New Roman"/>
          <w:kern w:val="18"/>
        </w:rPr>
        <w:t xml:space="preserve"> </w:t>
      </w:r>
      <w:r>
        <w:rPr>
          <w:rFonts w:eastAsia="Times New Roman"/>
          <w:kern w:val="18"/>
          <w:lang w:val="es-ES"/>
        </w:rPr>
        <w:t>Otro país (Viet Nam), que fue seleccionado para recibir financiación inicial, aún no ha presentado una propuesta completa de proyecto y plan de ejecución.</w:t>
      </w:r>
      <w:r>
        <w:rPr>
          <w:rFonts w:eastAsia="Times New Roman"/>
          <w:kern w:val="18"/>
        </w:rPr>
        <w:t xml:space="preserve"> </w:t>
      </w:r>
      <w:r>
        <w:rPr>
          <w:rFonts w:eastAsia="Times New Roman"/>
          <w:kern w:val="18"/>
          <w:lang w:val="es-ES"/>
        </w:rPr>
        <w:t xml:space="preserve">Puede accederse a descripciones breves de los proyectos seleccionados en: </w:t>
      </w:r>
      <w:hyperlink r:id="rId10" w:history="1">
        <w:r>
          <w:rPr>
            <w:rStyle w:val="Hyperlink"/>
            <w:rFonts w:eastAsia="Times New Roman"/>
            <w:kern w:val="18"/>
            <w:lang w:val="es-ES"/>
          </w:rPr>
          <w:t>https://www.cbd.int/biobridge/projects/selected</w:t>
        </w:r>
      </w:hyperlink>
      <w:r>
        <w:rPr>
          <w:rFonts w:eastAsia="Times New Roman"/>
          <w:kern w:val="18"/>
        </w:rPr>
        <w:t>.</w:t>
      </w:r>
    </w:p>
  </w:footnote>
  <w:footnote w:id="15">
    <w:p w:rsidR="00F60605" w:rsidRPr="00843F53" w:rsidRDefault="00F60605" w:rsidP="00843F53">
      <w:pPr>
        <w:pStyle w:val="FootnoteText"/>
        <w:ind w:firstLine="0"/>
        <w:rPr>
          <w:lang w:val="es-UY"/>
        </w:rPr>
      </w:pPr>
    </w:p>
  </w:footnote>
  <w:footnote w:id="16">
    <w:p w:rsidR="00F60605" w:rsidRDefault="00F60605" w:rsidP="00853275">
      <w:pPr>
        <w:pStyle w:val="FootnoteText"/>
        <w:kinsoku w:val="0"/>
        <w:overflowPunct w:val="0"/>
        <w:autoSpaceDE w:val="0"/>
        <w:autoSpaceDN w:val="0"/>
        <w:adjustRightInd w:val="0"/>
        <w:snapToGrid w:val="0"/>
        <w:ind w:firstLine="0"/>
        <w:jc w:val="left"/>
        <w:rPr>
          <w:rFonts w:eastAsia="Times New Roman"/>
        </w:rPr>
      </w:pPr>
      <w:r>
        <w:rPr>
          <w:rStyle w:val="FootnoteReference"/>
          <w:rFonts w:eastAsia="Times New Roman"/>
          <w:kern w:val="18"/>
          <w:u w:val="none"/>
          <w:vertAlign w:val="superscript"/>
          <w:lang w:val="es-ES"/>
        </w:rPr>
        <w:footnoteRef/>
      </w:r>
      <w:r>
        <w:rPr>
          <w:rFonts w:eastAsia="Times New Roman"/>
          <w:kern w:val="18"/>
          <w:vertAlign w:val="superscript"/>
          <w:lang w:val="es-ES"/>
        </w:rPr>
        <w:t xml:space="preserve"> </w:t>
      </w:r>
      <w:r>
        <w:rPr>
          <w:rFonts w:eastAsia="Times New Roman"/>
          <w:kern w:val="18"/>
          <w:lang w:val="es-ES"/>
        </w:rPr>
        <w:t xml:space="preserve">Véase </w:t>
      </w:r>
      <w:hyperlink r:id="rId11" w:history="1">
        <w:r>
          <w:rPr>
            <w:rStyle w:val="Hyperlink"/>
            <w:rFonts w:eastAsia="Times New Roman"/>
            <w:kern w:val="18"/>
            <w:lang w:val="es-ES"/>
          </w:rPr>
          <w:t>https://www.cbd.int/cooperation/csp</w:t>
        </w:r>
      </w:hyperlink>
      <w:r>
        <w:rPr>
          <w:rFonts w:eastAsia="Times New Roman"/>
          <w:kern w:val="18"/>
          <w:lang w:val="es-ES"/>
        </w:rPr>
        <w:t>.</w:t>
      </w:r>
    </w:p>
  </w:footnote>
  <w:footnote w:id="17">
    <w:p w:rsidR="00F60605" w:rsidRDefault="00F60605" w:rsidP="00843F53">
      <w:pPr>
        <w:pStyle w:val="FootnoteText"/>
        <w:kinsoku w:val="0"/>
        <w:overflowPunct w:val="0"/>
        <w:autoSpaceDE w:val="0"/>
        <w:autoSpaceDN w:val="0"/>
        <w:adjustRightInd w:val="0"/>
        <w:snapToGrid w:val="0"/>
        <w:ind w:firstLine="0"/>
        <w:jc w:val="left"/>
        <w:rPr>
          <w:rFonts w:eastAsia="Times New Roman"/>
        </w:rPr>
      </w:pPr>
      <w:r w:rsidRPr="00843F53">
        <w:rPr>
          <w:rStyle w:val="FootnoteReference"/>
          <w:rFonts w:eastAsia="Times New Roman"/>
          <w:kern w:val="18"/>
          <w:u w:val="none"/>
          <w:vertAlign w:val="superscript"/>
          <w:lang w:val="es-ES"/>
        </w:rPr>
        <w:footnoteRef/>
      </w:r>
      <w:r>
        <w:rPr>
          <w:rFonts w:eastAsia="Times New Roman"/>
          <w:kern w:val="18"/>
          <w:lang w:val="es-ES"/>
        </w:rPr>
        <w:t xml:space="preserve"> </w:t>
      </w:r>
      <w:hyperlink r:id="rId12" w:history="1">
        <w:r>
          <w:rPr>
            <w:rStyle w:val="Hyperlink"/>
            <w:rFonts w:eastAsia="Times New Roman"/>
            <w:kern w:val="18"/>
            <w:lang w:val="es-ES"/>
          </w:rPr>
          <w:t>Decisión X/2</w:t>
        </w:r>
      </w:hyperlink>
      <w:r>
        <w:rPr>
          <w:rFonts w:eastAsia="Times New Roman"/>
          <w:kern w:val="18"/>
          <w:lang w:val="es-ES"/>
        </w:rPr>
        <w:t>, anexo.</w:t>
      </w:r>
    </w:p>
  </w:footnote>
  <w:footnote w:id="18">
    <w:p w:rsidR="00F60605" w:rsidRDefault="00F60605" w:rsidP="00795E39">
      <w:pPr>
        <w:pStyle w:val="FootnoteText"/>
        <w:kinsoku w:val="0"/>
        <w:overflowPunct w:val="0"/>
        <w:autoSpaceDE w:val="0"/>
        <w:autoSpaceDN w:val="0"/>
        <w:adjustRightInd w:val="0"/>
        <w:snapToGrid w:val="0"/>
        <w:ind w:firstLine="0"/>
        <w:jc w:val="left"/>
        <w:rPr>
          <w:rFonts w:eastAsia="Times New Roman"/>
        </w:rPr>
      </w:pPr>
      <w:r>
        <w:rPr>
          <w:rStyle w:val="FootnoteReference"/>
          <w:rFonts w:eastAsia="Times New Roman"/>
          <w:kern w:val="18"/>
          <w:u w:val="none"/>
          <w:vertAlign w:val="superscript"/>
          <w:lang w:val="es-ES"/>
        </w:rPr>
        <w:footnoteRef/>
      </w:r>
      <w:r>
        <w:rPr>
          <w:rFonts w:eastAsia="Times New Roman"/>
          <w:kern w:val="18"/>
          <w:vertAlign w:val="superscript"/>
          <w:lang w:val="es-ES"/>
        </w:rPr>
        <w:t xml:space="preserve"> </w:t>
      </w:r>
      <w:r>
        <w:rPr>
          <w:rFonts w:eastAsia="Times New Roman"/>
          <w:kern w:val="18"/>
          <w:lang w:val="es-ES"/>
        </w:rPr>
        <w:t>Se trata de un proyecto de tres años (2017-2020) financiado por la Unión Europea y el Gobierno de Suiza.</w:t>
      </w:r>
    </w:p>
  </w:footnote>
  <w:footnote w:id="19">
    <w:p w:rsidR="00F60605" w:rsidRDefault="00F60605" w:rsidP="005925E4">
      <w:pPr>
        <w:pStyle w:val="FootnoteText"/>
        <w:kinsoku w:val="0"/>
        <w:overflowPunct w:val="0"/>
        <w:autoSpaceDE w:val="0"/>
        <w:autoSpaceDN w:val="0"/>
        <w:adjustRightInd w:val="0"/>
        <w:snapToGrid w:val="0"/>
        <w:ind w:firstLine="0"/>
        <w:jc w:val="left"/>
        <w:rPr>
          <w:rFonts w:eastAsia="Times New Roman"/>
        </w:rPr>
      </w:pPr>
      <w:r>
        <w:rPr>
          <w:rStyle w:val="FootnoteReference"/>
          <w:rFonts w:eastAsia="Times New Roman"/>
          <w:kern w:val="18"/>
          <w:u w:val="none"/>
          <w:vertAlign w:val="superscript"/>
          <w:lang w:val="es-ES"/>
        </w:rPr>
        <w:footnoteRef/>
      </w:r>
      <w:r>
        <w:rPr>
          <w:rFonts w:eastAsia="Times New Roman"/>
          <w:kern w:val="18"/>
          <w:vertAlign w:val="superscript"/>
          <w:lang w:val="es-ES"/>
        </w:rPr>
        <w:t xml:space="preserve"> </w:t>
      </w:r>
      <w:r>
        <w:rPr>
          <w:rFonts w:eastAsia="Times New Roman"/>
          <w:kern w:val="18"/>
          <w:lang w:val="es-ES"/>
        </w:rPr>
        <w:t>Versión actualizada del documento CBD/SBI/2/INF/6.</w:t>
      </w:r>
    </w:p>
  </w:footnote>
  <w:footnote w:id="20">
    <w:p w:rsidR="00F60605" w:rsidRDefault="00F60605" w:rsidP="005925E4">
      <w:pPr>
        <w:pStyle w:val="FootnoteText"/>
        <w:kinsoku w:val="0"/>
        <w:overflowPunct w:val="0"/>
        <w:autoSpaceDE w:val="0"/>
        <w:autoSpaceDN w:val="0"/>
        <w:adjustRightInd w:val="0"/>
        <w:snapToGrid w:val="0"/>
        <w:ind w:firstLine="0"/>
        <w:jc w:val="left"/>
        <w:rPr>
          <w:rFonts w:eastAsia="Times New Roman"/>
        </w:rPr>
      </w:pPr>
      <w:r>
        <w:rPr>
          <w:rStyle w:val="FootnoteReference"/>
          <w:rFonts w:eastAsia="Times New Roman"/>
          <w:kern w:val="18"/>
          <w:u w:val="none"/>
          <w:vertAlign w:val="superscript"/>
          <w:lang w:val="es-ES"/>
        </w:rPr>
        <w:footnoteRef/>
      </w:r>
      <w:r>
        <w:rPr>
          <w:rFonts w:eastAsia="Times New Roman"/>
          <w:kern w:val="18"/>
          <w:lang w:val="es-ES"/>
        </w:rPr>
        <w:t xml:space="preserve"> CBD/SBI/2/9, anexo II.</w:t>
      </w:r>
    </w:p>
  </w:footnote>
  <w:footnote w:id="21">
    <w:p w:rsidR="00F60605" w:rsidRDefault="00F60605" w:rsidP="002546C4">
      <w:pPr>
        <w:pStyle w:val="FootnoteText"/>
        <w:kinsoku w:val="0"/>
        <w:overflowPunct w:val="0"/>
        <w:autoSpaceDE w:val="0"/>
        <w:autoSpaceDN w:val="0"/>
        <w:adjustRightInd w:val="0"/>
        <w:snapToGrid w:val="0"/>
        <w:ind w:firstLine="0"/>
        <w:jc w:val="left"/>
        <w:rPr>
          <w:rFonts w:eastAsia="Times New Roman"/>
        </w:rPr>
      </w:pPr>
      <w:r>
        <w:rPr>
          <w:rStyle w:val="FootnoteReference"/>
          <w:rFonts w:eastAsia="Times New Roman"/>
          <w:kern w:val="18"/>
          <w:u w:val="none"/>
          <w:vertAlign w:val="superscript"/>
          <w:lang w:val="es-ES"/>
        </w:rPr>
        <w:footnoteRef/>
      </w:r>
      <w:r>
        <w:rPr>
          <w:rFonts w:eastAsia="Times New Roman"/>
          <w:kern w:val="18"/>
          <w:lang w:val="es-ES"/>
        </w:rPr>
        <w:t xml:space="preserve"> Versión actualizada del documento CBD/SBI/2/INF/6.</w:t>
      </w:r>
    </w:p>
  </w:footnote>
  <w:footnote w:id="22">
    <w:p w:rsidR="00F60605" w:rsidRDefault="00F60605" w:rsidP="007C7A8F">
      <w:pPr>
        <w:pStyle w:val="FootnoteText"/>
        <w:kinsoku w:val="0"/>
        <w:overflowPunct w:val="0"/>
        <w:autoSpaceDE w:val="0"/>
        <w:autoSpaceDN w:val="0"/>
        <w:adjustRightInd w:val="0"/>
        <w:snapToGrid w:val="0"/>
        <w:ind w:firstLine="0"/>
        <w:jc w:val="left"/>
        <w:rPr>
          <w:rFonts w:eastAsia="Times New Roman"/>
          <w:kern w:val="18"/>
          <w:lang w:val="es-ES"/>
        </w:rPr>
      </w:pPr>
      <w:r>
        <w:rPr>
          <w:rStyle w:val="FootnoteReference"/>
          <w:rFonts w:eastAsia="Times New Roman"/>
          <w:kern w:val="18"/>
          <w:u w:val="none"/>
          <w:vertAlign w:val="superscript"/>
          <w:lang w:val="es-ES"/>
        </w:rPr>
        <w:footnoteRef/>
      </w:r>
      <w:r>
        <w:rPr>
          <w:rFonts w:eastAsia="Times New Roman"/>
          <w:kern w:val="18"/>
          <w:vertAlign w:val="superscript"/>
          <w:lang w:val="es-ES"/>
        </w:rPr>
        <w:t xml:space="preserve"> </w:t>
      </w:r>
      <w:r>
        <w:rPr>
          <w:rFonts w:eastAsia="Times New Roman"/>
          <w:kern w:val="18"/>
          <w:lang w:val="es-ES"/>
        </w:rPr>
        <w:t>CBD/SBI/2/9.</w:t>
      </w:r>
    </w:p>
  </w:footnote>
  <w:footnote w:id="23">
    <w:p w:rsidR="00F60605" w:rsidRDefault="00F60605" w:rsidP="00B64C6A">
      <w:pPr>
        <w:pStyle w:val="FootnoteText"/>
        <w:kinsoku w:val="0"/>
        <w:overflowPunct w:val="0"/>
        <w:autoSpaceDE w:val="0"/>
        <w:autoSpaceDN w:val="0"/>
        <w:adjustRightInd w:val="0"/>
        <w:snapToGrid w:val="0"/>
        <w:ind w:firstLine="0"/>
        <w:jc w:val="left"/>
        <w:rPr>
          <w:rFonts w:eastAsia="Times New Roman"/>
        </w:rPr>
      </w:pPr>
      <w:r>
        <w:rPr>
          <w:rStyle w:val="FootnoteReference"/>
          <w:rFonts w:eastAsia="Times New Roman"/>
          <w:kern w:val="18"/>
          <w:u w:val="none"/>
          <w:vertAlign w:val="superscript"/>
          <w:lang w:val="es-ES"/>
        </w:rPr>
        <w:footnoteRef/>
      </w:r>
      <w:r>
        <w:rPr>
          <w:rFonts w:eastAsia="Times New Roman"/>
          <w:kern w:val="18"/>
          <w:vertAlign w:val="superscript"/>
          <w:lang w:val="es-ES"/>
        </w:rPr>
        <w:t xml:space="preserve"> </w:t>
      </w:r>
      <w:r>
        <w:rPr>
          <w:rFonts w:eastAsia="Times New Roman"/>
          <w:kern w:val="18"/>
          <w:lang w:val="es-ES"/>
        </w:rPr>
        <w:t>Versión actualizada del documento CBD/SBI/2/9.</w:t>
      </w:r>
    </w:p>
  </w:footnote>
  <w:footnote w:id="24">
    <w:p w:rsidR="00F60605" w:rsidRDefault="00F60605" w:rsidP="002D7874">
      <w:pPr>
        <w:pStyle w:val="FootnoteText"/>
        <w:kinsoku w:val="0"/>
        <w:overflowPunct w:val="0"/>
        <w:autoSpaceDE w:val="0"/>
        <w:autoSpaceDN w:val="0"/>
        <w:adjustRightInd w:val="0"/>
        <w:snapToGrid w:val="0"/>
        <w:ind w:firstLine="0"/>
        <w:jc w:val="left"/>
        <w:rPr>
          <w:rFonts w:eastAsia="Times New Roman"/>
        </w:rPr>
      </w:pPr>
      <w:r>
        <w:rPr>
          <w:rStyle w:val="FootnoteReference"/>
          <w:rFonts w:eastAsia="Times New Roman"/>
          <w:kern w:val="18"/>
          <w:u w:val="none"/>
          <w:vertAlign w:val="superscript"/>
          <w:lang w:val="es-ES"/>
        </w:rPr>
        <w:footnoteRef/>
      </w:r>
      <w:r>
        <w:rPr>
          <w:rFonts w:eastAsia="Times New Roman"/>
          <w:kern w:val="18"/>
          <w:lang w:val="es-ES"/>
        </w:rPr>
        <w:t xml:space="preserve"> Versión actualizada del documento CBD/SBI/2/9.</w:t>
      </w:r>
    </w:p>
  </w:footnote>
  <w:footnote w:id="25">
    <w:p w:rsidR="00F60605" w:rsidRDefault="00F60605" w:rsidP="00843F53">
      <w:pPr>
        <w:pStyle w:val="FootnoteText"/>
        <w:kinsoku w:val="0"/>
        <w:overflowPunct w:val="0"/>
        <w:autoSpaceDE w:val="0"/>
        <w:autoSpaceDN w:val="0"/>
        <w:adjustRightInd w:val="0"/>
        <w:snapToGrid w:val="0"/>
        <w:ind w:firstLine="0"/>
        <w:jc w:val="left"/>
        <w:rPr>
          <w:rFonts w:eastAsia="Times New Roman"/>
        </w:rPr>
      </w:pPr>
      <w:r>
        <w:rPr>
          <w:rStyle w:val="FootnoteReference"/>
          <w:rFonts w:eastAsia="Times New Roman"/>
          <w:kern w:val="18"/>
          <w:u w:val="none"/>
          <w:vertAlign w:val="superscript"/>
          <w:lang w:val="es-ES"/>
        </w:rPr>
        <w:footnoteRef/>
      </w:r>
      <w:r>
        <w:rPr>
          <w:rFonts w:eastAsia="Times New Roman"/>
          <w:kern w:val="18"/>
          <w:lang w:val="es-ES"/>
        </w:rPr>
        <w:t xml:space="preserve"> Como se indica en el párrafo 12 del documento CBD/SBI/2/2/Add/1, 18 de las 154 versiones revisadas de estrategias y planes de acción nacionales en materia de biodiversidad presentadas a la Secretaría incluyen un plan nacional de creación de capacidad.</w:t>
      </w:r>
    </w:p>
  </w:footnote>
  <w:footnote w:id="26">
    <w:p w:rsidR="00F60605" w:rsidRDefault="00F60605" w:rsidP="000D2B9B">
      <w:pPr>
        <w:pStyle w:val="FootnoteText"/>
        <w:kinsoku w:val="0"/>
        <w:overflowPunct w:val="0"/>
        <w:autoSpaceDE w:val="0"/>
        <w:autoSpaceDN w:val="0"/>
        <w:adjustRightInd w:val="0"/>
        <w:snapToGrid w:val="0"/>
        <w:ind w:firstLine="0"/>
        <w:jc w:val="left"/>
        <w:rPr>
          <w:rFonts w:eastAsia="Times New Roman"/>
        </w:rPr>
      </w:pPr>
      <w:r>
        <w:rPr>
          <w:rStyle w:val="FootnoteReference"/>
          <w:rFonts w:eastAsia="Times New Roman"/>
          <w:kern w:val="18"/>
          <w:u w:val="none"/>
          <w:vertAlign w:val="superscript"/>
          <w:lang w:val="es-ES"/>
        </w:rPr>
        <w:footnoteRef/>
      </w:r>
      <w:r>
        <w:rPr>
          <w:rFonts w:eastAsia="Times New Roman"/>
          <w:kern w:val="18"/>
          <w:lang w:val="es-ES"/>
        </w:rPr>
        <w:t xml:space="preserve"> </w:t>
      </w:r>
      <w:r w:rsidR="00C9727C">
        <w:rPr>
          <w:rFonts w:eastAsia="Times New Roman"/>
          <w:kern w:val="18"/>
          <w:lang w:val="es-ES"/>
        </w:rPr>
        <w:t>Esto i</w:t>
      </w:r>
      <w:r>
        <w:rPr>
          <w:rFonts w:eastAsia="Times New Roman"/>
          <w:kern w:val="18"/>
          <w:lang w:val="es-ES"/>
        </w:rPr>
        <w:t>nclu</w:t>
      </w:r>
      <w:r w:rsidR="00C9727C">
        <w:rPr>
          <w:rFonts w:eastAsia="Times New Roman"/>
          <w:kern w:val="18"/>
          <w:lang w:val="es-ES"/>
        </w:rPr>
        <w:t>ye</w:t>
      </w:r>
      <w:r>
        <w:rPr>
          <w:rFonts w:eastAsia="Times New Roman"/>
          <w:kern w:val="18"/>
          <w:lang w:val="es-ES"/>
        </w:rPr>
        <w:t xml:space="preserve"> la encuesta de desarrollo de capacidad nacional en materia de aplicación de las convenciones relacionadas con la diversidad biológica realizada por la UICN y el CMVC-PNUMA en nombre del PNUMA y el informe del PNUD basado en el análisis de más de 140 estrategias y planes de acción nacionales en materia de biodiversidad.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05" w:rsidRPr="00963892" w:rsidRDefault="00F60605" w:rsidP="006F4060">
    <w:pPr>
      <w:pStyle w:val="Header"/>
      <w:tabs>
        <w:tab w:val="clear" w:pos="4320"/>
        <w:tab w:val="clear" w:pos="8640"/>
      </w:tabs>
      <w:jc w:val="left"/>
      <w:rPr>
        <w:kern w:val="22"/>
        <w:szCs w:val="22"/>
        <w:lang w:val="es-ES"/>
      </w:rPr>
    </w:pPr>
    <w:r w:rsidRPr="00963892">
      <w:rPr>
        <w:kern w:val="22"/>
        <w:szCs w:val="22"/>
        <w:lang w:val="es-ES"/>
      </w:rPr>
      <w:t>CBD/SBI/2/9</w:t>
    </w:r>
  </w:p>
  <w:p w:rsidR="00F60605" w:rsidRPr="00963892" w:rsidRDefault="00F60605" w:rsidP="00963892">
    <w:pPr>
      <w:pStyle w:val="Header"/>
      <w:tabs>
        <w:tab w:val="clear" w:pos="4320"/>
        <w:tab w:val="clear" w:pos="8640"/>
      </w:tabs>
      <w:jc w:val="left"/>
      <w:rPr>
        <w:kern w:val="22"/>
        <w:szCs w:val="22"/>
        <w:lang w:val="es-ES"/>
      </w:rPr>
    </w:pPr>
    <w:r w:rsidRPr="00963892">
      <w:rPr>
        <w:kern w:val="22"/>
        <w:szCs w:val="22"/>
        <w:lang w:val="es-ES"/>
      </w:rPr>
      <w:t>P</w:t>
    </w:r>
    <w:r>
      <w:rPr>
        <w:kern w:val="22"/>
        <w:szCs w:val="22"/>
        <w:lang w:val="es-ES"/>
      </w:rPr>
      <w:t>á</w:t>
    </w:r>
    <w:r w:rsidRPr="00963892">
      <w:rPr>
        <w:kern w:val="22"/>
        <w:szCs w:val="22"/>
        <w:lang w:val="es-ES"/>
      </w:rPr>
      <w:t>g</w:t>
    </w:r>
    <w:r>
      <w:rPr>
        <w:kern w:val="22"/>
        <w:szCs w:val="22"/>
        <w:lang w:val="es-ES"/>
      </w:rPr>
      <w:t>ina</w:t>
    </w:r>
    <w:r w:rsidRPr="00963892">
      <w:rPr>
        <w:kern w:val="22"/>
        <w:szCs w:val="22"/>
        <w:lang w:val="es-ES"/>
      </w:rPr>
      <w:t xml:space="preserve"> </w:t>
    </w:r>
    <w:r w:rsidRPr="00963892">
      <w:rPr>
        <w:bCs/>
        <w:kern w:val="22"/>
        <w:szCs w:val="22"/>
        <w:lang w:val="es-ES"/>
      </w:rPr>
      <w:fldChar w:fldCharType="begin"/>
    </w:r>
    <w:r w:rsidRPr="00963892">
      <w:rPr>
        <w:bCs/>
        <w:kern w:val="22"/>
        <w:szCs w:val="22"/>
        <w:lang w:val="es-ES"/>
      </w:rPr>
      <w:instrText xml:space="preserve"> PAGE </w:instrText>
    </w:r>
    <w:r w:rsidRPr="00963892">
      <w:rPr>
        <w:bCs/>
        <w:kern w:val="22"/>
        <w:szCs w:val="22"/>
        <w:lang w:val="es-ES"/>
      </w:rPr>
      <w:fldChar w:fldCharType="separate"/>
    </w:r>
    <w:r w:rsidR="00704F0E">
      <w:rPr>
        <w:bCs/>
        <w:noProof/>
        <w:kern w:val="22"/>
        <w:szCs w:val="22"/>
        <w:lang w:val="es-ES"/>
      </w:rPr>
      <w:t>2</w:t>
    </w:r>
    <w:r w:rsidRPr="00963892">
      <w:rPr>
        <w:bCs/>
        <w:kern w:val="22"/>
        <w:szCs w:val="22"/>
        <w:lang w:val="es-ES"/>
      </w:rPr>
      <w:fldChar w:fldCharType="end"/>
    </w:r>
  </w:p>
  <w:p w:rsidR="00F60605" w:rsidRPr="00963892" w:rsidRDefault="00F60605" w:rsidP="009B2C93">
    <w:pPr>
      <w:pStyle w:val="Header"/>
      <w:tabs>
        <w:tab w:val="clear" w:pos="4320"/>
        <w:tab w:val="clear" w:pos="8640"/>
      </w:tabs>
      <w:jc w:val="left"/>
      <w:rPr>
        <w:kern w:val="22"/>
        <w:szCs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05" w:rsidRPr="00963892" w:rsidRDefault="00F60605" w:rsidP="006F4060">
    <w:pPr>
      <w:pStyle w:val="Header"/>
      <w:tabs>
        <w:tab w:val="clear" w:pos="4320"/>
        <w:tab w:val="clear" w:pos="8640"/>
      </w:tabs>
      <w:jc w:val="right"/>
      <w:rPr>
        <w:kern w:val="22"/>
        <w:szCs w:val="22"/>
        <w:lang w:val="es-ES"/>
      </w:rPr>
    </w:pPr>
    <w:r w:rsidRPr="00963892">
      <w:rPr>
        <w:kern w:val="22"/>
        <w:szCs w:val="22"/>
        <w:lang w:val="es-ES"/>
      </w:rPr>
      <w:t>UNEP/CBD/SBI/2/9</w:t>
    </w:r>
  </w:p>
  <w:p w:rsidR="00F60605" w:rsidRPr="00963892" w:rsidRDefault="00F60605" w:rsidP="00963892">
    <w:pPr>
      <w:pStyle w:val="Header"/>
      <w:tabs>
        <w:tab w:val="clear" w:pos="4320"/>
        <w:tab w:val="clear" w:pos="8640"/>
      </w:tabs>
      <w:jc w:val="right"/>
      <w:rPr>
        <w:kern w:val="22"/>
        <w:szCs w:val="22"/>
        <w:lang w:val="es-ES"/>
      </w:rPr>
    </w:pPr>
    <w:r w:rsidRPr="00963892">
      <w:rPr>
        <w:kern w:val="22"/>
        <w:szCs w:val="22"/>
        <w:lang w:val="es-ES"/>
      </w:rPr>
      <w:t>P</w:t>
    </w:r>
    <w:r>
      <w:rPr>
        <w:kern w:val="22"/>
        <w:szCs w:val="22"/>
        <w:lang w:val="es-ES"/>
      </w:rPr>
      <w:t>á</w:t>
    </w:r>
    <w:r w:rsidRPr="00963892">
      <w:rPr>
        <w:kern w:val="22"/>
        <w:szCs w:val="22"/>
        <w:lang w:val="es-ES"/>
      </w:rPr>
      <w:t>g</w:t>
    </w:r>
    <w:r>
      <w:rPr>
        <w:kern w:val="22"/>
        <w:szCs w:val="22"/>
        <w:lang w:val="es-ES"/>
      </w:rPr>
      <w:t>ina</w:t>
    </w:r>
    <w:r w:rsidRPr="00963892">
      <w:rPr>
        <w:kern w:val="22"/>
        <w:szCs w:val="22"/>
        <w:lang w:val="es-ES"/>
      </w:rPr>
      <w:t xml:space="preserve"> </w:t>
    </w:r>
    <w:r w:rsidRPr="00963892">
      <w:rPr>
        <w:bCs/>
        <w:kern w:val="22"/>
        <w:szCs w:val="22"/>
        <w:lang w:val="es-ES"/>
      </w:rPr>
      <w:fldChar w:fldCharType="begin"/>
    </w:r>
    <w:r w:rsidRPr="00963892">
      <w:rPr>
        <w:bCs/>
        <w:kern w:val="22"/>
        <w:szCs w:val="22"/>
        <w:lang w:val="es-ES"/>
      </w:rPr>
      <w:instrText xml:space="preserve"> PAGE </w:instrText>
    </w:r>
    <w:r w:rsidRPr="00963892">
      <w:rPr>
        <w:bCs/>
        <w:kern w:val="22"/>
        <w:szCs w:val="22"/>
        <w:lang w:val="es-ES"/>
      </w:rPr>
      <w:fldChar w:fldCharType="separate"/>
    </w:r>
    <w:r w:rsidR="00704F0E">
      <w:rPr>
        <w:bCs/>
        <w:noProof/>
        <w:kern w:val="22"/>
        <w:szCs w:val="22"/>
        <w:lang w:val="es-ES"/>
      </w:rPr>
      <w:t>11</w:t>
    </w:r>
    <w:r w:rsidRPr="00963892">
      <w:rPr>
        <w:bCs/>
        <w:kern w:val="22"/>
        <w:szCs w:val="22"/>
        <w:lang w:val="es-ES"/>
      </w:rPr>
      <w:fldChar w:fldCharType="end"/>
    </w:r>
  </w:p>
  <w:p w:rsidR="00F60605" w:rsidRPr="00963892" w:rsidRDefault="00F60605" w:rsidP="006F4060">
    <w:pPr>
      <w:pStyle w:val="Header"/>
      <w:tabs>
        <w:tab w:val="clear" w:pos="4320"/>
        <w:tab w:val="clear" w:pos="8640"/>
      </w:tabs>
      <w:jc w:val="right"/>
      <w:rPr>
        <w:kern w:val="22"/>
        <w:szCs w:val="22"/>
        <w:lang w:val="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05" w:rsidRPr="006F4060" w:rsidRDefault="00F60605" w:rsidP="00A8651C">
    <w:pPr>
      <w:pStyle w:val="Header"/>
      <w:tabs>
        <w:tab w:val="clear" w:pos="4320"/>
        <w:tab w:val="clear" w:pos="8640"/>
      </w:tabs>
      <w:jc w:val="right"/>
      <w:rPr>
        <w:noProof/>
        <w:kern w:val="22"/>
        <w:szCs w:val="22"/>
      </w:rPr>
    </w:pPr>
  </w:p>
  <w:p w:rsidR="00F60605" w:rsidRPr="006F4060" w:rsidRDefault="00F60605" w:rsidP="00A8651C">
    <w:pPr>
      <w:pStyle w:val="Header"/>
      <w:tabs>
        <w:tab w:val="clear" w:pos="4320"/>
        <w:tab w:val="clear" w:pos="8640"/>
      </w:tabs>
      <w:jc w:val="right"/>
      <w:rPr>
        <w:noProof/>
        <w:kern w:val="22"/>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05" w:rsidRPr="00531997" w:rsidRDefault="00F60605" w:rsidP="006F4060">
    <w:pPr>
      <w:pStyle w:val="Header"/>
      <w:tabs>
        <w:tab w:val="clear" w:pos="4320"/>
        <w:tab w:val="clear" w:pos="8640"/>
      </w:tabs>
      <w:jc w:val="left"/>
      <w:rPr>
        <w:kern w:val="22"/>
        <w:szCs w:val="22"/>
        <w:lang w:val="es-ES"/>
      </w:rPr>
    </w:pPr>
    <w:r w:rsidRPr="00531997">
      <w:rPr>
        <w:kern w:val="22"/>
        <w:szCs w:val="22"/>
        <w:lang w:val="es-ES"/>
      </w:rPr>
      <w:t>CBD/SBI/2/9</w:t>
    </w:r>
  </w:p>
  <w:p w:rsidR="00F60605" w:rsidRPr="00531997" w:rsidRDefault="00F60605" w:rsidP="00531997">
    <w:pPr>
      <w:pStyle w:val="Header"/>
      <w:tabs>
        <w:tab w:val="clear" w:pos="4320"/>
        <w:tab w:val="clear" w:pos="8640"/>
      </w:tabs>
      <w:jc w:val="left"/>
      <w:rPr>
        <w:kern w:val="22"/>
        <w:szCs w:val="22"/>
        <w:lang w:val="es-ES"/>
      </w:rPr>
    </w:pPr>
    <w:r w:rsidRPr="00531997">
      <w:rPr>
        <w:kern w:val="22"/>
        <w:szCs w:val="22"/>
        <w:lang w:val="es-ES"/>
      </w:rPr>
      <w:t>P</w:t>
    </w:r>
    <w:r>
      <w:rPr>
        <w:kern w:val="22"/>
        <w:szCs w:val="22"/>
        <w:lang w:val="es-ES"/>
      </w:rPr>
      <w:t>á</w:t>
    </w:r>
    <w:r w:rsidRPr="00531997">
      <w:rPr>
        <w:kern w:val="22"/>
        <w:szCs w:val="22"/>
        <w:lang w:val="es-ES"/>
      </w:rPr>
      <w:t>g</w:t>
    </w:r>
    <w:r>
      <w:rPr>
        <w:kern w:val="22"/>
        <w:szCs w:val="22"/>
        <w:lang w:val="es-ES"/>
      </w:rPr>
      <w:t>ina</w:t>
    </w:r>
    <w:r w:rsidRPr="00531997">
      <w:rPr>
        <w:kern w:val="22"/>
        <w:szCs w:val="22"/>
        <w:lang w:val="es-ES"/>
      </w:rPr>
      <w:t xml:space="preserve"> </w:t>
    </w:r>
    <w:r w:rsidRPr="00531997">
      <w:rPr>
        <w:bCs/>
        <w:kern w:val="22"/>
        <w:szCs w:val="22"/>
        <w:lang w:val="es-ES"/>
      </w:rPr>
      <w:fldChar w:fldCharType="begin"/>
    </w:r>
    <w:r w:rsidRPr="00531997">
      <w:rPr>
        <w:bCs/>
        <w:kern w:val="22"/>
        <w:szCs w:val="22"/>
        <w:lang w:val="es-ES"/>
      </w:rPr>
      <w:instrText xml:space="preserve"> PAGE </w:instrText>
    </w:r>
    <w:r w:rsidRPr="00531997">
      <w:rPr>
        <w:bCs/>
        <w:kern w:val="22"/>
        <w:szCs w:val="22"/>
        <w:lang w:val="es-ES"/>
      </w:rPr>
      <w:fldChar w:fldCharType="separate"/>
    </w:r>
    <w:r w:rsidR="00704F0E">
      <w:rPr>
        <w:bCs/>
        <w:noProof/>
        <w:kern w:val="22"/>
        <w:szCs w:val="22"/>
        <w:lang w:val="es-ES"/>
      </w:rPr>
      <w:t>20</w:t>
    </w:r>
    <w:r w:rsidRPr="00531997">
      <w:rPr>
        <w:bCs/>
        <w:kern w:val="22"/>
        <w:szCs w:val="22"/>
        <w:lang w:val="es-ES"/>
      </w:rPr>
      <w:fldChar w:fldCharType="end"/>
    </w:r>
  </w:p>
  <w:p w:rsidR="00F60605" w:rsidRPr="00531997" w:rsidRDefault="00F60605" w:rsidP="009B2C93">
    <w:pPr>
      <w:pStyle w:val="Header"/>
      <w:tabs>
        <w:tab w:val="clear" w:pos="4320"/>
        <w:tab w:val="clear" w:pos="8640"/>
      </w:tabs>
      <w:jc w:val="left"/>
      <w:rPr>
        <w:kern w:val="22"/>
        <w:szCs w:val="22"/>
        <w:lang w:val="es-E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05" w:rsidRPr="00531997" w:rsidRDefault="00F60605" w:rsidP="006F4060">
    <w:pPr>
      <w:pStyle w:val="Header"/>
      <w:tabs>
        <w:tab w:val="clear" w:pos="4320"/>
        <w:tab w:val="clear" w:pos="8640"/>
      </w:tabs>
      <w:jc w:val="right"/>
      <w:rPr>
        <w:kern w:val="22"/>
        <w:szCs w:val="22"/>
        <w:lang w:val="es-ES"/>
      </w:rPr>
    </w:pPr>
    <w:r w:rsidRPr="00531997">
      <w:rPr>
        <w:kern w:val="22"/>
        <w:szCs w:val="22"/>
        <w:lang w:val="es-ES"/>
      </w:rPr>
      <w:t>CBD/SBI/2/9</w:t>
    </w:r>
  </w:p>
  <w:p w:rsidR="00F60605" w:rsidRPr="00531997" w:rsidRDefault="00F60605" w:rsidP="00531997">
    <w:pPr>
      <w:pStyle w:val="Header"/>
      <w:tabs>
        <w:tab w:val="clear" w:pos="4320"/>
        <w:tab w:val="clear" w:pos="8640"/>
      </w:tabs>
      <w:jc w:val="right"/>
      <w:rPr>
        <w:kern w:val="22"/>
        <w:szCs w:val="22"/>
        <w:lang w:val="es-ES"/>
      </w:rPr>
    </w:pPr>
    <w:r w:rsidRPr="00531997">
      <w:rPr>
        <w:kern w:val="22"/>
        <w:szCs w:val="22"/>
        <w:lang w:val="es-ES"/>
      </w:rPr>
      <w:t>P</w:t>
    </w:r>
    <w:r>
      <w:rPr>
        <w:kern w:val="22"/>
        <w:szCs w:val="22"/>
        <w:lang w:val="es-ES"/>
      </w:rPr>
      <w:t>á</w:t>
    </w:r>
    <w:r w:rsidRPr="00531997">
      <w:rPr>
        <w:kern w:val="22"/>
        <w:szCs w:val="22"/>
        <w:lang w:val="es-ES"/>
      </w:rPr>
      <w:t>g</w:t>
    </w:r>
    <w:r>
      <w:rPr>
        <w:kern w:val="22"/>
        <w:szCs w:val="22"/>
        <w:lang w:val="es-ES"/>
      </w:rPr>
      <w:t>ina</w:t>
    </w:r>
    <w:r w:rsidRPr="00531997">
      <w:rPr>
        <w:kern w:val="22"/>
        <w:szCs w:val="22"/>
        <w:lang w:val="es-ES"/>
      </w:rPr>
      <w:t xml:space="preserve"> </w:t>
    </w:r>
    <w:r w:rsidRPr="00531997">
      <w:rPr>
        <w:bCs/>
        <w:kern w:val="22"/>
        <w:szCs w:val="22"/>
        <w:lang w:val="es-ES"/>
      </w:rPr>
      <w:fldChar w:fldCharType="begin"/>
    </w:r>
    <w:r w:rsidRPr="00531997">
      <w:rPr>
        <w:bCs/>
        <w:kern w:val="22"/>
        <w:szCs w:val="22"/>
        <w:lang w:val="es-ES"/>
      </w:rPr>
      <w:instrText xml:space="preserve"> PAGE </w:instrText>
    </w:r>
    <w:r w:rsidRPr="00531997">
      <w:rPr>
        <w:bCs/>
        <w:kern w:val="22"/>
        <w:szCs w:val="22"/>
        <w:lang w:val="es-ES"/>
      </w:rPr>
      <w:fldChar w:fldCharType="separate"/>
    </w:r>
    <w:r w:rsidR="00704F0E">
      <w:rPr>
        <w:bCs/>
        <w:noProof/>
        <w:kern w:val="22"/>
        <w:szCs w:val="22"/>
        <w:lang w:val="es-ES"/>
      </w:rPr>
      <w:t>21</w:t>
    </w:r>
    <w:r w:rsidRPr="00531997">
      <w:rPr>
        <w:bCs/>
        <w:kern w:val="22"/>
        <w:szCs w:val="22"/>
        <w:lang w:val="es-ES"/>
      </w:rPr>
      <w:fldChar w:fldCharType="end"/>
    </w:r>
  </w:p>
  <w:p w:rsidR="00F60605" w:rsidRPr="00531997" w:rsidRDefault="00F60605" w:rsidP="006F4060">
    <w:pPr>
      <w:pStyle w:val="Header"/>
      <w:tabs>
        <w:tab w:val="clear" w:pos="4320"/>
        <w:tab w:val="clear" w:pos="8640"/>
      </w:tabs>
      <w:jc w:val="right"/>
      <w:rPr>
        <w:kern w:val="22"/>
        <w:szCs w:val="22"/>
        <w:lang w:val="es-E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05" w:rsidRPr="00531997" w:rsidRDefault="00F60605" w:rsidP="00AA57AB">
    <w:pPr>
      <w:pStyle w:val="Header"/>
      <w:tabs>
        <w:tab w:val="clear" w:pos="4320"/>
        <w:tab w:val="clear" w:pos="8640"/>
      </w:tabs>
      <w:jc w:val="right"/>
      <w:rPr>
        <w:kern w:val="22"/>
        <w:szCs w:val="22"/>
        <w:lang w:val="es-ES"/>
      </w:rPr>
    </w:pPr>
    <w:r w:rsidRPr="00531997">
      <w:rPr>
        <w:kern w:val="22"/>
        <w:szCs w:val="22"/>
        <w:lang w:val="es-ES"/>
      </w:rPr>
      <w:t>CBD/SBI/2/9</w:t>
    </w:r>
  </w:p>
  <w:p w:rsidR="00F60605" w:rsidRPr="00531997" w:rsidRDefault="00F60605" w:rsidP="00531997">
    <w:pPr>
      <w:pStyle w:val="Header"/>
      <w:tabs>
        <w:tab w:val="clear" w:pos="4320"/>
        <w:tab w:val="clear" w:pos="8640"/>
      </w:tabs>
      <w:jc w:val="right"/>
      <w:rPr>
        <w:kern w:val="22"/>
        <w:szCs w:val="22"/>
        <w:lang w:val="es-ES"/>
      </w:rPr>
    </w:pPr>
    <w:r w:rsidRPr="00531997">
      <w:rPr>
        <w:kern w:val="22"/>
        <w:szCs w:val="22"/>
        <w:lang w:val="es-ES"/>
      </w:rPr>
      <w:t>P</w:t>
    </w:r>
    <w:r>
      <w:rPr>
        <w:kern w:val="22"/>
        <w:szCs w:val="22"/>
        <w:lang w:val="es-ES"/>
      </w:rPr>
      <w:t>á</w:t>
    </w:r>
    <w:r w:rsidRPr="00531997">
      <w:rPr>
        <w:kern w:val="22"/>
        <w:szCs w:val="22"/>
        <w:lang w:val="es-ES"/>
      </w:rPr>
      <w:t>g</w:t>
    </w:r>
    <w:r>
      <w:rPr>
        <w:kern w:val="22"/>
        <w:szCs w:val="22"/>
        <w:lang w:val="es-ES"/>
      </w:rPr>
      <w:t>ina</w:t>
    </w:r>
    <w:r w:rsidRPr="00531997">
      <w:rPr>
        <w:kern w:val="22"/>
        <w:szCs w:val="22"/>
        <w:lang w:val="es-ES"/>
      </w:rPr>
      <w:t xml:space="preserve"> </w:t>
    </w:r>
    <w:r w:rsidRPr="00531997">
      <w:rPr>
        <w:bCs/>
        <w:kern w:val="22"/>
        <w:szCs w:val="22"/>
        <w:lang w:val="es-ES"/>
      </w:rPr>
      <w:fldChar w:fldCharType="begin"/>
    </w:r>
    <w:r w:rsidRPr="00531997">
      <w:rPr>
        <w:bCs/>
        <w:kern w:val="22"/>
        <w:szCs w:val="22"/>
        <w:lang w:val="es-ES"/>
      </w:rPr>
      <w:instrText xml:space="preserve"> PAGE </w:instrText>
    </w:r>
    <w:r w:rsidRPr="00531997">
      <w:rPr>
        <w:bCs/>
        <w:kern w:val="22"/>
        <w:szCs w:val="22"/>
        <w:lang w:val="es-ES"/>
      </w:rPr>
      <w:fldChar w:fldCharType="separate"/>
    </w:r>
    <w:r w:rsidR="00704F0E">
      <w:rPr>
        <w:bCs/>
        <w:noProof/>
        <w:kern w:val="22"/>
        <w:szCs w:val="22"/>
        <w:lang w:val="es-ES"/>
      </w:rPr>
      <w:t>16</w:t>
    </w:r>
    <w:r w:rsidRPr="00531997">
      <w:rPr>
        <w:bCs/>
        <w:kern w:val="22"/>
        <w:szCs w:val="22"/>
        <w:lang w:val="es-ES"/>
      </w:rPr>
      <w:fldChar w:fldCharType="end"/>
    </w:r>
  </w:p>
  <w:p w:rsidR="00F60605" w:rsidRPr="00531997" w:rsidRDefault="00F60605" w:rsidP="00A8651C">
    <w:pPr>
      <w:pStyle w:val="Header"/>
      <w:tabs>
        <w:tab w:val="clear" w:pos="4320"/>
        <w:tab w:val="clear" w:pos="8640"/>
      </w:tabs>
      <w:jc w:val="right"/>
      <w:rPr>
        <w:kern w:val="22"/>
        <w:szCs w:val="22"/>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465C"/>
    <w:multiLevelType w:val="hybridMultilevel"/>
    <w:tmpl w:val="7152B1EE"/>
    <w:lvl w:ilvl="0" w:tplc="038C8E74">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550ED3"/>
    <w:multiLevelType w:val="multilevel"/>
    <w:tmpl w:val="8076AD14"/>
    <w:lvl w:ilvl="0">
      <w:start w:val="7"/>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560962"/>
    <w:multiLevelType w:val="hybridMultilevel"/>
    <w:tmpl w:val="F08A9704"/>
    <w:lvl w:ilvl="0" w:tplc="4C18AD7E">
      <w:start w:val="1"/>
      <w:numFmt w:val="lowerLetter"/>
      <w:lvlText w:val="%1)"/>
      <w:lvlJc w:val="left"/>
      <w:pPr>
        <w:tabs>
          <w:tab w:val="num" w:pos="720"/>
        </w:tabs>
        <w:ind w:left="720" w:hanging="720"/>
      </w:pPr>
      <w:rPr>
        <w:rFonts w:ascii="Times New Roman" w:hAnsi="Times New Roman" w:cs="OpenSymbol" w:hint="default"/>
        <w:b w:val="0"/>
        <w:bCs w:val="0"/>
        <w:i w:val="0"/>
        <w:iCs w:val="0"/>
        <w:caps w:val="0"/>
        <w:strike w:val="0"/>
        <w:dstrike w:val="0"/>
        <w:outline w:val="0"/>
        <w:shadow w:val="0"/>
        <w:emboss w:val="0"/>
        <w:imprint w:val="0"/>
        <w:vanish w:val="0"/>
        <w:sz w:val="22"/>
        <w:vertAlign w:val="base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19CD7D49"/>
    <w:multiLevelType w:val="multilevel"/>
    <w:tmpl w:val="202A2E9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BE27066"/>
    <w:multiLevelType w:val="hybridMultilevel"/>
    <w:tmpl w:val="F53C862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BD46CA"/>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C92250A"/>
    <w:multiLevelType w:val="hybridMultilevel"/>
    <w:tmpl w:val="B7189CD4"/>
    <w:lvl w:ilvl="0" w:tplc="092E9F9C">
      <w:start w:val="1"/>
      <w:numFmt w:val="decimal"/>
      <w:pStyle w:val="Numberedparagraph"/>
      <w:lvlText w:val="%1."/>
      <w:lvlJc w:val="left"/>
      <w:pPr>
        <w:tabs>
          <w:tab w:val="num" w:pos="360"/>
        </w:tabs>
        <w:ind w:left="360" w:hanging="360"/>
      </w:pPr>
      <w:rPr>
        <w:rFonts w:cs="Times New Roman"/>
        <w:b w:val="0"/>
        <w:i w:val="0"/>
        <w:color w:val="auto"/>
        <w:lang w:val="en-CA"/>
      </w:rPr>
    </w:lvl>
    <w:lvl w:ilvl="1" w:tplc="688A0DEE">
      <w:start w:val="1"/>
      <w:numFmt w:val="bullet"/>
      <w:lvlText w:val="o"/>
      <w:lvlJc w:val="left"/>
      <w:pPr>
        <w:tabs>
          <w:tab w:val="num" w:pos="1800"/>
        </w:tabs>
        <w:ind w:left="1800" w:hanging="360"/>
      </w:pPr>
      <w:rPr>
        <w:rFonts w:ascii="Courier New" w:hAnsi="Courier New" w:hint="default"/>
      </w:rPr>
    </w:lvl>
    <w:lvl w:ilvl="2" w:tplc="DC30C9E0">
      <w:start w:val="1"/>
      <w:numFmt w:val="bullet"/>
      <w:lvlText w:val=""/>
      <w:lvlJc w:val="left"/>
      <w:pPr>
        <w:tabs>
          <w:tab w:val="num" w:pos="2520"/>
        </w:tabs>
        <w:ind w:left="2520" w:hanging="360"/>
      </w:pPr>
      <w:rPr>
        <w:rFonts w:ascii="Wingdings" w:hAnsi="Wingdings" w:hint="default"/>
      </w:rPr>
    </w:lvl>
    <w:lvl w:ilvl="3" w:tplc="2F449F60">
      <w:start w:val="1"/>
      <w:numFmt w:val="bullet"/>
      <w:lvlText w:val=""/>
      <w:lvlJc w:val="left"/>
      <w:pPr>
        <w:tabs>
          <w:tab w:val="num" w:pos="3240"/>
        </w:tabs>
        <w:ind w:left="3240" w:hanging="360"/>
      </w:pPr>
      <w:rPr>
        <w:rFonts w:ascii="Symbol" w:hAnsi="Symbol" w:hint="default"/>
      </w:rPr>
    </w:lvl>
    <w:lvl w:ilvl="4" w:tplc="99E0989C" w:tentative="1">
      <w:start w:val="1"/>
      <w:numFmt w:val="bullet"/>
      <w:lvlText w:val="o"/>
      <w:lvlJc w:val="left"/>
      <w:pPr>
        <w:tabs>
          <w:tab w:val="num" w:pos="3960"/>
        </w:tabs>
        <w:ind w:left="3960" w:hanging="360"/>
      </w:pPr>
      <w:rPr>
        <w:rFonts w:ascii="Courier New" w:hAnsi="Courier New" w:hint="default"/>
      </w:rPr>
    </w:lvl>
    <w:lvl w:ilvl="5" w:tplc="2AC63204" w:tentative="1">
      <w:start w:val="1"/>
      <w:numFmt w:val="bullet"/>
      <w:lvlText w:val=""/>
      <w:lvlJc w:val="left"/>
      <w:pPr>
        <w:tabs>
          <w:tab w:val="num" w:pos="4680"/>
        </w:tabs>
        <w:ind w:left="4680" w:hanging="360"/>
      </w:pPr>
      <w:rPr>
        <w:rFonts w:ascii="Wingdings" w:hAnsi="Wingdings" w:hint="default"/>
      </w:rPr>
    </w:lvl>
    <w:lvl w:ilvl="6" w:tplc="315CDBEE" w:tentative="1">
      <w:start w:val="1"/>
      <w:numFmt w:val="bullet"/>
      <w:lvlText w:val=""/>
      <w:lvlJc w:val="left"/>
      <w:pPr>
        <w:tabs>
          <w:tab w:val="num" w:pos="5400"/>
        </w:tabs>
        <w:ind w:left="5400" w:hanging="360"/>
      </w:pPr>
      <w:rPr>
        <w:rFonts w:ascii="Symbol" w:hAnsi="Symbol" w:hint="default"/>
      </w:rPr>
    </w:lvl>
    <w:lvl w:ilvl="7" w:tplc="BADE76B2" w:tentative="1">
      <w:start w:val="1"/>
      <w:numFmt w:val="bullet"/>
      <w:lvlText w:val="o"/>
      <w:lvlJc w:val="left"/>
      <w:pPr>
        <w:tabs>
          <w:tab w:val="num" w:pos="6120"/>
        </w:tabs>
        <w:ind w:left="6120" w:hanging="360"/>
      </w:pPr>
      <w:rPr>
        <w:rFonts w:ascii="Courier New" w:hAnsi="Courier New" w:hint="default"/>
      </w:rPr>
    </w:lvl>
    <w:lvl w:ilvl="8" w:tplc="EFA2A344" w:tentative="1">
      <w:start w:val="1"/>
      <w:numFmt w:val="bullet"/>
      <w:lvlText w:val=""/>
      <w:lvlJc w:val="left"/>
      <w:pPr>
        <w:tabs>
          <w:tab w:val="num" w:pos="6840"/>
        </w:tabs>
        <w:ind w:left="6840" w:hanging="360"/>
      </w:pPr>
      <w:rPr>
        <w:rFonts w:ascii="Wingdings" w:hAnsi="Wingdings" w:hint="default"/>
      </w:rPr>
    </w:lvl>
  </w:abstractNum>
  <w:abstractNum w:abstractNumId="9">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31315DB0"/>
    <w:multiLevelType w:val="multilevel"/>
    <w:tmpl w:val="5738728A"/>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378388B"/>
    <w:multiLevelType w:val="hybridMultilevel"/>
    <w:tmpl w:val="B2B2D830"/>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34002A34"/>
    <w:multiLevelType w:val="hybridMultilevel"/>
    <w:tmpl w:val="851C2078"/>
    <w:lvl w:ilvl="0" w:tplc="04090017">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395819B1"/>
    <w:multiLevelType w:val="multilevel"/>
    <w:tmpl w:val="C2F262E0"/>
    <w:lvl w:ilvl="0">
      <w:start w:val="7"/>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1440" w:hanging="720"/>
      </w:pPr>
      <w:rPr>
        <w:rFonts w:ascii="Times New Roman" w:hAnsi="Times New Roman" w:cs="OpenSymbol" w:hint="default"/>
        <w:b w:val="0"/>
        <w:bCs w:val="0"/>
        <w:i w:val="0"/>
        <w:iCs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60"/>
        </w:tabs>
        <w:ind w:left="1260" w:hanging="360"/>
      </w:pPr>
      <w:rPr>
        <w:rFonts w:hint="default"/>
        <w:b w:val="0"/>
        <w:i w:val="0"/>
        <w:sz w:val="22"/>
        <w:szCs w:val="22"/>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8">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6377BC7"/>
    <w:multiLevelType w:val="hybridMultilevel"/>
    <w:tmpl w:val="8D92A3A6"/>
    <w:lvl w:ilvl="0" w:tplc="F8F8FE5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nsid w:val="4B7E5C74"/>
    <w:multiLevelType w:val="hybridMultilevel"/>
    <w:tmpl w:val="20522D40"/>
    <w:lvl w:ilvl="0" w:tplc="4C18AD7E">
      <w:start w:val="1"/>
      <w:numFmt w:val="lowerLetter"/>
      <w:lvlText w:val="%1)"/>
      <w:lvlJc w:val="left"/>
      <w:pPr>
        <w:tabs>
          <w:tab w:val="num" w:pos="720"/>
        </w:tabs>
        <w:ind w:left="720" w:hanging="720"/>
      </w:pPr>
      <w:rPr>
        <w:rFonts w:ascii="Times New Roman" w:hAnsi="Times New Roman" w:cs="OpenSymbol" w:hint="default"/>
        <w:b w:val="0"/>
        <w:bCs w:val="0"/>
        <w:i w:val="0"/>
        <w:iCs w:val="0"/>
        <w:caps w:val="0"/>
        <w:strike w:val="0"/>
        <w:dstrike w:val="0"/>
        <w:outline w:val="0"/>
        <w:shadow w:val="0"/>
        <w:emboss w:val="0"/>
        <w:imprint w:val="0"/>
        <w:vanish w:val="0"/>
        <w:sz w:val="22"/>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E0442B4"/>
    <w:multiLevelType w:val="multilevel"/>
    <w:tmpl w:val="E06C09D0"/>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1440" w:hanging="720"/>
      </w:pPr>
      <w:rPr>
        <w:rFonts w:ascii="Times New Roman" w:hAnsi="Times New Roman" w:cs="OpenSymbol" w:hint="default"/>
        <w:b w:val="0"/>
        <w:bCs w:val="0"/>
        <w:i w:val="0"/>
        <w:iCs w:val="0"/>
        <w:caps w:val="0"/>
        <w:strike w:val="0"/>
        <w:dstrike w:val="0"/>
        <w:outline w:val="0"/>
        <w:shadow w:val="0"/>
        <w:emboss w:val="0"/>
        <w:imprint w:val="0"/>
        <w:vanish w:val="0"/>
        <w:sz w:val="22"/>
        <w:szCs w:val="22"/>
        <w:vertAlign w:val="baseline"/>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FCF6F3B"/>
    <w:multiLevelType w:val="hybridMultilevel"/>
    <w:tmpl w:val="A69E6E86"/>
    <w:lvl w:ilvl="0" w:tplc="82127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0755B8"/>
    <w:multiLevelType w:val="multilevel"/>
    <w:tmpl w:val="F842BCF8"/>
    <w:lvl w:ilvl="0">
      <w:start w:val="1"/>
      <w:numFmt w:val="lowerRoman"/>
      <w:lvlText w:val="(%1)"/>
      <w:lvlJc w:val="righ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58E02EA"/>
    <w:multiLevelType w:val="hybridMultilevel"/>
    <w:tmpl w:val="DF5EB190"/>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569302E3"/>
    <w:multiLevelType w:val="hybridMultilevel"/>
    <w:tmpl w:val="4D2E2C8A"/>
    <w:lvl w:ilvl="0" w:tplc="4C18AD7E">
      <w:start w:val="1"/>
      <w:numFmt w:val="lowerLetter"/>
      <w:lvlText w:val="%1)"/>
      <w:lvlJc w:val="left"/>
      <w:pPr>
        <w:tabs>
          <w:tab w:val="num" w:pos="1080"/>
        </w:tabs>
        <w:ind w:left="1080" w:hanging="720"/>
      </w:pPr>
      <w:rPr>
        <w:rFonts w:ascii="Times New Roman" w:hAnsi="Times New Roman" w:cs="OpenSymbol" w:hint="default"/>
        <w:b w:val="0"/>
        <w:bCs w:val="0"/>
        <w:i w:val="0"/>
        <w:iCs w:val="0"/>
        <w:caps w:val="0"/>
        <w:strike w:val="0"/>
        <w:dstrike w:val="0"/>
        <w:outline w:val="0"/>
        <w:shadow w:val="0"/>
        <w:emboss w:val="0"/>
        <w:imprint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D15D25"/>
    <w:multiLevelType w:val="hybridMultilevel"/>
    <w:tmpl w:val="978C6030"/>
    <w:lvl w:ilvl="0" w:tplc="A16E731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B215801"/>
    <w:multiLevelType w:val="hybridMultilevel"/>
    <w:tmpl w:val="FF08A3A0"/>
    <w:lvl w:ilvl="0" w:tplc="D17278B2">
      <w:start w:val="1"/>
      <w:numFmt w:val="decimal"/>
      <w:lvlText w:val="%1."/>
      <w:lvlJc w:val="left"/>
      <w:pPr>
        <w:tabs>
          <w:tab w:val="num" w:pos="357"/>
        </w:tabs>
        <w:ind w:left="357" w:hanging="357"/>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nsid w:val="5BB9216C"/>
    <w:multiLevelType w:val="multilevel"/>
    <w:tmpl w:val="BFCA3780"/>
    <w:lvl w:ilvl="0">
      <w:start w:val="7"/>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1440" w:hanging="720"/>
      </w:pPr>
      <w:rPr>
        <w:rFonts w:ascii="Times New Roman" w:hAnsi="Times New Roman" w:cs="OpenSymbol" w:hint="default"/>
        <w:b w:val="0"/>
        <w:bCs w:val="0"/>
        <w:i w:val="0"/>
        <w:iCs w:val="0"/>
        <w:caps w:val="0"/>
        <w:strike w:val="0"/>
        <w:dstrike w:val="0"/>
        <w:outline w:val="0"/>
        <w:shadow w:val="0"/>
        <w:emboss w:val="0"/>
        <w:imprint w:val="0"/>
        <w:vanish w:val="0"/>
        <w:sz w:val="22"/>
        <w:szCs w:val="22"/>
        <w:vertAlign w:val="baseline"/>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D223101"/>
    <w:multiLevelType w:val="hybridMultilevel"/>
    <w:tmpl w:val="5738728A"/>
    <w:lvl w:ilvl="0" w:tplc="CAB40D4C">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61362455"/>
    <w:multiLevelType w:val="hybridMultilevel"/>
    <w:tmpl w:val="972C07F6"/>
    <w:lvl w:ilvl="0" w:tplc="FFCCF8A0">
      <w:start w:val="1"/>
      <w:numFmt w:val="decimal"/>
      <w:pStyle w:val="CBD-Para-1"/>
      <w:lvlText w:val="%1."/>
      <w:lvlJc w:val="left"/>
      <w:pPr>
        <w:ind w:left="1440" w:hanging="360"/>
      </w:pPr>
    </w:lvl>
    <w:lvl w:ilvl="1" w:tplc="66983E06">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C37610F4">
      <w:start w:val="1"/>
      <w:numFmt w:val="lowerLetter"/>
      <w:lvlText w:val="(%4)"/>
      <w:lvlJc w:val="left"/>
      <w:pPr>
        <w:tabs>
          <w:tab w:val="num" w:pos="4680"/>
        </w:tabs>
        <w:ind w:left="4680" w:hanging="144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4EE46A3"/>
    <w:multiLevelType w:val="hybridMultilevel"/>
    <w:tmpl w:val="11809DB8"/>
    <w:lvl w:ilvl="0" w:tplc="5652EF34">
      <w:start w:val="1"/>
      <w:numFmt w:val="decimal"/>
      <w:lvlText w:val="%1."/>
      <w:lvlJc w:val="left"/>
      <w:pPr>
        <w:ind w:left="360" w:hanging="360"/>
      </w:pPr>
      <w:rPr>
        <w:b w:val="0"/>
        <w:i w:val="0"/>
        <w:sz w:val="22"/>
      </w:rPr>
    </w:lvl>
    <w:lvl w:ilvl="1" w:tplc="4BFC5A32">
      <w:start w:val="1"/>
      <w:numFmt w:val="lowerLetter"/>
      <w:lvlText w:val="(%2)"/>
      <w:lvlJc w:val="left"/>
      <w:pPr>
        <w:ind w:left="1440" w:hanging="360"/>
      </w:pPr>
      <w:rPr>
        <w:rFonts w:hint="default"/>
      </w:rPr>
    </w:lvl>
    <w:lvl w:ilvl="2" w:tplc="124A1BC6">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7">
    <w:nsid w:val="69C86440"/>
    <w:multiLevelType w:val="hybridMultilevel"/>
    <w:tmpl w:val="64C0A316"/>
    <w:lvl w:ilvl="0" w:tplc="4C18AD7E">
      <w:start w:val="1"/>
      <w:numFmt w:val="lowerLetter"/>
      <w:lvlText w:val="%1)"/>
      <w:lvlJc w:val="left"/>
      <w:pPr>
        <w:tabs>
          <w:tab w:val="num" w:pos="720"/>
        </w:tabs>
        <w:ind w:left="720" w:hanging="720"/>
      </w:pPr>
      <w:rPr>
        <w:rFonts w:ascii="Times New Roman" w:hAnsi="Times New Roman" w:cs="OpenSymbol" w:hint="default"/>
        <w:b w:val="0"/>
        <w:bCs w:val="0"/>
        <w:i w:val="0"/>
        <w:iCs w:val="0"/>
        <w:caps w:val="0"/>
        <w:strike w:val="0"/>
        <w:dstrike w:val="0"/>
        <w:outline w:val="0"/>
        <w:shadow w:val="0"/>
        <w:emboss w:val="0"/>
        <w:imprint w:val="0"/>
        <w:vanish w:val="0"/>
        <w:sz w:val="22"/>
        <w:vertAlign w:val="baseline"/>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38">
    <w:nsid w:val="6C346457"/>
    <w:multiLevelType w:val="hybridMultilevel"/>
    <w:tmpl w:val="4A76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F21632"/>
    <w:multiLevelType w:val="hybridMultilevel"/>
    <w:tmpl w:val="325AEF4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nsid w:val="76474796"/>
    <w:multiLevelType w:val="multilevel"/>
    <w:tmpl w:val="29482CD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7C4B24CD"/>
    <w:multiLevelType w:val="multilevel"/>
    <w:tmpl w:val="52060CD8"/>
    <w:lvl w:ilvl="0">
      <w:start w:val="1"/>
      <w:numFmt w:val="lowerLetter"/>
      <w:lvlText w:val="(%1)"/>
      <w:lvlJc w:val="left"/>
      <w:pPr>
        <w:ind w:left="360" w:hanging="360"/>
      </w:pPr>
      <w:rPr>
        <w:rFonts w:hint="default"/>
        <w:b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9"/>
  </w:num>
  <w:num w:numId="2">
    <w:abstractNumId w:val="21"/>
  </w:num>
  <w:num w:numId="3">
    <w:abstractNumId w:val="18"/>
    <w:lvlOverride w:ilvl="0">
      <w:startOverride w:val="1"/>
    </w:lvlOverride>
  </w:num>
  <w:num w:numId="4">
    <w:abstractNumId w:val="3"/>
  </w:num>
  <w:num w:numId="5">
    <w:abstractNumId w:val="10"/>
  </w:num>
  <w:num w:numId="6">
    <w:abstractNumId w:val="36"/>
  </w:num>
  <w:num w:numId="7">
    <w:abstractNumId w:val="26"/>
  </w:num>
  <w:num w:numId="8">
    <w:abstractNumId w:val="15"/>
  </w:num>
  <w:num w:numId="9">
    <w:abstractNumId w:val="20"/>
  </w:num>
  <w:num w:numId="10">
    <w:abstractNumId w:val="17"/>
  </w:num>
  <w:num w:numId="11">
    <w:abstractNumId w:val="30"/>
  </w:num>
  <w:num w:numId="12">
    <w:abstractNumId w:val="7"/>
  </w:num>
  <w:num w:numId="13">
    <w:abstractNumId w:val="23"/>
  </w:num>
  <w:num w:numId="14">
    <w:abstractNumId w:val="35"/>
  </w:num>
  <w:num w:numId="15">
    <w:abstractNumId w:val="16"/>
  </w:num>
  <w:num w:numId="16">
    <w:abstractNumId w:val="34"/>
  </w:num>
  <w:num w:numId="17">
    <w:abstractNumId w:val="29"/>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8"/>
  </w:num>
  <w:num w:numId="21">
    <w:abstractNumId w:val="0"/>
  </w:num>
  <w:num w:numId="22">
    <w:abstractNumId w:val="8"/>
  </w:num>
  <w:num w:numId="23">
    <w:abstractNumId w:val="39"/>
  </w:num>
  <w:num w:numId="24">
    <w:abstractNumId w:val="27"/>
  </w:num>
  <w:num w:numId="25">
    <w:abstractNumId w:val="12"/>
  </w:num>
  <w:num w:numId="26">
    <w:abstractNumId w:val="13"/>
  </w:num>
  <w:num w:numId="27">
    <w:abstractNumId w:val="19"/>
  </w:num>
  <w:num w:numId="28">
    <w:abstractNumId w:val="5"/>
  </w:num>
  <w:num w:numId="29">
    <w:abstractNumId w:val="24"/>
  </w:num>
  <w:num w:numId="30">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22"/>
  </w:num>
  <w:num w:numId="33">
    <w:abstractNumId w:val="33"/>
  </w:num>
  <w:num w:numId="34">
    <w:abstractNumId w:val="2"/>
  </w:num>
  <w:num w:numId="35">
    <w:abstractNumId w:val="14"/>
  </w:num>
  <w:num w:numId="36">
    <w:abstractNumId w:val="6"/>
  </w:num>
  <w:num w:numId="37">
    <w:abstractNumId w:val="40"/>
  </w:num>
  <w:num w:numId="38">
    <w:abstractNumId w:val="4"/>
  </w:num>
  <w:num w:numId="39">
    <w:abstractNumId w:val="25"/>
  </w:num>
  <w:num w:numId="40">
    <w:abstractNumId w:val="41"/>
  </w:num>
  <w:num w:numId="41">
    <w:abstractNumId w:val="11"/>
  </w:num>
  <w:num w:numId="42">
    <w:abstractNumId w:val="37"/>
  </w:num>
  <w:num w:numId="43">
    <w:abstractNumId w:val="1"/>
  </w:num>
  <w:num w:numId="44">
    <w:abstractNumId w:val="3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proofState w:spelling="clean"/>
  <w:stylePaneFormatFilter w:val="3F01"/>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15362">
      <v:textbox inset="5.85pt,.7pt,5.85pt,.7pt"/>
    </o:shapedefaults>
  </w:hdrShapeDefaults>
  <w:footnotePr>
    <w:footnote w:id="-1"/>
    <w:footnote w:id="0"/>
  </w:footnotePr>
  <w:endnotePr>
    <w:endnote w:id="-1"/>
    <w:endnote w:id="0"/>
  </w:endnotePr>
  <w:compat>
    <w:useFELayout/>
  </w:compat>
  <w:rsids>
    <w:rsidRoot w:val="00424E0F"/>
    <w:rsid w:val="00000938"/>
    <w:rsid w:val="00001048"/>
    <w:rsid w:val="00002611"/>
    <w:rsid w:val="00002776"/>
    <w:rsid w:val="0000395C"/>
    <w:rsid w:val="00005724"/>
    <w:rsid w:val="00006A12"/>
    <w:rsid w:val="00007139"/>
    <w:rsid w:val="0000752C"/>
    <w:rsid w:val="00007BDC"/>
    <w:rsid w:val="0001112A"/>
    <w:rsid w:val="00011546"/>
    <w:rsid w:val="00011D38"/>
    <w:rsid w:val="000120A0"/>
    <w:rsid w:val="000130EE"/>
    <w:rsid w:val="000137DC"/>
    <w:rsid w:val="00013D92"/>
    <w:rsid w:val="0001437E"/>
    <w:rsid w:val="0001470B"/>
    <w:rsid w:val="00014AA7"/>
    <w:rsid w:val="00014DAC"/>
    <w:rsid w:val="000157BF"/>
    <w:rsid w:val="00015F50"/>
    <w:rsid w:val="00016DAF"/>
    <w:rsid w:val="0001785A"/>
    <w:rsid w:val="000200B8"/>
    <w:rsid w:val="0002134D"/>
    <w:rsid w:val="00021367"/>
    <w:rsid w:val="00021F02"/>
    <w:rsid w:val="00021F20"/>
    <w:rsid w:val="0002341A"/>
    <w:rsid w:val="0002371B"/>
    <w:rsid w:val="00023D05"/>
    <w:rsid w:val="00023DA9"/>
    <w:rsid w:val="00025298"/>
    <w:rsid w:val="0002569C"/>
    <w:rsid w:val="000261A5"/>
    <w:rsid w:val="00026D44"/>
    <w:rsid w:val="00026D45"/>
    <w:rsid w:val="000270CE"/>
    <w:rsid w:val="000306BF"/>
    <w:rsid w:val="00030AFA"/>
    <w:rsid w:val="00032597"/>
    <w:rsid w:val="0003261C"/>
    <w:rsid w:val="0003317D"/>
    <w:rsid w:val="000332D4"/>
    <w:rsid w:val="0003374F"/>
    <w:rsid w:val="00036B05"/>
    <w:rsid w:val="00036EC8"/>
    <w:rsid w:val="0003703A"/>
    <w:rsid w:val="000379C5"/>
    <w:rsid w:val="00037B77"/>
    <w:rsid w:val="00040D2C"/>
    <w:rsid w:val="00040DEC"/>
    <w:rsid w:val="0004131C"/>
    <w:rsid w:val="000414A4"/>
    <w:rsid w:val="000415EB"/>
    <w:rsid w:val="00041A7B"/>
    <w:rsid w:val="000437C2"/>
    <w:rsid w:val="00043AD0"/>
    <w:rsid w:val="00044448"/>
    <w:rsid w:val="00045D03"/>
    <w:rsid w:val="00050FA5"/>
    <w:rsid w:val="000518ED"/>
    <w:rsid w:val="00051AB3"/>
    <w:rsid w:val="000521F3"/>
    <w:rsid w:val="000524C3"/>
    <w:rsid w:val="00052C88"/>
    <w:rsid w:val="00057114"/>
    <w:rsid w:val="000577B0"/>
    <w:rsid w:val="00057950"/>
    <w:rsid w:val="000604C1"/>
    <w:rsid w:val="000609D1"/>
    <w:rsid w:val="0006112A"/>
    <w:rsid w:val="000615B8"/>
    <w:rsid w:val="000615F9"/>
    <w:rsid w:val="00062983"/>
    <w:rsid w:val="00062D01"/>
    <w:rsid w:val="00062E18"/>
    <w:rsid w:val="00063619"/>
    <w:rsid w:val="0006370A"/>
    <w:rsid w:val="000644E6"/>
    <w:rsid w:val="000657E7"/>
    <w:rsid w:val="00065E05"/>
    <w:rsid w:val="00066938"/>
    <w:rsid w:val="0006714C"/>
    <w:rsid w:val="0006773B"/>
    <w:rsid w:val="00067B5B"/>
    <w:rsid w:val="00070E02"/>
    <w:rsid w:val="00071828"/>
    <w:rsid w:val="000719F5"/>
    <w:rsid w:val="00072ABE"/>
    <w:rsid w:val="00072DDC"/>
    <w:rsid w:val="00073903"/>
    <w:rsid w:val="00073C2A"/>
    <w:rsid w:val="00073EED"/>
    <w:rsid w:val="0007574D"/>
    <w:rsid w:val="000759CE"/>
    <w:rsid w:val="000768AB"/>
    <w:rsid w:val="00076DAA"/>
    <w:rsid w:val="00076E90"/>
    <w:rsid w:val="00077E42"/>
    <w:rsid w:val="00080545"/>
    <w:rsid w:val="00081A12"/>
    <w:rsid w:val="00081F73"/>
    <w:rsid w:val="00082AF6"/>
    <w:rsid w:val="00083167"/>
    <w:rsid w:val="00083266"/>
    <w:rsid w:val="00083F57"/>
    <w:rsid w:val="00084198"/>
    <w:rsid w:val="0008443F"/>
    <w:rsid w:val="00084DE7"/>
    <w:rsid w:val="000857F4"/>
    <w:rsid w:val="0008586B"/>
    <w:rsid w:val="00086E53"/>
    <w:rsid w:val="00090E40"/>
    <w:rsid w:val="000927B5"/>
    <w:rsid w:val="00092C21"/>
    <w:rsid w:val="000932D0"/>
    <w:rsid w:val="00093501"/>
    <w:rsid w:val="000937AA"/>
    <w:rsid w:val="000938C6"/>
    <w:rsid w:val="000948E5"/>
    <w:rsid w:val="00094C9B"/>
    <w:rsid w:val="00094E00"/>
    <w:rsid w:val="0009545E"/>
    <w:rsid w:val="000957DF"/>
    <w:rsid w:val="0009598B"/>
    <w:rsid w:val="00095BBA"/>
    <w:rsid w:val="00095FB3"/>
    <w:rsid w:val="000962A9"/>
    <w:rsid w:val="0009645C"/>
    <w:rsid w:val="00097243"/>
    <w:rsid w:val="00097E94"/>
    <w:rsid w:val="000A1B93"/>
    <w:rsid w:val="000A2EF5"/>
    <w:rsid w:val="000A37DF"/>
    <w:rsid w:val="000A3E0B"/>
    <w:rsid w:val="000A4B0C"/>
    <w:rsid w:val="000A57D5"/>
    <w:rsid w:val="000A6299"/>
    <w:rsid w:val="000A6ED7"/>
    <w:rsid w:val="000A742D"/>
    <w:rsid w:val="000B01BC"/>
    <w:rsid w:val="000B11A5"/>
    <w:rsid w:val="000B1F25"/>
    <w:rsid w:val="000B34BD"/>
    <w:rsid w:val="000B3673"/>
    <w:rsid w:val="000B371E"/>
    <w:rsid w:val="000B4303"/>
    <w:rsid w:val="000B53BC"/>
    <w:rsid w:val="000B7817"/>
    <w:rsid w:val="000C06F8"/>
    <w:rsid w:val="000C0DAE"/>
    <w:rsid w:val="000C1C2D"/>
    <w:rsid w:val="000C24A8"/>
    <w:rsid w:val="000C29BC"/>
    <w:rsid w:val="000C3435"/>
    <w:rsid w:val="000C575D"/>
    <w:rsid w:val="000C6CC1"/>
    <w:rsid w:val="000C7659"/>
    <w:rsid w:val="000C7AED"/>
    <w:rsid w:val="000D0625"/>
    <w:rsid w:val="000D0735"/>
    <w:rsid w:val="000D0D11"/>
    <w:rsid w:val="000D1057"/>
    <w:rsid w:val="000D118D"/>
    <w:rsid w:val="000D178B"/>
    <w:rsid w:val="000D2531"/>
    <w:rsid w:val="000D2B9B"/>
    <w:rsid w:val="000D37E0"/>
    <w:rsid w:val="000D6963"/>
    <w:rsid w:val="000D742A"/>
    <w:rsid w:val="000E1262"/>
    <w:rsid w:val="000E1DD5"/>
    <w:rsid w:val="000E3FA5"/>
    <w:rsid w:val="000E44EB"/>
    <w:rsid w:val="000E4558"/>
    <w:rsid w:val="000E590C"/>
    <w:rsid w:val="000E6C12"/>
    <w:rsid w:val="000F0F5D"/>
    <w:rsid w:val="000F20E2"/>
    <w:rsid w:val="000F2C44"/>
    <w:rsid w:val="000F3EA4"/>
    <w:rsid w:val="000F599B"/>
    <w:rsid w:val="000F6343"/>
    <w:rsid w:val="000F6D92"/>
    <w:rsid w:val="000F7822"/>
    <w:rsid w:val="000F787D"/>
    <w:rsid w:val="000F78FD"/>
    <w:rsid w:val="0010005C"/>
    <w:rsid w:val="00101593"/>
    <w:rsid w:val="00101BF1"/>
    <w:rsid w:val="00101E91"/>
    <w:rsid w:val="00101FC9"/>
    <w:rsid w:val="00102DB3"/>
    <w:rsid w:val="00102EAD"/>
    <w:rsid w:val="0010379D"/>
    <w:rsid w:val="001048B5"/>
    <w:rsid w:val="00105750"/>
    <w:rsid w:val="00105819"/>
    <w:rsid w:val="00105A40"/>
    <w:rsid w:val="00105FE1"/>
    <w:rsid w:val="00106A1E"/>
    <w:rsid w:val="001070C8"/>
    <w:rsid w:val="001079FC"/>
    <w:rsid w:val="001101D4"/>
    <w:rsid w:val="00110249"/>
    <w:rsid w:val="001107F0"/>
    <w:rsid w:val="00110D4C"/>
    <w:rsid w:val="001122E9"/>
    <w:rsid w:val="00112D47"/>
    <w:rsid w:val="00116108"/>
    <w:rsid w:val="0011689E"/>
    <w:rsid w:val="00116E0C"/>
    <w:rsid w:val="001171E8"/>
    <w:rsid w:val="00117628"/>
    <w:rsid w:val="001178CC"/>
    <w:rsid w:val="001178F3"/>
    <w:rsid w:val="00120DAA"/>
    <w:rsid w:val="001221C3"/>
    <w:rsid w:val="00122AA3"/>
    <w:rsid w:val="00122DD5"/>
    <w:rsid w:val="00123CB5"/>
    <w:rsid w:val="00123E8C"/>
    <w:rsid w:val="00123EFB"/>
    <w:rsid w:val="00124153"/>
    <w:rsid w:val="00124784"/>
    <w:rsid w:val="00124821"/>
    <w:rsid w:val="00124F73"/>
    <w:rsid w:val="00125806"/>
    <w:rsid w:val="0012695E"/>
    <w:rsid w:val="00126993"/>
    <w:rsid w:val="00126AEA"/>
    <w:rsid w:val="001275BC"/>
    <w:rsid w:val="001302EE"/>
    <w:rsid w:val="00130E90"/>
    <w:rsid w:val="00131414"/>
    <w:rsid w:val="0013363E"/>
    <w:rsid w:val="001343A5"/>
    <w:rsid w:val="001343FE"/>
    <w:rsid w:val="00135171"/>
    <w:rsid w:val="0013524D"/>
    <w:rsid w:val="001352FA"/>
    <w:rsid w:val="00135967"/>
    <w:rsid w:val="00136875"/>
    <w:rsid w:val="0013691E"/>
    <w:rsid w:val="00136C38"/>
    <w:rsid w:val="00137579"/>
    <w:rsid w:val="0013779D"/>
    <w:rsid w:val="001415F9"/>
    <w:rsid w:val="001416C5"/>
    <w:rsid w:val="001423AD"/>
    <w:rsid w:val="00142951"/>
    <w:rsid w:val="00143C89"/>
    <w:rsid w:val="00143CB6"/>
    <w:rsid w:val="00144D88"/>
    <w:rsid w:val="00146C45"/>
    <w:rsid w:val="00146D8E"/>
    <w:rsid w:val="00147A01"/>
    <w:rsid w:val="00150BB2"/>
    <w:rsid w:val="00151D76"/>
    <w:rsid w:val="00154BC5"/>
    <w:rsid w:val="00155F98"/>
    <w:rsid w:val="00156C62"/>
    <w:rsid w:val="00156CF3"/>
    <w:rsid w:val="001573C5"/>
    <w:rsid w:val="0016130A"/>
    <w:rsid w:val="00162440"/>
    <w:rsid w:val="0016273C"/>
    <w:rsid w:val="0016296B"/>
    <w:rsid w:val="0016330A"/>
    <w:rsid w:val="00164124"/>
    <w:rsid w:val="001645D2"/>
    <w:rsid w:val="001645E5"/>
    <w:rsid w:val="001647F0"/>
    <w:rsid w:val="00164832"/>
    <w:rsid w:val="00164D84"/>
    <w:rsid w:val="00165BB7"/>
    <w:rsid w:val="00165E6A"/>
    <w:rsid w:val="00166AD7"/>
    <w:rsid w:val="00167227"/>
    <w:rsid w:val="00170570"/>
    <w:rsid w:val="0017060C"/>
    <w:rsid w:val="0017222F"/>
    <w:rsid w:val="00181849"/>
    <w:rsid w:val="00181F03"/>
    <w:rsid w:val="001823C0"/>
    <w:rsid w:val="001841AA"/>
    <w:rsid w:val="001841C5"/>
    <w:rsid w:val="00184BD8"/>
    <w:rsid w:val="001855B3"/>
    <w:rsid w:val="00185A46"/>
    <w:rsid w:val="00186147"/>
    <w:rsid w:val="00187126"/>
    <w:rsid w:val="001875C0"/>
    <w:rsid w:val="00187D44"/>
    <w:rsid w:val="001902D3"/>
    <w:rsid w:val="0019095F"/>
    <w:rsid w:val="00191514"/>
    <w:rsid w:val="00191686"/>
    <w:rsid w:val="00192DBA"/>
    <w:rsid w:val="001936B2"/>
    <w:rsid w:val="001938F6"/>
    <w:rsid w:val="00194308"/>
    <w:rsid w:val="00194A4E"/>
    <w:rsid w:val="00194CFA"/>
    <w:rsid w:val="00194FF2"/>
    <w:rsid w:val="00196278"/>
    <w:rsid w:val="001966DB"/>
    <w:rsid w:val="00196828"/>
    <w:rsid w:val="001968E3"/>
    <w:rsid w:val="00196D98"/>
    <w:rsid w:val="00197203"/>
    <w:rsid w:val="001972B8"/>
    <w:rsid w:val="0019744E"/>
    <w:rsid w:val="001A0585"/>
    <w:rsid w:val="001A08ED"/>
    <w:rsid w:val="001A13F6"/>
    <w:rsid w:val="001A15CD"/>
    <w:rsid w:val="001A18CF"/>
    <w:rsid w:val="001A1A8C"/>
    <w:rsid w:val="001A1B02"/>
    <w:rsid w:val="001A26E2"/>
    <w:rsid w:val="001A3A07"/>
    <w:rsid w:val="001A5651"/>
    <w:rsid w:val="001A6D0D"/>
    <w:rsid w:val="001A7D5E"/>
    <w:rsid w:val="001B0727"/>
    <w:rsid w:val="001B08C1"/>
    <w:rsid w:val="001B2F43"/>
    <w:rsid w:val="001B412D"/>
    <w:rsid w:val="001B73B3"/>
    <w:rsid w:val="001B7DAA"/>
    <w:rsid w:val="001C19F0"/>
    <w:rsid w:val="001C2D65"/>
    <w:rsid w:val="001C418D"/>
    <w:rsid w:val="001C4823"/>
    <w:rsid w:val="001C4B0D"/>
    <w:rsid w:val="001C55E5"/>
    <w:rsid w:val="001C65AB"/>
    <w:rsid w:val="001C693F"/>
    <w:rsid w:val="001C73C9"/>
    <w:rsid w:val="001C772E"/>
    <w:rsid w:val="001C7D79"/>
    <w:rsid w:val="001C7EF2"/>
    <w:rsid w:val="001C7FD7"/>
    <w:rsid w:val="001D1484"/>
    <w:rsid w:val="001D188A"/>
    <w:rsid w:val="001D1B7B"/>
    <w:rsid w:val="001D2209"/>
    <w:rsid w:val="001D28AE"/>
    <w:rsid w:val="001D29D1"/>
    <w:rsid w:val="001D2CD9"/>
    <w:rsid w:val="001D34E6"/>
    <w:rsid w:val="001D37AA"/>
    <w:rsid w:val="001D428D"/>
    <w:rsid w:val="001D489A"/>
    <w:rsid w:val="001D4BA9"/>
    <w:rsid w:val="001D6EC9"/>
    <w:rsid w:val="001D7024"/>
    <w:rsid w:val="001D7193"/>
    <w:rsid w:val="001E03DA"/>
    <w:rsid w:val="001E1656"/>
    <w:rsid w:val="001E17B8"/>
    <w:rsid w:val="001E199C"/>
    <w:rsid w:val="001E1F80"/>
    <w:rsid w:val="001E2EB6"/>
    <w:rsid w:val="001E36EA"/>
    <w:rsid w:val="001E41D6"/>
    <w:rsid w:val="001E5074"/>
    <w:rsid w:val="001E56F6"/>
    <w:rsid w:val="001E6A1C"/>
    <w:rsid w:val="001E73B7"/>
    <w:rsid w:val="001F0221"/>
    <w:rsid w:val="001F03A1"/>
    <w:rsid w:val="001F0A33"/>
    <w:rsid w:val="001F142E"/>
    <w:rsid w:val="001F2B5D"/>
    <w:rsid w:val="001F3B0D"/>
    <w:rsid w:val="001F417F"/>
    <w:rsid w:val="001F4EAD"/>
    <w:rsid w:val="001F7CF7"/>
    <w:rsid w:val="001F7E95"/>
    <w:rsid w:val="001F7F6B"/>
    <w:rsid w:val="00200233"/>
    <w:rsid w:val="00200902"/>
    <w:rsid w:val="00201752"/>
    <w:rsid w:val="00201BCD"/>
    <w:rsid w:val="00201C7B"/>
    <w:rsid w:val="00202381"/>
    <w:rsid w:val="002023FB"/>
    <w:rsid w:val="00202E66"/>
    <w:rsid w:val="00202E7F"/>
    <w:rsid w:val="0020351B"/>
    <w:rsid w:val="002035EF"/>
    <w:rsid w:val="0020459B"/>
    <w:rsid w:val="00205FEB"/>
    <w:rsid w:val="00206B67"/>
    <w:rsid w:val="00206DB0"/>
    <w:rsid w:val="00207D32"/>
    <w:rsid w:val="00207F93"/>
    <w:rsid w:val="00210DAF"/>
    <w:rsid w:val="00210FDA"/>
    <w:rsid w:val="00211795"/>
    <w:rsid w:val="002120F6"/>
    <w:rsid w:val="00212CC5"/>
    <w:rsid w:val="00214212"/>
    <w:rsid w:val="002145C7"/>
    <w:rsid w:val="002169EB"/>
    <w:rsid w:val="00216FD1"/>
    <w:rsid w:val="00220593"/>
    <w:rsid w:val="00221045"/>
    <w:rsid w:val="0022187B"/>
    <w:rsid w:val="00221CB8"/>
    <w:rsid w:val="00222837"/>
    <w:rsid w:val="00222929"/>
    <w:rsid w:val="00222F89"/>
    <w:rsid w:val="00223535"/>
    <w:rsid w:val="0022369B"/>
    <w:rsid w:val="00223A6E"/>
    <w:rsid w:val="00224A1E"/>
    <w:rsid w:val="00224BAE"/>
    <w:rsid w:val="00224CBA"/>
    <w:rsid w:val="00224E59"/>
    <w:rsid w:val="00225AC8"/>
    <w:rsid w:val="002267D7"/>
    <w:rsid w:val="002268B2"/>
    <w:rsid w:val="00226BF5"/>
    <w:rsid w:val="00226D95"/>
    <w:rsid w:val="00226DE9"/>
    <w:rsid w:val="002270DD"/>
    <w:rsid w:val="002273F4"/>
    <w:rsid w:val="00227E6F"/>
    <w:rsid w:val="0023034C"/>
    <w:rsid w:val="002309E1"/>
    <w:rsid w:val="00230D31"/>
    <w:rsid w:val="002311AB"/>
    <w:rsid w:val="00231422"/>
    <w:rsid w:val="00231453"/>
    <w:rsid w:val="0023272E"/>
    <w:rsid w:val="00233495"/>
    <w:rsid w:val="0023397D"/>
    <w:rsid w:val="00233CDF"/>
    <w:rsid w:val="00233FAB"/>
    <w:rsid w:val="00234FDC"/>
    <w:rsid w:val="00234FF8"/>
    <w:rsid w:val="00235948"/>
    <w:rsid w:val="00235C1A"/>
    <w:rsid w:val="00236EF9"/>
    <w:rsid w:val="0023776F"/>
    <w:rsid w:val="00237CAC"/>
    <w:rsid w:val="00240C99"/>
    <w:rsid w:val="00242E1A"/>
    <w:rsid w:val="00243026"/>
    <w:rsid w:val="00243F6D"/>
    <w:rsid w:val="00244094"/>
    <w:rsid w:val="002449F0"/>
    <w:rsid w:val="00244FD7"/>
    <w:rsid w:val="00246471"/>
    <w:rsid w:val="00246CE3"/>
    <w:rsid w:val="00246FC4"/>
    <w:rsid w:val="0024722C"/>
    <w:rsid w:val="0024794E"/>
    <w:rsid w:val="0025102A"/>
    <w:rsid w:val="00252472"/>
    <w:rsid w:val="0025341D"/>
    <w:rsid w:val="00254374"/>
    <w:rsid w:val="00254375"/>
    <w:rsid w:val="00254469"/>
    <w:rsid w:val="002546C4"/>
    <w:rsid w:val="0025563A"/>
    <w:rsid w:val="00256F5C"/>
    <w:rsid w:val="00257129"/>
    <w:rsid w:val="00257434"/>
    <w:rsid w:val="002576AA"/>
    <w:rsid w:val="0026001D"/>
    <w:rsid w:val="002600E1"/>
    <w:rsid w:val="00261C0D"/>
    <w:rsid w:val="00261DED"/>
    <w:rsid w:val="0026253B"/>
    <w:rsid w:val="00262C3E"/>
    <w:rsid w:val="00263355"/>
    <w:rsid w:val="00263C15"/>
    <w:rsid w:val="002643CD"/>
    <w:rsid w:val="002648C7"/>
    <w:rsid w:val="00264E4F"/>
    <w:rsid w:val="00267689"/>
    <w:rsid w:val="00267875"/>
    <w:rsid w:val="002679C0"/>
    <w:rsid w:val="00267AA3"/>
    <w:rsid w:val="00267FBD"/>
    <w:rsid w:val="00270DFD"/>
    <w:rsid w:val="00271A0E"/>
    <w:rsid w:val="0027264C"/>
    <w:rsid w:val="00272811"/>
    <w:rsid w:val="00273199"/>
    <w:rsid w:val="00273401"/>
    <w:rsid w:val="00273DFD"/>
    <w:rsid w:val="002764A5"/>
    <w:rsid w:val="0027698F"/>
    <w:rsid w:val="00276BA6"/>
    <w:rsid w:val="00276F6A"/>
    <w:rsid w:val="002771D7"/>
    <w:rsid w:val="002774B7"/>
    <w:rsid w:val="002777E6"/>
    <w:rsid w:val="00277CE2"/>
    <w:rsid w:val="0028068B"/>
    <w:rsid w:val="00280753"/>
    <w:rsid w:val="002814CE"/>
    <w:rsid w:val="00283D83"/>
    <w:rsid w:val="002843A6"/>
    <w:rsid w:val="002843E9"/>
    <w:rsid w:val="002867C3"/>
    <w:rsid w:val="00286DF5"/>
    <w:rsid w:val="002900E3"/>
    <w:rsid w:val="002907D1"/>
    <w:rsid w:val="002908C6"/>
    <w:rsid w:val="002909E7"/>
    <w:rsid w:val="00290A0E"/>
    <w:rsid w:val="00293265"/>
    <w:rsid w:val="00293F03"/>
    <w:rsid w:val="00294A40"/>
    <w:rsid w:val="00295161"/>
    <w:rsid w:val="002954D7"/>
    <w:rsid w:val="00296574"/>
    <w:rsid w:val="002975AD"/>
    <w:rsid w:val="002A0055"/>
    <w:rsid w:val="002A0D72"/>
    <w:rsid w:val="002A0E27"/>
    <w:rsid w:val="002A1406"/>
    <w:rsid w:val="002A2BAF"/>
    <w:rsid w:val="002A3056"/>
    <w:rsid w:val="002A414A"/>
    <w:rsid w:val="002A46C1"/>
    <w:rsid w:val="002A4825"/>
    <w:rsid w:val="002A4871"/>
    <w:rsid w:val="002A4C61"/>
    <w:rsid w:val="002A5095"/>
    <w:rsid w:val="002A5455"/>
    <w:rsid w:val="002A6A67"/>
    <w:rsid w:val="002A6C5A"/>
    <w:rsid w:val="002B1D44"/>
    <w:rsid w:val="002B299E"/>
    <w:rsid w:val="002B3244"/>
    <w:rsid w:val="002B3C3E"/>
    <w:rsid w:val="002B48CD"/>
    <w:rsid w:val="002B4A08"/>
    <w:rsid w:val="002B4B31"/>
    <w:rsid w:val="002B4E90"/>
    <w:rsid w:val="002B508A"/>
    <w:rsid w:val="002B5265"/>
    <w:rsid w:val="002B6732"/>
    <w:rsid w:val="002B674D"/>
    <w:rsid w:val="002B6CC2"/>
    <w:rsid w:val="002C0A85"/>
    <w:rsid w:val="002C158D"/>
    <w:rsid w:val="002C1E1D"/>
    <w:rsid w:val="002C208C"/>
    <w:rsid w:val="002C248D"/>
    <w:rsid w:val="002C2490"/>
    <w:rsid w:val="002C2C52"/>
    <w:rsid w:val="002C509F"/>
    <w:rsid w:val="002C5219"/>
    <w:rsid w:val="002C536C"/>
    <w:rsid w:val="002C5AA4"/>
    <w:rsid w:val="002C6750"/>
    <w:rsid w:val="002C7FB7"/>
    <w:rsid w:val="002D0326"/>
    <w:rsid w:val="002D2820"/>
    <w:rsid w:val="002D2A60"/>
    <w:rsid w:val="002D2B71"/>
    <w:rsid w:val="002D3061"/>
    <w:rsid w:val="002D3270"/>
    <w:rsid w:val="002D4414"/>
    <w:rsid w:val="002D5AC4"/>
    <w:rsid w:val="002D6985"/>
    <w:rsid w:val="002D6C9A"/>
    <w:rsid w:val="002D7874"/>
    <w:rsid w:val="002E00FD"/>
    <w:rsid w:val="002E2064"/>
    <w:rsid w:val="002E28DE"/>
    <w:rsid w:val="002E3B3A"/>
    <w:rsid w:val="002E3C03"/>
    <w:rsid w:val="002E4E67"/>
    <w:rsid w:val="002E538F"/>
    <w:rsid w:val="002E552E"/>
    <w:rsid w:val="002E5B56"/>
    <w:rsid w:val="002E74C9"/>
    <w:rsid w:val="002E7BDF"/>
    <w:rsid w:val="002F061F"/>
    <w:rsid w:val="002F1751"/>
    <w:rsid w:val="002F21E7"/>
    <w:rsid w:val="002F3900"/>
    <w:rsid w:val="002F5491"/>
    <w:rsid w:val="002F7348"/>
    <w:rsid w:val="002F7F48"/>
    <w:rsid w:val="00300175"/>
    <w:rsid w:val="003032CB"/>
    <w:rsid w:val="003039A1"/>
    <w:rsid w:val="00304B50"/>
    <w:rsid w:val="00304C23"/>
    <w:rsid w:val="0030546E"/>
    <w:rsid w:val="00305DFF"/>
    <w:rsid w:val="00306095"/>
    <w:rsid w:val="003061EF"/>
    <w:rsid w:val="00306310"/>
    <w:rsid w:val="003068CD"/>
    <w:rsid w:val="00306F20"/>
    <w:rsid w:val="003077F6"/>
    <w:rsid w:val="00307F48"/>
    <w:rsid w:val="00307FA2"/>
    <w:rsid w:val="00310805"/>
    <w:rsid w:val="00310820"/>
    <w:rsid w:val="00310951"/>
    <w:rsid w:val="00311756"/>
    <w:rsid w:val="00312926"/>
    <w:rsid w:val="00312979"/>
    <w:rsid w:val="00313286"/>
    <w:rsid w:val="00314994"/>
    <w:rsid w:val="0031515E"/>
    <w:rsid w:val="00315211"/>
    <w:rsid w:val="00316C7D"/>
    <w:rsid w:val="0032141D"/>
    <w:rsid w:val="003218FC"/>
    <w:rsid w:val="00321DC2"/>
    <w:rsid w:val="00321EAB"/>
    <w:rsid w:val="0032316C"/>
    <w:rsid w:val="00323CBF"/>
    <w:rsid w:val="00324DD2"/>
    <w:rsid w:val="0032636E"/>
    <w:rsid w:val="003268DC"/>
    <w:rsid w:val="00330AC9"/>
    <w:rsid w:val="00331C98"/>
    <w:rsid w:val="00333541"/>
    <w:rsid w:val="003339D5"/>
    <w:rsid w:val="00333D5A"/>
    <w:rsid w:val="00333D9F"/>
    <w:rsid w:val="003340AE"/>
    <w:rsid w:val="00334685"/>
    <w:rsid w:val="00335295"/>
    <w:rsid w:val="0033564A"/>
    <w:rsid w:val="00336143"/>
    <w:rsid w:val="00336313"/>
    <w:rsid w:val="003367B6"/>
    <w:rsid w:val="00336819"/>
    <w:rsid w:val="003377A1"/>
    <w:rsid w:val="00337858"/>
    <w:rsid w:val="00337A08"/>
    <w:rsid w:val="00337AE6"/>
    <w:rsid w:val="003415B3"/>
    <w:rsid w:val="00342BE1"/>
    <w:rsid w:val="003431E5"/>
    <w:rsid w:val="00343CC7"/>
    <w:rsid w:val="00343D6B"/>
    <w:rsid w:val="00343FB2"/>
    <w:rsid w:val="0034426C"/>
    <w:rsid w:val="0034599A"/>
    <w:rsid w:val="00346CC5"/>
    <w:rsid w:val="003470EA"/>
    <w:rsid w:val="003476D0"/>
    <w:rsid w:val="00347AD4"/>
    <w:rsid w:val="00347DF1"/>
    <w:rsid w:val="00347E35"/>
    <w:rsid w:val="00350B80"/>
    <w:rsid w:val="0035223B"/>
    <w:rsid w:val="00352415"/>
    <w:rsid w:val="00352D06"/>
    <w:rsid w:val="00354055"/>
    <w:rsid w:val="003559D3"/>
    <w:rsid w:val="0035708A"/>
    <w:rsid w:val="0036066D"/>
    <w:rsid w:val="003606FF"/>
    <w:rsid w:val="00361672"/>
    <w:rsid w:val="00361CB7"/>
    <w:rsid w:val="0036296B"/>
    <w:rsid w:val="00362CA3"/>
    <w:rsid w:val="00362FBA"/>
    <w:rsid w:val="003632F2"/>
    <w:rsid w:val="00364497"/>
    <w:rsid w:val="00365ABB"/>
    <w:rsid w:val="0036613A"/>
    <w:rsid w:val="00367421"/>
    <w:rsid w:val="00367A94"/>
    <w:rsid w:val="003719D0"/>
    <w:rsid w:val="00373CEB"/>
    <w:rsid w:val="00374474"/>
    <w:rsid w:val="0037487C"/>
    <w:rsid w:val="00374C17"/>
    <w:rsid w:val="00375350"/>
    <w:rsid w:val="0037573D"/>
    <w:rsid w:val="00375979"/>
    <w:rsid w:val="00375E98"/>
    <w:rsid w:val="00375F94"/>
    <w:rsid w:val="00376218"/>
    <w:rsid w:val="003768B1"/>
    <w:rsid w:val="00376B8A"/>
    <w:rsid w:val="00376D3E"/>
    <w:rsid w:val="0037716D"/>
    <w:rsid w:val="00377B26"/>
    <w:rsid w:val="00380050"/>
    <w:rsid w:val="0038016C"/>
    <w:rsid w:val="00380258"/>
    <w:rsid w:val="003808D4"/>
    <w:rsid w:val="0038157F"/>
    <w:rsid w:val="00381786"/>
    <w:rsid w:val="00381F45"/>
    <w:rsid w:val="0038264F"/>
    <w:rsid w:val="00382809"/>
    <w:rsid w:val="0038332D"/>
    <w:rsid w:val="003833CB"/>
    <w:rsid w:val="00383CFD"/>
    <w:rsid w:val="00384156"/>
    <w:rsid w:val="003841B1"/>
    <w:rsid w:val="003841D6"/>
    <w:rsid w:val="003845E5"/>
    <w:rsid w:val="00384759"/>
    <w:rsid w:val="003849D0"/>
    <w:rsid w:val="00384F1B"/>
    <w:rsid w:val="003858EA"/>
    <w:rsid w:val="00385E6E"/>
    <w:rsid w:val="00387B69"/>
    <w:rsid w:val="0039003C"/>
    <w:rsid w:val="00390525"/>
    <w:rsid w:val="003909CB"/>
    <w:rsid w:val="003909EE"/>
    <w:rsid w:val="003915DF"/>
    <w:rsid w:val="003923B1"/>
    <w:rsid w:val="0039377C"/>
    <w:rsid w:val="0039556E"/>
    <w:rsid w:val="00396487"/>
    <w:rsid w:val="003970FB"/>
    <w:rsid w:val="003975A6"/>
    <w:rsid w:val="0039792B"/>
    <w:rsid w:val="00397AD0"/>
    <w:rsid w:val="003A018C"/>
    <w:rsid w:val="003A0441"/>
    <w:rsid w:val="003A159E"/>
    <w:rsid w:val="003A219C"/>
    <w:rsid w:val="003A23C7"/>
    <w:rsid w:val="003A2B94"/>
    <w:rsid w:val="003A2D9C"/>
    <w:rsid w:val="003A6813"/>
    <w:rsid w:val="003A77B3"/>
    <w:rsid w:val="003B01B7"/>
    <w:rsid w:val="003B0FB0"/>
    <w:rsid w:val="003B1329"/>
    <w:rsid w:val="003B13B1"/>
    <w:rsid w:val="003B13D2"/>
    <w:rsid w:val="003B168F"/>
    <w:rsid w:val="003B32AF"/>
    <w:rsid w:val="003B3F42"/>
    <w:rsid w:val="003B4E13"/>
    <w:rsid w:val="003B56DC"/>
    <w:rsid w:val="003B5BC8"/>
    <w:rsid w:val="003B6FF5"/>
    <w:rsid w:val="003B788F"/>
    <w:rsid w:val="003C00AA"/>
    <w:rsid w:val="003C0449"/>
    <w:rsid w:val="003C06A1"/>
    <w:rsid w:val="003C0DF2"/>
    <w:rsid w:val="003C1CF6"/>
    <w:rsid w:val="003C2EEF"/>
    <w:rsid w:val="003C3938"/>
    <w:rsid w:val="003C3D26"/>
    <w:rsid w:val="003C4714"/>
    <w:rsid w:val="003C4EFC"/>
    <w:rsid w:val="003C52EC"/>
    <w:rsid w:val="003C546F"/>
    <w:rsid w:val="003C5BAD"/>
    <w:rsid w:val="003C6846"/>
    <w:rsid w:val="003C69A7"/>
    <w:rsid w:val="003C6BDA"/>
    <w:rsid w:val="003D1F6D"/>
    <w:rsid w:val="003D20C9"/>
    <w:rsid w:val="003D3188"/>
    <w:rsid w:val="003D358F"/>
    <w:rsid w:val="003D3908"/>
    <w:rsid w:val="003D40EF"/>
    <w:rsid w:val="003D47BC"/>
    <w:rsid w:val="003D4A4F"/>
    <w:rsid w:val="003D4DF0"/>
    <w:rsid w:val="003D5A21"/>
    <w:rsid w:val="003D5C4E"/>
    <w:rsid w:val="003D713D"/>
    <w:rsid w:val="003D72E5"/>
    <w:rsid w:val="003D7BFA"/>
    <w:rsid w:val="003E0F46"/>
    <w:rsid w:val="003E10D6"/>
    <w:rsid w:val="003E1E92"/>
    <w:rsid w:val="003E22EE"/>
    <w:rsid w:val="003E28C0"/>
    <w:rsid w:val="003E527F"/>
    <w:rsid w:val="003E567A"/>
    <w:rsid w:val="003E6AE3"/>
    <w:rsid w:val="003E6DDA"/>
    <w:rsid w:val="003E6F4E"/>
    <w:rsid w:val="003E6F57"/>
    <w:rsid w:val="003E78A0"/>
    <w:rsid w:val="003F04AB"/>
    <w:rsid w:val="003F0F0E"/>
    <w:rsid w:val="003F2E72"/>
    <w:rsid w:val="003F37EE"/>
    <w:rsid w:val="003F406C"/>
    <w:rsid w:val="003F4150"/>
    <w:rsid w:val="003F41FC"/>
    <w:rsid w:val="003F44A8"/>
    <w:rsid w:val="003F51C3"/>
    <w:rsid w:val="003F5790"/>
    <w:rsid w:val="003F6494"/>
    <w:rsid w:val="003F662D"/>
    <w:rsid w:val="003F6CEC"/>
    <w:rsid w:val="003F6D36"/>
    <w:rsid w:val="003F7302"/>
    <w:rsid w:val="003F7D57"/>
    <w:rsid w:val="003F7D97"/>
    <w:rsid w:val="00401FA0"/>
    <w:rsid w:val="0040235D"/>
    <w:rsid w:val="004024BF"/>
    <w:rsid w:val="004028B6"/>
    <w:rsid w:val="00402E07"/>
    <w:rsid w:val="00403156"/>
    <w:rsid w:val="00403428"/>
    <w:rsid w:val="00406104"/>
    <w:rsid w:val="00406438"/>
    <w:rsid w:val="004066B8"/>
    <w:rsid w:val="00407C67"/>
    <w:rsid w:val="004101EA"/>
    <w:rsid w:val="004104C5"/>
    <w:rsid w:val="0041058D"/>
    <w:rsid w:val="00410B3C"/>
    <w:rsid w:val="004118A5"/>
    <w:rsid w:val="00411F73"/>
    <w:rsid w:val="00412D1B"/>
    <w:rsid w:val="00414977"/>
    <w:rsid w:val="00414D50"/>
    <w:rsid w:val="00414E30"/>
    <w:rsid w:val="00414F1E"/>
    <w:rsid w:val="00415F1A"/>
    <w:rsid w:val="004165EE"/>
    <w:rsid w:val="004168FE"/>
    <w:rsid w:val="00416CCF"/>
    <w:rsid w:val="00417B55"/>
    <w:rsid w:val="0042040A"/>
    <w:rsid w:val="00420CC5"/>
    <w:rsid w:val="00420D90"/>
    <w:rsid w:val="00422087"/>
    <w:rsid w:val="00422540"/>
    <w:rsid w:val="00422DD0"/>
    <w:rsid w:val="004235A3"/>
    <w:rsid w:val="004238BD"/>
    <w:rsid w:val="00423A16"/>
    <w:rsid w:val="00423AA3"/>
    <w:rsid w:val="00424E0F"/>
    <w:rsid w:val="004262AF"/>
    <w:rsid w:val="00426DD6"/>
    <w:rsid w:val="00426E13"/>
    <w:rsid w:val="0042734B"/>
    <w:rsid w:val="0042798D"/>
    <w:rsid w:val="00430008"/>
    <w:rsid w:val="004306F0"/>
    <w:rsid w:val="004329C9"/>
    <w:rsid w:val="00433B20"/>
    <w:rsid w:val="0043466F"/>
    <w:rsid w:val="00435DB4"/>
    <w:rsid w:val="00436194"/>
    <w:rsid w:val="00436C05"/>
    <w:rsid w:val="0043751C"/>
    <w:rsid w:val="00437A9A"/>
    <w:rsid w:val="004408BE"/>
    <w:rsid w:val="0044107D"/>
    <w:rsid w:val="0044183E"/>
    <w:rsid w:val="00442D5A"/>
    <w:rsid w:val="0044340B"/>
    <w:rsid w:val="00443BEC"/>
    <w:rsid w:val="00443C2E"/>
    <w:rsid w:val="0044424B"/>
    <w:rsid w:val="00444B04"/>
    <w:rsid w:val="00445558"/>
    <w:rsid w:val="0044575A"/>
    <w:rsid w:val="004460F9"/>
    <w:rsid w:val="00447C88"/>
    <w:rsid w:val="004505A0"/>
    <w:rsid w:val="0045087F"/>
    <w:rsid w:val="00451B77"/>
    <w:rsid w:val="00451E1C"/>
    <w:rsid w:val="00451F31"/>
    <w:rsid w:val="004521B2"/>
    <w:rsid w:val="004522F4"/>
    <w:rsid w:val="004553EE"/>
    <w:rsid w:val="00456F43"/>
    <w:rsid w:val="004577B0"/>
    <w:rsid w:val="0045787F"/>
    <w:rsid w:val="0046037E"/>
    <w:rsid w:val="00460DEA"/>
    <w:rsid w:val="004612A4"/>
    <w:rsid w:val="00461576"/>
    <w:rsid w:val="004616E3"/>
    <w:rsid w:val="00462928"/>
    <w:rsid w:val="00463240"/>
    <w:rsid w:val="00463C96"/>
    <w:rsid w:val="00463F0E"/>
    <w:rsid w:val="0046401E"/>
    <w:rsid w:val="004651BB"/>
    <w:rsid w:val="0046530B"/>
    <w:rsid w:val="004659AD"/>
    <w:rsid w:val="00465C9A"/>
    <w:rsid w:val="004666CE"/>
    <w:rsid w:val="0046689D"/>
    <w:rsid w:val="004670B8"/>
    <w:rsid w:val="00470CBF"/>
    <w:rsid w:val="00470DBE"/>
    <w:rsid w:val="004716A2"/>
    <w:rsid w:val="00473D34"/>
    <w:rsid w:val="004741F0"/>
    <w:rsid w:val="00474589"/>
    <w:rsid w:val="00475A70"/>
    <w:rsid w:val="004760C9"/>
    <w:rsid w:val="00476B57"/>
    <w:rsid w:val="00477F62"/>
    <w:rsid w:val="00480748"/>
    <w:rsid w:val="004807D7"/>
    <w:rsid w:val="004810F2"/>
    <w:rsid w:val="004815B5"/>
    <w:rsid w:val="0048166C"/>
    <w:rsid w:val="00482435"/>
    <w:rsid w:val="00484449"/>
    <w:rsid w:val="00484FE8"/>
    <w:rsid w:val="00485352"/>
    <w:rsid w:val="004874FB"/>
    <w:rsid w:val="004876DD"/>
    <w:rsid w:val="004877A6"/>
    <w:rsid w:val="00490622"/>
    <w:rsid w:val="00490AC5"/>
    <w:rsid w:val="00492099"/>
    <w:rsid w:val="00493B00"/>
    <w:rsid w:val="00496314"/>
    <w:rsid w:val="00497850"/>
    <w:rsid w:val="00497BB8"/>
    <w:rsid w:val="004A0738"/>
    <w:rsid w:val="004A1C20"/>
    <w:rsid w:val="004A1C76"/>
    <w:rsid w:val="004A1D41"/>
    <w:rsid w:val="004A36C3"/>
    <w:rsid w:val="004A3ACC"/>
    <w:rsid w:val="004A4750"/>
    <w:rsid w:val="004A5827"/>
    <w:rsid w:val="004A583C"/>
    <w:rsid w:val="004A60C0"/>
    <w:rsid w:val="004A69CA"/>
    <w:rsid w:val="004A6BBF"/>
    <w:rsid w:val="004A7407"/>
    <w:rsid w:val="004B015E"/>
    <w:rsid w:val="004B234F"/>
    <w:rsid w:val="004B42A0"/>
    <w:rsid w:val="004B42C4"/>
    <w:rsid w:val="004B4799"/>
    <w:rsid w:val="004B4C5A"/>
    <w:rsid w:val="004B539B"/>
    <w:rsid w:val="004B58B9"/>
    <w:rsid w:val="004B5D26"/>
    <w:rsid w:val="004B65B0"/>
    <w:rsid w:val="004B6735"/>
    <w:rsid w:val="004B67FF"/>
    <w:rsid w:val="004C138F"/>
    <w:rsid w:val="004C1D73"/>
    <w:rsid w:val="004C2C22"/>
    <w:rsid w:val="004C2CC7"/>
    <w:rsid w:val="004C2DDB"/>
    <w:rsid w:val="004C35CB"/>
    <w:rsid w:val="004C41C9"/>
    <w:rsid w:val="004C524A"/>
    <w:rsid w:val="004C52CD"/>
    <w:rsid w:val="004C5BA9"/>
    <w:rsid w:val="004C5F14"/>
    <w:rsid w:val="004C6421"/>
    <w:rsid w:val="004C6901"/>
    <w:rsid w:val="004C741C"/>
    <w:rsid w:val="004C7BEC"/>
    <w:rsid w:val="004C7D9D"/>
    <w:rsid w:val="004D12CB"/>
    <w:rsid w:val="004D13E7"/>
    <w:rsid w:val="004D198C"/>
    <w:rsid w:val="004D391D"/>
    <w:rsid w:val="004D3FDF"/>
    <w:rsid w:val="004D426E"/>
    <w:rsid w:val="004D4385"/>
    <w:rsid w:val="004D43EB"/>
    <w:rsid w:val="004D4C00"/>
    <w:rsid w:val="004D5703"/>
    <w:rsid w:val="004D581D"/>
    <w:rsid w:val="004E0918"/>
    <w:rsid w:val="004E0DFB"/>
    <w:rsid w:val="004E0E43"/>
    <w:rsid w:val="004E1FE3"/>
    <w:rsid w:val="004E3263"/>
    <w:rsid w:val="004E3A95"/>
    <w:rsid w:val="004E3BD5"/>
    <w:rsid w:val="004E3DBC"/>
    <w:rsid w:val="004E3EE5"/>
    <w:rsid w:val="004E4C20"/>
    <w:rsid w:val="004E4ECF"/>
    <w:rsid w:val="004E4F5C"/>
    <w:rsid w:val="004E5D67"/>
    <w:rsid w:val="004E6589"/>
    <w:rsid w:val="004E6F42"/>
    <w:rsid w:val="004E7B01"/>
    <w:rsid w:val="004E7FBB"/>
    <w:rsid w:val="004F1286"/>
    <w:rsid w:val="004F12DE"/>
    <w:rsid w:val="004F214A"/>
    <w:rsid w:val="004F2918"/>
    <w:rsid w:val="004F51E8"/>
    <w:rsid w:val="004F6040"/>
    <w:rsid w:val="004F6188"/>
    <w:rsid w:val="004F63FF"/>
    <w:rsid w:val="004F6536"/>
    <w:rsid w:val="004F6BA1"/>
    <w:rsid w:val="004F6F5D"/>
    <w:rsid w:val="004F7385"/>
    <w:rsid w:val="004F74AC"/>
    <w:rsid w:val="004F7BB3"/>
    <w:rsid w:val="00504339"/>
    <w:rsid w:val="00504948"/>
    <w:rsid w:val="00506086"/>
    <w:rsid w:val="00506615"/>
    <w:rsid w:val="005069F8"/>
    <w:rsid w:val="005074CE"/>
    <w:rsid w:val="00507B45"/>
    <w:rsid w:val="00510463"/>
    <w:rsid w:val="00510B3B"/>
    <w:rsid w:val="005115FB"/>
    <w:rsid w:val="00511B0D"/>
    <w:rsid w:val="0051220F"/>
    <w:rsid w:val="00512F60"/>
    <w:rsid w:val="00512F67"/>
    <w:rsid w:val="00514EC9"/>
    <w:rsid w:val="00515781"/>
    <w:rsid w:val="0051593D"/>
    <w:rsid w:val="0051612C"/>
    <w:rsid w:val="00516301"/>
    <w:rsid w:val="00517CC8"/>
    <w:rsid w:val="00517EA9"/>
    <w:rsid w:val="00520FD9"/>
    <w:rsid w:val="0052265A"/>
    <w:rsid w:val="00523198"/>
    <w:rsid w:val="00523328"/>
    <w:rsid w:val="005236ED"/>
    <w:rsid w:val="005239AF"/>
    <w:rsid w:val="00523EB6"/>
    <w:rsid w:val="00524D8A"/>
    <w:rsid w:val="00526968"/>
    <w:rsid w:val="00527E13"/>
    <w:rsid w:val="00527F6E"/>
    <w:rsid w:val="00531063"/>
    <w:rsid w:val="005310CA"/>
    <w:rsid w:val="00531997"/>
    <w:rsid w:val="00532185"/>
    <w:rsid w:val="00532C6D"/>
    <w:rsid w:val="005333C5"/>
    <w:rsid w:val="00533529"/>
    <w:rsid w:val="00533871"/>
    <w:rsid w:val="00535943"/>
    <w:rsid w:val="00535CFD"/>
    <w:rsid w:val="005361D4"/>
    <w:rsid w:val="005367F5"/>
    <w:rsid w:val="00540027"/>
    <w:rsid w:val="00540668"/>
    <w:rsid w:val="00540D69"/>
    <w:rsid w:val="00541724"/>
    <w:rsid w:val="00541F8F"/>
    <w:rsid w:val="005420E2"/>
    <w:rsid w:val="0054275F"/>
    <w:rsid w:val="00543E6D"/>
    <w:rsid w:val="005447D2"/>
    <w:rsid w:val="005455CE"/>
    <w:rsid w:val="00545677"/>
    <w:rsid w:val="005457A8"/>
    <w:rsid w:val="00545EDD"/>
    <w:rsid w:val="00545FC1"/>
    <w:rsid w:val="005460AE"/>
    <w:rsid w:val="00546911"/>
    <w:rsid w:val="00546D1D"/>
    <w:rsid w:val="00550925"/>
    <w:rsid w:val="0055151A"/>
    <w:rsid w:val="00551A1E"/>
    <w:rsid w:val="00552227"/>
    <w:rsid w:val="005523FA"/>
    <w:rsid w:val="0055331E"/>
    <w:rsid w:val="00553CC6"/>
    <w:rsid w:val="005552F3"/>
    <w:rsid w:val="00557139"/>
    <w:rsid w:val="00557A51"/>
    <w:rsid w:val="00560118"/>
    <w:rsid w:val="0056020A"/>
    <w:rsid w:val="005602DE"/>
    <w:rsid w:val="005602F4"/>
    <w:rsid w:val="00560952"/>
    <w:rsid w:val="0056150E"/>
    <w:rsid w:val="00561738"/>
    <w:rsid w:val="00562012"/>
    <w:rsid w:val="00562255"/>
    <w:rsid w:val="00562CE2"/>
    <w:rsid w:val="00563023"/>
    <w:rsid w:val="00563080"/>
    <w:rsid w:val="00563469"/>
    <w:rsid w:val="00563B5C"/>
    <w:rsid w:val="00564E8B"/>
    <w:rsid w:val="00564EEA"/>
    <w:rsid w:val="00565197"/>
    <w:rsid w:val="0056558E"/>
    <w:rsid w:val="00566ADB"/>
    <w:rsid w:val="00570015"/>
    <w:rsid w:val="00571158"/>
    <w:rsid w:val="0057128D"/>
    <w:rsid w:val="00571BD7"/>
    <w:rsid w:val="0057254C"/>
    <w:rsid w:val="00572BFF"/>
    <w:rsid w:val="00573E33"/>
    <w:rsid w:val="005744A9"/>
    <w:rsid w:val="00575792"/>
    <w:rsid w:val="00576779"/>
    <w:rsid w:val="005772FD"/>
    <w:rsid w:val="0058034C"/>
    <w:rsid w:val="00581057"/>
    <w:rsid w:val="005817A6"/>
    <w:rsid w:val="0058250A"/>
    <w:rsid w:val="00582865"/>
    <w:rsid w:val="0058374F"/>
    <w:rsid w:val="0058391A"/>
    <w:rsid w:val="00584BD4"/>
    <w:rsid w:val="00585070"/>
    <w:rsid w:val="00585203"/>
    <w:rsid w:val="005864AE"/>
    <w:rsid w:val="005874E1"/>
    <w:rsid w:val="00587BD9"/>
    <w:rsid w:val="00590C84"/>
    <w:rsid w:val="005913BB"/>
    <w:rsid w:val="00591FEE"/>
    <w:rsid w:val="00592101"/>
    <w:rsid w:val="00592322"/>
    <w:rsid w:val="005925E4"/>
    <w:rsid w:val="00593EC9"/>
    <w:rsid w:val="005940AE"/>
    <w:rsid w:val="00594176"/>
    <w:rsid w:val="005943E7"/>
    <w:rsid w:val="00594901"/>
    <w:rsid w:val="00594994"/>
    <w:rsid w:val="00595431"/>
    <w:rsid w:val="0059644A"/>
    <w:rsid w:val="00596649"/>
    <w:rsid w:val="00596E73"/>
    <w:rsid w:val="00596E7F"/>
    <w:rsid w:val="00597E2E"/>
    <w:rsid w:val="005A1FBE"/>
    <w:rsid w:val="005A201E"/>
    <w:rsid w:val="005A2D23"/>
    <w:rsid w:val="005A334F"/>
    <w:rsid w:val="005A3577"/>
    <w:rsid w:val="005A41A8"/>
    <w:rsid w:val="005A446E"/>
    <w:rsid w:val="005A44EB"/>
    <w:rsid w:val="005A466F"/>
    <w:rsid w:val="005A4CE0"/>
    <w:rsid w:val="005A65E8"/>
    <w:rsid w:val="005A6C31"/>
    <w:rsid w:val="005A6E61"/>
    <w:rsid w:val="005B0B25"/>
    <w:rsid w:val="005B1ECD"/>
    <w:rsid w:val="005B2632"/>
    <w:rsid w:val="005B31F0"/>
    <w:rsid w:val="005B4A4A"/>
    <w:rsid w:val="005B4A7C"/>
    <w:rsid w:val="005B4C23"/>
    <w:rsid w:val="005B606C"/>
    <w:rsid w:val="005B66A5"/>
    <w:rsid w:val="005B7C81"/>
    <w:rsid w:val="005C1A62"/>
    <w:rsid w:val="005C239F"/>
    <w:rsid w:val="005C23C2"/>
    <w:rsid w:val="005C3BA1"/>
    <w:rsid w:val="005C48CC"/>
    <w:rsid w:val="005C4AA2"/>
    <w:rsid w:val="005C5251"/>
    <w:rsid w:val="005C5B4A"/>
    <w:rsid w:val="005C63FB"/>
    <w:rsid w:val="005C69B0"/>
    <w:rsid w:val="005C6A5B"/>
    <w:rsid w:val="005C6C31"/>
    <w:rsid w:val="005C6F29"/>
    <w:rsid w:val="005C78F7"/>
    <w:rsid w:val="005D0442"/>
    <w:rsid w:val="005D08DC"/>
    <w:rsid w:val="005D2AB0"/>
    <w:rsid w:val="005D2F9C"/>
    <w:rsid w:val="005D3370"/>
    <w:rsid w:val="005D3B59"/>
    <w:rsid w:val="005D3DDE"/>
    <w:rsid w:val="005D3FD5"/>
    <w:rsid w:val="005D453E"/>
    <w:rsid w:val="005D46C0"/>
    <w:rsid w:val="005D49AF"/>
    <w:rsid w:val="005D5862"/>
    <w:rsid w:val="005D611A"/>
    <w:rsid w:val="005D6AC0"/>
    <w:rsid w:val="005D74F8"/>
    <w:rsid w:val="005D7F85"/>
    <w:rsid w:val="005E0090"/>
    <w:rsid w:val="005E061D"/>
    <w:rsid w:val="005E13A7"/>
    <w:rsid w:val="005E15B0"/>
    <w:rsid w:val="005E2220"/>
    <w:rsid w:val="005E2CCF"/>
    <w:rsid w:val="005E2DAC"/>
    <w:rsid w:val="005E2E4D"/>
    <w:rsid w:val="005E3A6F"/>
    <w:rsid w:val="005E3E85"/>
    <w:rsid w:val="005E5B5C"/>
    <w:rsid w:val="005E6281"/>
    <w:rsid w:val="005E6D8A"/>
    <w:rsid w:val="005E7060"/>
    <w:rsid w:val="005E714A"/>
    <w:rsid w:val="005E76EB"/>
    <w:rsid w:val="005F0046"/>
    <w:rsid w:val="005F09C1"/>
    <w:rsid w:val="005F14F4"/>
    <w:rsid w:val="005F1E58"/>
    <w:rsid w:val="005F2B79"/>
    <w:rsid w:val="005F3185"/>
    <w:rsid w:val="005F3291"/>
    <w:rsid w:val="005F32ED"/>
    <w:rsid w:val="005F4335"/>
    <w:rsid w:val="005F44DD"/>
    <w:rsid w:val="005F4B5E"/>
    <w:rsid w:val="005F667B"/>
    <w:rsid w:val="005F6A66"/>
    <w:rsid w:val="005F6E06"/>
    <w:rsid w:val="00600F77"/>
    <w:rsid w:val="0060176C"/>
    <w:rsid w:val="00601E65"/>
    <w:rsid w:val="00601F60"/>
    <w:rsid w:val="006029E2"/>
    <w:rsid w:val="00604239"/>
    <w:rsid w:val="00605678"/>
    <w:rsid w:val="00605F4A"/>
    <w:rsid w:val="00606142"/>
    <w:rsid w:val="00606ACC"/>
    <w:rsid w:val="006075DD"/>
    <w:rsid w:val="006102B1"/>
    <w:rsid w:val="00610CB7"/>
    <w:rsid w:val="00612DB2"/>
    <w:rsid w:val="00612E4B"/>
    <w:rsid w:val="00614038"/>
    <w:rsid w:val="00614212"/>
    <w:rsid w:val="00614BA5"/>
    <w:rsid w:val="00615954"/>
    <w:rsid w:val="00615CA0"/>
    <w:rsid w:val="006162A8"/>
    <w:rsid w:val="00616614"/>
    <w:rsid w:val="0061697E"/>
    <w:rsid w:val="00616CA9"/>
    <w:rsid w:val="0061730B"/>
    <w:rsid w:val="00620B30"/>
    <w:rsid w:val="00622B77"/>
    <w:rsid w:val="00622C91"/>
    <w:rsid w:val="00623240"/>
    <w:rsid w:val="006234CC"/>
    <w:rsid w:val="0062384C"/>
    <w:rsid w:val="00623B3C"/>
    <w:rsid w:val="00624E31"/>
    <w:rsid w:val="0062554E"/>
    <w:rsid w:val="006260FB"/>
    <w:rsid w:val="00626CF4"/>
    <w:rsid w:val="006271FC"/>
    <w:rsid w:val="00627A4D"/>
    <w:rsid w:val="00630349"/>
    <w:rsid w:val="00630DC3"/>
    <w:rsid w:val="00633255"/>
    <w:rsid w:val="00633968"/>
    <w:rsid w:val="006339D7"/>
    <w:rsid w:val="00633E57"/>
    <w:rsid w:val="006346C1"/>
    <w:rsid w:val="00634707"/>
    <w:rsid w:val="00634854"/>
    <w:rsid w:val="00634C2E"/>
    <w:rsid w:val="0063517C"/>
    <w:rsid w:val="00635C4C"/>
    <w:rsid w:val="00636E3E"/>
    <w:rsid w:val="00637080"/>
    <w:rsid w:val="00637E53"/>
    <w:rsid w:val="00640569"/>
    <w:rsid w:val="006406D1"/>
    <w:rsid w:val="006433C5"/>
    <w:rsid w:val="00643E0D"/>
    <w:rsid w:val="0064413D"/>
    <w:rsid w:val="00644278"/>
    <w:rsid w:val="00644438"/>
    <w:rsid w:val="00644C1A"/>
    <w:rsid w:val="0064643D"/>
    <w:rsid w:val="00646F61"/>
    <w:rsid w:val="00647852"/>
    <w:rsid w:val="00647B9C"/>
    <w:rsid w:val="0065108A"/>
    <w:rsid w:val="00651524"/>
    <w:rsid w:val="006517C1"/>
    <w:rsid w:val="00652596"/>
    <w:rsid w:val="00652FFB"/>
    <w:rsid w:val="006530D0"/>
    <w:rsid w:val="00653A57"/>
    <w:rsid w:val="0065431D"/>
    <w:rsid w:val="006562FD"/>
    <w:rsid w:val="00656B1A"/>
    <w:rsid w:val="00657083"/>
    <w:rsid w:val="0065715F"/>
    <w:rsid w:val="006571FE"/>
    <w:rsid w:val="00657358"/>
    <w:rsid w:val="0065784D"/>
    <w:rsid w:val="00657C43"/>
    <w:rsid w:val="00657E8B"/>
    <w:rsid w:val="00660124"/>
    <w:rsid w:val="00660521"/>
    <w:rsid w:val="006606AF"/>
    <w:rsid w:val="00660A26"/>
    <w:rsid w:val="006611FA"/>
    <w:rsid w:val="00663438"/>
    <w:rsid w:val="00663F39"/>
    <w:rsid w:val="00664479"/>
    <w:rsid w:val="00664A03"/>
    <w:rsid w:val="006667AA"/>
    <w:rsid w:val="00666F69"/>
    <w:rsid w:val="006700D2"/>
    <w:rsid w:val="006708A8"/>
    <w:rsid w:val="00673223"/>
    <w:rsid w:val="00673B6D"/>
    <w:rsid w:val="00674C19"/>
    <w:rsid w:val="0067653A"/>
    <w:rsid w:val="00680218"/>
    <w:rsid w:val="0068032F"/>
    <w:rsid w:val="00680A0E"/>
    <w:rsid w:val="00680B02"/>
    <w:rsid w:val="00680BF7"/>
    <w:rsid w:val="00680D94"/>
    <w:rsid w:val="00681B8D"/>
    <w:rsid w:val="00682175"/>
    <w:rsid w:val="0068269D"/>
    <w:rsid w:val="0068302E"/>
    <w:rsid w:val="00684F39"/>
    <w:rsid w:val="006851AD"/>
    <w:rsid w:val="00685C14"/>
    <w:rsid w:val="00685D20"/>
    <w:rsid w:val="00686137"/>
    <w:rsid w:val="00686C78"/>
    <w:rsid w:val="00687E64"/>
    <w:rsid w:val="00690E28"/>
    <w:rsid w:val="00691315"/>
    <w:rsid w:val="00691969"/>
    <w:rsid w:val="00692554"/>
    <w:rsid w:val="006941EB"/>
    <w:rsid w:val="00694382"/>
    <w:rsid w:val="00694DE2"/>
    <w:rsid w:val="00695097"/>
    <w:rsid w:val="006968AD"/>
    <w:rsid w:val="00696AF3"/>
    <w:rsid w:val="00696DAE"/>
    <w:rsid w:val="006A01B1"/>
    <w:rsid w:val="006A0551"/>
    <w:rsid w:val="006A0831"/>
    <w:rsid w:val="006A0839"/>
    <w:rsid w:val="006A09F2"/>
    <w:rsid w:val="006A1A94"/>
    <w:rsid w:val="006A29B5"/>
    <w:rsid w:val="006A5F1F"/>
    <w:rsid w:val="006A74D4"/>
    <w:rsid w:val="006A78A4"/>
    <w:rsid w:val="006A7FB8"/>
    <w:rsid w:val="006B1EF9"/>
    <w:rsid w:val="006B2229"/>
    <w:rsid w:val="006B3B4B"/>
    <w:rsid w:val="006B4406"/>
    <w:rsid w:val="006B51E1"/>
    <w:rsid w:val="006B59E4"/>
    <w:rsid w:val="006B5F7D"/>
    <w:rsid w:val="006B646C"/>
    <w:rsid w:val="006B6C79"/>
    <w:rsid w:val="006B76E4"/>
    <w:rsid w:val="006C0393"/>
    <w:rsid w:val="006C07F7"/>
    <w:rsid w:val="006C15D9"/>
    <w:rsid w:val="006C2076"/>
    <w:rsid w:val="006C22DF"/>
    <w:rsid w:val="006C2CC5"/>
    <w:rsid w:val="006C391E"/>
    <w:rsid w:val="006C4C23"/>
    <w:rsid w:val="006C4C58"/>
    <w:rsid w:val="006C50D5"/>
    <w:rsid w:val="006C5AA3"/>
    <w:rsid w:val="006C5F25"/>
    <w:rsid w:val="006C68F4"/>
    <w:rsid w:val="006C7122"/>
    <w:rsid w:val="006D0243"/>
    <w:rsid w:val="006D0293"/>
    <w:rsid w:val="006D120B"/>
    <w:rsid w:val="006D1531"/>
    <w:rsid w:val="006D1E1A"/>
    <w:rsid w:val="006D20F7"/>
    <w:rsid w:val="006D77DF"/>
    <w:rsid w:val="006D7C5B"/>
    <w:rsid w:val="006E0147"/>
    <w:rsid w:val="006E04A6"/>
    <w:rsid w:val="006E1516"/>
    <w:rsid w:val="006E170F"/>
    <w:rsid w:val="006E17C5"/>
    <w:rsid w:val="006E3AC4"/>
    <w:rsid w:val="006E43AD"/>
    <w:rsid w:val="006E51A7"/>
    <w:rsid w:val="006E64DD"/>
    <w:rsid w:val="006E6502"/>
    <w:rsid w:val="006F2057"/>
    <w:rsid w:val="006F2809"/>
    <w:rsid w:val="006F2CCB"/>
    <w:rsid w:val="006F3D0E"/>
    <w:rsid w:val="006F4060"/>
    <w:rsid w:val="006F4234"/>
    <w:rsid w:val="006F56D4"/>
    <w:rsid w:val="006F57F0"/>
    <w:rsid w:val="006F72DE"/>
    <w:rsid w:val="006F7700"/>
    <w:rsid w:val="006F7BD2"/>
    <w:rsid w:val="006F7C80"/>
    <w:rsid w:val="006F7CAC"/>
    <w:rsid w:val="0070022E"/>
    <w:rsid w:val="00701407"/>
    <w:rsid w:val="007018A6"/>
    <w:rsid w:val="00701B01"/>
    <w:rsid w:val="007029F8"/>
    <w:rsid w:val="00704F0E"/>
    <w:rsid w:val="007050DA"/>
    <w:rsid w:val="007054F3"/>
    <w:rsid w:val="00705E06"/>
    <w:rsid w:val="007064A8"/>
    <w:rsid w:val="007065B0"/>
    <w:rsid w:val="00707300"/>
    <w:rsid w:val="00710811"/>
    <w:rsid w:val="00710978"/>
    <w:rsid w:val="0071255E"/>
    <w:rsid w:val="00712646"/>
    <w:rsid w:val="007128BA"/>
    <w:rsid w:val="00712AE2"/>
    <w:rsid w:val="00712BBB"/>
    <w:rsid w:val="00712FA1"/>
    <w:rsid w:val="0071318C"/>
    <w:rsid w:val="007153D8"/>
    <w:rsid w:val="00715C16"/>
    <w:rsid w:val="00716D09"/>
    <w:rsid w:val="00717723"/>
    <w:rsid w:val="00721D84"/>
    <w:rsid w:val="00722A01"/>
    <w:rsid w:val="00722F57"/>
    <w:rsid w:val="007232C8"/>
    <w:rsid w:val="007233F8"/>
    <w:rsid w:val="00723D0C"/>
    <w:rsid w:val="00723F4F"/>
    <w:rsid w:val="00724302"/>
    <w:rsid w:val="0072591D"/>
    <w:rsid w:val="00725C33"/>
    <w:rsid w:val="0072666B"/>
    <w:rsid w:val="007267D0"/>
    <w:rsid w:val="007270E8"/>
    <w:rsid w:val="00727230"/>
    <w:rsid w:val="007272BC"/>
    <w:rsid w:val="00727BB7"/>
    <w:rsid w:val="00727C4C"/>
    <w:rsid w:val="0073018C"/>
    <w:rsid w:val="00731045"/>
    <w:rsid w:val="00733207"/>
    <w:rsid w:val="00733847"/>
    <w:rsid w:val="007340C5"/>
    <w:rsid w:val="007350F0"/>
    <w:rsid w:val="007358A4"/>
    <w:rsid w:val="00735AD7"/>
    <w:rsid w:val="00735D50"/>
    <w:rsid w:val="00735F22"/>
    <w:rsid w:val="007368B8"/>
    <w:rsid w:val="007369BB"/>
    <w:rsid w:val="00736F4C"/>
    <w:rsid w:val="00737EC0"/>
    <w:rsid w:val="00744168"/>
    <w:rsid w:val="00744440"/>
    <w:rsid w:val="007446CD"/>
    <w:rsid w:val="0074498D"/>
    <w:rsid w:val="00744D7B"/>
    <w:rsid w:val="00745CC8"/>
    <w:rsid w:val="00745D16"/>
    <w:rsid w:val="0074634A"/>
    <w:rsid w:val="00746AB2"/>
    <w:rsid w:val="0074727A"/>
    <w:rsid w:val="007475A3"/>
    <w:rsid w:val="0075064D"/>
    <w:rsid w:val="0075093A"/>
    <w:rsid w:val="00752623"/>
    <w:rsid w:val="00753DBA"/>
    <w:rsid w:val="00754907"/>
    <w:rsid w:val="00757A0A"/>
    <w:rsid w:val="00757F3D"/>
    <w:rsid w:val="0076065A"/>
    <w:rsid w:val="00760FCA"/>
    <w:rsid w:val="00761F5C"/>
    <w:rsid w:val="00762098"/>
    <w:rsid w:val="007622D9"/>
    <w:rsid w:val="00763282"/>
    <w:rsid w:val="00763504"/>
    <w:rsid w:val="0076499F"/>
    <w:rsid w:val="00764ABB"/>
    <w:rsid w:val="00764ACB"/>
    <w:rsid w:val="00764C56"/>
    <w:rsid w:val="00765263"/>
    <w:rsid w:val="007657F1"/>
    <w:rsid w:val="00765D09"/>
    <w:rsid w:val="00766A96"/>
    <w:rsid w:val="00766B0C"/>
    <w:rsid w:val="00766F69"/>
    <w:rsid w:val="007673AE"/>
    <w:rsid w:val="00767D5E"/>
    <w:rsid w:val="00770903"/>
    <w:rsid w:val="00773072"/>
    <w:rsid w:val="00774BF8"/>
    <w:rsid w:val="0077551C"/>
    <w:rsid w:val="007761ED"/>
    <w:rsid w:val="0077622A"/>
    <w:rsid w:val="007766D6"/>
    <w:rsid w:val="0077697B"/>
    <w:rsid w:val="00776BC9"/>
    <w:rsid w:val="007770D0"/>
    <w:rsid w:val="00777BE9"/>
    <w:rsid w:val="00777ECA"/>
    <w:rsid w:val="00781CC3"/>
    <w:rsid w:val="007834F0"/>
    <w:rsid w:val="00783672"/>
    <w:rsid w:val="0078513B"/>
    <w:rsid w:val="007854EB"/>
    <w:rsid w:val="00785646"/>
    <w:rsid w:val="0078783B"/>
    <w:rsid w:val="007904EE"/>
    <w:rsid w:val="00790F82"/>
    <w:rsid w:val="007912D0"/>
    <w:rsid w:val="007921D8"/>
    <w:rsid w:val="00793E7F"/>
    <w:rsid w:val="0079470A"/>
    <w:rsid w:val="00794ABC"/>
    <w:rsid w:val="00794F60"/>
    <w:rsid w:val="007950D5"/>
    <w:rsid w:val="00795664"/>
    <w:rsid w:val="00795E39"/>
    <w:rsid w:val="00796C40"/>
    <w:rsid w:val="00797DE5"/>
    <w:rsid w:val="007A0207"/>
    <w:rsid w:val="007A19A3"/>
    <w:rsid w:val="007A20C4"/>
    <w:rsid w:val="007A26C3"/>
    <w:rsid w:val="007A273C"/>
    <w:rsid w:val="007A29EF"/>
    <w:rsid w:val="007A31F6"/>
    <w:rsid w:val="007A3E93"/>
    <w:rsid w:val="007A4922"/>
    <w:rsid w:val="007A5AF4"/>
    <w:rsid w:val="007A6791"/>
    <w:rsid w:val="007A7DCE"/>
    <w:rsid w:val="007B0A9B"/>
    <w:rsid w:val="007B2944"/>
    <w:rsid w:val="007B2F69"/>
    <w:rsid w:val="007B344F"/>
    <w:rsid w:val="007B3D06"/>
    <w:rsid w:val="007B5030"/>
    <w:rsid w:val="007B5627"/>
    <w:rsid w:val="007B5CD9"/>
    <w:rsid w:val="007B61DF"/>
    <w:rsid w:val="007B683A"/>
    <w:rsid w:val="007B6CFF"/>
    <w:rsid w:val="007B7639"/>
    <w:rsid w:val="007C07E1"/>
    <w:rsid w:val="007C0AD3"/>
    <w:rsid w:val="007C1D61"/>
    <w:rsid w:val="007C1EE4"/>
    <w:rsid w:val="007C24CD"/>
    <w:rsid w:val="007C2BC5"/>
    <w:rsid w:val="007C4FC1"/>
    <w:rsid w:val="007C5626"/>
    <w:rsid w:val="007C58D1"/>
    <w:rsid w:val="007C5AA2"/>
    <w:rsid w:val="007C6812"/>
    <w:rsid w:val="007C6DDB"/>
    <w:rsid w:val="007C773B"/>
    <w:rsid w:val="007C7A8F"/>
    <w:rsid w:val="007C7ED7"/>
    <w:rsid w:val="007D07CB"/>
    <w:rsid w:val="007D103D"/>
    <w:rsid w:val="007D118B"/>
    <w:rsid w:val="007D280C"/>
    <w:rsid w:val="007D3209"/>
    <w:rsid w:val="007D52DA"/>
    <w:rsid w:val="007D53A2"/>
    <w:rsid w:val="007D546F"/>
    <w:rsid w:val="007D5B63"/>
    <w:rsid w:val="007D5DB0"/>
    <w:rsid w:val="007D5FE5"/>
    <w:rsid w:val="007D702D"/>
    <w:rsid w:val="007D7218"/>
    <w:rsid w:val="007D72CD"/>
    <w:rsid w:val="007E0582"/>
    <w:rsid w:val="007E0EFA"/>
    <w:rsid w:val="007E16CA"/>
    <w:rsid w:val="007E2198"/>
    <w:rsid w:val="007E23DD"/>
    <w:rsid w:val="007E3B27"/>
    <w:rsid w:val="007E40CA"/>
    <w:rsid w:val="007E4365"/>
    <w:rsid w:val="007E4A58"/>
    <w:rsid w:val="007E4BAF"/>
    <w:rsid w:val="007E4FFD"/>
    <w:rsid w:val="007E50AC"/>
    <w:rsid w:val="007E57D8"/>
    <w:rsid w:val="007E6D44"/>
    <w:rsid w:val="007E6EF3"/>
    <w:rsid w:val="007E7FD5"/>
    <w:rsid w:val="007F09E9"/>
    <w:rsid w:val="007F0CD6"/>
    <w:rsid w:val="007F1595"/>
    <w:rsid w:val="007F286F"/>
    <w:rsid w:val="007F3C8B"/>
    <w:rsid w:val="007F466D"/>
    <w:rsid w:val="007F4B42"/>
    <w:rsid w:val="007F53A7"/>
    <w:rsid w:val="007F56A8"/>
    <w:rsid w:val="007F7178"/>
    <w:rsid w:val="007F743B"/>
    <w:rsid w:val="007F7C0A"/>
    <w:rsid w:val="007F7CB8"/>
    <w:rsid w:val="00800D60"/>
    <w:rsid w:val="00801279"/>
    <w:rsid w:val="008013BB"/>
    <w:rsid w:val="008015E8"/>
    <w:rsid w:val="008016CE"/>
    <w:rsid w:val="008018FF"/>
    <w:rsid w:val="00803A2C"/>
    <w:rsid w:val="00804A27"/>
    <w:rsid w:val="00805D42"/>
    <w:rsid w:val="00806BA7"/>
    <w:rsid w:val="008073F1"/>
    <w:rsid w:val="0080752B"/>
    <w:rsid w:val="00810533"/>
    <w:rsid w:val="00810716"/>
    <w:rsid w:val="00810962"/>
    <w:rsid w:val="008118DC"/>
    <w:rsid w:val="0081221F"/>
    <w:rsid w:val="00812909"/>
    <w:rsid w:val="008129F5"/>
    <w:rsid w:val="008136C7"/>
    <w:rsid w:val="00813AFA"/>
    <w:rsid w:val="00813F77"/>
    <w:rsid w:val="00814158"/>
    <w:rsid w:val="00814B64"/>
    <w:rsid w:val="00814D58"/>
    <w:rsid w:val="00815A1A"/>
    <w:rsid w:val="00815FBB"/>
    <w:rsid w:val="00815FD7"/>
    <w:rsid w:val="00817C96"/>
    <w:rsid w:val="008204BA"/>
    <w:rsid w:val="00820A35"/>
    <w:rsid w:val="0082105D"/>
    <w:rsid w:val="00823CDA"/>
    <w:rsid w:val="00824E2D"/>
    <w:rsid w:val="00826454"/>
    <w:rsid w:val="00826CA7"/>
    <w:rsid w:val="00826D2D"/>
    <w:rsid w:val="00827DAE"/>
    <w:rsid w:val="008312E1"/>
    <w:rsid w:val="008315DF"/>
    <w:rsid w:val="008319C8"/>
    <w:rsid w:val="00831E80"/>
    <w:rsid w:val="00832911"/>
    <w:rsid w:val="00832C0E"/>
    <w:rsid w:val="00833124"/>
    <w:rsid w:val="00833341"/>
    <w:rsid w:val="008336CB"/>
    <w:rsid w:val="00833BE6"/>
    <w:rsid w:val="00833D2F"/>
    <w:rsid w:val="00833FCA"/>
    <w:rsid w:val="00835B15"/>
    <w:rsid w:val="00836A12"/>
    <w:rsid w:val="00836BB9"/>
    <w:rsid w:val="00836F89"/>
    <w:rsid w:val="00841A13"/>
    <w:rsid w:val="00841E99"/>
    <w:rsid w:val="00842B9E"/>
    <w:rsid w:val="00843062"/>
    <w:rsid w:val="008434B9"/>
    <w:rsid w:val="00843823"/>
    <w:rsid w:val="00843B4C"/>
    <w:rsid w:val="00843F53"/>
    <w:rsid w:val="00844613"/>
    <w:rsid w:val="008447AD"/>
    <w:rsid w:val="00844A58"/>
    <w:rsid w:val="00844CA7"/>
    <w:rsid w:val="00844EAF"/>
    <w:rsid w:val="00845F70"/>
    <w:rsid w:val="00846867"/>
    <w:rsid w:val="008472C2"/>
    <w:rsid w:val="00847C39"/>
    <w:rsid w:val="0085035E"/>
    <w:rsid w:val="008508EB"/>
    <w:rsid w:val="00852117"/>
    <w:rsid w:val="00852254"/>
    <w:rsid w:val="00852786"/>
    <w:rsid w:val="00852BEC"/>
    <w:rsid w:val="00853275"/>
    <w:rsid w:val="00853832"/>
    <w:rsid w:val="0085431F"/>
    <w:rsid w:val="00854439"/>
    <w:rsid w:val="00854D24"/>
    <w:rsid w:val="00856FE1"/>
    <w:rsid w:val="0085701F"/>
    <w:rsid w:val="00857D4D"/>
    <w:rsid w:val="008621D4"/>
    <w:rsid w:val="0086259E"/>
    <w:rsid w:val="00862BD6"/>
    <w:rsid w:val="00862C7B"/>
    <w:rsid w:val="00862F56"/>
    <w:rsid w:val="00863029"/>
    <w:rsid w:val="00863650"/>
    <w:rsid w:val="00863E4F"/>
    <w:rsid w:val="00864C63"/>
    <w:rsid w:val="008654A9"/>
    <w:rsid w:val="0086580B"/>
    <w:rsid w:val="00866029"/>
    <w:rsid w:val="00866B3D"/>
    <w:rsid w:val="008702DA"/>
    <w:rsid w:val="00871962"/>
    <w:rsid w:val="00871B3C"/>
    <w:rsid w:val="00872A96"/>
    <w:rsid w:val="00872C36"/>
    <w:rsid w:val="00873500"/>
    <w:rsid w:val="008743D4"/>
    <w:rsid w:val="00874404"/>
    <w:rsid w:val="00875C72"/>
    <w:rsid w:val="00876EB5"/>
    <w:rsid w:val="008802E6"/>
    <w:rsid w:val="008805BA"/>
    <w:rsid w:val="008808A5"/>
    <w:rsid w:val="0088164B"/>
    <w:rsid w:val="008816BF"/>
    <w:rsid w:val="00882ED0"/>
    <w:rsid w:val="00883715"/>
    <w:rsid w:val="00883C30"/>
    <w:rsid w:val="00883C8C"/>
    <w:rsid w:val="00883F1C"/>
    <w:rsid w:val="008842FD"/>
    <w:rsid w:val="00886145"/>
    <w:rsid w:val="00886A26"/>
    <w:rsid w:val="00886B71"/>
    <w:rsid w:val="00887368"/>
    <w:rsid w:val="008879DB"/>
    <w:rsid w:val="00891CAD"/>
    <w:rsid w:val="008925C3"/>
    <w:rsid w:val="00892AB6"/>
    <w:rsid w:val="008937AD"/>
    <w:rsid w:val="00894C59"/>
    <w:rsid w:val="00895092"/>
    <w:rsid w:val="00895552"/>
    <w:rsid w:val="00895DC5"/>
    <w:rsid w:val="00895E61"/>
    <w:rsid w:val="00896550"/>
    <w:rsid w:val="00897085"/>
    <w:rsid w:val="008A0E57"/>
    <w:rsid w:val="008A0F03"/>
    <w:rsid w:val="008A0F62"/>
    <w:rsid w:val="008A20F8"/>
    <w:rsid w:val="008A2748"/>
    <w:rsid w:val="008A3DB0"/>
    <w:rsid w:val="008A4838"/>
    <w:rsid w:val="008A4E32"/>
    <w:rsid w:val="008A5215"/>
    <w:rsid w:val="008A5246"/>
    <w:rsid w:val="008A59DC"/>
    <w:rsid w:val="008A5E2A"/>
    <w:rsid w:val="008A6987"/>
    <w:rsid w:val="008A7128"/>
    <w:rsid w:val="008B0393"/>
    <w:rsid w:val="008B0610"/>
    <w:rsid w:val="008B07D1"/>
    <w:rsid w:val="008B112D"/>
    <w:rsid w:val="008B15FE"/>
    <w:rsid w:val="008B19E9"/>
    <w:rsid w:val="008B1FED"/>
    <w:rsid w:val="008B2A2B"/>
    <w:rsid w:val="008B3673"/>
    <w:rsid w:val="008B3F22"/>
    <w:rsid w:val="008B4329"/>
    <w:rsid w:val="008B4982"/>
    <w:rsid w:val="008B4CF1"/>
    <w:rsid w:val="008B70A8"/>
    <w:rsid w:val="008B7B1B"/>
    <w:rsid w:val="008C0AF9"/>
    <w:rsid w:val="008C12C3"/>
    <w:rsid w:val="008C1F91"/>
    <w:rsid w:val="008C2D9B"/>
    <w:rsid w:val="008C2E31"/>
    <w:rsid w:val="008C2F7F"/>
    <w:rsid w:val="008C30EF"/>
    <w:rsid w:val="008C3BBC"/>
    <w:rsid w:val="008C5288"/>
    <w:rsid w:val="008C5F9D"/>
    <w:rsid w:val="008C6D13"/>
    <w:rsid w:val="008C6D5A"/>
    <w:rsid w:val="008C79D4"/>
    <w:rsid w:val="008D0054"/>
    <w:rsid w:val="008D0BB2"/>
    <w:rsid w:val="008D0FDB"/>
    <w:rsid w:val="008D11F5"/>
    <w:rsid w:val="008D14C3"/>
    <w:rsid w:val="008D1BA2"/>
    <w:rsid w:val="008D1EA6"/>
    <w:rsid w:val="008D23F0"/>
    <w:rsid w:val="008D2A73"/>
    <w:rsid w:val="008D3318"/>
    <w:rsid w:val="008D3396"/>
    <w:rsid w:val="008D3E5A"/>
    <w:rsid w:val="008D40C0"/>
    <w:rsid w:val="008D46D4"/>
    <w:rsid w:val="008D58E0"/>
    <w:rsid w:val="008D63EC"/>
    <w:rsid w:val="008D6493"/>
    <w:rsid w:val="008D6E75"/>
    <w:rsid w:val="008D785A"/>
    <w:rsid w:val="008D7998"/>
    <w:rsid w:val="008E147D"/>
    <w:rsid w:val="008E1C77"/>
    <w:rsid w:val="008E26B5"/>
    <w:rsid w:val="008E3111"/>
    <w:rsid w:val="008E42B2"/>
    <w:rsid w:val="008E66B7"/>
    <w:rsid w:val="008F279F"/>
    <w:rsid w:val="008F2857"/>
    <w:rsid w:val="008F2E3F"/>
    <w:rsid w:val="008F32AE"/>
    <w:rsid w:val="008F4554"/>
    <w:rsid w:val="008F4C69"/>
    <w:rsid w:val="008F4FAA"/>
    <w:rsid w:val="008F537A"/>
    <w:rsid w:val="008F65D7"/>
    <w:rsid w:val="008F68D0"/>
    <w:rsid w:val="008F78DC"/>
    <w:rsid w:val="00900EE6"/>
    <w:rsid w:val="00901110"/>
    <w:rsid w:val="00901E16"/>
    <w:rsid w:val="00901E93"/>
    <w:rsid w:val="00902726"/>
    <w:rsid w:val="00903163"/>
    <w:rsid w:val="009033D1"/>
    <w:rsid w:val="00903660"/>
    <w:rsid w:val="00905689"/>
    <w:rsid w:val="00905A1F"/>
    <w:rsid w:val="0090723A"/>
    <w:rsid w:val="009072DF"/>
    <w:rsid w:val="009073B3"/>
    <w:rsid w:val="00907949"/>
    <w:rsid w:val="00907EDA"/>
    <w:rsid w:val="009105B4"/>
    <w:rsid w:val="0091075B"/>
    <w:rsid w:val="0091091B"/>
    <w:rsid w:val="009110DD"/>
    <w:rsid w:val="00911740"/>
    <w:rsid w:val="0091281E"/>
    <w:rsid w:val="00912CE9"/>
    <w:rsid w:val="00913B41"/>
    <w:rsid w:val="00913C23"/>
    <w:rsid w:val="00914CF7"/>
    <w:rsid w:val="00914D8C"/>
    <w:rsid w:val="00914E1A"/>
    <w:rsid w:val="00915C61"/>
    <w:rsid w:val="009168A5"/>
    <w:rsid w:val="009170D3"/>
    <w:rsid w:val="00920B07"/>
    <w:rsid w:val="00920E16"/>
    <w:rsid w:val="009215CC"/>
    <w:rsid w:val="009222CE"/>
    <w:rsid w:val="009223B8"/>
    <w:rsid w:val="00922D13"/>
    <w:rsid w:val="00923C02"/>
    <w:rsid w:val="00923C1D"/>
    <w:rsid w:val="00923DEA"/>
    <w:rsid w:val="009252DF"/>
    <w:rsid w:val="0092636F"/>
    <w:rsid w:val="00926602"/>
    <w:rsid w:val="00930428"/>
    <w:rsid w:val="009310C2"/>
    <w:rsid w:val="0093154D"/>
    <w:rsid w:val="00931AD9"/>
    <w:rsid w:val="00931CC2"/>
    <w:rsid w:val="00931F1A"/>
    <w:rsid w:val="0093225B"/>
    <w:rsid w:val="00933095"/>
    <w:rsid w:val="0093311C"/>
    <w:rsid w:val="00933138"/>
    <w:rsid w:val="00933415"/>
    <w:rsid w:val="00934AD2"/>
    <w:rsid w:val="00934BF5"/>
    <w:rsid w:val="00934D9E"/>
    <w:rsid w:val="009357C6"/>
    <w:rsid w:val="009359AF"/>
    <w:rsid w:val="00935BC4"/>
    <w:rsid w:val="009369BA"/>
    <w:rsid w:val="009373E0"/>
    <w:rsid w:val="00937406"/>
    <w:rsid w:val="00937BF2"/>
    <w:rsid w:val="00937D2B"/>
    <w:rsid w:val="009407F7"/>
    <w:rsid w:val="009416BA"/>
    <w:rsid w:val="00941840"/>
    <w:rsid w:val="0094199B"/>
    <w:rsid w:val="00941C74"/>
    <w:rsid w:val="00942882"/>
    <w:rsid w:val="00943470"/>
    <w:rsid w:val="00943DBA"/>
    <w:rsid w:val="009443D0"/>
    <w:rsid w:val="00944983"/>
    <w:rsid w:val="00945611"/>
    <w:rsid w:val="009465F1"/>
    <w:rsid w:val="009475A0"/>
    <w:rsid w:val="00950BAA"/>
    <w:rsid w:val="00954966"/>
    <w:rsid w:val="00954B86"/>
    <w:rsid w:val="00956123"/>
    <w:rsid w:val="009564AF"/>
    <w:rsid w:val="00956682"/>
    <w:rsid w:val="00956994"/>
    <w:rsid w:val="00956A1F"/>
    <w:rsid w:val="00956CDB"/>
    <w:rsid w:val="00957435"/>
    <w:rsid w:val="00957613"/>
    <w:rsid w:val="00957826"/>
    <w:rsid w:val="009602C5"/>
    <w:rsid w:val="00960511"/>
    <w:rsid w:val="00960971"/>
    <w:rsid w:val="00960A52"/>
    <w:rsid w:val="00960B14"/>
    <w:rsid w:val="00961438"/>
    <w:rsid w:val="0096194C"/>
    <w:rsid w:val="009622AD"/>
    <w:rsid w:val="00962A63"/>
    <w:rsid w:val="00962D60"/>
    <w:rsid w:val="00963892"/>
    <w:rsid w:val="00963AD2"/>
    <w:rsid w:val="00963BEB"/>
    <w:rsid w:val="00963FB2"/>
    <w:rsid w:val="009647CB"/>
    <w:rsid w:val="00964915"/>
    <w:rsid w:val="00964C68"/>
    <w:rsid w:val="00965BFE"/>
    <w:rsid w:val="0096646B"/>
    <w:rsid w:val="00967D8E"/>
    <w:rsid w:val="0097036C"/>
    <w:rsid w:val="00970B6E"/>
    <w:rsid w:val="00970CDA"/>
    <w:rsid w:val="009719DF"/>
    <w:rsid w:val="00972368"/>
    <w:rsid w:val="00973FE0"/>
    <w:rsid w:val="009741A7"/>
    <w:rsid w:val="00974C9A"/>
    <w:rsid w:val="0097517C"/>
    <w:rsid w:val="00975286"/>
    <w:rsid w:val="00975AEA"/>
    <w:rsid w:val="009762BD"/>
    <w:rsid w:val="00976675"/>
    <w:rsid w:val="00976802"/>
    <w:rsid w:val="00976C6D"/>
    <w:rsid w:val="009775E1"/>
    <w:rsid w:val="009803BE"/>
    <w:rsid w:val="009808C2"/>
    <w:rsid w:val="00980F7E"/>
    <w:rsid w:val="0098127B"/>
    <w:rsid w:val="00981BE1"/>
    <w:rsid w:val="00981D90"/>
    <w:rsid w:val="00981E75"/>
    <w:rsid w:val="009822C4"/>
    <w:rsid w:val="00982439"/>
    <w:rsid w:val="009830D3"/>
    <w:rsid w:val="00983467"/>
    <w:rsid w:val="00983E25"/>
    <w:rsid w:val="00983E71"/>
    <w:rsid w:val="009867A2"/>
    <w:rsid w:val="009869E3"/>
    <w:rsid w:val="00986AA0"/>
    <w:rsid w:val="00986DC0"/>
    <w:rsid w:val="00987548"/>
    <w:rsid w:val="00987EFC"/>
    <w:rsid w:val="0099030D"/>
    <w:rsid w:val="009905C4"/>
    <w:rsid w:val="00990D65"/>
    <w:rsid w:val="00990DC0"/>
    <w:rsid w:val="00991000"/>
    <w:rsid w:val="00992EAE"/>
    <w:rsid w:val="00993354"/>
    <w:rsid w:val="00993F6E"/>
    <w:rsid w:val="00994505"/>
    <w:rsid w:val="0099524E"/>
    <w:rsid w:val="009958A7"/>
    <w:rsid w:val="00996B21"/>
    <w:rsid w:val="00996E3A"/>
    <w:rsid w:val="009A0E64"/>
    <w:rsid w:val="009A1AED"/>
    <w:rsid w:val="009A28BD"/>
    <w:rsid w:val="009A28C7"/>
    <w:rsid w:val="009A2ABE"/>
    <w:rsid w:val="009A3805"/>
    <w:rsid w:val="009A471F"/>
    <w:rsid w:val="009A55A7"/>
    <w:rsid w:val="009A5C66"/>
    <w:rsid w:val="009A5E87"/>
    <w:rsid w:val="009A6D02"/>
    <w:rsid w:val="009A76E6"/>
    <w:rsid w:val="009A7CCC"/>
    <w:rsid w:val="009A7FFC"/>
    <w:rsid w:val="009B0A05"/>
    <w:rsid w:val="009B0C1C"/>
    <w:rsid w:val="009B1A9E"/>
    <w:rsid w:val="009B2066"/>
    <w:rsid w:val="009B27D1"/>
    <w:rsid w:val="009B2C93"/>
    <w:rsid w:val="009B393E"/>
    <w:rsid w:val="009B5C0A"/>
    <w:rsid w:val="009B5CFE"/>
    <w:rsid w:val="009B61AE"/>
    <w:rsid w:val="009B72E7"/>
    <w:rsid w:val="009B7642"/>
    <w:rsid w:val="009B7C4E"/>
    <w:rsid w:val="009C0E1B"/>
    <w:rsid w:val="009C15AD"/>
    <w:rsid w:val="009C21A9"/>
    <w:rsid w:val="009C278F"/>
    <w:rsid w:val="009C3ED4"/>
    <w:rsid w:val="009C4AF8"/>
    <w:rsid w:val="009C532E"/>
    <w:rsid w:val="009C6B93"/>
    <w:rsid w:val="009C6D6B"/>
    <w:rsid w:val="009D0B63"/>
    <w:rsid w:val="009D0C98"/>
    <w:rsid w:val="009D141E"/>
    <w:rsid w:val="009D17D7"/>
    <w:rsid w:val="009D1889"/>
    <w:rsid w:val="009D18D4"/>
    <w:rsid w:val="009D365C"/>
    <w:rsid w:val="009D3A6E"/>
    <w:rsid w:val="009D612F"/>
    <w:rsid w:val="009E05C2"/>
    <w:rsid w:val="009E1C4B"/>
    <w:rsid w:val="009E23F7"/>
    <w:rsid w:val="009E250C"/>
    <w:rsid w:val="009E27E4"/>
    <w:rsid w:val="009E32F4"/>
    <w:rsid w:val="009E3438"/>
    <w:rsid w:val="009E4386"/>
    <w:rsid w:val="009E5449"/>
    <w:rsid w:val="009E594A"/>
    <w:rsid w:val="009E5CDF"/>
    <w:rsid w:val="009E61CC"/>
    <w:rsid w:val="009E6803"/>
    <w:rsid w:val="009E6BE2"/>
    <w:rsid w:val="009E7CAE"/>
    <w:rsid w:val="009F0853"/>
    <w:rsid w:val="009F0E89"/>
    <w:rsid w:val="009F11A4"/>
    <w:rsid w:val="009F4407"/>
    <w:rsid w:val="009F5373"/>
    <w:rsid w:val="009F690B"/>
    <w:rsid w:val="009F6B78"/>
    <w:rsid w:val="009F7E8B"/>
    <w:rsid w:val="00A00A85"/>
    <w:rsid w:val="00A0222A"/>
    <w:rsid w:val="00A02FE5"/>
    <w:rsid w:val="00A0328D"/>
    <w:rsid w:val="00A036D0"/>
    <w:rsid w:val="00A03796"/>
    <w:rsid w:val="00A04349"/>
    <w:rsid w:val="00A04917"/>
    <w:rsid w:val="00A05347"/>
    <w:rsid w:val="00A06C66"/>
    <w:rsid w:val="00A078F3"/>
    <w:rsid w:val="00A07D2E"/>
    <w:rsid w:val="00A07EA0"/>
    <w:rsid w:val="00A1078B"/>
    <w:rsid w:val="00A10A7D"/>
    <w:rsid w:val="00A112AF"/>
    <w:rsid w:val="00A11333"/>
    <w:rsid w:val="00A114D1"/>
    <w:rsid w:val="00A11641"/>
    <w:rsid w:val="00A1187C"/>
    <w:rsid w:val="00A12A1D"/>
    <w:rsid w:val="00A12C4D"/>
    <w:rsid w:val="00A136F3"/>
    <w:rsid w:val="00A14F1D"/>
    <w:rsid w:val="00A166EC"/>
    <w:rsid w:val="00A17820"/>
    <w:rsid w:val="00A21599"/>
    <w:rsid w:val="00A218C9"/>
    <w:rsid w:val="00A218F5"/>
    <w:rsid w:val="00A21EDC"/>
    <w:rsid w:val="00A22503"/>
    <w:rsid w:val="00A2415D"/>
    <w:rsid w:val="00A2507C"/>
    <w:rsid w:val="00A25187"/>
    <w:rsid w:val="00A25492"/>
    <w:rsid w:val="00A265B8"/>
    <w:rsid w:val="00A26D07"/>
    <w:rsid w:val="00A26E7B"/>
    <w:rsid w:val="00A27CF5"/>
    <w:rsid w:val="00A3046E"/>
    <w:rsid w:val="00A317E5"/>
    <w:rsid w:val="00A32930"/>
    <w:rsid w:val="00A340B7"/>
    <w:rsid w:val="00A343FE"/>
    <w:rsid w:val="00A34AF1"/>
    <w:rsid w:val="00A34B4E"/>
    <w:rsid w:val="00A36A2E"/>
    <w:rsid w:val="00A36C50"/>
    <w:rsid w:val="00A36DE7"/>
    <w:rsid w:val="00A36F0F"/>
    <w:rsid w:val="00A373A1"/>
    <w:rsid w:val="00A411D2"/>
    <w:rsid w:val="00A430A8"/>
    <w:rsid w:val="00A438A4"/>
    <w:rsid w:val="00A459E0"/>
    <w:rsid w:val="00A46F37"/>
    <w:rsid w:val="00A4739A"/>
    <w:rsid w:val="00A47D8E"/>
    <w:rsid w:val="00A47F3F"/>
    <w:rsid w:val="00A505AC"/>
    <w:rsid w:val="00A50687"/>
    <w:rsid w:val="00A509A5"/>
    <w:rsid w:val="00A50A4E"/>
    <w:rsid w:val="00A52142"/>
    <w:rsid w:val="00A5234E"/>
    <w:rsid w:val="00A52C2A"/>
    <w:rsid w:val="00A531A5"/>
    <w:rsid w:val="00A53784"/>
    <w:rsid w:val="00A542AC"/>
    <w:rsid w:val="00A55B8E"/>
    <w:rsid w:val="00A56EC5"/>
    <w:rsid w:val="00A57787"/>
    <w:rsid w:val="00A5788B"/>
    <w:rsid w:val="00A578FC"/>
    <w:rsid w:val="00A60583"/>
    <w:rsid w:val="00A61660"/>
    <w:rsid w:val="00A61B46"/>
    <w:rsid w:val="00A622AA"/>
    <w:rsid w:val="00A624A2"/>
    <w:rsid w:val="00A6285D"/>
    <w:rsid w:val="00A62B2E"/>
    <w:rsid w:val="00A65453"/>
    <w:rsid w:val="00A6689D"/>
    <w:rsid w:val="00A670DE"/>
    <w:rsid w:val="00A678C3"/>
    <w:rsid w:val="00A701C8"/>
    <w:rsid w:val="00A705B0"/>
    <w:rsid w:val="00A7086B"/>
    <w:rsid w:val="00A70C0D"/>
    <w:rsid w:val="00A711F9"/>
    <w:rsid w:val="00A721A5"/>
    <w:rsid w:val="00A727EE"/>
    <w:rsid w:val="00A72E07"/>
    <w:rsid w:val="00A72F1D"/>
    <w:rsid w:val="00A730F0"/>
    <w:rsid w:val="00A737FF"/>
    <w:rsid w:val="00A75404"/>
    <w:rsid w:val="00A772D1"/>
    <w:rsid w:val="00A77AE0"/>
    <w:rsid w:val="00A8023F"/>
    <w:rsid w:val="00A8054F"/>
    <w:rsid w:val="00A81C1A"/>
    <w:rsid w:val="00A82D48"/>
    <w:rsid w:val="00A82E46"/>
    <w:rsid w:val="00A839B9"/>
    <w:rsid w:val="00A83E04"/>
    <w:rsid w:val="00A83E6D"/>
    <w:rsid w:val="00A83E6F"/>
    <w:rsid w:val="00A858F9"/>
    <w:rsid w:val="00A8604A"/>
    <w:rsid w:val="00A8651C"/>
    <w:rsid w:val="00A869A2"/>
    <w:rsid w:val="00A8779D"/>
    <w:rsid w:val="00A902E7"/>
    <w:rsid w:val="00A90898"/>
    <w:rsid w:val="00A90F20"/>
    <w:rsid w:val="00A91332"/>
    <w:rsid w:val="00A92E93"/>
    <w:rsid w:val="00A9388F"/>
    <w:rsid w:val="00A947C1"/>
    <w:rsid w:val="00A950CD"/>
    <w:rsid w:val="00A963D8"/>
    <w:rsid w:val="00A974D9"/>
    <w:rsid w:val="00A97ADC"/>
    <w:rsid w:val="00AA0D1E"/>
    <w:rsid w:val="00AA12C0"/>
    <w:rsid w:val="00AA2B9B"/>
    <w:rsid w:val="00AA2D50"/>
    <w:rsid w:val="00AA3673"/>
    <w:rsid w:val="00AA459C"/>
    <w:rsid w:val="00AA4682"/>
    <w:rsid w:val="00AA50D2"/>
    <w:rsid w:val="00AA57AB"/>
    <w:rsid w:val="00AA61A3"/>
    <w:rsid w:val="00AA6757"/>
    <w:rsid w:val="00AA68AE"/>
    <w:rsid w:val="00AA6BCE"/>
    <w:rsid w:val="00AA6BEB"/>
    <w:rsid w:val="00AA6F09"/>
    <w:rsid w:val="00AA7171"/>
    <w:rsid w:val="00AA7751"/>
    <w:rsid w:val="00AB1259"/>
    <w:rsid w:val="00AB1C60"/>
    <w:rsid w:val="00AB2497"/>
    <w:rsid w:val="00AB2995"/>
    <w:rsid w:val="00AB3511"/>
    <w:rsid w:val="00AB6762"/>
    <w:rsid w:val="00AB6B37"/>
    <w:rsid w:val="00AB6E39"/>
    <w:rsid w:val="00AC0FF2"/>
    <w:rsid w:val="00AC17B0"/>
    <w:rsid w:val="00AC2CC0"/>
    <w:rsid w:val="00AC3461"/>
    <w:rsid w:val="00AC34AB"/>
    <w:rsid w:val="00AC415A"/>
    <w:rsid w:val="00AC4562"/>
    <w:rsid w:val="00AC49B6"/>
    <w:rsid w:val="00AC4E45"/>
    <w:rsid w:val="00AC535B"/>
    <w:rsid w:val="00AC59BC"/>
    <w:rsid w:val="00AC5B87"/>
    <w:rsid w:val="00AC7430"/>
    <w:rsid w:val="00AC7981"/>
    <w:rsid w:val="00AD09FA"/>
    <w:rsid w:val="00AD0A06"/>
    <w:rsid w:val="00AD145F"/>
    <w:rsid w:val="00AD1731"/>
    <w:rsid w:val="00AD19FF"/>
    <w:rsid w:val="00AD20DE"/>
    <w:rsid w:val="00AD342A"/>
    <w:rsid w:val="00AD5BCD"/>
    <w:rsid w:val="00AD62AF"/>
    <w:rsid w:val="00AD64E0"/>
    <w:rsid w:val="00AD6D65"/>
    <w:rsid w:val="00AD72D0"/>
    <w:rsid w:val="00AD79CF"/>
    <w:rsid w:val="00AD7C9A"/>
    <w:rsid w:val="00AD7F36"/>
    <w:rsid w:val="00AE0C3B"/>
    <w:rsid w:val="00AE13DD"/>
    <w:rsid w:val="00AE18EC"/>
    <w:rsid w:val="00AE1D67"/>
    <w:rsid w:val="00AE2EED"/>
    <w:rsid w:val="00AE3526"/>
    <w:rsid w:val="00AE475D"/>
    <w:rsid w:val="00AE622F"/>
    <w:rsid w:val="00AE6B26"/>
    <w:rsid w:val="00AE7A38"/>
    <w:rsid w:val="00AF04A6"/>
    <w:rsid w:val="00AF0641"/>
    <w:rsid w:val="00AF0ADF"/>
    <w:rsid w:val="00AF0B89"/>
    <w:rsid w:val="00AF22D1"/>
    <w:rsid w:val="00AF2367"/>
    <w:rsid w:val="00AF24F8"/>
    <w:rsid w:val="00AF2E75"/>
    <w:rsid w:val="00AF3B10"/>
    <w:rsid w:val="00AF3C74"/>
    <w:rsid w:val="00AF4686"/>
    <w:rsid w:val="00AF53CC"/>
    <w:rsid w:val="00AF548C"/>
    <w:rsid w:val="00AF5F82"/>
    <w:rsid w:val="00AF6AB3"/>
    <w:rsid w:val="00AF7C12"/>
    <w:rsid w:val="00B0035C"/>
    <w:rsid w:val="00B029CD"/>
    <w:rsid w:val="00B02B6F"/>
    <w:rsid w:val="00B04574"/>
    <w:rsid w:val="00B04CCC"/>
    <w:rsid w:val="00B07A0D"/>
    <w:rsid w:val="00B10C1C"/>
    <w:rsid w:val="00B10FDF"/>
    <w:rsid w:val="00B116E2"/>
    <w:rsid w:val="00B117F3"/>
    <w:rsid w:val="00B12679"/>
    <w:rsid w:val="00B144E7"/>
    <w:rsid w:val="00B145C8"/>
    <w:rsid w:val="00B14DDB"/>
    <w:rsid w:val="00B14E21"/>
    <w:rsid w:val="00B14E4D"/>
    <w:rsid w:val="00B153EE"/>
    <w:rsid w:val="00B16A35"/>
    <w:rsid w:val="00B16CF8"/>
    <w:rsid w:val="00B1732A"/>
    <w:rsid w:val="00B17F3A"/>
    <w:rsid w:val="00B21711"/>
    <w:rsid w:val="00B22506"/>
    <w:rsid w:val="00B22797"/>
    <w:rsid w:val="00B22C9D"/>
    <w:rsid w:val="00B24110"/>
    <w:rsid w:val="00B25945"/>
    <w:rsid w:val="00B25C5B"/>
    <w:rsid w:val="00B2697E"/>
    <w:rsid w:val="00B27C0B"/>
    <w:rsid w:val="00B3154F"/>
    <w:rsid w:val="00B31B41"/>
    <w:rsid w:val="00B326C2"/>
    <w:rsid w:val="00B32B22"/>
    <w:rsid w:val="00B332E3"/>
    <w:rsid w:val="00B33900"/>
    <w:rsid w:val="00B339CC"/>
    <w:rsid w:val="00B33D5D"/>
    <w:rsid w:val="00B35490"/>
    <w:rsid w:val="00B35BED"/>
    <w:rsid w:val="00B361A1"/>
    <w:rsid w:val="00B364C5"/>
    <w:rsid w:val="00B36775"/>
    <w:rsid w:val="00B37005"/>
    <w:rsid w:val="00B37073"/>
    <w:rsid w:val="00B378D7"/>
    <w:rsid w:val="00B37957"/>
    <w:rsid w:val="00B4046B"/>
    <w:rsid w:val="00B40B76"/>
    <w:rsid w:val="00B40F4D"/>
    <w:rsid w:val="00B41C3D"/>
    <w:rsid w:val="00B41EA8"/>
    <w:rsid w:val="00B433D3"/>
    <w:rsid w:val="00B46596"/>
    <w:rsid w:val="00B474BA"/>
    <w:rsid w:val="00B506EC"/>
    <w:rsid w:val="00B54072"/>
    <w:rsid w:val="00B54889"/>
    <w:rsid w:val="00B551D1"/>
    <w:rsid w:val="00B5522A"/>
    <w:rsid w:val="00B55563"/>
    <w:rsid w:val="00B559AE"/>
    <w:rsid w:val="00B55BAF"/>
    <w:rsid w:val="00B55C3C"/>
    <w:rsid w:val="00B55FE8"/>
    <w:rsid w:val="00B5607F"/>
    <w:rsid w:val="00B56E46"/>
    <w:rsid w:val="00B5771D"/>
    <w:rsid w:val="00B57EB9"/>
    <w:rsid w:val="00B610B6"/>
    <w:rsid w:val="00B61F90"/>
    <w:rsid w:val="00B63189"/>
    <w:rsid w:val="00B635BD"/>
    <w:rsid w:val="00B645EB"/>
    <w:rsid w:val="00B6495C"/>
    <w:rsid w:val="00B64C6A"/>
    <w:rsid w:val="00B64E68"/>
    <w:rsid w:val="00B64F88"/>
    <w:rsid w:val="00B655CC"/>
    <w:rsid w:val="00B666B7"/>
    <w:rsid w:val="00B66F31"/>
    <w:rsid w:val="00B67116"/>
    <w:rsid w:val="00B671CB"/>
    <w:rsid w:val="00B674E0"/>
    <w:rsid w:val="00B67B5C"/>
    <w:rsid w:val="00B712B4"/>
    <w:rsid w:val="00B71714"/>
    <w:rsid w:val="00B72190"/>
    <w:rsid w:val="00B744B5"/>
    <w:rsid w:val="00B74A32"/>
    <w:rsid w:val="00B74B39"/>
    <w:rsid w:val="00B753B6"/>
    <w:rsid w:val="00B76155"/>
    <w:rsid w:val="00B76481"/>
    <w:rsid w:val="00B7690E"/>
    <w:rsid w:val="00B76917"/>
    <w:rsid w:val="00B76F25"/>
    <w:rsid w:val="00B77E06"/>
    <w:rsid w:val="00B80E46"/>
    <w:rsid w:val="00B82916"/>
    <w:rsid w:val="00B86142"/>
    <w:rsid w:val="00B90610"/>
    <w:rsid w:val="00B912B1"/>
    <w:rsid w:val="00B9281D"/>
    <w:rsid w:val="00B9693C"/>
    <w:rsid w:val="00B96E84"/>
    <w:rsid w:val="00B97F50"/>
    <w:rsid w:val="00BA1347"/>
    <w:rsid w:val="00BA184E"/>
    <w:rsid w:val="00BA19CA"/>
    <w:rsid w:val="00BA25A8"/>
    <w:rsid w:val="00BA367F"/>
    <w:rsid w:val="00BA37D3"/>
    <w:rsid w:val="00BA4E69"/>
    <w:rsid w:val="00BA54D9"/>
    <w:rsid w:val="00BA669A"/>
    <w:rsid w:val="00BA691B"/>
    <w:rsid w:val="00BB058A"/>
    <w:rsid w:val="00BB1DE0"/>
    <w:rsid w:val="00BB39DF"/>
    <w:rsid w:val="00BB4A36"/>
    <w:rsid w:val="00BB5766"/>
    <w:rsid w:val="00BB5E2C"/>
    <w:rsid w:val="00BB5ECE"/>
    <w:rsid w:val="00BB5FB3"/>
    <w:rsid w:val="00BB7B41"/>
    <w:rsid w:val="00BB7E5D"/>
    <w:rsid w:val="00BC03CA"/>
    <w:rsid w:val="00BC0483"/>
    <w:rsid w:val="00BC06C5"/>
    <w:rsid w:val="00BC0CB4"/>
    <w:rsid w:val="00BC60C1"/>
    <w:rsid w:val="00BC62B0"/>
    <w:rsid w:val="00BC6B23"/>
    <w:rsid w:val="00BC764C"/>
    <w:rsid w:val="00BC7DE5"/>
    <w:rsid w:val="00BD1437"/>
    <w:rsid w:val="00BD18CD"/>
    <w:rsid w:val="00BD199F"/>
    <w:rsid w:val="00BD2564"/>
    <w:rsid w:val="00BD2609"/>
    <w:rsid w:val="00BD28E2"/>
    <w:rsid w:val="00BD44E2"/>
    <w:rsid w:val="00BD49BA"/>
    <w:rsid w:val="00BD5EAE"/>
    <w:rsid w:val="00BD7009"/>
    <w:rsid w:val="00BE0329"/>
    <w:rsid w:val="00BE0749"/>
    <w:rsid w:val="00BE0B66"/>
    <w:rsid w:val="00BE0DC2"/>
    <w:rsid w:val="00BE1076"/>
    <w:rsid w:val="00BE11B6"/>
    <w:rsid w:val="00BE28AF"/>
    <w:rsid w:val="00BE30D1"/>
    <w:rsid w:val="00BE4DEE"/>
    <w:rsid w:val="00BE517F"/>
    <w:rsid w:val="00BE5728"/>
    <w:rsid w:val="00BE6193"/>
    <w:rsid w:val="00BE7ED0"/>
    <w:rsid w:val="00BF0356"/>
    <w:rsid w:val="00BF041F"/>
    <w:rsid w:val="00BF1056"/>
    <w:rsid w:val="00BF28B6"/>
    <w:rsid w:val="00BF44F8"/>
    <w:rsid w:val="00BF484E"/>
    <w:rsid w:val="00BF48EA"/>
    <w:rsid w:val="00BF6201"/>
    <w:rsid w:val="00BF6717"/>
    <w:rsid w:val="00BF6A55"/>
    <w:rsid w:val="00BF7071"/>
    <w:rsid w:val="00BF7F51"/>
    <w:rsid w:val="00C014EE"/>
    <w:rsid w:val="00C01AB2"/>
    <w:rsid w:val="00C01D4E"/>
    <w:rsid w:val="00C05DDF"/>
    <w:rsid w:val="00C05ECF"/>
    <w:rsid w:val="00C06269"/>
    <w:rsid w:val="00C07D38"/>
    <w:rsid w:val="00C1112E"/>
    <w:rsid w:val="00C11320"/>
    <w:rsid w:val="00C12287"/>
    <w:rsid w:val="00C1285B"/>
    <w:rsid w:val="00C12B06"/>
    <w:rsid w:val="00C13258"/>
    <w:rsid w:val="00C1388B"/>
    <w:rsid w:val="00C14689"/>
    <w:rsid w:val="00C14968"/>
    <w:rsid w:val="00C14CEF"/>
    <w:rsid w:val="00C1569D"/>
    <w:rsid w:val="00C16188"/>
    <w:rsid w:val="00C1659F"/>
    <w:rsid w:val="00C166B7"/>
    <w:rsid w:val="00C166C3"/>
    <w:rsid w:val="00C16C08"/>
    <w:rsid w:val="00C17776"/>
    <w:rsid w:val="00C17C33"/>
    <w:rsid w:val="00C17CE2"/>
    <w:rsid w:val="00C20799"/>
    <w:rsid w:val="00C20AC3"/>
    <w:rsid w:val="00C22B55"/>
    <w:rsid w:val="00C23E4A"/>
    <w:rsid w:val="00C24902"/>
    <w:rsid w:val="00C24BEE"/>
    <w:rsid w:val="00C251EE"/>
    <w:rsid w:val="00C257B0"/>
    <w:rsid w:val="00C2620F"/>
    <w:rsid w:val="00C26669"/>
    <w:rsid w:val="00C26D4E"/>
    <w:rsid w:val="00C27152"/>
    <w:rsid w:val="00C2764F"/>
    <w:rsid w:val="00C27C83"/>
    <w:rsid w:val="00C31677"/>
    <w:rsid w:val="00C32284"/>
    <w:rsid w:val="00C3295E"/>
    <w:rsid w:val="00C335C4"/>
    <w:rsid w:val="00C349C1"/>
    <w:rsid w:val="00C34C77"/>
    <w:rsid w:val="00C34F8A"/>
    <w:rsid w:val="00C362FC"/>
    <w:rsid w:val="00C36330"/>
    <w:rsid w:val="00C43A24"/>
    <w:rsid w:val="00C44437"/>
    <w:rsid w:val="00C4738A"/>
    <w:rsid w:val="00C517EC"/>
    <w:rsid w:val="00C51F19"/>
    <w:rsid w:val="00C51F56"/>
    <w:rsid w:val="00C57A87"/>
    <w:rsid w:val="00C60226"/>
    <w:rsid w:val="00C60AB3"/>
    <w:rsid w:val="00C60C5B"/>
    <w:rsid w:val="00C61056"/>
    <w:rsid w:val="00C62778"/>
    <w:rsid w:val="00C627B2"/>
    <w:rsid w:val="00C62EFD"/>
    <w:rsid w:val="00C63D86"/>
    <w:rsid w:val="00C64C4C"/>
    <w:rsid w:val="00C64D69"/>
    <w:rsid w:val="00C64F3F"/>
    <w:rsid w:val="00C66277"/>
    <w:rsid w:val="00C67549"/>
    <w:rsid w:val="00C70069"/>
    <w:rsid w:val="00C708A7"/>
    <w:rsid w:val="00C7118C"/>
    <w:rsid w:val="00C7121F"/>
    <w:rsid w:val="00C722FE"/>
    <w:rsid w:val="00C7414C"/>
    <w:rsid w:val="00C741E8"/>
    <w:rsid w:val="00C745BB"/>
    <w:rsid w:val="00C74BEB"/>
    <w:rsid w:val="00C75523"/>
    <w:rsid w:val="00C757B5"/>
    <w:rsid w:val="00C76C54"/>
    <w:rsid w:val="00C80040"/>
    <w:rsid w:val="00C80C33"/>
    <w:rsid w:val="00C81A74"/>
    <w:rsid w:val="00C82ABB"/>
    <w:rsid w:val="00C82CAD"/>
    <w:rsid w:val="00C82ED6"/>
    <w:rsid w:val="00C84188"/>
    <w:rsid w:val="00C85341"/>
    <w:rsid w:val="00C855F1"/>
    <w:rsid w:val="00C860F4"/>
    <w:rsid w:val="00C87EE7"/>
    <w:rsid w:val="00C90349"/>
    <w:rsid w:val="00C9127F"/>
    <w:rsid w:val="00C9159E"/>
    <w:rsid w:val="00C92250"/>
    <w:rsid w:val="00C928F0"/>
    <w:rsid w:val="00C929D2"/>
    <w:rsid w:val="00C93177"/>
    <w:rsid w:val="00C95BF2"/>
    <w:rsid w:val="00C9727C"/>
    <w:rsid w:val="00CA0E0D"/>
    <w:rsid w:val="00CA3DF2"/>
    <w:rsid w:val="00CA3FAE"/>
    <w:rsid w:val="00CA4C21"/>
    <w:rsid w:val="00CA5307"/>
    <w:rsid w:val="00CA6775"/>
    <w:rsid w:val="00CA6A1A"/>
    <w:rsid w:val="00CA6C20"/>
    <w:rsid w:val="00CA6FCE"/>
    <w:rsid w:val="00CA7019"/>
    <w:rsid w:val="00CA705E"/>
    <w:rsid w:val="00CB077A"/>
    <w:rsid w:val="00CB0F93"/>
    <w:rsid w:val="00CB267F"/>
    <w:rsid w:val="00CB482A"/>
    <w:rsid w:val="00CB5ACF"/>
    <w:rsid w:val="00CB645B"/>
    <w:rsid w:val="00CB65DD"/>
    <w:rsid w:val="00CB66B7"/>
    <w:rsid w:val="00CB7ADB"/>
    <w:rsid w:val="00CB7BE8"/>
    <w:rsid w:val="00CC0591"/>
    <w:rsid w:val="00CC1135"/>
    <w:rsid w:val="00CC13E2"/>
    <w:rsid w:val="00CC1630"/>
    <w:rsid w:val="00CC19DC"/>
    <w:rsid w:val="00CC319E"/>
    <w:rsid w:val="00CC399C"/>
    <w:rsid w:val="00CC5907"/>
    <w:rsid w:val="00CC6056"/>
    <w:rsid w:val="00CC6405"/>
    <w:rsid w:val="00CC64B6"/>
    <w:rsid w:val="00CC64E3"/>
    <w:rsid w:val="00CC6AF4"/>
    <w:rsid w:val="00CC7811"/>
    <w:rsid w:val="00CD0378"/>
    <w:rsid w:val="00CD192E"/>
    <w:rsid w:val="00CD1DC2"/>
    <w:rsid w:val="00CD2D05"/>
    <w:rsid w:val="00CD3B67"/>
    <w:rsid w:val="00CD46A4"/>
    <w:rsid w:val="00CD47B0"/>
    <w:rsid w:val="00CD4E1F"/>
    <w:rsid w:val="00CD5E1D"/>
    <w:rsid w:val="00CD70CF"/>
    <w:rsid w:val="00CE0495"/>
    <w:rsid w:val="00CE0DE9"/>
    <w:rsid w:val="00CE123C"/>
    <w:rsid w:val="00CE273B"/>
    <w:rsid w:val="00CE295B"/>
    <w:rsid w:val="00CE2E84"/>
    <w:rsid w:val="00CE30B0"/>
    <w:rsid w:val="00CE4011"/>
    <w:rsid w:val="00CE44E0"/>
    <w:rsid w:val="00CE633E"/>
    <w:rsid w:val="00CE6473"/>
    <w:rsid w:val="00CE6B03"/>
    <w:rsid w:val="00CE7ADF"/>
    <w:rsid w:val="00CF08E1"/>
    <w:rsid w:val="00CF2768"/>
    <w:rsid w:val="00CF31CE"/>
    <w:rsid w:val="00CF339C"/>
    <w:rsid w:val="00CF356D"/>
    <w:rsid w:val="00CF3676"/>
    <w:rsid w:val="00CF415F"/>
    <w:rsid w:val="00CF4426"/>
    <w:rsid w:val="00CF4D55"/>
    <w:rsid w:val="00CF5ABA"/>
    <w:rsid w:val="00CF5F12"/>
    <w:rsid w:val="00CF5FCE"/>
    <w:rsid w:val="00CF704E"/>
    <w:rsid w:val="00CF7A07"/>
    <w:rsid w:val="00CF7DD9"/>
    <w:rsid w:val="00D00793"/>
    <w:rsid w:val="00D009D7"/>
    <w:rsid w:val="00D00C91"/>
    <w:rsid w:val="00D00E34"/>
    <w:rsid w:val="00D01B7D"/>
    <w:rsid w:val="00D01DAC"/>
    <w:rsid w:val="00D01FB1"/>
    <w:rsid w:val="00D025DE"/>
    <w:rsid w:val="00D02CB0"/>
    <w:rsid w:val="00D02CC2"/>
    <w:rsid w:val="00D02CEB"/>
    <w:rsid w:val="00D031D0"/>
    <w:rsid w:val="00D03398"/>
    <w:rsid w:val="00D041EE"/>
    <w:rsid w:val="00D04225"/>
    <w:rsid w:val="00D05168"/>
    <w:rsid w:val="00D05829"/>
    <w:rsid w:val="00D05CA7"/>
    <w:rsid w:val="00D06429"/>
    <w:rsid w:val="00D06CE9"/>
    <w:rsid w:val="00D072F0"/>
    <w:rsid w:val="00D07567"/>
    <w:rsid w:val="00D1033E"/>
    <w:rsid w:val="00D1082B"/>
    <w:rsid w:val="00D1099E"/>
    <w:rsid w:val="00D10D40"/>
    <w:rsid w:val="00D11024"/>
    <w:rsid w:val="00D1197D"/>
    <w:rsid w:val="00D1265C"/>
    <w:rsid w:val="00D1267F"/>
    <w:rsid w:val="00D13590"/>
    <w:rsid w:val="00D14128"/>
    <w:rsid w:val="00D1447F"/>
    <w:rsid w:val="00D14BAF"/>
    <w:rsid w:val="00D153CD"/>
    <w:rsid w:val="00D1545D"/>
    <w:rsid w:val="00D15B80"/>
    <w:rsid w:val="00D15BE6"/>
    <w:rsid w:val="00D16003"/>
    <w:rsid w:val="00D16054"/>
    <w:rsid w:val="00D16F0A"/>
    <w:rsid w:val="00D1732D"/>
    <w:rsid w:val="00D17DB6"/>
    <w:rsid w:val="00D2059D"/>
    <w:rsid w:val="00D23286"/>
    <w:rsid w:val="00D232B9"/>
    <w:rsid w:val="00D235C3"/>
    <w:rsid w:val="00D2529D"/>
    <w:rsid w:val="00D25FBF"/>
    <w:rsid w:val="00D260A1"/>
    <w:rsid w:val="00D268FD"/>
    <w:rsid w:val="00D26B99"/>
    <w:rsid w:val="00D272B0"/>
    <w:rsid w:val="00D2789C"/>
    <w:rsid w:val="00D27E70"/>
    <w:rsid w:val="00D27FAF"/>
    <w:rsid w:val="00D27FBF"/>
    <w:rsid w:val="00D31533"/>
    <w:rsid w:val="00D33298"/>
    <w:rsid w:val="00D34130"/>
    <w:rsid w:val="00D349CE"/>
    <w:rsid w:val="00D34F80"/>
    <w:rsid w:val="00D351B2"/>
    <w:rsid w:val="00D353F5"/>
    <w:rsid w:val="00D360F4"/>
    <w:rsid w:val="00D36E3F"/>
    <w:rsid w:val="00D37E13"/>
    <w:rsid w:val="00D407EF"/>
    <w:rsid w:val="00D407F8"/>
    <w:rsid w:val="00D424CE"/>
    <w:rsid w:val="00D44112"/>
    <w:rsid w:val="00D445E3"/>
    <w:rsid w:val="00D44683"/>
    <w:rsid w:val="00D4495B"/>
    <w:rsid w:val="00D44CC5"/>
    <w:rsid w:val="00D45AB9"/>
    <w:rsid w:val="00D45B88"/>
    <w:rsid w:val="00D478AF"/>
    <w:rsid w:val="00D51E64"/>
    <w:rsid w:val="00D52505"/>
    <w:rsid w:val="00D52DD4"/>
    <w:rsid w:val="00D54549"/>
    <w:rsid w:val="00D55028"/>
    <w:rsid w:val="00D55CBD"/>
    <w:rsid w:val="00D56087"/>
    <w:rsid w:val="00D56EE9"/>
    <w:rsid w:val="00D57111"/>
    <w:rsid w:val="00D57A8A"/>
    <w:rsid w:val="00D57B7E"/>
    <w:rsid w:val="00D6015E"/>
    <w:rsid w:val="00D607CE"/>
    <w:rsid w:val="00D60A3B"/>
    <w:rsid w:val="00D60DC1"/>
    <w:rsid w:val="00D611D0"/>
    <w:rsid w:val="00D61890"/>
    <w:rsid w:val="00D619AE"/>
    <w:rsid w:val="00D61AAB"/>
    <w:rsid w:val="00D61D0D"/>
    <w:rsid w:val="00D62039"/>
    <w:rsid w:val="00D62A69"/>
    <w:rsid w:val="00D632A7"/>
    <w:rsid w:val="00D635C7"/>
    <w:rsid w:val="00D63803"/>
    <w:rsid w:val="00D63E22"/>
    <w:rsid w:val="00D644F1"/>
    <w:rsid w:val="00D6538C"/>
    <w:rsid w:val="00D66600"/>
    <w:rsid w:val="00D668D6"/>
    <w:rsid w:val="00D6702A"/>
    <w:rsid w:val="00D67550"/>
    <w:rsid w:val="00D679B2"/>
    <w:rsid w:val="00D67A9A"/>
    <w:rsid w:val="00D67B8B"/>
    <w:rsid w:val="00D7050B"/>
    <w:rsid w:val="00D70A09"/>
    <w:rsid w:val="00D71930"/>
    <w:rsid w:val="00D729CB"/>
    <w:rsid w:val="00D72B05"/>
    <w:rsid w:val="00D733A1"/>
    <w:rsid w:val="00D7464D"/>
    <w:rsid w:val="00D74AB0"/>
    <w:rsid w:val="00D7685A"/>
    <w:rsid w:val="00D774B8"/>
    <w:rsid w:val="00D775FD"/>
    <w:rsid w:val="00D77E2C"/>
    <w:rsid w:val="00D8064C"/>
    <w:rsid w:val="00D82021"/>
    <w:rsid w:val="00D823A2"/>
    <w:rsid w:val="00D82870"/>
    <w:rsid w:val="00D82E10"/>
    <w:rsid w:val="00D83045"/>
    <w:rsid w:val="00D84484"/>
    <w:rsid w:val="00D84BA8"/>
    <w:rsid w:val="00D84D2B"/>
    <w:rsid w:val="00D85911"/>
    <w:rsid w:val="00D85DF4"/>
    <w:rsid w:val="00D862B2"/>
    <w:rsid w:val="00D86ED1"/>
    <w:rsid w:val="00D8761A"/>
    <w:rsid w:val="00D87FDD"/>
    <w:rsid w:val="00D913E2"/>
    <w:rsid w:val="00D92225"/>
    <w:rsid w:val="00D92F4F"/>
    <w:rsid w:val="00D93D6F"/>
    <w:rsid w:val="00D942A5"/>
    <w:rsid w:val="00D94DA2"/>
    <w:rsid w:val="00D94E20"/>
    <w:rsid w:val="00D961D9"/>
    <w:rsid w:val="00D962A1"/>
    <w:rsid w:val="00D96702"/>
    <w:rsid w:val="00D96F22"/>
    <w:rsid w:val="00DA096F"/>
    <w:rsid w:val="00DA0C71"/>
    <w:rsid w:val="00DA0C9C"/>
    <w:rsid w:val="00DA1432"/>
    <w:rsid w:val="00DA2415"/>
    <w:rsid w:val="00DA26F1"/>
    <w:rsid w:val="00DA2FC0"/>
    <w:rsid w:val="00DA3B89"/>
    <w:rsid w:val="00DA3E01"/>
    <w:rsid w:val="00DA512A"/>
    <w:rsid w:val="00DA59F8"/>
    <w:rsid w:val="00DA5D41"/>
    <w:rsid w:val="00DA7F5D"/>
    <w:rsid w:val="00DB0151"/>
    <w:rsid w:val="00DB0338"/>
    <w:rsid w:val="00DB0AC5"/>
    <w:rsid w:val="00DB1667"/>
    <w:rsid w:val="00DB1FCA"/>
    <w:rsid w:val="00DB332D"/>
    <w:rsid w:val="00DB34E7"/>
    <w:rsid w:val="00DB37A3"/>
    <w:rsid w:val="00DB4E19"/>
    <w:rsid w:val="00DB4EFE"/>
    <w:rsid w:val="00DB5F83"/>
    <w:rsid w:val="00DB757B"/>
    <w:rsid w:val="00DB7728"/>
    <w:rsid w:val="00DC10BC"/>
    <w:rsid w:val="00DC1D71"/>
    <w:rsid w:val="00DC3A2B"/>
    <w:rsid w:val="00DC41EA"/>
    <w:rsid w:val="00DC5424"/>
    <w:rsid w:val="00DC729D"/>
    <w:rsid w:val="00DD255F"/>
    <w:rsid w:val="00DD42C9"/>
    <w:rsid w:val="00DD453D"/>
    <w:rsid w:val="00DD4C0E"/>
    <w:rsid w:val="00DD5947"/>
    <w:rsid w:val="00DD5DB8"/>
    <w:rsid w:val="00DD5F43"/>
    <w:rsid w:val="00DD6465"/>
    <w:rsid w:val="00DD7752"/>
    <w:rsid w:val="00DE00BD"/>
    <w:rsid w:val="00DE0F80"/>
    <w:rsid w:val="00DE19BE"/>
    <w:rsid w:val="00DE2996"/>
    <w:rsid w:val="00DE2A52"/>
    <w:rsid w:val="00DE4967"/>
    <w:rsid w:val="00DE51AF"/>
    <w:rsid w:val="00DF0EB7"/>
    <w:rsid w:val="00DF1268"/>
    <w:rsid w:val="00DF187B"/>
    <w:rsid w:val="00DF1FAB"/>
    <w:rsid w:val="00DF2B09"/>
    <w:rsid w:val="00DF37FD"/>
    <w:rsid w:val="00DF54E8"/>
    <w:rsid w:val="00DF6500"/>
    <w:rsid w:val="00E0055B"/>
    <w:rsid w:val="00E0133B"/>
    <w:rsid w:val="00E01363"/>
    <w:rsid w:val="00E017B6"/>
    <w:rsid w:val="00E01CFA"/>
    <w:rsid w:val="00E0229A"/>
    <w:rsid w:val="00E03DB8"/>
    <w:rsid w:val="00E057BF"/>
    <w:rsid w:val="00E0594C"/>
    <w:rsid w:val="00E061F9"/>
    <w:rsid w:val="00E079F4"/>
    <w:rsid w:val="00E07CE8"/>
    <w:rsid w:val="00E10932"/>
    <w:rsid w:val="00E117FA"/>
    <w:rsid w:val="00E11868"/>
    <w:rsid w:val="00E1187D"/>
    <w:rsid w:val="00E1209C"/>
    <w:rsid w:val="00E12615"/>
    <w:rsid w:val="00E133AF"/>
    <w:rsid w:val="00E13438"/>
    <w:rsid w:val="00E1381A"/>
    <w:rsid w:val="00E13F7B"/>
    <w:rsid w:val="00E154C2"/>
    <w:rsid w:val="00E1698A"/>
    <w:rsid w:val="00E1745C"/>
    <w:rsid w:val="00E176EC"/>
    <w:rsid w:val="00E17966"/>
    <w:rsid w:val="00E17CDF"/>
    <w:rsid w:val="00E17D44"/>
    <w:rsid w:val="00E17EFC"/>
    <w:rsid w:val="00E203B7"/>
    <w:rsid w:val="00E20DA1"/>
    <w:rsid w:val="00E22830"/>
    <w:rsid w:val="00E22F3B"/>
    <w:rsid w:val="00E23533"/>
    <w:rsid w:val="00E24F62"/>
    <w:rsid w:val="00E257A2"/>
    <w:rsid w:val="00E258FF"/>
    <w:rsid w:val="00E25AC4"/>
    <w:rsid w:val="00E26FA0"/>
    <w:rsid w:val="00E26FE3"/>
    <w:rsid w:val="00E2725B"/>
    <w:rsid w:val="00E277CE"/>
    <w:rsid w:val="00E27E94"/>
    <w:rsid w:val="00E27F03"/>
    <w:rsid w:val="00E30975"/>
    <w:rsid w:val="00E31DB0"/>
    <w:rsid w:val="00E32B1F"/>
    <w:rsid w:val="00E3306E"/>
    <w:rsid w:val="00E3326E"/>
    <w:rsid w:val="00E334A5"/>
    <w:rsid w:val="00E338A6"/>
    <w:rsid w:val="00E33EDC"/>
    <w:rsid w:val="00E3450F"/>
    <w:rsid w:val="00E345AC"/>
    <w:rsid w:val="00E35557"/>
    <w:rsid w:val="00E35FCA"/>
    <w:rsid w:val="00E3605D"/>
    <w:rsid w:val="00E37477"/>
    <w:rsid w:val="00E3753E"/>
    <w:rsid w:val="00E40106"/>
    <w:rsid w:val="00E40F82"/>
    <w:rsid w:val="00E413BD"/>
    <w:rsid w:val="00E415C2"/>
    <w:rsid w:val="00E42C05"/>
    <w:rsid w:val="00E45C15"/>
    <w:rsid w:val="00E45CD1"/>
    <w:rsid w:val="00E464C3"/>
    <w:rsid w:val="00E46BD2"/>
    <w:rsid w:val="00E51564"/>
    <w:rsid w:val="00E51E12"/>
    <w:rsid w:val="00E528F2"/>
    <w:rsid w:val="00E52CAC"/>
    <w:rsid w:val="00E534BB"/>
    <w:rsid w:val="00E53C5B"/>
    <w:rsid w:val="00E53E36"/>
    <w:rsid w:val="00E54186"/>
    <w:rsid w:val="00E551DD"/>
    <w:rsid w:val="00E564FF"/>
    <w:rsid w:val="00E60A4D"/>
    <w:rsid w:val="00E620EB"/>
    <w:rsid w:val="00E62189"/>
    <w:rsid w:val="00E63347"/>
    <w:rsid w:val="00E6436E"/>
    <w:rsid w:val="00E6502F"/>
    <w:rsid w:val="00E657EF"/>
    <w:rsid w:val="00E65C2C"/>
    <w:rsid w:val="00E66831"/>
    <w:rsid w:val="00E66920"/>
    <w:rsid w:val="00E6777A"/>
    <w:rsid w:val="00E708B8"/>
    <w:rsid w:val="00E70B33"/>
    <w:rsid w:val="00E70E14"/>
    <w:rsid w:val="00E725AD"/>
    <w:rsid w:val="00E729FB"/>
    <w:rsid w:val="00E73179"/>
    <w:rsid w:val="00E73B9F"/>
    <w:rsid w:val="00E74130"/>
    <w:rsid w:val="00E74837"/>
    <w:rsid w:val="00E75481"/>
    <w:rsid w:val="00E7694F"/>
    <w:rsid w:val="00E7738D"/>
    <w:rsid w:val="00E775A0"/>
    <w:rsid w:val="00E7769E"/>
    <w:rsid w:val="00E77BB6"/>
    <w:rsid w:val="00E8104F"/>
    <w:rsid w:val="00E8336F"/>
    <w:rsid w:val="00E83B6C"/>
    <w:rsid w:val="00E83F8A"/>
    <w:rsid w:val="00E844CE"/>
    <w:rsid w:val="00E85F54"/>
    <w:rsid w:val="00E872D2"/>
    <w:rsid w:val="00E873D5"/>
    <w:rsid w:val="00E874C0"/>
    <w:rsid w:val="00E90ACA"/>
    <w:rsid w:val="00E91F17"/>
    <w:rsid w:val="00E94713"/>
    <w:rsid w:val="00E95123"/>
    <w:rsid w:val="00E95929"/>
    <w:rsid w:val="00E95E9B"/>
    <w:rsid w:val="00E962F1"/>
    <w:rsid w:val="00EA0553"/>
    <w:rsid w:val="00EA11F5"/>
    <w:rsid w:val="00EA2E55"/>
    <w:rsid w:val="00EA340C"/>
    <w:rsid w:val="00EA528C"/>
    <w:rsid w:val="00EA66D9"/>
    <w:rsid w:val="00EA6D5E"/>
    <w:rsid w:val="00EA79D2"/>
    <w:rsid w:val="00EA7DCC"/>
    <w:rsid w:val="00EB1000"/>
    <w:rsid w:val="00EB1E7C"/>
    <w:rsid w:val="00EB1EA9"/>
    <w:rsid w:val="00EB3617"/>
    <w:rsid w:val="00EB3F93"/>
    <w:rsid w:val="00EB660C"/>
    <w:rsid w:val="00EB7815"/>
    <w:rsid w:val="00EB7AA5"/>
    <w:rsid w:val="00EB7F55"/>
    <w:rsid w:val="00EC016A"/>
    <w:rsid w:val="00EC02C2"/>
    <w:rsid w:val="00EC0AFC"/>
    <w:rsid w:val="00EC1399"/>
    <w:rsid w:val="00EC1854"/>
    <w:rsid w:val="00EC316E"/>
    <w:rsid w:val="00EC4C0B"/>
    <w:rsid w:val="00EC4DF5"/>
    <w:rsid w:val="00EC5B43"/>
    <w:rsid w:val="00EC62A0"/>
    <w:rsid w:val="00EC6845"/>
    <w:rsid w:val="00EC6BB0"/>
    <w:rsid w:val="00EC6C3B"/>
    <w:rsid w:val="00EC6F7D"/>
    <w:rsid w:val="00EC6FBB"/>
    <w:rsid w:val="00EC767B"/>
    <w:rsid w:val="00EC7BAF"/>
    <w:rsid w:val="00ED17DA"/>
    <w:rsid w:val="00ED1AAE"/>
    <w:rsid w:val="00ED1D50"/>
    <w:rsid w:val="00ED1E4C"/>
    <w:rsid w:val="00ED26E6"/>
    <w:rsid w:val="00ED298C"/>
    <w:rsid w:val="00ED29A6"/>
    <w:rsid w:val="00ED32C5"/>
    <w:rsid w:val="00ED372A"/>
    <w:rsid w:val="00ED4418"/>
    <w:rsid w:val="00ED4AE3"/>
    <w:rsid w:val="00ED5008"/>
    <w:rsid w:val="00ED523D"/>
    <w:rsid w:val="00ED5CB5"/>
    <w:rsid w:val="00ED669A"/>
    <w:rsid w:val="00ED7013"/>
    <w:rsid w:val="00ED75D2"/>
    <w:rsid w:val="00EE0545"/>
    <w:rsid w:val="00EE0A26"/>
    <w:rsid w:val="00EE0D9B"/>
    <w:rsid w:val="00EE19F9"/>
    <w:rsid w:val="00EE1AF0"/>
    <w:rsid w:val="00EE1E2B"/>
    <w:rsid w:val="00EE1EFC"/>
    <w:rsid w:val="00EE3054"/>
    <w:rsid w:val="00EE41DB"/>
    <w:rsid w:val="00EE4716"/>
    <w:rsid w:val="00EE4FC5"/>
    <w:rsid w:val="00EE61A4"/>
    <w:rsid w:val="00EE6EB7"/>
    <w:rsid w:val="00EE7B03"/>
    <w:rsid w:val="00EF0954"/>
    <w:rsid w:val="00EF2340"/>
    <w:rsid w:val="00EF3067"/>
    <w:rsid w:val="00EF3A51"/>
    <w:rsid w:val="00EF51FA"/>
    <w:rsid w:val="00EF6F58"/>
    <w:rsid w:val="00F00316"/>
    <w:rsid w:val="00F006BC"/>
    <w:rsid w:val="00F00722"/>
    <w:rsid w:val="00F01019"/>
    <w:rsid w:val="00F01320"/>
    <w:rsid w:val="00F01AC6"/>
    <w:rsid w:val="00F01BD6"/>
    <w:rsid w:val="00F03BFD"/>
    <w:rsid w:val="00F049D3"/>
    <w:rsid w:val="00F05F32"/>
    <w:rsid w:val="00F0783D"/>
    <w:rsid w:val="00F07BFB"/>
    <w:rsid w:val="00F07DCD"/>
    <w:rsid w:val="00F10810"/>
    <w:rsid w:val="00F11581"/>
    <w:rsid w:val="00F12FCC"/>
    <w:rsid w:val="00F131D7"/>
    <w:rsid w:val="00F14B9B"/>
    <w:rsid w:val="00F16290"/>
    <w:rsid w:val="00F168E0"/>
    <w:rsid w:val="00F21111"/>
    <w:rsid w:val="00F21826"/>
    <w:rsid w:val="00F221BA"/>
    <w:rsid w:val="00F224DF"/>
    <w:rsid w:val="00F2276E"/>
    <w:rsid w:val="00F22C54"/>
    <w:rsid w:val="00F23A9F"/>
    <w:rsid w:val="00F23B2E"/>
    <w:rsid w:val="00F23E82"/>
    <w:rsid w:val="00F23F73"/>
    <w:rsid w:val="00F24E0A"/>
    <w:rsid w:val="00F2642D"/>
    <w:rsid w:val="00F266FB"/>
    <w:rsid w:val="00F2764F"/>
    <w:rsid w:val="00F27B51"/>
    <w:rsid w:val="00F30535"/>
    <w:rsid w:val="00F305C8"/>
    <w:rsid w:val="00F309A7"/>
    <w:rsid w:val="00F32498"/>
    <w:rsid w:val="00F32806"/>
    <w:rsid w:val="00F3317E"/>
    <w:rsid w:val="00F33724"/>
    <w:rsid w:val="00F33B40"/>
    <w:rsid w:val="00F33E85"/>
    <w:rsid w:val="00F33FAB"/>
    <w:rsid w:val="00F34782"/>
    <w:rsid w:val="00F34A51"/>
    <w:rsid w:val="00F35B4F"/>
    <w:rsid w:val="00F3654B"/>
    <w:rsid w:val="00F37351"/>
    <w:rsid w:val="00F373AA"/>
    <w:rsid w:val="00F40291"/>
    <w:rsid w:val="00F405E0"/>
    <w:rsid w:val="00F410CD"/>
    <w:rsid w:val="00F43F4D"/>
    <w:rsid w:val="00F444FA"/>
    <w:rsid w:val="00F44893"/>
    <w:rsid w:val="00F454D7"/>
    <w:rsid w:val="00F45677"/>
    <w:rsid w:val="00F45EC8"/>
    <w:rsid w:val="00F46B63"/>
    <w:rsid w:val="00F46E49"/>
    <w:rsid w:val="00F47F1B"/>
    <w:rsid w:val="00F50696"/>
    <w:rsid w:val="00F50708"/>
    <w:rsid w:val="00F50813"/>
    <w:rsid w:val="00F50D59"/>
    <w:rsid w:val="00F51831"/>
    <w:rsid w:val="00F51BEF"/>
    <w:rsid w:val="00F522B3"/>
    <w:rsid w:val="00F52769"/>
    <w:rsid w:val="00F53708"/>
    <w:rsid w:val="00F53860"/>
    <w:rsid w:val="00F539B2"/>
    <w:rsid w:val="00F5441F"/>
    <w:rsid w:val="00F55F27"/>
    <w:rsid w:val="00F5682A"/>
    <w:rsid w:val="00F572F0"/>
    <w:rsid w:val="00F575BF"/>
    <w:rsid w:val="00F57731"/>
    <w:rsid w:val="00F60605"/>
    <w:rsid w:val="00F608D3"/>
    <w:rsid w:val="00F610D5"/>
    <w:rsid w:val="00F616BF"/>
    <w:rsid w:val="00F61E53"/>
    <w:rsid w:val="00F62235"/>
    <w:rsid w:val="00F62885"/>
    <w:rsid w:val="00F62F93"/>
    <w:rsid w:val="00F63A13"/>
    <w:rsid w:val="00F644A2"/>
    <w:rsid w:val="00F64692"/>
    <w:rsid w:val="00F655CA"/>
    <w:rsid w:val="00F65E73"/>
    <w:rsid w:val="00F67948"/>
    <w:rsid w:val="00F7011E"/>
    <w:rsid w:val="00F7071F"/>
    <w:rsid w:val="00F70CC5"/>
    <w:rsid w:val="00F71338"/>
    <w:rsid w:val="00F71C70"/>
    <w:rsid w:val="00F7247C"/>
    <w:rsid w:val="00F7365A"/>
    <w:rsid w:val="00F73A9F"/>
    <w:rsid w:val="00F73EF3"/>
    <w:rsid w:val="00F73F49"/>
    <w:rsid w:val="00F74474"/>
    <w:rsid w:val="00F74A64"/>
    <w:rsid w:val="00F75DE6"/>
    <w:rsid w:val="00F75DF2"/>
    <w:rsid w:val="00F76C22"/>
    <w:rsid w:val="00F777BD"/>
    <w:rsid w:val="00F77C38"/>
    <w:rsid w:val="00F80A23"/>
    <w:rsid w:val="00F81D14"/>
    <w:rsid w:val="00F823C1"/>
    <w:rsid w:val="00F839FF"/>
    <w:rsid w:val="00F86645"/>
    <w:rsid w:val="00F86B0E"/>
    <w:rsid w:val="00F8768A"/>
    <w:rsid w:val="00F911F8"/>
    <w:rsid w:val="00F913E3"/>
    <w:rsid w:val="00F93866"/>
    <w:rsid w:val="00F93B0A"/>
    <w:rsid w:val="00F93C34"/>
    <w:rsid w:val="00F94113"/>
    <w:rsid w:val="00F94C76"/>
    <w:rsid w:val="00F94EAF"/>
    <w:rsid w:val="00F9558F"/>
    <w:rsid w:val="00F95DD9"/>
    <w:rsid w:val="00F96A8B"/>
    <w:rsid w:val="00F96AD5"/>
    <w:rsid w:val="00F96BBC"/>
    <w:rsid w:val="00F97698"/>
    <w:rsid w:val="00FA096D"/>
    <w:rsid w:val="00FA162A"/>
    <w:rsid w:val="00FA34DA"/>
    <w:rsid w:val="00FA5924"/>
    <w:rsid w:val="00FA7F67"/>
    <w:rsid w:val="00FB1776"/>
    <w:rsid w:val="00FB208B"/>
    <w:rsid w:val="00FB30F4"/>
    <w:rsid w:val="00FB3CED"/>
    <w:rsid w:val="00FB3E24"/>
    <w:rsid w:val="00FB4D80"/>
    <w:rsid w:val="00FB4FD0"/>
    <w:rsid w:val="00FB5950"/>
    <w:rsid w:val="00FB6595"/>
    <w:rsid w:val="00FB69D6"/>
    <w:rsid w:val="00FB7580"/>
    <w:rsid w:val="00FC00FD"/>
    <w:rsid w:val="00FC0455"/>
    <w:rsid w:val="00FC0E29"/>
    <w:rsid w:val="00FC15C0"/>
    <w:rsid w:val="00FC1715"/>
    <w:rsid w:val="00FC17AA"/>
    <w:rsid w:val="00FC1A5B"/>
    <w:rsid w:val="00FC3CCD"/>
    <w:rsid w:val="00FC3D0C"/>
    <w:rsid w:val="00FC456C"/>
    <w:rsid w:val="00FC4E85"/>
    <w:rsid w:val="00FC4EB6"/>
    <w:rsid w:val="00FC5BD1"/>
    <w:rsid w:val="00FC614E"/>
    <w:rsid w:val="00FC6457"/>
    <w:rsid w:val="00FC7A8F"/>
    <w:rsid w:val="00FC7EA8"/>
    <w:rsid w:val="00FD06C4"/>
    <w:rsid w:val="00FD1A84"/>
    <w:rsid w:val="00FD2B7F"/>
    <w:rsid w:val="00FD2C25"/>
    <w:rsid w:val="00FD30EE"/>
    <w:rsid w:val="00FD31F7"/>
    <w:rsid w:val="00FD3322"/>
    <w:rsid w:val="00FD43BE"/>
    <w:rsid w:val="00FD4E94"/>
    <w:rsid w:val="00FD5D8A"/>
    <w:rsid w:val="00FD7372"/>
    <w:rsid w:val="00FD7DF5"/>
    <w:rsid w:val="00FE067B"/>
    <w:rsid w:val="00FE0AFA"/>
    <w:rsid w:val="00FE0BF8"/>
    <w:rsid w:val="00FE12D2"/>
    <w:rsid w:val="00FE14DE"/>
    <w:rsid w:val="00FE1B4A"/>
    <w:rsid w:val="00FE1ECE"/>
    <w:rsid w:val="00FE4926"/>
    <w:rsid w:val="00FE673C"/>
    <w:rsid w:val="00FE7183"/>
    <w:rsid w:val="00FF048B"/>
    <w:rsid w:val="00FF0521"/>
    <w:rsid w:val="00FF063F"/>
    <w:rsid w:val="00FF09B9"/>
    <w:rsid w:val="00FF10BE"/>
    <w:rsid w:val="00FF1747"/>
    <w:rsid w:val="00FF1CB2"/>
    <w:rsid w:val="00FF3797"/>
    <w:rsid w:val="00FF444A"/>
    <w:rsid w:val="00FF5492"/>
    <w:rsid w:val="00FF65CB"/>
    <w:rsid w:val="00FF6644"/>
    <w:rsid w:val="00FF6DCE"/>
    <w:rsid w:val="00FF6E42"/>
    <w:rsid w:val="00FF75BD"/>
    <w:rsid w:val="00FF77DF"/>
    <w:rsid w:val="00FF797B"/>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caption" w:qFormat="1"/>
    <w:lsdException w:name="footnote reference" w:uiPriority="99" w:qFormat="1"/>
    <w:lsdException w:name="annotation reference" w:uiPriority="99"/>
    <w:lsdException w:name="page number" w:uiPriority="99"/>
    <w:lsdException w:name="Title" w:qFormat="1"/>
    <w:lsdException w:name="Subtitle" w:uiPriority="11" w:qFormat="1"/>
    <w:lsdException w:name="Body Text 2" w:uiPriority="99"/>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600"/>
    <w:pPr>
      <w:jc w:val="both"/>
    </w:pPr>
    <w:rPr>
      <w:rFonts w:cs="Angsana New"/>
      <w:sz w:val="22"/>
      <w:szCs w:val="24"/>
      <w:lang w:val="en-GB" w:eastAsia="en-US"/>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4E0F"/>
    <w:rPr>
      <w:sz w:val="18"/>
      <w:u w:val="single"/>
      <w:vertAlign w:val="baseline"/>
    </w:rPr>
  </w:style>
  <w:style w:type="character" w:styleId="PageNumber">
    <w:name w:val="page number"/>
    <w:uiPriority w:val="99"/>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rsid w:val="001D1484"/>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rPr>
      <w:rFonts w:cs="Times New Roman"/>
    </w:rPr>
  </w:style>
  <w:style w:type="paragraph" w:styleId="Footer">
    <w:name w:val="footer"/>
    <w:basedOn w:val="Normal"/>
    <w:link w:val="FooterChar"/>
    <w:rsid w:val="00424E0F"/>
    <w:pPr>
      <w:tabs>
        <w:tab w:val="center" w:pos="4320"/>
        <w:tab w:val="right" w:pos="8640"/>
      </w:tabs>
      <w:ind w:firstLine="720"/>
      <w:jc w:val="right"/>
    </w:pPr>
    <w:rPr>
      <w:rFonts w:cs="Times New Roman"/>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rFonts w:cs="Times New Roman"/>
      <w:sz w:val="18"/>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rsid w:val="001D1484"/>
    <w:pPr>
      <w:ind w:left="1080" w:hanging="360"/>
    </w:pPr>
    <w:rPr>
      <w:rFonts w:ascii="Courier" w:hAnsi="Courier"/>
      <w:sz w:val="20"/>
    </w:rPr>
  </w:style>
  <w:style w:type="paragraph" w:customStyle="1" w:styleId="BodyText21">
    <w:name w:val="Body Text 21"/>
    <w:basedOn w:val="Normal"/>
    <w:rsid w:val="001D1484"/>
  </w:style>
  <w:style w:type="paragraph" w:styleId="BlockText">
    <w:name w:val="Block Text"/>
    <w:basedOn w:val="Normal"/>
    <w:rsid w:val="001D1484"/>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rsid w:val="001D1484"/>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rsid w:val="00424E0F"/>
    <w:pPr>
      <w:spacing w:before="120" w:after="120"/>
      <w:ind w:left="1440" w:hanging="720"/>
      <w:jc w:val="left"/>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rsid w:val="001D1484"/>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jc w:val="left"/>
    </w:pPr>
  </w:style>
  <w:style w:type="paragraph" w:customStyle="1" w:styleId="Para1">
    <w:name w:val="Para1"/>
    <w:basedOn w:val="Normal"/>
    <w:link w:val="Para1Char1"/>
    <w:rsid w:val="00424E0F"/>
    <w:pPr>
      <w:spacing w:after="120"/>
    </w:pPr>
    <w:rPr>
      <w:rFonts w:cs="Times New Roman"/>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rsid w:val="001D1484"/>
  </w:style>
  <w:style w:type="paragraph" w:customStyle="1" w:styleId="Heading4indent">
    <w:name w:val="Heading 4 indent"/>
    <w:basedOn w:val="Heading4"/>
    <w:rsid w:val="001D1484"/>
    <w:pPr>
      <w:ind w:left="720"/>
    </w:pPr>
  </w:style>
  <w:style w:type="paragraph" w:styleId="PlainText">
    <w:name w:val="Plain Text"/>
    <w:basedOn w:val="Normal"/>
    <w:link w:val="PlainTextChar"/>
    <w:uiPriority w:val="99"/>
    <w:rsid w:val="001D1484"/>
    <w:rPr>
      <w:rFonts w:ascii="Courier New" w:hAnsi="Courier New" w:cs="Times New Roman"/>
      <w:sz w:val="20"/>
    </w:rPr>
  </w:style>
  <w:style w:type="paragraph" w:customStyle="1" w:styleId="xl24">
    <w:name w:val="xl24"/>
    <w:basedOn w:val="Normal"/>
    <w:rsid w:val="001D1484"/>
    <w:pPr>
      <w:spacing w:before="100" w:beforeAutospacing="1" w:after="100" w:afterAutospacing="1"/>
    </w:pPr>
    <w:rPr>
      <w:rFonts w:eastAsia="Arial Unicode MS"/>
      <w:b/>
      <w:bCs/>
      <w:szCs w:val="22"/>
    </w:rPr>
  </w:style>
  <w:style w:type="paragraph" w:customStyle="1" w:styleId="xl25">
    <w:name w:val="xl25"/>
    <w:basedOn w:val="Normal"/>
    <w:rsid w:val="001D1484"/>
    <w:pPr>
      <w:spacing w:before="100" w:beforeAutospacing="1" w:after="100" w:afterAutospacing="1"/>
    </w:pPr>
    <w:rPr>
      <w:rFonts w:eastAsia="Arial Unicode MS"/>
      <w:b/>
      <w:bCs/>
      <w:szCs w:val="22"/>
    </w:rPr>
  </w:style>
  <w:style w:type="paragraph" w:customStyle="1" w:styleId="xl26">
    <w:name w:val="xl26"/>
    <w:basedOn w:val="Normal"/>
    <w:rsid w:val="001D1484"/>
    <w:pPr>
      <w:spacing w:before="100" w:beforeAutospacing="1" w:after="100" w:afterAutospacing="1"/>
      <w:jc w:val="center"/>
    </w:pPr>
    <w:rPr>
      <w:rFonts w:eastAsia="Arial Unicode MS"/>
      <w:b/>
      <w:bCs/>
      <w:szCs w:val="22"/>
    </w:rPr>
  </w:style>
  <w:style w:type="paragraph" w:customStyle="1" w:styleId="xl27">
    <w:name w:val="xl27"/>
    <w:basedOn w:val="Normal"/>
    <w:rsid w:val="001D1484"/>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rsid w:val="001D1484"/>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rsid w:val="001D1484"/>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rsid w:val="001D1484"/>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rsid w:val="001D1484"/>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rsid w:val="001D1484"/>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rsid w:val="001D1484"/>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rsid w:val="001D1484"/>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rsid w:val="001D1484"/>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rsid w:val="001D1484"/>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rsid w:val="001D1484"/>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rsid w:val="001D1484"/>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rsid w:val="001D1484"/>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rsid w:val="001D1484"/>
    <w:pPr>
      <w:spacing w:before="100" w:beforeAutospacing="1" w:after="100" w:afterAutospacing="1"/>
      <w:jc w:val="center"/>
      <w:textAlignment w:val="top"/>
    </w:pPr>
    <w:rPr>
      <w:rFonts w:eastAsia="Arial Unicode MS"/>
      <w:szCs w:val="22"/>
    </w:rPr>
  </w:style>
  <w:style w:type="paragraph" w:customStyle="1" w:styleId="xl41">
    <w:name w:val="xl41"/>
    <w:basedOn w:val="Normal"/>
    <w:rsid w:val="001D1484"/>
    <w:pPr>
      <w:spacing w:before="100" w:beforeAutospacing="1" w:after="100" w:afterAutospacing="1"/>
      <w:textAlignment w:val="top"/>
    </w:pPr>
    <w:rPr>
      <w:rFonts w:eastAsia="Arial Unicode MS"/>
      <w:szCs w:val="22"/>
    </w:rPr>
  </w:style>
  <w:style w:type="paragraph" w:customStyle="1" w:styleId="xl42">
    <w:name w:val="xl42"/>
    <w:basedOn w:val="Normal"/>
    <w:rsid w:val="001D1484"/>
    <w:pPr>
      <w:spacing w:before="100" w:beforeAutospacing="1" w:after="100" w:afterAutospacing="1"/>
      <w:jc w:val="center"/>
    </w:pPr>
    <w:rPr>
      <w:rFonts w:eastAsia="Arial Unicode MS"/>
      <w:szCs w:val="22"/>
    </w:rPr>
  </w:style>
  <w:style w:type="paragraph" w:customStyle="1" w:styleId="xl43">
    <w:name w:val="xl43"/>
    <w:basedOn w:val="Normal"/>
    <w:rsid w:val="001D1484"/>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rsid w:val="001D1484"/>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rsid w:val="001D1484"/>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rsid w:val="001D1484"/>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rsid w:val="001D1484"/>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rsid w:val="001D1484"/>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rsid w:val="001D1484"/>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rsid w:val="001D1484"/>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rsid w:val="001D1484"/>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rsid w:val="001D1484"/>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rsid w:val="001D1484"/>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rsid w:val="001D1484"/>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rsid w:val="001D1484"/>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rsid w:val="001D1484"/>
    <w:pPr>
      <w:spacing w:before="100" w:beforeAutospacing="1" w:after="100" w:afterAutospacing="1"/>
    </w:pPr>
    <w:rPr>
      <w:rFonts w:eastAsia="Arial Unicode MS"/>
      <w:szCs w:val="22"/>
    </w:rPr>
  </w:style>
  <w:style w:type="paragraph" w:customStyle="1" w:styleId="xl57">
    <w:name w:val="xl57"/>
    <w:basedOn w:val="Normal"/>
    <w:rsid w:val="001D1484"/>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rsid w:val="001D148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rsid w:val="001D1484"/>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rsid w:val="001D1484"/>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rsid w:val="001D1484"/>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rsid w:val="001D1484"/>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rsid w:val="001D1484"/>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rsid w:val="001D1484"/>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rsid w:val="001D1484"/>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rsid w:val="001D1484"/>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rsid w:val="001D1484"/>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rsid w:val="001D148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rsid w:val="001D1484"/>
    <w:pPr>
      <w:widowControl w:val="0"/>
      <w:tabs>
        <w:tab w:val="left" w:pos="720"/>
      </w:tabs>
      <w:spacing w:before="120" w:after="120"/>
    </w:pPr>
  </w:style>
  <w:style w:type="paragraph" w:styleId="NormalWeb">
    <w:name w:val="Normal (Web)"/>
    <w:basedOn w:val="Normal"/>
    <w:uiPriority w:val="99"/>
    <w:rsid w:val="00424E0F"/>
    <w:pPr>
      <w:spacing w:before="100" w:beforeAutospacing="1" w:after="100" w:afterAutospacing="1"/>
      <w:jc w:val="left"/>
    </w:pPr>
    <w:rPr>
      <w:rFonts w:ascii="Verdana" w:hAnsi="Verdana"/>
      <w:color w:val="000000"/>
      <w:sz w:val="18"/>
      <w:szCs w:val="18"/>
      <w:lang w:val="en-US"/>
    </w:rPr>
  </w:style>
  <w:style w:type="paragraph" w:customStyle="1" w:styleId="Para-decision">
    <w:name w:val="Para-decision"/>
    <w:basedOn w:val="Normal"/>
    <w:rsid w:val="001D148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rsid w:val="00424E0F"/>
    <w:rPr>
      <w:color w:val="800080"/>
      <w:u w:val="single"/>
    </w:rPr>
  </w:style>
  <w:style w:type="paragraph" w:customStyle="1" w:styleId="xl22">
    <w:name w:val="xl22"/>
    <w:basedOn w:val="Normal"/>
    <w:rsid w:val="001D14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1D14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1D1484"/>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link w:val="SubtitleChar"/>
    <w:uiPriority w:val="11"/>
    <w:qFormat/>
    <w:rsid w:val="001D1484"/>
    <w:rPr>
      <w:rFonts w:cs="Times New Roman"/>
      <w:b/>
      <w:bCs/>
    </w:rPr>
  </w:style>
  <w:style w:type="character" w:styleId="Strong">
    <w:name w:val="Strong"/>
    <w:qFormat/>
    <w:rsid w:val="00424E0F"/>
    <w:rPr>
      <w:b/>
      <w:bCs/>
    </w:rPr>
  </w:style>
  <w:style w:type="paragraph" w:customStyle="1" w:styleId="Para10">
    <w:name w:val="Para 1"/>
    <w:basedOn w:val="BodyText"/>
    <w:rsid w:val="00424E0F"/>
    <w:pPr>
      <w:ind w:firstLine="0"/>
    </w:pPr>
    <w:rPr>
      <w:bCs/>
      <w:iCs w:val="0"/>
      <w:szCs w:val="22"/>
    </w:rPr>
  </w:style>
  <w:style w:type="paragraph" w:customStyle="1" w:styleId="Style1">
    <w:name w:val="Style1"/>
    <w:basedOn w:val="Para10"/>
    <w:rsid w:val="001D1484"/>
    <w:pPr>
      <w:numPr>
        <w:ilvl w:val="1"/>
        <w:numId w:val="2"/>
      </w:numPr>
      <w:tabs>
        <w:tab w:val="clear" w:pos="1800"/>
        <w:tab w:val="num" w:pos="360"/>
      </w:tabs>
    </w:pPr>
  </w:style>
  <w:style w:type="paragraph" w:customStyle="1" w:styleId="aident">
    <w:name w:val="(a) ident"/>
    <w:basedOn w:val="Normal"/>
    <w:rsid w:val="001D1484"/>
    <w:pPr>
      <w:numPr>
        <w:numId w:val="3"/>
      </w:numPr>
      <w:autoSpaceDE w:val="0"/>
      <w:autoSpaceDN w:val="0"/>
      <w:spacing w:before="120" w:after="120"/>
    </w:pPr>
    <w:rPr>
      <w:snapToGrid w:val="0"/>
      <w:szCs w:val="18"/>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rsid w:val="001D1484"/>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rsid w:val="001D1484"/>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rsid w:val="001D1484"/>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rsid w:val="001D1484"/>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rsid w:val="001D1484"/>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rsid w:val="001D1484"/>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rsid w:val="001D1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rsid w:val="001D1484"/>
    <w:pPr>
      <w:numPr>
        <w:numId w:val="4"/>
      </w:numPr>
      <w:spacing w:before="120" w:after="120"/>
    </w:pPr>
    <w:rPr>
      <w:snapToGrid w:val="0"/>
      <w:szCs w:val="18"/>
    </w:rPr>
  </w:style>
  <w:style w:type="paragraph" w:customStyle="1" w:styleId="MainParanoChapter">
    <w:name w:val="Main Para no Chapter #"/>
    <w:basedOn w:val="Normal"/>
    <w:rsid w:val="001D1484"/>
    <w:pPr>
      <w:tabs>
        <w:tab w:val="left" w:pos="810"/>
      </w:tabs>
      <w:overflowPunct w:val="0"/>
      <w:autoSpaceDE w:val="0"/>
      <w:autoSpaceDN w:val="0"/>
      <w:adjustRightInd w:val="0"/>
      <w:spacing w:after="240"/>
      <w:textAlignment w:val="baseline"/>
    </w:pPr>
  </w:style>
  <w:style w:type="character" w:customStyle="1" w:styleId="content1">
    <w:name w:val="content1"/>
    <w:rsid w:val="001D1484"/>
    <w:rPr>
      <w:rFonts w:ascii="Arial" w:hAnsi="Arial" w:cs="Arial" w:hint="default"/>
      <w:b w:val="0"/>
      <w:bCs w:val="0"/>
      <w:color w:val="000000"/>
      <w:sz w:val="24"/>
      <w:szCs w:val="24"/>
    </w:rPr>
  </w:style>
  <w:style w:type="character" w:styleId="CommentReference">
    <w:name w:val="annotation reference"/>
    <w:uiPriority w:val="99"/>
    <w:rsid w:val="001D1484"/>
    <w:rPr>
      <w:sz w:val="16"/>
      <w:szCs w:val="16"/>
    </w:rPr>
  </w:style>
  <w:style w:type="paragraph" w:styleId="CommentText">
    <w:name w:val="annotation text"/>
    <w:basedOn w:val="Normal"/>
    <w:link w:val="CommentTextChar"/>
    <w:uiPriority w:val="99"/>
    <w:rsid w:val="001D1484"/>
    <w:rPr>
      <w:rFonts w:cs="Times New Roman"/>
      <w:sz w:val="20"/>
    </w:rPr>
  </w:style>
  <w:style w:type="character" w:customStyle="1" w:styleId="BodyText2Char">
    <w:name w:val="Body Text 2 Char"/>
    <w:uiPriority w:val="99"/>
    <w:rsid w:val="001D1484"/>
    <w:rPr>
      <w:sz w:val="22"/>
      <w:lang w:val="en-US" w:eastAsia="en-US" w:bidi="ar-SA"/>
    </w:rPr>
  </w:style>
  <w:style w:type="character" w:customStyle="1" w:styleId="BodyText2CharCharChar">
    <w:name w:val="Body Text 2 Char Char Char"/>
    <w:rsid w:val="001D1484"/>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1D1484"/>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sid w:val="001D1484"/>
    <w:rPr>
      <w:b/>
      <w:bCs/>
      <w:i/>
      <w:iCs/>
      <w:sz w:val="22"/>
      <w:szCs w:val="24"/>
      <w:lang w:val="en-GB" w:eastAsia="en-US" w:bidi="ar-SA"/>
    </w:rPr>
  </w:style>
  <w:style w:type="paragraph" w:customStyle="1" w:styleId="subhead">
    <w:name w:val="subhead"/>
    <w:basedOn w:val="Normal"/>
    <w:next w:val="Para1"/>
    <w:rsid w:val="001D1484"/>
    <w:pPr>
      <w:spacing w:before="120" w:after="120"/>
      <w:jc w:val="center"/>
    </w:pPr>
    <w:rPr>
      <w:i/>
    </w:rPr>
  </w:style>
  <w:style w:type="character" w:styleId="Emphasis">
    <w:name w:val="Emphasis"/>
    <w:qFormat/>
    <w:rsid w:val="001D1484"/>
    <w:rPr>
      <w:i/>
      <w:iCs/>
    </w:rPr>
  </w:style>
  <w:style w:type="character" w:customStyle="1" w:styleId="BlockTextChar">
    <w:name w:val="Block Text Char"/>
    <w:rsid w:val="001D1484"/>
    <w:rPr>
      <w:sz w:val="24"/>
      <w:szCs w:val="24"/>
      <w:lang w:val="en-US" w:eastAsia="en-US" w:bidi="ar-SA"/>
    </w:rPr>
  </w:style>
  <w:style w:type="paragraph" w:customStyle="1" w:styleId="bodytext210">
    <w:name w:val="bodytext21"/>
    <w:basedOn w:val="Normal"/>
    <w:rsid w:val="001D1484"/>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1D1484"/>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jc w:val="left"/>
    </w:pPr>
    <w:rPr>
      <w:noProof/>
      <w:szCs w:val="22"/>
    </w:rPr>
  </w:style>
  <w:style w:type="paragraph" w:styleId="CommentSubject">
    <w:name w:val="annotation subject"/>
    <w:basedOn w:val="CommentText"/>
    <w:next w:val="CommentText"/>
    <w:semiHidden/>
    <w:rsid w:val="001D1484"/>
    <w:rPr>
      <w:b/>
      <w:bCs/>
    </w:rPr>
  </w:style>
  <w:style w:type="character" w:customStyle="1" w:styleId="MathieuRgnier">
    <w:name w:val="Mathieu Régnier"/>
    <w:semiHidden/>
    <w:rsid w:val="001D1484"/>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lang w:val="en-US"/>
    </w:rPr>
  </w:style>
  <w:style w:type="paragraph" w:customStyle="1" w:styleId="Para40">
    <w:name w:val="Para4"/>
    <w:basedOn w:val="Para3"/>
    <w:rsid w:val="00424E0F"/>
    <w:p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Heading1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jc w:val="left"/>
    </w:pPr>
    <w:rPr>
      <w:rFonts w:eastAsia="Calibri" w:cs="Times New Roman"/>
      <w:color w:val="000000"/>
      <w:sz w:val="24"/>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lang w:val="en-US" w:eastAsia="en-US"/>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eastAsia="en-US"/>
    </w:rPr>
  </w:style>
  <w:style w:type="paragraph" w:customStyle="1" w:styleId="ColorfulGrid-Accent62">
    <w:name w:val="Colorful Grid - Accent 62"/>
    <w:hidden/>
    <w:uiPriority w:val="99"/>
    <w:semiHidden/>
    <w:rsid w:val="00023D05"/>
    <w:rPr>
      <w:rFonts w:cs="Angsana New"/>
      <w:sz w:val="22"/>
      <w:szCs w:val="24"/>
      <w:lang w:val="en-GB" w:eastAsia="en-US"/>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eastAsia="en-US"/>
    </w:rPr>
  </w:style>
  <w:style w:type="paragraph" w:customStyle="1" w:styleId="meetingname">
    <w:name w:val="meeting name"/>
    <w:basedOn w:val="Normal"/>
    <w:qFormat/>
    <w:rsid w:val="00AD1731"/>
    <w:pPr>
      <w:ind w:left="170" w:right="3119" w:hanging="170"/>
      <w:jc w:val="left"/>
    </w:pPr>
    <w:rPr>
      <w:rFonts w:eastAsia="Malgun Gothic" w:cs="Times New Roman"/>
      <w:caps/>
      <w:snapToGrid w:val="0"/>
    </w:rPr>
  </w:style>
  <w:style w:type="paragraph" w:styleId="TOC9">
    <w:name w:val="toc 9"/>
    <w:basedOn w:val="Normal"/>
    <w:next w:val="Normal"/>
    <w:autoRedefine/>
    <w:rsid w:val="001416C5"/>
    <w:pPr>
      <w:tabs>
        <w:tab w:val="num" w:pos="1440"/>
      </w:tabs>
      <w:spacing w:before="120" w:after="120"/>
      <w:ind w:left="1440" w:hanging="360"/>
      <w:jc w:val="left"/>
    </w:pPr>
    <w:rPr>
      <w:rFonts w:eastAsia="Times New Roman" w:cs="Times New Roman"/>
    </w:rPr>
  </w:style>
  <w:style w:type="paragraph" w:styleId="ListParagraph">
    <w:name w:val="List Paragraph"/>
    <w:basedOn w:val="Normal"/>
    <w:uiPriority w:val="34"/>
    <w:qFormat/>
    <w:rsid w:val="0098127B"/>
    <w:pPr>
      <w:ind w:left="720"/>
    </w:pPr>
  </w:style>
  <w:style w:type="character" w:customStyle="1" w:styleId="CommentTextChar">
    <w:name w:val="Comment Text Char"/>
    <w:link w:val="CommentText"/>
    <w:uiPriority w:val="99"/>
    <w:rsid w:val="00FD31F7"/>
    <w:rPr>
      <w:rFonts w:cs="Angsana New"/>
      <w:szCs w:val="24"/>
      <w:lang w:val="en-GB"/>
    </w:rPr>
  </w:style>
  <w:style w:type="paragraph" w:customStyle="1" w:styleId="CBD-Para">
    <w:name w:val="CBD-Para"/>
    <w:basedOn w:val="Normal"/>
    <w:link w:val="CBD-ParaCharChar"/>
    <w:rsid w:val="00F23E82"/>
    <w:pPr>
      <w:keepLines/>
      <w:numPr>
        <w:numId w:val="15"/>
      </w:numPr>
      <w:spacing w:before="120" w:after="120"/>
    </w:pPr>
    <w:rPr>
      <w:rFonts w:eastAsia="Times New Roman" w:cs="Times New Roman"/>
      <w:szCs w:val="22"/>
    </w:rPr>
  </w:style>
  <w:style w:type="character" w:customStyle="1" w:styleId="CBD-ParaCharChar">
    <w:name w:val="CBD-Para Char Char"/>
    <w:link w:val="CBD-Para"/>
    <w:rsid w:val="00F23E82"/>
    <w:rPr>
      <w:rFonts w:eastAsia="Times New Roman"/>
      <w:sz w:val="22"/>
      <w:szCs w:val="22"/>
    </w:rPr>
  </w:style>
  <w:style w:type="paragraph" w:customStyle="1" w:styleId="CBD-Para-a">
    <w:name w:val="CBD-Para-a"/>
    <w:basedOn w:val="CBD-Para"/>
    <w:rsid w:val="00F23E82"/>
    <w:pPr>
      <w:numPr>
        <w:ilvl w:val="1"/>
      </w:numPr>
      <w:spacing w:before="60" w:after="60"/>
    </w:pPr>
  </w:style>
  <w:style w:type="paragraph" w:customStyle="1" w:styleId="CBD-Doc-Type">
    <w:name w:val="CBD-Doc-Type"/>
    <w:basedOn w:val="Normal"/>
    <w:rsid w:val="00813AFA"/>
    <w:pPr>
      <w:spacing w:before="240" w:after="120"/>
    </w:pPr>
    <w:rPr>
      <w:rFonts w:eastAsia="Times New Roman"/>
      <w:b/>
      <w:i/>
      <w:sz w:val="24"/>
    </w:rPr>
  </w:style>
  <w:style w:type="paragraph" w:customStyle="1" w:styleId="CBD-Para-1">
    <w:name w:val="CBD-Para-1"/>
    <w:basedOn w:val="Normal"/>
    <w:qFormat/>
    <w:rsid w:val="004C7BEC"/>
    <w:pPr>
      <w:keepLines/>
      <w:numPr>
        <w:numId w:val="16"/>
      </w:numPr>
      <w:tabs>
        <w:tab w:val="left" w:pos="720"/>
      </w:tabs>
      <w:spacing w:before="120" w:after="120"/>
    </w:pPr>
    <w:rPr>
      <w:rFonts w:eastAsia="Times New Roman" w:cs="Times New Roman"/>
    </w:rPr>
  </w:style>
  <w:style w:type="character" w:customStyle="1" w:styleId="SubtitleChar">
    <w:name w:val="Subtitle Char"/>
    <w:link w:val="Subtitle"/>
    <w:uiPriority w:val="11"/>
    <w:rsid w:val="00657E8B"/>
    <w:rPr>
      <w:rFonts w:cs="Angsana New"/>
      <w:b/>
      <w:bCs/>
      <w:sz w:val="22"/>
      <w:szCs w:val="24"/>
      <w:lang w:val="en-GB"/>
    </w:rPr>
  </w:style>
  <w:style w:type="character" w:customStyle="1" w:styleId="Para1Char1">
    <w:name w:val="Para1 Char1"/>
    <w:link w:val="Para1"/>
    <w:rsid w:val="00844CA7"/>
    <w:rPr>
      <w:rFonts w:cs="Angsana New"/>
      <w:snapToGrid w:val="0"/>
      <w:sz w:val="22"/>
      <w:szCs w:val="18"/>
      <w:lang w:val="en-GB"/>
    </w:rPr>
  </w:style>
  <w:style w:type="paragraph" w:customStyle="1" w:styleId="Heading1centred">
    <w:name w:val="Heading 1 (centred)"/>
    <w:basedOn w:val="Normal"/>
    <w:next w:val="Para1"/>
    <w:rsid w:val="00E26FA0"/>
    <w:pPr>
      <w:keepNext/>
      <w:tabs>
        <w:tab w:val="left" w:pos="709"/>
      </w:tabs>
      <w:spacing w:before="240" w:after="120"/>
      <w:jc w:val="center"/>
    </w:pPr>
    <w:rPr>
      <w:rFonts w:eastAsia="Times New Roman" w:cs="Times New Roman"/>
      <w:b/>
      <w:caps/>
    </w:rPr>
  </w:style>
  <w:style w:type="character" w:customStyle="1" w:styleId="None">
    <w:name w:val="None"/>
    <w:rsid w:val="00CF2768"/>
  </w:style>
  <w:style w:type="paragraph" w:customStyle="1" w:styleId="Numberedparagraph">
    <w:name w:val="Numbered paragraph"/>
    <w:basedOn w:val="Normal"/>
    <w:rsid w:val="003D4A4F"/>
    <w:pPr>
      <w:numPr>
        <w:numId w:val="22"/>
      </w:numPr>
      <w:spacing w:before="120" w:after="120"/>
    </w:pPr>
    <w:rPr>
      <w:rFonts w:eastAsia="Times New Roman" w:cs="Times New Roman"/>
      <w:kern w:val="28"/>
      <w:szCs w:val="20"/>
    </w:rPr>
  </w:style>
  <w:style w:type="paragraph" w:styleId="NoSpacing">
    <w:name w:val="No Spacing"/>
    <w:uiPriority w:val="1"/>
    <w:qFormat/>
    <w:rsid w:val="00610CB7"/>
    <w:rPr>
      <w:rFonts w:ascii="Calibri" w:eastAsia="Calibri" w:hAnsi="Calibri"/>
      <w:sz w:val="22"/>
      <w:szCs w:val="22"/>
      <w:lang w:val="en-CA" w:eastAsia="en-US"/>
    </w:rPr>
  </w:style>
  <w:style w:type="character" w:styleId="PlaceholderText">
    <w:name w:val="Placeholder Text"/>
    <w:basedOn w:val="DefaultParagraphFont"/>
    <w:uiPriority w:val="99"/>
    <w:semiHidden/>
    <w:rsid w:val="006B1EF9"/>
    <w:rPr>
      <w:color w:val="808080"/>
    </w:rPr>
  </w:style>
  <w:style w:type="character" w:customStyle="1" w:styleId="UnresolvedMention">
    <w:name w:val="Unresolved Mention"/>
    <w:basedOn w:val="DefaultParagraphFont"/>
    <w:uiPriority w:val="99"/>
    <w:semiHidden/>
    <w:unhideWhenUsed/>
    <w:rsid w:val="006B1EF9"/>
    <w:rPr>
      <w:color w:val="808080"/>
      <w:shd w:val="clear" w:color="auto" w:fill="E6E6E6"/>
    </w:rPr>
  </w:style>
  <w:style w:type="character" w:customStyle="1" w:styleId="StyleFootnoteReferencenumberFootnoteReferenceSuperscript-EF">
    <w:name w:val="Style Footnote ReferencenumberFootnote Reference Superscript-E F..."/>
    <w:basedOn w:val="FootnoteReference"/>
    <w:rsid w:val="006B1EF9"/>
    <w:rPr>
      <w:kern w:val="22"/>
      <w:sz w:val="18"/>
      <w:u w:val="none"/>
      <w:vertAlign w:val="superscript"/>
    </w:rPr>
  </w:style>
  <w:style w:type="character" w:customStyle="1" w:styleId="tw4winMark">
    <w:name w:val="tw4winMark"/>
    <w:rsid w:val="006F7C80"/>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10369161">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23226927">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85570174">
      <w:bodyDiv w:val="1"/>
      <w:marLeft w:val="0"/>
      <w:marRight w:val="0"/>
      <w:marTop w:val="0"/>
      <w:marBottom w:val="0"/>
      <w:divBdr>
        <w:top w:val="none" w:sz="0" w:space="0" w:color="auto"/>
        <w:left w:val="none" w:sz="0" w:space="0" w:color="auto"/>
        <w:bottom w:val="none" w:sz="0" w:space="0" w:color="auto"/>
        <w:right w:val="none" w:sz="0" w:space="0" w:color="auto"/>
      </w:divBdr>
    </w:div>
    <w:div w:id="415900749">
      <w:bodyDiv w:val="1"/>
      <w:marLeft w:val="0"/>
      <w:marRight w:val="0"/>
      <w:marTop w:val="0"/>
      <w:marBottom w:val="0"/>
      <w:divBdr>
        <w:top w:val="none" w:sz="0" w:space="0" w:color="auto"/>
        <w:left w:val="none" w:sz="0" w:space="0" w:color="auto"/>
        <w:bottom w:val="none" w:sz="0" w:space="0" w:color="auto"/>
        <w:right w:val="none" w:sz="0" w:space="0" w:color="auto"/>
      </w:divBdr>
    </w:div>
    <w:div w:id="587467817">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2926">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mop-08/mop-08-dec-03-es.pdf" TargetMode="External"/><Relationship Id="rId18" Type="http://schemas.openxmlformats.org/officeDocument/2006/relationships/hyperlink" Target="http://www.informea.org/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informea.org/es/about/api"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cbd.int/doc/decisions/mop-06/full/mop-06-dec-es.pdf" TargetMode="External"/><Relationship Id="rId17" Type="http://schemas.openxmlformats.org/officeDocument/2006/relationships/hyperlink" Target="https://github.com/scbd" TargetMode="External"/><Relationship Id="rId25" Type="http://schemas.openxmlformats.org/officeDocument/2006/relationships/footer" Target="footer2.xm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nlinereporting@cbd.int" TargetMode="External"/><Relationship Id="rId20" Type="http://schemas.openxmlformats.org/officeDocument/2006/relationships/hyperlink" Target="https://demo.chm-cbd.net" TargetMode="External"/><Relationship Id="rId29" Type="http://schemas.openxmlformats.org/officeDocument/2006/relationships/hyperlink" Target="https://www.cbd.int/doc/decisions/np-mop-02/np-mop-02-dec-08-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23-es.pdf" TargetMode="External"/><Relationship Id="rId24" Type="http://schemas.openxmlformats.org/officeDocument/2006/relationships/footer" Target="footer1.xm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hm.cbd.int/" TargetMode="External"/><Relationship Id="rId23" Type="http://schemas.openxmlformats.org/officeDocument/2006/relationships/header" Target="header2.xml"/><Relationship Id="rId28" Type="http://schemas.openxmlformats.org/officeDocument/2006/relationships/hyperlink" Target="https://www.cbd.int/doc/decisions/mop-08/mop-08-dec-03-es.pdf" TargetMode="External"/><Relationship Id="rId36"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hyperlink" Target="https://www.informea.org/es/about/api" TargetMode="External"/><Relationship Id="rId31" Type="http://schemas.openxmlformats.org/officeDocument/2006/relationships/hyperlink" Target="https://www.cbd.int/doc/decisions/mop-08/mop-08-dec-03-es.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np-mop-01/np-mop-01-dec-08-es.pdf"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www.cbd.int/doc/decisions/mop-06/full/mop-06-dec-es.pdf" TargetMode="External"/><Relationship Id="rId35"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biobridge/platform" TargetMode="External"/><Relationship Id="rId3" Type="http://schemas.openxmlformats.org/officeDocument/2006/relationships/hyperlink" Target="https://demo.chm-cbd.net/es" TargetMode="External"/><Relationship Id="rId7" Type="http://schemas.openxmlformats.org/officeDocument/2006/relationships/hyperlink" Target="https://www.cbd.int/bio-bridge/BBI-Action-Plan-2017-2020.pdf" TargetMode="External"/><Relationship Id="rId12" Type="http://schemas.openxmlformats.org/officeDocument/2006/relationships/hyperlink" Target="https://www.cbd.int/doc/decisions/cop-10/cop-10-dec-02-es.pdf" TargetMode="External"/><Relationship Id="rId2" Type="http://schemas.openxmlformats.org/officeDocument/2006/relationships/hyperlink" Target="https://www.cbd.int/doc/newsletters/default.shtml" TargetMode="External"/><Relationship Id="rId1" Type="http://schemas.openxmlformats.org/officeDocument/2006/relationships/hyperlink" Target="https://www.cbd.int/meetings/ABSCBIAC-2018-01" TargetMode="External"/><Relationship Id="rId6" Type="http://schemas.openxmlformats.org/officeDocument/2006/relationships/hyperlink" Target="http://www.idlo.int/what-we-do/initiatives/advancing-nagoya-protocol" TargetMode="External"/><Relationship Id="rId11" Type="http://schemas.openxmlformats.org/officeDocument/2006/relationships/hyperlink" Target="https://www.cbd.int/cooperation/csp" TargetMode="External"/><Relationship Id="rId5" Type="http://schemas.openxmlformats.org/officeDocument/2006/relationships/hyperlink" Target="http://bch.cbd.int/onlineconferences/portal_detection/lab_network.shtml" TargetMode="External"/><Relationship Id="rId10" Type="http://schemas.openxmlformats.org/officeDocument/2006/relationships/hyperlink" Target="https://www.cbd.int/biobridge/projects/selected" TargetMode="External"/><Relationship Id="rId4" Type="http://schemas.openxmlformats.org/officeDocument/2006/relationships/hyperlink" Target="http://www.biodiversityfinance.net/regional-nodes" TargetMode="External"/><Relationship Id="rId9" Type="http://schemas.openxmlformats.org/officeDocument/2006/relationships/hyperlink" Target="https://www.cbd.int/doc/notifications/2018/ntf-2018-022-bbi-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77AB4-BD17-4FC5-A4C9-5167CB597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21</Pages>
  <Words>12428</Words>
  <Characters>68358</Characters>
  <Application>Microsoft Office Word</Application>
  <DocSecurity>0</DocSecurity>
  <Lines>1005</Lines>
  <Paragraphs>282</Paragraphs>
  <ScaleCrop>false</ScaleCrop>
  <HeadingPairs>
    <vt:vector size="2" baseType="variant">
      <vt:variant>
        <vt:lpstr>Title</vt:lpstr>
      </vt:variant>
      <vt:variant>
        <vt:i4>1</vt:i4>
      </vt:variant>
    </vt:vector>
  </HeadingPairs>
  <TitlesOfParts>
    <vt:vector size="1" baseType="lpstr">
      <vt:lpstr>Capacity-building, technical and scientific cooperation, technology transfer and the clearing-house mechanism</vt:lpstr>
    </vt:vector>
  </TitlesOfParts>
  <Company>SCBD</Company>
  <LinksUpToDate>false</LinksUpToDate>
  <CharactersWithSpaces>80504</CharactersWithSpaces>
  <SharedDoc>false</SharedDoc>
  <HLinks>
    <vt:vector size="162" baseType="variant">
      <vt:variant>
        <vt:i4>983124</vt:i4>
      </vt:variant>
      <vt:variant>
        <vt:i4>42</vt:i4>
      </vt:variant>
      <vt:variant>
        <vt:i4>0</vt:i4>
      </vt:variant>
      <vt:variant>
        <vt:i4>5</vt:i4>
      </vt:variant>
      <vt:variant>
        <vt:lpwstr>https://www.cbd.int/doc/decisions/mop-08/mop-08-dec-03-es.pdf</vt:lpwstr>
      </vt:variant>
      <vt:variant>
        <vt:lpwstr/>
      </vt:variant>
      <vt:variant>
        <vt:i4>2883685</vt:i4>
      </vt:variant>
      <vt:variant>
        <vt:i4>39</vt:i4>
      </vt:variant>
      <vt:variant>
        <vt:i4>0</vt:i4>
      </vt:variant>
      <vt:variant>
        <vt:i4>5</vt:i4>
      </vt:variant>
      <vt:variant>
        <vt:lpwstr>https://www.cbd.int/doc/decisions/mop-06/full/mop-06-dec-es.pdf</vt:lpwstr>
      </vt:variant>
      <vt:variant>
        <vt:lpwstr/>
      </vt:variant>
      <vt:variant>
        <vt:i4>8126508</vt:i4>
      </vt:variant>
      <vt:variant>
        <vt:i4>36</vt:i4>
      </vt:variant>
      <vt:variant>
        <vt:i4>0</vt:i4>
      </vt:variant>
      <vt:variant>
        <vt:i4>5</vt:i4>
      </vt:variant>
      <vt:variant>
        <vt:lpwstr>https://www.cbd.int/doc/decisions/np-mop-02/np-mop-02-dec-08-es.pdf</vt:lpwstr>
      </vt:variant>
      <vt:variant>
        <vt:lpwstr/>
      </vt:variant>
      <vt:variant>
        <vt:i4>983124</vt:i4>
      </vt:variant>
      <vt:variant>
        <vt:i4>33</vt:i4>
      </vt:variant>
      <vt:variant>
        <vt:i4>0</vt:i4>
      </vt:variant>
      <vt:variant>
        <vt:i4>5</vt:i4>
      </vt:variant>
      <vt:variant>
        <vt:lpwstr>https://www.cbd.int/doc/decisions/mop-08/mop-08-dec-03-es.pdf</vt:lpwstr>
      </vt:variant>
      <vt:variant>
        <vt:lpwstr/>
      </vt:variant>
      <vt:variant>
        <vt:i4>5177411</vt:i4>
      </vt:variant>
      <vt:variant>
        <vt:i4>30</vt:i4>
      </vt:variant>
      <vt:variant>
        <vt:i4>0</vt:i4>
      </vt:variant>
      <vt:variant>
        <vt:i4>5</vt:i4>
      </vt:variant>
      <vt:variant>
        <vt:lpwstr>https://www.informea.org/es/about/api</vt:lpwstr>
      </vt:variant>
      <vt:variant>
        <vt:lpwstr/>
      </vt:variant>
      <vt:variant>
        <vt:i4>524299</vt:i4>
      </vt:variant>
      <vt:variant>
        <vt:i4>27</vt:i4>
      </vt:variant>
      <vt:variant>
        <vt:i4>0</vt:i4>
      </vt:variant>
      <vt:variant>
        <vt:i4>5</vt:i4>
      </vt:variant>
      <vt:variant>
        <vt:lpwstr>https://demo.chm-cbd.net/</vt:lpwstr>
      </vt:variant>
      <vt:variant>
        <vt:lpwstr/>
      </vt:variant>
      <vt:variant>
        <vt:i4>5177411</vt:i4>
      </vt:variant>
      <vt:variant>
        <vt:i4>24</vt:i4>
      </vt:variant>
      <vt:variant>
        <vt:i4>0</vt:i4>
      </vt:variant>
      <vt:variant>
        <vt:i4>5</vt:i4>
      </vt:variant>
      <vt:variant>
        <vt:lpwstr>https://www.informea.org/es/about/api</vt:lpwstr>
      </vt:variant>
      <vt:variant>
        <vt:lpwstr/>
      </vt:variant>
      <vt:variant>
        <vt:i4>3342384</vt:i4>
      </vt:variant>
      <vt:variant>
        <vt:i4>21</vt:i4>
      </vt:variant>
      <vt:variant>
        <vt:i4>0</vt:i4>
      </vt:variant>
      <vt:variant>
        <vt:i4>5</vt:i4>
      </vt:variant>
      <vt:variant>
        <vt:lpwstr>http://www.informea.org/es</vt:lpwstr>
      </vt:variant>
      <vt:variant>
        <vt:lpwstr/>
      </vt:variant>
      <vt:variant>
        <vt:i4>7143467</vt:i4>
      </vt:variant>
      <vt:variant>
        <vt:i4>18</vt:i4>
      </vt:variant>
      <vt:variant>
        <vt:i4>0</vt:i4>
      </vt:variant>
      <vt:variant>
        <vt:i4>5</vt:i4>
      </vt:variant>
      <vt:variant>
        <vt:lpwstr>https://github.com/scbd</vt:lpwstr>
      </vt:variant>
      <vt:variant>
        <vt:lpwstr/>
      </vt:variant>
      <vt:variant>
        <vt:i4>7012442</vt:i4>
      </vt:variant>
      <vt:variant>
        <vt:i4>15</vt:i4>
      </vt:variant>
      <vt:variant>
        <vt:i4>0</vt:i4>
      </vt:variant>
      <vt:variant>
        <vt:i4>5</vt:i4>
      </vt:variant>
      <vt:variant>
        <vt:lpwstr>mailto:onlinereporting@cbd.int</vt:lpwstr>
      </vt:variant>
      <vt:variant>
        <vt:lpwstr/>
      </vt:variant>
      <vt:variant>
        <vt:i4>5898324</vt:i4>
      </vt:variant>
      <vt:variant>
        <vt:i4>12</vt:i4>
      </vt:variant>
      <vt:variant>
        <vt:i4>0</vt:i4>
      </vt:variant>
      <vt:variant>
        <vt:i4>5</vt:i4>
      </vt:variant>
      <vt:variant>
        <vt:lpwstr>https://chm.cbd.int/</vt:lpwstr>
      </vt:variant>
      <vt:variant>
        <vt:lpwstr/>
      </vt:variant>
      <vt:variant>
        <vt:i4>8126508</vt:i4>
      </vt:variant>
      <vt:variant>
        <vt:i4>9</vt:i4>
      </vt:variant>
      <vt:variant>
        <vt:i4>0</vt:i4>
      </vt:variant>
      <vt:variant>
        <vt:i4>5</vt:i4>
      </vt:variant>
      <vt:variant>
        <vt:lpwstr>https://www.cbd.int/doc/decisions/np-mop-01/np-mop-01-dec-08-es.pdf</vt:lpwstr>
      </vt:variant>
      <vt:variant>
        <vt:lpwstr/>
      </vt:variant>
      <vt:variant>
        <vt:i4>983124</vt:i4>
      </vt:variant>
      <vt:variant>
        <vt:i4>6</vt:i4>
      </vt:variant>
      <vt:variant>
        <vt:i4>0</vt:i4>
      </vt:variant>
      <vt:variant>
        <vt:i4>5</vt:i4>
      </vt:variant>
      <vt:variant>
        <vt:lpwstr>https://www.cbd.int/doc/decisions/mop-08/mop-08-dec-03-es.pdf</vt:lpwstr>
      </vt:variant>
      <vt:variant>
        <vt:lpwstr/>
      </vt:variant>
      <vt:variant>
        <vt:i4>2883685</vt:i4>
      </vt:variant>
      <vt:variant>
        <vt:i4>3</vt:i4>
      </vt:variant>
      <vt:variant>
        <vt:i4>0</vt:i4>
      </vt:variant>
      <vt:variant>
        <vt:i4>5</vt:i4>
      </vt:variant>
      <vt:variant>
        <vt:lpwstr>https://www.cbd.int/doc/decisions/mop-06/full/mop-06-dec-es.pdf</vt:lpwstr>
      </vt:variant>
      <vt:variant>
        <vt:lpwstr/>
      </vt:variant>
      <vt:variant>
        <vt:i4>720978</vt:i4>
      </vt:variant>
      <vt:variant>
        <vt:i4>0</vt:i4>
      </vt:variant>
      <vt:variant>
        <vt:i4>0</vt:i4>
      </vt:variant>
      <vt:variant>
        <vt:i4>5</vt:i4>
      </vt:variant>
      <vt:variant>
        <vt:lpwstr>https://www.cbd.int/doc/decisions/cop-13/cop-13-dec-23-es.pdf</vt:lpwstr>
      </vt:variant>
      <vt:variant>
        <vt:lpwstr/>
      </vt:variant>
      <vt:variant>
        <vt:i4>589907</vt:i4>
      </vt:variant>
      <vt:variant>
        <vt:i4>33</vt:i4>
      </vt:variant>
      <vt:variant>
        <vt:i4>0</vt:i4>
      </vt:variant>
      <vt:variant>
        <vt:i4>5</vt:i4>
      </vt:variant>
      <vt:variant>
        <vt:lpwstr>https://www.cbd.int/doc/decisions/cop-10/cop-10-dec-02-es.pdf</vt:lpwstr>
      </vt:variant>
      <vt:variant>
        <vt:lpwstr/>
      </vt:variant>
      <vt:variant>
        <vt:i4>7274550</vt:i4>
      </vt:variant>
      <vt:variant>
        <vt:i4>30</vt:i4>
      </vt:variant>
      <vt:variant>
        <vt:i4>0</vt:i4>
      </vt:variant>
      <vt:variant>
        <vt:i4>5</vt:i4>
      </vt:variant>
      <vt:variant>
        <vt:lpwstr>https://www.cbd.int/cooperation/csp</vt:lpwstr>
      </vt:variant>
      <vt:variant>
        <vt:lpwstr/>
      </vt:variant>
      <vt:variant>
        <vt:i4>8257649</vt:i4>
      </vt:variant>
      <vt:variant>
        <vt:i4>27</vt:i4>
      </vt:variant>
      <vt:variant>
        <vt:i4>0</vt:i4>
      </vt:variant>
      <vt:variant>
        <vt:i4>5</vt:i4>
      </vt:variant>
      <vt:variant>
        <vt:lpwstr>https://www.cbd.int/biobridge/projects/selected</vt:lpwstr>
      </vt:variant>
      <vt:variant>
        <vt:lpwstr/>
      </vt:variant>
      <vt:variant>
        <vt:i4>2424945</vt:i4>
      </vt:variant>
      <vt:variant>
        <vt:i4>24</vt:i4>
      </vt:variant>
      <vt:variant>
        <vt:i4>0</vt:i4>
      </vt:variant>
      <vt:variant>
        <vt:i4>5</vt:i4>
      </vt:variant>
      <vt:variant>
        <vt:lpwstr>https://www.cbd.int/doc/notifications/2018/ntf-2018-022-bbi-en.pdf</vt:lpwstr>
      </vt:variant>
      <vt:variant>
        <vt:lpwstr/>
      </vt:variant>
      <vt:variant>
        <vt:i4>7667745</vt:i4>
      </vt:variant>
      <vt:variant>
        <vt:i4>21</vt:i4>
      </vt:variant>
      <vt:variant>
        <vt:i4>0</vt:i4>
      </vt:variant>
      <vt:variant>
        <vt:i4>5</vt:i4>
      </vt:variant>
      <vt:variant>
        <vt:lpwstr>https://www.cbd.int/biobridge/platform</vt:lpwstr>
      </vt:variant>
      <vt:variant>
        <vt:lpwstr/>
      </vt:variant>
      <vt:variant>
        <vt:i4>1310798</vt:i4>
      </vt:variant>
      <vt:variant>
        <vt:i4>18</vt:i4>
      </vt:variant>
      <vt:variant>
        <vt:i4>0</vt:i4>
      </vt:variant>
      <vt:variant>
        <vt:i4>5</vt:i4>
      </vt:variant>
      <vt:variant>
        <vt:lpwstr>https://www.cbd.int/bio-bridge/BBI-Action-Plan-2017-2020.pdf</vt:lpwstr>
      </vt:variant>
      <vt:variant>
        <vt:lpwstr/>
      </vt:variant>
      <vt:variant>
        <vt:i4>5439582</vt:i4>
      </vt:variant>
      <vt:variant>
        <vt:i4>15</vt:i4>
      </vt:variant>
      <vt:variant>
        <vt:i4>0</vt:i4>
      </vt:variant>
      <vt:variant>
        <vt:i4>5</vt:i4>
      </vt:variant>
      <vt:variant>
        <vt:lpwstr>http://www.idlo.int/what-we-do/initiatives/advancing-nagoya-protocol</vt:lpwstr>
      </vt:variant>
      <vt:variant>
        <vt:lpwstr/>
      </vt:variant>
      <vt:variant>
        <vt:i4>3539040</vt:i4>
      </vt:variant>
      <vt:variant>
        <vt:i4>12</vt:i4>
      </vt:variant>
      <vt:variant>
        <vt:i4>0</vt:i4>
      </vt:variant>
      <vt:variant>
        <vt:i4>5</vt:i4>
      </vt:variant>
      <vt:variant>
        <vt:lpwstr>http://bch.cbd.int/onlineconferences/portal_detection/lab_network.shtml</vt:lpwstr>
      </vt:variant>
      <vt:variant>
        <vt:lpwstr/>
      </vt:variant>
      <vt:variant>
        <vt:i4>524354</vt:i4>
      </vt:variant>
      <vt:variant>
        <vt:i4>9</vt:i4>
      </vt:variant>
      <vt:variant>
        <vt:i4>0</vt:i4>
      </vt:variant>
      <vt:variant>
        <vt:i4>5</vt:i4>
      </vt:variant>
      <vt:variant>
        <vt:lpwstr>http://www.biodiversityfinance.net/regional-nodes</vt:lpwstr>
      </vt:variant>
      <vt:variant>
        <vt:lpwstr/>
      </vt:variant>
      <vt:variant>
        <vt:i4>7143460</vt:i4>
      </vt:variant>
      <vt:variant>
        <vt:i4>6</vt:i4>
      </vt:variant>
      <vt:variant>
        <vt:i4>0</vt:i4>
      </vt:variant>
      <vt:variant>
        <vt:i4>5</vt:i4>
      </vt:variant>
      <vt:variant>
        <vt:lpwstr>https://demo.chm-cbd.net/es</vt:lpwstr>
      </vt:variant>
      <vt:variant>
        <vt:lpwstr/>
      </vt:variant>
      <vt:variant>
        <vt:i4>1835086</vt:i4>
      </vt:variant>
      <vt:variant>
        <vt:i4>3</vt:i4>
      </vt:variant>
      <vt:variant>
        <vt:i4>0</vt:i4>
      </vt:variant>
      <vt:variant>
        <vt:i4>5</vt:i4>
      </vt:variant>
      <vt:variant>
        <vt:lpwstr>https://www.cbd.int/doc/newsletters/default.shtml</vt:lpwstr>
      </vt:variant>
      <vt:variant>
        <vt:lpwstr/>
      </vt:variant>
      <vt:variant>
        <vt:i4>5046358</vt:i4>
      </vt:variant>
      <vt:variant>
        <vt:i4>0</vt:i4>
      </vt:variant>
      <vt:variant>
        <vt:i4>0</vt:i4>
      </vt:variant>
      <vt:variant>
        <vt:i4>5</vt:i4>
      </vt:variant>
      <vt:variant>
        <vt:lpwstr>https://www.cbd.int/meetings/ABSCBIAC-2018-01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Capacity-building, technical and scientific cooperation, technology transfer and the clearing-house mechanism</dc:title>
  <dc:subject>CBD/SBI/2/9</dc:subject>
  <dc:creator>SCBD</dc:creator>
  <cp:lastModifiedBy>Laura Perez</cp:lastModifiedBy>
  <cp:revision>58</cp:revision>
  <cp:lastPrinted>2018-06-11T01:46:00Z</cp:lastPrinted>
  <dcterms:created xsi:type="dcterms:W3CDTF">2018-06-11T01:47:00Z</dcterms:created>
  <dcterms:modified xsi:type="dcterms:W3CDTF">2018-06-11T17:37:00Z</dcterms:modified>
</cp:coreProperties>
</file>