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F8610E" w14:paraId="2D015A63" w14:textId="77777777" w:rsidTr="000E327C">
        <w:trPr>
          <w:trHeight w:val="851"/>
        </w:trPr>
        <w:tc>
          <w:tcPr>
            <w:tcW w:w="472" w:type="pct"/>
            <w:tcBorders>
              <w:bottom w:val="single" w:sz="8" w:space="0" w:color="auto"/>
            </w:tcBorders>
            <w:vAlign w:val="bottom"/>
          </w:tcPr>
          <w:p w14:paraId="568DC889" w14:textId="52EF4F3D" w:rsidR="00A96B21" w:rsidRPr="00F8610E" w:rsidRDefault="00A96B21" w:rsidP="00C3647B">
            <w:pPr>
              <w:spacing w:after="120"/>
              <w:jc w:val="left"/>
            </w:pPr>
            <w:bookmarkStart w:id="0" w:name="_Hlk137651738"/>
            <w:r>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8532243" w14:textId="6194CE69" w:rsidR="00A96B21" w:rsidRPr="00F8610E" w:rsidRDefault="001721ED" w:rsidP="00C3647B">
            <w:pPr>
              <w:spacing w:after="120"/>
              <w:jc w:val="left"/>
            </w:pPr>
            <w:r w:rsidRPr="001721ED">
              <w:rPr>
                <w:noProof/>
                <w:lang w:eastAsia="en-GB"/>
              </w:rPr>
              <w:drawing>
                <wp:inline distT="0" distB="0" distL="0" distR="0" wp14:anchorId="24BF7906" wp14:editId="60929DB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48562CCC" w14:textId="5E690402" w:rsidR="00A96B21" w:rsidRPr="00713272" w:rsidRDefault="00A96B21" w:rsidP="00184909">
            <w:pPr>
              <w:spacing w:after="120"/>
              <w:ind w:left="2021"/>
              <w:jc w:val="right"/>
              <w:rPr>
                <w:szCs w:val="22"/>
                <w:lang w:val="es-ES"/>
              </w:rPr>
            </w:pPr>
            <w:r>
              <w:rPr>
                <w:sz w:val="40"/>
              </w:rPr>
              <w:t>CBD</w:t>
            </w:r>
            <w:r>
              <w:t>/COP/16/</w:t>
            </w:r>
            <w:r w:rsidR="00713272">
              <w:rPr>
                <w:lang w:val="en-GB"/>
              </w:rPr>
              <w:t>6</w:t>
            </w:r>
            <w:r w:rsidR="00713272">
              <w:rPr>
                <w:lang w:val="es-ES"/>
              </w:rPr>
              <w:t>/Add.2</w:t>
            </w:r>
          </w:p>
        </w:tc>
      </w:tr>
      <w:tr w:rsidR="00A96B21" w:rsidRPr="00713272" w14:paraId="4C8F4E21" w14:textId="77777777" w:rsidTr="000E327C">
        <w:tc>
          <w:tcPr>
            <w:tcW w:w="2329" w:type="pct"/>
            <w:gridSpan w:val="2"/>
            <w:tcBorders>
              <w:top w:val="single" w:sz="8" w:space="0" w:color="auto"/>
              <w:bottom w:val="single" w:sz="12" w:space="0" w:color="auto"/>
            </w:tcBorders>
          </w:tcPr>
          <w:p w14:paraId="27F55E5C" w14:textId="31083BA8" w:rsidR="00A96B21" w:rsidRPr="00F8610E" w:rsidRDefault="001721ED" w:rsidP="00C3647B">
            <w:pPr>
              <w:pStyle w:val="Cornernotation"/>
              <w:suppressLineNumbers/>
              <w:suppressAutoHyphens/>
              <w:spacing w:before="120" w:after="120"/>
              <w:ind w:left="0" w:right="0" w:firstLine="0"/>
            </w:pPr>
            <w:r w:rsidRPr="00951663">
              <w:rPr>
                <w:b w:val="0"/>
                <w:bCs/>
                <w:noProof/>
                <w:lang w:eastAsia="en-GB"/>
              </w:rPr>
              <w:drawing>
                <wp:inline distT="0" distB="0" distL="0" distR="0" wp14:anchorId="23E5610B" wp14:editId="31C8A1A3">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0B31B376" w14:textId="77777777" w:rsidR="00A96B21" w:rsidRPr="001721ED" w:rsidRDefault="00A96B21" w:rsidP="003C6F10">
            <w:pPr>
              <w:ind w:left="2584"/>
              <w:rPr>
                <w:sz w:val="22"/>
                <w:szCs w:val="22"/>
                <w:lang w:val="en-US"/>
              </w:rPr>
            </w:pPr>
            <w:r w:rsidRPr="001721ED">
              <w:rPr>
                <w:sz w:val="22"/>
                <w:lang w:val="en-US"/>
              </w:rPr>
              <w:t>Distr.: General</w:t>
            </w:r>
          </w:p>
          <w:p w14:paraId="0CBE66A6" w14:textId="3818CBF1" w:rsidR="00A96B21" w:rsidRPr="001721ED" w:rsidRDefault="00713272" w:rsidP="003C6F10">
            <w:pPr>
              <w:ind w:left="2584"/>
              <w:rPr>
                <w:sz w:val="22"/>
                <w:szCs w:val="22"/>
                <w:lang w:val="en-US"/>
              </w:rPr>
            </w:pPr>
            <w:r>
              <w:rPr>
                <w:sz w:val="22"/>
                <w:lang w:val="en-US"/>
              </w:rPr>
              <w:t>24</w:t>
            </w:r>
            <w:r w:rsidR="00076F1E" w:rsidRPr="001721ED">
              <w:rPr>
                <w:sz w:val="22"/>
                <w:lang w:val="en-US"/>
              </w:rPr>
              <w:t xml:space="preserve"> September 2024</w:t>
            </w:r>
          </w:p>
          <w:p w14:paraId="39DC56E8" w14:textId="77777777" w:rsidR="00A96B21" w:rsidRPr="001721ED" w:rsidRDefault="00A96B21" w:rsidP="003C6F10">
            <w:pPr>
              <w:ind w:left="2584"/>
              <w:rPr>
                <w:sz w:val="22"/>
                <w:szCs w:val="22"/>
                <w:lang w:val="en-US"/>
              </w:rPr>
            </w:pPr>
            <w:r w:rsidRPr="001721ED">
              <w:rPr>
                <w:sz w:val="22"/>
                <w:lang w:val="en-US"/>
              </w:rPr>
              <w:t>Russian</w:t>
            </w:r>
            <w:r w:rsidRPr="001721ED">
              <w:rPr>
                <w:sz w:val="22"/>
                <w:lang w:val="en-US"/>
              </w:rPr>
              <w:br/>
              <w:t>Original: English</w:t>
            </w:r>
          </w:p>
          <w:p w14:paraId="54FEC318" w14:textId="77777777" w:rsidR="00A96B21" w:rsidRPr="001721ED" w:rsidRDefault="00A96B21" w:rsidP="00C3647B">
            <w:pPr>
              <w:rPr>
                <w:lang w:val="en-US"/>
              </w:rPr>
            </w:pPr>
          </w:p>
        </w:tc>
      </w:tr>
    </w:tbl>
    <w:p w14:paraId="30B51CBC" w14:textId="20EFEBF0" w:rsidR="00874541" w:rsidRPr="00F8610E" w:rsidRDefault="001E710A" w:rsidP="000E327C">
      <w:pPr>
        <w:pStyle w:val="AFCorNot12Bold"/>
      </w:pPr>
      <w:r>
        <w:t>Конференция Сторон Конвенции о биологическом разнообразии</w:t>
      </w:r>
    </w:p>
    <w:p w14:paraId="2F1C1C7C" w14:textId="400A6497" w:rsidR="00A96B21" w:rsidRPr="00F8610E" w:rsidRDefault="001E710A" w:rsidP="00A96B21">
      <w:pPr>
        <w:pStyle w:val="Cornernotation"/>
        <w:rPr>
          <w:bCs/>
          <w:sz w:val="22"/>
        </w:rPr>
      </w:pPr>
      <w:r>
        <w:rPr>
          <w:sz w:val="22"/>
        </w:rPr>
        <w:t xml:space="preserve">Шестнадцатое совещание </w:t>
      </w:r>
    </w:p>
    <w:p w14:paraId="647D7FC3" w14:textId="481C3872" w:rsidR="00A96B21" w:rsidRPr="000E327C" w:rsidRDefault="00A02BE5" w:rsidP="00A02BE5">
      <w:pPr>
        <w:ind w:left="170" w:right="3119" w:hanging="170"/>
        <w:jc w:val="left"/>
      </w:pPr>
      <w:r>
        <w:t>Кали, Колумбия, 21 октября – 1 ноября 2024 года</w:t>
      </w:r>
    </w:p>
    <w:p w14:paraId="3D9B36F4" w14:textId="67383D4A" w:rsidR="00A96B21" w:rsidRPr="00F8610E" w:rsidRDefault="00A96B21" w:rsidP="00A96B21">
      <w:pPr>
        <w:pStyle w:val="Cornernotation-Item"/>
        <w:rPr>
          <w:b w:val="0"/>
          <w:bCs w:val="0"/>
        </w:rPr>
      </w:pPr>
      <w:r>
        <w:rPr>
          <w:b w:val="0"/>
        </w:rPr>
        <w:t>Пункт</w:t>
      </w:r>
      <w:r w:rsidR="00713272" w:rsidRPr="00713272">
        <w:rPr>
          <w:b w:val="0"/>
        </w:rPr>
        <w:t xml:space="preserve"> </w:t>
      </w:r>
      <w:r>
        <w:rPr>
          <w:b w:val="0"/>
        </w:rPr>
        <w:t>11 предварительной повестки дня</w:t>
      </w:r>
      <w:r>
        <w:rPr>
          <w:rStyle w:val="FootnoteReference"/>
          <w:b w:val="0"/>
          <w:bCs w:val="0"/>
        </w:rPr>
        <w:footnoteReference w:customMarkFollows="1" w:id="2"/>
        <w:t>*</w:t>
      </w:r>
    </w:p>
    <w:p w14:paraId="069803B0" w14:textId="540B228F" w:rsidR="00A96B21" w:rsidRPr="00713272" w:rsidRDefault="00713272" w:rsidP="00A96B21">
      <w:pPr>
        <w:pStyle w:val="Cornernotation-Item"/>
      </w:pPr>
      <w:r>
        <w:t>Мобилизация ресурсов и механизм финансирования</w:t>
      </w:r>
    </w:p>
    <w:bookmarkEnd w:id="0"/>
    <w:p w14:paraId="10D230A3" w14:textId="50C9186F" w:rsidR="00A96B21" w:rsidRPr="00DC2210" w:rsidRDefault="00796A75" w:rsidP="000E327C">
      <w:pPr>
        <w:pStyle w:val="CBDTitle"/>
      </w:pPr>
      <w:r>
        <w:t>Элементы рекомендаций в отношении приоритетов Конвенции о сохранении мигрирующих видов диких животных для принятия к сведению при разработке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w:t>
      </w:r>
    </w:p>
    <w:p w14:paraId="20A61234" w14:textId="77777777" w:rsidR="00796A75" w:rsidRDefault="00796A75" w:rsidP="00796A75">
      <w:pPr>
        <w:pStyle w:val="CBDSubTitle"/>
      </w:pPr>
      <w:r>
        <w:t>Записка секретариата</w:t>
      </w:r>
    </w:p>
    <w:p w14:paraId="1E152823" w14:textId="1F96F0AC" w:rsidR="00796A75" w:rsidRPr="00017F3E" w:rsidRDefault="00796A75" w:rsidP="00796A75">
      <w:pPr>
        <w:pStyle w:val="CBDNormalNumber"/>
        <w:spacing w:before="0"/>
      </w:pPr>
      <w:r>
        <w:t xml:space="preserve">В своем решении 15/15 Конференция Сторон предложила руководящим органам различных конвенций, связанных с биоразнообразием, </w:t>
      </w:r>
      <w:r w:rsidR="00132E63">
        <w:t>предоставить</w:t>
      </w:r>
      <w:r>
        <w:t xml:space="preserve"> элементы рекомендаций по разработке стратегических руководящих указаний для девятого цикла пополнения Целевого фонда Глобального экологического фонда.</w:t>
      </w:r>
    </w:p>
    <w:p w14:paraId="2CB198FD" w14:textId="77777777" w:rsidR="00796A75" w:rsidRPr="003E3F67" w:rsidRDefault="00796A75" w:rsidP="00796A75">
      <w:pPr>
        <w:pStyle w:val="CBDNormalNumber"/>
        <w:spacing w:before="0"/>
      </w:pPr>
      <w:r>
        <w:t xml:space="preserve">В письме от 22 июля 2024 года, адресованном Исполнительному секретарю Конвенции о биологическом разнообразии, Исполнительный секретарь Конвенции о сохранении мигрирующих видов диких животных направила резолюцию Постоянного комитета </w:t>
      </w:r>
      <w:bookmarkStart w:id="1" w:name="_Hlk178020714"/>
      <w:r>
        <w:t xml:space="preserve">Конвенции по мигрирующим видам, </w:t>
      </w:r>
      <w:bookmarkEnd w:id="1"/>
      <w:r>
        <w:t>в которой содержатся указанные элементы. Соответствующий текст резолюции приводится в приложении к настоящей записке в том виде, в котором он был получен</w:t>
      </w:r>
      <w:r w:rsidRPr="00017F3E">
        <w:rPr>
          <w:rStyle w:val="FootnoteReference"/>
        </w:rPr>
        <w:footnoteReference w:id="3"/>
      </w:r>
      <w:r>
        <w:t xml:space="preserve">, </w:t>
      </w:r>
      <w:r>
        <w:rPr>
          <w:rFonts w:asciiTheme="majorBidi" w:hAnsiTheme="majorBidi"/>
        </w:rPr>
        <w:t>за исключением того, что подпункты были пронумерованы для удобства пользования. Полностью эта резолюция будет опубликована в документе CBD/COP/16/INF/27.</w:t>
      </w:r>
    </w:p>
    <w:p w14:paraId="3446E652" w14:textId="77777777" w:rsidR="00796A75" w:rsidRPr="00553493" w:rsidRDefault="00796A75" w:rsidP="00796A75">
      <w:pPr>
        <w:autoSpaceDE w:val="0"/>
        <w:autoSpaceDN w:val="0"/>
        <w:adjustRightInd w:val="0"/>
        <w:spacing w:after="120"/>
        <w:ind w:left="567"/>
        <w:rPr>
          <w:rFonts w:asciiTheme="majorBidi" w:eastAsiaTheme="minorEastAsia" w:hAnsiTheme="majorBidi" w:cstheme="majorBidi"/>
          <w:i/>
          <w:iCs/>
          <w:color w:val="000000"/>
          <w:lang w:eastAsia="zh-CN"/>
        </w:rPr>
        <w:sectPr w:rsidR="00796A75" w:rsidRPr="00553493" w:rsidSect="00796A75">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1EFEAB69" w14:textId="77777777" w:rsidR="00796A75" w:rsidRPr="003A3B43" w:rsidRDefault="00796A75" w:rsidP="00796A75">
      <w:pPr>
        <w:autoSpaceDE w:val="0"/>
        <w:autoSpaceDN w:val="0"/>
        <w:adjustRightInd w:val="0"/>
        <w:spacing w:after="120"/>
        <w:ind w:left="567"/>
        <w:rPr>
          <w:rFonts w:asciiTheme="majorBidi" w:eastAsiaTheme="minorEastAsia" w:hAnsiTheme="majorBidi" w:cstheme="majorBidi"/>
          <w:b/>
          <w:bCs/>
          <w:color w:val="000000"/>
          <w:sz w:val="24"/>
          <w:szCs w:val="24"/>
        </w:rPr>
      </w:pPr>
      <w:r>
        <w:rPr>
          <w:rFonts w:asciiTheme="majorBidi" w:hAnsiTheme="majorBidi"/>
          <w:b/>
          <w:color w:val="000000"/>
          <w:sz w:val="24"/>
        </w:rPr>
        <w:lastRenderedPageBreak/>
        <w:t>Приложение</w:t>
      </w:r>
    </w:p>
    <w:p w14:paraId="2B02A9E5" w14:textId="5B7250DE" w:rsidR="00796A75" w:rsidRPr="003A3B43" w:rsidRDefault="00796A75" w:rsidP="00796A75">
      <w:pPr>
        <w:autoSpaceDE w:val="0"/>
        <w:autoSpaceDN w:val="0"/>
        <w:adjustRightInd w:val="0"/>
        <w:spacing w:after="120"/>
        <w:ind w:left="567"/>
        <w:jc w:val="left"/>
        <w:rPr>
          <w:rFonts w:asciiTheme="majorBidi" w:eastAsiaTheme="minorEastAsia" w:hAnsiTheme="majorBidi" w:cstheme="majorBidi"/>
          <w:color w:val="000000"/>
          <w:sz w:val="24"/>
          <w:szCs w:val="24"/>
        </w:rPr>
      </w:pPr>
      <w:r>
        <w:rPr>
          <w:rFonts w:asciiTheme="majorBidi" w:hAnsiTheme="majorBidi"/>
          <w:b/>
          <w:color w:val="000000"/>
          <w:sz w:val="24"/>
        </w:rPr>
        <w:t xml:space="preserve">Выдержки из резолюции Постоянного комитета Конвенции о сохранении мигрирующих видов диких животных об элементах рекомендаций в отношении финансирования национальных приоритетов </w:t>
      </w:r>
      <w:r w:rsidR="008736C5">
        <w:rPr>
          <w:rFonts w:asciiTheme="majorBidi" w:hAnsiTheme="majorBidi"/>
          <w:b/>
          <w:color w:val="000000"/>
          <w:sz w:val="24"/>
        </w:rPr>
        <w:t>применительно к</w:t>
      </w:r>
      <w:r>
        <w:rPr>
          <w:rFonts w:asciiTheme="majorBidi" w:hAnsiTheme="majorBidi"/>
          <w:b/>
          <w:color w:val="000000"/>
          <w:sz w:val="24"/>
        </w:rPr>
        <w:t xml:space="preserve"> Конвенции по мигрирующим видам </w:t>
      </w:r>
      <w:r w:rsidR="008736C5">
        <w:rPr>
          <w:rFonts w:asciiTheme="majorBidi" w:hAnsiTheme="majorBidi"/>
          <w:b/>
          <w:color w:val="000000"/>
          <w:sz w:val="24"/>
        </w:rPr>
        <w:t>для разработки</w:t>
      </w:r>
      <w:r>
        <w:rPr>
          <w:rFonts w:asciiTheme="majorBidi" w:hAnsiTheme="majorBidi"/>
          <w:b/>
          <w:color w:val="000000"/>
          <w:sz w:val="24"/>
        </w:rPr>
        <w:t xml:space="preserve">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для рассмотрения на 16-м совещании Конференции Сторон Конвенции о биологическом разнообразии</w:t>
      </w:r>
    </w:p>
    <w:p w14:paraId="203C8C5C" w14:textId="77777777" w:rsidR="00796A75" w:rsidRDefault="00796A75" w:rsidP="00796A75">
      <w:pPr>
        <w:autoSpaceDE w:val="0"/>
        <w:autoSpaceDN w:val="0"/>
        <w:adjustRightInd w:val="0"/>
        <w:spacing w:after="120"/>
        <w:ind w:left="567"/>
        <w:rPr>
          <w:rFonts w:asciiTheme="majorBidi" w:eastAsiaTheme="minorEastAsia" w:hAnsiTheme="majorBidi" w:cstheme="majorBidi"/>
          <w:i/>
          <w:iCs/>
          <w:color w:val="000000"/>
        </w:rPr>
      </w:pPr>
      <w:r>
        <w:rPr>
          <w:rFonts w:asciiTheme="majorBidi" w:hAnsiTheme="majorBidi"/>
          <w:i/>
          <w:color w:val="000000"/>
        </w:rPr>
        <w:t>Постоянный комитет</w:t>
      </w:r>
    </w:p>
    <w:p w14:paraId="4DE17AEA" w14:textId="77777777" w:rsidR="00796A75" w:rsidRPr="003E3F67" w:rsidRDefault="00796A75" w:rsidP="00796A75">
      <w:pPr>
        <w:autoSpaceDE w:val="0"/>
        <w:autoSpaceDN w:val="0"/>
        <w:adjustRightInd w:val="0"/>
        <w:spacing w:after="120"/>
        <w:ind w:left="567"/>
        <w:rPr>
          <w:rFonts w:asciiTheme="majorBidi" w:eastAsiaTheme="minorEastAsia" w:hAnsiTheme="majorBidi" w:cstheme="majorBidi"/>
          <w:color w:val="000000"/>
        </w:rPr>
      </w:pPr>
      <w:r>
        <w:rPr>
          <w:rFonts w:asciiTheme="majorBidi" w:hAnsiTheme="majorBidi"/>
          <w:i/>
          <w:color w:val="000000"/>
        </w:rPr>
        <w:t>…</w:t>
      </w:r>
    </w:p>
    <w:p w14:paraId="5E354683" w14:textId="77777777" w:rsidR="00796A75" w:rsidRPr="003E3F67" w:rsidRDefault="00796A75" w:rsidP="00796A75">
      <w:pPr>
        <w:tabs>
          <w:tab w:val="clear" w:pos="567"/>
        </w:tabs>
        <w:spacing w:before="120" w:after="120"/>
        <w:ind w:left="993"/>
        <w:rPr>
          <w:rFonts w:asciiTheme="majorBidi" w:eastAsiaTheme="minorEastAsia" w:hAnsiTheme="majorBidi" w:cstheme="majorBidi"/>
          <w:color w:val="000000"/>
        </w:rPr>
      </w:pPr>
      <w:r>
        <w:rPr>
          <w:rFonts w:asciiTheme="majorBidi" w:hAnsiTheme="majorBidi"/>
          <w:color w:val="000000"/>
        </w:rPr>
        <w:t>4.</w:t>
      </w:r>
      <w:r>
        <w:rPr>
          <w:rFonts w:asciiTheme="majorBidi" w:hAnsiTheme="majorBidi"/>
          <w:color w:val="000000"/>
        </w:rPr>
        <w:tab/>
      </w:r>
      <w:r>
        <w:rPr>
          <w:rFonts w:asciiTheme="majorBidi" w:hAnsiTheme="majorBidi"/>
          <w:i/>
          <w:color w:val="000000"/>
        </w:rPr>
        <w:t xml:space="preserve">предлагает </w:t>
      </w:r>
      <w:r>
        <w:rPr>
          <w:rFonts w:asciiTheme="majorBidi" w:hAnsiTheme="majorBidi"/>
          <w:color w:val="000000"/>
        </w:rPr>
        <w:t xml:space="preserve">КС-16 КБР при разработке ориентированной на конкретные результаты структуры определения программных приоритетов на четырехлетний период для ГЭФ-9 принять к сведению перечисленные ниже элементы. Эти элементы, проистекающие из Стратегического плана по сохранению мигрирующих видов (СПСМВ) и других ключевых резолюций КС КМВ, поддерживают общие цели КМВ и КБР, особенно в том, что касается ГПБ: </w:t>
      </w:r>
    </w:p>
    <w:p w14:paraId="3CDEF1D2" w14:textId="4B9547BD" w:rsidR="00796A75" w:rsidRPr="003E3F67" w:rsidRDefault="00796A75" w:rsidP="00796A75">
      <w:pPr>
        <w:numPr>
          <w:ilvl w:val="0"/>
          <w:numId w:val="32"/>
        </w:numPr>
        <w:tabs>
          <w:tab w:val="clear" w:pos="567"/>
        </w:tabs>
        <w:spacing w:before="120" w:after="120"/>
        <w:ind w:left="993" w:firstLine="564"/>
        <w:rPr>
          <w:rFonts w:asciiTheme="majorBidi" w:eastAsiaTheme="minorEastAsia" w:hAnsiTheme="majorBidi" w:cstheme="majorBidi"/>
          <w:color w:val="000000"/>
        </w:rPr>
      </w:pPr>
      <w:r>
        <w:t>совершенствование мониторинга, сбора данных и анализа данных о размерах и динамике популяций видов, схемах их миграции и распространении, местах обитания, важнейших районах</w:t>
      </w:r>
      <w:r>
        <w:rPr>
          <w:rFonts w:asciiTheme="majorBidi" w:hAnsiTheme="majorBidi"/>
          <w:color w:val="000000"/>
        </w:rPr>
        <w:t xml:space="preserve">, коридорах и зонах, входящих в сетевые образования, которые имеют важнейшее глобальное значение для сохранения мигрирующих видов, в том числе с помощью модулей «Атласа миграции животных» КМВ, а также об угрозах и факторах изменения популяций, в целях выполнения задачи 21 ГПБ и в соответствии с задачами 4.1, 5.2, 5.3, 6.1 и 6.2 СПСМВ и решением CBD/COP/15/5; </w:t>
      </w:r>
    </w:p>
    <w:p w14:paraId="4FEFE426" w14:textId="5F8C462B"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t xml:space="preserve">оказание поддержки странам в создании, укреплении и обеспечении соблюдения их правовых режимов в отношении охраны диких животных и их мест обитания, в том числе путем включения обязательств Сторон КМВ в пересмотренные и </w:t>
      </w:r>
      <w:r>
        <w:rPr>
          <w:rFonts w:asciiTheme="majorBidi" w:hAnsiTheme="majorBidi"/>
          <w:color w:val="000000"/>
        </w:rPr>
        <w:t>обновленные НСПДСБ и другие национальные процессы планирования и планы развития и соответствующие бюджеты</w:t>
      </w:r>
      <w:r w:rsidR="00FA5D7B">
        <w:rPr>
          <w:rFonts w:asciiTheme="majorBidi" w:hAnsiTheme="majorBidi"/>
          <w:color w:val="000000"/>
        </w:rPr>
        <w:t>,</w:t>
      </w:r>
      <w:r>
        <w:rPr>
          <w:rFonts w:asciiTheme="majorBidi" w:hAnsiTheme="majorBidi"/>
          <w:color w:val="000000"/>
        </w:rPr>
        <w:t xml:space="preserve"> </w:t>
      </w:r>
      <w:r w:rsidR="00FA5D7B">
        <w:rPr>
          <w:rFonts w:asciiTheme="majorBidi" w:hAnsiTheme="majorBidi"/>
          <w:color w:val="000000"/>
        </w:rPr>
        <w:t>в целях</w:t>
      </w:r>
      <w:r>
        <w:rPr>
          <w:rFonts w:asciiTheme="majorBidi" w:hAnsiTheme="majorBidi"/>
          <w:color w:val="000000"/>
        </w:rPr>
        <w:t xml:space="preserve"> эффективного осуществления ГПБ (резолюция 14.3) и в соответствии с решениями 15/6 и 15/13 КС КБР, задачей 14 ГПБ и задачами 5.1, 5.4, 5.5 и 6.4 СПСМВ; </w:t>
      </w:r>
    </w:p>
    <w:p w14:paraId="41105DFF" w14:textId="29B94ABE"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t xml:space="preserve">при осуществлении морского пространственного планирования </w:t>
      </w:r>
      <w:r>
        <w:rPr>
          <w:rFonts w:asciiTheme="majorBidi" w:hAnsiTheme="majorBidi"/>
          <w:color w:val="000000"/>
        </w:rPr>
        <w:t xml:space="preserve">уделение приоритетного внимания важным районам распространения морских млекопитающих, выявленным Целевой группой по охраняемым районам для морских млекопитающих Комиссии по выживанию видов МСОП и Всемирной комиссии по охраняемым территориям (резолюция 12.13), и важным районам для акул и скатов, выявленным Группой специалистов по акулам Комиссии по выживанию видов МСОП (резолюция 14.7), в частности в целях выполнения задач 1, 2, 3 ГПБ и в соответствии с задачами 2.1, 2.2, 2.3 и 3.2 СПСМВ; </w:t>
      </w:r>
    </w:p>
    <w:p w14:paraId="2BF2D176"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t>стимулирование экологической связности, особенно в целях сохранения мигрирующих видов и их мест обитания и устойчивого управления ими</w:t>
      </w:r>
      <w:r>
        <w:rPr>
          <w:rFonts w:asciiTheme="majorBidi" w:hAnsiTheme="majorBidi"/>
          <w:color w:val="000000"/>
        </w:rPr>
        <w:t xml:space="preserve"> (резолюция 14.16), в частности путем восстановления и поддержания глобальных маршрутов перелета (резолюции 12.11 (Rev.COP14) и 14.13), а также создания и официального обозначения биологических коридоров для ягуара (резолюция 14.14), в целях достижения цели A и выполнения задач 2, 3 и 12 ГПБ и в соответствии с задачами 2.1, 2.2, 3.2 и 5.4 СПСМВ; </w:t>
      </w:r>
    </w:p>
    <w:p w14:paraId="1D5A5CD5" w14:textId="5A38907B"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t xml:space="preserve">содействие реализации региональных и трансграничных механизмов и инициатив либо глобальных программ и комплексных подходов, которые </w:t>
      </w:r>
      <w:r>
        <w:lastRenderedPageBreak/>
        <w:t xml:space="preserve">поддерживают системы миграции видов, в том числе посредством международного сотрудничества, в соответствии с ГПБ и решениями 15/6 и 15/13 КС КБР, а также </w:t>
      </w:r>
      <w:r w:rsidR="006F0EFA">
        <w:t xml:space="preserve">с </w:t>
      </w:r>
      <w:r>
        <w:t>задачами 5.1, 5.5 и 6.4 СПСМВ, в частности путем активизации программ сотрудничества, таких как Совместная инициатива СИТЕС-КМВ по африканским хищникам (резолюция 13.4);</w:t>
      </w:r>
      <w:r>
        <w:rPr>
          <w:rFonts w:asciiTheme="majorBidi" w:hAnsiTheme="majorBidi"/>
          <w:color w:val="000000"/>
        </w:rPr>
        <w:t xml:space="preserve"> </w:t>
      </w:r>
    </w:p>
    <w:p w14:paraId="2EA81D5D"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t>поддержка деятельности по сокращению риска возникновения зоонозных болезней путем предотвращения фрагментации и разрушения среды обитания и устранения рисков, возникающих при прямом использовании мигрирующих видов</w:t>
      </w:r>
      <w:r>
        <w:rPr>
          <w:rFonts w:asciiTheme="majorBidi" w:hAnsiTheme="majorBidi"/>
          <w:color w:val="000000"/>
        </w:rPr>
        <w:t xml:space="preserve"> (резолюция 12.6 (Rev.COP14)), в целях выполнения задач 1 и 5 ГПБ и в соответствии с задачей 3.1 СПСМВ; </w:t>
      </w:r>
    </w:p>
    <w:p w14:paraId="027B454B"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rPr>
          <w:rFonts w:asciiTheme="majorBidi" w:hAnsiTheme="majorBidi"/>
          <w:color w:val="000000"/>
        </w:rPr>
        <w:t xml:space="preserve">поддержка эффективной реализации, мониторинга и обзора ГПБ на всех уровнях, в соответствии с ГПБ и решениями 15/6 и 15/13 КС КБР; </w:t>
      </w:r>
    </w:p>
    <w:p w14:paraId="4E1DECD1"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rPr>
          <w:rFonts w:asciiTheme="majorBidi" w:hAnsiTheme="majorBidi"/>
          <w:color w:val="000000"/>
        </w:rPr>
        <w:t xml:space="preserve">снижение воздействия изменения климата на мигрирующие виды и их среду обитания путем принятия мер по смягчению последствий и адаптации, в том числе с помощью решений, основанных на природных факторах, и/или экосистемных подходов и мер по снижению риска бедствий, при одновременном сведении к минимуму отрицательных последствий и стимулировании позитивных последствий для биоразнообразия (резолюция 12.21 (Rev.COP14)), в целях выполнения задачи 8 ГПБ и в соответствии с задачей 3.4 СПСМВ; </w:t>
      </w:r>
    </w:p>
    <w:p w14:paraId="6D12EBF6"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color w:val="000000"/>
        </w:rPr>
      </w:pPr>
      <w:r>
        <w:rPr>
          <w:rFonts w:asciiTheme="majorBidi" w:hAnsiTheme="majorBidi"/>
          <w:color w:val="000000"/>
        </w:rPr>
        <w:t xml:space="preserve">оказание поддержки правительствам в укреплении мер по сохранению, восстановлению и управлению в отношении экосистем лугов </w:t>
      </w:r>
      <w:proofErr w:type="spellStart"/>
      <w:r>
        <w:rPr>
          <w:rFonts w:asciiTheme="majorBidi" w:hAnsiTheme="majorBidi"/>
          <w:color w:val="000000"/>
        </w:rPr>
        <w:t>руппии</w:t>
      </w:r>
      <w:proofErr w:type="spellEnd"/>
      <w:r>
        <w:rPr>
          <w:rFonts w:asciiTheme="majorBidi" w:hAnsiTheme="majorBidi"/>
          <w:color w:val="000000"/>
        </w:rPr>
        <w:t xml:space="preserve"> и связанных с ними мигрирующих видов во всем мире, а также в осуществлении регулярного мониторинга, исследований и сбора данных по этим экосистемам (резолюция 14.8), в целях выполнения задач 1, 2 и 3 ГПБ и в соответствии с задачами 2.1, 2.2, 3.2 и 5.4 СПСМВ; </w:t>
      </w:r>
    </w:p>
    <w:p w14:paraId="09F32BA4"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rPr>
      </w:pPr>
      <w:r>
        <w:t>уменьшение неблагоприятного воздействия на диких животных, оказываемого прибрежными и морскими энергетическими установками и линейной инфраструктурой, включая дороги, железнодорожные пути, ограждения, ветряные турбины, солнечные электростанции, линии электропередачи и трубопроводы</w:t>
      </w:r>
      <w:r>
        <w:rPr>
          <w:rFonts w:asciiTheme="majorBidi" w:hAnsiTheme="majorBidi"/>
          <w:color w:val="000000"/>
        </w:rPr>
        <w:t xml:space="preserve"> (резолюции 10.11 (Rev.COP13), 11.24 (Rev.COP13) и 11.27 (Rev.COP13) и решения 14.207 и 14.208), а также включение соображений, касающихся мигрирующих видов диких животных, в любые виды пространственного планирования, в том числе в стратегические оценки и оценки экологических последствий (резолюция 7.2 (Rev.COP14)), в соответствии </w:t>
      </w:r>
      <w:r>
        <w:rPr>
          <w:rFonts w:asciiTheme="majorBidi" w:hAnsiTheme="majorBidi"/>
        </w:rPr>
        <w:t xml:space="preserve">с задачами 1, 8, 12 и 14 ГПБ и задачами 3.2 и 5.4 СПСМВ; </w:t>
      </w:r>
    </w:p>
    <w:p w14:paraId="50DDDC03"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rPr>
      </w:pPr>
      <w:r>
        <w:rPr>
          <w:rFonts w:asciiTheme="majorBidi" w:hAnsiTheme="majorBidi"/>
        </w:rPr>
        <w:t xml:space="preserve">расширение применения устойчивых и благоприятных для биоразнообразия методов ведения сельского хозяйства, таких как экстенсивное землепользование, в целях формирования сельскохозяйственных экосистем, одновременно благоприятных для мигрирующих видов, которые зависят от сельскохозяйственных угодий, и способствующих жизнестойкости и долгосрочной эффективности и производительности этих производственных систем, а также продовольственной безопасности, в целях выполнения задачи 10 ГПБ и в соответствии с задачами 2.3, 2.5 и 3.3 СПСМВ. </w:t>
      </w:r>
    </w:p>
    <w:p w14:paraId="6A4E4A16" w14:textId="79FABDDC"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rPr>
      </w:pPr>
      <w:r>
        <w:t xml:space="preserve">борьба с незаконной и неустойчивой эксплуатацией диких животных, в том числе для добычи мяса наземных и водных диких животных, в рамках практик, основанных на верованиях, и из соображений мести, </w:t>
      </w:r>
      <w:r w:rsidR="006F0EFA">
        <w:t xml:space="preserve">и </w:t>
      </w:r>
      <w:r>
        <w:t xml:space="preserve">укрепление усилий по борьбе с браконьерством, в том числе с использованием региональных подходов к предотвращению незаконного убийства птиц </w:t>
      </w:r>
      <w:r>
        <w:rPr>
          <w:rFonts w:asciiTheme="majorBidi" w:hAnsiTheme="majorBidi"/>
        </w:rPr>
        <w:t xml:space="preserve">(резолюции 12.15, 11.31 (Rev.COP14), 11.16 (Rev.COP14), 11.18 (Rev.COP14) и 12.10 (Rev.COP14)), в целях выполнения задач 5 и 9 ГПБ и в соответствии с задачами 1.2, 3.1 и 5.1 СПСМВ; </w:t>
      </w:r>
      <w:r w:rsidR="00A104F6">
        <w:rPr>
          <w:rFonts w:asciiTheme="majorBidi" w:hAnsiTheme="majorBidi"/>
        </w:rPr>
        <w:t xml:space="preserve"> </w:t>
      </w:r>
    </w:p>
    <w:p w14:paraId="587D1684" w14:textId="13C38518"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rPr>
      </w:pPr>
      <w:r>
        <w:lastRenderedPageBreak/>
        <w:t>сокращение числа отравлений диких животных в результате использования пестицидов, отравленной приманки, ветеринарн</w:t>
      </w:r>
      <w:r w:rsidR="001626A4">
        <w:t>ых</w:t>
      </w:r>
      <w:r>
        <w:t xml:space="preserve"> фармацевтическ</w:t>
      </w:r>
      <w:r w:rsidR="001626A4">
        <w:t>их</w:t>
      </w:r>
      <w:r>
        <w:t xml:space="preserve"> </w:t>
      </w:r>
      <w:r w:rsidR="001626A4">
        <w:t>препаратов</w:t>
      </w:r>
      <w:r>
        <w:t xml:space="preserve">, свинца в патронах и рыболовных грузилах, а также светового загрязнение и загрязнения морской среды морским мусором, шумом и неразорвавшимися боеприпасами </w:t>
      </w:r>
      <w:r>
        <w:rPr>
          <w:rFonts w:asciiTheme="majorBidi" w:hAnsiTheme="majorBidi"/>
        </w:rPr>
        <w:t>(резолюции 12.20, 11.15 (Rev.COP14) и 13.5 (Rev.COP14))</w:t>
      </w:r>
      <w:r w:rsidR="001626A4">
        <w:rPr>
          <w:rFonts w:asciiTheme="majorBidi" w:hAnsiTheme="majorBidi"/>
        </w:rPr>
        <w:t>,</w:t>
      </w:r>
      <w:r>
        <w:rPr>
          <w:rFonts w:asciiTheme="majorBidi" w:hAnsiTheme="majorBidi"/>
        </w:rPr>
        <w:t xml:space="preserve"> в целях выполнения задачи 7 ГПБ и в соответствии с задачей 3.3 СПСМВ; </w:t>
      </w:r>
    </w:p>
    <w:p w14:paraId="51D5AEB4" w14:textId="77777777" w:rsidR="00796A75" w:rsidRPr="003E3F67" w:rsidRDefault="00796A75" w:rsidP="00796A75">
      <w:pPr>
        <w:numPr>
          <w:ilvl w:val="0"/>
          <w:numId w:val="32"/>
        </w:numPr>
        <w:tabs>
          <w:tab w:val="clear" w:pos="567"/>
        </w:tabs>
        <w:spacing w:before="120" w:after="120"/>
        <w:ind w:left="1134" w:firstLine="564"/>
        <w:rPr>
          <w:rFonts w:asciiTheme="majorBidi" w:eastAsiaTheme="minorEastAsia" w:hAnsiTheme="majorBidi" w:cstheme="majorBidi"/>
        </w:rPr>
      </w:pPr>
      <w:r>
        <w:t>минимизация прилова морских видов из перечня КМВ и сокращение смертности после высвобождения</w:t>
      </w:r>
      <w:r>
        <w:rPr>
          <w:rFonts w:asciiTheme="majorBidi" w:hAnsiTheme="majorBidi"/>
        </w:rPr>
        <w:t xml:space="preserve"> (резолюция 12.22), в целях выполнения задачи 5 ГПБ и в соответствии с задачей 3.1 СПСМВ. </w:t>
      </w:r>
    </w:p>
    <w:p w14:paraId="3D30A035" w14:textId="6605497E" w:rsidR="002B559C" w:rsidRPr="00001E72" w:rsidRDefault="00B86626" w:rsidP="00394E79">
      <w:pPr>
        <w:spacing w:line="276" w:lineRule="auto"/>
        <w:jc w:val="center"/>
      </w:pPr>
      <w:r>
        <w:t>__________</w:t>
      </w:r>
    </w:p>
    <w:sectPr w:rsidR="002B559C" w:rsidRPr="00001E72" w:rsidSect="00644286">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D4F61" w14:textId="77777777" w:rsidR="008C22F7" w:rsidRDefault="008C22F7" w:rsidP="00A96B21">
      <w:r>
        <w:separator/>
      </w:r>
    </w:p>
  </w:endnote>
  <w:endnote w:type="continuationSeparator" w:id="0">
    <w:p w14:paraId="20ECFC85" w14:textId="77777777" w:rsidR="008C22F7" w:rsidRDefault="008C22F7" w:rsidP="00A96B21">
      <w:r>
        <w:continuationSeparator/>
      </w:r>
    </w:p>
  </w:endnote>
  <w:endnote w:type="continuationNotice" w:id="1">
    <w:p w14:paraId="23964493" w14:textId="77777777" w:rsidR="008C22F7" w:rsidRDefault="008C2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9100005"/>
      <w:docPartObj>
        <w:docPartGallery w:val="Page Numbers (Bottom of Page)"/>
        <w:docPartUnique/>
      </w:docPartObj>
    </w:sdtPr>
    <w:sdtContent>
      <w:sdt>
        <w:sdtPr>
          <w:id w:val="-1299148136"/>
          <w:docPartObj>
            <w:docPartGallery w:val="Page Numbers (Top of Page)"/>
            <w:docPartUnique/>
          </w:docPartObj>
        </w:sdtPr>
        <w:sdtContent>
          <w:p w14:paraId="7A1EF7AE" w14:textId="77777777" w:rsidR="00796A75" w:rsidRDefault="00796A75">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1747239"/>
      <w:docPartObj>
        <w:docPartGallery w:val="Page Numbers (Bottom of Page)"/>
        <w:docPartUnique/>
      </w:docPartObj>
    </w:sdtPr>
    <w:sdtContent>
      <w:sdt>
        <w:sdtPr>
          <w:id w:val="413288455"/>
          <w:docPartObj>
            <w:docPartGallery w:val="Page Numbers (Top of Page)"/>
            <w:docPartUnique/>
          </w:docPartObj>
        </w:sdtPr>
        <w:sdtContent>
          <w:p w14:paraId="49FA0AA4" w14:textId="77777777" w:rsidR="00796A75" w:rsidRDefault="00796A75"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E4F24" w14:textId="77777777" w:rsidR="008C22F7" w:rsidRDefault="008C22F7" w:rsidP="00A96B21">
      <w:r>
        <w:separator/>
      </w:r>
    </w:p>
  </w:footnote>
  <w:footnote w:type="continuationSeparator" w:id="0">
    <w:p w14:paraId="0B72B3FE" w14:textId="77777777" w:rsidR="008C22F7" w:rsidRDefault="008C22F7" w:rsidP="00A96B21">
      <w:r>
        <w:continuationSeparator/>
      </w:r>
    </w:p>
  </w:footnote>
  <w:footnote w:type="continuationNotice" w:id="1">
    <w:p w14:paraId="404E7C11" w14:textId="77777777" w:rsidR="008C22F7" w:rsidRDefault="008C22F7"/>
  </w:footnote>
  <w:footnote w:id="2">
    <w:p w14:paraId="58118020" w14:textId="701F3828" w:rsidR="00B72A5B" w:rsidRPr="001721ED" w:rsidRDefault="00B72A5B" w:rsidP="00D71FFB">
      <w:pPr>
        <w:pStyle w:val="Footnote"/>
        <w:rPr>
          <w:lang w:val="en-US"/>
        </w:rPr>
      </w:pPr>
      <w:r w:rsidRPr="001721ED">
        <w:rPr>
          <w:rStyle w:val="FootnoteReference"/>
          <w:lang w:val="en-US"/>
        </w:rPr>
        <w:t>*</w:t>
      </w:r>
      <w:r w:rsidRPr="001721ED">
        <w:rPr>
          <w:lang w:val="en-US"/>
        </w:rPr>
        <w:t xml:space="preserve"> CBD/COP/16/1.</w:t>
      </w:r>
    </w:p>
  </w:footnote>
  <w:footnote w:id="3">
    <w:p w14:paraId="0D9C06AF" w14:textId="77777777" w:rsidR="00796A75" w:rsidRDefault="00796A75" w:rsidP="00796A75">
      <w:pPr>
        <w:pStyle w:val="FootnoteText"/>
      </w:pPr>
      <w:r>
        <w:rPr>
          <w:rStyle w:val="FootnoteReference"/>
        </w:rPr>
        <w:footnoteRef/>
      </w:r>
      <w:r>
        <w:t xml:space="preserve"> Секретариат Конвенции по мигрирующим видам также предоставил перевод на испанский и французский языки.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4A6C4" w14:textId="12229345" w:rsidR="00796A75" w:rsidRDefault="00796A75" w:rsidP="00017F3E">
    <w:pPr>
      <w:pStyle w:val="Header"/>
      <w:spacing w:after="240"/>
    </w:pPr>
    <w:sdt>
      <w:sdtPr>
        <w:rPr>
          <w:szCs w:val="20"/>
        </w:rPr>
        <w:alias w:val="Subject"/>
        <w:tag w:val=""/>
        <w:id w:val="1907649216"/>
        <w:dataBinding w:prefixMappings="xmlns:ns0='http://purl.org/dc/elements/1.1/' xmlns:ns1='http://schemas.openxmlformats.org/package/2006/metadata/core-properties' " w:xpath="/ns1:coreProperties[1]/ns0:subject[1]" w:storeItemID="{6C3C8BC8-F283-45AE-878A-BAB7291924A1}"/>
        <w:text/>
      </w:sdtPr>
      <w:sdtContent>
        <w:r w:rsidR="006829C9">
          <w:rPr>
            <w:szCs w:val="20"/>
          </w:rPr>
          <w:t>CBD/COP/16/6/Add.2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E544380" w14:textId="1ABB22C8" w:rsidR="00796A75" w:rsidRPr="002B559C" w:rsidRDefault="006829C9" w:rsidP="002B559C">
        <w:pPr>
          <w:pStyle w:val="Header"/>
          <w:spacing w:after="240"/>
          <w:jc w:val="right"/>
          <w:rPr>
            <w:szCs w:val="20"/>
            <w:lang w:val="fr-FR"/>
          </w:rPr>
        </w:pPr>
        <w:r>
          <w:rPr>
            <w:szCs w:val="20"/>
          </w:rPr>
          <w:t>CBD/COP/16/6/Add.2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F70C7" w14:textId="77777777" w:rsidR="00796A75" w:rsidRDefault="00796A75" w:rsidP="003E3F67">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3CA8605D" w14:textId="03E53321" w:rsidR="00B72A5B" w:rsidRPr="002B559C"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szCs w:val="20"/>
            <w:lang w:val="fr-FR"/>
          </w:rPr>
          <w:t>CBD/COP/16</w:t>
        </w:r>
        <w:r w:rsidR="008D4F32">
          <w:rPr>
            <w:szCs w:val="20"/>
            <w:lang w:val="fr-FR"/>
          </w:rPr>
          <w:t>/</w:t>
        </w:r>
        <w:r w:rsidR="006829C9">
          <w:rPr>
            <w:szCs w:val="20"/>
            <w:lang w:val="fr-FR"/>
          </w:rPr>
          <w:t>6/Add.2</w:t>
        </w:r>
      </w:sdtContent>
    </w:sdt>
    <w:bookmarkEnd w:id="2"/>
    <w:bookmarkEnd w:id="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0F0DE" w14:textId="7C5FBDFD" w:rsidR="00FB22B3" w:rsidRPr="006829C9" w:rsidRDefault="00FB22B3">
    <w:pPr>
      <w:pStyle w:val="Header"/>
      <w:rPr>
        <w:lang w:val="en-GB"/>
      </w:rPr>
    </w:pPr>
    <w:r>
      <w:t>CBD/COP/16/</w:t>
    </w:r>
    <w:r w:rsidR="006829C9">
      <w:rPr>
        <w:lang w:val="en-GB"/>
      </w:rPr>
      <w:t>6/Add.2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A74EFB"/>
    <w:multiLevelType w:val="hybridMultilevel"/>
    <w:tmpl w:val="C1045E3A"/>
    <w:lvl w:ilvl="0" w:tplc="A1083DA8">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5"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2"/>
  </w:num>
  <w:num w:numId="2" w16cid:durableId="1988515417">
    <w:abstractNumId w:val="7"/>
  </w:num>
  <w:num w:numId="3" w16cid:durableId="1732996715">
    <w:abstractNumId w:val="5"/>
  </w:num>
  <w:num w:numId="4" w16cid:durableId="1644120796">
    <w:abstractNumId w:val="10"/>
  </w:num>
  <w:num w:numId="5" w16cid:durableId="525100487">
    <w:abstractNumId w:val="4"/>
  </w:num>
  <w:num w:numId="6" w16cid:durableId="1264193161">
    <w:abstractNumId w:val="1"/>
  </w:num>
  <w:num w:numId="7" w16cid:durableId="266163824">
    <w:abstractNumId w:val="6"/>
  </w:num>
  <w:num w:numId="8" w16cid:durableId="1605110980">
    <w:abstractNumId w:val="3"/>
  </w:num>
  <w:num w:numId="9" w16cid:durableId="1254162567">
    <w:abstractNumId w:val="8"/>
  </w:num>
  <w:num w:numId="10" w16cid:durableId="1153183067">
    <w:abstractNumId w:val="8"/>
  </w:num>
  <w:num w:numId="11" w16cid:durableId="1112554594">
    <w:abstractNumId w:val="8"/>
  </w:num>
  <w:num w:numId="12" w16cid:durableId="993223242">
    <w:abstractNumId w:val="8"/>
  </w:num>
  <w:num w:numId="13" w16cid:durableId="10766130">
    <w:abstractNumId w:val="8"/>
  </w:num>
  <w:num w:numId="14" w16cid:durableId="114830616">
    <w:abstractNumId w:val="8"/>
  </w:num>
  <w:num w:numId="15" w16cid:durableId="509217349">
    <w:abstractNumId w:val="9"/>
  </w:num>
  <w:num w:numId="16" w16cid:durableId="639649869">
    <w:abstractNumId w:val="9"/>
  </w:num>
  <w:num w:numId="17" w16cid:durableId="1785491048">
    <w:abstractNumId w:val="9"/>
  </w:num>
  <w:num w:numId="18" w16cid:durableId="1849638546">
    <w:abstractNumId w:val="9"/>
  </w:num>
  <w:num w:numId="19" w16cid:durableId="520123086">
    <w:abstractNumId w:val="3"/>
  </w:num>
  <w:num w:numId="20" w16cid:durableId="1180001417">
    <w:abstractNumId w:val="3"/>
  </w:num>
  <w:num w:numId="21" w16cid:durableId="2138986664">
    <w:abstractNumId w:val="3"/>
  </w:num>
  <w:num w:numId="22" w16cid:durableId="1403944776">
    <w:abstractNumId w:val="3"/>
  </w:num>
  <w:num w:numId="23" w16cid:durableId="139811880">
    <w:abstractNumId w:val="3"/>
  </w:num>
  <w:num w:numId="24" w16cid:durableId="1155100421">
    <w:abstractNumId w:val="3"/>
  </w:num>
  <w:num w:numId="25" w16cid:durableId="146367143">
    <w:abstractNumId w:val="3"/>
  </w:num>
  <w:num w:numId="26" w16cid:durableId="971014049">
    <w:abstractNumId w:val="3"/>
  </w:num>
  <w:num w:numId="27" w16cid:durableId="1668556452">
    <w:abstractNumId w:val="3"/>
  </w:num>
  <w:num w:numId="28" w16cid:durableId="1792048550">
    <w:abstractNumId w:val="3"/>
  </w:num>
  <w:num w:numId="29" w16cid:durableId="673803533">
    <w:abstractNumId w:val="3"/>
  </w:num>
  <w:num w:numId="30" w16cid:durableId="509763509">
    <w:abstractNumId w:val="3"/>
  </w:num>
  <w:num w:numId="31" w16cid:durableId="425538670">
    <w:abstractNumId w:val="3"/>
  </w:num>
  <w:num w:numId="32" w16cid:durableId="1880586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63"/>
    <w:rsid w:val="00132EB4"/>
    <w:rsid w:val="0013387A"/>
    <w:rsid w:val="00136924"/>
    <w:rsid w:val="0014069C"/>
    <w:rsid w:val="00140FE9"/>
    <w:rsid w:val="00141756"/>
    <w:rsid w:val="00144A97"/>
    <w:rsid w:val="001466A1"/>
    <w:rsid w:val="00146FF9"/>
    <w:rsid w:val="00151393"/>
    <w:rsid w:val="00152DAC"/>
    <w:rsid w:val="001537FB"/>
    <w:rsid w:val="001550EF"/>
    <w:rsid w:val="001626A4"/>
    <w:rsid w:val="00162B23"/>
    <w:rsid w:val="00163403"/>
    <w:rsid w:val="00166349"/>
    <w:rsid w:val="00167EB5"/>
    <w:rsid w:val="0017029B"/>
    <w:rsid w:val="001703FB"/>
    <w:rsid w:val="001721ED"/>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4191"/>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07F"/>
    <w:rsid w:val="005C613C"/>
    <w:rsid w:val="005D29E1"/>
    <w:rsid w:val="005D4E37"/>
    <w:rsid w:val="005D4EED"/>
    <w:rsid w:val="005D511C"/>
    <w:rsid w:val="005D57C7"/>
    <w:rsid w:val="005D658E"/>
    <w:rsid w:val="005E0DF7"/>
    <w:rsid w:val="005E1822"/>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29C9"/>
    <w:rsid w:val="00684829"/>
    <w:rsid w:val="00685183"/>
    <w:rsid w:val="0069353E"/>
    <w:rsid w:val="00693B2F"/>
    <w:rsid w:val="00696A84"/>
    <w:rsid w:val="006A1DDC"/>
    <w:rsid w:val="006A47AA"/>
    <w:rsid w:val="006A615C"/>
    <w:rsid w:val="006A7D54"/>
    <w:rsid w:val="006B070D"/>
    <w:rsid w:val="006B0F5D"/>
    <w:rsid w:val="006B293D"/>
    <w:rsid w:val="006B46E9"/>
    <w:rsid w:val="006B7D50"/>
    <w:rsid w:val="006C1386"/>
    <w:rsid w:val="006C3C92"/>
    <w:rsid w:val="006C46BA"/>
    <w:rsid w:val="006D2211"/>
    <w:rsid w:val="006D3C99"/>
    <w:rsid w:val="006D3CF4"/>
    <w:rsid w:val="006D761D"/>
    <w:rsid w:val="006E242D"/>
    <w:rsid w:val="006E2940"/>
    <w:rsid w:val="006E30BC"/>
    <w:rsid w:val="006E3589"/>
    <w:rsid w:val="006E3DB9"/>
    <w:rsid w:val="006E62CF"/>
    <w:rsid w:val="006F0EFA"/>
    <w:rsid w:val="006F396E"/>
    <w:rsid w:val="006F3CB1"/>
    <w:rsid w:val="00700376"/>
    <w:rsid w:val="007004B5"/>
    <w:rsid w:val="007016F8"/>
    <w:rsid w:val="00703E3F"/>
    <w:rsid w:val="00704C91"/>
    <w:rsid w:val="00706247"/>
    <w:rsid w:val="00710042"/>
    <w:rsid w:val="00713272"/>
    <w:rsid w:val="00722283"/>
    <w:rsid w:val="00723BE1"/>
    <w:rsid w:val="00723F38"/>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6DE9"/>
    <w:rsid w:val="00777B20"/>
    <w:rsid w:val="00777EBB"/>
    <w:rsid w:val="007928DC"/>
    <w:rsid w:val="0079325E"/>
    <w:rsid w:val="00793AD6"/>
    <w:rsid w:val="00793B26"/>
    <w:rsid w:val="00794278"/>
    <w:rsid w:val="0079518B"/>
    <w:rsid w:val="00796A75"/>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36C5"/>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22F7"/>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57458"/>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D94"/>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04F6"/>
    <w:rsid w:val="00A10F51"/>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F5D"/>
    <w:rsid w:val="00AB388D"/>
    <w:rsid w:val="00AB563E"/>
    <w:rsid w:val="00AC4869"/>
    <w:rsid w:val="00AD0215"/>
    <w:rsid w:val="00AD504F"/>
    <w:rsid w:val="00AD6199"/>
    <w:rsid w:val="00AE1208"/>
    <w:rsid w:val="00AE1A95"/>
    <w:rsid w:val="00AF2BE0"/>
    <w:rsid w:val="00AF30AF"/>
    <w:rsid w:val="00AF3664"/>
    <w:rsid w:val="00AF4B54"/>
    <w:rsid w:val="00B00493"/>
    <w:rsid w:val="00B008D7"/>
    <w:rsid w:val="00B02190"/>
    <w:rsid w:val="00B055C8"/>
    <w:rsid w:val="00B05E9E"/>
    <w:rsid w:val="00B07B0D"/>
    <w:rsid w:val="00B1273C"/>
    <w:rsid w:val="00B138ED"/>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A5D7B"/>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B6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076F1E"/>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ru-RU"/>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ru-RU"/>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ru-RU"/>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ru-RU"/>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ru-RU"/>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8"/>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ru-RU"/>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Template>
  <TotalTime>14</TotalTime>
  <Pages>4</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CBD/COP/16/6/Add.2</dc:subject>
  <dc:creator>guilherme.patury</dc:creator>
  <cp:keywords/>
  <dc:description/>
  <cp:lastModifiedBy>Natalia Morozova</cp:lastModifiedBy>
  <cp:revision>11</cp:revision>
  <dcterms:created xsi:type="dcterms:W3CDTF">2024-09-26T21:22:00Z</dcterms:created>
  <dcterms:modified xsi:type="dcterms:W3CDTF">2024-09-26T21:36:00Z</dcterms:modified>
</cp:coreProperties>
</file>