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FF1AFD" w14:paraId="07F6750D" w14:textId="77777777" w:rsidTr="00DE24F6">
        <w:trPr>
          <w:trHeight w:val="844"/>
        </w:trPr>
        <w:tc>
          <w:tcPr>
            <w:tcW w:w="976" w:type="dxa"/>
            <w:tcBorders>
              <w:bottom w:val="single" w:sz="12" w:space="0" w:color="auto"/>
            </w:tcBorders>
          </w:tcPr>
          <w:p w14:paraId="1DEFF495" w14:textId="77777777" w:rsidR="00C9161D" w:rsidRPr="00092D21" w:rsidRDefault="00C9161D" w:rsidP="003B5508">
            <w:pPr>
              <w:suppressLineNumbers/>
              <w:suppressAutoHyphens/>
              <w:rPr>
                <w:snapToGrid w:val="0"/>
                <w:kern w:val="22"/>
              </w:rPr>
            </w:pPr>
            <w:r w:rsidRPr="00092D21">
              <w:rPr>
                <w:noProof/>
                <w:snapToGrid w:val="0"/>
                <w:kern w:val="22"/>
                <w:lang w:val="fr-CA" w:eastAsia="fr-CA"/>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282BC480" w:rsidR="00FA663B" w:rsidRPr="00092D21" w:rsidRDefault="008A56BA" w:rsidP="003B5508">
            <w:pPr>
              <w:suppressLineNumbers/>
              <w:suppressAutoHyphens/>
              <w:rPr>
                <w:snapToGrid w:val="0"/>
                <w:kern w:val="22"/>
              </w:rPr>
            </w:pPr>
            <w:r w:rsidRPr="008A56BA">
              <w:rPr>
                <w:noProof/>
                <w:lang w:val="fr-CA" w:eastAsia="fr-CA"/>
              </w:rPr>
              <w:drawing>
                <wp:inline distT="0" distB="0" distL="0" distR="0" wp14:anchorId="321E3020" wp14:editId="4B291C5B">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092D21" w:rsidRDefault="00C9161D" w:rsidP="003B5508">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r w:rsidR="00C9161D" w:rsidRPr="00A035CF" w14:paraId="6F751905" w14:textId="77777777" w:rsidTr="00CF1848">
        <w:tc>
          <w:tcPr>
            <w:tcW w:w="6117" w:type="dxa"/>
            <w:gridSpan w:val="2"/>
            <w:tcBorders>
              <w:top w:val="single" w:sz="12" w:space="0" w:color="auto"/>
              <w:bottom w:val="single" w:sz="36" w:space="0" w:color="auto"/>
            </w:tcBorders>
            <w:vAlign w:val="center"/>
          </w:tcPr>
          <w:p w14:paraId="14F52A6C" w14:textId="639B7DB0" w:rsidR="00C9161D" w:rsidRPr="00A035CF" w:rsidRDefault="008A56BA" w:rsidP="003B5508">
            <w:pPr>
              <w:suppressLineNumbers/>
              <w:suppressAutoHyphens/>
              <w:rPr>
                <w:snapToGrid w:val="0"/>
                <w:kern w:val="22"/>
                <w:lang w:val="fr-CA"/>
              </w:rPr>
            </w:pPr>
            <w:r w:rsidRPr="00A035CF">
              <w:rPr>
                <w:noProof/>
                <w:lang w:val="fr-CA" w:eastAsia="fr-CA"/>
              </w:rPr>
              <w:drawing>
                <wp:inline distT="0" distB="0" distL="0" distR="0" wp14:anchorId="5F31A6F9" wp14:editId="0EDF76BA">
                  <wp:extent cx="2860675" cy="1073785"/>
                  <wp:effectExtent l="0" t="0" r="0" b="0"/>
                  <wp:docPr id="2"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A035CF" w:rsidRDefault="00C9161D" w:rsidP="003B5508">
            <w:pPr>
              <w:suppressLineNumbers/>
              <w:suppressAutoHyphens/>
              <w:ind w:left="1215"/>
              <w:rPr>
                <w:snapToGrid w:val="0"/>
                <w:kern w:val="22"/>
                <w:szCs w:val="22"/>
                <w:lang w:val="fr-CA"/>
              </w:rPr>
            </w:pPr>
            <w:proofErr w:type="spellStart"/>
            <w:r w:rsidRPr="00A035CF">
              <w:rPr>
                <w:snapToGrid w:val="0"/>
                <w:kern w:val="22"/>
                <w:szCs w:val="22"/>
                <w:lang w:val="fr-CA"/>
              </w:rPr>
              <w:t>Distr</w:t>
            </w:r>
            <w:proofErr w:type="spellEnd"/>
            <w:r w:rsidRPr="00A035CF">
              <w:rPr>
                <w:snapToGrid w:val="0"/>
                <w:kern w:val="22"/>
                <w:szCs w:val="22"/>
                <w:lang w:val="fr-CA"/>
              </w:rPr>
              <w:t>.</w:t>
            </w:r>
          </w:p>
          <w:p w14:paraId="35000EB4" w14:textId="5B417194" w:rsidR="005B5F5F" w:rsidRPr="00A035CF" w:rsidRDefault="00424872" w:rsidP="003B5508">
            <w:pPr>
              <w:suppressLineNumbers/>
              <w:suppressAutoHyphens/>
              <w:ind w:left="1215"/>
              <w:jc w:val="left"/>
              <w:rPr>
                <w:snapToGrid w:val="0"/>
                <w:kern w:val="22"/>
                <w:szCs w:val="22"/>
                <w:lang w:val="fr-CA"/>
              </w:rPr>
            </w:pPr>
            <w:sdt>
              <w:sdtPr>
                <w:rPr>
                  <w:snapToGrid w:val="0"/>
                  <w:kern w:val="22"/>
                  <w:szCs w:val="22"/>
                  <w:lang w:val="fr-CA"/>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8A56BA" w:rsidRPr="00A035CF">
                  <w:rPr>
                    <w:snapToGrid w:val="0"/>
                    <w:kern w:val="22"/>
                    <w:szCs w:val="22"/>
                    <w:lang w:val="fr-CA"/>
                  </w:rPr>
                  <w:t>GÉNÉRALE</w:t>
                </w:r>
              </w:sdtContent>
            </w:sdt>
          </w:p>
          <w:p w14:paraId="06715052" w14:textId="77777777" w:rsidR="00C9161D" w:rsidRPr="00A035CF" w:rsidRDefault="00C9161D" w:rsidP="003B5508">
            <w:pPr>
              <w:suppressLineNumbers/>
              <w:suppressAutoHyphens/>
              <w:ind w:left="1215"/>
              <w:rPr>
                <w:snapToGrid w:val="0"/>
                <w:kern w:val="22"/>
                <w:szCs w:val="22"/>
                <w:lang w:val="fr-CA"/>
              </w:rPr>
            </w:pPr>
          </w:p>
          <w:p w14:paraId="44230134" w14:textId="2AB838D8" w:rsidR="00C9161D" w:rsidRPr="00A035CF" w:rsidRDefault="00424872" w:rsidP="003B5508">
            <w:pPr>
              <w:suppressLineNumbers/>
              <w:suppressAutoHyphens/>
              <w:ind w:left="1215"/>
              <w:rPr>
                <w:snapToGrid w:val="0"/>
                <w:kern w:val="22"/>
                <w:szCs w:val="22"/>
                <w:lang w:val="fr-CA"/>
              </w:rPr>
            </w:pPr>
            <w:sdt>
              <w:sdtPr>
                <w:rPr>
                  <w:snapToGrid w:val="0"/>
                  <w:kern w:val="22"/>
                  <w:szCs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C4770" w:rsidRPr="00A035CF">
                  <w:rPr>
                    <w:snapToGrid w:val="0"/>
                    <w:kern w:val="22"/>
                    <w:szCs w:val="22"/>
                    <w:lang w:val="fr-CA"/>
                  </w:rPr>
                  <w:t>CBD/WG2020/4/1/Add.1</w:t>
                </w:r>
              </w:sdtContent>
            </w:sdt>
          </w:p>
          <w:p w14:paraId="55B9DF90" w14:textId="51A248F3" w:rsidR="00BB517D" w:rsidRPr="00A035CF" w:rsidRDefault="00424872" w:rsidP="003B5508">
            <w:pPr>
              <w:suppressLineNumbers/>
              <w:suppressAutoHyphens/>
              <w:ind w:left="1215"/>
              <w:jc w:val="left"/>
              <w:rPr>
                <w:snapToGrid w:val="0"/>
                <w:kern w:val="22"/>
                <w:szCs w:val="22"/>
                <w:lang w:val="fr-CA"/>
              </w:rPr>
            </w:pPr>
            <w:sdt>
              <w:sdtPr>
                <w:rPr>
                  <w:snapToGrid w:val="0"/>
                  <w:kern w:val="22"/>
                  <w:szCs w:val="22"/>
                  <w:lang w:val="fr-CA"/>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4-20T00:00:00Z">
                  <w:dateFormat w:val="d MMMM yyyy"/>
                  <w:lid w:val="en-US"/>
                  <w:storeMappedDataAs w:val="dateTime"/>
                  <w:calendar w:val="gregorian"/>
                </w:date>
              </w:sdtPr>
              <w:sdtEndPr/>
              <w:sdtContent>
                <w:r w:rsidR="0029476B">
                  <w:rPr>
                    <w:snapToGrid w:val="0"/>
                    <w:kern w:val="22"/>
                    <w:szCs w:val="22"/>
                    <w:lang w:val="en-US"/>
                  </w:rPr>
                  <w:t>20 April 2022</w:t>
                </w:r>
              </w:sdtContent>
            </w:sdt>
          </w:p>
          <w:p w14:paraId="159892DF" w14:textId="77777777" w:rsidR="00C9161D" w:rsidRPr="00A035CF" w:rsidRDefault="00C9161D" w:rsidP="003B5508">
            <w:pPr>
              <w:suppressLineNumbers/>
              <w:suppressAutoHyphens/>
              <w:ind w:left="1215"/>
              <w:rPr>
                <w:snapToGrid w:val="0"/>
                <w:kern w:val="22"/>
                <w:szCs w:val="22"/>
                <w:lang w:val="fr-CA"/>
              </w:rPr>
            </w:pPr>
          </w:p>
          <w:p w14:paraId="6A97DC49" w14:textId="77777777" w:rsidR="008A56BA" w:rsidRPr="00A035CF" w:rsidRDefault="008A56BA" w:rsidP="003B5508">
            <w:pPr>
              <w:suppressLineNumbers/>
              <w:suppressAutoHyphens/>
              <w:ind w:left="1215"/>
              <w:rPr>
                <w:snapToGrid w:val="0"/>
                <w:kern w:val="22"/>
                <w:szCs w:val="22"/>
                <w:lang w:val="fr-CA"/>
              </w:rPr>
            </w:pPr>
          </w:p>
          <w:p w14:paraId="717BE9E3" w14:textId="77777777" w:rsidR="008A56BA" w:rsidRPr="00A035CF" w:rsidRDefault="008A56BA" w:rsidP="003B5508">
            <w:pPr>
              <w:suppressLineNumbers/>
              <w:suppressAutoHyphens/>
              <w:ind w:left="1215"/>
              <w:rPr>
                <w:snapToGrid w:val="0"/>
                <w:kern w:val="22"/>
                <w:szCs w:val="22"/>
                <w:lang w:val="fr-CA"/>
              </w:rPr>
            </w:pPr>
            <w:r w:rsidRPr="00A035CF">
              <w:rPr>
                <w:snapToGrid w:val="0"/>
                <w:kern w:val="22"/>
                <w:szCs w:val="22"/>
                <w:lang w:val="fr-CA"/>
              </w:rPr>
              <w:t>FRANÇAIS</w:t>
            </w:r>
          </w:p>
          <w:p w14:paraId="19472D49" w14:textId="3E306572" w:rsidR="00C9161D" w:rsidRPr="00A035CF" w:rsidRDefault="008A56BA" w:rsidP="003B5508">
            <w:pPr>
              <w:suppressLineNumbers/>
              <w:suppressAutoHyphens/>
              <w:ind w:left="1215"/>
              <w:rPr>
                <w:snapToGrid w:val="0"/>
                <w:kern w:val="22"/>
                <w:szCs w:val="22"/>
                <w:lang w:val="fr-CA"/>
              </w:rPr>
            </w:pPr>
            <w:r w:rsidRPr="00A035CF">
              <w:rPr>
                <w:snapToGrid w:val="0"/>
                <w:kern w:val="22"/>
                <w:szCs w:val="22"/>
                <w:lang w:val="fr-CA"/>
              </w:rPr>
              <w:t>ORIGINAL : ANGLAIS</w:t>
            </w:r>
          </w:p>
          <w:p w14:paraId="5AA10CCE" w14:textId="77777777" w:rsidR="00C9161D" w:rsidRPr="00A035CF" w:rsidRDefault="00C9161D" w:rsidP="003B5508">
            <w:pPr>
              <w:suppressLineNumbers/>
              <w:suppressAutoHyphens/>
              <w:rPr>
                <w:snapToGrid w:val="0"/>
                <w:kern w:val="22"/>
                <w:szCs w:val="22"/>
                <w:lang w:val="fr-CA"/>
              </w:rPr>
            </w:pPr>
          </w:p>
        </w:tc>
      </w:tr>
    </w:tbl>
    <w:p w14:paraId="367C8825" w14:textId="77777777" w:rsidR="008A56BA" w:rsidRPr="00A035CF" w:rsidRDefault="008A56BA" w:rsidP="008A56BA">
      <w:pPr>
        <w:pStyle w:val="meetingname"/>
        <w:suppressLineNumbers/>
        <w:suppressAutoHyphens/>
        <w:ind w:right="5391"/>
        <w:jc w:val="left"/>
        <w:rPr>
          <w:kern w:val="22"/>
          <w:lang w:val="fr-CA"/>
        </w:rPr>
      </w:pPr>
      <w:r w:rsidRPr="00A035CF">
        <w:rPr>
          <w:caps w:val="0"/>
          <w:kern w:val="22"/>
          <w:lang w:val="fr-CA"/>
        </w:rPr>
        <w:t>GROUPE DE TRAVAIL À COMPOSITION NON LIMITÉE SUR LE CADRE MONDIAL DE LA BIODIVERSITÉ POUR L’APRÈS-2020</w:t>
      </w:r>
    </w:p>
    <w:p w14:paraId="627FB560" w14:textId="023CC1FF" w:rsidR="008A56BA" w:rsidRPr="00A035CF" w:rsidRDefault="008A56BA" w:rsidP="008A56BA">
      <w:pPr>
        <w:ind w:left="284" w:hanging="284"/>
        <w:jc w:val="left"/>
        <w:rPr>
          <w:snapToGrid w:val="0"/>
          <w:kern w:val="22"/>
          <w:szCs w:val="22"/>
          <w:lang w:val="fr-CA" w:eastAsia="nb-NO"/>
        </w:rPr>
      </w:pPr>
      <w:r w:rsidRPr="00A035CF">
        <w:rPr>
          <w:snapToGrid w:val="0"/>
          <w:kern w:val="22"/>
          <w:szCs w:val="22"/>
          <w:lang w:val="fr-CA" w:eastAsia="nb-NO"/>
        </w:rPr>
        <w:t xml:space="preserve">Quatrième réunion </w:t>
      </w:r>
    </w:p>
    <w:p w14:paraId="617EF6D0" w14:textId="1B46A3D2" w:rsidR="00134846" w:rsidRPr="00A035CF" w:rsidRDefault="008A56BA" w:rsidP="008A56BA">
      <w:pPr>
        <w:suppressLineNumbers/>
        <w:suppressAutoHyphens/>
        <w:ind w:left="142" w:right="4824" w:hanging="142"/>
        <w:jc w:val="left"/>
        <w:rPr>
          <w:snapToGrid w:val="0"/>
          <w:kern w:val="22"/>
          <w:szCs w:val="22"/>
          <w:lang w:val="fr-CA" w:eastAsia="nb-NO"/>
        </w:rPr>
      </w:pPr>
      <w:r w:rsidRPr="00A035CF">
        <w:rPr>
          <w:snapToGrid w:val="0"/>
          <w:kern w:val="22"/>
          <w:szCs w:val="22"/>
          <w:lang w:val="fr-CA" w:eastAsia="nb-NO"/>
        </w:rPr>
        <w:t>Nairobi, 21-26 juin 2022</w:t>
      </w:r>
    </w:p>
    <w:p w14:paraId="19929EC5" w14:textId="516A4F64" w:rsidR="000A72BA" w:rsidRPr="00A035CF" w:rsidRDefault="00424872" w:rsidP="00092D21">
      <w:pPr>
        <w:pStyle w:val="Heading1"/>
        <w:tabs>
          <w:tab w:val="clear" w:pos="720"/>
        </w:tabs>
        <w:rPr>
          <w:snapToGrid w:val="0"/>
          <w:kern w:val="22"/>
          <w:szCs w:val="22"/>
          <w:lang w:val="fr-CA"/>
        </w:rPr>
      </w:pPr>
      <w:sdt>
        <w:sdtPr>
          <w:rPr>
            <w:snapToGrid w:val="0"/>
            <w:kern w:val="22"/>
            <w:szCs w:val="22"/>
            <w:lang w:val="fr-CA"/>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875AAE" w:rsidRPr="00A035CF">
            <w:rPr>
              <w:snapToGrid w:val="0"/>
              <w:kern w:val="22"/>
              <w:szCs w:val="22"/>
              <w:lang w:val="fr-CA"/>
            </w:rPr>
            <w:t>ORDRE DU JOUR PROVISOIRE ANNOTÉ</w:t>
          </w:r>
        </w:sdtContent>
      </w:sdt>
    </w:p>
    <w:p w14:paraId="371C9F8D" w14:textId="61C09E33" w:rsidR="0074765E" w:rsidRPr="00A035CF" w:rsidRDefault="00875AAE" w:rsidP="0074765E">
      <w:pPr>
        <w:pStyle w:val="Para1"/>
        <w:numPr>
          <w:ilvl w:val="0"/>
          <w:numId w:val="35"/>
        </w:numPr>
        <w:suppressLineNumbers/>
        <w:tabs>
          <w:tab w:val="clear" w:pos="360"/>
          <w:tab w:val="left" w:pos="720"/>
        </w:tabs>
        <w:suppressAutoHyphens/>
        <w:snapToGrid w:val="0"/>
        <w:rPr>
          <w:kern w:val="22"/>
          <w:szCs w:val="22"/>
          <w:lang w:val="fr-CA"/>
        </w:rPr>
      </w:pPr>
      <w:r w:rsidRPr="00A035CF">
        <w:rPr>
          <w:rFonts w:eastAsia="Malgun Gothic"/>
          <w:kern w:val="22"/>
          <w:szCs w:val="22"/>
          <w:lang w:val="fr-CA"/>
        </w:rPr>
        <w:t>La Conférence des Parties, à sa quatorzième réunion, a adopté le processus préparatoire du cadre mondial de la biodiversité pour l'après-2020 (dé</w:t>
      </w:r>
      <w:r w:rsidR="0074765E" w:rsidRPr="00A035CF">
        <w:rPr>
          <w:rFonts w:eastAsia="Malgun Gothic"/>
          <w:kern w:val="22"/>
          <w:szCs w:val="22"/>
          <w:lang w:val="fr-CA"/>
        </w:rPr>
        <w:t xml:space="preserve">cision </w:t>
      </w:r>
      <w:hyperlink r:id="rId15" w:history="1">
        <w:r w:rsidR="0074765E" w:rsidRPr="00A035CF">
          <w:rPr>
            <w:rStyle w:val="Hyperlink"/>
            <w:rFonts w:eastAsia="Malgun Gothic"/>
            <w:kern w:val="22"/>
            <w:sz w:val="22"/>
            <w:szCs w:val="22"/>
            <w:lang w:val="fr-CA"/>
          </w:rPr>
          <w:t>14/34</w:t>
        </w:r>
      </w:hyperlink>
      <w:r w:rsidR="0074765E" w:rsidRPr="00A035CF">
        <w:rPr>
          <w:rFonts w:eastAsia="Malgun Gothic"/>
          <w:kern w:val="22"/>
          <w:szCs w:val="22"/>
          <w:lang w:val="fr-CA"/>
        </w:rPr>
        <w:t xml:space="preserve">) </w:t>
      </w:r>
      <w:r w:rsidRPr="00A035CF">
        <w:rPr>
          <w:rFonts w:eastAsia="Malgun Gothic"/>
          <w:kern w:val="22"/>
          <w:szCs w:val="22"/>
          <w:lang w:val="fr-CA"/>
        </w:rPr>
        <w:t>e</w:t>
      </w:r>
      <w:r w:rsidR="00B44B2D" w:rsidRPr="00A035CF">
        <w:rPr>
          <w:rFonts w:eastAsia="Malgun Gothic"/>
          <w:kern w:val="22"/>
          <w:szCs w:val="22"/>
          <w:lang w:val="fr-CA"/>
        </w:rPr>
        <w:t xml:space="preserve">t créé </w:t>
      </w:r>
      <w:r w:rsidR="000700C0">
        <w:rPr>
          <w:rFonts w:eastAsia="Malgun Gothic"/>
          <w:kern w:val="22"/>
          <w:szCs w:val="22"/>
          <w:lang w:val="fr-CA"/>
        </w:rPr>
        <w:t>un</w:t>
      </w:r>
      <w:r w:rsidRPr="00A035CF">
        <w:rPr>
          <w:rFonts w:eastAsia="Malgun Gothic"/>
          <w:kern w:val="22"/>
          <w:szCs w:val="22"/>
          <w:lang w:val="fr-CA"/>
        </w:rPr>
        <w:t xml:space="preserve"> groupe de travail intersessions à composition non </w:t>
      </w:r>
      <w:r w:rsidR="008736BC" w:rsidRPr="00A035CF">
        <w:rPr>
          <w:rFonts w:eastAsia="Malgun Gothic"/>
          <w:kern w:val="22"/>
          <w:szCs w:val="22"/>
          <w:lang w:val="fr-CA"/>
        </w:rPr>
        <w:t>limitée</w:t>
      </w:r>
      <w:r w:rsidRPr="00A035CF">
        <w:rPr>
          <w:rFonts w:eastAsia="Malgun Gothic"/>
          <w:kern w:val="22"/>
          <w:szCs w:val="22"/>
          <w:lang w:val="fr-CA"/>
        </w:rPr>
        <w:t xml:space="preserve"> </w:t>
      </w:r>
      <w:r w:rsidR="008736BC" w:rsidRPr="00A035CF">
        <w:rPr>
          <w:rFonts w:eastAsia="Malgun Gothic"/>
          <w:kern w:val="22"/>
          <w:szCs w:val="22"/>
          <w:lang w:val="fr-CA"/>
        </w:rPr>
        <w:t xml:space="preserve">en appui à </w:t>
      </w:r>
      <w:r w:rsidRPr="00A035CF">
        <w:rPr>
          <w:rFonts w:eastAsia="Malgun Gothic"/>
          <w:kern w:val="22"/>
          <w:szCs w:val="22"/>
          <w:lang w:val="fr-CA"/>
        </w:rPr>
        <w:t>la préparation du cadre mondial de la biodiversité pour l'après-2020.</w:t>
      </w:r>
      <w:r w:rsidR="00B1662B" w:rsidRPr="00A035CF">
        <w:rPr>
          <w:rFonts w:eastAsia="Malgun Gothic"/>
          <w:kern w:val="22"/>
          <w:szCs w:val="22"/>
          <w:lang w:val="fr-CA"/>
        </w:rPr>
        <w:t xml:space="preserve"> La Conférence des Parties siégeant en tant que réunion des Parties au Protocole de Cartagena a souligné </w:t>
      </w:r>
      <w:r w:rsidR="00B44B2D" w:rsidRPr="00A035CF">
        <w:rPr>
          <w:rFonts w:eastAsia="Malgun Gothic"/>
          <w:kern w:val="22"/>
          <w:szCs w:val="22"/>
          <w:lang w:val="fr-CA"/>
        </w:rPr>
        <w:t xml:space="preserve">l’importance d’inclure la prévention des risques biotechnologiques dans le </w:t>
      </w:r>
      <w:r w:rsidR="00B1662B" w:rsidRPr="00A035CF">
        <w:rPr>
          <w:rFonts w:eastAsia="Malgun Gothic"/>
          <w:kern w:val="22"/>
          <w:szCs w:val="22"/>
          <w:lang w:val="fr-CA"/>
        </w:rPr>
        <w:t xml:space="preserve">cadre mondial de la biodiversité pour l'après-2020 </w:t>
      </w:r>
      <w:r w:rsidR="00B44B2D" w:rsidRPr="00A035CF">
        <w:rPr>
          <w:rFonts w:eastAsia="Malgun Gothic"/>
          <w:kern w:val="22"/>
          <w:szCs w:val="22"/>
          <w:lang w:val="fr-CA"/>
        </w:rPr>
        <w:t>e</w:t>
      </w:r>
      <w:r w:rsidR="00B1662B" w:rsidRPr="00A035CF">
        <w:rPr>
          <w:rFonts w:eastAsia="Malgun Gothic"/>
          <w:kern w:val="22"/>
          <w:szCs w:val="22"/>
          <w:lang w:val="fr-CA"/>
        </w:rPr>
        <w:t xml:space="preserve">t a </w:t>
      </w:r>
      <w:r w:rsidR="00B44B2D" w:rsidRPr="00A035CF">
        <w:rPr>
          <w:rFonts w:eastAsia="Malgun Gothic"/>
          <w:kern w:val="22"/>
          <w:szCs w:val="22"/>
          <w:lang w:val="fr-CA"/>
        </w:rPr>
        <w:t xml:space="preserve">entrepris les démarches en vue de la préparation du volet de prévention des risques biotechnologiques du </w:t>
      </w:r>
      <w:r w:rsidR="00B1662B" w:rsidRPr="00A035CF">
        <w:rPr>
          <w:rFonts w:eastAsia="Malgun Gothic"/>
          <w:kern w:val="22"/>
          <w:szCs w:val="22"/>
          <w:lang w:val="fr-CA"/>
        </w:rPr>
        <w:t xml:space="preserve">cadre mondial de la biodiversité pour l'après-2020 </w:t>
      </w:r>
      <w:r w:rsidR="0074765E" w:rsidRPr="00A035CF">
        <w:rPr>
          <w:kern w:val="22"/>
          <w:szCs w:val="22"/>
          <w:lang w:val="fr-CA"/>
        </w:rPr>
        <w:t>(</w:t>
      </w:r>
      <w:r w:rsidR="00B1662B" w:rsidRPr="00A035CF">
        <w:rPr>
          <w:kern w:val="22"/>
          <w:szCs w:val="22"/>
          <w:lang w:val="fr-CA"/>
        </w:rPr>
        <w:t>dé</w:t>
      </w:r>
      <w:r w:rsidR="0074765E" w:rsidRPr="00A035CF">
        <w:rPr>
          <w:kern w:val="22"/>
          <w:szCs w:val="22"/>
          <w:lang w:val="fr-CA"/>
        </w:rPr>
        <w:t xml:space="preserve">cision </w:t>
      </w:r>
      <w:hyperlink r:id="rId16" w:history="1">
        <w:r w:rsidR="0074765E" w:rsidRPr="00A035CF">
          <w:rPr>
            <w:rStyle w:val="Hyperlink"/>
            <w:kern w:val="22"/>
            <w:sz w:val="22"/>
            <w:szCs w:val="22"/>
            <w:lang w:val="fr-CA"/>
          </w:rPr>
          <w:t>CP-9/7</w:t>
        </w:r>
      </w:hyperlink>
      <w:r w:rsidR="0074765E" w:rsidRPr="00A035CF">
        <w:rPr>
          <w:kern w:val="22"/>
          <w:szCs w:val="22"/>
          <w:lang w:val="fr-CA"/>
        </w:rPr>
        <w:t xml:space="preserve">). </w:t>
      </w:r>
      <w:r w:rsidR="00B44B2D" w:rsidRPr="00A035CF">
        <w:rPr>
          <w:kern w:val="22"/>
          <w:szCs w:val="22"/>
          <w:lang w:val="fr-CA"/>
        </w:rPr>
        <w:t xml:space="preserve">La Conférence des Parties siégeant en tant que réunion des Parties </w:t>
      </w:r>
      <w:r w:rsidR="008736BC" w:rsidRPr="00A035CF">
        <w:rPr>
          <w:kern w:val="22"/>
          <w:szCs w:val="22"/>
          <w:lang w:val="fr-CA"/>
        </w:rPr>
        <w:t xml:space="preserve">au Protocole de Nagoya a invité les Parties au Protocole à participer au processus </w:t>
      </w:r>
      <w:r w:rsidR="000700C0">
        <w:rPr>
          <w:kern w:val="22"/>
          <w:szCs w:val="22"/>
          <w:lang w:val="fr-CA"/>
        </w:rPr>
        <w:t>d’élaboration</w:t>
      </w:r>
      <w:r w:rsidR="008736BC" w:rsidRPr="00A035CF">
        <w:rPr>
          <w:kern w:val="22"/>
          <w:szCs w:val="22"/>
          <w:lang w:val="fr-CA"/>
        </w:rPr>
        <w:t xml:space="preserve"> du cadre mondial de la biodiversité pour l'après-2020 (décision </w:t>
      </w:r>
      <w:hyperlink r:id="rId17" w:history="1">
        <w:r w:rsidR="0074765E" w:rsidRPr="00A035CF">
          <w:rPr>
            <w:rStyle w:val="Hyperlink"/>
            <w:kern w:val="22"/>
            <w:sz w:val="22"/>
            <w:szCs w:val="22"/>
            <w:lang w:val="fr-CA"/>
          </w:rPr>
          <w:t>NP-3/15</w:t>
        </w:r>
      </w:hyperlink>
      <w:r w:rsidR="0074765E" w:rsidRPr="00A035CF">
        <w:rPr>
          <w:kern w:val="22"/>
          <w:szCs w:val="22"/>
          <w:lang w:val="fr-CA"/>
        </w:rPr>
        <w:t xml:space="preserve">). </w:t>
      </w:r>
      <w:r w:rsidR="003F18B9" w:rsidRPr="00A035CF">
        <w:rPr>
          <w:kern w:val="22"/>
          <w:szCs w:val="22"/>
          <w:lang w:val="fr-CA"/>
        </w:rPr>
        <w:t>D’autres décisions de la Conférence des Parties contiennent des éléments pertinents à la préparation du cadre mondial de la biodiversité pour l'après-2020</w:t>
      </w:r>
      <w:r w:rsidR="0074765E" w:rsidRPr="00A035CF">
        <w:rPr>
          <w:rFonts w:eastAsia="Malgun Gothic"/>
          <w:kern w:val="22"/>
          <w:szCs w:val="22"/>
          <w:lang w:val="fr-CA"/>
        </w:rPr>
        <w:t>.</w:t>
      </w:r>
      <w:r w:rsidR="0074765E" w:rsidRPr="00A035CF">
        <w:rPr>
          <w:rStyle w:val="FootnoteReference"/>
          <w:rFonts w:eastAsia="Malgun Gothic"/>
          <w:kern w:val="22"/>
          <w:szCs w:val="22"/>
          <w:lang w:val="fr-CA"/>
        </w:rPr>
        <w:footnoteReference w:id="1"/>
      </w:r>
    </w:p>
    <w:p w14:paraId="6021B777" w14:textId="35820244" w:rsidR="0074765E" w:rsidRPr="00A035CF" w:rsidRDefault="003F18B9" w:rsidP="0074765E">
      <w:pPr>
        <w:pStyle w:val="Para1"/>
        <w:numPr>
          <w:ilvl w:val="0"/>
          <w:numId w:val="35"/>
        </w:numPr>
        <w:suppressLineNumbers/>
        <w:tabs>
          <w:tab w:val="clear" w:pos="360"/>
          <w:tab w:val="left" w:pos="720"/>
        </w:tabs>
        <w:suppressAutoHyphens/>
        <w:snapToGrid w:val="0"/>
        <w:rPr>
          <w:kern w:val="22"/>
          <w:szCs w:val="22"/>
          <w:lang w:val="fr-CA"/>
        </w:rPr>
      </w:pPr>
      <w:r w:rsidRPr="00A035CF">
        <w:rPr>
          <w:rFonts w:eastAsia="Malgun Gothic"/>
          <w:kern w:val="22"/>
          <w:szCs w:val="22"/>
          <w:lang w:val="fr-CA"/>
        </w:rPr>
        <w:t>La Conférence des Parties a désigné</w:t>
      </w:r>
      <w:r w:rsidR="0074765E" w:rsidRPr="00A035CF">
        <w:rPr>
          <w:rFonts w:eastAsia="Malgun Gothic"/>
          <w:kern w:val="22"/>
          <w:szCs w:val="22"/>
          <w:lang w:val="fr-CA"/>
        </w:rPr>
        <w:t xml:space="preserve"> M</w:t>
      </w:r>
      <w:r w:rsidRPr="00A035CF">
        <w:rPr>
          <w:rFonts w:eastAsia="Malgun Gothic"/>
          <w:kern w:val="22"/>
          <w:szCs w:val="22"/>
          <w:lang w:val="fr-CA"/>
        </w:rPr>
        <w:t xml:space="preserve">. Francis </w:t>
      </w:r>
      <w:proofErr w:type="spellStart"/>
      <w:r w:rsidRPr="00A035CF">
        <w:rPr>
          <w:rFonts w:eastAsia="Malgun Gothic"/>
          <w:kern w:val="22"/>
          <w:szCs w:val="22"/>
          <w:lang w:val="fr-CA"/>
        </w:rPr>
        <w:t>Ogwal</w:t>
      </w:r>
      <w:proofErr w:type="spellEnd"/>
      <w:r w:rsidRPr="00A035CF">
        <w:rPr>
          <w:rFonts w:eastAsia="Malgun Gothic"/>
          <w:kern w:val="22"/>
          <w:szCs w:val="22"/>
          <w:lang w:val="fr-CA"/>
        </w:rPr>
        <w:t xml:space="preserve"> (Ou</w:t>
      </w:r>
      <w:r w:rsidR="0074765E" w:rsidRPr="00A035CF">
        <w:rPr>
          <w:rFonts w:eastAsia="Malgun Gothic"/>
          <w:kern w:val="22"/>
          <w:szCs w:val="22"/>
          <w:lang w:val="fr-CA"/>
        </w:rPr>
        <w:t xml:space="preserve">ganda) </w:t>
      </w:r>
      <w:r w:rsidRPr="00A035CF">
        <w:rPr>
          <w:rFonts w:eastAsia="Malgun Gothic"/>
          <w:kern w:val="22"/>
          <w:szCs w:val="22"/>
          <w:lang w:val="fr-CA"/>
        </w:rPr>
        <w:t>et M</w:t>
      </w:r>
      <w:r w:rsidR="0074765E" w:rsidRPr="00A035CF">
        <w:rPr>
          <w:rFonts w:eastAsia="Malgun Gothic"/>
          <w:kern w:val="22"/>
          <w:szCs w:val="22"/>
          <w:lang w:val="fr-CA"/>
        </w:rPr>
        <w:t xml:space="preserve">. Basile van Havre (Canada) </w:t>
      </w:r>
      <w:r w:rsidR="00767AAA" w:rsidRPr="00A035CF">
        <w:rPr>
          <w:rFonts w:eastAsia="Malgun Gothic"/>
          <w:kern w:val="22"/>
          <w:szCs w:val="22"/>
          <w:lang w:val="fr-CA"/>
        </w:rPr>
        <w:t>coprésidents du Groupe de travail</w:t>
      </w:r>
      <w:r w:rsidR="0074765E" w:rsidRPr="00A035CF">
        <w:rPr>
          <w:rFonts w:eastAsia="Malgun Gothic"/>
          <w:kern w:val="22"/>
          <w:szCs w:val="22"/>
          <w:lang w:val="fr-CA"/>
        </w:rPr>
        <w:t>.</w:t>
      </w:r>
      <w:r w:rsidR="0074765E" w:rsidRPr="00A035CF">
        <w:rPr>
          <w:rStyle w:val="FootnoteReference"/>
          <w:rFonts w:eastAsia="Malgun Gothic"/>
          <w:kern w:val="22"/>
          <w:szCs w:val="22"/>
          <w:lang w:val="fr-CA"/>
        </w:rPr>
        <w:footnoteReference w:id="2"/>
      </w:r>
      <w:r w:rsidR="0074765E" w:rsidRPr="00A035CF">
        <w:rPr>
          <w:rFonts w:eastAsia="Malgun Gothic"/>
          <w:kern w:val="22"/>
          <w:szCs w:val="22"/>
          <w:lang w:val="fr-CA"/>
        </w:rPr>
        <w:t xml:space="preserve"> </w:t>
      </w:r>
      <w:r w:rsidR="00767AAA" w:rsidRPr="00A035CF">
        <w:rPr>
          <w:rFonts w:eastAsia="Malgun Gothic"/>
          <w:kern w:val="22"/>
          <w:szCs w:val="22"/>
          <w:lang w:val="fr-CA"/>
        </w:rPr>
        <w:t>Le Bureau de la Conférence des Parties servira de Bureau du Groupe de travail, conformément au règlement intérieur</w:t>
      </w:r>
      <w:r w:rsidR="0074765E" w:rsidRPr="00A035CF">
        <w:rPr>
          <w:rFonts w:eastAsia="Malgun Gothic"/>
          <w:kern w:val="22"/>
          <w:szCs w:val="22"/>
          <w:lang w:val="fr-CA"/>
        </w:rPr>
        <w:t>.</w:t>
      </w:r>
    </w:p>
    <w:p w14:paraId="088848DE" w14:textId="43A4192F" w:rsidR="0074765E" w:rsidRPr="00A035CF" w:rsidRDefault="00767AAA" w:rsidP="0074765E">
      <w:pPr>
        <w:pStyle w:val="Para1"/>
        <w:numPr>
          <w:ilvl w:val="0"/>
          <w:numId w:val="35"/>
        </w:numPr>
        <w:suppressLineNumbers/>
        <w:tabs>
          <w:tab w:val="clear" w:pos="360"/>
          <w:tab w:val="left" w:pos="720"/>
        </w:tabs>
        <w:suppressAutoHyphens/>
        <w:snapToGrid w:val="0"/>
        <w:rPr>
          <w:kern w:val="22"/>
          <w:szCs w:val="22"/>
          <w:lang w:val="fr-CA"/>
        </w:rPr>
      </w:pPr>
      <w:r w:rsidRPr="00A035CF">
        <w:rPr>
          <w:rFonts w:eastAsia="Malgun Gothic"/>
          <w:kern w:val="22"/>
          <w:szCs w:val="22"/>
          <w:lang w:val="fr-CA"/>
        </w:rPr>
        <w:t>Le Groupe de travail sera formé de représentants des Parties à la Convention et aux protocoles, et ouvert aux observateurs, comme indiqué dans l’annexe à la décision 14/34</w:t>
      </w:r>
      <w:r w:rsidR="0074765E" w:rsidRPr="00A035CF">
        <w:rPr>
          <w:kern w:val="22"/>
          <w:szCs w:val="22"/>
          <w:lang w:val="fr-CA"/>
        </w:rPr>
        <w:t>.</w:t>
      </w:r>
    </w:p>
    <w:p w14:paraId="6F60310E" w14:textId="201948CF" w:rsidR="0074765E" w:rsidRPr="00A035CF" w:rsidRDefault="00767AAA" w:rsidP="0074765E">
      <w:pPr>
        <w:pStyle w:val="Para1"/>
        <w:numPr>
          <w:ilvl w:val="0"/>
          <w:numId w:val="35"/>
        </w:numPr>
        <w:suppressLineNumbers/>
        <w:tabs>
          <w:tab w:val="clear" w:pos="360"/>
          <w:tab w:val="left" w:pos="720"/>
        </w:tabs>
        <w:suppressAutoHyphens/>
        <w:snapToGrid w:val="0"/>
        <w:rPr>
          <w:kern w:val="22"/>
          <w:szCs w:val="22"/>
          <w:lang w:val="fr-CA"/>
        </w:rPr>
      </w:pPr>
      <w:r w:rsidRPr="00A035CF">
        <w:rPr>
          <w:rFonts w:eastAsia="Malgun Gothic"/>
          <w:kern w:val="22"/>
          <w:szCs w:val="22"/>
          <w:lang w:val="fr-CA"/>
        </w:rPr>
        <w:t>Le processus de négociation aboutira à l’adoption d’un cadre mondial de la biodiversité pour l'après-2020 par la Conférence des Parties à sa quinzième réunion et à son appui par les Conférence</w:t>
      </w:r>
      <w:r w:rsidR="00F548B6">
        <w:rPr>
          <w:rFonts w:eastAsia="Malgun Gothic"/>
          <w:kern w:val="22"/>
          <w:szCs w:val="22"/>
          <w:lang w:val="fr-CA"/>
        </w:rPr>
        <w:t>s</w:t>
      </w:r>
      <w:r w:rsidRPr="00A035CF">
        <w:rPr>
          <w:rFonts w:eastAsia="Malgun Gothic"/>
          <w:kern w:val="22"/>
          <w:szCs w:val="22"/>
          <w:lang w:val="fr-CA"/>
        </w:rPr>
        <w:t xml:space="preserve"> des Parties siégeant en tant que réunions des Parties aux Protocoles à leurs réunions</w:t>
      </w:r>
      <w:r w:rsidR="0074765E" w:rsidRPr="00A035CF">
        <w:rPr>
          <w:rFonts w:eastAsia="Malgun Gothic"/>
          <w:kern w:val="22"/>
          <w:szCs w:val="22"/>
          <w:lang w:val="fr-CA"/>
        </w:rPr>
        <w:t>.</w:t>
      </w:r>
      <w:r w:rsidR="0074765E" w:rsidRPr="00A035CF">
        <w:rPr>
          <w:rStyle w:val="FootnoteReference"/>
          <w:rFonts w:eastAsia="Malgun Gothic"/>
          <w:kern w:val="22"/>
          <w:szCs w:val="22"/>
          <w:lang w:val="fr-CA"/>
        </w:rPr>
        <w:footnoteReference w:id="3"/>
      </w:r>
    </w:p>
    <w:p w14:paraId="5846E011" w14:textId="6A35011E" w:rsidR="0074765E" w:rsidRPr="00A035CF" w:rsidRDefault="00DF5AFE" w:rsidP="0074765E">
      <w:pPr>
        <w:pStyle w:val="Para1"/>
        <w:numPr>
          <w:ilvl w:val="0"/>
          <w:numId w:val="35"/>
        </w:numPr>
        <w:suppressLineNumbers/>
        <w:tabs>
          <w:tab w:val="clear" w:pos="360"/>
          <w:tab w:val="left" w:pos="720"/>
        </w:tabs>
        <w:suppressAutoHyphens/>
        <w:snapToGrid w:val="0"/>
        <w:rPr>
          <w:kern w:val="22"/>
          <w:szCs w:val="22"/>
          <w:lang w:val="fr-CA"/>
        </w:rPr>
      </w:pPr>
      <w:r w:rsidRPr="00A035CF">
        <w:rPr>
          <w:rFonts w:eastAsia="Malgun Gothic"/>
          <w:kern w:val="22"/>
          <w:szCs w:val="22"/>
          <w:lang w:val="fr-CA"/>
        </w:rPr>
        <w:t xml:space="preserve">La première réunion du Groupe de travail a eu lieu du 27 au 30 août 2019 à Nairobi. Le rapport de la réunion est publié dans le document </w:t>
      </w:r>
      <w:r w:rsidR="00424872">
        <w:fldChar w:fldCharType="begin"/>
      </w:r>
      <w:r w:rsidR="00424872" w:rsidRPr="00424872">
        <w:rPr>
          <w:lang w:val="fr-FR"/>
        </w:rPr>
        <w:instrText>HYPERLINK "https://www.cbd.int/doc/c/3d0b/5980/d5e3680d75f04a79d4a8be30/wg2020-01-05-fr.pdf"</w:instrText>
      </w:r>
      <w:r w:rsidR="00424872">
        <w:fldChar w:fldCharType="separate"/>
      </w:r>
      <w:r w:rsidR="0029476B" w:rsidRPr="0029476B">
        <w:rPr>
          <w:rStyle w:val="Hyperlink"/>
          <w:rFonts w:eastAsia="Malgun Gothic"/>
          <w:sz w:val="22"/>
          <w:szCs w:val="22"/>
          <w:lang w:val="fr-FR"/>
        </w:rPr>
        <w:t>CBD/WG20</w:t>
      </w:r>
      <w:r w:rsidR="0029476B" w:rsidRPr="0029476B">
        <w:rPr>
          <w:rStyle w:val="Hyperlink"/>
          <w:rFonts w:eastAsia="Malgun Gothic"/>
          <w:sz w:val="22"/>
          <w:szCs w:val="22"/>
          <w:lang w:val="fr-FR"/>
        </w:rPr>
        <w:t>20/1/5</w:t>
      </w:r>
      <w:r w:rsidR="00424872">
        <w:rPr>
          <w:rStyle w:val="Hyperlink"/>
          <w:rFonts w:eastAsia="Malgun Gothic"/>
          <w:sz w:val="22"/>
          <w:szCs w:val="22"/>
          <w:lang w:val="fr-FR"/>
        </w:rPr>
        <w:fldChar w:fldCharType="end"/>
      </w:r>
      <w:r w:rsidR="0074765E" w:rsidRPr="00A035CF">
        <w:rPr>
          <w:rFonts w:eastAsia="Malgun Gothic"/>
          <w:kern w:val="22"/>
          <w:szCs w:val="22"/>
          <w:lang w:val="fr-CA"/>
        </w:rPr>
        <w:t>.</w:t>
      </w:r>
    </w:p>
    <w:p w14:paraId="320EE14A" w14:textId="0E68018A" w:rsidR="0074765E" w:rsidRPr="00A035CF" w:rsidRDefault="00DF5AFE" w:rsidP="0074765E">
      <w:pPr>
        <w:pStyle w:val="Para1"/>
        <w:numPr>
          <w:ilvl w:val="0"/>
          <w:numId w:val="35"/>
        </w:numPr>
        <w:suppressLineNumbers/>
        <w:tabs>
          <w:tab w:val="clear" w:pos="360"/>
          <w:tab w:val="left" w:pos="720"/>
        </w:tabs>
        <w:suppressAutoHyphens/>
        <w:snapToGrid w:val="0"/>
        <w:rPr>
          <w:kern w:val="22"/>
          <w:szCs w:val="22"/>
          <w:lang w:val="fr-CA"/>
        </w:rPr>
      </w:pPr>
      <w:r w:rsidRPr="00A035CF">
        <w:rPr>
          <w:rFonts w:eastAsia="Malgun Gothic"/>
          <w:kern w:val="22"/>
          <w:szCs w:val="22"/>
          <w:lang w:val="fr-CA"/>
        </w:rPr>
        <w:t xml:space="preserve">La deuxième réunion du Groupe de travail a eu lieu du 24 au 29 février 2020 à Rome. Le rapport de la réunion est publié dans le document </w:t>
      </w:r>
      <w:r w:rsidR="00424872">
        <w:fldChar w:fldCharType="begin"/>
      </w:r>
      <w:r w:rsidR="00424872" w:rsidRPr="00424872">
        <w:rPr>
          <w:lang w:val="fr-FR"/>
        </w:rPr>
        <w:instrText>HYPERLINK "https://www.cbd.int/doc/c/707b/1605/31d7f52501f03fc412a8bd24/wg2020-02-04-fr.pdf"</w:instrText>
      </w:r>
      <w:r w:rsidR="00424872">
        <w:fldChar w:fldCharType="separate"/>
      </w:r>
      <w:r w:rsidR="0029476B" w:rsidRPr="0029476B">
        <w:rPr>
          <w:rStyle w:val="Hyperlink"/>
          <w:rFonts w:eastAsia="Malgun Gothic"/>
          <w:kern w:val="22"/>
          <w:sz w:val="22"/>
          <w:szCs w:val="22"/>
          <w:lang w:val="fr-FR"/>
        </w:rPr>
        <w:t>CBD/WG</w:t>
      </w:r>
      <w:r w:rsidR="0029476B" w:rsidRPr="0029476B">
        <w:rPr>
          <w:rStyle w:val="Hyperlink"/>
          <w:rFonts w:eastAsia="Malgun Gothic"/>
          <w:kern w:val="22"/>
          <w:sz w:val="22"/>
          <w:szCs w:val="22"/>
          <w:lang w:val="fr-FR"/>
        </w:rPr>
        <w:t>2020/2/4</w:t>
      </w:r>
      <w:r w:rsidR="00424872">
        <w:rPr>
          <w:rStyle w:val="Hyperlink"/>
          <w:rFonts w:eastAsia="Malgun Gothic"/>
          <w:kern w:val="22"/>
          <w:sz w:val="22"/>
          <w:szCs w:val="22"/>
          <w:lang w:val="fr-FR"/>
        </w:rPr>
        <w:fldChar w:fldCharType="end"/>
      </w:r>
      <w:bookmarkStart w:id="0" w:name="_GoBack"/>
      <w:bookmarkEnd w:id="0"/>
      <w:r w:rsidR="0074765E" w:rsidRPr="00A035CF">
        <w:rPr>
          <w:rFonts w:eastAsia="Malgun Gothic"/>
          <w:kern w:val="22"/>
          <w:szCs w:val="22"/>
          <w:lang w:val="fr-CA"/>
        </w:rPr>
        <w:t>.</w:t>
      </w:r>
    </w:p>
    <w:p w14:paraId="6805C796" w14:textId="4C243BC1" w:rsidR="00003DDC" w:rsidRPr="00A035CF" w:rsidRDefault="00B969F2" w:rsidP="0074765E">
      <w:pPr>
        <w:pStyle w:val="Para1"/>
        <w:numPr>
          <w:ilvl w:val="0"/>
          <w:numId w:val="35"/>
        </w:numPr>
        <w:suppressLineNumbers/>
        <w:tabs>
          <w:tab w:val="clear" w:pos="360"/>
          <w:tab w:val="left" w:pos="720"/>
        </w:tabs>
        <w:suppressAutoHyphens/>
        <w:snapToGrid w:val="0"/>
        <w:rPr>
          <w:kern w:val="22"/>
          <w:szCs w:val="22"/>
          <w:lang w:val="fr-CA"/>
        </w:rPr>
      </w:pPr>
      <w:r w:rsidRPr="00A035CF">
        <w:rPr>
          <w:rFonts w:eastAsia="Malgun Gothic"/>
          <w:kern w:val="22"/>
          <w:szCs w:val="22"/>
          <w:lang w:val="fr-CA"/>
        </w:rPr>
        <w:lastRenderedPageBreak/>
        <w:t>La troisième réunion du Groupe de travail s’</w:t>
      </w:r>
      <w:r w:rsidR="00287D02">
        <w:rPr>
          <w:rFonts w:eastAsia="Malgun Gothic"/>
          <w:kern w:val="22"/>
          <w:szCs w:val="22"/>
          <w:lang w:val="fr-CA"/>
        </w:rPr>
        <w:t>est déroulée en deux p</w:t>
      </w:r>
      <w:r w:rsidRPr="00A035CF">
        <w:rPr>
          <w:rFonts w:eastAsia="Malgun Gothic"/>
          <w:kern w:val="22"/>
          <w:szCs w:val="22"/>
          <w:lang w:val="fr-CA"/>
        </w:rPr>
        <w:t>arties. La première partie a été présentée</w:t>
      </w:r>
      <w:r w:rsidR="00287D02">
        <w:rPr>
          <w:rFonts w:eastAsia="Malgun Gothic"/>
          <w:kern w:val="22"/>
          <w:szCs w:val="22"/>
          <w:lang w:val="fr-CA"/>
        </w:rPr>
        <w:t xml:space="preserve"> virtuellement, d</w:t>
      </w:r>
      <w:r w:rsidRPr="00A035CF">
        <w:rPr>
          <w:rFonts w:eastAsia="Malgun Gothic"/>
          <w:kern w:val="22"/>
          <w:szCs w:val="22"/>
          <w:lang w:val="fr-CA"/>
        </w:rPr>
        <w:t>u 23 août au 3 septembre 2021</w:t>
      </w:r>
      <w:r w:rsidR="00ED340D" w:rsidRPr="00A035CF">
        <w:rPr>
          <w:rStyle w:val="FootnoteReference"/>
          <w:lang w:val="fr-CA"/>
        </w:rPr>
        <w:footnoteReference w:id="4"/>
      </w:r>
      <w:r w:rsidR="0074765E" w:rsidRPr="00A035CF">
        <w:rPr>
          <w:rFonts w:eastAsia="Malgun Gothic"/>
          <w:kern w:val="22"/>
          <w:szCs w:val="22"/>
          <w:lang w:val="fr-CA"/>
        </w:rPr>
        <w:t xml:space="preserve"> </w:t>
      </w:r>
      <w:r w:rsidRPr="00A035CF">
        <w:rPr>
          <w:rFonts w:eastAsia="Malgun Gothic"/>
          <w:kern w:val="22"/>
          <w:szCs w:val="22"/>
          <w:lang w:val="fr-CA"/>
        </w:rPr>
        <w:t xml:space="preserve">et la deuxième partie a eu lieu à Genève, </w:t>
      </w:r>
      <w:r w:rsidR="00287D02">
        <w:rPr>
          <w:rFonts w:eastAsia="Malgun Gothic"/>
          <w:kern w:val="22"/>
          <w:szCs w:val="22"/>
          <w:lang w:val="fr-CA"/>
        </w:rPr>
        <w:t>en Suisse, du 14 au 29 mars 2022</w:t>
      </w:r>
      <w:r w:rsidRPr="00A035CF">
        <w:rPr>
          <w:rFonts w:eastAsia="Malgun Gothic"/>
          <w:kern w:val="22"/>
          <w:szCs w:val="22"/>
          <w:lang w:val="fr-CA"/>
        </w:rPr>
        <w:t>. Le rapport de la réunion sera publié dans le document</w:t>
      </w:r>
      <w:r w:rsidR="0074765E" w:rsidRPr="00A035CF">
        <w:rPr>
          <w:rFonts w:eastAsia="Malgun Gothic"/>
          <w:kern w:val="22"/>
          <w:szCs w:val="22"/>
          <w:lang w:val="fr-CA"/>
        </w:rPr>
        <w:t xml:space="preserve"> </w:t>
      </w:r>
      <w:r w:rsidR="00EB11DA" w:rsidRPr="00A035CF">
        <w:rPr>
          <w:rFonts w:eastAsia="Malgun Gothic"/>
          <w:kern w:val="22"/>
          <w:szCs w:val="22"/>
          <w:lang w:val="fr-CA"/>
        </w:rPr>
        <w:t>CBD/WG2020/3/7</w:t>
      </w:r>
      <w:r w:rsidR="00003DDC" w:rsidRPr="00A035CF">
        <w:rPr>
          <w:rFonts w:eastAsia="Malgun Gothic"/>
          <w:kern w:val="22"/>
          <w:szCs w:val="22"/>
          <w:lang w:val="fr-CA"/>
        </w:rPr>
        <w:t xml:space="preserve">. </w:t>
      </w:r>
    </w:p>
    <w:p w14:paraId="16AA0DA9" w14:textId="61BD1F8F" w:rsidR="0074765E" w:rsidRPr="00A035CF" w:rsidRDefault="00B969F2" w:rsidP="00737BB0">
      <w:pPr>
        <w:pStyle w:val="Para1"/>
        <w:numPr>
          <w:ilvl w:val="0"/>
          <w:numId w:val="35"/>
        </w:numPr>
        <w:suppressLineNumbers/>
        <w:tabs>
          <w:tab w:val="clear" w:pos="360"/>
          <w:tab w:val="left" w:pos="720"/>
        </w:tabs>
        <w:suppressAutoHyphens/>
        <w:snapToGrid w:val="0"/>
        <w:rPr>
          <w:kern w:val="22"/>
          <w:lang w:val="fr-CA"/>
        </w:rPr>
      </w:pPr>
      <w:r w:rsidRPr="00A035CF">
        <w:rPr>
          <w:rFonts w:eastAsia="Malgun Gothic"/>
          <w:kern w:val="22"/>
          <w:szCs w:val="22"/>
          <w:lang w:val="fr-CA"/>
        </w:rPr>
        <w:t>Le Groupe de travail, à sa troisième réunion, a décidé dans sa recommandation 3/3 de tenir une quatrième réunion du 21 au 26 juin 2022 à Nairobi</w:t>
      </w:r>
      <w:r w:rsidR="00003DDC" w:rsidRPr="00A035CF">
        <w:rPr>
          <w:rFonts w:eastAsia="Malgun Gothic"/>
          <w:kern w:val="22"/>
          <w:szCs w:val="22"/>
          <w:lang w:val="fr-CA"/>
        </w:rPr>
        <w:t xml:space="preserve">. </w:t>
      </w:r>
    </w:p>
    <w:p w14:paraId="28E1AA0F" w14:textId="4615BA9D" w:rsidR="000A72BA" w:rsidRPr="00A035CF" w:rsidRDefault="00714D1D" w:rsidP="0074765E">
      <w:pPr>
        <w:pStyle w:val="Heading1"/>
        <w:suppressLineNumbers/>
        <w:tabs>
          <w:tab w:val="clear" w:pos="720"/>
          <w:tab w:val="left" w:pos="993"/>
        </w:tabs>
        <w:suppressAutoHyphens/>
        <w:spacing w:before="120"/>
        <w:rPr>
          <w:rFonts w:eastAsia="Calibri"/>
          <w:kern w:val="22"/>
          <w:szCs w:val="22"/>
          <w:lang w:val="fr-CA"/>
        </w:rPr>
      </w:pPr>
      <w:r w:rsidRPr="00A035CF">
        <w:rPr>
          <w:rFonts w:eastAsia="Calibri"/>
          <w:kern w:val="22"/>
          <w:szCs w:val="22"/>
          <w:lang w:val="fr-CA"/>
        </w:rPr>
        <w:t>POINT</w:t>
      </w:r>
      <w:r w:rsidR="0074765E" w:rsidRPr="00A035CF">
        <w:rPr>
          <w:rFonts w:eastAsia="Calibri"/>
          <w:kern w:val="22"/>
          <w:szCs w:val="22"/>
          <w:lang w:val="fr-CA"/>
        </w:rPr>
        <w:t xml:space="preserve"> 1. </w:t>
      </w:r>
      <w:r w:rsidR="004E0858" w:rsidRPr="00A035CF">
        <w:rPr>
          <w:rFonts w:eastAsia="Calibri"/>
          <w:kern w:val="22"/>
          <w:szCs w:val="22"/>
          <w:lang w:val="fr-CA"/>
        </w:rPr>
        <w:tab/>
      </w:r>
      <w:r w:rsidRPr="00A035CF">
        <w:rPr>
          <w:rFonts w:eastAsia="Calibri"/>
          <w:kern w:val="22"/>
          <w:szCs w:val="22"/>
          <w:lang w:val="fr-CA"/>
        </w:rPr>
        <w:t>OUVERTURE DE LA RÉUNION</w:t>
      </w:r>
    </w:p>
    <w:p w14:paraId="5C40FC20" w14:textId="7DF03EF6" w:rsidR="0074765E" w:rsidRPr="00A035CF" w:rsidRDefault="00714D1D" w:rsidP="0074765E">
      <w:pPr>
        <w:pStyle w:val="Para1"/>
        <w:numPr>
          <w:ilvl w:val="0"/>
          <w:numId w:val="2"/>
        </w:numPr>
        <w:suppressLineNumbers/>
        <w:tabs>
          <w:tab w:val="clear" w:pos="360"/>
        </w:tabs>
        <w:suppressAutoHyphens/>
        <w:rPr>
          <w:kern w:val="22"/>
          <w:szCs w:val="22"/>
          <w:lang w:val="fr-CA"/>
        </w:rPr>
      </w:pPr>
      <w:r w:rsidRPr="00A035CF">
        <w:rPr>
          <w:kern w:val="22"/>
          <w:szCs w:val="22"/>
          <w:lang w:val="fr-CA"/>
        </w:rPr>
        <w:t>La réunion sera ouverte par les coprésidents du Groupe de travail. L’</w:t>
      </w:r>
      <w:r w:rsidR="00287D02">
        <w:rPr>
          <w:kern w:val="22"/>
          <w:szCs w:val="22"/>
          <w:lang w:val="fr-CA"/>
        </w:rPr>
        <w:t>ouverture sera suivie</w:t>
      </w:r>
      <w:r w:rsidRPr="00A035CF">
        <w:rPr>
          <w:kern w:val="22"/>
          <w:szCs w:val="22"/>
          <w:lang w:val="fr-CA"/>
        </w:rPr>
        <w:t xml:space="preserve"> </w:t>
      </w:r>
      <w:r w:rsidR="00287D02">
        <w:rPr>
          <w:kern w:val="22"/>
          <w:szCs w:val="22"/>
          <w:lang w:val="fr-CA"/>
        </w:rPr>
        <w:t>de</w:t>
      </w:r>
      <w:r w:rsidRPr="00A035CF">
        <w:rPr>
          <w:kern w:val="22"/>
          <w:szCs w:val="22"/>
          <w:lang w:val="fr-CA"/>
        </w:rPr>
        <w:t xml:space="preserve"> courte</w:t>
      </w:r>
      <w:r w:rsidR="00287D02">
        <w:rPr>
          <w:kern w:val="22"/>
          <w:szCs w:val="22"/>
          <w:lang w:val="fr-CA"/>
        </w:rPr>
        <w:t>s</w:t>
      </w:r>
      <w:r w:rsidRPr="00A035CF">
        <w:rPr>
          <w:kern w:val="22"/>
          <w:szCs w:val="22"/>
          <w:lang w:val="fr-CA"/>
        </w:rPr>
        <w:t xml:space="preserve"> allocution</w:t>
      </w:r>
      <w:r w:rsidR="00287D02">
        <w:rPr>
          <w:kern w:val="22"/>
          <w:szCs w:val="22"/>
          <w:lang w:val="fr-CA"/>
        </w:rPr>
        <w:t>s</w:t>
      </w:r>
      <w:r w:rsidRPr="00A035CF">
        <w:rPr>
          <w:kern w:val="22"/>
          <w:szCs w:val="22"/>
          <w:lang w:val="fr-CA"/>
        </w:rPr>
        <w:t xml:space="preserve"> liminaire</w:t>
      </w:r>
      <w:r w:rsidR="00287D02">
        <w:rPr>
          <w:kern w:val="22"/>
          <w:szCs w:val="22"/>
          <w:lang w:val="fr-CA"/>
        </w:rPr>
        <w:t>s</w:t>
      </w:r>
      <w:r w:rsidRPr="00A035CF">
        <w:rPr>
          <w:kern w:val="22"/>
          <w:szCs w:val="22"/>
          <w:lang w:val="fr-CA"/>
        </w:rPr>
        <w:t xml:space="preserve"> du président de la quinzième réunion de la Conférence des Parties, du directeur exécutif du Programme des Nations Unies pour l’environnement et de la Secrétaire exécutive</w:t>
      </w:r>
      <w:r w:rsidR="0074765E" w:rsidRPr="00A035CF">
        <w:rPr>
          <w:kern w:val="22"/>
          <w:szCs w:val="22"/>
          <w:lang w:val="fr-CA"/>
        </w:rPr>
        <w:t>.</w:t>
      </w:r>
    </w:p>
    <w:p w14:paraId="7445C7A7" w14:textId="65AAF749" w:rsidR="000A72BA" w:rsidRPr="00A035CF" w:rsidRDefault="00714D1D" w:rsidP="0074765E">
      <w:pPr>
        <w:pStyle w:val="Heading1"/>
        <w:suppressLineNumbers/>
        <w:tabs>
          <w:tab w:val="clear" w:pos="720"/>
          <w:tab w:val="left" w:pos="993"/>
        </w:tabs>
        <w:suppressAutoHyphens/>
        <w:spacing w:before="120"/>
        <w:rPr>
          <w:rFonts w:eastAsia="Calibri"/>
          <w:kern w:val="22"/>
          <w:szCs w:val="22"/>
          <w:lang w:val="fr-CA"/>
        </w:rPr>
      </w:pPr>
      <w:r w:rsidRPr="00A035CF">
        <w:rPr>
          <w:rFonts w:eastAsia="Calibri"/>
          <w:kern w:val="22"/>
          <w:szCs w:val="22"/>
          <w:lang w:val="fr-CA"/>
        </w:rPr>
        <w:t>POINT</w:t>
      </w:r>
      <w:r w:rsidR="0074765E" w:rsidRPr="00A035CF">
        <w:rPr>
          <w:rFonts w:eastAsia="Calibri"/>
          <w:kern w:val="22"/>
          <w:szCs w:val="22"/>
          <w:lang w:val="fr-CA"/>
        </w:rPr>
        <w:t xml:space="preserve"> 2. </w:t>
      </w:r>
      <w:r w:rsidR="004E0858" w:rsidRPr="00A035CF">
        <w:rPr>
          <w:rFonts w:eastAsia="Calibri"/>
          <w:kern w:val="22"/>
          <w:szCs w:val="22"/>
          <w:lang w:val="fr-CA"/>
        </w:rPr>
        <w:tab/>
      </w:r>
      <w:r w:rsidRPr="00A035CF">
        <w:rPr>
          <w:rFonts w:eastAsia="Calibri"/>
          <w:kern w:val="22"/>
          <w:szCs w:val="22"/>
          <w:lang w:val="fr-CA"/>
        </w:rPr>
        <w:t>OrganiS</w:t>
      </w:r>
      <w:r w:rsidR="000A72BA" w:rsidRPr="00A035CF">
        <w:rPr>
          <w:rFonts w:eastAsia="Calibri"/>
          <w:kern w:val="22"/>
          <w:szCs w:val="22"/>
          <w:lang w:val="fr-CA"/>
        </w:rPr>
        <w:t xml:space="preserve">ation </w:t>
      </w:r>
      <w:r w:rsidRPr="00A035CF">
        <w:rPr>
          <w:rFonts w:eastAsia="Calibri"/>
          <w:kern w:val="22"/>
          <w:szCs w:val="22"/>
          <w:lang w:val="fr-CA"/>
        </w:rPr>
        <w:t>DES TRAVAUX</w:t>
      </w:r>
    </w:p>
    <w:p w14:paraId="38F46CF5" w14:textId="6C50BA11" w:rsidR="00733032" w:rsidRPr="00A035CF" w:rsidRDefault="00714D1D" w:rsidP="00733032">
      <w:pPr>
        <w:pStyle w:val="Para1"/>
        <w:numPr>
          <w:ilvl w:val="0"/>
          <w:numId w:val="2"/>
        </w:numPr>
        <w:suppressLineNumbers/>
        <w:tabs>
          <w:tab w:val="clear" w:pos="360"/>
        </w:tabs>
        <w:suppressAutoHyphens/>
        <w:rPr>
          <w:kern w:val="22"/>
          <w:szCs w:val="22"/>
          <w:lang w:val="fr-CA"/>
        </w:rPr>
      </w:pPr>
      <w:r w:rsidRPr="00A035CF">
        <w:rPr>
          <w:kern w:val="22"/>
          <w:szCs w:val="22"/>
          <w:lang w:val="fr-CA"/>
        </w:rPr>
        <w:t xml:space="preserve">La Groupe de travail élira un rapporteur </w:t>
      </w:r>
      <w:r w:rsidR="001D19B2" w:rsidRPr="00A035CF">
        <w:rPr>
          <w:kern w:val="22"/>
          <w:szCs w:val="22"/>
          <w:lang w:val="fr-CA"/>
        </w:rPr>
        <w:t>sur la base de la recommandation du Bureau</w:t>
      </w:r>
      <w:r w:rsidR="00733032" w:rsidRPr="00A035CF">
        <w:rPr>
          <w:kern w:val="22"/>
          <w:szCs w:val="22"/>
          <w:lang w:val="fr-CA"/>
        </w:rPr>
        <w:t>.</w:t>
      </w:r>
    </w:p>
    <w:p w14:paraId="1404C4FA" w14:textId="0DFEBCBC" w:rsidR="00733032" w:rsidRPr="00A035CF" w:rsidRDefault="001D19B2" w:rsidP="00733032">
      <w:pPr>
        <w:pStyle w:val="Para1"/>
        <w:numPr>
          <w:ilvl w:val="0"/>
          <w:numId w:val="2"/>
        </w:numPr>
        <w:suppressLineNumbers/>
        <w:tabs>
          <w:tab w:val="clear" w:pos="360"/>
        </w:tabs>
        <w:suppressAutoHyphens/>
        <w:rPr>
          <w:kern w:val="22"/>
          <w:szCs w:val="22"/>
          <w:lang w:val="fr-CA"/>
        </w:rPr>
      </w:pPr>
      <w:r w:rsidRPr="00A035CF">
        <w:rPr>
          <w:kern w:val="22"/>
          <w:szCs w:val="22"/>
          <w:lang w:val="fr-CA"/>
        </w:rPr>
        <w:t>L’ordre du jour provisoire a ét</w:t>
      </w:r>
      <w:r w:rsidR="00287D02">
        <w:rPr>
          <w:kern w:val="22"/>
          <w:szCs w:val="22"/>
          <w:lang w:val="fr-CA"/>
        </w:rPr>
        <w:t>é</w:t>
      </w:r>
      <w:r w:rsidR="005D4F56">
        <w:rPr>
          <w:kern w:val="22"/>
          <w:szCs w:val="22"/>
          <w:lang w:val="fr-CA"/>
        </w:rPr>
        <w:t xml:space="preserve"> préparé par la</w:t>
      </w:r>
      <w:r w:rsidRPr="00A035CF">
        <w:rPr>
          <w:kern w:val="22"/>
          <w:szCs w:val="22"/>
          <w:lang w:val="fr-CA"/>
        </w:rPr>
        <w:t xml:space="preserve"> Secrétaire exécutive en consultation avec les coprésidents du groupe de travail et le Bureau, conformément aux paragraphes 8 et 9 du règlement intérieur </w:t>
      </w:r>
      <w:r w:rsidR="00287D02">
        <w:rPr>
          <w:kern w:val="22"/>
          <w:szCs w:val="22"/>
          <w:lang w:val="fr-CA"/>
        </w:rPr>
        <w:t>s’appliquant aux</w:t>
      </w:r>
      <w:r w:rsidRPr="00A035CF">
        <w:rPr>
          <w:kern w:val="22"/>
          <w:szCs w:val="22"/>
          <w:lang w:val="fr-CA"/>
        </w:rPr>
        <w:t xml:space="preserve"> réunions de la Conférence des Parties, en tenant compte du processus préparatoire décrit dans l’annexe à la dé</w:t>
      </w:r>
      <w:r w:rsidR="00287D02">
        <w:rPr>
          <w:kern w:val="22"/>
          <w:szCs w:val="22"/>
          <w:lang w:val="fr-CA"/>
        </w:rPr>
        <w:t>cision 14/34 et d</w:t>
      </w:r>
      <w:r w:rsidRPr="00A035CF">
        <w:rPr>
          <w:kern w:val="22"/>
          <w:szCs w:val="22"/>
          <w:lang w:val="fr-CA"/>
        </w:rPr>
        <w:t xml:space="preserve">es </w:t>
      </w:r>
      <w:r w:rsidR="00DE459E">
        <w:rPr>
          <w:kern w:val="22"/>
          <w:szCs w:val="22"/>
          <w:lang w:val="fr-CA"/>
        </w:rPr>
        <w:t>résultats</w:t>
      </w:r>
      <w:r w:rsidRPr="00A035CF">
        <w:rPr>
          <w:kern w:val="22"/>
          <w:szCs w:val="22"/>
          <w:lang w:val="fr-CA"/>
        </w:rPr>
        <w:t xml:space="preserve"> des première, </w:t>
      </w:r>
      <w:proofErr w:type="gramStart"/>
      <w:r w:rsidRPr="00A035CF">
        <w:rPr>
          <w:kern w:val="22"/>
          <w:szCs w:val="22"/>
          <w:lang w:val="fr-CA"/>
        </w:rPr>
        <w:t>deuxième et troisième réunions</w:t>
      </w:r>
      <w:proofErr w:type="gramEnd"/>
      <w:r w:rsidRPr="00A035CF">
        <w:rPr>
          <w:kern w:val="22"/>
          <w:szCs w:val="22"/>
          <w:lang w:val="fr-CA"/>
        </w:rPr>
        <w:t xml:space="preserve"> du Groupe de travail</w:t>
      </w:r>
      <w:r w:rsidR="00733032" w:rsidRPr="00A035CF">
        <w:rPr>
          <w:rFonts w:eastAsia="Malgun Gothic"/>
          <w:kern w:val="22"/>
          <w:szCs w:val="22"/>
          <w:lang w:val="fr-CA"/>
        </w:rPr>
        <w:t>.</w:t>
      </w:r>
    </w:p>
    <w:p w14:paraId="160579B9" w14:textId="64B1D6AF" w:rsidR="00733032" w:rsidRPr="00A035CF" w:rsidRDefault="001D19B2" w:rsidP="00733032">
      <w:pPr>
        <w:pStyle w:val="Para1"/>
        <w:numPr>
          <w:ilvl w:val="0"/>
          <w:numId w:val="2"/>
        </w:numPr>
        <w:suppressLineNumbers/>
        <w:tabs>
          <w:tab w:val="clear" w:pos="360"/>
        </w:tabs>
        <w:suppressAutoHyphens/>
        <w:rPr>
          <w:kern w:val="22"/>
          <w:szCs w:val="22"/>
          <w:lang w:val="fr-CA"/>
        </w:rPr>
      </w:pPr>
      <w:r w:rsidRPr="00A035CF">
        <w:rPr>
          <w:kern w:val="22"/>
          <w:szCs w:val="22"/>
          <w:lang w:val="fr-CA"/>
        </w:rPr>
        <w:t>Le Groupe de travail devrait exécuter les travaux de la quatri</w:t>
      </w:r>
      <w:r w:rsidR="007B3BC0" w:rsidRPr="00A035CF">
        <w:rPr>
          <w:kern w:val="22"/>
          <w:szCs w:val="22"/>
          <w:lang w:val="fr-CA"/>
        </w:rPr>
        <w:t>ème</w:t>
      </w:r>
      <w:r w:rsidRPr="00A035CF">
        <w:rPr>
          <w:kern w:val="22"/>
          <w:szCs w:val="22"/>
          <w:lang w:val="fr-CA"/>
        </w:rPr>
        <w:t xml:space="preserve"> réunion </w:t>
      </w:r>
      <w:r w:rsidR="007B3BC0" w:rsidRPr="00A035CF">
        <w:rPr>
          <w:kern w:val="22"/>
          <w:szCs w:val="22"/>
          <w:lang w:val="fr-CA"/>
        </w:rPr>
        <w:t>en faisant appel aux groupes de contact nécessaires pour avancer ses travaux. Un service d’interprétation sera offert dans les six langues officielles des Nations Unies pour les sessions plénières. Une organisation des travaux sera proposée dans un prochain addendum</w:t>
      </w:r>
      <w:r w:rsidR="00733032" w:rsidRPr="00A035CF">
        <w:rPr>
          <w:rFonts w:eastAsia="Malgun Gothic"/>
          <w:kern w:val="22"/>
          <w:szCs w:val="22"/>
          <w:lang w:val="fr-CA"/>
        </w:rPr>
        <w:t>.</w:t>
      </w:r>
    </w:p>
    <w:p w14:paraId="6B1B6BF2" w14:textId="0B1757A4" w:rsidR="00733032" w:rsidRPr="00A035CF" w:rsidRDefault="007B3BC0" w:rsidP="00733032">
      <w:pPr>
        <w:pStyle w:val="Para1"/>
        <w:numPr>
          <w:ilvl w:val="0"/>
          <w:numId w:val="2"/>
        </w:numPr>
        <w:suppressLineNumbers/>
        <w:tabs>
          <w:tab w:val="clear" w:pos="360"/>
        </w:tabs>
        <w:suppressAutoHyphens/>
        <w:rPr>
          <w:kern w:val="22"/>
          <w:szCs w:val="22"/>
          <w:lang w:val="fr-CA"/>
        </w:rPr>
      </w:pPr>
      <w:r w:rsidRPr="00A035CF">
        <w:rPr>
          <w:kern w:val="22"/>
          <w:szCs w:val="22"/>
          <w:lang w:val="fr-CA"/>
        </w:rPr>
        <w:t>Le Groupe de travail sera invité à convenir de l’organisation des travaux proposée</w:t>
      </w:r>
      <w:r w:rsidR="00733032" w:rsidRPr="00A035CF">
        <w:rPr>
          <w:rFonts w:eastAsia="Malgun Gothic"/>
          <w:kern w:val="22"/>
          <w:szCs w:val="22"/>
          <w:lang w:val="fr-CA"/>
        </w:rPr>
        <w:t>.</w:t>
      </w:r>
    </w:p>
    <w:p w14:paraId="16091688" w14:textId="28749152" w:rsidR="00733032" w:rsidRPr="00A035CF" w:rsidRDefault="007B3BC0" w:rsidP="00733032">
      <w:pPr>
        <w:pStyle w:val="Para1"/>
        <w:numPr>
          <w:ilvl w:val="0"/>
          <w:numId w:val="2"/>
        </w:numPr>
        <w:suppressLineNumbers/>
        <w:tabs>
          <w:tab w:val="clear" w:pos="360"/>
        </w:tabs>
        <w:suppressAutoHyphens/>
        <w:rPr>
          <w:kern w:val="22"/>
          <w:szCs w:val="22"/>
          <w:lang w:val="fr-CA"/>
        </w:rPr>
      </w:pPr>
      <w:r w:rsidRPr="00A035CF">
        <w:rPr>
          <w:rFonts w:eastAsia="Malgun Gothic"/>
          <w:kern w:val="22"/>
          <w:szCs w:val="22"/>
          <w:lang w:val="fr-CA"/>
        </w:rPr>
        <w:t>La liste des documents de la quatrième réunion du Groupe de travail est jointe en annexe</w:t>
      </w:r>
      <w:r w:rsidR="00733032" w:rsidRPr="00A035CF">
        <w:rPr>
          <w:rFonts w:eastAsia="Malgun Gothic"/>
          <w:kern w:val="22"/>
          <w:szCs w:val="22"/>
          <w:lang w:val="fr-CA"/>
        </w:rPr>
        <w:t>.</w:t>
      </w:r>
    </w:p>
    <w:p w14:paraId="34095970" w14:textId="2361C278" w:rsidR="000A72BA" w:rsidRPr="00A035CF" w:rsidRDefault="007B3BC0" w:rsidP="00733032">
      <w:pPr>
        <w:pStyle w:val="Heading1"/>
        <w:suppressLineNumbers/>
        <w:tabs>
          <w:tab w:val="clear" w:pos="720"/>
          <w:tab w:val="left" w:pos="993"/>
        </w:tabs>
        <w:suppressAutoHyphens/>
        <w:spacing w:before="120"/>
        <w:rPr>
          <w:rFonts w:eastAsia="Calibri"/>
          <w:kern w:val="22"/>
          <w:szCs w:val="22"/>
          <w:lang w:val="fr-CA"/>
        </w:rPr>
      </w:pPr>
      <w:r w:rsidRPr="00A035CF">
        <w:rPr>
          <w:rFonts w:eastAsia="Calibri"/>
          <w:kern w:val="22"/>
          <w:szCs w:val="22"/>
          <w:lang w:val="fr-CA"/>
        </w:rPr>
        <w:t>POINT</w:t>
      </w:r>
      <w:r w:rsidR="00733032" w:rsidRPr="00A035CF">
        <w:rPr>
          <w:rFonts w:eastAsia="Calibri"/>
          <w:kern w:val="22"/>
          <w:szCs w:val="22"/>
          <w:lang w:val="fr-CA"/>
        </w:rPr>
        <w:t xml:space="preserve"> 3. </w:t>
      </w:r>
      <w:r w:rsidR="00BB6BC1" w:rsidRPr="00A035CF">
        <w:rPr>
          <w:rFonts w:eastAsia="Calibri"/>
          <w:kern w:val="22"/>
          <w:szCs w:val="22"/>
          <w:lang w:val="fr-CA"/>
        </w:rPr>
        <w:tab/>
      </w:r>
      <w:r w:rsidRPr="00A035CF">
        <w:rPr>
          <w:rFonts w:eastAsia="Calibri"/>
          <w:kern w:val="22"/>
          <w:szCs w:val="22"/>
          <w:lang w:val="fr-CA"/>
        </w:rPr>
        <w:t>Rapports des organes subsidiaires</w:t>
      </w:r>
    </w:p>
    <w:p w14:paraId="29A63136" w14:textId="40D4ECFA" w:rsidR="00733032" w:rsidRPr="00A035CF" w:rsidRDefault="007B3BC0" w:rsidP="00733032">
      <w:pPr>
        <w:pStyle w:val="Para1"/>
        <w:numPr>
          <w:ilvl w:val="0"/>
          <w:numId w:val="2"/>
        </w:numPr>
        <w:suppressLineNumbers/>
        <w:tabs>
          <w:tab w:val="clear" w:pos="360"/>
        </w:tabs>
        <w:suppressAutoHyphens/>
        <w:rPr>
          <w:rFonts w:eastAsia="Malgun Gothic"/>
          <w:kern w:val="22"/>
          <w:szCs w:val="22"/>
          <w:lang w:val="fr-CA"/>
        </w:rPr>
      </w:pPr>
      <w:r w:rsidRPr="00A035CF">
        <w:rPr>
          <w:rFonts w:eastAsia="Malgun Gothic"/>
          <w:kern w:val="22"/>
          <w:szCs w:val="22"/>
          <w:lang w:val="fr-CA"/>
        </w:rPr>
        <w:t xml:space="preserve">Le Groupe de travail entendra les rapports des présidents de l’Organe subsidiaire chargé de l'application et de l’Organe subsidiaire chargé de fournir des avis scientifiques, techniques et technologiques. Le Groupe de travail entendra également les rapports sur les travaux intersessions pertinents. Le Groupe de travail sera saisi des documents </w:t>
      </w:r>
      <w:r w:rsidR="00DE459E">
        <w:rPr>
          <w:rFonts w:eastAsia="Malgun Gothic"/>
          <w:kern w:val="22"/>
          <w:szCs w:val="22"/>
          <w:lang w:val="fr-CA"/>
        </w:rPr>
        <w:t>ayant rapport</w:t>
      </w:r>
      <w:r w:rsidRPr="00A035CF">
        <w:rPr>
          <w:rFonts w:eastAsia="Malgun Gothic"/>
          <w:kern w:val="22"/>
          <w:szCs w:val="22"/>
          <w:lang w:val="fr-CA"/>
        </w:rPr>
        <w:t xml:space="preserve"> à ces procédés</w:t>
      </w:r>
      <w:r w:rsidR="00733032" w:rsidRPr="00A035CF">
        <w:rPr>
          <w:rFonts w:eastAsia="Malgun Gothic"/>
          <w:kern w:val="22"/>
          <w:szCs w:val="22"/>
          <w:lang w:val="fr-CA"/>
        </w:rPr>
        <w:t xml:space="preserve">. </w:t>
      </w:r>
    </w:p>
    <w:p w14:paraId="67E5EA6F" w14:textId="226E78CB" w:rsidR="00733032" w:rsidRPr="00A035CF" w:rsidRDefault="007B3BC0" w:rsidP="00733032">
      <w:pPr>
        <w:pStyle w:val="Para1"/>
        <w:numPr>
          <w:ilvl w:val="0"/>
          <w:numId w:val="2"/>
        </w:numPr>
        <w:suppressLineNumbers/>
        <w:tabs>
          <w:tab w:val="clear" w:pos="360"/>
          <w:tab w:val="num" w:pos="720"/>
        </w:tabs>
        <w:suppressAutoHyphens/>
        <w:rPr>
          <w:kern w:val="22"/>
          <w:szCs w:val="22"/>
          <w:lang w:val="fr-CA"/>
        </w:rPr>
      </w:pPr>
      <w:r w:rsidRPr="00A035CF">
        <w:rPr>
          <w:kern w:val="22"/>
          <w:szCs w:val="22"/>
          <w:lang w:val="fr-CA"/>
        </w:rPr>
        <w:t>L</w:t>
      </w:r>
      <w:r w:rsidR="00DE459E">
        <w:rPr>
          <w:kern w:val="22"/>
          <w:szCs w:val="22"/>
          <w:lang w:val="fr-CA"/>
        </w:rPr>
        <w:t>e Groupe de travail</w:t>
      </w:r>
      <w:r w:rsidRPr="00A035CF">
        <w:rPr>
          <w:kern w:val="22"/>
          <w:szCs w:val="22"/>
          <w:lang w:val="fr-CA"/>
        </w:rPr>
        <w:t xml:space="preserve"> devrait faire le bilan des résultats de ces processus </w:t>
      </w:r>
      <w:r w:rsidR="005A05B5" w:rsidRPr="00A035CF">
        <w:rPr>
          <w:kern w:val="22"/>
          <w:szCs w:val="22"/>
          <w:lang w:val="fr-CA"/>
        </w:rPr>
        <w:t>et de leurs conséquences sur l’élaboration future du cadre mondial de la biodiversité pour l'après-2020</w:t>
      </w:r>
      <w:r w:rsidR="00733032" w:rsidRPr="00A035CF">
        <w:rPr>
          <w:kern w:val="22"/>
          <w:szCs w:val="22"/>
          <w:lang w:val="fr-CA"/>
        </w:rPr>
        <w:t>.</w:t>
      </w:r>
    </w:p>
    <w:p w14:paraId="2E24EC0E" w14:textId="5B70DD21" w:rsidR="00733032" w:rsidRPr="00A035CF" w:rsidRDefault="005A05B5" w:rsidP="00733032">
      <w:pPr>
        <w:pStyle w:val="Heading1"/>
        <w:suppressLineNumbers/>
        <w:tabs>
          <w:tab w:val="clear" w:pos="720"/>
          <w:tab w:val="left" w:pos="993"/>
        </w:tabs>
        <w:suppressAutoHyphens/>
        <w:spacing w:before="120"/>
        <w:rPr>
          <w:rFonts w:eastAsia="Calibri"/>
          <w:kern w:val="22"/>
          <w:szCs w:val="22"/>
          <w:lang w:val="fr-CA"/>
        </w:rPr>
      </w:pPr>
      <w:r w:rsidRPr="00A035CF">
        <w:rPr>
          <w:rFonts w:eastAsia="Calibri"/>
          <w:kern w:val="22"/>
          <w:szCs w:val="22"/>
          <w:lang w:val="fr-CA"/>
        </w:rPr>
        <w:t>POINT</w:t>
      </w:r>
      <w:r w:rsidR="00733032" w:rsidRPr="00A035CF">
        <w:rPr>
          <w:rFonts w:eastAsia="Calibri"/>
          <w:kern w:val="22"/>
          <w:szCs w:val="22"/>
          <w:lang w:val="fr-CA"/>
        </w:rPr>
        <w:t xml:space="preserve"> 4. </w:t>
      </w:r>
      <w:r w:rsidRPr="00A035CF">
        <w:rPr>
          <w:rFonts w:eastAsia="Calibri"/>
          <w:kern w:val="22"/>
          <w:szCs w:val="22"/>
          <w:lang w:val="fr-CA"/>
        </w:rPr>
        <w:t xml:space="preserve">cadre mondial de la biodiversité pour l'après-2020 </w:t>
      </w:r>
    </w:p>
    <w:p w14:paraId="0CA8E8D2" w14:textId="44269A79" w:rsidR="00203654" w:rsidRPr="00A035CF" w:rsidRDefault="005A05B5" w:rsidP="00203654">
      <w:pPr>
        <w:pStyle w:val="Para1"/>
        <w:numPr>
          <w:ilvl w:val="0"/>
          <w:numId w:val="2"/>
        </w:numPr>
        <w:suppressLineNumbers/>
        <w:tabs>
          <w:tab w:val="clear" w:pos="360"/>
        </w:tabs>
        <w:suppressAutoHyphens/>
        <w:rPr>
          <w:rFonts w:eastAsia="Malgun Gothic"/>
          <w:kern w:val="22"/>
          <w:szCs w:val="22"/>
          <w:lang w:val="fr-CA"/>
        </w:rPr>
      </w:pPr>
      <w:r w:rsidRPr="00A035CF">
        <w:rPr>
          <w:rFonts w:eastAsia="Malgun Gothic"/>
          <w:kern w:val="22"/>
          <w:szCs w:val="22"/>
          <w:lang w:val="fr-CA"/>
        </w:rPr>
        <w:t xml:space="preserve">Le Groupe de travail, à sa </w:t>
      </w:r>
      <w:r w:rsidR="00DE459E">
        <w:rPr>
          <w:rFonts w:eastAsia="Malgun Gothic"/>
          <w:kern w:val="22"/>
          <w:szCs w:val="22"/>
          <w:lang w:val="fr-CA"/>
        </w:rPr>
        <w:t>troisième</w:t>
      </w:r>
      <w:r w:rsidRPr="00A035CF">
        <w:rPr>
          <w:rFonts w:eastAsia="Malgun Gothic"/>
          <w:kern w:val="22"/>
          <w:szCs w:val="22"/>
          <w:lang w:val="fr-CA"/>
        </w:rPr>
        <w:t xml:space="preserve"> réunion, a examiné la première ébauche du cadre mondial de la biodiversité pour l'après-2020 </w:t>
      </w:r>
      <w:r w:rsidR="00003DDC" w:rsidRPr="00A035CF">
        <w:rPr>
          <w:rFonts w:eastAsia="Malgun Gothic"/>
          <w:kern w:val="22"/>
          <w:szCs w:val="22"/>
          <w:lang w:val="fr-CA"/>
        </w:rPr>
        <w:t>(CBD/WG2020</w:t>
      </w:r>
      <w:r w:rsidR="00F275A4" w:rsidRPr="00A035CF">
        <w:rPr>
          <w:rFonts w:eastAsia="Malgun Gothic"/>
          <w:kern w:val="22"/>
          <w:szCs w:val="22"/>
          <w:lang w:val="fr-CA"/>
        </w:rPr>
        <w:t>/</w:t>
      </w:r>
      <w:r w:rsidR="00003DDC" w:rsidRPr="00A035CF">
        <w:rPr>
          <w:rFonts w:eastAsia="Malgun Gothic"/>
          <w:kern w:val="22"/>
          <w:szCs w:val="22"/>
          <w:lang w:val="fr-CA"/>
        </w:rPr>
        <w:t xml:space="preserve">3/3). </w:t>
      </w:r>
      <w:r w:rsidRPr="00A035CF">
        <w:rPr>
          <w:rFonts w:eastAsia="Malgun Gothic"/>
          <w:kern w:val="22"/>
          <w:szCs w:val="22"/>
          <w:lang w:val="fr-CA"/>
        </w:rPr>
        <w:t>Les résultats de cet examen sont proposés en annexe à la recommandation</w:t>
      </w:r>
      <w:r w:rsidR="00003DDC" w:rsidRPr="00A035CF">
        <w:rPr>
          <w:rFonts w:eastAsia="Malgun Gothic"/>
          <w:kern w:val="22"/>
          <w:szCs w:val="22"/>
          <w:lang w:val="fr-CA"/>
        </w:rPr>
        <w:t xml:space="preserve"> 3/1</w:t>
      </w:r>
      <w:r w:rsidR="004D7BC4" w:rsidRPr="00A035CF">
        <w:rPr>
          <w:rFonts w:eastAsia="Malgun Gothic"/>
          <w:kern w:val="22"/>
          <w:szCs w:val="22"/>
          <w:lang w:val="fr-CA"/>
        </w:rPr>
        <w:t xml:space="preserve">. </w:t>
      </w:r>
    </w:p>
    <w:p w14:paraId="38B4CD1C" w14:textId="2F421C3D" w:rsidR="00733032" w:rsidRPr="00A035CF" w:rsidRDefault="005A05B5" w:rsidP="00733032">
      <w:pPr>
        <w:pStyle w:val="Para1"/>
        <w:numPr>
          <w:ilvl w:val="0"/>
          <w:numId w:val="2"/>
        </w:numPr>
        <w:suppressLineNumbers/>
        <w:tabs>
          <w:tab w:val="clear" w:pos="360"/>
        </w:tabs>
        <w:suppressAutoHyphens/>
        <w:rPr>
          <w:rFonts w:eastAsia="Malgun Gothic"/>
          <w:kern w:val="22"/>
          <w:szCs w:val="22"/>
          <w:lang w:val="fr-CA"/>
        </w:rPr>
      </w:pPr>
      <w:r w:rsidRPr="00A035CF">
        <w:rPr>
          <w:kern w:val="22"/>
          <w:szCs w:val="22"/>
          <w:lang w:val="fr-CA"/>
        </w:rPr>
        <w:t>Le Groupe de travai</w:t>
      </w:r>
      <w:r w:rsidR="00DE459E">
        <w:rPr>
          <w:kern w:val="22"/>
          <w:szCs w:val="22"/>
          <w:lang w:val="fr-CA"/>
        </w:rPr>
        <w:t>l entreprendra ses travaux sur c</w:t>
      </w:r>
      <w:r w:rsidRPr="00A035CF">
        <w:rPr>
          <w:kern w:val="22"/>
          <w:szCs w:val="22"/>
          <w:lang w:val="fr-CA"/>
        </w:rPr>
        <w:t xml:space="preserve">e point </w:t>
      </w:r>
      <w:r w:rsidR="00DE459E">
        <w:rPr>
          <w:kern w:val="22"/>
          <w:szCs w:val="22"/>
          <w:lang w:val="fr-CA"/>
        </w:rPr>
        <w:t xml:space="preserve">de l’ordre du jour </w:t>
      </w:r>
      <w:r w:rsidRPr="00A035CF">
        <w:rPr>
          <w:kern w:val="22"/>
          <w:szCs w:val="22"/>
          <w:lang w:val="fr-CA"/>
        </w:rPr>
        <w:t xml:space="preserve">sur la base des résultats de la troisième réunion du Groupe de travail et en puisant dans la première ébauche du cadre et </w:t>
      </w:r>
      <w:r w:rsidR="00DE459E">
        <w:rPr>
          <w:kern w:val="22"/>
          <w:szCs w:val="22"/>
          <w:lang w:val="fr-CA"/>
        </w:rPr>
        <w:t>les</w:t>
      </w:r>
      <w:r w:rsidRPr="00A035CF">
        <w:rPr>
          <w:kern w:val="22"/>
          <w:szCs w:val="22"/>
          <w:lang w:val="fr-CA"/>
        </w:rPr>
        <w:t xml:space="preserve"> rapports de la troisième réunion de l’Organe subsidiaire chargé de l'application, de </w:t>
      </w:r>
      <w:r w:rsidR="001C6FBD">
        <w:rPr>
          <w:kern w:val="22"/>
          <w:szCs w:val="22"/>
          <w:lang w:val="fr-CA"/>
        </w:rPr>
        <w:t xml:space="preserve">la vingt-quatrième réunion de </w:t>
      </w:r>
      <w:r w:rsidRPr="00A035CF">
        <w:rPr>
          <w:kern w:val="22"/>
          <w:szCs w:val="22"/>
          <w:lang w:val="fr-CA"/>
        </w:rPr>
        <w:t>l’Organe subsidiaire chargé de fournir des avis scientifiques, techniques et technologiques et l</w:t>
      </w:r>
      <w:r w:rsidR="00003F80" w:rsidRPr="00A035CF">
        <w:rPr>
          <w:kern w:val="22"/>
          <w:szCs w:val="22"/>
          <w:lang w:val="fr-CA"/>
        </w:rPr>
        <w:t>e</w:t>
      </w:r>
      <w:r w:rsidRPr="00A035CF">
        <w:rPr>
          <w:kern w:val="22"/>
          <w:szCs w:val="22"/>
          <w:lang w:val="fr-CA"/>
        </w:rPr>
        <w:t>s résulta</w:t>
      </w:r>
      <w:r w:rsidR="00003F80" w:rsidRPr="00A035CF">
        <w:rPr>
          <w:kern w:val="22"/>
          <w:szCs w:val="22"/>
          <w:lang w:val="fr-CA"/>
        </w:rPr>
        <w:t>t</w:t>
      </w:r>
      <w:r w:rsidRPr="00A035CF">
        <w:rPr>
          <w:kern w:val="22"/>
          <w:szCs w:val="22"/>
          <w:lang w:val="fr-CA"/>
        </w:rPr>
        <w:t>s des processus intersessions pertinents, si nécessaire, comme indiqué au point 3</w:t>
      </w:r>
      <w:r w:rsidR="00203654" w:rsidRPr="00A035CF">
        <w:rPr>
          <w:kern w:val="22"/>
          <w:szCs w:val="22"/>
          <w:lang w:val="fr-CA"/>
        </w:rPr>
        <w:t>.</w:t>
      </w:r>
    </w:p>
    <w:p w14:paraId="15B1FB0E" w14:textId="03EB53E3" w:rsidR="002C34FE" w:rsidRPr="00A035CF" w:rsidRDefault="00003F80" w:rsidP="00203654">
      <w:pPr>
        <w:pStyle w:val="Heading1"/>
        <w:suppressLineNumbers/>
        <w:tabs>
          <w:tab w:val="clear" w:pos="720"/>
          <w:tab w:val="left" w:pos="993"/>
        </w:tabs>
        <w:suppressAutoHyphens/>
        <w:spacing w:before="120"/>
        <w:rPr>
          <w:rFonts w:eastAsia="Calibri"/>
          <w:kern w:val="22"/>
          <w:szCs w:val="22"/>
          <w:lang w:val="fr-CA"/>
        </w:rPr>
      </w:pPr>
      <w:r w:rsidRPr="00A035CF">
        <w:rPr>
          <w:rFonts w:eastAsia="Calibri"/>
          <w:kern w:val="22"/>
          <w:szCs w:val="22"/>
          <w:lang w:val="fr-CA"/>
        </w:rPr>
        <w:lastRenderedPageBreak/>
        <w:t>point</w:t>
      </w:r>
      <w:r w:rsidR="00203654" w:rsidRPr="00A035CF">
        <w:rPr>
          <w:rFonts w:eastAsia="Calibri"/>
          <w:kern w:val="22"/>
          <w:szCs w:val="22"/>
          <w:lang w:val="fr-CA"/>
        </w:rPr>
        <w:t xml:space="preserve"> 5. </w:t>
      </w:r>
      <w:r w:rsidR="00BB6BC1" w:rsidRPr="00A035CF">
        <w:rPr>
          <w:rFonts w:eastAsia="Calibri"/>
          <w:kern w:val="22"/>
          <w:szCs w:val="22"/>
          <w:lang w:val="fr-CA"/>
        </w:rPr>
        <w:tab/>
      </w:r>
      <w:r w:rsidRPr="00A035CF">
        <w:rPr>
          <w:rFonts w:eastAsia="Calibri"/>
          <w:kern w:val="22"/>
          <w:szCs w:val="22"/>
          <w:lang w:val="fr-CA"/>
        </w:rPr>
        <w:t>information de séquençage numérique sur les ressources génétiques</w:t>
      </w:r>
    </w:p>
    <w:p w14:paraId="018C35AA" w14:textId="4C97B773" w:rsidR="00B86D17" w:rsidRPr="00A035CF" w:rsidRDefault="00003F80" w:rsidP="00B86D17">
      <w:pPr>
        <w:pStyle w:val="Para1"/>
        <w:numPr>
          <w:ilvl w:val="0"/>
          <w:numId w:val="2"/>
        </w:numPr>
        <w:tabs>
          <w:tab w:val="clear" w:pos="360"/>
        </w:tabs>
        <w:rPr>
          <w:rFonts w:eastAsia="Malgun Gothic"/>
          <w:kern w:val="22"/>
          <w:szCs w:val="22"/>
          <w:lang w:val="fr-CA"/>
        </w:rPr>
      </w:pPr>
      <w:r w:rsidRPr="00A035CF">
        <w:rPr>
          <w:rFonts w:eastAsia="Malgun Gothic"/>
          <w:kern w:val="22"/>
          <w:szCs w:val="22"/>
          <w:lang w:val="fr-CA"/>
        </w:rPr>
        <w:t>Au paragraphe 6 de la décision</w:t>
      </w:r>
      <w:r w:rsidR="00B86D17" w:rsidRPr="00A035CF">
        <w:rPr>
          <w:rFonts w:eastAsia="Malgun Gothic"/>
          <w:kern w:val="22"/>
          <w:szCs w:val="22"/>
          <w:lang w:val="fr-CA"/>
        </w:rPr>
        <w:t xml:space="preserve"> </w:t>
      </w:r>
      <w:hyperlink r:id="rId18" w:history="1">
        <w:r w:rsidR="00B86D17" w:rsidRPr="00A035CF">
          <w:rPr>
            <w:rStyle w:val="Hyperlink"/>
            <w:rFonts w:eastAsia="Malgun Gothic"/>
            <w:kern w:val="22"/>
            <w:sz w:val="22"/>
            <w:szCs w:val="22"/>
            <w:lang w:val="fr-CA"/>
          </w:rPr>
          <w:t>14/20</w:t>
        </w:r>
      </w:hyperlink>
      <w:r w:rsidR="00AF576E" w:rsidRPr="00A035CF">
        <w:rPr>
          <w:rFonts w:eastAsia="Malgun Gothic"/>
          <w:kern w:val="22"/>
          <w:szCs w:val="22"/>
          <w:lang w:val="fr-CA"/>
        </w:rPr>
        <w:t xml:space="preserve">, </w:t>
      </w:r>
      <w:r w:rsidRPr="00A035CF">
        <w:rPr>
          <w:rFonts w:eastAsia="Malgun Gothic"/>
          <w:kern w:val="22"/>
          <w:szCs w:val="22"/>
          <w:lang w:val="fr-CA"/>
        </w:rPr>
        <w:t xml:space="preserve">les Parties se sont engagées </w:t>
      </w:r>
      <w:r w:rsidR="00AF576E" w:rsidRPr="00A035CF">
        <w:rPr>
          <w:rFonts w:eastAsia="Malgun Gothic"/>
          <w:kern w:val="22"/>
          <w:szCs w:val="22"/>
          <w:lang w:val="fr-CA"/>
        </w:rPr>
        <w:t>à s’employer à résoudre la divergence de points de vue sur le partage des avantages découlant de l’utilisation d’informations sur les</w:t>
      </w:r>
      <w:r w:rsidR="007803F4" w:rsidRPr="00A035CF">
        <w:rPr>
          <w:rFonts w:eastAsia="Malgun Gothic"/>
          <w:kern w:val="22"/>
          <w:szCs w:val="22"/>
          <w:lang w:val="fr-CA"/>
        </w:rPr>
        <w:t xml:space="preserve"> </w:t>
      </w:r>
      <w:r w:rsidR="00AF576E" w:rsidRPr="00A035CF">
        <w:rPr>
          <w:rFonts w:eastAsia="Malgun Gothic"/>
          <w:kern w:val="22"/>
          <w:szCs w:val="22"/>
          <w:lang w:val="fr-CA"/>
        </w:rPr>
        <w:t xml:space="preserve">séquences numériques concernant les ressources génétiques et ont créé un processus à ces fins qui comprend la proposition de points de vue, la commande d’études et la réunion du groupe spécial élargi d’experts techniques. </w:t>
      </w:r>
      <w:r w:rsidR="003F2F1F" w:rsidRPr="00A035CF">
        <w:rPr>
          <w:rFonts w:eastAsia="Malgun Gothic"/>
          <w:kern w:val="22"/>
          <w:szCs w:val="22"/>
          <w:lang w:val="fr-CA"/>
        </w:rPr>
        <w:t>Le Groupe de travail a examiné la question à sa troisième réunion et a préparé la recommandation </w:t>
      </w:r>
      <w:r w:rsidR="007803F4" w:rsidRPr="00A035CF">
        <w:rPr>
          <w:rFonts w:eastAsia="Malgun Gothic"/>
          <w:kern w:val="22"/>
          <w:szCs w:val="22"/>
          <w:lang w:val="fr-CA"/>
        </w:rPr>
        <w:t>3/2.</w:t>
      </w:r>
    </w:p>
    <w:p w14:paraId="685EE0FB" w14:textId="45EBF94E" w:rsidR="00B86D17" w:rsidRPr="00A035CF" w:rsidRDefault="003F2F1F" w:rsidP="00B86D17">
      <w:pPr>
        <w:pStyle w:val="Para1"/>
        <w:numPr>
          <w:ilvl w:val="0"/>
          <w:numId w:val="2"/>
        </w:numPr>
        <w:tabs>
          <w:tab w:val="clear" w:pos="360"/>
        </w:tabs>
        <w:rPr>
          <w:rFonts w:eastAsia="Malgun Gothic"/>
          <w:kern w:val="22"/>
          <w:szCs w:val="22"/>
          <w:lang w:val="fr-CA"/>
        </w:rPr>
      </w:pPr>
      <w:r w:rsidRPr="00A035CF">
        <w:rPr>
          <w:rFonts w:eastAsia="Malgun Gothic"/>
          <w:kern w:val="22"/>
          <w:szCs w:val="22"/>
          <w:lang w:val="fr-CA"/>
        </w:rPr>
        <w:t>Dans le cadre de ce point, le Groupe de travail devrait préparer un projet de décision pour examen par l</w:t>
      </w:r>
      <w:r w:rsidR="001C6FBD">
        <w:rPr>
          <w:rFonts w:eastAsia="Malgun Gothic"/>
          <w:kern w:val="22"/>
          <w:szCs w:val="22"/>
          <w:lang w:val="fr-CA"/>
        </w:rPr>
        <w:t>a</w:t>
      </w:r>
      <w:r w:rsidRPr="00A035CF">
        <w:rPr>
          <w:rFonts w:eastAsia="Malgun Gothic"/>
          <w:kern w:val="22"/>
          <w:szCs w:val="22"/>
          <w:lang w:val="fr-CA"/>
        </w:rPr>
        <w:t xml:space="preserve"> Conférence des Parties à sa quinzième réunion. Le Groupe de travail devrait entreprendre ses travaux sur la base des </w:t>
      </w:r>
      <w:r w:rsidR="001C6FBD">
        <w:rPr>
          <w:rFonts w:eastAsia="Malgun Gothic"/>
          <w:kern w:val="22"/>
          <w:szCs w:val="22"/>
          <w:lang w:val="fr-CA"/>
        </w:rPr>
        <w:t>résultats</w:t>
      </w:r>
      <w:r w:rsidRPr="00A035CF">
        <w:rPr>
          <w:rFonts w:eastAsia="Malgun Gothic"/>
          <w:kern w:val="22"/>
          <w:szCs w:val="22"/>
          <w:lang w:val="fr-CA"/>
        </w:rPr>
        <w:t xml:space="preserve"> de sa troisième réunion, en tenant compte des conclusions des échanges du Groupe consultatif informel des coprésidents et autres activités pertinentes</w:t>
      </w:r>
      <w:r w:rsidR="00D70637" w:rsidRPr="00A035CF">
        <w:rPr>
          <w:kern w:val="22"/>
          <w:szCs w:val="22"/>
          <w:lang w:val="fr-CA"/>
        </w:rPr>
        <w:t>.</w:t>
      </w:r>
      <w:r w:rsidR="00B86D17" w:rsidRPr="00A035CF">
        <w:rPr>
          <w:kern w:val="22"/>
          <w:szCs w:val="22"/>
          <w:lang w:val="fr-CA"/>
        </w:rPr>
        <w:t xml:space="preserve"> </w:t>
      </w:r>
    </w:p>
    <w:p w14:paraId="04C03EED" w14:textId="14912BA5" w:rsidR="000A72BA" w:rsidRPr="00A035CF" w:rsidRDefault="003F2F1F" w:rsidP="00B86D17">
      <w:pPr>
        <w:pStyle w:val="Heading1"/>
        <w:suppressLineNumbers/>
        <w:tabs>
          <w:tab w:val="clear" w:pos="720"/>
          <w:tab w:val="left" w:pos="993"/>
        </w:tabs>
        <w:suppressAutoHyphens/>
        <w:spacing w:before="120"/>
        <w:rPr>
          <w:rFonts w:eastAsia="Calibri"/>
          <w:kern w:val="22"/>
          <w:szCs w:val="22"/>
          <w:lang w:val="fr-CA"/>
        </w:rPr>
      </w:pPr>
      <w:r w:rsidRPr="00A035CF">
        <w:rPr>
          <w:rFonts w:eastAsia="Calibri"/>
          <w:kern w:val="22"/>
          <w:szCs w:val="22"/>
          <w:lang w:val="fr-CA"/>
        </w:rPr>
        <w:t>POINT</w:t>
      </w:r>
      <w:r w:rsidR="00B86D17" w:rsidRPr="00A035CF">
        <w:rPr>
          <w:rFonts w:eastAsia="Calibri"/>
          <w:kern w:val="22"/>
          <w:szCs w:val="22"/>
          <w:lang w:val="fr-CA"/>
        </w:rPr>
        <w:t xml:space="preserve"> 6. </w:t>
      </w:r>
      <w:r w:rsidRPr="00A035CF">
        <w:rPr>
          <w:rFonts w:eastAsia="Calibri"/>
          <w:kern w:val="22"/>
          <w:szCs w:val="22"/>
          <w:lang w:val="fr-CA"/>
        </w:rPr>
        <w:t>questions diverses</w:t>
      </w:r>
    </w:p>
    <w:p w14:paraId="1E0BCCFA" w14:textId="74AAF454" w:rsidR="00B86D17" w:rsidRPr="00A035CF" w:rsidRDefault="003F2F1F" w:rsidP="00B86D17">
      <w:pPr>
        <w:pStyle w:val="Para1"/>
        <w:numPr>
          <w:ilvl w:val="0"/>
          <w:numId w:val="2"/>
        </w:numPr>
        <w:suppressLineNumbers/>
        <w:tabs>
          <w:tab w:val="clear" w:pos="360"/>
        </w:tabs>
        <w:suppressAutoHyphens/>
        <w:rPr>
          <w:rFonts w:eastAsia="Malgun Gothic"/>
          <w:kern w:val="22"/>
          <w:szCs w:val="22"/>
          <w:lang w:val="fr-CA"/>
        </w:rPr>
      </w:pPr>
      <w:r w:rsidRPr="00A035CF">
        <w:rPr>
          <w:kern w:val="22"/>
          <w:szCs w:val="22"/>
          <w:lang w:val="fr-CA"/>
        </w:rPr>
        <w:t>Le Groupe de travail pourrait aborder d’autres questions concernant le thème de la réunion</w:t>
      </w:r>
      <w:r w:rsidR="00B86D17" w:rsidRPr="00A035CF">
        <w:rPr>
          <w:kern w:val="22"/>
          <w:szCs w:val="22"/>
          <w:lang w:val="fr-CA"/>
        </w:rPr>
        <w:t>.</w:t>
      </w:r>
    </w:p>
    <w:p w14:paraId="5E3AB16F" w14:textId="0A8A7B10" w:rsidR="000A72BA" w:rsidRPr="00A035CF" w:rsidRDefault="003F2F1F" w:rsidP="00B86D17">
      <w:pPr>
        <w:pStyle w:val="Heading1"/>
        <w:suppressLineNumbers/>
        <w:tabs>
          <w:tab w:val="clear" w:pos="720"/>
          <w:tab w:val="left" w:pos="993"/>
        </w:tabs>
        <w:suppressAutoHyphens/>
        <w:spacing w:before="120"/>
        <w:rPr>
          <w:rFonts w:eastAsia="Calibri"/>
          <w:kern w:val="22"/>
          <w:szCs w:val="22"/>
          <w:lang w:val="fr-CA"/>
        </w:rPr>
      </w:pPr>
      <w:r w:rsidRPr="00A035CF">
        <w:rPr>
          <w:rFonts w:eastAsia="Calibri"/>
          <w:kern w:val="22"/>
          <w:szCs w:val="22"/>
          <w:lang w:val="fr-CA"/>
        </w:rPr>
        <w:t>POINT</w:t>
      </w:r>
      <w:r w:rsidR="00B86D17" w:rsidRPr="00A035CF">
        <w:rPr>
          <w:rFonts w:eastAsia="Calibri"/>
          <w:kern w:val="22"/>
          <w:szCs w:val="22"/>
          <w:lang w:val="fr-CA"/>
        </w:rPr>
        <w:t xml:space="preserve"> 7. </w:t>
      </w:r>
      <w:r w:rsidR="00B94B79" w:rsidRPr="00A035CF">
        <w:rPr>
          <w:rFonts w:eastAsia="Calibri"/>
          <w:kern w:val="22"/>
          <w:szCs w:val="22"/>
          <w:lang w:val="fr-CA"/>
        </w:rPr>
        <w:tab/>
      </w:r>
      <w:r w:rsidR="000A72BA" w:rsidRPr="00A035CF">
        <w:rPr>
          <w:rFonts w:eastAsia="Calibri"/>
          <w:kern w:val="22"/>
          <w:szCs w:val="22"/>
          <w:lang w:val="fr-CA"/>
        </w:rPr>
        <w:t xml:space="preserve">Adoption </w:t>
      </w:r>
      <w:r w:rsidRPr="00A035CF">
        <w:rPr>
          <w:rFonts w:eastAsia="Calibri"/>
          <w:kern w:val="22"/>
          <w:szCs w:val="22"/>
          <w:lang w:val="fr-CA"/>
        </w:rPr>
        <w:t>du rapport</w:t>
      </w:r>
    </w:p>
    <w:p w14:paraId="08DA61EF" w14:textId="64590E25" w:rsidR="00B86D17" w:rsidRPr="00A035CF" w:rsidRDefault="003F2F1F" w:rsidP="00B86D17">
      <w:pPr>
        <w:pStyle w:val="Para1"/>
        <w:numPr>
          <w:ilvl w:val="0"/>
          <w:numId w:val="2"/>
        </w:numPr>
        <w:suppressLineNumbers/>
        <w:tabs>
          <w:tab w:val="clear" w:pos="360"/>
        </w:tabs>
        <w:suppressAutoHyphens/>
        <w:rPr>
          <w:kern w:val="22"/>
          <w:szCs w:val="22"/>
          <w:lang w:val="fr-CA"/>
        </w:rPr>
      </w:pPr>
      <w:r w:rsidRPr="00A035CF">
        <w:rPr>
          <w:kern w:val="22"/>
          <w:szCs w:val="22"/>
          <w:lang w:val="fr-CA"/>
        </w:rPr>
        <w:t>Le Groupe de travail</w:t>
      </w:r>
      <w:r w:rsidR="0070243C" w:rsidRPr="00A035CF">
        <w:rPr>
          <w:kern w:val="22"/>
          <w:szCs w:val="22"/>
          <w:lang w:val="fr-CA"/>
        </w:rPr>
        <w:t xml:space="preserve"> sera invité à examiner et à adopter le rapport sur les travaux de sa quatrième réunion sur la base du projet de rapport préparé par le rapporteur</w:t>
      </w:r>
      <w:r w:rsidR="00B86D17" w:rsidRPr="00A035CF">
        <w:rPr>
          <w:kern w:val="22"/>
          <w:szCs w:val="22"/>
          <w:lang w:val="fr-CA"/>
        </w:rPr>
        <w:t>.</w:t>
      </w:r>
    </w:p>
    <w:p w14:paraId="0CB5D707" w14:textId="77A17C2A" w:rsidR="000A72BA" w:rsidRPr="00A035CF" w:rsidRDefault="0070243C" w:rsidP="00B86D17">
      <w:pPr>
        <w:pStyle w:val="Heading1"/>
        <w:suppressLineNumbers/>
        <w:tabs>
          <w:tab w:val="clear" w:pos="720"/>
          <w:tab w:val="left" w:pos="993"/>
        </w:tabs>
        <w:suppressAutoHyphens/>
        <w:spacing w:before="120"/>
        <w:rPr>
          <w:rFonts w:eastAsia="Calibri"/>
          <w:kern w:val="22"/>
          <w:szCs w:val="22"/>
          <w:lang w:val="fr-CA"/>
        </w:rPr>
      </w:pPr>
      <w:r w:rsidRPr="00A035CF">
        <w:rPr>
          <w:rFonts w:eastAsia="Calibri"/>
          <w:kern w:val="22"/>
          <w:szCs w:val="22"/>
          <w:lang w:val="fr-CA"/>
        </w:rPr>
        <w:t>point</w:t>
      </w:r>
      <w:r w:rsidR="00B86D17" w:rsidRPr="00A035CF">
        <w:rPr>
          <w:rFonts w:eastAsia="Calibri"/>
          <w:kern w:val="22"/>
          <w:szCs w:val="22"/>
          <w:lang w:val="fr-CA"/>
        </w:rPr>
        <w:t xml:space="preserve"> 8. </w:t>
      </w:r>
      <w:r w:rsidR="00B94B79" w:rsidRPr="00A035CF">
        <w:rPr>
          <w:rFonts w:eastAsia="Calibri"/>
          <w:kern w:val="22"/>
          <w:szCs w:val="22"/>
          <w:lang w:val="fr-CA"/>
        </w:rPr>
        <w:tab/>
      </w:r>
      <w:r w:rsidRPr="00A035CF">
        <w:rPr>
          <w:rFonts w:eastAsia="Calibri"/>
          <w:kern w:val="22"/>
          <w:szCs w:val="22"/>
          <w:lang w:val="fr-CA"/>
        </w:rPr>
        <w:t>déclaration de clôture</w:t>
      </w:r>
    </w:p>
    <w:p w14:paraId="1C63CBE1" w14:textId="0CC325D8" w:rsidR="00A40419" w:rsidRPr="00A035CF" w:rsidRDefault="0070243C" w:rsidP="00B86D17">
      <w:pPr>
        <w:pStyle w:val="Para1"/>
        <w:numPr>
          <w:ilvl w:val="0"/>
          <w:numId w:val="2"/>
        </w:numPr>
        <w:suppressLineNumbers/>
        <w:tabs>
          <w:tab w:val="clear" w:pos="360"/>
        </w:tabs>
        <w:suppressAutoHyphens/>
        <w:rPr>
          <w:kern w:val="22"/>
          <w:szCs w:val="22"/>
          <w:lang w:val="fr-CA"/>
        </w:rPr>
      </w:pPr>
      <w:r w:rsidRPr="00A035CF">
        <w:rPr>
          <w:kern w:val="22"/>
          <w:szCs w:val="22"/>
          <w:lang w:val="fr-CA"/>
        </w:rPr>
        <w:t>La réunion devrait clore à 18 h, le 26 juin 2</w:t>
      </w:r>
      <w:r w:rsidR="00B86D17" w:rsidRPr="00A035CF">
        <w:rPr>
          <w:kern w:val="22"/>
          <w:szCs w:val="22"/>
          <w:lang w:val="fr-CA"/>
        </w:rPr>
        <w:t xml:space="preserve">022. </w:t>
      </w:r>
    </w:p>
    <w:p w14:paraId="6E6944C7" w14:textId="5780665A" w:rsidR="00B86D17" w:rsidRPr="00A035CF" w:rsidRDefault="00B86D17">
      <w:pPr>
        <w:jc w:val="left"/>
        <w:rPr>
          <w:snapToGrid w:val="0"/>
          <w:kern w:val="22"/>
          <w:szCs w:val="22"/>
          <w:lang w:val="fr-CA"/>
        </w:rPr>
      </w:pPr>
      <w:r w:rsidRPr="00A035CF">
        <w:rPr>
          <w:kern w:val="22"/>
          <w:szCs w:val="22"/>
          <w:lang w:val="fr-CA"/>
        </w:rPr>
        <w:br w:type="page"/>
      </w:r>
    </w:p>
    <w:p w14:paraId="74D1363C" w14:textId="01E9B14F" w:rsidR="00B86D17" w:rsidRPr="00A035CF" w:rsidRDefault="00B86D17" w:rsidP="00B86D17">
      <w:pPr>
        <w:pStyle w:val="Para1"/>
        <w:numPr>
          <w:ilvl w:val="0"/>
          <w:numId w:val="0"/>
        </w:numPr>
        <w:suppressLineNumbers/>
        <w:suppressAutoHyphens/>
        <w:spacing w:before="0"/>
        <w:jc w:val="center"/>
        <w:rPr>
          <w:i/>
          <w:kern w:val="22"/>
          <w:szCs w:val="22"/>
          <w:lang w:val="fr-CA"/>
        </w:rPr>
      </w:pPr>
      <w:r w:rsidRPr="00A035CF">
        <w:rPr>
          <w:i/>
          <w:kern w:val="22"/>
          <w:szCs w:val="22"/>
          <w:lang w:val="fr-CA"/>
        </w:rPr>
        <w:lastRenderedPageBreak/>
        <w:t>Annex</w:t>
      </w:r>
      <w:r w:rsidR="00A035CF">
        <w:rPr>
          <w:i/>
          <w:kern w:val="22"/>
          <w:szCs w:val="22"/>
          <w:lang w:val="fr-CA"/>
        </w:rPr>
        <w:t>e</w:t>
      </w:r>
    </w:p>
    <w:p w14:paraId="191A8107" w14:textId="28055AF7" w:rsidR="00B86D17" w:rsidRPr="00A035CF" w:rsidRDefault="00A035CF" w:rsidP="00B86D17">
      <w:pPr>
        <w:pStyle w:val="Heading1"/>
        <w:keepNext w:val="0"/>
        <w:suppressLineNumbers/>
        <w:suppressAutoHyphens/>
        <w:spacing w:before="120"/>
        <w:rPr>
          <w:kern w:val="22"/>
          <w:szCs w:val="22"/>
          <w:lang w:val="fr-CA"/>
        </w:rPr>
      </w:pPr>
      <w:r>
        <w:rPr>
          <w:rFonts w:eastAsia="Malgun Gothic"/>
          <w:kern w:val="22"/>
          <w:szCs w:val="22"/>
          <w:lang w:val="fr-CA"/>
        </w:rPr>
        <w:t>LISTE DES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1"/>
      </w:tblGrid>
      <w:tr w:rsidR="00B86D17" w:rsidRPr="00A035CF" w14:paraId="7C87E87E" w14:textId="77777777" w:rsidTr="007B64BC">
        <w:tc>
          <w:tcPr>
            <w:tcW w:w="3119" w:type="dxa"/>
          </w:tcPr>
          <w:p w14:paraId="28D4AC4E" w14:textId="5673540F" w:rsidR="00B86D17" w:rsidRPr="00A035CF" w:rsidRDefault="00B86D17" w:rsidP="0087000F">
            <w:pPr>
              <w:pStyle w:val="Para1"/>
              <w:numPr>
                <w:ilvl w:val="0"/>
                <w:numId w:val="0"/>
              </w:numPr>
              <w:suppressLineNumbers/>
              <w:suppressAutoHyphens/>
              <w:jc w:val="left"/>
              <w:rPr>
                <w:kern w:val="22"/>
                <w:szCs w:val="22"/>
                <w:lang w:val="fr-CA"/>
              </w:rPr>
            </w:pPr>
            <w:r w:rsidRPr="00A035CF">
              <w:rPr>
                <w:kern w:val="22"/>
                <w:szCs w:val="22"/>
                <w:lang w:val="fr-CA"/>
              </w:rPr>
              <w:t>CBD/WG2020/4/1</w:t>
            </w:r>
          </w:p>
        </w:tc>
        <w:tc>
          <w:tcPr>
            <w:tcW w:w="6231" w:type="dxa"/>
          </w:tcPr>
          <w:p w14:paraId="01E3001C" w14:textId="64AEA908" w:rsidR="00B86D17" w:rsidRPr="00A035CF" w:rsidRDefault="00A035CF" w:rsidP="0087000F">
            <w:pPr>
              <w:pStyle w:val="Para1"/>
              <w:numPr>
                <w:ilvl w:val="0"/>
                <w:numId w:val="0"/>
              </w:numPr>
              <w:suppressLineNumbers/>
              <w:suppressAutoHyphens/>
              <w:jc w:val="left"/>
              <w:rPr>
                <w:kern w:val="22"/>
                <w:szCs w:val="22"/>
                <w:lang w:val="fr-CA"/>
              </w:rPr>
            </w:pPr>
            <w:r>
              <w:rPr>
                <w:kern w:val="22"/>
                <w:szCs w:val="22"/>
                <w:lang w:val="fr-CA"/>
              </w:rPr>
              <w:t>Ordre du jour provisoire</w:t>
            </w:r>
          </w:p>
        </w:tc>
      </w:tr>
      <w:tr w:rsidR="00B86D17" w:rsidRPr="00424872" w14:paraId="00D9A7B8" w14:textId="77777777" w:rsidTr="007B64BC">
        <w:tc>
          <w:tcPr>
            <w:tcW w:w="3119" w:type="dxa"/>
          </w:tcPr>
          <w:p w14:paraId="04EF1E12" w14:textId="52ABE182" w:rsidR="00B86D17" w:rsidRPr="00A035CF" w:rsidRDefault="00B86D17" w:rsidP="0087000F">
            <w:pPr>
              <w:pStyle w:val="Para1"/>
              <w:numPr>
                <w:ilvl w:val="0"/>
                <w:numId w:val="0"/>
              </w:numPr>
              <w:suppressLineNumbers/>
              <w:suppressAutoHyphens/>
              <w:jc w:val="left"/>
              <w:rPr>
                <w:kern w:val="22"/>
                <w:szCs w:val="22"/>
                <w:lang w:val="fr-CA"/>
              </w:rPr>
            </w:pPr>
            <w:r w:rsidRPr="00A035CF">
              <w:rPr>
                <w:kern w:val="22"/>
                <w:szCs w:val="22"/>
                <w:lang w:val="fr-CA"/>
              </w:rPr>
              <w:t>CBD/WG2020/4/1/Add.1</w:t>
            </w:r>
          </w:p>
        </w:tc>
        <w:tc>
          <w:tcPr>
            <w:tcW w:w="6231" w:type="dxa"/>
          </w:tcPr>
          <w:p w14:paraId="64613922" w14:textId="2BD9FBE5" w:rsidR="00B86D17" w:rsidRPr="00A035CF" w:rsidRDefault="00A035CF" w:rsidP="0087000F">
            <w:pPr>
              <w:pStyle w:val="Para1"/>
              <w:numPr>
                <w:ilvl w:val="0"/>
                <w:numId w:val="0"/>
              </w:numPr>
              <w:suppressLineNumbers/>
              <w:suppressAutoHyphens/>
              <w:jc w:val="left"/>
              <w:rPr>
                <w:kern w:val="22"/>
                <w:szCs w:val="22"/>
                <w:lang w:val="fr-CA"/>
              </w:rPr>
            </w:pPr>
            <w:r>
              <w:rPr>
                <w:kern w:val="22"/>
                <w:szCs w:val="22"/>
                <w:lang w:val="fr-CA"/>
              </w:rPr>
              <w:t>Ordre du jour provisoire annoté</w:t>
            </w:r>
          </w:p>
        </w:tc>
      </w:tr>
      <w:tr w:rsidR="00B86D17" w:rsidRPr="00A035CF" w14:paraId="15850472" w14:textId="77777777" w:rsidTr="007B64BC">
        <w:tc>
          <w:tcPr>
            <w:tcW w:w="3119" w:type="dxa"/>
          </w:tcPr>
          <w:p w14:paraId="3903F391" w14:textId="6E1B57C1" w:rsidR="00B86D17" w:rsidRPr="00A035CF" w:rsidRDefault="00B86D17" w:rsidP="0087000F">
            <w:pPr>
              <w:pStyle w:val="Para1"/>
              <w:numPr>
                <w:ilvl w:val="0"/>
                <w:numId w:val="0"/>
              </w:numPr>
              <w:suppressLineNumbers/>
              <w:suppressAutoHyphens/>
              <w:jc w:val="left"/>
              <w:rPr>
                <w:kern w:val="22"/>
                <w:szCs w:val="22"/>
                <w:lang w:val="fr-CA"/>
              </w:rPr>
            </w:pPr>
            <w:r w:rsidRPr="00A035CF">
              <w:rPr>
                <w:kern w:val="22"/>
                <w:szCs w:val="22"/>
                <w:lang w:val="fr-CA"/>
              </w:rPr>
              <w:t>CBD/WG2020/4/1/Add.2</w:t>
            </w:r>
          </w:p>
        </w:tc>
        <w:tc>
          <w:tcPr>
            <w:tcW w:w="6231" w:type="dxa"/>
          </w:tcPr>
          <w:p w14:paraId="67A3E495" w14:textId="44D50954" w:rsidR="00B86D17" w:rsidRPr="00A035CF" w:rsidRDefault="00A035CF" w:rsidP="0087000F">
            <w:pPr>
              <w:pStyle w:val="Para1"/>
              <w:numPr>
                <w:ilvl w:val="0"/>
                <w:numId w:val="0"/>
              </w:numPr>
              <w:suppressLineNumbers/>
              <w:suppressAutoHyphens/>
              <w:jc w:val="left"/>
              <w:rPr>
                <w:kern w:val="22"/>
                <w:szCs w:val="22"/>
                <w:lang w:val="fr-CA"/>
              </w:rPr>
            </w:pPr>
            <w:r>
              <w:rPr>
                <w:kern w:val="22"/>
                <w:szCs w:val="22"/>
                <w:lang w:val="fr-CA"/>
              </w:rPr>
              <w:t>Note de scénario</w:t>
            </w:r>
          </w:p>
        </w:tc>
      </w:tr>
      <w:tr w:rsidR="00B86D17" w:rsidRPr="00A035CF" w14:paraId="578E5C22" w14:textId="77777777" w:rsidTr="007B64BC">
        <w:trPr>
          <w:trHeight w:val="60"/>
        </w:trPr>
        <w:tc>
          <w:tcPr>
            <w:tcW w:w="3119" w:type="dxa"/>
          </w:tcPr>
          <w:p w14:paraId="2B083480" w14:textId="39765524" w:rsidR="00B86D17" w:rsidRPr="00A035CF" w:rsidRDefault="00B86D17" w:rsidP="0087000F">
            <w:pPr>
              <w:pStyle w:val="Para1"/>
              <w:numPr>
                <w:ilvl w:val="0"/>
                <w:numId w:val="0"/>
              </w:numPr>
              <w:suppressLineNumbers/>
              <w:suppressAutoHyphens/>
              <w:jc w:val="left"/>
              <w:rPr>
                <w:kern w:val="22"/>
                <w:szCs w:val="22"/>
                <w:lang w:val="fr-CA"/>
              </w:rPr>
            </w:pPr>
            <w:r w:rsidRPr="00A035CF">
              <w:rPr>
                <w:kern w:val="22"/>
                <w:szCs w:val="22"/>
                <w:lang w:val="fr-CA"/>
              </w:rPr>
              <w:t>CBD/WG2020/4/1/Add.3</w:t>
            </w:r>
          </w:p>
        </w:tc>
        <w:tc>
          <w:tcPr>
            <w:tcW w:w="6231" w:type="dxa"/>
          </w:tcPr>
          <w:p w14:paraId="74D2D6FB" w14:textId="7CE89835" w:rsidR="007803F4" w:rsidRPr="00A035CF" w:rsidRDefault="00A035CF" w:rsidP="005B3C1D">
            <w:pPr>
              <w:pStyle w:val="Para1"/>
              <w:numPr>
                <w:ilvl w:val="0"/>
                <w:numId w:val="0"/>
              </w:numPr>
              <w:suppressLineNumbers/>
              <w:suppressAutoHyphens/>
              <w:jc w:val="left"/>
              <w:rPr>
                <w:kern w:val="22"/>
                <w:szCs w:val="22"/>
                <w:lang w:val="fr-CA"/>
              </w:rPr>
            </w:pPr>
            <w:r>
              <w:rPr>
                <w:kern w:val="22"/>
                <w:szCs w:val="22"/>
                <w:lang w:val="fr-CA"/>
              </w:rPr>
              <w:t>Organisation provisoire des travaux</w:t>
            </w:r>
          </w:p>
        </w:tc>
      </w:tr>
      <w:tr w:rsidR="00227F24" w:rsidRPr="00424872" w14:paraId="64D6F8B1" w14:textId="77777777" w:rsidTr="007B64BC">
        <w:tc>
          <w:tcPr>
            <w:tcW w:w="3119" w:type="dxa"/>
          </w:tcPr>
          <w:p w14:paraId="4C3490F4" w14:textId="3D382334" w:rsidR="00227F24" w:rsidRPr="00A035CF" w:rsidRDefault="00A035CF" w:rsidP="007342A7">
            <w:pPr>
              <w:pStyle w:val="Para1"/>
              <w:numPr>
                <w:ilvl w:val="0"/>
                <w:numId w:val="0"/>
              </w:numPr>
              <w:suppressLineNumbers/>
              <w:suppressAutoHyphens/>
              <w:jc w:val="left"/>
              <w:rPr>
                <w:rFonts w:eastAsia="Malgun Gothic"/>
                <w:kern w:val="22"/>
                <w:szCs w:val="22"/>
                <w:lang w:val="fr-CA"/>
              </w:rPr>
            </w:pPr>
            <w:r>
              <w:rPr>
                <w:rFonts w:eastAsia="Malgun Gothic"/>
                <w:kern w:val="22"/>
                <w:szCs w:val="22"/>
                <w:lang w:val="fr-CA"/>
              </w:rPr>
              <w:t>Recomma</w:t>
            </w:r>
            <w:r w:rsidR="00227F24" w:rsidRPr="00A035CF">
              <w:rPr>
                <w:rFonts w:eastAsia="Malgun Gothic"/>
                <w:kern w:val="22"/>
                <w:szCs w:val="22"/>
                <w:lang w:val="fr-CA"/>
              </w:rPr>
              <w:t>ndation WG2020-3/1</w:t>
            </w:r>
          </w:p>
        </w:tc>
        <w:tc>
          <w:tcPr>
            <w:tcW w:w="6231" w:type="dxa"/>
          </w:tcPr>
          <w:p w14:paraId="17A9B6D0" w14:textId="1D34EAE4" w:rsidR="00227F24" w:rsidRPr="00A035CF" w:rsidRDefault="00A035CF" w:rsidP="007342A7">
            <w:pPr>
              <w:pStyle w:val="Para1"/>
              <w:numPr>
                <w:ilvl w:val="0"/>
                <w:numId w:val="0"/>
              </w:numPr>
              <w:suppressLineNumbers/>
              <w:suppressAutoHyphens/>
              <w:jc w:val="left"/>
              <w:rPr>
                <w:kern w:val="22"/>
                <w:szCs w:val="22"/>
                <w:lang w:val="fr-CA"/>
              </w:rPr>
            </w:pPr>
            <w:r>
              <w:rPr>
                <w:kern w:val="22"/>
                <w:szCs w:val="22"/>
                <w:lang w:val="fr-CA"/>
              </w:rPr>
              <w:t xml:space="preserve">Préparation du cadre mondial de la biodiversité pour l'après-2020 </w:t>
            </w:r>
          </w:p>
        </w:tc>
      </w:tr>
      <w:tr w:rsidR="007803F4" w:rsidRPr="00424872" w14:paraId="131F6955" w14:textId="77777777" w:rsidTr="007B64BC">
        <w:tc>
          <w:tcPr>
            <w:tcW w:w="3119" w:type="dxa"/>
          </w:tcPr>
          <w:p w14:paraId="6E9D63AA" w14:textId="77777777" w:rsidR="007803F4" w:rsidRPr="00A035CF" w:rsidRDefault="007803F4" w:rsidP="007342A7">
            <w:pPr>
              <w:pStyle w:val="Para1"/>
              <w:numPr>
                <w:ilvl w:val="0"/>
                <w:numId w:val="0"/>
              </w:numPr>
              <w:suppressLineNumbers/>
              <w:suppressAutoHyphens/>
              <w:jc w:val="left"/>
              <w:rPr>
                <w:kern w:val="22"/>
                <w:szCs w:val="22"/>
                <w:lang w:val="fr-CA"/>
              </w:rPr>
            </w:pPr>
            <w:r w:rsidRPr="00A035CF">
              <w:rPr>
                <w:kern w:val="22"/>
                <w:szCs w:val="22"/>
                <w:lang w:val="fr-CA"/>
              </w:rPr>
              <w:t>CBD/WG2020/3/3</w:t>
            </w:r>
          </w:p>
        </w:tc>
        <w:tc>
          <w:tcPr>
            <w:tcW w:w="6231" w:type="dxa"/>
          </w:tcPr>
          <w:p w14:paraId="27055876" w14:textId="476BCD7F" w:rsidR="00C3611C" w:rsidRPr="00A035CF" w:rsidRDefault="00A035CF" w:rsidP="007D691B">
            <w:pPr>
              <w:pStyle w:val="Para1"/>
              <w:numPr>
                <w:ilvl w:val="0"/>
                <w:numId w:val="0"/>
              </w:numPr>
              <w:suppressLineNumbers/>
              <w:suppressAutoHyphens/>
              <w:jc w:val="left"/>
              <w:rPr>
                <w:kern w:val="22"/>
                <w:szCs w:val="22"/>
                <w:lang w:val="fr-CA"/>
              </w:rPr>
            </w:pPr>
            <w:r>
              <w:rPr>
                <w:kern w:val="22"/>
                <w:szCs w:val="22"/>
                <w:lang w:val="fr-CA"/>
              </w:rPr>
              <w:t xml:space="preserve">Première ébauche du cadre mondial de la biodiversité pour l'après-2020 </w:t>
            </w:r>
          </w:p>
        </w:tc>
      </w:tr>
      <w:tr w:rsidR="00C3611C" w:rsidRPr="00424872" w14:paraId="682DA321" w14:textId="77777777" w:rsidTr="007B64BC">
        <w:tc>
          <w:tcPr>
            <w:tcW w:w="3119" w:type="dxa"/>
          </w:tcPr>
          <w:p w14:paraId="702ABE61" w14:textId="6DB36308" w:rsidR="00C3611C" w:rsidRPr="00A035CF" w:rsidRDefault="00C3611C" w:rsidP="007342A7">
            <w:pPr>
              <w:pStyle w:val="Para1"/>
              <w:numPr>
                <w:ilvl w:val="0"/>
                <w:numId w:val="0"/>
              </w:numPr>
              <w:suppressLineNumbers/>
              <w:suppressAutoHyphens/>
              <w:jc w:val="left"/>
              <w:rPr>
                <w:kern w:val="22"/>
                <w:szCs w:val="22"/>
                <w:lang w:val="fr-CA"/>
              </w:rPr>
            </w:pPr>
            <w:r w:rsidRPr="00A035CF">
              <w:rPr>
                <w:kern w:val="22"/>
                <w:szCs w:val="22"/>
                <w:lang w:val="fr-CA"/>
              </w:rPr>
              <w:t>CBD/WG2020/3/7</w:t>
            </w:r>
          </w:p>
        </w:tc>
        <w:tc>
          <w:tcPr>
            <w:tcW w:w="6231" w:type="dxa"/>
          </w:tcPr>
          <w:p w14:paraId="32D67405" w14:textId="62BF705F" w:rsidR="00C3611C" w:rsidRPr="00A035CF" w:rsidRDefault="00A035CF" w:rsidP="007342A7">
            <w:pPr>
              <w:pStyle w:val="Para1"/>
              <w:numPr>
                <w:ilvl w:val="0"/>
                <w:numId w:val="0"/>
              </w:numPr>
              <w:suppressLineNumbers/>
              <w:suppressAutoHyphens/>
              <w:jc w:val="left"/>
              <w:rPr>
                <w:kern w:val="22"/>
                <w:szCs w:val="22"/>
                <w:lang w:val="fr-CA"/>
              </w:rPr>
            </w:pPr>
            <w:r>
              <w:rPr>
                <w:kern w:val="22"/>
                <w:szCs w:val="22"/>
                <w:lang w:val="fr-CA"/>
              </w:rPr>
              <w:t>Rapport du Groupe de travail à composition non limit</w:t>
            </w:r>
            <w:r w:rsidR="000700C0">
              <w:rPr>
                <w:kern w:val="22"/>
                <w:szCs w:val="22"/>
                <w:lang w:val="fr-CA"/>
              </w:rPr>
              <w:t>é</w:t>
            </w:r>
            <w:r>
              <w:rPr>
                <w:kern w:val="22"/>
                <w:szCs w:val="22"/>
                <w:lang w:val="fr-CA"/>
              </w:rPr>
              <w:t>e sur le cadre mondial de la biodiversité pour l'après-2020 à sa troisième réunion (partie II)</w:t>
            </w:r>
          </w:p>
        </w:tc>
      </w:tr>
    </w:tbl>
    <w:p w14:paraId="3093D971" w14:textId="2BB69491" w:rsidR="00B3369F" w:rsidRPr="00A035CF" w:rsidRDefault="00737BB0" w:rsidP="003B5508">
      <w:pPr>
        <w:suppressLineNumbers/>
        <w:suppressAutoHyphens/>
        <w:jc w:val="center"/>
        <w:rPr>
          <w:snapToGrid w:val="0"/>
          <w:kern w:val="22"/>
          <w:lang w:val="fr-CA"/>
        </w:rPr>
      </w:pPr>
      <w:r w:rsidRPr="00A035CF">
        <w:rPr>
          <w:snapToGrid w:val="0"/>
          <w:kern w:val="22"/>
          <w:lang w:val="fr-CA"/>
        </w:rPr>
        <w:t>__________</w:t>
      </w:r>
    </w:p>
    <w:sectPr w:rsidR="00B3369F" w:rsidRPr="00A035CF" w:rsidSect="00FA5583">
      <w:headerReference w:type="even" r:id="rId19"/>
      <w:headerReference w:type="default" r:id="rId20"/>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EE4AB" w14:textId="77777777" w:rsidR="004608A3" w:rsidRDefault="004608A3" w:rsidP="00CF1848">
      <w:r>
        <w:separator/>
      </w:r>
    </w:p>
  </w:endnote>
  <w:endnote w:type="continuationSeparator" w:id="0">
    <w:p w14:paraId="2C177730" w14:textId="77777777" w:rsidR="004608A3" w:rsidRDefault="004608A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668A" w14:textId="77777777" w:rsidR="004608A3" w:rsidRDefault="004608A3" w:rsidP="00CF1848">
      <w:r>
        <w:separator/>
      </w:r>
    </w:p>
  </w:footnote>
  <w:footnote w:type="continuationSeparator" w:id="0">
    <w:p w14:paraId="3171FFF5" w14:textId="77777777" w:rsidR="004608A3" w:rsidRDefault="004608A3" w:rsidP="00CF1848">
      <w:r>
        <w:continuationSeparator/>
      </w:r>
    </w:p>
  </w:footnote>
  <w:footnote w:id="1">
    <w:p w14:paraId="70F8438F" w14:textId="4AC7F315" w:rsidR="0074765E" w:rsidRPr="00DF5AFE" w:rsidRDefault="0074765E" w:rsidP="0074765E">
      <w:pPr>
        <w:pStyle w:val="FootnoteText"/>
        <w:suppressLineNumbers/>
        <w:suppressAutoHyphens/>
        <w:ind w:firstLine="0"/>
        <w:jc w:val="left"/>
        <w:rPr>
          <w:kern w:val="18"/>
          <w:lang w:val="fr-CA"/>
        </w:rPr>
      </w:pPr>
      <w:r>
        <w:rPr>
          <w:rStyle w:val="FootnoteReference"/>
          <w:rFonts w:eastAsia="Malgun Gothic"/>
          <w:snapToGrid w:val="0"/>
          <w:kern w:val="18"/>
          <w:szCs w:val="22"/>
        </w:rPr>
        <w:footnoteRef/>
      </w:r>
      <w:r w:rsidRPr="003F18B9">
        <w:rPr>
          <w:rStyle w:val="FootnoteReference"/>
          <w:rFonts w:eastAsia="Malgun Gothic"/>
          <w:snapToGrid w:val="0"/>
          <w:kern w:val="18"/>
          <w:szCs w:val="22"/>
          <w:lang w:val="fr-CA"/>
        </w:rPr>
        <w:t xml:space="preserve"> </w:t>
      </w:r>
      <w:r w:rsidR="003F18B9" w:rsidRPr="00DF5AFE">
        <w:rPr>
          <w:kern w:val="18"/>
          <w:lang w:val="fr-CA"/>
        </w:rPr>
        <w:t>Obtenez un aperçu de ces décisions sur le site CBD/POST2020/PREP/1/1</w:t>
      </w:r>
      <w:r w:rsidRPr="00DF5AFE">
        <w:rPr>
          <w:rFonts w:eastAsia="Malgun Gothic"/>
          <w:kern w:val="18"/>
          <w:szCs w:val="22"/>
          <w:lang w:val="fr-CA"/>
        </w:rPr>
        <w:t>.</w:t>
      </w:r>
    </w:p>
  </w:footnote>
  <w:footnote w:id="2">
    <w:p w14:paraId="7F44AE25" w14:textId="452C0737" w:rsidR="0074765E" w:rsidRPr="00DF5AFE" w:rsidRDefault="0074765E" w:rsidP="0074765E">
      <w:pPr>
        <w:pStyle w:val="FootnoteText"/>
        <w:suppressLineNumbers/>
        <w:suppressAutoHyphens/>
        <w:ind w:firstLine="0"/>
        <w:jc w:val="left"/>
        <w:rPr>
          <w:kern w:val="18"/>
          <w:lang w:val="fr-CA"/>
        </w:rPr>
      </w:pPr>
      <w:r w:rsidRPr="00DF5AFE">
        <w:rPr>
          <w:rStyle w:val="FootnoteReference"/>
          <w:rFonts w:eastAsia="Malgun Gothic"/>
          <w:snapToGrid w:val="0"/>
          <w:kern w:val="18"/>
          <w:szCs w:val="22"/>
          <w:lang w:val="fr-CA"/>
        </w:rPr>
        <w:footnoteRef/>
      </w:r>
      <w:r w:rsidRPr="00DF5AFE">
        <w:rPr>
          <w:rStyle w:val="FootnoteReference"/>
          <w:rFonts w:eastAsia="Malgun Gothic"/>
          <w:snapToGrid w:val="0"/>
          <w:kern w:val="18"/>
          <w:szCs w:val="22"/>
          <w:lang w:val="fr-CA"/>
        </w:rPr>
        <w:t xml:space="preserve"> </w:t>
      </w:r>
      <w:r w:rsidR="003F18B9" w:rsidRPr="00DF5AFE">
        <w:rPr>
          <w:rFonts w:eastAsia="Malgun Gothic"/>
          <w:snapToGrid w:val="0"/>
          <w:kern w:val="18"/>
          <w:szCs w:val="22"/>
          <w:lang w:val="fr-CA"/>
        </w:rPr>
        <w:t xml:space="preserve">Voir le paragraphe 2 de l’annexe à la </w:t>
      </w:r>
      <w:r w:rsidR="00287D02">
        <w:rPr>
          <w:rFonts w:eastAsia="Malgun Gothic"/>
          <w:snapToGrid w:val="0"/>
          <w:kern w:val="18"/>
          <w:szCs w:val="22"/>
          <w:lang w:val="fr-CA"/>
        </w:rPr>
        <w:t>décisio</w:t>
      </w:r>
      <w:r w:rsidR="003F18B9" w:rsidRPr="00DF5AFE">
        <w:rPr>
          <w:rFonts w:eastAsia="Malgun Gothic"/>
          <w:snapToGrid w:val="0"/>
          <w:kern w:val="18"/>
          <w:szCs w:val="22"/>
          <w:lang w:val="fr-CA"/>
        </w:rPr>
        <w:t xml:space="preserve">n </w:t>
      </w:r>
      <w:r w:rsidR="003F18B9" w:rsidRPr="00DF5AFE">
        <w:rPr>
          <w:kern w:val="18"/>
          <w:lang w:val="fr-CA"/>
        </w:rPr>
        <w:t>14/34</w:t>
      </w:r>
      <w:r w:rsidRPr="00DF5AFE">
        <w:rPr>
          <w:kern w:val="18"/>
          <w:lang w:val="fr-CA"/>
        </w:rPr>
        <w:t>.</w:t>
      </w:r>
    </w:p>
  </w:footnote>
  <w:footnote w:id="3">
    <w:p w14:paraId="08D9C28C" w14:textId="745419F1" w:rsidR="0074765E" w:rsidRPr="00DF5AFE" w:rsidRDefault="0074765E" w:rsidP="0074765E">
      <w:pPr>
        <w:pStyle w:val="FootnoteText"/>
        <w:suppressLineNumbers/>
        <w:suppressAutoHyphens/>
        <w:ind w:firstLine="0"/>
        <w:jc w:val="left"/>
        <w:rPr>
          <w:kern w:val="18"/>
          <w:lang w:val="fr-CA"/>
        </w:rPr>
      </w:pPr>
      <w:r w:rsidRPr="00DF5AFE">
        <w:rPr>
          <w:rStyle w:val="FootnoteReference"/>
          <w:rFonts w:eastAsia="Malgun Gothic"/>
          <w:snapToGrid w:val="0"/>
          <w:kern w:val="18"/>
          <w:szCs w:val="22"/>
          <w:lang w:val="fr-CA"/>
        </w:rPr>
        <w:footnoteRef/>
      </w:r>
      <w:r w:rsidR="003F18B9" w:rsidRPr="00DF5AFE">
        <w:rPr>
          <w:kern w:val="18"/>
          <w:lang w:val="fr-CA"/>
        </w:rPr>
        <w:t xml:space="preserve"> Ibid., paragraphe</w:t>
      </w:r>
      <w:r w:rsidRPr="00DF5AFE">
        <w:rPr>
          <w:kern w:val="18"/>
          <w:lang w:val="fr-CA"/>
        </w:rPr>
        <w:t> 3.</w:t>
      </w:r>
    </w:p>
  </w:footnote>
  <w:footnote w:id="4">
    <w:p w14:paraId="38D34F23" w14:textId="06BAFCB3" w:rsidR="00ED340D" w:rsidRPr="00003F80" w:rsidRDefault="00ED340D" w:rsidP="00737BB0">
      <w:pPr>
        <w:pStyle w:val="FootnoteText"/>
        <w:ind w:firstLine="0"/>
        <w:rPr>
          <w:lang w:val="fr-CA"/>
        </w:rPr>
      </w:pPr>
      <w:r>
        <w:rPr>
          <w:rStyle w:val="FootnoteReference"/>
        </w:rPr>
        <w:footnoteRef/>
      </w:r>
      <w:r w:rsidRPr="00003F80">
        <w:rPr>
          <w:lang w:val="fr-CA"/>
        </w:rPr>
        <w:t xml:space="preserve"> </w:t>
      </w:r>
      <w:r w:rsidR="00003F80">
        <w:rPr>
          <w:lang w:val="fr-CA"/>
        </w:rPr>
        <w:t>Rapport du Groupe de travail à composition non limitée sur le cadre mondial de la biodiversité pour l'après-2020 à sa troisième réunion (partie I)</w:t>
      </w:r>
      <w:r w:rsidR="001A33AA" w:rsidRPr="00003F80">
        <w:rPr>
          <w:lang w:val="fr-CA"/>
        </w:rPr>
        <w:t xml:space="preserve"> </w:t>
      </w:r>
      <w:r w:rsidR="001E764D" w:rsidRPr="00003F80">
        <w:rPr>
          <w:lang w:val="fr-CA"/>
        </w:rPr>
        <w:t>(</w:t>
      </w:r>
      <w:r w:rsidR="001A33AA" w:rsidRPr="00003F80">
        <w:rPr>
          <w:lang w:val="fr-CA"/>
        </w:rPr>
        <w:t>CBD/WG2020/3/5</w:t>
      </w:r>
      <w:r w:rsidR="001E764D" w:rsidRPr="00003F80">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F108F4F" w:rsidR="00534681" w:rsidRPr="003B5508" w:rsidRDefault="002C4770" w:rsidP="003B5508">
        <w:pPr>
          <w:pStyle w:val="Header"/>
          <w:suppressLineNumbers/>
          <w:tabs>
            <w:tab w:val="clear" w:pos="4320"/>
            <w:tab w:val="clear" w:pos="8640"/>
          </w:tabs>
          <w:suppressAutoHyphens/>
          <w:jc w:val="left"/>
          <w:rPr>
            <w:noProof/>
            <w:kern w:val="22"/>
          </w:rPr>
        </w:pPr>
        <w:r>
          <w:rPr>
            <w:noProof/>
            <w:kern w:val="22"/>
          </w:rPr>
          <w:t>CBD/WG2020/4/1/Add.1</w:t>
        </w:r>
      </w:p>
    </w:sdtContent>
  </w:sdt>
  <w:p w14:paraId="1E0FDE0B" w14:textId="77777777" w:rsidR="00534681" w:rsidRPr="003B5508" w:rsidRDefault="00534681" w:rsidP="003B5508">
    <w:pPr>
      <w:pStyle w:val="Header"/>
      <w:suppressLineNumbers/>
      <w:tabs>
        <w:tab w:val="clear" w:pos="4320"/>
        <w:tab w:val="clear" w:pos="8640"/>
      </w:tabs>
      <w:suppressAutoHyphens/>
      <w:jc w:val="lef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E977C4">
      <w:rPr>
        <w:noProof/>
        <w:kern w:val="22"/>
      </w:rPr>
      <w:t>2</w:t>
    </w:r>
    <w:r w:rsidRPr="003B5508">
      <w:rPr>
        <w:noProof/>
        <w:kern w:val="22"/>
      </w:rPr>
      <w:fldChar w:fldCharType="end"/>
    </w:r>
  </w:p>
  <w:p w14:paraId="61C60697" w14:textId="77777777" w:rsidR="00534681" w:rsidRPr="003B5508" w:rsidRDefault="00534681"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09568D23" w:rsidR="009505C9" w:rsidRPr="003B5508" w:rsidRDefault="002C4770" w:rsidP="003B5508">
        <w:pPr>
          <w:pStyle w:val="Header"/>
          <w:suppressLineNumbers/>
          <w:tabs>
            <w:tab w:val="clear" w:pos="4320"/>
            <w:tab w:val="clear" w:pos="8640"/>
          </w:tabs>
          <w:suppressAutoHyphens/>
          <w:jc w:val="right"/>
          <w:rPr>
            <w:noProof/>
            <w:kern w:val="22"/>
          </w:rPr>
        </w:pPr>
        <w:r>
          <w:rPr>
            <w:noProof/>
            <w:kern w:val="22"/>
          </w:rPr>
          <w:t>CBD/WG2020/4/1/Add.1</w:t>
        </w:r>
      </w:p>
    </w:sdtContent>
  </w:sdt>
  <w:p w14:paraId="64AE8439" w14:textId="77777777" w:rsidR="009505C9" w:rsidRPr="003B5508" w:rsidRDefault="009505C9" w:rsidP="003B5508">
    <w:pPr>
      <w:pStyle w:val="Header"/>
      <w:suppressLineNumbers/>
      <w:tabs>
        <w:tab w:val="clear" w:pos="4320"/>
        <w:tab w:val="clear" w:pos="8640"/>
      </w:tabs>
      <w:suppressAutoHyphens/>
      <w:jc w:val="righ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1C6FBD">
      <w:rPr>
        <w:noProof/>
        <w:kern w:val="22"/>
      </w:rPr>
      <w:t>3</w:t>
    </w:r>
    <w:r w:rsidRPr="003B5508">
      <w:rPr>
        <w:noProof/>
        <w:kern w:val="22"/>
      </w:rPr>
      <w:fldChar w:fldCharType="end"/>
    </w:r>
  </w:p>
  <w:p w14:paraId="16137B8A" w14:textId="77777777" w:rsidR="009505C9" w:rsidRPr="003B5508" w:rsidRDefault="009505C9"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num>
  <w:num w:numId="38">
    <w:abstractNumId w:val="1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3F80"/>
    <w:rsid w:val="000065F7"/>
    <w:rsid w:val="00021097"/>
    <w:rsid w:val="00032200"/>
    <w:rsid w:val="00045306"/>
    <w:rsid w:val="00052FDA"/>
    <w:rsid w:val="0005410E"/>
    <w:rsid w:val="00054A50"/>
    <w:rsid w:val="000700C0"/>
    <w:rsid w:val="00070DA8"/>
    <w:rsid w:val="000715B3"/>
    <w:rsid w:val="0007171B"/>
    <w:rsid w:val="0007395D"/>
    <w:rsid w:val="00083BDB"/>
    <w:rsid w:val="00092D21"/>
    <w:rsid w:val="00092E93"/>
    <w:rsid w:val="000A72BA"/>
    <w:rsid w:val="000B61C9"/>
    <w:rsid w:val="000B6E78"/>
    <w:rsid w:val="000C2701"/>
    <w:rsid w:val="000C6D7F"/>
    <w:rsid w:val="000E4A5A"/>
    <w:rsid w:val="000E673A"/>
    <w:rsid w:val="000E7787"/>
    <w:rsid w:val="000F74F5"/>
    <w:rsid w:val="00105372"/>
    <w:rsid w:val="001135FB"/>
    <w:rsid w:val="00115DC3"/>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93848"/>
    <w:rsid w:val="001A0BE9"/>
    <w:rsid w:val="001A33AA"/>
    <w:rsid w:val="001B13FE"/>
    <w:rsid w:val="001C6FBD"/>
    <w:rsid w:val="001D0BDC"/>
    <w:rsid w:val="001D19B2"/>
    <w:rsid w:val="001D3A4D"/>
    <w:rsid w:val="001D582F"/>
    <w:rsid w:val="001E1882"/>
    <w:rsid w:val="001E764D"/>
    <w:rsid w:val="001E7C97"/>
    <w:rsid w:val="0020075F"/>
    <w:rsid w:val="00203654"/>
    <w:rsid w:val="00220BA9"/>
    <w:rsid w:val="002229C7"/>
    <w:rsid w:val="0022410B"/>
    <w:rsid w:val="00227F24"/>
    <w:rsid w:val="00231DA2"/>
    <w:rsid w:val="00237D15"/>
    <w:rsid w:val="00261F4B"/>
    <w:rsid w:val="00287080"/>
    <w:rsid w:val="00287D02"/>
    <w:rsid w:val="00292E0E"/>
    <w:rsid w:val="0029476B"/>
    <w:rsid w:val="002A7AF0"/>
    <w:rsid w:val="002C1FA1"/>
    <w:rsid w:val="002C34FE"/>
    <w:rsid w:val="002C4770"/>
    <w:rsid w:val="002D469D"/>
    <w:rsid w:val="002E3E82"/>
    <w:rsid w:val="0030169D"/>
    <w:rsid w:val="00304E69"/>
    <w:rsid w:val="003060EB"/>
    <w:rsid w:val="0030667E"/>
    <w:rsid w:val="00311A24"/>
    <w:rsid w:val="00311F35"/>
    <w:rsid w:val="003153EB"/>
    <w:rsid w:val="00321985"/>
    <w:rsid w:val="00330714"/>
    <w:rsid w:val="0034158A"/>
    <w:rsid w:val="00351205"/>
    <w:rsid w:val="00362AE0"/>
    <w:rsid w:val="00363016"/>
    <w:rsid w:val="0036742C"/>
    <w:rsid w:val="00372F74"/>
    <w:rsid w:val="003768C3"/>
    <w:rsid w:val="003A4837"/>
    <w:rsid w:val="003B5508"/>
    <w:rsid w:val="003C034F"/>
    <w:rsid w:val="003C0E5B"/>
    <w:rsid w:val="003C2C3C"/>
    <w:rsid w:val="003D3915"/>
    <w:rsid w:val="003E4113"/>
    <w:rsid w:val="003F13CE"/>
    <w:rsid w:val="003F18B9"/>
    <w:rsid w:val="003F2F1F"/>
    <w:rsid w:val="003F7224"/>
    <w:rsid w:val="00404C94"/>
    <w:rsid w:val="0041065B"/>
    <w:rsid w:val="00424872"/>
    <w:rsid w:val="00426EC4"/>
    <w:rsid w:val="00427D21"/>
    <w:rsid w:val="00430AEE"/>
    <w:rsid w:val="00433495"/>
    <w:rsid w:val="00441045"/>
    <w:rsid w:val="004415E8"/>
    <w:rsid w:val="00454F39"/>
    <w:rsid w:val="004608A3"/>
    <w:rsid w:val="004644C2"/>
    <w:rsid w:val="00467F9C"/>
    <w:rsid w:val="00472208"/>
    <w:rsid w:val="004740B0"/>
    <w:rsid w:val="00474D5D"/>
    <w:rsid w:val="004772A5"/>
    <w:rsid w:val="004A2EA2"/>
    <w:rsid w:val="004B590C"/>
    <w:rsid w:val="004C6BF9"/>
    <w:rsid w:val="004D7BC4"/>
    <w:rsid w:val="004E0858"/>
    <w:rsid w:val="004E2CC3"/>
    <w:rsid w:val="004E5006"/>
    <w:rsid w:val="004F6AB3"/>
    <w:rsid w:val="00503F01"/>
    <w:rsid w:val="00514852"/>
    <w:rsid w:val="00516F9D"/>
    <w:rsid w:val="00521AA5"/>
    <w:rsid w:val="00521EDA"/>
    <w:rsid w:val="00525099"/>
    <w:rsid w:val="0052581E"/>
    <w:rsid w:val="00530337"/>
    <w:rsid w:val="00533276"/>
    <w:rsid w:val="00534681"/>
    <w:rsid w:val="00536820"/>
    <w:rsid w:val="00546814"/>
    <w:rsid w:val="00551872"/>
    <w:rsid w:val="00563442"/>
    <w:rsid w:val="00565B42"/>
    <w:rsid w:val="00566264"/>
    <w:rsid w:val="005826CE"/>
    <w:rsid w:val="005A05B5"/>
    <w:rsid w:val="005A4CFA"/>
    <w:rsid w:val="005B3C1D"/>
    <w:rsid w:val="005B5F5F"/>
    <w:rsid w:val="005C2926"/>
    <w:rsid w:val="005C35E1"/>
    <w:rsid w:val="005C4CE6"/>
    <w:rsid w:val="005D0750"/>
    <w:rsid w:val="005D3FD3"/>
    <w:rsid w:val="005D4F56"/>
    <w:rsid w:val="005D5AE6"/>
    <w:rsid w:val="005D7DEA"/>
    <w:rsid w:val="005F174A"/>
    <w:rsid w:val="0061102D"/>
    <w:rsid w:val="006122BA"/>
    <w:rsid w:val="00622D64"/>
    <w:rsid w:val="006264AB"/>
    <w:rsid w:val="00644B89"/>
    <w:rsid w:val="00645CE2"/>
    <w:rsid w:val="00646980"/>
    <w:rsid w:val="0065227E"/>
    <w:rsid w:val="00656344"/>
    <w:rsid w:val="00662A05"/>
    <w:rsid w:val="00685EAB"/>
    <w:rsid w:val="00687BBF"/>
    <w:rsid w:val="006929F4"/>
    <w:rsid w:val="00696272"/>
    <w:rsid w:val="00697237"/>
    <w:rsid w:val="006A3878"/>
    <w:rsid w:val="006B2290"/>
    <w:rsid w:val="006B30A9"/>
    <w:rsid w:val="006E0D3B"/>
    <w:rsid w:val="006E15A3"/>
    <w:rsid w:val="006E6DFB"/>
    <w:rsid w:val="006F3ABF"/>
    <w:rsid w:val="006F527B"/>
    <w:rsid w:val="006F5ABE"/>
    <w:rsid w:val="0070243C"/>
    <w:rsid w:val="00705387"/>
    <w:rsid w:val="00705967"/>
    <w:rsid w:val="007119BE"/>
    <w:rsid w:val="007128F1"/>
    <w:rsid w:val="00714D1D"/>
    <w:rsid w:val="00714E1E"/>
    <w:rsid w:val="00717D88"/>
    <w:rsid w:val="00725CCB"/>
    <w:rsid w:val="00726834"/>
    <w:rsid w:val="00727096"/>
    <w:rsid w:val="00727739"/>
    <w:rsid w:val="00733032"/>
    <w:rsid w:val="00737BB0"/>
    <w:rsid w:val="0074356D"/>
    <w:rsid w:val="0074765E"/>
    <w:rsid w:val="00767AAA"/>
    <w:rsid w:val="007803F4"/>
    <w:rsid w:val="00786056"/>
    <w:rsid w:val="007942D3"/>
    <w:rsid w:val="007A2F45"/>
    <w:rsid w:val="007B2099"/>
    <w:rsid w:val="007B3BC0"/>
    <w:rsid w:val="007B64BC"/>
    <w:rsid w:val="007B6C09"/>
    <w:rsid w:val="007B7741"/>
    <w:rsid w:val="007D691B"/>
    <w:rsid w:val="007E05B3"/>
    <w:rsid w:val="007E09DA"/>
    <w:rsid w:val="007E2E2E"/>
    <w:rsid w:val="007E628C"/>
    <w:rsid w:val="007F6342"/>
    <w:rsid w:val="00806C8E"/>
    <w:rsid w:val="0081093C"/>
    <w:rsid w:val="008178B6"/>
    <w:rsid w:val="00824506"/>
    <w:rsid w:val="00824F27"/>
    <w:rsid w:val="00833C73"/>
    <w:rsid w:val="00847D76"/>
    <w:rsid w:val="00851AA0"/>
    <w:rsid w:val="00854C9D"/>
    <w:rsid w:val="00861472"/>
    <w:rsid w:val="00861A6C"/>
    <w:rsid w:val="00865B74"/>
    <w:rsid w:val="00871432"/>
    <w:rsid w:val="008736BC"/>
    <w:rsid w:val="00875AAE"/>
    <w:rsid w:val="008813DC"/>
    <w:rsid w:val="008974F0"/>
    <w:rsid w:val="008A56BA"/>
    <w:rsid w:val="008B012A"/>
    <w:rsid w:val="008C03EB"/>
    <w:rsid w:val="008E410D"/>
    <w:rsid w:val="008F1E6C"/>
    <w:rsid w:val="00906E17"/>
    <w:rsid w:val="0091443D"/>
    <w:rsid w:val="009222D2"/>
    <w:rsid w:val="00923C09"/>
    <w:rsid w:val="00930BA1"/>
    <w:rsid w:val="0093169E"/>
    <w:rsid w:val="009340D3"/>
    <w:rsid w:val="0093461D"/>
    <w:rsid w:val="00934F93"/>
    <w:rsid w:val="009505C9"/>
    <w:rsid w:val="00950752"/>
    <w:rsid w:val="00957954"/>
    <w:rsid w:val="009614C8"/>
    <w:rsid w:val="00966424"/>
    <w:rsid w:val="009753DA"/>
    <w:rsid w:val="00980886"/>
    <w:rsid w:val="009813C1"/>
    <w:rsid w:val="0098166E"/>
    <w:rsid w:val="009A3F46"/>
    <w:rsid w:val="009A7D0B"/>
    <w:rsid w:val="009B6B01"/>
    <w:rsid w:val="009C2DE6"/>
    <w:rsid w:val="009C72A8"/>
    <w:rsid w:val="009D25B3"/>
    <w:rsid w:val="009E7712"/>
    <w:rsid w:val="009F335F"/>
    <w:rsid w:val="00A035CF"/>
    <w:rsid w:val="00A11525"/>
    <w:rsid w:val="00A13E91"/>
    <w:rsid w:val="00A2016B"/>
    <w:rsid w:val="00A225D4"/>
    <w:rsid w:val="00A40419"/>
    <w:rsid w:val="00A45606"/>
    <w:rsid w:val="00A53024"/>
    <w:rsid w:val="00A70ABE"/>
    <w:rsid w:val="00A80646"/>
    <w:rsid w:val="00A81175"/>
    <w:rsid w:val="00A900A7"/>
    <w:rsid w:val="00AA57BF"/>
    <w:rsid w:val="00AA6F92"/>
    <w:rsid w:val="00AB4B53"/>
    <w:rsid w:val="00AB4F48"/>
    <w:rsid w:val="00AB6934"/>
    <w:rsid w:val="00AC14F5"/>
    <w:rsid w:val="00AC4C55"/>
    <w:rsid w:val="00AD04F5"/>
    <w:rsid w:val="00AD3356"/>
    <w:rsid w:val="00AD530A"/>
    <w:rsid w:val="00AF42DE"/>
    <w:rsid w:val="00AF576E"/>
    <w:rsid w:val="00B07380"/>
    <w:rsid w:val="00B1662B"/>
    <w:rsid w:val="00B2193A"/>
    <w:rsid w:val="00B25084"/>
    <w:rsid w:val="00B25155"/>
    <w:rsid w:val="00B3369F"/>
    <w:rsid w:val="00B3525D"/>
    <w:rsid w:val="00B435FA"/>
    <w:rsid w:val="00B44B2D"/>
    <w:rsid w:val="00B46D6C"/>
    <w:rsid w:val="00B86D17"/>
    <w:rsid w:val="00B9092F"/>
    <w:rsid w:val="00B94B79"/>
    <w:rsid w:val="00B94E6C"/>
    <w:rsid w:val="00B95ED6"/>
    <w:rsid w:val="00B969F2"/>
    <w:rsid w:val="00BA125C"/>
    <w:rsid w:val="00BA4E49"/>
    <w:rsid w:val="00BB4606"/>
    <w:rsid w:val="00BB517D"/>
    <w:rsid w:val="00BB6BC1"/>
    <w:rsid w:val="00BC0C45"/>
    <w:rsid w:val="00BD7BE7"/>
    <w:rsid w:val="00BE0EBA"/>
    <w:rsid w:val="00BE1C83"/>
    <w:rsid w:val="00BE6050"/>
    <w:rsid w:val="00BF024E"/>
    <w:rsid w:val="00BF61BE"/>
    <w:rsid w:val="00C03C82"/>
    <w:rsid w:val="00C22F4F"/>
    <w:rsid w:val="00C23D2F"/>
    <w:rsid w:val="00C2769D"/>
    <w:rsid w:val="00C3611C"/>
    <w:rsid w:val="00C37C9C"/>
    <w:rsid w:val="00C443BD"/>
    <w:rsid w:val="00C451C5"/>
    <w:rsid w:val="00C50F52"/>
    <w:rsid w:val="00C565EB"/>
    <w:rsid w:val="00C609C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159F"/>
    <w:rsid w:val="00D12044"/>
    <w:rsid w:val="00D14524"/>
    <w:rsid w:val="00D211A0"/>
    <w:rsid w:val="00D32D4B"/>
    <w:rsid w:val="00D33EFC"/>
    <w:rsid w:val="00D37AE7"/>
    <w:rsid w:val="00D40DBC"/>
    <w:rsid w:val="00D40F72"/>
    <w:rsid w:val="00D47521"/>
    <w:rsid w:val="00D514AB"/>
    <w:rsid w:val="00D70637"/>
    <w:rsid w:val="00D72067"/>
    <w:rsid w:val="00D7493C"/>
    <w:rsid w:val="00D76A18"/>
    <w:rsid w:val="00D80849"/>
    <w:rsid w:val="00D81B4C"/>
    <w:rsid w:val="00D82E8F"/>
    <w:rsid w:val="00D84136"/>
    <w:rsid w:val="00DA5AE6"/>
    <w:rsid w:val="00DB1EA7"/>
    <w:rsid w:val="00DD118C"/>
    <w:rsid w:val="00DD5BC1"/>
    <w:rsid w:val="00DD6529"/>
    <w:rsid w:val="00DE24F6"/>
    <w:rsid w:val="00DE459E"/>
    <w:rsid w:val="00DF5AFE"/>
    <w:rsid w:val="00E1567C"/>
    <w:rsid w:val="00E16550"/>
    <w:rsid w:val="00E21739"/>
    <w:rsid w:val="00E52E90"/>
    <w:rsid w:val="00E66235"/>
    <w:rsid w:val="00E83C24"/>
    <w:rsid w:val="00E9318D"/>
    <w:rsid w:val="00E977C4"/>
    <w:rsid w:val="00EA47D5"/>
    <w:rsid w:val="00EB11DA"/>
    <w:rsid w:val="00EB5E8A"/>
    <w:rsid w:val="00EC4B8B"/>
    <w:rsid w:val="00EC6B28"/>
    <w:rsid w:val="00ED06B2"/>
    <w:rsid w:val="00ED340D"/>
    <w:rsid w:val="00EE746A"/>
    <w:rsid w:val="00F1479A"/>
    <w:rsid w:val="00F24C45"/>
    <w:rsid w:val="00F262E7"/>
    <w:rsid w:val="00F275A4"/>
    <w:rsid w:val="00F34805"/>
    <w:rsid w:val="00F53193"/>
    <w:rsid w:val="00F548B6"/>
    <w:rsid w:val="00F570A8"/>
    <w:rsid w:val="00F6586C"/>
    <w:rsid w:val="00F66369"/>
    <w:rsid w:val="00F675B6"/>
    <w:rsid w:val="00F77BB8"/>
    <w:rsid w:val="00F83AC7"/>
    <w:rsid w:val="00F9089E"/>
    <w:rsid w:val="00F94774"/>
    <w:rsid w:val="00F96E97"/>
    <w:rsid w:val="00FA5583"/>
    <w:rsid w:val="00FA663B"/>
    <w:rsid w:val="00FB72BF"/>
    <w:rsid w:val="00FC0F4F"/>
    <w:rsid w:val="00FC53DB"/>
    <w:rsid w:val="00FC70A3"/>
    <w:rsid w:val="00FD70B8"/>
    <w:rsid w:val="00FD7A62"/>
    <w:rsid w:val="00FF1AFD"/>
    <w:rsid w:val="00FF1F0A"/>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0EB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DefaultParagraphFont"/>
    <w:rsid w:val="00227F24"/>
  </w:style>
  <w:style w:type="paragraph" w:styleId="Revision">
    <w:name w:val="Revision"/>
    <w:hidden/>
    <w:uiPriority w:val="99"/>
    <w:semiHidden/>
    <w:rsid w:val="007D691B"/>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20-fr.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fr.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07-f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5437"/>
    <w:rsid w:val="00037FBC"/>
    <w:rsid w:val="0011769A"/>
    <w:rsid w:val="00157CD6"/>
    <w:rsid w:val="00180731"/>
    <w:rsid w:val="002240ED"/>
    <w:rsid w:val="002332FF"/>
    <w:rsid w:val="00245ECD"/>
    <w:rsid w:val="00275BED"/>
    <w:rsid w:val="002A754D"/>
    <w:rsid w:val="002F77B5"/>
    <w:rsid w:val="003915B0"/>
    <w:rsid w:val="0046422C"/>
    <w:rsid w:val="004760CF"/>
    <w:rsid w:val="004E092F"/>
    <w:rsid w:val="004E0A62"/>
    <w:rsid w:val="00500A2B"/>
    <w:rsid w:val="0057387D"/>
    <w:rsid w:val="0058288D"/>
    <w:rsid w:val="00633D02"/>
    <w:rsid w:val="00665C6B"/>
    <w:rsid w:val="006801B3"/>
    <w:rsid w:val="006D1EA5"/>
    <w:rsid w:val="0075279B"/>
    <w:rsid w:val="0075646B"/>
    <w:rsid w:val="0079200D"/>
    <w:rsid w:val="007947F1"/>
    <w:rsid w:val="00807BF5"/>
    <w:rsid w:val="00810A55"/>
    <w:rsid w:val="008C6619"/>
    <w:rsid w:val="008D420E"/>
    <w:rsid w:val="009477B9"/>
    <w:rsid w:val="0098642F"/>
    <w:rsid w:val="009B2CEE"/>
    <w:rsid w:val="00A87E34"/>
    <w:rsid w:val="00B07844"/>
    <w:rsid w:val="00BA5F19"/>
    <w:rsid w:val="00BB0656"/>
    <w:rsid w:val="00C8104B"/>
    <w:rsid w:val="00C968C5"/>
    <w:rsid w:val="00CA30B0"/>
    <w:rsid w:val="00CB1475"/>
    <w:rsid w:val="00CD4005"/>
    <w:rsid w:val="00D31D12"/>
    <w:rsid w:val="00D60B41"/>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48219-0B69-4483-8CDA-4CE78A7B9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8700394C-7E13-4EBB-977C-6C85341E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1212</Words>
  <Characters>6913</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Annotated provisional agenda</vt:lpstr>
      <vt:lpstr>Annotated Provisional agenda</vt:lpstr>
    </vt:vector>
  </TitlesOfParts>
  <Company>SCBD</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 ANNOTÉ</dc:title>
  <dc:subject>CBD/WG2020/4/1/Add.1</dc:subject>
  <dc:creator>SCBD</dc:creator>
  <cp:keywords>Open-ended Working Group on the Post-2020 Global Biodiversity Framework, third meeting, Convention on Biological Diversity</cp:keywords>
  <cp:lastModifiedBy>Xue He Yan</cp:lastModifiedBy>
  <cp:revision>6</cp:revision>
  <cp:lastPrinted>2022-04-27T19:44:00Z</cp:lastPrinted>
  <dcterms:created xsi:type="dcterms:W3CDTF">2022-04-27T15:11:00Z</dcterms:created>
  <dcterms:modified xsi:type="dcterms:W3CDTF">2022-04-28T13:13:00Z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