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127"/>
        <w:gridCol w:w="5244"/>
      </w:tblGrid>
      <w:tr w:rsidR="00A96B21" w:rsidRPr="0062628C" w14:paraId="2724E786" w14:textId="77777777" w:rsidTr="00324E62">
        <w:trPr>
          <w:trHeight w:val="851"/>
        </w:trPr>
        <w:tc>
          <w:tcPr>
            <w:tcW w:w="472" w:type="pct"/>
            <w:tcBorders>
              <w:bottom w:val="single" w:sz="8" w:space="0" w:color="auto"/>
            </w:tcBorders>
            <w:vAlign w:val="bottom"/>
          </w:tcPr>
          <w:p w14:paraId="43399B3D" w14:textId="77777777" w:rsidR="00A96B21" w:rsidRPr="0062628C" w:rsidRDefault="00A96B21" w:rsidP="00695A97">
            <w:pPr>
              <w:spacing w:after="120"/>
              <w:jc w:val="left"/>
            </w:pPr>
            <w:bookmarkStart w:id="0" w:name="_Hlk137651738"/>
            <w:r w:rsidRPr="0062628C">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94" w:type="pct"/>
            <w:tcBorders>
              <w:bottom w:val="single" w:sz="8" w:space="0" w:color="auto"/>
            </w:tcBorders>
            <w:tcFitText/>
            <w:vAlign w:val="bottom"/>
          </w:tcPr>
          <w:p w14:paraId="1405570B" w14:textId="68A78023" w:rsidR="00A96B21" w:rsidRPr="0062628C" w:rsidRDefault="00501D11" w:rsidP="00695A97">
            <w:pPr>
              <w:spacing w:after="120"/>
              <w:jc w:val="left"/>
            </w:pPr>
            <w:r w:rsidRPr="00501D11">
              <w:rPr>
                <w:noProof/>
                <w:lang w:val="fr-FR" w:eastAsia="fr-FR"/>
              </w:rPr>
              <w:drawing>
                <wp:inline distT="0" distB="0" distL="0" distR="0" wp14:anchorId="7CEBB2DA" wp14:editId="793943D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34" w:type="pct"/>
            <w:tcBorders>
              <w:bottom w:val="single" w:sz="8" w:space="0" w:color="auto"/>
            </w:tcBorders>
            <w:vAlign w:val="bottom"/>
          </w:tcPr>
          <w:p w14:paraId="2BE91059" w14:textId="603B0672" w:rsidR="00A96B21" w:rsidRPr="0062628C" w:rsidRDefault="00633610" w:rsidP="009477BD">
            <w:pPr>
              <w:pStyle w:val="ABSymbol"/>
              <w:tabs>
                <w:tab w:val="clear" w:pos="1871"/>
              </w:tabs>
              <w:ind w:left="0"/>
            </w:pPr>
            <w:r>
              <w:rPr>
                <w:sz w:val="40"/>
                <w:szCs w:val="40"/>
              </w:rPr>
              <w:t>CBD</w:t>
            </w:r>
            <w:r>
              <w:t>/NP/CC/5/4/Add.2-</w:t>
            </w:r>
            <w:r>
              <w:rPr>
                <w:sz w:val="40"/>
                <w:szCs w:val="40"/>
              </w:rPr>
              <w:t>CBD</w:t>
            </w:r>
            <w:r>
              <w:t>/SBI/7/7/Add.2</w:t>
            </w:r>
          </w:p>
        </w:tc>
      </w:tr>
      <w:tr w:rsidR="00A96B21" w:rsidRPr="0062628C" w14:paraId="026E5D1A" w14:textId="77777777" w:rsidTr="00324E62">
        <w:tc>
          <w:tcPr>
            <w:tcW w:w="2466" w:type="pct"/>
            <w:gridSpan w:val="2"/>
            <w:tcBorders>
              <w:top w:val="single" w:sz="8" w:space="0" w:color="auto"/>
              <w:bottom w:val="single" w:sz="12" w:space="0" w:color="auto"/>
            </w:tcBorders>
          </w:tcPr>
          <w:p w14:paraId="4DD2B434" w14:textId="0BF6F436" w:rsidR="00A96B21" w:rsidRPr="0062628C" w:rsidRDefault="00501D11" w:rsidP="00695A97">
            <w:pPr>
              <w:pStyle w:val="Cornernotation"/>
              <w:suppressLineNumbers/>
              <w:suppressAutoHyphens/>
              <w:spacing w:before="120" w:after="120"/>
              <w:ind w:left="0" w:right="0" w:firstLine="0"/>
            </w:pPr>
            <w:r w:rsidRPr="000A5242">
              <w:rPr>
                <w:noProof/>
                <w:lang w:val="fr-FR" w:eastAsia="fr-FR"/>
              </w:rPr>
              <w:drawing>
                <wp:inline distT="0" distB="0" distL="0" distR="0" wp14:anchorId="1C038486" wp14:editId="4DFFD86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34" w:type="pct"/>
            <w:tcBorders>
              <w:top w:val="single" w:sz="8" w:space="0" w:color="auto"/>
              <w:bottom w:val="single" w:sz="12" w:space="0" w:color="auto"/>
            </w:tcBorders>
          </w:tcPr>
          <w:p w14:paraId="27581565" w14:textId="77777777" w:rsidR="00A96B21" w:rsidRPr="0062628C" w:rsidRDefault="00A96B21" w:rsidP="003C6F10">
            <w:pPr>
              <w:ind w:left="2584"/>
              <w:rPr>
                <w:sz w:val="22"/>
                <w:szCs w:val="22"/>
              </w:rPr>
            </w:pPr>
            <w:r>
              <w:rPr>
                <w:sz w:val="22"/>
                <w:szCs w:val="22"/>
              </w:rPr>
              <w:t>Distr. : générale</w:t>
            </w:r>
          </w:p>
          <w:p w14:paraId="793989BF" w14:textId="1C75C700" w:rsidR="00A96B21" w:rsidRPr="009477BD" w:rsidRDefault="00597D14" w:rsidP="003C6F10">
            <w:pPr>
              <w:ind w:left="2584"/>
              <w:rPr>
                <w:sz w:val="22"/>
                <w:szCs w:val="22"/>
              </w:rPr>
            </w:pPr>
            <w:r>
              <w:rPr>
                <w:sz w:val="22"/>
                <w:szCs w:val="22"/>
              </w:rPr>
              <w:t>20 avril 2026</w:t>
            </w:r>
          </w:p>
          <w:p w14:paraId="2F665E39" w14:textId="77777777" w:rsidR="00A96B21" w:rsidRPr="0062628C" w:rsidRDefault="00A96B21" w:rsidP="003C6F10">
            <w:pPr>
              <w:ind w:left="2584"/>
              <w:rPr>
                <w:sz w:val="22"/>
                <w:szCs w:val="22"/>
              </w:rPr>
            </w:pPr>
          </w:p>
          <w:p w14:paraId="053971AC" w14:textId="43B8FB9F" w:rsidR="00A96B21" w:rsidRPr="0062628C" w:rsidRDefault="00E561C8" w:rsidP="003C6F10">
            <w:pPr>
              <w:ind w:left="2584"/>
              <w:rPr>
                <w:sz w:val="22"/>
                <w:szCs w:val="22"/>
              </w:rPr>
            </w:pPr>
            <w:r>
              <w:rPr>
                <w:sz w:val="22"/>
                <w:szCs w:val="22"/>
              </w:rPr>
              <w:t>Français</w:t>
            </w:r>
            <w:r>
              <w:rPr>
                <w:sz w:val="22"/>
                <w:szCs w:val="22"/>
              </w:rPr>
              <w:br/>
              <w:t>Original : anglais</w:t>
            </w:r>
          </w:p>
          <w:p w14:paraId="07CA9979" w14:textId="77777777" w:rsidR="00A96B21" w:rsidRPr="0062628C" w:rsidRDefault="00A96B21" w:rsidP="00695A97"/>
        </w:tc>
      </w:tr>
    </w:tbl>
    <w:p w14:paraId="692BABBD" w14:textId="77777777" w:rsidR="00B347D9" w:rsidRPr="009477BD" w:rsidRDefault="00B347D9" w:rsidP="009477BD">
      <w:pPr>
        <w:rPr>
          <w:sz w:val="4"/>
          <w:szCs w:val="4"/>
        </w:rPr>
      </w:pPr>
    </w:p>
    <w:tbl>
      <w:tblPr>
        <w:tblW w:w="10348" w:type="dxa"/>
        <w:tblInd w:w="-283" w:type="dxa"/>
        <w:tblLayout w:type="fixed"/>
        <w:tblCellMar>
          <w:left w:w="283" w:type="dxa"/>
        </w:tblCellMar>
        <w:tblLook w:val="0000" w:firstRow="0" w:lastRow="0" w:firstColumn="0" w:lastColumn="0" w:noHBand="0" w:noVBand="0"/>
      </w:tblPr>
      <w:tblGrid>
        <w:gridCol w:w="5103"/>
        <w:gridCol w:w="5245"/>
      </w:tblGrid>
      <w:tr w:rsidR="00B347D9" w:rsidRPr="0062628C" w14:paraId="04E9B171" w14:textId="77777777" w:rsidTr="00324E62">
        <w:trPr>
          <w:trHeight w:val="57"/>
        </w:trPr>
        <w:tc>
          <w:tcPr>
            <w:tcW w:w="5103" w:type="dxa"/>
          </w:tcPr>
          <w:p w14:paraId="5B9876BD" w14:textId="07C4B01E" w:rsidR="0009745C" w:rsidRPr="0062628C" w:rsidRDefault="0009745C" w:rsidP="009477BD">
            <w:pPr>
              <w:pStyle w:val="AFCorN12Bold"/>
            </w:pPr>
            <w:r>
              <w:t>Comité chargé du respect des obligations</w:t>
            </w:r>
            <w:r w:rsidR="00501D11">
              <w:br/>
            </w:r>
            <w:r>
              <w:t>au titre du</w:t>
            </w:r>
            <w:r w:rsidR="00501D11">
              <w:t xml:space="preserve"> </w:t>
            </w:r>
            <w:r>
              <w:t xml:space="preserve">Protocole de Nagoya </w:t>
            </w:r>
            <w:r w:rsidR="00501D11">
              <w:br/>
            </w:r>
            <w:r>
              <w:t>sur l'accès et le partage des avantages</w:t>
            </w:r>
          </w:p>
          <w:p w14:paraId="03102879" w14:textId="77777777" w:rsidR="0009745C" w:rsidRPr="0062628C" w:rsidRDefault="0009745C" w:rsidP="009477BD">
            <w:pPr>
              <w:pStyle w:val="AFCorNBold"/>
            </w:pPr>
            <w:r>
              <w:t>Cinquième réunion</w:t>
            </w:r>
          </w:p>
          <w:p w14:paraId="1DED6E72" w14:textId="77777777" w:rsidR="0009745C" w:rsidRPr="009477BD" w:rsidRDefault="0009745C" w:rsidP="009477BD">
            <w:pPr>
              <w:pStyle w:val="AFCorNNormal"/>
            </w:pPr>
            <w:r>
              <w:t>Montréal, Canada, 27-29 mai 2026</w:t>
            </w:r>
          </w:p>
          <w:p w14:paraId="3832E661" w14:textId="3220C959" w:rsidR="00B347D9" w:rsidRPr="009477BD" w:rsidRDefault="00345C00" w:rsidP="009477BD">
            <w:pPr>
              <w:pStyle w:val="AFCorNNormal"/>
            </w:pPr>
            <w:r>
              <w:t>Point 5 de l’ordre du jour provisoire</w:t>
            </w:r>
            <w:r>
              <w:rPr>
                <w:rStyle w:val="Appelnotedebasdep"/>
              </w:rPr>
              <w:t>*</w:t>
            </w:r>
          </w:p>
          <w:p w14:paraId="12E02C2F" w14:textId="456C9C8D" w:rsidR="00345C00" w:rsidRPr="0062628C" w:rsidRDefault="00345C00" w:rsidP="00345C00">
            <w:pPr>
              <w:pStyle w:val="AFCorNBold"/>
            </w:pPr>
            <w:r>
              <w:footnoteReference w:customMarkFollows="1" w:id="2"/>
              <w:t>Contribution au deuxième exercice d’évaluation et d’examen du Protocole de Nagoya</w:t>
            </w:r>
          </w:p>
        </w:tc>
        <w:tc>
          <w:tcPr>
            <w:tcW w:w="5245" w:type="dxa"/>
          </w:tcPr>
          <w:p w14:paraId="7D3371BA" w14:textId="77777777" w:rsidR="000F0DBE" w:rsidRPr="0062628C" w:rsidRDefault="000F0DBE" w:rsidP="009477BD">
            <w:pPr>
              <w:pStyle w:val="Cornernotation"/>
              <w:ind w:right="0"/>
              <w:rPr>
                <w:bCs/>
              </w:rPr>
            </w:pPr>
            <w:r>
              <w:rPr>
                <w:bCs/>
              </w:rPr>
              <w:t>Organe subsidiaire chargé de l'application</w:t>
            </w:r>
          </w:p>
          <w:p w14:paraId="399EF05F" w14:textId="77777777" w:rsidR="000F0DBE" w:rsidRPr="0062628C" w:rsidRDefault="000F0DBE" w:rsidP="000F0DBE">
            <w:pPr>
              <w:pStyle w:val="AFCorNBold"/>
            </w:pPr>
            <w:r>
              <w:t xml:space="preserve">Septième réunion </w:t>
            </w:r>
          </w:p>
          <w:p w14:paraId="21783379" w14:textId="77777777" w:rsidR="000F0DBE" w:rsidRPr="0062628C" w:rsidRDefault="000F0DBE" w:rsidP="000F0DBE">
            <w:pPr>
              <w:pStyle w:val="AFCorNNormal"/>
            </w:pPr>
            <w:r>
              <w:t xml:space="preserve">Nairobi, </w:t>
            </w:r>
            <w:r>
              <w:rPr>
                <w:snapToGrid w:val="0"/>
                <w:kern w:val="22"/>
              </w:rPr>
              <w:t>4-12 août 2026</w:t>
            </w:r>
          </w:p>
          <w:p w14:paraId="1B5B5CF6" w14:textId="751BBC02" w:rsidR="000F0DBE" w:rsidRPr="0062628C" w:rsidRDefault="000F0DBE" w:rsidP="000F0DBE">
            <w:pPr>
              <w:pStyle w:val="AFCorNNormal"/>
            </w:pPr>
            <w:r>
              <w:t>Point 7 de l’ordre du jour provisoire</w:t>
            </w:r>
            <w:r>
              <w:rPr>
                <w:vertAlign w:val="superscript"/>
              </w:rPr>
              <w:t>*</w:t>
            </w:r>
            <w:r>
              <w:rPr>
                <w:rStyle w:val="Appelnotedebasdep"/>
              </w:rPr>
              <w:t>*</w:t>
            </w:r>
            <w:r>
              <w:t xml:space="preserve"> </w:t>
            </w:r>
          </w:p>
          <w:p w14:paraId="3D0BB348" w14:textId="44BC365B" w:rsidR="00B347D9" w:rsidRPr="0062628C" w:rsidRDefault="000F0DBE" w:rsidP="009477BD">
            <w:pPr>
              <w:pStyle w:val="AFCorNBold"/>
            </w:pPr>
            <w:r>
              <w:footnoteReference w:customMarkFollows="1" w:id="3"/>
              <w:t>Deuxième exercice d’évaluation et d’examen du Protocole de Nagoya</w:t>
            </w:r>
          </w:p>
        </w:tc>
      </w:tr>
    </w:tbl>
    <w:p w14:paraId="31B084E7" w14:textId="00620E42" w:rsidR="00B347D9" w:rsidRPr="0062628C" w:rsidDel="00071E9E" w:rsidRDefault="00000000" w:rsidP="009477BD">
      <w:pPr>
        <w:pStyle w:val="CBDTitle"/>
        <w:rPr>
          <w:bCs/>
        </w:rPr>
      </w:pPr>
      <w:sdt>
        <w:sdtPr>
          <w:alias w:val="Title"/>
          <w:tag w:val=""/>
          <w:id w:val="1293490635"/>
          <w:placeholder>
            <w:docPart w:val="06C935864A314DF8BDB799161515BB81"/>
          </w:placeholder>
          <w:dataBinding w:prefixMappings="xmlns:ns0='http://purl.org/dc/elements/1.1/' xmlns:ns1='http://schemas.openxmlformats.org/package/2006/metadata/core-properties' " w:xpath="/ns1:coreProperties[1]/ns0:title[1]" w:storeItemID="{6C3C8BC8-F283-45AE-878A-BAB7291924A1}"/>
          <w:text/>
        </w:sdtPr>
        <w:sdtContent>
          <w:r w:rsidR="00323E03">
            <w:t>Résumé de points de vue visant à inspirer un examen préliminaire des procédures et mécanismes de respect des obligations du Protocole de Nagoya sur l’accès aux ressources génétiques et le partage juste et équitable des avantages découlant de leur utilisation</w:t>
          </w:r>
        </w:sdtContent>
      </w:sdt>
    </w:p>
    <w:bookmarkEnd w:id="0"/>
    <w:p w14:paraId="61487005" w14:textId="524CEEF4" w:rsidR="002219C2" w:rsidRPr="0062628C" w:rsidRDefault="002219C2" w:rsidP="009477BD">
      <w:pPr>
        <w:pStyle w:val="CBDSubTitle"/>
      </w:pPr>
      <w:r>
        <w:t>Note du secrétariat</w:t>
      </w:r>
    </w:p>
    <w:p w14:paraId="125AF2E4" w14:textId="77E746E1" w:rsidR="004E1D61" w:rsidRPr="0062628C" w:rsidRDefault="004E1D61" w:rsidP="009477BD">
      <w:pPr>
        <w:pStyle w:val="CBDH1"/>
      </w:pPr>
      <w:r>
        <w:t>I.</w:t>
      </w:r>
      <w:r>
        <w:tab/>
        <w:t>Introduction</w:t>
      </w:r>
    </w:p>
    <w:p w14:paraId="7F03F9B3" w14:textId="20CA8004" w:rsidR="005770B6" w:rsidRPr="0062628C" w:rsidRDefault="00E759ED" w:rsidP="009477BD">
      <w:pPr>
        <w:pStyle w:val="CBDNormalNumber"/>
      </w:pPr>
      <w:r>
        <w:t>À sa cinquième réunion, dans la décision </w:t>
      </w:r>
      <w:hyperlink r:id="rId14" w:history="1">
        <w:r>
          <w:rPr>
            <w:rStyle w:val="Lienhypertexte"/>
          </w:rPr>
          <w:t>NP-5/5</w:t>
        </w:r>
      </w:hyperlink>
      <w:r>
        <w:t>, la Conférence des Parties siégeant en tant que réunion des Parties au Protocole de Nagoya sur l'accès aux ressources génétiques et le partage juste et équitable des avantages découlant de leur utilisation a décidé de procéder au deuxième exercice d’évaluation et d’examen du Protocole sur la base des éléments figurant dans l'annexe à la décision. L'élément j) de l'annexe est un examen préliminaire des procédures et mécanismes de respect des obligations. Les sources d'information sur lesquelles s'appuie l'examen préliminaire sont constituées des points de vue présentés et du rapport du Comité chargé du respect des obligations.</w:t>
      </w:r>
    </w:p>
    <w:p w14:paraId="7C3611E7" w14:textId="2B802D75" w:rsidR="0085136F" w:rsidRPr="0062628C" w:rsidRDefault="00D93AAB" w:rsidP="009477BD">
      <w:pPr>
        <w:pStyle w:val="CBDNormalNumber"/>
        <w:rPr>
          <w:kern w:val="22"/>
        </w:rPr>
      </w:pPr>
      <w:r>
        <w:t>La section II du présent document contient des informations générales sur la mise en place des procédures et mécanismes de respect des obligations, ainsi qu'un bref résumé des travaux menés à ce jour par le Comité chargé du respect des obligations. La section III présente une synthèse des points de vue présentés dans le cadre de l'examen préliminaire des procédures et mécanismes de respect des obligations.</w:t>
      </w:r>
      <w:r>
        <w:rPr>
          <w:kern w:val="22"/>
        </w:rPr>
        <w:t xml:space="preserve"> </w:t>
      </w:r>
    </w:p>
    <w:p w14:paraId="7970FEB3" w14:textId="434CCF85" w:rsidR="00853A7B" w:rsidRPr="0062628C" w:rsidRDefault="00192D05" w:rsidP="009477BD">
      <w:pPr>
        <w:pStyle w:val="CBDH1"/>
        <w:rPr>
          <w:rFonts w:eastAsia="Arial Unicode MS"/>
          <w:bCs/>
          <w:color w:val="000000"/>
          <w:kern w:val="22"/>
          <w:u w:color="000000"/>
          <w:bdr w:val="nil"/>
        </w:rPr>
      </w:pPr>
      <w:bookmarkStart w:id="1" w:name="_Hlk153269236"/>
      <w:r>
        <w:t>II.</w:t>
      </w:r>
      <w:r>
        <w:tab/>
        <w:t>Contexte et historique des procédures et mécanismes de respect des obligations et des travaux menés par le Comité chargé du respect des obligations</w:t>
      </w:r>
    </w:p>
    <w:bookmarkEnd w:id="1"/>
    <w:p w14:paraId="1F172285" w14:textId="711F38E1" w:rsidR="00261A84" w:rsidRPr="0062628C" w:rsidRDefault="00E33649" w:rsidP="009477BD">
      <w:pPr>
        <w:pStyle w:val="CBDNormalNumber"/>
        <w:rPr>
          <w:rFonts w:eastAsia="Arial Unicode MS"/>
          <w:color w:val="000000"/>
          <w:kern w:val="22"/>
          <w:u w:color="000000"/>
          <w:bdr w:val="nil"/>
        </w:rPr>
      </w:pPr>
      <w:r>
        <w:t xml:space="preserve">L'article 30 du Protocole de Nagoya stipule que la Conférence des Parties siégeant en tant que réunion des Parties au Protocole devait examiner et approuver, à sa première réunion, des procédures et des mécanismes institutionnels propres à encourager le respect, par les Parties, des dispositions du </w:t>
      </w:r>
      <w:r>
        <w:lastRenderedPageBreak/>
        <w:t>Protocole, c'est-à-dire des obligations que les pays ont contractées en ratifiant le Protocole, et à traiter les cas de non-respect.</w:t>
      </w:r>
    </w:p>
    <w:p w14:paraId="6F010D29" w14:textId="2C245DDC" w:rsidR="00AA7B79" w:rsidRPr="0062628C" w:rsidRDefault="00A94BAB" w:rsidP="009477BD">
      <w:pPr>
        <w:pStyle w:val="CBDNormalNumber"/>
        <w:rPr>
          <w:rFonts w:eastAsia="Arial Unicode MS"/>
          <w:color w:val="000000"/>
          <w:kern w:val="22"/>
          <w:u w:color="000000"/>
          <w:bdr w:val="nil"/>
        </w:rPr>
      </w:pPr>
      <w:r>
        <w:t>Le Comité intergouvernemental spécial à composition non limitée pour le Protocole de Nagoya qui a été créé par la Conférence des Parties dans sa décision</w:t>
      </w:r>
      <w:r>
        <w:rPr>
          <w:rFonts w:eastAsia="Arial Unicode MS"/>
          <w:color w:val="000000"/>
          <w:kern w:val="22"/>
          <w:u w:color="000000"/>
          <w:bdr w:val="nil"/>
        </w:rPr>
        <w:t> </w:t>
      </w:r>
      <w:hyperlink r:id="rId15" w:history="1">
        <w:r>
          <w:rPr>
            <w:rStyle w:val="Lienhypertexte"/>
            <w:rFonts w:eastAsia="Arial Unicode MS"/>
            <w:kern w:val="22"/>
            <w:bdr w:val="nil"/>
          </w:rPr>
          <w:t>X/1</w:t>
        </w:r>
      </w:hyperlink>
      <w:r>
        <w:rPr>
          <w:rFonts w:eastAsia="Arial Unicode MS"/>
          <w:color w:val="000000"/>
          <w:kern w:val="22"/>
          <w:u w:color="000000"/>
          <w:bdr w:val="nil"/>
        </w:rPr>
        <w:t>,</w:t>
      </w:r>
      <w:r>
        <w:t xml:space="preserve"> a examiné la question de l'élaboration des procédures et mécanismes de respect des obligations à sa première réunion. Dans sa recommandation </w:t>
      </w:r>
      <w:hyperlink r:id="rId16" w:history="1">
        <w:r>
          <w:rPr>
            <w:rStyle w:val="Lienhypertexte"/>
          </w:rPr>
          <w:t>1/4</w:t>
        </w:r>
      </w:hyperlink>
      <w:r>
        <w:t>, le Comité a prié le Secrétaire exécutif, entre autres : a) d'élaborer un projet d'éléments et d'options concernant les procédures et mécanismes institutionnels de coopération propres à encourager le respect des dispositions ; et b) d'organiser une réunion d'experts afin d'affiner davantage ces éléments et options. Les conclusions des travaux de la réunion d'experts ont été présentées au Comité, qui a examiné les projets de procédures et de mécanismes à ses deuxième et troisième réunions.</w:t>
      </w:r>
    </w:p>
    <w:p w14:paraId="23E26EC4" w14:textId="3725E58C" w:rsidR="008D73B6" w:rsidRPr="0062628C" w:rsidRDefault="008D73B6" w:rsidP="009477BD">
      <w:pPr>
        <w:pStyle w:val="CBDNormalNumber"/>
        <w:rPr>
          <w:rFonts w:eastAsia="Arial Unicode MS"/>
          <w:color w:val="000000"/>
          <w:kern w:val="22"/>
          <w:u w:color="000000"/>
          <w:bdr w:val="nil"/>
        </w:rPr>
      </w:pPr>
      <w:r>
        <w:t>Les discussions sur l'élaboration de procédures et mécanismes de respect des obligations se sont appuyées sur l'expérience acquise dans le cadre d'autres accords multilatéraux sur l'environnement, en particulier le Protocole de Cartagena sur la prévention des risques biotechnologiques. Un aperçu des procédures et mécanismes de respect des obligations mis en place dans le cadre d'autres accords multilatéraux sur l'environnement a été préparé pour la première réunion du Comité intergouvernemental pour le Protocole de Nagoya</w:t>
      </w:r>
      <w:r>
        <w:rPr>
          <w:rStyle w:val="Appelnotedebasdep"/>
        </w:rPr>
        <w:footnoteReference w:id="4"/>
      </w:r>
      <w:r>
        <w:t>, tandis que des exposés sur différents régimes de respect des obligations ont été présentés à la réunion d'experts. Afin de faciliter les délibérations en cours, des informations sur l'expérience acquise en matière de procédures et mécanismes de respect des obligations mis en place au titre du Protocole de Cartagena figurent en annexe à la présente note, l'accent étant mis sur l'évolution des travaux de son Comité chargé du respect des obligations.</w:t>
      </w:r>
    </w:p>
    <w:p w14:paraId="7D90CFDD" w14:textId="44058569" w:rsidR="002374B3" w:rsidRPr="0062628C" w:rsidRDefault="00962EFD" w:rsidP="009477BD">
      <w:pPr>
        <w:pStyle w:val="CBDNormalNumber"/>
        <w:rPr>
          <w:rFonts w:eastAsia="Arial Unicode MS"/>
          <w:color w:val="000000"/>
          <w:kern w:val="22"/>
          <w:u w:color="000000"/>
          <w:bdr w:val="nil"/>
        </w:rPr>
      </w:pPr>
      <w:r>
        <w:t>Par sa décision </w:t>
      </w:r>
      <w:hyperlink r:id="rId17" w:history="1">
        <w:r>
          <w:rPr>
            <w:rStyle w:val="Lienhypertexte"/>
          </w:rPr>
          <w:t>NP-1/4</w:t>
        </w:r>
      </w:hyperlink>
      <w:r>
        <w:t>, la Conférence des Parties siégeant en tant que réunion des Parties au Protocole a adopté des procédures de coopération et des mécanismes institutionnels visant à encourager le respect des dispositions du Protocole de Nagoya et à traiter les cas de non-respect, tels qu'énoncés dans l'annexe de la décision, et a créé le Comité chargé du respect des obligations au titre du Protocole.</w:t>
      </w:r>
    </w:p>
    <w:p w14:paraId="735D458E" w14:textId="54E59610" w:rsidR="007C7A5E" w:rsidRPr="0062628C" w:rsidRDefault="00E47564" w:rsidP="009477BD">
      <w:pPr>
        <w:pStyle w:val="CBDNormalNumber"/>
        <w:rPr>
          <w:rFonts w:eastAsia="Arial Unicode MS"/>
          <w:color w:val="000000"/>
          <w:kern w:val="22"/>
          <w:u w:color="000000"/>
          <w:bdr w:val="nil"/>
        </w:rPr>
      </w:pPr>
      <w:r>
        <w:rPr>
          <w:rFonts w:eastAsia="Arial Unicode MS"/>
          <w:color w:val="000000"/>
          <w:kern w:val="22"/>
          <w:u w:color="000000"/>
          <w:bdr w:val="nil"/>
        </w:rPr>
        <w:t xml:space="preserve">Les procédures et mécanismes de respect des obligations prévoient que le Comité chargé du respect des obligations soit composé de 15 membres (trois par région) et de deux représentants des peuples autochtones et communautés locales, qui siègent en qualité d'observateurs. </w:t>
      </w:r>
      <w:r>
        <w:t>Les membres sont désignés par leurs régions respectives et les observateurs par les peuples autochtones et les communautés locales ; tous les candidats sont élus par la Conférence des Parties siégeant en tant que réunion des Parties au Protocole.</w:t>
      </w:r>
      <w:r>
        <w:rPr>
          <w:rFonts w:eastAsia="Arial Unicode MS"/>
          <w:color w:val="000000"/>
          <w:kern w:val="22"/>
          <w:u w:color="000000"/>
          <w:bdr w:val="nil"/>
        </w:rPr>
        <w:t xml:space="preserve"> Les membres et les observateurs siègent en leur qualité d'experts à titre individuel.</w:t>
      </w:r>
    </w:p>
    <w:p w14:paraId="7F053A16" w14:textId="702A90FA" w:rsidR="00005570" w:rsidRPr="0062628C" w:rsidRDefault="00296D1F" w:rsidP="009477BD">
      <w:pPr>
        <w:pStyle w:val="CBDNormalNumber"/>
        <w:rPr>
          <w:rFonts w:eastAsia="Arial Unicode MS"/>
          <w:color w:val="000000"/>
          <w:kern w:val="22"/>
          <w:u w:color="000000"/>
          <w:bdr w:val="nil"/>
        </w:rPr>
      </w:pPr>
      <w:r>
        <w:rPr>
          <w:rFonts w:eastAsia="Arial Unicode MS"/>
          <w:color w:val="000000"/>
          <w:kern w:val="22"/>
          <w:u w:color="000000"/>
          <w:bdr w:val="nil"/>
        </w:rPr>
        <w:t>Les procédures et mécanismes de respect des obligations prévoient également que le Comité puisse recevoir des communications concernant des questions de respect ou de non-respect des obligations du Protocole, émanant de toute Partie à son propre sujet, de toute Partie concernant une autre Partie, ou de la Conférence des Parties siégeant en tant que réunion des Parties au Protocole. Le Comité peut également examiner les cas où une Partie ne présente pas son rapport national ou des informations indiquent que la Partie concernée rencontre des difficultés pour s'acquitter des obligations contractées en vertu du Protocole. Ces informations peuvent être obtenues par le biais d'un rapport national, par l'intermédiaire du Centre d’échange sur l’accès et le partage des avantages, ou auprès du secrétariat, sur la base de certaines catégories d'informations fournies par un peuple autochtone ou une communauté locale directement concernés.</w:t>
      </w:r>
    </w:p>
    <w:p w14:paraId="1649C445" w14:textId="28C96B4C" w:rsidR="00FB7A1D" w:rsidRPr="0062628C" w:rsidRDefault="00EE5FED" w:rsidP="009477BD">
      <w:pPr>
        <w:pStyle w:val="CBDNormalNumber"/>
        <w:rPr>
          <w:rFonts w:eastAsia="Arial Unicode MS"/>
          <w:color w:val="000000"/>
          <w:kern w:val="22"/>
          <w:u w:color="000000"/>
          <w:bdr w:val="nil"/>
        </w:rPr>
      </w:pPr>
      <w:r>
        <w:rPr>
          <w:rFonts w:eastAsia="Arial Unicode MS"/>
          <w:color w:val="000000"/>
          <w:kern w:val="22"/>
          <w:u w:color="000000"/>
          <w:bdr w:val="nil"/>
        </w:rPr>
        <w:t>Au cours des négociations relatives aux procédures et mécanismes de respect des obligations, la possibilité que d'autres acteurs, y compris des membres du public, puissent déclencher ces procédures a été envisagée ; toutefois, cette option n'a pas été retenue dans la version finale des procédures et mécanismes.</w:t>
      </w:r>
    </w:p>
    <w:p w14:paraId="20C82B40" w14:textId="5225F962" w:rsidR="00F35C8E" w:rsidRPr="0062628C" w:rsidRDefault="009D29D3" w:rsidP="009477BD">
      <w:pPr>
        <w:pStyle w:val="CBDNormalNumber"/>
        <w:rPr>
          <w:rFonts w:eastAsia="Arial Unicode MS"/>
          <w:color w:val="000000"/>
          <w:kern w:val="22"/>
          <w:u w:color="000000"/>
          <w:bdr w:val="nil"/>
        </w:rPr>
      </w:pPr>
      <w:r>
        <w:rPr>
          <w:rFonts w:eastAsia="Arial Unicode MS"/>
          <w:color w:val="000000"/>
          <w:kern w:val="22"/>
          <w:u w:color="000000"/>
          <w:bdr w:val="nil"/>
        </w:rPr>
        <w:lastRenderedPageBreak/>
        <w:t>Les procédures et mécanismes de respect des obligations stipulent que le Comité se réunit au moins une fois par période intersessions. Les fonds nécessaires à cet effet sont inscrits au budget de base.</w:t>
      </w:r>
    </w:p>
    <w:p w14:paraId="4D33E025" w14:textId="060AF8CF" w:rsidR="00AA47C5" w:rsidRPr="0062628C" w:rsidRDefault="00A91797" w:rsidP="009477BD">
      <w:pPr>
        <w:pStyle w:val="CBDNormalNumber"/>
        <w:rPr>
          <w:u w:color="000000"/>
          <w:bdr w:val="nil"/>
        </w:rPr>
      </w:pPr>
      <w:r>
        <w:rPr>
          <w:u w:color="000000"/>
          <w:bdr w:val="nil"/>
        </w:rPr>
        <w:t>À sa première réunion, qui s'est tenue en avril 2016, le Comité chargé du respect des obligations s'est attaché à élaborer un projet de règlement intérieur, qui a ensuite été présenté à la deuxième réunion de la Conférence des Parties siégeant en tant que réunion des Parties au Protocole et adopté après quelques modifications.</w:t>
      </w:r>
    </w:p>
    <w:p w14:paraId="776E262C" w14:textId="6BE294D4" w:rsidR="00BD0585" w:rsidRPr="0062628C" w:rsidRDefault="001572C4" w:rsidP="009477BD">
      <w:pPr>
        <w:pStyle w:val="CBDNormalNumber"/>
        <w:rPr>
          <w:rFonts w:eastAsia="Arial Unicode MS"/>
          <w:color w:val="000000"/>
          <w:kern w:val="22"/>
          <w:u w:color="000000"/>
          <w:bdr w:val="nil"/>
        </w:rPr>
      </w:pPr>
      <w:r>
        <w:rPr>
          <w:rFonts w:eastAsia="Arial Unicode MS"/>
          <w:color w:val="000000"/>
          <w:kern w:val="22"/>
          <w:u w:color="000000"/>
          <w:bdr w:val="nil"/>
        </w:rPr>
        <w:t xml:space="preserve">À sa deuxième réunion, qui s'est tenue en mai 2018, le Comité a notamment apporté sa contribution au premier exercice d'évaluation et d'examen du Protocole en fournissant des informations et des conclusions sur des questions générales relatives au respect des obligations. </w:t>
      </w:r>
      <w:r>
        <w:t>Il a également examiné le taux de soumission des rapports nationaux intermédiaires, qui devaient être remis en novembre 2017.</w:t>
      </w:r>
      <w:r>
        <w:rPr>
          <w:rFonts w:eastAsia="Arial Unicode MS"/>
          <w:color w:val="000000"/>
          <w:kern w:val="22"/>
          <w:u w:color="000000"/>
          <w:bdr w:val="nil"/>
        </w:rPr>
        <w:t xml:space="preserve"> Le Comité a prié la Secrétaire exécutive d'écrire aux Parties qui n'avaient pas encore soumis leurs rapports, en les exhortant à le faire dès que possible.</w:t>
      </w:r>
    </w:p>
    <w:p w14:paraId="45AE8432" w14:textId="3508BC06" w:rsidR="00E5440A" w:rsidRPr="0062628C" w:rsidRDefault="00E03032" w:rsidP="009477BD">
      <w:pPr>
        <w:pStyle w:val="CBDNormalNumber"/>
        <w:rPr>
          <w:rFonts w:eastAsia="Arial Unicode MS"/>
          <w:color w:val="000000"/>
          <w:kern w:val="22"/>
          <w:u w:color="000000"/>
          <w:bdr w:val="nil"/>
        </w:rPr>
      </w:pPr>
      <w:r>
        <w:rPr>
          <w:rFonts w:eastAsia="Arial Unicode MS"/>
          <w:color w:val="000000"/>
          <w:kern w:val="22"/>
          <w:u w:color="000000"/>
          <w:bdr w:val="nil"/>
        </w:rPr>
        <w:t xml:space="preserve">En raison de la pandémie mondiale de coronavirus (COVID-19), la troisième réunion du Comité a dû être organisée en ligne et s'est tenue en avril 2020. </w:t>
      </w:r>
      <w:r>
        <w:t>Lors de cette réunion, le Comité a examiné des questions générales relatives au respect des obligations, telles que la soumission des rapports nationaux intermédiaires et la mise en place de mesures législatives, administratives ou politiques appropriées pour la mise en œuvre du Protocole.</w:t>
      </w:r>
      <w:r>
        <w:rPr>
          <w:rFonts w:eastAsia="Arial Unicode MS"/>
          <w:color w:val="000000"/>
          <w:kern w:val="22"/>
          <w:u w:color="000000"/>
          <w:bdr w:val="nil"/>
        </w:rPr>
        <w:t xml:space="preserve"> Le Comité a prié la Secrétaire exécutive de prendre contact avec les Parties auxquelles un courrier avait été adressé pour non-présentation de leurs rapports nationaux intermédiaires. Il a également prié la Secrétaire exécutive d'écrire aux Parties qui n'avaient pas encore mis en place leurs mesures ou leurs mécanismes institutionnels en matière d'accès et de partage des avantages, ou qui disposaient d'informations pertinentes devant être mises à disposition par l'intermédiaire du Centre d'échange sur l'accès et le partage des avantages mais qui n'avaient pas encore communiqué ou publié ces informations, afin de les exhorter à le faire dès que possible et de les inviter à fournir des informations sur les difficultés qu'elles avaient rencontrées dans leurs efforts pour s'acquitter de ces obligations. Le Comité a également apporté sa contribution à l'élaboration du projet de format des premiers rapports nationaux sur la mise en œuvre du Protocole.</w:t>
      </w:r>
    </w:p>
    <w:p w14:paraId="3159455C" w14:textId="2B21F29F" w:rsidR="00BB4805" w:rsidRPr="0062628C" w:rsidRDefault="00503719" w:rsidP="009477BD">
      <w:pPr>
        <w:pStyle w:val="CBDNormalNumber"/>
        <w:keepNext/>
        <w:rPr>
          <w:rFonts w:eastAsia="Arial Unicode MS"/>
          <w:color w:val="000000"/>
          <w:kern w:val="22"/>
          <w:u w:color="000000"/>
          <w:bdr w:val="nil"/>
        </w:rPr>
      </w:pPr>
      <w:r>
        <w:t>La pandémie de coronavirus (COVID-19) a perturbé le calendrier des travaux menés dans le cadre du Protocole, y compris ceux du Comité chargé du respect des obligations, avec les conséquences suivantes :</w:t>
      </w:r>
    </w:p>
    <w:p w14:paraId="48C025E2" w14:textId="1DC865F5" w:rsidR="00BB4805" w:rsidRPr="0062628C" w:rsidRDefault="00026D10" w:rsidP="00DE42C1">
      <w:pPr>
        <w:pStyle w:val="CBDNormalNumber"/>
        <w:numPr>
          <w:ilvl w:val="1"/>
          <w:numId w:val="12"/>
        </w:numPr>
        <w:rPr>
          <w:u w:color="000000"/>
          <w:bdr w:val="nil"/>
        </w:rPr>
      </w:pPr>
      <w:r>
        <w:rPr>
          <w:u w:color="000000"/>
          <w:bdr w:val="nil"/>
        </w:rPr>
        <w:t>La quatrième réunion de la Conférence des Parties siégeant en tant que réunion des Parties au Protocole de Nagoya, initialement prévue en 2020, a été reportée à 2022 ;</w:t>
      </w:r>
    </w:p>
    <w:p w14:paraId="50CBA495" w14:textId="3D0B151E" w:rsidR="00BB4805" w:rsidRPr="0062628C" w:rsidRDefault="004A0201" w:rsidP="00E16AAB">
      <w:pPr>
        <w:pStyle w:val="CBDNormalNumber"/>
        <w:numPr>
          <w:ilvl w:val="1"/>
          <w:numId w:val="12"/>
        </w:numPr>
        <w:rPr>
          <w:u w:color="000000"/>
          <w:bdr w:val="nil"/>
        </w:rPr>
      </w:pPr>
      <w:r>
        <w:rPr>
          <w:u w:color="000000"/>
          <w:bdr w:val="nil"/>
        </w:rPr>
        <w:t>La date de soumission des premiers rapports nationaux sur la mise en œuvre du Protocole a été reportée de 2021 à 2026, notamment en raison de la synchronisation des cycles de présentation des rapports de la Convention sur la diversité biologique, du Protocole de Nagoya et du Protocole de Cartagena ;</w:t>
      </w:r>
    </w:p>
    <w:p w14:paraId="7F7ED827" w14:textId="155C3163" w:rsidR="00BB4805" w:rsidRPr="0062628C" w:rsidRDefault="00BB4736" w:rsidP="00E16AAB">
      <w:pPr>
        <w:pStyle w:val="CBDNormalNumber"/>
        <w:numPr>
          <w:ilvl w:val="1"/>
          <w:numId w:val="12"/>
        </w:numPr>
        <w:rPr>
          <w:u w:color="000000"/>
          <w:bdr w:val="nil"/>
        </w:rPr>
      </w:pPr>
      <w:r>
        <w:rPr>
          <w:u w:color="000000"/>
          <w:bdr w:val="nil"/>
        </w:rPr>
        <w:t>En raison du report de la soumission des premiers rapports nationaux, le deuxième exercice d’évaluation et d’examen, initialement prévu pour 2022, n'aura lieu qu'en 2026 ;</w:t>
      </w:r>
    </w:p>
    <w:p w14:paraId="04C40494" w14:textId="23FE82F2" w:rsidR="00BC4AA9" w:rsidRPr="0062628C" w:rsidRDefault="000658B4" w:rsidP="00E16AAB">
      <w:pPr>
        <w:pStyle w:val="CBDNormalNumber"/>
        <w:numPr>
          <w:ilvl w:val="1"/>
          <w:numId w:val="12"/>
        </w:numPr>
        <w:rPr>
          <w:u w:color="000000"/>
          <w:bdr w:val="nil"/>
        </w:rPr>
      </w:pPr>
      <w:r>
        <w:rPr>
          <w:u w:color="000000"/>
          <w:bdr w:val="nil"/>
        </w:rPr>
        <w:t>Le Comité chargé du respect des obligations aurait dû se réunir en 2022 ; or, il s'est écoulé quatre ans entre ses troisième et quatrième réunions, la quatrième réunion s'étant finalement tenue en mars 2024.</w:t>
      </w:r>
    </w:p>
    <w:p w14:paraId="6878CEC0" w14:textId="52D17ADD" w:rsidR="00345EFF" w:rsidRPr="0062628C" w:rsidRDefault="00345EFF" w:rsidP="009477BD">
      <w:pPr>
        <w:pStyle w:val="CBDNormalNumber"/>
        <w:rPr>
          <w:rFonts w:eastAsia="Arial Unicode MS"/>
          <w:color w:val="000000"/>
          <w:kern w:val="22"/>
          <w:u w:color="000000"/>
          <w:bdr w:val="nil"/>
        </w:rPr>
      </w:pPr>
      <w:r>
        <w:rPr>
          <w:rFonts w:eastAsia="Arial Unicode MS"/>
          <w:color w:val="000000"/>
          <w:kern w:val="22"/>
          <w:u w:color="000000"/>
          <w:bdr w:val="nil"/>
        </w:rPr>
        <w:t>À sa quatrième réunion, le Comité a examiné, entre autres, des questions générales relatives au respect des obligations, à savoir la soumission des rapports nationaux, les progrès réalisés dans l'adoption de mesures, la mise en place de mécanismes institutionnels et la publication d'informations sur le Centre d’échange sur l’accès et le partage des avantages.</w:t>
      </w:r>
    </w:p>
    <w:p w14:paraId="31094871" w14:textId="733B0183" w:rsidR="00173A73" w:rsidRPr="0062628C" w:rsidRDefault="008023FE" w:rsidP="009477BD">
      <w:pPr>
        <w:pStyle w:val="CBDNormalNumber"/>
        <w:rPr>
          <w:rFonts w:eastAsia="Arial Unicode MS"/>
          <w:color w:val="000000"/>
          <w:kern w:val="22"/>
          <w:u w:color="000000"/>
          <w:bdr w:val="nil"/>
        </w:rPr>
      </w:pPr>
      <w:r>
        <w:rPr>
          <w:rFonts w:eastAsia="Arial Unicode MS"/>
          <w:color w:val="000000"/>
          <w:kern w:val="22"/>
          <w:u w:color="000000"/>
          <w:bdr w:val="nil"/>
        </w:rPr>
        <w:t>À ce jour, aucune demande n'a encore donné lieu à la mise en œuvre des procédures et mécanismes de respect des obligations.</w:t>
      </w:r>
    </w:p>
    <w:p w14:paraId="2F1EEA73" w14:textId="0C030951" w:rsidR="00BC259F" w:rsidRPr="0062628C" w:rsidRDefault="002D6FDC" w:rsidP="009477BD">
      <w:pPr>
        <w:pStyle w:val="CBDNormalNumber"/>
        <w:rPr>
          <w:rFonts w:eastAsia="Arial Unicode MS"/>
          <w:color w:val="000000"/>
          <w:kern w:val="22"/>
          <w:u w:color="000000"/>
          <w:bdr w:val="nil"/>
        </w:rPr>
      </w:pPr>
      <w:r>
        <w:lastRenderedPageBreak/>
        <w:t>Les perturbations dans le calendrier des travaux prévus par le Protocole impliquent que, pour la première fois depuis plus de huit ans, les Parties communiquent des informations officielles complètes sur l'état d'avancement de la mise en œuvre.</w:t>
      </w:r>
      <w:r>
        <w:rPr>
          <w:rFonts w:eastAsia="Arial Unicode MS"/>
          <w:color w:val="000000"/>
          <w:kern w:val="22"/>
          <w:u w:color="000000"/>
          <w:bdr w:val="nil"/>
        </w:rPr>
        <w:t xml:space="preserve"> On estime que les informations ainsi recueillies permettront au Comité de s'impliquer plus activement dans le contrôle du respect des obligations découlant du Protocole. </w:t>
      </w:r>
    </w:p>
    <w:p w14:paraId="52BF6B5B" w14:textId="14010144" w:rsidR="0020478B" w:rsidRPr="0062628C" w:rsidRDefault="0020478B" w:rsidP="009477BD">
      <w:pPr>
        <w:pStyle w:val="CBDH1"/>
        <w:rPr>
          <w:rFonts w:eastAsia="Arial Unicode MS"/>
          <w:bCs/>
          <w:color w:val="000000"/>
          <w:kern w:val="22"/>
          <w:u w:color="000000"/>
          <w:bdr w:val="nil"/>
        </w:rPr>
      </w:pPr>
      <w:r>
        <w:t>III.</w:t>
      </w:r>
      <w:r>
        <w:tab/>
        <w:t>Synthèse des points de vue</w:t>
      </w:r>
    </w:p>
    <w:p w14:paraId="647C75BB" w14:textId="317094E9" w:rsidR="00E62EA1" w:rsidRPr="0062628C" w:rsidRDefault="0004294D" w:rsidP="009477BD">
      <w:pPr>
        <w:pStyle w:val="CBDNormalNumber"/>
        <w:rPr>
          <w:rFonts w:eastAsia="Arial Unicode MS"/>
          <w:color w:val="000000"/>
          <w:kern w:val="22"/>
          <w:u w:color="000000"/>
          <w:bdr w:val="nil"/>
        </w:rPr>
      </w:pPr>
      <w:r>
        <w:rPr>
          <w:rFonts w:eastAsia="Arial Unicode MS"/>
          <w:color w:val="000000"/>
          <w:kern w:val="22"/>
          <w:u w:color="000000"/>
          <w:bdr w:val="nil"/>
        </w:rPr>
        <w:t>Dans la notification n° </w:t>
      </w:r>
      <w:hyperlink r:id="rId18" w:history="1">
        <w:r>
          <w:rPr>
            <w:rStyle w:val="Lienhypertexte"/>
            <w:rFonts w:eastAsia="Arial Unicode MS"/>
            <w:kern w:val="22"/>
            <w:bdr w:val="nil"/>
          </w:rPr>
          <w:t>2025-080</w:t>
        </w:r>
      </w:hyperlink>
      <w:r>
        <w:rPr>
          <w:rFonts w:eastAsia="Arial Unicode MS"/>
          <w:color w:val="000000"/>
          <w:kern w:val="22"/>
          <w:u w:color="000000"/>
          <w:bdr w:val="nil"/>
        </w:rPr>
        <w:t xml:space="preserve"> du 17 juin 2025, la Secrétaire exécutive </w:t>
      </w:r>
      <w:r>
        <w:t>a sollicité la soumission de points de vue afin d'éclairer l'examen préliminaire des procédures et mécanismes de respect des obligations.</w:t>
      </w:r>
      <w:r>
        <w:rPr>
          <w:rFonts w:eastAsia="Arial Unicode MS"/>
          <w:color w:val="000000"/>
          <w:kern w:val="22"/>
          <w:u w:color="000000"/>
          <w:bdr w:val="nil"/>
        </w:rPr>
        <w:t xml:space="preserve"> Quinze contributions ont été reçues en réponse à cette demande, dont six émanaient de Parties au Protocole</w:t>
      </w:r>
      <w:r>
        <w:rPr>
          <w:rStyle w:val="Appelnotedebasdep"/>
          <w:rFonts w:eastAsia="Arial Unicode MS"/>
          <w:color w:val="000000"/>
          <w:kern w:val="22"/>
          <w:u w:color="000000"/>
          <w:bdr w:val="nil"/>
        </w:rPr>
        <w:footnoteReference w:id="5"/>
      </w:r>
      <w:r>
        <w:rPr>
          <w:rFonts w:eastAsia="Arial Unicode MS"/>
          <w:color w:val="000000"/>
          <w:kern w:val="22"/>
          <w:u w:color="000000"/>
          <w:bdr w:val="nil"/>
        </w:rPr>
        <w:t>, une d'un État non-Partie</w:t>
      </w:r>
      <w:r>
        <w:rPr>
          <w:rStyle w:val="Appelnotedebasdep"/>
          <w:rFonts w:eastAsia="Arial Unicode MS"/>
          <w:color w:val="000000"/>
          <w:kern w:val="22"/>
          <w:u w:color="000000"/>
          <w:bdr w:val="nil"/>
        </w:rPr>
        <w:footnoteReference w:id="6"/>
      </w:r>
      <w:r>
        <w:rPr>
          <w:rFonts w:eastAsia="Arial Unicode MS"/>
          <w:color w:val="000000"/>
          <w:kern w:val="22"/>
          <w:u w:color="000000"/>
          <w:bdr w:val="nil"/>
        </w:rPr>
        <w:t xml:space="preserve"> et huit d'organisations</w:t>
      </w:r>
      <w:r>
        <w:rPr>
          <w:rStyle w:val="Appelnotedebasdep"/>
          <w:rFonts w:eastAsia="Arial Unicode MS"/>
          <w:color w:val="000000"/>
          <w:kern w:val="22"/>
          <w:u w:color="000000"/>
          <w:bdr w:val="nil"/>
        </w:rPr>
        <w:footnoteReference w:id="7"/>
      </w:r>
      <w:r>
        <w:rPr>
          <w:rFonts w:eastAsia="Arial Unicode MS"/>
          <w:color w:val="000000"/>
          <w:kern w:val="22"/>
          <w:u w:color="000000"/>
          <w:bdr w:val="nil"/>
        </w:rPr>
        <w:t>. Toutes les contributions ont été mises à disposition sur la page de notification.</w:t>
      </w:r>
    </w:p>
    <w:p w14:paraId="5323B159" w14:textId="5F4D3EFA" w:rsidR="00917693" w:rsidRPr="0062628C" w:rsidRDefault="008666C5" w:rsidP="009477BD">
      <w:pPr>
        <w:pStyle w:val="CBDNormalNumber"/>
        <w:rPr>
          <w:rFonts w:eastAsia="Arial Unicode MS"/>
          <w:color w:val="000000"/>
          <w:kern w:val="22"/>
          <w:u w:color="000000"/>
          <w:bdr w:val="nil"/>
        </w:rPr>
      </w:pPr>
      <w:r>
        <w:rPr>
          <w:rFonts w:eastAsia="Arial Unicode MS"/>
          <w:color w:val="000000"/>
          <w:kern w:val="22"/>
          <w:u w:color="000000"/>
          <w:bdr w:val="nil"/>
        </w:rPr>
        <w:t>Plusieurs contributeurs ont abordé la mise en œuvre du Protocole dans une perspective générale. Ils ont mis en évidence divers problèmes liés au Protocole et à sa mise en œuvre</w:t>
      </w:r>
      <w:r>
        <w:rPr>
          <w:rStyle w:val="Appelnotedebasdep"/>
          <w:rFonts w:eastAsia="Arial Unicode MS"/>
          <w:color w:val="000000"/>
          <w:kern w:val="22"/>
          <w:u w:color="000000"/>
          <w:bdr w:val="nil"/>
        </w:rPr>
        <w:footnoteReference w:id="8"/>
      </w:r>
      <w:r>
        <w:rPr>
          <w:rFonts w:eastAsia="Arial Unicode MS"/>
          <w:color w:val="000000"/>
          <w:kern w:val="22"/>
          <w:u w:color="000000"/>
          <w:bdr w:val="nil"/>
        </w:rPr>
        <w:t>, ont fourni des informations sur les mesures qu'ils prenaient pour mettre en œuvre le Protocole</w:t>
      </w:r>
      <w:r>
        <w:rPr>
          <w:rStyle w:val="Appelnotedebasdep"/>
          <w:rFonts w:eastAsia="Arial Unicode MS"/>
          <w:color w:val="000000"/>
          <w:kern w:val="22"/>
          <w:u w:color="000000"/>
          <w:bdr w:val="nil"/>
        </w:rPr>
        <w:footnoteReference w:id="9"/>
      </w:r>
      <w:r>
        <w:rPr>
          <w:rFonts w:eastAsia="Arial Unicode MS"/>
          <w:color w:val="000000"/>
          <w:kern w:val="22"/>
          <w:u w:color="000000"/>
          <w:bdr w:val="nil"/>
        </w:rPr>
        <w:t xml:space="preserve"> et sur les difficultés rencontrées</w:t>
      </w:r>
      <w:r>
        <w:rPr>
          <w:rStyle w:val="Appelnotedebasdep"/>
          <w:rFonts w:eastAsia="Arial Unicode MS"/>
          <w:color w:val="000000"/>
          <w:kern w:val="22"/>
          <w:u w:color="000000"/>
          <w:bdr w:val="nil"/>
        </w:rPr>
        <w:footnoteReference w:id="10"/>
      </w:r>
      <w:r>
        <w:rPr>
          <w:rFonts w:eastAsia="Arial Unicode MS"/>
          <w:color w:val="000000"/>
          <w:kern w:val="22"/>
          <w:u w:color="000000"/>
          <w:bdr w:val="nil"/>
        </w:rPr>
        <w:t>. Certains contributeurs ont mis en avant les mesures qu'ils avaient prises pour soutenir la mise en œuvre du Protocole</w:t>
      </w:r>
      <w:r>
        <w:rPr>
          <w:rStyle w:val="Appelnotedebasdep"/>
          <w:rFonts w:eastAsia="Arial Unicode MS"/>
          <w:color w:val="000000"/>
          <w:kern w:val="22"/>
          <w:u w:color="000000"/>
          <w:bdr w:val="nil"/>
        </w:rPr>
        <w:footnoteReference w:id="11"/>
      </w:r>
      <w:r>
        <w:rPr>
          <w:rFonts w:eastAsia="Arial Unicode MS"/>
          <w:color w:val="000000"/>
          <w:kern w:val="22"/>
          <w:u w:color="000000"/>
          <w:bdr w:val="nil"/>
        </w:rPr>
        <w:t xml:space="preserve">. </w:t>
      </w:r>
      <w:r>
        <w:t>Deux contributeurs</w:t>
      </w:r>
      <w:r>
        <w:rPr>
          <w:rStyle w:val="Appelnotedebasdep"/>
          <w:rFonts w:eastAsia="Arial Unicode MS"/>
          <w:color w:val="000000"/>
          <w:kern w:val="22"/>
          <w:u w:color="000000"/>
          <w:bdr w:val="nil"/>
        </w:rPr>
        <w:footnoteReference w:id="12"/>
      </w:r>
      <w:r>
        <w:rPr>
          <w:rFonts w:eastAsia="Arial Unicode MS"/>
          <w:color w:val="000000"/>
          <w:kern w:val="22"/>
          <w:u w:color="000000"/>
          <w:bdr w:val="nil"/>
        </w:rPr>
        <w:t xml:space="preserve"> </w:t>
      </w:r>
      <w:r>
        <w:t>ont formulé des suggestions concernant des activités visant à favoriser le respect des obligations et ont recommandé la création de forums où les parties prenantes pourraient partager leurs expériences et discuter des défis liés à l'accès et au partage des avantages dans différents pays.</w:t>
      </w:r>
      <w:r>
        <w:rPr>
          <w:rFonts w:eastAsia="Arial Unicode MS"/>
          <w:color w:val="000000"/>
          <w:kern w:val="22"/>
          <w:u w:color="000000"/>
          <w:bdr w:val="nil"/>
        </w:rPr>
        <w:t xml:space="preserve"> Tous ces points seront abordés plus en détail lors de l'analyse des informations pour le deuxième exercice d’évaluation et d’examen de l'efficacité du Protocole</w:t>
      </w:r>
      <w:r>
        <w:rPr>
          <w:rStyle w:val="Appelnotedebasdep"/>
          <w:rFonts w:eastAsia="Arial Unicode MS"/>
          <w:color w:val="000000"/>
          <w:kern w:val="22"/>
          <w:u w:color="000000"/>
          <w:bdr w:val="nil"/>
        </w:rPr>
        <w:footnoteReference w:id="13"/>
      </w:r>
      <w:r>
        <w:rPr>
          <w:rFonts w:eastAsia="Arial Unicode MS"/>
          <w:color w:val="000000"/>
          <w:kern w:val="22"/>
          <w:u w:color="000000"/>
          <w:bdr w:val="nil"/>
        </w:rPr>
        <w:t>.</w:t>
      </w:r>
    </w:p>
    <w:p w14:paraId="6A85DA69" w14:textId="5F9AC6E0" w:rsidR="0099216F" w:rsidRPr="00CA6127" w:rsidRDefault="0099216F" w:rsidP="00CA6127">
      <w:pPr>
        <w:pStyle w:val="CBDNormalNumber"/>
        <w:rPr>
          <w:rFonts w:eastAsia="Arial Unicode MS"/>
          <w:color w:val="000000"/>
          <w:kern w:val="22"/>
          <w:u w:color="000000"/>
          <w:bdr w:val="nil"/>
        </w:rPr>
      </w:pPr>
      <w:r w:rsidRPr="00CA6127">
        <w:rPr>
          <w:rFonts w:eastAsia="Arial Unicode MS"/>
          <w:color w:val="000000"/>
          <w:kern w:val="22"/>
          <w:u w:color="000000"/>
          <w:bdr w:val="nil"/>
        </w:rPr>
        <w:t>Certains contributeurs ont formulé des suggestions concernant les travaux du Comité qui pourraient être prises en compte sans modifier les procédures et les mécanismes de respect des obligations. Par exemple, un contributeur</w:t>
      </w:r>
      <w:r w:rsidRPr="00CA6127">
        <w:rPr>
          <w:rFonts w:eastAsia="Arial Unicode MS"/>
          <w:color w:val="000000"/>
          <w:kern w:val="22"/>
          <w:u w:color="000000"/>
          <w:bdr w:val="nil"/>
          <w:vertAlign w:val="superscript"/>
        </w:rPr>
        <w:footnoteReference w:id="14"/>
      </w:r>
      <w:r w:rsidRPr="00CA6127">
        <w:rPr>
          <w:rFonts w:eastAsia="Arial Unicode MS"/>
          <w:color w:val="000000"/>
          <w:kern w:val="22"/>
          <w:u w:color="000000"/>
          <w:bdr w:val="nil"/>
        </w:rPr>
        <w:t xml:space="preserve"> a proposé que le Comité encourage le secrétariat, sous réserve de la disponibilité des fonds, à procéder à des audits réguliers du Centre d’échange sur l’accès et le partage des avantages afin de s'assurer que les informations qu'il contient restent à jour. Un autre contributeur</w:t>
      </w:r>
      <w:r w:rsidRPr="00CA6127">
        <w:rPr>
          <w:rFonts w:eastAsia="Arial Unicode MS"/>
          <w:color w:val="000000"/>
          <w:kern w:val="22"/>
          <w:u w:color="000000"/>
          <w:bdr w:val="nil"/>
          <w:vertAlign w:val="superscript"/>
        </w:rPr>
        <w:footnoteReference w:id="15"/>
      </w:r>
      <w:r w:rsidRPr="00CA6127">
        <w:rPr>
          <w:rFonts w:eastAsia="Arial Unicode MS"/>
          <w:color w:val="000000"/>
          <w:kern w:val="22"/>
          <w:u w:color="000000"/>
          <w:bdr w:val="nil"/>
        </w:rPr>
        <w:t xml:space="preserve"> a suggéré que des mesures supplémentaires soient prises pour améliorer la visibilité et la notoriété des travaux du Comité, et que des séances d'introduction aux travaux et au mandat du Comité soient organisées afin de fournir aux membres du Comité les informations nécessaires à l'exercice de leurs fonctions.</w:t>
      </w:r>
    </w:p>
    <w:p w14:paraId="4A0DD213" w14:textId="36B6749B" w:rsidR="000A5C42" w:rsidRPr="0062628C" w:rsidRDefault="00964F6D" w:rsidP="009477BD">
      <w:pPr>
        <w:pStyle w:val="CBDNormalNumber"/>
        <w:rPr>
          <w:rFonts w:eastAsia="Arial Unicode MS"/>
          <w:kern w:val="22"/>
          <w:u w:color="000000"/>
          <w:bdr w:val="nil"/>
        </w:rPr>
      </w:pPr>
      <w:r>
        <w:rPr>
          <w:rFonts w:eastAsia="Arial Unicode MS"/>
          <w:kern w:val="22"/>
          <w:u w:color="000000"/>
          <w:bdr w:val="nil"/>
        </w:rPr>
        <w:t>Un contributeur</w:t>
      </w:r>
      <w:r>
        <w:rPr>
          <w:rStyle w:val="Appelnotedebasdep"/>
          <w:rFonts w:eastAsia="Arial Unicode MS"/>
          <w:kern w:val="22"/>
          <w:u w:color="000000"/>
          <w:bdr w:val="nil"/>
        </w:rPr>
        <w:footnoteReference w:id="16"/>
      </w:r>
      <w:r>
        <w:rPr>
          <w:rFonts w:eastAsia="Arial Unicode MS"/>
          <w:kern w:val="22"/>
          <w:u w:color="000000"/>
          <w:bdr w:val="nil"/>
        </w:rPr>
        <w:t xml:space="preserve"> s'est déclaré favorable à de nombreux aspects des procédures et mécanismes actuels de respect des obligations, tandis que d'autres ont proposé d'y apporter des modifications.</w:t>
      </w:r>
    </w:p>
    <w:p w14:paraId="1B82D1F0" w14:textId="28D84741" w:rsidR="008D3C6F" w:rsidRPr="0062628C" w:rsidRDefault="00BB0204" w:rsidP="009477BD">
      <w:pPr>
        <w:pStyle w:val="CBDNormalNumber"/>
        <w:rPr>
          <w:rFonts w:eastAsia="Arial Unicode MS"/>
          <w:kern w:val="22"/>
          <w:u w:color="000000"/>
          <w:bdr w:val="nil"/>
        </w:rPr>
      </w:pPr>
      <w:r>
        <w:lastRenderedPageBreak/>
        <w:t>Plusieurs contributeurs</w:t>
      </w:r>
      <w:r>
        <w:rPr>
          <w:rStyle w:val="Appelnotedebasdep"/>
        </w:rPr>
        <w:footnoteReference w:id="17"/>
      </w:r>
      <w:r>
        <w:t xml:space="preserve"> ont suggéré que le rôle du Comité pourrait être renforcé en lui permettant d'apporter un soutien financier, technique et juridique. L'exemple du Programme d'aide au respect de la Convention sur le commerce international des espèces de faune et de flore sauvages menacées d'extinction a été évoqué. Certains contributeurs</w:t>
      </w:r>
      <w:r>
        <w:rPr>
          <w:rStyle w:val="Appelnotedebasdep"/>
        </w:rPr>
        <w:footnoteReference w:id="18"/>
      </w:r>
      <w:r>
        <w:t xml:space="preserve"> ont également suggéré que le Comité soit autorisé à procéder, si nécessaire, à des évaluations techniques ou à des visites sur place afin de vérifier le respect des obligations découlant du Protocole, en particulier dans les cas où il existerait des indices raisonnables de non-respect ou de lacunes dans les informations fournies. Un contributeur</w:t>
      </w:r>
      <w:r>
        <w:rPr>
          <w:rStyle w:val="Appelnotedebasdep"/>
        </w:rPr>
        <w:footnoteReference w:id="19"/>
      </w:r>
      <w:r>
        <w:t xml:space="preserve"> a fait état d'une expérience pertinente dans le cadre de cette même Convention ainsi que de la Convention relative à la conservation de la vie sauvage et du milieu naturel de l'Europe, mais a souligné que les visites sur place pourraient avoir des implications budgétaires.</w:t>
      </w:r>
    </w:p>
    <w:p w14:paraId="55555910" w14:textId="7042BEC6" w:rsidR="003E0626" w:rsidRPr="0062628C" w:rsidRDefault="006E6CDC" w:rsidP="009477BD">
      <w:pPr>
        <w:pStyle w:val="CBDNormalNumber"/>
        <w:rPr>
          <w:rFonts w:eastAsia="Arial Unicode MS"/>
          <w:kern w:val="22"/>
          <w:u w:color="000000"/>
          <w:bdr w:val="nil"/>
        </w:rPr>
      </w:pPr>
      <w:r>
        <w:t>Le rôle des organisations dans les procédures et mécanismes de respect des obligations a été abordé dans plusieurs contributions. Un contributeur</w:t>
      </w:r>
      <w:r>
        <w:rPr>
          <w:rStyle w:val="Appelnotedebasdep"/>
        </w:rPr>
        <w:footnoteReference w:id="20"/>
      </w:r>
      <w:r>
        <w:t xml:space="preserve"> a fait remarquer qu'au titre de la section E des procédures et mécanismes de respect des obligations, concernant l'information et la consultation du Comité après le déclenchement des procédures, les sources pertinentes auprès desquelles le Comité pourrait se renseigner pourraient inclure les organisations concernées et les chercheurs. D'autres</w:t>
      </w:r>
      <w:r>
        <w:rPr>
          <w:rStyle w:val="Appelnotedebasdep"/>
        </w:rPr>
        <w:footnoteReference w:id="21"/>
      </w:r>
      <w:r>
        <w:t xml:space="preserve"> ont proposé que des représentants de la société civile, ainsi que des utilisateurs de ressources génétiques et de connaissances traditionnelles associés issus des secteurs privé et public, soient inclus dans la composition du Comité au titre de la section B relative aux mécanismes institutionnels, et soient autorisés à communiquer des cas de non-respect au Comité au titre de la section D relative aux procédures.</w:t>
      </w:r>
    </w:p>
    <w:p w14:paraId="56789B78" w14:textId="1B782EA4" w:rsidR="000803F5" w:rsidRPr="0062628C" w:rsidRDefault="00C90336" w:rsidP="009477BD">
      <w:pPr>
        <w:pStyle w:val="CBDNormalNumber"/>
        <w:rPr>
          <w:rFonts w:eastAsia="Arial Unicode MS"/>
          <w:kern w:val="22"/>
          <w:u w:color="000000"/>
          <w:bdr w:val="nil"/>
        </w:rPr>
      </w:pPr>
      <w:r>
        <w:rPr>
          <w:rFonts w:eastAsia="Arial Unicode MS"/>
          <w:kern w:val="22"/>
          <w:u w:color="000000"/>
          <w:bdr w:val="nil"/>
        </w:rPr>
        <w:t>Un contributeur</w:t>
      </w:r>
      <w:r>
        <w:rPr>
          <w:rStyle w:val="Appelnotedebasdep"/>
          <w:rFonts w:eastAsia="Arial Unicode MS"/>
          <w:kern w:val="22"/>
          <w:u w:color="000000"/>
          <w:bdr w:val="nil"/>
        </w:rPr>
        <w:footnoteReference w:id="22"/>
      </w:r>
      <w:r>
        <w:rPr>
          <w:rFonts w:eastAsia="Arial Unicode MS"/>
          <w:kern w:val="22"/>
          <w:u w:color="000000"/>
          <w:bdr w:val="nil"/>
        </w:rPr>
        <w:t xml:space="preserve"> a proposé d'envisager la tenue de réunions en ligne et hybrides du Comité. Il convient de noter que cela nécessiterait de modifier le règlement intérieur des réunions du Comité, qui a été approuvé par la Conférence des Parties siégeant en tant que réunion des Parties au Protocole dans la </w:t>
      </w:r>
      <w:hyperlink r:id="rId19" w:history="1">
        <w:r>
          <w:rPr>
            <w:rStyle w:val="Lienhypertexte"/>
            <w:rFonts w:eastAsia="Arial Unicode MS"/>
            <w:color w:val="auto"/>
            <w:kern w:val="22"/>
            <w:u w:val="none"/>
            <w:bdr w:val="nil"/>
          </w:rPr>
          <w:t>décision </w:t>
        </w:r>
        <w:r>
          <w:rPr>
            <w:rStyle w:val="Lienhypertexte"/>
            <w:rFonts w:eastAsia="Arial Unicode MS"/>
            <w:kern w:val="22"/>
            <w:bdr w:val="nil"/>
          </w:rPr>
          <w:t>NP-2/3</w:t>
        </w:r>
      </w:hyperlink>
      <w:r>
        <w:rPr>
          <w:rFonts w:eastAsia="Arial Unicode MS"/>
          <w:kern w:val="22"/>
          <w:u w:color="000000"/>
          <w:bdr w:val="nil"/>
        </w:rPr>
        <w:t>. Actuellement, l'article 14 du règlement intérieur stipule que les moyens électroniques de communication peuvent être utilisés par le Comité dans le but de mener des consultations informelles sur les questions à l'étude, et de prendre des décisions, à l'exception des décisions portant sur des questions de fond, notamment en ce qui concerne le respect et le non-respect des obligations découlant du Protocole.</w:t>
      </w:r>
    </w:p>
    <w:p w14:paraId="5F8C9D5C" w14:textId="243E65BE" w:rsidR="005F3BAC" w:rsidRPr="0062628C" w:rsidRDefault="006E6CDC" w:rsidP="009477BD">
      <w:pPr>
        <w:pStyle w:val="CBDNormalNumber"/>
        <w:rPr>
          <w:rFonts w:eastAsia="Arial Unicode MS"/>
          <w:kern w:val="22"/>
          <w:u w:color="000000"/>
          <w:bdr w:val="nil"/>
        </w:rPr>
      </w:pPr>
      <w:r>
        <w:t>Le même contributeur a proposé de modifier la disposition relative au quorum figurant au paragraphe 10 de la section B des procédures et mécanismes, afin de garantir une représentation régionale adéquate dans le processus décisionnel du Comité.</w:t>
      </w:r>
      <w:r>
        <w:rPr>
          <w:rFonts w:eastAsia="Arial Unicode MS"/>
          <w:kern w:val="22"/>
          <w:u w:color="000000"/>
          <w:bdr w:val="nil"/>
        </w:rPr>
        <w:t xml:space="preserve"> </w:t>
      </w:r>
      <w:r>
        <w:t xml:space="preserve">Le paragraphe modifié serait libellé comme suit (ajout proposé en souligné) : « Le quorum est atteint lorsque les deux tiers des membres du Comité sont présents, </w:t>
      </w:r>
      <w:r>
        <w:rPr>
          <w:u w:val="single"/>
        </w:rPr>
        <w:t>à condition qu'au moins un membre de chaque groupe régional soit présent</w:t>
      </w:r>
      <w:r>
        <w:t>. »</w:t>
      </w:r>
    </w:p>
    <w:p w14:paraId="06D1BB45" w14:textId="67BA22FE" w:rsidR="00CD1BA4" w:rsidRPr="00DE42C1" w:rsidRDefault="00460038" w:rsidP="00544AFA">
      <w:pPr>
        <w:pStyle w:val="CBDNormalNumber"/>
        <w:spacing w:after="160" w:line="259" w:lineRule="auto"/>
        <w:jc w:val="left"/>
        <w:rPr>
          <w:rFonts w:eastAsia="Arial Unicode MS"/>
          <w:snapToGrid w:val="0"/>
          <w:kern w:val="22"/>
          <w:u w:color="000000"/>
          <w:bdr w:val="nil"/>
          <w:lang w:eastAsia="x-none"/>
        </w:rPr>
      </w:pPr>
      <w:r w:rsidRPr="00DE42C1">
        <w:rPr>
          <w:rFonts w:eastAsia="Arial Unicode MS"/>
          <w:kern w:val="22"/>
          <w:u w:color="000000"/>
          <w:bdr w:val="nil"/>
        </w:rPr>
        <w:t xml:space="preserve">Le même contributeur a également formulé une suggestion concernant la section F des procédures et mécanismes de respect, notamment les mesures propres à encourager le respect des obligations et à traiter les cas de non-respect. Le paragraphe 3 d) de la section F dispose que la Conférence des Parties siégeant en tant que réunion des Parties au Protocole, sur recommandation du Comité, peut également, afin d'encourager le respect des obligations et de traiter les cas de non-respect, décider de toute autre mesure appropriée, conformément au paragraphe 4 de l'article 26 du Protocole et des règles applicables du droit international, compte tenu de la nécessité de prendre des mesures sévères en cas de non-respect grave ou répété. Le contributeur a fait remarquer que </w:t>
      </w:r>
      <w:r w:rsidRPr="00DE42C1">
        <w:rPr>
          <w:rFonts w:eastAsia="Arial Unicode MS"/>
          <w:kern w:val="22"/>
          <w:u w:color="000000"/>
          <w:bdr w:val="nil"/>
        </w:rPr>
        <w:lastRenderedPageBreak/>
        <w:t>cette disposition n'avait pas été appliquée et a proposé que le libellé « compte tenu de la nécessité de prendre des mesures sévères en cas de non-respect grave ou répété » soit clarifié ou supprimé.</w:t>
      </w:r>
      <w:r w:rsidR="00DE42C1" w:rsidRPr="00DE42C1">
        <w:rPr>
          <w:rFonts w:eastAsia="Arial Unicode MS"/>
          <w:kern w:val="22"/>
          <w:u w:color="000000"/>
          <w:bdr w:val="nil"/>
        </w:rPr>
        <w:t xml:space="preserve"> </w:t>
      </w:r>
      <w:r w:rsidR="00CD1BA4" w:rsidRPr="00DE42C1">
        <w:rPr>
          <w:rFonts w:eastAsia="Arial Unicode MS"/>
          <w:kern w:val="22"/>
          <w:u w:color="000000"/>
          <w:bdr w:val="nil"/>
        </w:rPr>
        <w:br w:type="page"/>
      </w:r>
    </w:p>
    <w:p w14:paraId="16C243A2" w14:textId="1084F2EF" w:rsidR="00CD1BA4" w:rsidRPr="0062628C" w:rsidRDefault="00CD1BA4" w:rsidP="009477BD">
      <w:pPr>
        <w:pStyle w:val="CBDAnnex"/>
        <w:rPr>
          <w:u w:color="000000"/>
          <w:bdr w:val="nil"/>
        </w:rPr>
      </w:pPr>
      <w:r>
        <w:rPr>
          <w:u w:color="000000"/>
          <w:bdr w:val="nil"/>
        </w:rPr>
        <w:lastRenderedPageBreak/>
        <w:t>Annexe</w:t>
      </w:r>
    </w:p>
    <w:p w14:paraId="5E3C5C0C" w14:textId="20C34E8D" w:rsidR="00CD1BA4" w:rsidRPr="0062628C" w:rsidRDefault="00FA50C4" w:rsidP="009477BD">
      <w:pPr>
        <w:pStyle w:val="CBDTitle"/>
        <w:rPr>
          <w:u w:color="000000"/>
          <w:bdr w:val="nil"/>
        </w:rPr>
      </w:pPr>
      <w:r>
        <w:rPr>
          <w:u w:color="000000"/>
          <w:bdr w:val="nil"/>
        </w:rPr>
        <w:t>Expérience en matière de procédures et mécanismes de respect des obligations mis en place en vertu du Protocole de Cartagena sur la prévention des risques biotechnologiques</w:t>
      </w:r>
    </w:p>
    <w:p w14:paraId="194F2A1A" w14:textId="716AA95F" w:rsidR="006C73F3" w:rsidRPr="0062628C" w:rsidRDefault="006C73F3" w:rsidP="00E16AAB">
      <w:pPr>
        <w:pStyle w:val="CBDNormalNumber"/>
        <w:numPr>
          <w:ilvl w:val="0"/>
          <w:numId w:val="19"/>
        </w:numPr>
        <w:rPr>
          <w:u w:color="000000"/>
          <w:bdr w:val="nil"/>
        </w:rPr>
      </w:pPr>
      <w:r>
        <w:rPr>
          <w:u w:color="000000"/>
          <w:bdr w:val="nil"/>
        </w:rPr>
        <w:t>La présente annexe offre un bref aperçu des principales évolutions intervenues dans le cadre des procédures et mécanismes de respect des obligations du Protocole de Cartagena sur la prévention des risques biotechnologiques. Si elle ne couvre pas tous les domaines d'activité, de plus amples informations sont toutefois disponibles sur le site Web du Protocole ainsi que dans les rapports du Comité chargé du respect des obligations au titre du Protocole</w:t>
      </w:r>
      <w:r>
        <w:rPr>
          <w:rStyle w:val="Appelnotedebasdep"/>
          <w:u w:color="000000"/>
          <w:bdr w:val="nil"/>
        </w:rPr>
        <w:footnoteReference w:id="23"/>
      </w:r>
      <w:r>
        <w:rPr>
          <w:u w:color="000000"/>
          <w:bdr w:val="nil"/>
        </w:rPr>
        <w:t>.</w:t>
      </w:r>
    </w:p>
    <w:p w14:paraId="64835394" w14:textId="583DA510" w:rsidR="006F7257" w:rsidRPr="0062628C" w:rsidRDefault="008542CA" w:rsidP="009477BD">
      <w:pPr>
        <w:pStyle w:val="CBDNormalNumber"/>
        <w:rPr>
          <w:rFonts w:eastAsia="Arial Unicode MS"/>
          <w:kern w:val="22"/>
          <w:u w:color="000000"/>
          <w:bdr w:val="nil"/>
        </w:rPr>
      </w:pPr>
      <w:r>
        <w:rPr>
          <w:rFonts w:eastAsia="Arial Unicode MS"/>
          <w:kern w:val="22"/>
          <w:u w:color="000000"/>
          <w:bdr w:val="nil"/>
        </w:rPr>
        <w:t>Conformément à l'article 34 du Protocole, la Conférence des Parties siégeant en tant que réunion des Parties au Protocole a adopté, à sa première réunion en février 2004, des procédures et mécanismes de respect des obligations, par la décision </w:t>
      </w:r>
      <w:hyperlink r:id="rId20" w:history="1">
        <w:r>
          <w:rPr>
            <w:rStyle w:val="Lienhypertexte"/>
            <w:rFonts w:eastAsia="Arial Unicode MS"/>
            <w:kern w:val="22"/>
            <w:bdr w:val="nil"/>
          </w:rPr>
          <w:t>BS-I/7</w:t>
        </w:r>
      </w:hyperlink>
      <w:r>
        <w:rPr>
          <w:rFonts w:eastAsia="Arial Unicode MS"/>
          <w:kern w:val="22"/>
          <w:u w:color="000000"/>
          <w:bdr w:val="nil"/>
        </w:rPr>
        <w:t>.</w:t>
      </w:r>
    </w:p>
    <w:p w14:paraId="762AD859" w14:textId="15DE6028" w:rsidR="004D4616" w:rsidRPr="0062628C" w:rsidRDefault="006F7257" w:rsidP="009477BD">
      <w:pPr>
        <w:pStyle w:val="CBDNormalNumber"/>
        <w:rPr>
          <w:rFonts w:eastAsia="Arial Unicode MS"/>
          <w:kern w:val="22"/>
          <w:u w:color="000000"/>
          <w:bdr w:val="nil"/>
        </w:rPr>
      </w:pPr>
      <w:r>
        <w:rPr>
          <w:rFonts w:eastAsia="Arial Unicode MS"/>
          <w:kern w:val="22"/>
          <w:u w:color="000000"/>
          <w:bdr w:val="nil"/>
        </w:rPr>
        <w:t>Ces procédures et mécanismes prévoient la création d'un comité chargé du respect des obligations et stipulent que ce comité se réunira deux fois par an, sauf s'il en décide autrement. À sa quatrième réunion, la Conférence des Parties siégeant en tant que réunion des Parties au Protocole a encouragé le Comité à se réunir moins de deux fois par an si cela était jugé suffisant et dans les limites du budget adopté. Ensuite, le budget adopté par la Conférence des Parties siégeant en tant que réunion des Parties prévoyait une réunion par an. Le Comité se réunit donc une fois par an depuis 2008</w:t>
      </w:r>
      <w:r>
        <w:rPr>
          <w:rStyle w:val="Appelnotedebasdep"/>
          <w:rFonts w:eastAsia="Arial Unicode MS"/>
          <w:kern w:val="22"/>
          <w:u w:color="000000"/>
          <w:bdr w:val="nil"/>
        </w:rPr>
        <w:footnoteReference w:id="24"/>
      </w:r>
      <w:r>
        <w:rPr>
          <w:rFonts w:eastAsia="Arial Unicode MS"/>
          <w:kern w:val="22"/>
          <w:u w:color="000000"/>
          <w:bdr w:val="nil"/>
        </w:rPr>
        <w:t>.</w:t>
      </w:r>
    </w:p>
    <w:p w14:paraId="2ADF1268" w14:textId="25DCBAC3" w:rsidR="000308B7" w:rsidRPr="0062628C" w:rsidRDefault="00281A86" w:rsidP="009477BD">
      <w:pPr>
        <w:pStyle w:val="CBDNormalNumber"/>
        <w:rPr>
          <w:rFonts w:eastAsia="Arial Unicode MS"/>
          <w:kern w:val="22"/>
          <w:u w:color="000000"/>
          <w:bdr w:val="nil"/>
        </w:rPr>
      </w:pPr>
      <w:r>
        <w:rPr>
          <w:rFonts w:eastAsia="Arial Unicode MS"/>
          <w:kern w:val="22"/>
          <w:u w:color="000000"/>
          <w:bdr w:val="nil"/>
        </w:rPr>
        <w:t>Par la décision </w:t>
      </w:r>
      <w:hyperlink r:id="rId21" w:history="1">
        <w:r>
          <w:rPr>
            <w:rStyle w:val="Lienhypertexte"/>
            <w:rFonts w:eastAsia="Arial Unicode MS"/>
            <w:kern w:val="22"/>
            <w:bdr w:val="nil"/>
          </w:rPr>
          <w:t>BS-II/1</w:t>
        </w:r>
      </w:hyperlink>
      <w:r>
        <w:rPr>
          <w:rFonts w:eastAsia="Arial Unicode MS"/>
          <w:kern w:val="22"/>
          <w:u w:color="000000"/>
          <w:bdr w:val="nil"/>
        </w:rPr>
        <w:t>, la Conférence des Parties siégeant en tant que réunion des Parties au Protocole a approuvé le règlement intérieur pour les réunions du Comité chargé du respect des obligations.</w:t>
      </w:r>
    </w:p>
    <w:p w14:paraId="3C3D4897" w14:textId="1FF59B3D" w:rsidR="00C3055B" w:rsidRPr="0062628C" w:rsidRDefault="00530DDA" w:rsidP="009477BD">
      <w:pPr>
        <w:pStyle w:val="CBDNormalNumber"/>
        <w:rPr>
          <w:rFonts w:eastAsia="Arial Unicode MS"/>
          <w:kern w:val="22"/>
          <w:u w:color="000000"/>
          <w:bdr w:val="nil"/>
        </w:rPr>
      </w:pPr>
      <w:r>
        <w:rPr>
          <w:rFonts w:eastAsia="Arial Unicode MS"/>
          <w:kern w:val="22"/>
          <w:u w:color="000000"/>
          <w:bdr w:val="nil"/>
        </w:rPr>
        <w:t>En 2010, soit six ans après l'adoption des procédures de respect des obligations, aucune Partie n'avait soumis de demande relative au respect des obligations aux fins d'examen par le Comité chargé du respect des obligations.</w:t>
      </w:r>
    </w:p>
    <w:p w14:paraId="4F5187A6" w14:textId="16E2E292" w:rsidR="00C3055B" w:rsidRPr="0062628C" w:rsidRDefault="00C3055B" w:rsidP="009477BD">
      <w:pPr>
        <w:pStyle w:val="CBDNormalNumber"/>
        <w:rPr>
          <w:rFonts w:eastAsia="Arial Unicode MS"/>
          <w:kern w:val="22"/>
          <w:u w:color="000000"/>
          <w:bdr w:val="nil"/>
        </w:rPr>
      </w:pPr>
      <w:r>
        <w:rPr>
          <w:rFonts w:eastAsia="Arial Unicode MS"/>
          <w:kern w:val="22"/>
          <w:u w:color="000000"/>
          <w:bdr w:val="nil"/>
        </w:rPr>
        <w:t>Conscient des difficultés que les Parties pourraient rencontrer dans la mise en œuvre effective du Protocole, et en l'absence de contributions de leur part, le Comité a procédé à une évaluation des limites perçues des procédures dans le cadre de l'évaluation globale de l'efficacité du Protocole menée conformément à son article 35. À sa quatrième réunion, dans la décision </w:t>
      </w:r>
      <w:hyperlink r:id="rId22" w:history="1">
        <w:r>
          <w:rPr>
            <w:rStyle w:val="Lienhypertexte"/>
            <w:rFonts w:eastAsia="Arial Unicode MS"/>
            <w:kern w:val="22"/>
            <w:bdr w:val="nil"/>
          </w:rPr>
          <w:t>BS-IV/1</w:t>
        </w:r>
      </w:hyperlink>
      <w:r>
        <w:rPr>
          <w:rFonts w:eastAsia="Arial Unicode MS"/>
          <w:kern w:val="22"/>
          <w:u w:color="000000"/>
          <w:bdr w:val="nil"/>
        </w:rPr>
        <w:t>, la Conférence des Parties siégeant en tant que réunion des Parties au Protocole a invité les Parties à communiquer leurs points de vue sur la manière dont le rôle de soutien du Comité chargé du respect des obligations pourrait être amélioré.</w:t>
      </w:r>
    </w:p>
    <w:p w14:paraId="52ED06AE" w14:textId="5888DEE3" w:rsidR="009B0AE2" w:rsidRPr="0062628C" w:rsidRDefault="00811D0A" w:rsidP="009477BD">
      <w:pPr>
        <w:pStyle w:val="CBDNormalNumber"/>
        <w:rPr>
          <w:rFonts w:eastAsia="Arial Unicode MS"/>
          <w:kern w:val="22"/>
          <w:u w:color="000000"/>
          <w:bdr w:val="nil"/>
        </w:rPr>
      </w:pPr>
      <w:r>
        <w:rPr>
          <w:u w:color="000000"/>
          <w:bdr w:val="nil"/>
        </w:rPr>
        <w:t>Par la suite</w:t>
      </w:r>
      <w:r>
        <w:rPr>
          <w:rFonts w:eastAsia="Arial Unicode MS"/>
          <w:kern w:val="22"/>
          <w:u w:color="000000"/>
          <w:bdr w:val="nil"/>
        </w:rPr>
        <w:t>, dans la décision </w:t>
      </w:r>
      <w:hyperlink r:id="rId23" w:history="1">
        <w:r>
          <w:rPr>
            <w:rStyle w:val="Lienhypertexte"/>
            <w:rFonts w:eastAsia="Arial Unicode MS"/>
            <w:kern w:val="22"/>
            <w:bdr w:val="nil"/>
          </w:rPr>
          <w:t>BS-V/1</w:t>
        </w:r>
      </w:hyperlink>
      <w:r>
        <w:rPr>
          <w:rFonts w:eastAsia="Arial Unicode MS"/>
          <w:kern w:val="22"/>
          <w:u w:color="000000"/>
          <w:bdr w:val="nil"/>
        </w:rPr>
        <w:t xml:space="preserve">, la Conférence des Parties siégeant en tant que réunion des Parties au Protocole a décidé que, en réponse à toute communication relative au respect des obligations présentée par une Partie en ce qui la concerne, le Comité chargé du respect des obligations  devait envisager de prendre uniquement les mesures relatives à la fourniture de conseils ou d'assistance et de formuler des recommandations concernant l'octroi d'une aide financière et technique, le transfert de technologies, la formation et d’autres mesures de renforcement des capacités. </w:t>
      </w:r>
    </w:p>
    <w:p w14:paraId="77D4047B" w14:textId="2AA07B5B" w:rsidR="00BB2F21" w:rsidRPr="0062628C" w:rsidRDefault="00C3055B" w:rsidP="009477BD">
      <w:pPr>
        <w:pStyle w:val="CBDNormalNumber"/>
        <w:rPr>
          <w:rFonts w:eastAsia="Arial Unicode MS"/>
          <w:kern w:val="22"/>
          <w:u w:color="000000"/>
          <w:bdr w:val="nil"/>
        </w:rPr>
      </w:pPr>
      <w:r>
        <w:rPr>
          <w:rFonts w:eastAsia="Arial Unicode MS"/>
          <w:kern w:val="22"/>
          <w:u w:color="000000"/>
          <w:bdr w:val="nil"/>
        </w:rPr>
        <w:t xml:space="preserve">Dans la même décision, la Conférence des Parties siégeant en tant que réunion des Parties au Protocole a également décidé que le Comité chargé du respect des obligations pourrait également envisager de prendre les mêmes mesures dans le cas où une Partie ne présenterait pas son rapport national, ou lorsque des informations reçues par le biais d’un rapport national ou du secrétariat, sur la base des informations fournies par le Centre d’échange pour la prévention des risques </w:t>
      </w:r>
      <w:r>
        <w:rPr>
          <w:rFonts w:eastAsia="Arial Unicode MS"/>
          <w:kern w:val="22"/>
          <w:u w:color="000000"/>
          <w:bdr w:val="nil"/>
        </w:rPr>
        <w:lastRenderedPageBreak/>
        <w:t>biotechnologiques, indiqueraient que la Partie concernée rencontre des difficultés à s’acquitter de ses obligations au titre du Protocole</w:t>
      </w:r>
    </w:p>
    <w:p w14:paraId="11874E77" w14:textId="173249C4" w:rsidR="008542CA" w:rsidRPr="0062628C" w:rsidRDefault="006E067E" w:rsidP="009477BD">
      <w:pPr>
        <w:pStyle w:val="CBDNormalNumber"/>
        <w:rPr>
          <w:rFonts w:eastAsia="Arial Unicode MS"/>
          <w:kern w:val="22"/>
          <w:u w:color="000000"/>
          <w:bdr w:val="nil"/>
        </w:rPr>
      </w:pPr>
      <w:r>
        <w:rPr>
          <w:rFonts w:eastAsia="Arial Unicode MS"/>
          <w:kern w:val="22"/>
          <w:u w:color="000000"/>
          <w:bdr w:val="nil"/>
        </w:rPr>
        <w:t>À sa huitième réunion, en octobre 2011, le Comité a examiné son mandat révisé et est convenu d'une approche visant à orienter ses activités dans le cadre de la décision </w:t>
      </w:r>
      <w:hyperlink r:id="rId24" w:history="1">
        <w:r>
          <w:rPr>
            <w:rStyle w:val="Lienhypertexte"/>
            <w:rFonts w:eastAsia="Arial Unicode MS"/>
            <w:kern w:val="22"/>
            <w:bdr w:val="nil"/>
          </w:rPr>
          <w:t>BS-V/1</w:t>
        </w:r>
      </w:hyperlink>
      <w:r>
        <w:rPr>
          <w:rStyle w:val="Appelnotedebasdep"/>
          <w:rFonts w:eastAsia="Arial Unicode MS"/>
          <w:kern w:val="22"/>
          <w:u w:color="000000"/>
          <w:bdr w:val="nil"/>
        </w:rPr>
        <w:footnoteReference w:id="25"/>
      </w:r>
      <w:r>
        <w:rPr>
          <w:rFonts w:eastAsia="Arial Unicode MS"/>
          <w:kern w:val="22"/>
          <w:u w:color="000000"/>
          <w:bdr w:val="nil"/>
        </w:rPr>
        <w:t xml:space="preserve">, ainsi que sur une organisation des travaux pour la mise en œuvre de cette décision. L'organisation des travaux suit le cycle de rapport quadriennal, comme l'illustre la figure ci-dessous. </w:t>
      </w:r>
    </w:p>
    <w:p w14:paraId="221D669B" w14:textId="28FF8B63" w:rsidR="00F91089" w:rsidRPr="0012709E" w:rsidRDefault="002C32FB" w:rsidP="0012709E">
      <w:pPr>
        <w:pStyle w:val="Para1"/>
        <w:keepNext/>
        <w:numPr>
          <w:ilvl w:val="0"/>
          <w:numId w:val="0"/>
        </w:numPr>
        <w:ind w:left="547"/>
        <w:jc w:val="left"/>
        <w:rPr>
          <w:rFonts w:eastAsia="Arial Unicode MS"/>
          <w:b/>
          <w:bCs/>
          <w:kern w:val="22"/>
          <w:szCs w:val="22"/>
          <w:u w:color="000000"/>
          <w:bdr w:val="nil"/>
        </w:rPr>
      </w:pPr>
      <w:r>
        <w:rPr>
          <w:rFonts w:eastAsia="Arial Unicode MS"/>
          <w:b/>
          <w:bCs/>
          <w:kern w:val="22"/>
          <w:szCs w:val="22"/>
          <w:u w:color="000000"/>
          <w:bdr w:val="nil"/>
        </w:rPr>
        <w:t xml:space="preserve">Organisation cyclique des travaux du </w:t>
      </w:r>
      <w:r>
        <w:rPr>
          <w:rFonts w:eastAsia="Arial Unicode MS"/>
          <w:b/>
          <w:bCs/>
          <w:kern w:val="22"/>
          <w:szCs w:val="22"/>
          <w:u w:color="000000"/>
          <w:bdr w:val="nil"/>
        </w:rPr>
        <w:br/>
        <w:t xml:space="preserve">Comité chargé du respect des obligations au titre du Protocole de Cartagena </w:t>
      </w:r>
    </w:p>
    <w:p w14:paraId="64C6144F" w14:textId="48D512C7" w:rsidR="00F91089" w:rsidRPr="009477BD" w:rsidRDefault="0012709E" w:rsidP="00565579">
      <w:pPr>
        <w:pStyle w:val="Para1"/>
        <w:keepNext/>
        <w:numPr>
          <w:ilvl w:val="0"/>
          <w:numId w:val="0"/>
        </w:numPr>
        <w:ind w:left="547"/>
        <w:rPr>
          <w:rFonts w:eastAsia="Arial Unicode MS"/>
          <w:kern w:val="22"/>
          <w:szCs w:val="22"/>
          <w:u w:color="000000"/>
          <w:bdr w:val="nil"/>
        </w:rPr>
      </w:pPr>
      <w:r>
        <w:rPr>
          <w:noProof/>
          <w14:ligatures w14:val="standardContextual"/>
        </w:rPr>
        <w:drawing>
          <wp:inline distT="0" distB="0" distL="0" distR="0" wp14:anchorId="313E2BB8" wp14:editId="328AC1E8">
            <wp:extent cx="5809753" cy="4357315"/>
            <wp:effectExtent l="0" t="0" r="635" b="5715"/>
            <wp:docPr id="122219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9809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811841" cy="4358881"/>
                    </a:xfrm>
                    <a:prstGeom prst="rect">
                      <a:avLst/>
                    </a:prstGeom>
                  </pic:spPr>
                </pic:pic>
              </a:graphicData>
            </a:graphic>
          </wp:inline>
        </w:drawing>
      </w:r>
    </w:p>
    <w:p w14:paraId="6896C05E" w14:textId="77777777" w:rsidR="00F91089" w:rsidRPr="0062628C" w:rsidRDefault="00F91089" w:rsidP="00360DAF">
      <w:pPr>
        <w:pStyle w:val="Para1"/>
        <w:numPr>
          <w:ilvl w:val="0"/>
          <w:numId w:val="0"/>
        </w:numPr>
        <w:ind w:left="540"/>
        <w:rPr>
          <w:rFonts w:eastAsia="Arial Unicode MS"/>
          <w:kern w:val="22"/>
          <w:szCs w:val="22"/>
          <w:u w:color="000000"/>
          <w:bdr w:val="nil"/>
        </w:rPr>
      </w:pPr>
    </w:p>
    <w:p w14:paraId="75B40C22" w14:textId="540D7FCF" w:rsidR="00F91089" w:rsidRPr="009477BD" w:rsidRDefault="004274F4" w:rsidP="009477BD">
      <w:pPr>
        <w:pStyle w:val="Para1"/>
        <w:numPr>
          <w:ilvl w:val="0"/>
          <w:numId w:val="0"/>
        </w:numPr>
        <w:ind w:left="1134"/>
        <w:rPr>
          <w:rFonts w:eastAsia="Arial Unicode MS"/>
          <w:kern w:val="22"/>
          <w:sz w:val="18"/>
          <w:u w:color="000000"/>
          <w:bdr w:val="nil"/>
        </w:rPr>
      </w:pPr>
      <w:r>
        <w:rPr>
          <w:rFonts w:eastAsia="Arial Unicode MS"/>
          <w:i/>
          <w:iCs/>
          <w:kern w:val="22"/>
          <w:sz w:val="18"/>
          <w:u w:color="000000"/>
          <w:bdr w:val="nil"/>
        </w:rPr>
        <w:t>Abréviation</w:t>
      </w:r>
      <w:r>
        <w:rPr>
          <w:rFonts w:eastAsia="Arial Unicode MS"/>
          <w:kern w:val="22"/>
          <w:sz w:val="18"/>
          <w:u w:color="000000"/>
          <w:bdr w:val="nil"/>
        </w:rPr>
        <w:t> : CP CoP-MoP, Conférence des Parties siégeant en tant que réunion des Parties au Protocole de Cartagena,</w:t>
      </w:r>
    </w:p>
    <w:p w14:paraId="046A4E67" w14:textId="2852C842" w:rsidR="0056657D" w:rsidRPr="0062628C" w:rsidRDefault="003E1417" w:rsidP="009477BD">
      <w:pPr>
        <w:pStyle w:val="CBDNormalNumber"/>
        <w:rPr>
          <w:rFonts w:eastAsia="Arial Unicode MS"/>
          <w:kern w:val="22"/>
          <w:u w:color="000000"/>
          <w:bdr w:val="nil"/>
        </w:rPr>
      </w:pPr>
      <w:r>
        <w:rPr>
          <w:rFonts w:eastAsia="Arial Unicode MS"/>
          <w:kern w:val="22"/>
          <w:u w:color="000000"/>
          <w:bdr w:val="nil"/>
        </w:rPr>
        <w:t>L'organisation cyclique des travaux illustrée ci-dessus est en vigueur depuis 2012 et a considérablement facilité la planification et la préparation des réunions du Comité.</w:t>
      </w:r>
    </w:p>
    <w:p w14:paraId="306AEB69" w14:textId="21316646" w:rsidR="00F110DB" w:rsidRPr="0062628C" w:rsidRDefault="00F110DB" w:rsidP="009477BD">
      <w:pPr>
        <w:pStyle w:val="CBDNormalNumber"/>
        <w:rPr>
          <w:u w:color="000000"/>
          <w:bdr w:val="nil"/>
        </w:rPr>
      </w:pPr>
      <w:r>
        <w:rPr>
          <w:u w:color="000000"/>
          <w:bdr w:val="nil"/>
        </w:rPr>
        <w:t>Suite à l'adoption de son mandat révisé dans la décision </w:t>
      </w:r>
      <w:hyperlink r:id="rId27" w:history="1">
        <w:r>
          <w:rPr>
            <w:rStyle w:val="Lienhypertexte"/>
            <w:rFonts w:eastAsia="Arial Unicode MS"/>
            <w:kern w:val="22"/>
            <w:bdr w:val="nil"/>
          </w:rPr>
          <w:t>BS-V/1</w:t>
        </w:r>
      </w:hyperlink>
      <w:r>
        <w:rPr>
          <w:u w:color="000000"/>
          <w:bdr w:val="nil"/>
        </w:rPr>
        <w:t xml:space="preserve">, le Comité a traité progressivement diverses questions de respect des obligations qui ont émergé de ses délibérations durant les différentes phases de l'organisation cyclique de ses travaux. Dans tous les cas, ces travaux s'appuient sur les informations officielles fournies par les Parties ou, en l'absence de telles informations, sur la nécessité de partager des informations spécifiques. Le Comité commence souvent par demander au secrétariat d'assurer le suivi auprès des Parties sur diverses questions. Ce suivi prend généralement la forme d'e-mails envoyés par le secrétariat aux Parties afin de les </w:t>
      </w:r>
      <w:r>
        <w:rPr>
          <w:u w:color="000000"/>
          <w:bdr w:val="nil"/>
        </w:rPr>
        <w:lastRenderedPageBreak/>
        <w:t>encourager à prendre des mesures sur une question spécifique. Le Comité pourrait, dans une prochaine étape, prier la Secrétaire exécutive d'écrire aux Parties concernées.</w:t>
      </w:r>
    </w:p>
    <w:p w14:paraId="0BE4E7DF" w14:textId="02677692" w:rsidR="0089098D" w:rsidRPr="0062628C" w:rsidRDefault="0089098D" w:rsidP="009477BD">
      <w:pPr>
        <w:pStyle w:val="CBDNormalNumber"/>
        <w:rPr>
          <w:rFonts w:eastAsia="Arial Unicode MS"/>
          <w:kern w:val="22"/>
          <w:u w:color="000000"/>
          <w:bdr w:val="nil"/>
        </w:rPr>
      </w:pPr>
      <w:r>
        <w:rPr>
          <w:rFonts w:eastAsia="Arial Unicode MS"/>
          <w:kern w:val="22"/>
          <w:u w:color="000000"/>
          <w:bdr w:val="nil"/>
        </w:rPr>
        <w:t>Si ces démarches n'aboutissent pas aux mesures nécessaires que pourraient prendre les Parties, le Comité demande souvent à son(sa) Président(e) d'écrire aux Parties concernées pour les exhorter à agir. En cas d'échec de cette démarche, le Comité a, dans certains cas, demandé à son(sa) Président(e) d'écrire au ministre chargé du correspondant national pour le Protocole, tandis que dans d'autres cas, il a prié son(sa) Président(e) d'écrire au Ministre des affaires étrangères de la Partie concernée.</w:t>
      </w:r>
    </w:p>
    <w:p w14:paraId="53BF3086" w14:textId="26A4112B" w:rsidR="006D7B5A" w:rsidRPr="0062628C" w:rsidRDefault="00121B43" w:rsidP="009477BD">
      <w:pPr>
        <w:pStyle w:val="CBDNormalNumber"/>
        <w:rPr>
          <w:rFonts w:eastAsia="Arial Unicode MS"/>
          <w:kern w:val="22"/>
          <w:u w:color="000000"/>
          <w:bdr w:val="nil"/>
        </w:rPr>
      </w:pPr>
      <w:r>
        <w:rPr>
          <w:rFonts w:eastAsia="Arial Unicode MS"/>
          <w:kern w:val="22"/>
          <w:u w:color="000000"/>
          <w:bdr w:val="nil"/>
        </w:rPr>
        <w:t>Lorsque des Parties ont manqué à leur obligation de soumettre un rapport national au cours de plusieurs cycles de présentation des rapports, le Comité a recommandé à la Conférence des Parties siégeant en tant que réunion des Parties au Protocole d'adresser un avertissement aux Parties concernées. Lorsqu'il a formulé une telle recommandation, le Comité a également prié son(sa) Président(e) d'en informer les Parties concernées et de les exhorter à présenter un rapport national dans les meilleurs délais. Les trois avertissements ainsi émis à ce jour concernaient 13 Parties au total. Toutes ces Parties, à l'exception d'une seule, ont par la suite présenté un rapport national.</w:t>
      </w:r>
    </w:p>
    <w:p w14:paraId="494C6DC8" w14:textId="2B8B59F9" w:rsidR="00ED5A4C" w:rsidRPr="0062628C" w:rsidRDefault="00816E0F" w:rsidP="009477BD">
      <w:pPr>
        <w:pStyle w:val="CBDNormalNumber"/>
        <w:rPr>
          <w:rFonts w:eastAsia="Arial Unicode MS"/>
          <w:kern w:val="22"/>
          <w:u w:color="000000"/>
          <w:bdr w:val="nil"/>
        </w:rPr>
      </w:pPr>
      <w:r>
        <w:rPr>
          <w:rFonts w:eastAsia="Arial Unicode MS"/>
          <w:kern w:val="22"/>
          <w:u w:color="000000"/>
          <w:bdr w:val="nil"/>
        </w:rPr>
        <w:t xml:space="preserve">Le Comité a également avancé progressivement dans son examen du respect de l'obligation de mettre en place des mesures visant à la mise en œuvre du Protocole. Le respect de l'obligation de prendre des mesures pour la mise en œuvre le Protocole est apparu comme un enjeu majeur lors du troisième exercice d’évaluation et d’examen du Protocole, en 2016, et le Comité a examiné cette question à sa quatorzième réunion, en mai 2017. </w:t>
      </w:r>
    </w:p>
    <w:p w14:paraId="16385655" w14:textId="62F6C2F5" w:rsidR="000E1D54" w:rsidRPr="0062628C" w:rsidRDefault="000E1D54" w:rsidP="009477BD">
      <w:pPr>
        <w:pStyle w:val="CBDNormalNumber"/>
        <w:rPr>
          <w:rFonts w:eastAsia="Arial Unicode MS"/>
          <w:kern w:val="22"/>
          <w:u w:color="000000"/>
          <w:bdr w:val="nil"/>
        </w:rPr>
      </w:pPr>
      <w:r>
        <w:rPr>
          <w:rFonts w:eastAsia="Arial Unicode MS"/>
          <w:kern w:val="22"/>
          <w:u w:color="000000"/>
          <w:bdr w:val="nil"/>
        </w:rPr>
        <w:t>Le Comité a prié le secrétariat de solliciter des informations auprès des Parties qui avaient indiqué, dans leur troisième rapport national, qu'elles ne disposaient que de cadres nationaux provisoires, partiels ou à l'état de projet en matière de prévention des risques biotechnologiques, ou qu'elles n'avaient pris aucune mesure juridique, administrative ou autre pour la mise en œuvre du Protocole, et de recueillir des informations sur les difficultés auxquelles ces Parties étaient confrontées à cet égard.</w:t>
      </w:r>
    </w:p>
    <w:p w14:paraId="0A54AF1C" w14:textId="3C1A0662" w:rsidR="000E1D54" w:rsidRPr="0062628C" w:rsidRDefault="000E1D54" w:rsidP="009477BD">
      <w:pPr>
        <w:pStyle w:val="CBDNormalNumber"/>
        <w:rPr>
          <w:rFonts w:eastAsia="Arial Unicode MS"/>
          <w:kern w:val="22"/>
          <w:u w:color="000000"/>
          <w:bdr w:val="nil"/>
        </w:rPr>
      </w:pPr>
      <w:r>
        <w:rPr>
          <w:rFonts w:eastAsia="Arial Unicode MS"/>
          <w:kern w:val="22"/>
          <w:u w:color="000000"/>
          <w:bdr w:val="nil"/>
        </w:rPr>
        <w:t>À sa quinzième réunion, en mai 2018, à la lumière des informations ainsi recueillies, le Comité a examiné les mesures supplémentaires qui pourraient être prises pour aider les Parties concernées et a décidé de prier celles-ci d'élaborer un plan d'action en matière de respect des obligations, conformément au paragraphe 1 c) de la section VI, des procédures et mécanismes de respect des obligations.</w:t>
      </w:r>
    </w:p>
    <w:p w14:paraId="05F2D20F" w14:textId="7E99B28D" w:rsidR="008009A3" w:rsidRPr="0062628C" w:rsidRDefault="000E1D54" w:rsidP="009477BD">
      <w:pPr>
        <w:pStyle w:val="CBDNormalNumber"/>
        <w:rPr>
          <w:rFonts w:eastAsia="Arial Unicode MS"/>
          <w:kern w:val="22"/>
          <w:u w:color="000000"/>
          <w:bdr w:val="nil"/>
        </w:rPr>
      </w:pPr>
      <w:r>
        <w:rPr>
          <w:rFonts w:eastAsia="Arial Unicode MS"/>
          <w:kern w:val="22"/>
          <w:u w:color="000000"/>
          <w:bdr w:val="nil"/>
        </w:rPr>
        <w:t xml:space="preserve">Suite à la présentation des quatrièmes rapports nationaux, prévue en 2019, d'autres Parties ont été identifiées comme ayant déclaré n'avoir pris aucune mesure pour mettre en œuvre le Protocole ou n'avoir pris que des mesures provisoires ou à l'état de projet. Le Comité a prié ces Parties d'élaborer un plan d’action pour le respect des obligations ou de fournir des informations, selon qu'il convient. </w:t>
      </w:r>
    </w:p>
    <w:p w14:paraId="41EBE699" w14:textId="018EB466" w:rsidR="004B4F77" w:rsidRPr="0062628C" w:rsidRDefault="00553A94" w:rsidP="009477BD">
      <w:pPr>
        <w:pStyle w:val="CBDNormalNumber"/>
        <w:rPr>
          <w:rFonts w:eastAsia="Arial Unicode MS"/>
          <w:kern w:val="22"/>
          <w:u w:color="000000"/>
          <w:bdr w:val="nil"/>
        </w:rPr>
      </w:pPr>
      <w:r>
        <w:rPr>
          <w:rFonts w:eastAsia="Arial Unicode MS"/>
          <w:kern w:val="22"/>
          <w:u w:color="000000"/>
          <w:bdr w:val="nil"/>
        </w:rPr>
        <w:t>À ce jour, 34 Parties ont ainsi été priées de préparer un plan d’action pour le respect des obligations, et 19 l'ont fait. L'une des 19 Parties a mené à bien les activités prévues dans son plan. Les 18 autres plans font actuellement l'objet d'un examen approfondi par le Comité. Parmi les 15 Parties restantes, sept ne devraient plus être tenues d'élaborer un plan d’action pour le respect des obligations, car des informations ultérieures ont mis en évidence les progrès réalisés grâce à l'adoption de mesures. Les huit Parties restantes n'ont pas encore présenté de plan d’action pour le respect des obligations.</w:t>
      </w:r>
    </w:p>
    <w:p w14:paraId="7EF8F65F" w14:textId="7A5067F4" w:rsidR="00A60591" w:rsidRPr="0062628C" w:rsidRDefault="00102A35" w:rsidP="009477BD">
      <w:pPr>
        <w:pStyle w:val="CBDNormalNumber"/>
        <w:rPr>
          <w:rFonts w:eastAsia="Arial Unicode MS"/>
          <w:kern w:val="22"/>
          <w:u w:color="000000"/>
          <w:bdr w:val="nil"/>
        </w:rPr>
      </w:pPr>
      <w:r>
        <w:rPr>
          <w:rFonts w:eastAsia="Arial Unicode MS"/>
          <w:kern w:val="22"/>
          <w:u w:color="000000"/>
          <w:bdr w:val="nil"/>
        </w:rPr>
        <w:t>En prenant acte des plans d’action pour le respect des obligations présentés par les Parties, le(la) Président(e) a informé celles-ci, au nom du Comité, qu'il était possible d'obtenir une aide technique pour faire avancer leurs plans d'action auprès de la Plateforme d'assistance en matière de droit et d'environnement au titre du Programme de Montevideo pour le droit de l'environnement géré par le Programme des Nations Unies pour l'environnement. Certaines Parties ont sollicité auprès de la Plateforme un financement qui leur a été octroyé pour les aider à mettre en œuvre leurs plans.</w:t>
      </w:r>
    </w:p>
    <w:p w14:paraId="751B8D34" w14:textId="010BD4A4" w:rsidR="00CF278D" w:rsidRPr="0062628C" w:rsidRDefault="00CF278D" w:rsidP="009477BD">
      <w:pPr>
        <w:pStyle w:val="CBDNormalNumber"/>
        <w:rPr>
          <w:rFonts w:eastAsia="Arial Unicode MS"/>
          <w:kern w:val="22"/>
          <w:u w:color="000000"/>
          <w:bdr w:val="nil"/>
        </w:rPr>
      </w:pPr>
      <w:r>
        <w:rPr>
          <w:rFonts w:eastAsia="Arial Unicode MS"/>
          <w:kern w:val="22"/>
          <w:u w:color="000000"/>
          <w:bdr w:val="nil"/>
        </w:rPr>
        <w:lastRenderedPageBreak/>
        <w:t xml:space="preserve">Le Comité a également entretenu des échanges informels par voie électronique avec certaines des Parties ayant élaboré des plans d’action pour le respect des obligations, dans le cadre du suivi de la mise en œuvre des activités prévues dans ces plans. Le Comité a estimé que ces échanges informels étaient utiles tant pour lui-même que pour les Parties concernées. Ces échanges ont permis au Comité de mieux cerner les progrès accomplis par les Parties dans l'élaboration de mesures visant à mettre en œuvre le Protocole, ainsi que les actions qu'il leur reste à mener et les difficultés auxquelles elles se heurtent à cet égard. Par ailleurs, ces échanges ont permis aux Parties concernées de discuter directement avec le Comité de leurs projets et des défis auxquels elles sont confrontées, et de solliciter des conseils supplémentaires auprès du Comité. De plus, ces échanges ont permis d'établir un contact direct entre les membres du Comité et les responsables nationaux concernés, ce qui pourrait faciliter le suivi des questions relatives au respect des obligations. </w:t>
      </w:r>
    </w:p>
    <w:p w14:paraId="2CEDFB6D" w14:textId="1AF9A3C3" w:rsidR="00C27FE3" w:rsidRPr="0062628C" w:rsidRDefault="00DF07FE" w:rsidP="009477BD">
      <w:pPr>
        <w:pStyle w:val="Para1"/>
        <w:keepNext/>
        <w:numPr>
          <w:ilvl w:val="0"/>
          <w:numId w:val="0"/>
        </w:numPr>
        <w:rPr>
          <w:rFonts w:eastAsia="Arial Unicode MS"/>
          <w:i/>
          <w:iCs/>
          <w:kern w:val="22"/>
          <w:szCs w:val="22"/>
          <w:u w:color="000000"/>
          <w:bdr w:val="nil"/>
        </w:rPr>
      </w:pPr>
      <w:r>
        <w:rPr>
          <w:rFonts w:eastAsia="Arial Unicode MS"/>
          <w:i/>
          <w:iCs/>
          <w:kern w:val="22"/>
          <w:szCs w:val="22"/>
          <w:u w:color="000000"/>
          <w:bdr w:val="nil"/>
        </w:rPr>
        <w:t>Observations supplémentaires</w:t>
      </w:r>
    </w:p>
    <w:p w14:paraId="75192CDA" w14:textId="5E1B7FE1" w:rsidR="00B82545" w:rsidRPr="0062628C" w:rsidRDefault="00B82545" w:rsidP="009477BD">
      <w:pPr>
        <w:pStyle w:val="CBDNormalNumber"/>
        <w:rPr>
          <w:rFonts w:eastAsia="Arial Unicode MS"/>
          <w:kern w:val="22"/>
          <w:u w:color="000000"/>
          <w:bdr w:val="nil"/>
        </w:rPr>
      </w:pPr>
      <w:r>
        <w:rPr>
          <w:rFonts w:eastAsia="Arial Unicode MS"/>
          <w:kern w:val="22"/>
          <w:u w:color="000000"/>
          <w:bdr w:val="nil"/>
        </w:rPr>
        <w:t xml:space="preserve">Comme indiqué ci-dessus, le Comité chargé du respect des obligations au titre du Protocole de Cartagena se réunit au moins une fois par an. Ce rythme permet au Comité de procéder à un examen et à un suivi réguliers des questions dont il est saisi et l'aide à maintenir la dynamique de ses travaux. Les mesures demandées par le Comité lors d'une réunion sont réexaminées à sa réunion suivante, l'année suivante, afin qu'il puisse décider des suites à donner, le cas échéant. Les recommandations formulées par le Comité à l'intention de la Conférence des Parties siégeant en tant que réunion des Parties au Protocole s'appuient également sur les délibérations issues de ses deux réunions intersessions. Enfin, les réunions annuelles du Comité renforcent le sentiment d'appartenance à une cause commune parmi ses membres. </w:t>
      </w:r>
    </w:p>
    <w:p w14:paraId="4359EB12" w14:textId="13A085DF" w:rsidR="002B05D9" w:rsidRPr="0062628C" w:rsidRDefault="00804B13" w:rsidP="009477BD">
      <w:pPr>
        <w:pStyle w:val="CBDNormalNumber"/>
        <w:rPr>
          <w:rFonts w:eastAsia="Arial Unicode MS"/>
          <w:kern w:val="22"/>
          <w:u w:color="000000"/>
          <w:bdr w:val="nil"/>
        </w:rPr>
      </w:pPr>
      <w:r>
        <w:rPr>
          <w:rFonts w:eastAsia="Arial Unicode MS"/>
          <w:kern w:val="22"/>
          <w:u w:color="000000"/>
          <w:bdr w:val="nil"/>
        </w:rPr>
        <w:t xml:space="preserve">Les travaux de fond du Comité sont assurés par deux membres et demi du personnel du secrétariat : un assistant principal à la gestion des programmes (G-7) et un juriste (P-3) qui se consacrent à plein temps aux questions juridiques relevant du Protocole de Cartagena. Ces deux membres du personnel relèvent d'un juriste de grade P-4, dont les fonctions se répartissent à parts égales entre les Protocoles de Cartagena et de Nagoya. </w:t>
      </w:r>
    </w:p>
    <w:p w14:paraId="3E5CDF31" w14:textId="7C3CB7FF" w:rsidR="00AB60EF" w:rsidRPr="0062628C" w:rsidRDefault="0057280F" w:rsidP="00F00522">
      <w:pPr>
        <w:pStyle w:val="Para1"/>
        <w:numPr>
          <w:ilvl w:val="0"/>
          <w:numId w:val="0"/>
        </w:numPr>
        <w:tabs>
          <w:tab w:val="left" w:pos="1080"/>
        </w:tabs>
        <w:ind w:left="426"/>
        <w:jc w:val="center"/>
        <w:rPr>
          <w:bCs/>
          <w:caps/>
          <w:kern w:val="22"/>
        </w:rPr>
      </w:pPr>
      <w:r>
        <w:rPr>
          <w:bCs/>
          <w:caps/>
          <w:kern w:val="22"/>
        </w:rPr>
        <w:t>__________</w:t>
      </w:r>
    </w:p>
    <w:sectPr w:rsidR="00AB60EF" w:rsidRPr="0062628C" w:rsidSect="00687928">
      <w:headerReference w:type="even" r:id="rId28"/>
      <w:headerReference w:type="default" r:id="rId29"/>
      <w:footerReference w:type="even" r:id="rId30"/>
      <w:footerReference w:type="default" r:id="rId31"/>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2A7A6" w14:textId="77777777" w:rsidR="00473FAA" w:rsidRPr="00E561C8" w:rsidRDefault="00473FAA" w:rsidP="00A96B21">
      <w:r w:rsidRPr="00E561C8">
        <w:separator/>
      </w:r>
    </w:p>
  </w:endnote>
  <w:endnote w:type="continuationSeparator" w:id="0">
    <w:p w14:paraId="5B37A36F" w14:textId="77777777" w:rsidR="00473FAA" w:rsidRPr="00E561C8" w:rsidRDefault="00473FAA" w:rsidP="00A96B21">
      <w:r w:rsidRPr="00E561C8">
        <w:continuationSeparator/>
      </w:r>
    </w:p>
  </w:endnote>
  <w:endnote w:type="continuationNotice" w:id="1">
    <w:p w14:paraId="2750803D" w14:textId="77777777" w:rsidR="00473FAA" w:rsidRPr="00E561C8" w:rsidRDefault="00473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Pieddepage"/>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Pieddepage"/>
              <w:jc w:val="righ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8DCF" w14:textId="77777777" w:rsidR="00473FAA" w:rsidRPr="00E561C8" w:rsidRDefault="00473FAA" w:rsidP="00A96B21">
      <w:r w:rsidRPr="00E561C8">
        <w:separator/>
      </w:r>
    </w:p>
  </w:footnote>
  <w:footnote w:type="continuationSeparator" w:id="0">
    <w:p w14:paraId="5AA1BFAD" w14:textId="77777777" w:rsidR="00473FAA" w:rsidRPr="00E561C8" w:rsidRDefault="00473FAA" w:rsidP="00A96B21">
      <w:r w:rsidRPr="00E561C8">
        <w:continuationSeparator/>
      </w:r>
    </w:p>
  </w:footnote>
  <w:footnote w:type="continuationNotice" w:id="1">
    <w:p w14:paraId="50F03096" w14:textId="77777777" w:rsidR="00473FAA" w:rsidRPr="00E561C8" w:rsidRDefault="00473FAA"/>
  </w:footnote>
  <w:footnote w:id="2">
    <w:p w14:paraId="2ED9352C" w14:textId="255E9C2F" w:rsidR="00ED5F58" w:rsidRPr="009477BD" w:rsidRDefault="00ED5F58">
      <w:pPr>
        <w:pStyle w:val="Notedebasdepage"/>
        <w:rPr>
          <w:lang w:val="en-US"/>
        </w:rPr>
      </w:pPr>
      <w:r>
        <w:rPr>
          <w:rStyle w:val="Appelnotedebasdep"/>
        </w:rPr>
        <w:t>*</w:t>
      </w:r>
      <w:r>
        <w:t xml:space="preserve"> </w:t>
      </w:r>
      <w:hyperlink r:id="rId1" w:history="1">
        <w:r>
          <w:rPr>
            <w:rStyle w:val="Lienhypertexte"/>
          </w:rPr>
          <w:t>CBD/NP/CC/5/1</w:t>
        </w:r>
      </w:hyperlink>
      <w:r>
        <w:t>.</w:t>
      </w:r>
    </w:p>
  </w:footnote>
  <w:footnote w:id="3">
    <w:p w14:paraId="55E2BDF9" w14:textId="752EAC5D" w:rsidR="000F0DBE" w:rsidRPr="00866063" w:rsidRDefault="000F0DBE" w:rsidP="000F0DBE">
      <w:pPr>
        <w:pStyle w:val="Notedebasdepage"/>
      </w:pPr>
      <w:hyperlink r:id="rId2" w:history="1">
        <w:r>
          <w:rPr>
            <w:rStyle w:val="Lienhypertexte"/>
            <w:vertAlign w:val="superscript"/>
          </w:rPr>
          <w:t>**</w:t>
        </w:r>
        <w:r>
          <w:rPr>
            <w:rStyle w:val="Lienhypertexte"/>
          </w:rPr>
          <w:t xml:space="preserve"> CBD/SBI/7/1</w:t>
        </w:r>
      </w:hyperlink>
      <w:r>
        <w:t>.</w:t>
      </w:r>
    </w:p>
  </w:footnote>
  <w:footnote w:id="4">
    <w:p w14:paraId="680898B5" w14:textId="3C646194" w:rsidR="005F3D03" w:rsidRPr="005F3D03" w:rsidRDefault="005F3D03">
      <w:pPr>
        <w:pStyle w:val="Notedebasdepage"/>
      </w:pPr>
      <w:r>
        <w:rPr>
          <w:rStyle w:val="Appelnotedebasdep"/>
        </w:rPr>
        <w:footnoteRef/>
      </w:r>
      <w:r>
        <w:t xml:space="preserve"> </w:t>
      </w:r>
      <w:hyperlink r:id="rId3" w:history="1">
        <w:r>
          <w:rPr>
            <w:rStyle w:val="Lienhypertexte"/>
          </w:rPr>
          <w:t>UNEP/CBD/ICNP/1/INF/1</w:t>
        </w:r>
      </w:hyperlink>
      <w:r>
        <w:t>.</w:t>
      </w:r>
    </w:p>
  </w:footnote>
  <w:footnote w:id="5">
    <w:p w14:paraId="595D17E1" w14:textId="17A7E19C" w:rsidR="009E5F47" w:rsidRPr="00E561C8" w:rsidRDefault="009E5F47">
      <w:pPr>
        <w:pStyle w:val="Notedebasdepage"/>
      </w:pPr>
      <w:r>
        <w:rPr>
          <w:rStyle w:val="Appelnotedebasdep"/>
        </w:rPr>
        <w:footnoteRef/>
      </w:r>
      <w:r>
        <w:t xml:space="preserve"> Inde, Nigeria, Pérou, République dominicaine, Royaume-Uni de Grande-Bretagne et d'Irlande du Nord et Union européenne et ses États membres. </w:t>
      </w:r>
    </w:p>
  </w:footnote>
  <w:footnote w:id="6">
    <w:p w14:paraId="1D08B886" w14:textId="09AB34C4" w:rsidR="003432DD" w:rsidRPr="009477BD" w:rsidRDefault="003432DD">
      <w:pPr>
        <w:pStyle w:val="Notedebasdepage"/>
      </w:pPr>
      <w:r>
        <w:rPr>
          <w:rStyle w:val="Appelnotedebasdep"/>
        </w:rPr>
        <w:footnoteRef/>
      </w:r>
      <w:r>
        <w:t xml:space="preserve"> Arménie.</w:t>
      </w:r>
    </w:p>
  </w:footnote>
  <w:footnote w:id="7">
    <w:p w14:paraId="5500AEF5" w14:textId="1F54FA8A" w:rsidR="00297F5A" w:rsidRPr="009477BD" w:rsidRDefault="00297F5A" w:rsidP="00D23C2B">
      <w:pPr>
        <w:pStyle w:val="Notedebasdepage"/>
      </w:pPr>
      <w:r>
        <w:rPr>
          <w:rStyle w:val="Appelnotedebasdep"/>
        </w:rPr>
        <w:footnoteRef/>
      </w:r>
      <w:r>
        <w:t xml:space="preserve"> Asociación Indígena Jieyuu Yala’yalaa A’inruu, Consultative Group on International Agricultural Research, Center for International Forestry Research and World Agroforestry, Chambre de commerce internationale, INGRECOS, International Federation of Pharmaceutical Manufacturers and Associations, </w:t>
      </w:r>
      <w:r>
        <w:rPr>
          <w:rFonts w:eastAsia="Arial Unicode MS"/>
          <w:color w:val="000000"/>
          <w:kern w:val="22"/>
          <w:szCs w:val="22"/>
          <w:u w:color="000000"/>
          <w:bdr w:val="nil"/>
        </w:rPr>
        <w:t>Leibniz Institute DSMZ and Cell Cultures</w:t>
      </w:r>
      <w:r>
        <w:t xml:space="preserve"> et Wellcome Sanger Institute.</w:t>
      </w:r>
    </w:p>
  </w:footnote>
  <w:footnote w:id="8">
    <w:p w14:paraId="4BCC3FD8" w14:textId="708B5CF8" w:rsidR="009C3DCC" w:rsidRPr="009477BD" w:rsidRDefault="009C3DCC" w:rsidP="009C3DCC">
      <w:pPr>
        <w:pStyle w:val="Notedebasdepage"/>
      </w:pPr>
      <w:r>
        <w:rPr>
          <w:rStyle w:val="Appelnotedebasdep"/>
        </w:rPr>
        <w:footnoteRef/>
      </w:r>
      <w:r>
        <w:t xml:space="preserve"> </w:t>
      </w:r>
      <w:r>
        <w:rPr>
          <w:rFonts w:eastAsia="Arial Unicode MS"/>
          <w:color w:val="000000"/>
          <w:kern w:val="22"/>
          <w:szCs w:val="22"/>
          <w:u w:color="000000"/>
          <w:bdr w:val="nil"/>
        </w:rPr>
        <w:t xml:space="preserve">Union européenne </w:t>
      </w:r>
      <w:r>
        <w:t>et ses États membres</w:t>
      </w:r>
      <w:r>
        <w:rPr>
          <w:rFonts w:eastAsia="Arial Unicode MS"/>
          <w:color w:val="000000"/>
          <w:kern w:val="22"/>
          <w:szCs w:val="22"/>
          <w:u w:color="000000"/>
          <w:bdr w:val="nil"/>
        </w:rPr>
        <w:t xml:space="preserve">, Nigeria, </w:t>
      </w:r>
      <w:r>
        <w:t>Asociación Indígena Jieyuu Yala’yalaa A’inruu, Center for International Forestry Research and World Agroforestry</w:t>
      </w:r>
      <w:r>
        <w:rPr>
          <w:rFonts w:eastAsia="Arial Unicode MS"/>
          <w:color w:val="000000"/>
          <w:kern w:val="22"/>
          <w:szCs w:val="22"/>
          <w:u w:color="000000"/>
          <w:bdr w:val="nil"/>
        </w:rPr>
        <w:t xml:space="preserve">, INGRECOS, Chambre de commerce internationale, </w:t>
      </w:r>
      <w:r>
        <w:t>International Federation of Pharmaceutical Manufacturers and Associations</w:t>
      </w:r>
      <w:r>
        <w:rPr>
          <w:rFonts w:eastAsia="Arial Unicode MS"/>
          <w:color w:val="000000"/>
          <w:kern w:val="22"/>
          <w:szCs w:val="22"/>
          <w:u w:color="000000"/>
          <w:bdr w:val="nil"/>
        </w:rPr>
        <w:t xml:space="preserve"> et Leibniz Institute DSMZ</w:t>
      </w:r>
      <w:r>
        <w:t>.</w:t>
      </w:r>
    </w:p>
  </w:footnote>
  <w:footnote w:id="9">
    <w:p w14:paraId="31E43AC0" w14:textId="2D7A8597" w:rsidR="0039580B" w:rsidRPr="009477BD" w:rsidRDefault="0039580B" w:rsidP="0039580B">
      <w:pPr>
        <w:pStyle w:val="Notedebasdepage"/>
        <w:rPr>
          <w:lang w:val="en-CA"/>
        </w:rPr>
      </w:pPr>
      <w:r>
        <w:rPr>
          <w:rStyle w:val="Appelnotedebasdep"/>
        </w:rPr>
        <w:footnoteRef/>
      </w:r>
      <w:r>
        <w:t xml:space="preserve"> Inde, Pérou et République dominicaine.</w:t>
      </w:r>
    </w:p>
  </w:footnote>
  <w:footnote w:id="10">
    <w:p w14:paraId="1BAEB09E" w14:textId="77777777" w:rsidR="0039580B" w:rsidRPr="009477BD" w:rsidRDefault="0039580B" w:rsidP="0039580B">
      <w:pPr>
        <w:pStyle w:val="Notedebasdepage"/>
        <w:rPr>
          <w:lang w:val="en-CA"/>
        </w:rPr>
      </w:pPr>
      <w:r>
        <w:rPr>
          <w:rStyle w:val="Appelnotedebasdep"/>
        </w:rPr>
        <w:footnoteRef/>
      </w:r>
      <w:r>
        <w:t xml:space="preserve"> Inde.</w:t>
      </w:r>
    </w:p>
  </w:footnote>
  <w:footnote w:id="11">
    <w:p w14:paraId="17BA6136" w14:textId="1B686CEE" w:rsidR="0039580B" w:rsidRPr="009477BD" w:rsidRDefault="0039580B" w:rsidP="0039580B">
      <w:pPr>
        <w:pStyle w:val="Notedebasdepage"/>
      </w:pPr>
      <w:r>
        <w:rPr>
          <w:rStyle w:val="Appelnotedebasdep"/>
        </w:rPr>
        <w:footnoteRef/>
      </w:r>
      <w:r>
        <w:t xml:space="preserve"> Consultative Group on International Agricultural Research</w:t>
      </w:r>
      <w:r>
        <w:rPr>
          <w:rFonts w:eastAsia="Arial Unicode MS"/>
          <w:color w:val="000000"/>
          <w:kern w:val="22"/>
          <w:szCs w:val="22"/>
          <w:u w:color="000000"/>
          <w:bdr w:val="nil"/>
        </w:rPr>
        <w:t xml:space="preserve"> et Leibniz Institute DSMZ.</w:t>
      </w:r>
    </w:p>
  </w:footnote>
  <w:footnote w:id="12">
    <w:p w14:paraId="32DE6F83" w14:textId="5D45FB75" w:rsidR="00C06351" w:rsidRPr="009477BD" w:rsidRDefault="00C06351">
      <w:pPr>
        <w:pStyle w:val="Notedebasdepage"/>
      </w:pPr>
      <w:r>
        <w:rPr>
          <w:rStyle w:val="Appelnotedebasdep"/>
        </w:rPr>
        <w:footnoteRef/>
      </w:r>
      <w:r>
        <w:t xml:space="preserve"> Royaume-Uni et Wellcome Sanger Institute.</w:t>
      </w:r>
    </w:p>
  </w:footnote>
  <w:footnote w:id="13">
    <w:p w14:paraId="4B2EEDFE" w14:textId="60CCA13A" w:rsidR="00B94309" w:rsidRPr="009477BD" w:rsidRDefault="00B94309">
      <w:pPr>
        <w:pStyle w:val="Notedebasdepage"/>
        <w:rPr>
          <w:lang w:val="en-US"/>
        </w:rPr>
      </w:pPr>
      <w:r>
        <w:rPr>
          <w:rStyle w:val="Appelnotedebasdep"/>
        </w:rPr>
        <w:footnoteRef/>
      </w:r>
      <w:r>
        <w:t xml:space="preserve"> </w:t>
      </w:r>
      <w:r>
        <w:rPr>
          <w:rFonts w:eastAsia="Arial Unicode MS"/>
          <w:color w:val="000000"/>
          <w:kern w:val="22"/>
          <w:szCs w:val="22"/>
          <w:u w:color="000000"/>
          <w:bdr w:val="nil"/>
        </w:rPr>
        <w:t>CBD/SBI/7/7/Add.1.</w:t>
      </w:r>
    </w:p>
  </w:footnote>
  <w:footnote w:id="14">
    <w:p w14:paraId="2C18CF07" w14:textId="58B853C9" w:rsidR="0099216F" w:rsidRPr="009477BD" w:rsidRDefault="0099216F" w:rsidP="0099216F">
      <w:pPr>
        <w:pStyle w:val="Notedebasdepage"/>
      </w:pPr>
      <w:r>
        <w:rPr>
          <w:rStyle w:val="Appelnotedebasdep"/>
        </w:rPr>
        <w:footnoteRef/>
      </w:r>
      <w:r>
        <w:t xml:space="preserve"> Royaume-Uni.</w:t>
      </w:r>
    </w:p>
  </w:footnote>
  <w:footnote w:id="15">
    <w:p w14:paraId="6440DC96" w14:textId="293A1791" w:rsidR="00D3261A" w:rsidRPr="009477BD" w:rsidRDefault="00D3261A">
      <w:pPr>
        <w:pStyle w:val="Notedebasdepage"/>
      </w:pPr>
      <w:r>
        <w:rPr>
          <w:rStyle w:val="Appelnotedebasdep"/>
        </w:rPr>
        <w:footnoteRef/>
      </w:r>
      <w:r>
        <w:t xml:space="preserve"> </w:t>
      </w:r>
      <w:r>
        <w:rPr>
          <w:rFonts w:eastAsia="Arial Unicode MS"/>
          <w:color w:val="000000"/>
          <w:kern w:val="22"/>
          <w:szCs w:val="22"/>
          <w:u w:color="000000"/>
          <w:bdr w:val="nil"/>
        </w:rPr>
        <w:t>Union européenne et ses États membres</w:t>
      </w:r>
      <w:r>
        <w:t>.</w:t>
      </w:r>
    </w:p>
  </w:footnote>
  <w:footnote w:id="16">
    <w:p w14:paraId="1D3FDC28" w14:textId="77777777" w:rsidR="00FB58F4" w:rsidRPr="009477BD" w:rsidRDefault="00FB58F4" w:rsidP="00FB58F4">
      <w:pPr>
        <w:pStyle w:val="Notedebasdepage"/>
      </w:pPr>
      <w:r>
        <w:rPr>
          <w:rStyle w:val="Appelnotedebasdep"/>
        </w:rPr>
        <w:footnoteRef/>
      </w:r>
      <w:r>
        <w:t xml:space="preserve"> République dominicaine.</w:t>
      </w:r>
    </w:p>
  </w:footnote>
  <w:footnote w:id="17">
    <w:p w14:paraId="7608318B" w14:textId="0A03B9C6" w:rsidR="00DE48E7" w:rsidRPr="009477BD" w:rsidRDefault="00DE48E7">
      <w:pPr>
        <w:pStyle w:val="Notedebasdepage"/>
      </w:pPr>
      <w:r>
        <w:rPr>
          <w:rStyle w:val="Appelnotedebasdep"/>
        </w:rPr>
        <w:footnoteRef/>
      </w:r>
      <w:r>
        <w:t xml:space="preserve"> Inde, Pérou et Union européenne et ses États membres.</w:t>
      </w:r>
    </w:p>
  </w:footnote>
  <w:footnote w:id="18">
    <w:p w14:paraId="1DC22075" w14:textId="77777777" w:rsidR="00CB646A" w:rsidRPr="003C7C8D" w:rsidRDefault="00CB646A" w:rsidP="00CB646A">
      <w:pPr>
        <w:pStyle w:val="Notedebasdepage"/>
      </w:pPr>
      <w:r>
        <w:rPr>
          <w:rStyle w:val="Appelnotedebasdep"/>
        </w:rPr>
        <w:footnoteRef/>
      </w:r>
      <w:r>
        <w:t xml:space="preserve"> République dominicaine et Union européenne et ses États membres.</w:t>
      </w:r>
    </w:p>
  </w:footnote>
  <w:footnote w:id="19">
    <w:p w14:paraId="17C8E423" w14:textId="77777777" w:rsidR="000C5F76" w:rsidRPr="003C7C8D" w:rsidRDefault="000C5F76" w:rsidP="000C5F76">
      <w:pPr>
        <w:pStyle w:val="Notedebasdepage"/>
      </w:pPr>
      <w:r>
        <w:rPr>
          <w:rStyle w:val="Appelnotedebasdep"/>
        </w:rPr>
        <w:footnoteRef/>
      </w:r>
      <w:r>
        <w:t xml:space="preserve"> </w:t>
      </w:r>
      <w:r>
        <w:rPr>
          <w:rFonts w:eastAsia="Arial Unicode MS"/>
          <w:color w:val="000000"/>
          <w:kern w:val="22"/>
          <w:szCs w:val="22"/>
          <w:u w:color="000000"/>
          <w:bdr w:val="nil"/>
        </w:rPr>
        <w:t>Union européenne et ses États membres</w:t>
      </w:r>
      <w:r>
        <w:t>.</w:t>
      </w:r>
    </w:p>
  </w:footnote>
  <w:footnote w:id="20">
    <w:p w14:paraId="4646AE94" w14:textId="77777777" w:rsidR="003E0626" w:rsidRPr="009477BD" w:rsidRDefault="003E0626" w:rsidP="003E0626">
      <w:pPr>
        <w:pStyle w:val="Notedebasdepage"/>
      </w:pPr>
      <w:r>
        <w:rPr>
          <w:rStyle w:val="Appelnotedebasdep"/>
        </w:rPr>
        <w:footnoteRef/>
      </w:r>
      <w:r>
        <w:t xml:space="preserve"> République dominicaine.</w:t>
      </w:r>
    </w:p>
  </w:footnote>
  <w:footnote w:id="21">
    <w:p w14:paraId="20A42F98" w14:textId="696C3467" w:rsidR="003E0626" w:rsidRPr="009477BD" w:rsidRDefault="003E0626" w:rsidP="003E0626">
      <w:pPr>
        <w:pStyle w:val="Notedebasdepage"/>
      </w:pPr>
      <w:r>
        <w:rPr>
          <w:rStyle w:val="Appelnotedebasdep"/>
        </w:rPr>
        <w:footnoteRef/>
      </w:r>
      <w:r>
        <w:t xml:space="preserve"> </w:t>
      </w:r>
      <w:r>
        <w:rPr>
          <w:rFonts w:eastAsia="Arial Unicode MS"/>
          <w:kern w:val="22"/>
          <w:szCs w:val="22"/>
          <w:u w:color="000000"/>
          <w:bdr w:val="nil"/>
        </w:rPr>
        <w:t xml:space="preserve">Union européenne et ses États membres, Leibniz Institute DSMZ, </w:t>
      </w:r>
      <w:r>
        <w:t>Chambre de Commerce Internationale</w:t>
      </w:r>
      <w:r>
        <w:rPr>
          <w:rFonts w:eastAsia="Arial Unicode MS"/>
          <w:kern w:val="22"/>
          <w:szCs w:val="22"/>
          <w:u w:color="000000"/>
          <w:bdr w:val="nil"/>
        </w:rPr>
        <w:t xml:space="preserve"> et International</w:t>
      </w:r>
      <w:r>
        <w:t xml:space="preserve"> Federation of Pharmaceutical Manufacturers and Associations.</w:t>
      </w:r>
    </w:p>
  </w:footnote>
  <w:footnote w:id="22">
    <w:p w14:paraId="70C084FF" w14:textId="772349CD" w:rsidR="00BE1261" w:rsidRPr="009477BD" w:rsidRDefault="00BE1261">
      <w:pPr>
        <w:pStyle w:val="Notedebasdepage"/>
      </w:pPr>
      <w:r>
        <w:rPr>
          <w:rStyle w:val="Appelnotedebasdep"/>
        </w:rPr>
        <w:footnoteRef/>
      </w:r>
      <w:r>
        <w:t xml:space="preserve"> </w:t>
      </w:r>
      <w:r>
        <w:rPr>
          <w:rFonts w:eastAsia="Arial Unicode MS"/>
          <w:kern w:val="22"/>
          <w:szCs w:val="22"/>
          <w:u w:color="000000"/>
          <w:bdr w:val="nil"/>
        </w:rPr>
        <w:t>Union européenne et ses États membres.</w:t>
      </w:r>
    </w:p>
  </w:footnote>
  <w:footnote w:id="23">
    <w:p w14:paraId="4657E9AB" w14:textId="0A426832" w:rsidR="00725030" w:rsidRPr="00725030" w:rsidRDefault="00725030">
      <w:pPr>
        <w:pStyle w:val="Notedebasdepage"/>
      </w:pPr>
      <w:r>
        <w:rPr>
          <w:rStyle w:val="Appelnotedebasdep"/>
        </w:rPr>
        <w:footnoteRef/>
      </w:r>
      <w:r>
        <w:t xml:space="preserve"> Voir </w:t>
      </w:r>
      <w:hyperlink r:id="rId4" w:history="1">
        <w:r>
          <w:rPr>
            <w:rStyle w:val="Lienhypertexte"/>
          </w:rPr>
          <w:t>https://bch.cbd.int/protocol/cpb_art34_info.shtml</w:t>
        </w:r>
      </w:hyperlink>
      <w:r>
        <w:t xml:space="preserve">. </w:t>
      </w:r>
    </w:p>
  </w:footnote>
  <w:footnote w:id="24">
    <w:p w14:paraId="112A2D13" w14:textId="468336BD" w:rsidR="00416939" w:rsidRPr="00E561C8" w:rsidRDefault="00416939" w:rsidP="00947766">
      <w:pPr>
        <w:pStyle w:val="Notedebasdepage"/>
      </w:pPr>
      <w:r>
        <w:rPr>
          <w:rStyle w:val="Appelnotedebasdep"/>
        </w:rPr>
        <w:footnoteRef/>
      </w:r>
      <w:r>
        <w:t xml:space="preserve"> À l'exception des années 2021 et 2022, pendant la pandémie de coronavirus (COVID-19), où aucune réunion n'a eu lieu.</w:t>
      </w:r>
    </w:p>
  </w:footnote>
  <w:footnote w:id="25">
    <w:p w14:paraId="159B5ACC" w14:textId="1ACB4A52" w:rsidR="007B780C" w:rsidRPr="009477BD" w:rsidRDefault="007B780C">
      <w:pPr>
        <w:pStyle w:val="Notedebasdepage"/>
      </w:pPr>
      <w:r>
        <w:rPr>
          <w:rStyle w:val="Appelnotedebasdep"/>
        </w:rPr>
        <w:footnoteRef/>
      </w:r>
      <w:r>
        <w:t xml:space="preserve"> Voir </w:t>
      </w:r>
      <w:hyperlink r:id="rId5" w:history="1">
        <w:r>
          <w:rPr>
            <w:rStyle w:val="Lienhypertexte"/>
          </w:rPr>
          <w:t>UNEP/CBD/BS/CC/8/3</w:t>
        </w:r>
      </w:hyperlink>
      <w:r>
        <w:t>, figure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5FDC13C1" w:rsidR="002B559C" w:rsidRPr="009477BD"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976BF" w:rsidRPr="000976BF">
          <w:t>CBD/NP/CC/5/4/Add.2</w:t>
        </w:r>
        <w:r w:rsidR="000976BF">
          <w:t>-</w:t>
        </w:r>
        <w:r w:rsidR="000976BF" w:rsidRPr="000976BF">
          <w:t>CBD/SBI/7/7/Add.2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18EEC635" w:rsidR="002B559C" w:rsidRPr="009477BD" w:rsidRDefault="000976BF" w:rsidP="009477BD">
        <w:pPr>
          <w:pStyle w:val="CBDHeader"/>
          <w:spacing w:after="240"/>
          <w:jc w:val="right"/>
        </w:pPr>
        <w:r>
          <w:t>CBD/NP/CC/5/4/Add.2-CBD/SBI/7/7/Add.2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3" w15:restartNumberingAfterBreak="0">
    <w:nsid w:val="5D943BEE"/>
    <w:multiLevelType w:val="multilevel"/>
    <w:tmpl w:val="9D74182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14"/>
  </w:num>
  <w:num w:numId="2" w16cid:durableId="1480611021">
    <w:abstractNumId w:val="17"/>
  </w:num>
  <w:num w:numId="3" w16cid:durableId="611476475">
    <w:abstractNumId w:val="12"/>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5"/>
  </w:num>
  <w:num w:numId="12" w16cid:durableId="323945383">
    <w:abstractNumId w:val="13"/>
  </w:num>
  <w:num w:numId="13" w16cid:durableId="832600068">
    <w:abstractNumId w:val="8"/>
  </w:num>
  <w:num w:numId="14" w16cid:durableId="412044794">
    <w:abstractNumId w:val="3"/>
  </w:num>
  <w:num w:numId="15" w16cid:durableId="1799450351">
    <w:abstractNumId w:val="2"/>
  </w:num>
  <w:num w:numId="16" w16cid:durableId="489177677">
    <w:abstractNumId w:val="1"/>
  </w:num>
  <w:num w:numId="17" w16cid:durableId="1445804023">
    <w:abstractNumId w:val="0"/>
  </w:num>
  <w:num w:numId="18" w16cid:durableId="1858829">
    <w:abstractNumId w:val="10"/>
  </w:num>
  <w:num w:numId="19" w16cid:durableId="1326934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244130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B91"/>
    <w:rsid w:val="00001E0C"/>
    <w:rsid w:val="00005570"/>
    <w:rsid w:val="000061A0"/>
    <w:rsid w:val="00006631"/>
    <w:rsid w:val="00006A52"/>
    <w:rsid w:val="00006DD6"/>
    <w:rsid w:val="0000754D"/>
    <w:rsid w:val="0001034C"/>
    <w:rsid w:val="00010B2E"/>
    <w:rsid w:val="00010CF1"/>
    <w:rsid w:val="00011C67"/>
    <w:rsid w:val="00011DB4"/>
    <w:rsid w:val="00011F10"/>
    <w:rsid w:val="00012077"/>
    <w:rsid w:val="0001294D"/>
    <w:rsid w:val="0001364A"/>
    <w:rsid w:val="0001365F"/>
    <w:rsid w:val="000139C8"/>
    <w:rsid w:val="0001481E"/>
    <w:rsid w:val="00014C3F"/>
    <w:rsid w:val="000170E0"/>
    <w:rsid w:val="0001725E"/>
    <w:rsid w:val="00017B01"/>
    <w:rsid w:val="000204C0"/>
    <w:rsid w:val="000207FF"/>
    <w:rsid w:val="000210B6"/>
    <w:rsid w:val="00021274"/>
    <w:rsid w:val="000218E7"/>
    <w:rsid w:val="00021D0E"/>
    <w:rsid w:val="00022497"/>
    <w:rsid w:val="00023ECD"/>
    <w:rsid w:val="00024160"/>
    <w:rsid w:val="00024505"/>
    <w:rsid w:val="00024FF9"/>
    <w:rsid w:val="00025173"/>
    <w:rsid w:val="000255C4"/>
    <w:rsid w:val="00025A88"/>
    <w:rsid w:val="0002604F"/>
    <w:rsid w:val="00026B9D"/>
    <w:rsid w:val="00026D10"/>
    <w:rsid w:val="00030363"/>
    <w:rsid w:val="0003049A"/>
    <w:rsid w:val="0003063A"/>
    <w:rsid w:val="000308B5"/>
    <w:rsid w:val="000308B7"/>
    <w:rsid w:val="00031493"/>
    <w:rsid w:val="00033E27"/>
    <w:rsid w:val="00034589"/>
    <w:rsid w:val="000349E1"/>
    <w:rsid w:val="00034AF1"/>
    <w:rsid w:val="00034E1E"/>
    <w:rsid w:val="00034EA9"/>
    <w:rsid w:val="0003513F"/>
    <w:rsid w:val="000353D3"/>
    <w:rsid w:val="000356FE"/>
    <w:rsid w:val="0003652C"/>
    <w:rsid w:val="0003655F"/>
    <w:rsid w:val="000369B0"/>
    <w:rsid w:val="00036A7E"/>
    <w:rsid w:val="00036B7F"/>
    <w:rsid w:val="00036CA3"/>
    <w:rsid w:val="00037185"/>
    <w:rsid w:val="00037244"/>
    <w:rsid w:val="00037412"/>
    <w:rsid w:val="00040598"/>
    <w:rsid w:val="0004099B"/>
    <w:rsid w:val="00041850"/>
    <w:rsid w:val="000419E8"/>
    <w:rsid w:val="00041D4F"/>
    <w:rsid w:val="0004294D"/>
    <w:rsid w:val="0004297D"/>
    <w:rsid w:val="00042DF7"/>
    <w:rsid w:val="00042E00"/>
    <w:rsid w:val="00043766"/>
    <w:rsid w:val="00044124"/>
    <w:rsid w:val="00044E11"/>
    <w:rsid w:val="00045A22"/>
    <w:rsid w:val="00046065"/>
    <w:rsid w:val="000473CD"/>
    <w:rsid w:val="00047760"/>
    <w:rsid w:val="000506D3"/>
    <w:rsid w:val="00050C58"/>
    <w:rsid w:val="00051004"/>
    <w:rsid w:val="000510A6"/>
    <w:rsid w:val="00051399"/>
    <w:rsid w:val="00051803"/>
    <w:rsid w:val="00051996"/>
    <w:rsid w:val="00051E62"/>
    <w:rsid w:val="00052A01"/>
    <w:rsid w:val="00053226"/>
    <w:rsid w:val="00053512"/>
    <w:rsid w:val="00053968"/>
    <w:rsid w:val="00053F7D"/>
    <w:rsid w:val="000544B8"/>
    <w:rsid w:val="00054B26"/>
    <w:rsid w:val="0005570A"/>
    <w:rsid w:val="000576E7"/>
    <w:rsid w:val="000577C2"/>
    <w:rsid w:val="0006005D"/>
    <w:rsid w:val="0006007F"/>
    <w:rsid w:val="00060098"/>
    <w:rsid w:val="00060759"/>
    <w:rsid w:val="0006395F"/>
    <w:rsid w:val="00063BB3"/>
    <w:rsid w:val="00063DB4"/>
    <w:rsid w:val="00063F2A"/>
    <w:rsid w:val="00065686"/>
    <w:rsid w:val="00065789"/>
    <w:rsid w:val="000658B4"/>
    <w:rsid w:val="00065B07"/>
    <w:rsid w:val="00066BEA"/>
    <w:rsid w:val="00066F48"/>
    <w:rsid w:val="000674E3"/>
    <w:rsid w:val="00070029"/>
    <w:rsid w:val="0007005B"/>
    <w:rsid w:val="00070410"/>
    <w:rsid w:val="00070B0D"/>
    <w:rsid w:val="00070CFA"/>
    <w:rsid w:val="0007143F"/>
    <w:rsid w:val="00071883"/>
    <w:rsid w:val="00071E9E"/>
    <w:rsid w:val="00072A0C"/>
    <w:rsid w:val="0007413A"/>
    <w:rsid w:val="00074779"/>
    <w:rsid w:val="000747A6"/>
    <w:rsid w:val="000747DE"/>
    <w:rsid w:val="00075257"/>
    <w:rsid w:val="0007577C"/>
    <w:rsid w:val="000758B8"/>
    <w:rsid w:val="00075E6A"/>
    <w:rsid w:val="00075F29"/>
    <w:rsid w:val="00076326"/>
    <w:rsid w:val="00077304"/>
    <w:rsid w:val="000774CB"/>
    <w:rsid w:val="000776D9"/>
    <w:rsid w:val="0007793E"/>
    <w:rsid w:val="00077E28"/>
    <w:rsid w:val="0008007F"/>
    <w:rsid w:val="000802CE"/>
    <w:rsid w:val="00080361"/>
    <w:rsid w:val="000803F5"/>
    <w:rsid w:val="00080A20"/>
    <w:rsid w:val="000816A7"/>
    <w:rsid w:val="0008199D"/>
    <w:rsid w:val="00082029"/>
    <w:rsid w:val="0008359F"/>
    <w:rsid w:val="00083FA1"/>
    <w:rsid w:val="000851E1"/>
    <w:rsid w:val="00085AB3"/>
    <w:rsid w:val="00085BB8"/>
    <w:rsid w:val="00085F04"/>
    <w:rsid w:val="00086876"/>
    <w:rsid w:val="0008693F"/>
    <w:rsid w:val="00087018"/>
    <w:rsid w:val="00087326"/>
    <w:rsid w:val="000879AE"/>
    <w:rsid w:val="00090592"/>
    <w:rsid w:val="000910D1"/>
    <w:rsid w:val="00092EAD"/>
    <w:rsid w:val="0009342D"/>
    <w:rsid w:val="00094A17"/>
    <w:rsid w:val="00095C22"/>
    <w:rsid w:val="00096B23"/>
    <w:rsid w:val="00096B29"/>
    <w:rsid w:val="0009745C"/>
    <w:rsid w:val="000976BF"/>
    <w:rsid w:val="00097F8F"/>
    <w:rsid w:val="000A0095"/>
    <w:rsid w:val="000A0259"/>
    <w:rsid w:val="000A0E17"/>
    <w:rsid w:val="000A14E3"/>
    <w:rsid w:val="000A1875"/>
    <w:rsid w:val="000A1A4F"/>
    <w:rsid w:val="000A27F6"/>
    <w:rsid w:val="000A3C1D"/>
    <w:rsid w:val="000A3C73"/>
    <w:rsid w:val="000A45E0"/>
    <w:rsid w:val="000A4817"/>
    <w:rsid w:val="000A4A91"/>
    <w:rsid w:val="000A4B92"/>
    <w:rsid w:val="000A4ECA"/>
    <w:rsid w:val="000A50A4"/>
    <w:rsid w:val="000A5602"/>
    <w:rsid w:val="000A58D2"/>
    <w:rsid w:val="000A5C42"/>
    <w:rsid w:val="000A6556"/>
    <w:rsid w:val="000A78A3"/>
    <w:rsid w:val="000A7C3A"/>
    <w:rsid w:val="000A7DAA"/>
    <w:rsid w:val="000A7F5E"/>
    <w:rsid w:val="000B0341"/>
    <w:rsid w:val="000B1874"/>
    <w:rsid w:val="000B1ED2"/>
    <w:rsid w:val="000B225C"/>
    <w:rsid w:val="000B2260"/>
    <w:rsid w:val="000B3E44"/>
    <w:rsid w:val="000B3E58"/>
    <w:rsid w:val="000B429E"/>
    <w:rsid w:val="000B43B6"/>
    <w:rsid w:val="000B4588"/>
    <w:rsid w:val="000B4706"/>
    <w:rsid w:val="000B4D24"/>
    <w:rsid w:val="000B58C5"/>
    <w:rsid w:val="000B5D35"/>
    <w:rsid w:val="000B628B"/>
    <w:rsid w:val="000B77E7"/>
    <w:rsid w:val="000B78DF"/>
    <w:rsid w:val="000C0868"/>
    <w:rsid w:val="000C0F75"/>
    <w:rsid w:val="000C173A"/>
    <w:rsid w:val="000C182C"/>
    <w:rsid w:val="000C1D13"/>
    <w:rsid w:val="000C223F"/>
    <w:rsid w:val="000C24B0"/>
    <w:rsid w:val="000C28CE"/>
    <w:rsid w:val="000C4245"/>
    <w:rsid w:val="000C5F76"/>
    <w:rsid w:val="000C65DA"/>
    <w:rsid w:val="000C6B2C"/>
    <w:rsid w:val="000C7131"/>
    <w:rsid w:val="000D00B4"/>
    <w:rsid w:val="000D02E6"/>
    <w:rsid w:val="000D1989"/>
    <w:rsid w:val="000D1A5A"/>
    <w:rsid w:val="000D1A62"/>
    <w:rsid w:val="000D1D3F"/>
    <w:rsid w:val="000D2CA8"/>
    <w:rsid w:val="000D3042"/>
    <w:rsid w:val="000D410D"/>
    <w:rsid w:val="000D5344"/>
    <w:rsid w:val="000D5AFA"/>
    <w:rsid w:val="000D5EC8"/>
    <w:rsid w:val="000D7092"/>
    <w:rsid w:val="000E1541"/>
    <w:rsid w:val="000E1D54"/>
    <w:rsid w:val="000E2007"/>
    <w:rsid w:val="000E22E0"/>
    <w:rsid w:val="000E2531"/>
    <w:rsid w:val="000E2822"/>
    <w:rsid w:val="000E300F"/>
    <w:rsid w:val="000E363E"/>
    <w:rsid w:val="000E4D78"/>
    <w:rsid w:val="000E5635"/>
    <w:rsid w:val="000E62C8"/>
    <w:rsid w:val="000E634C"/>
    <w:rsid w:val="000E6A83"/>
    <w:rsid w:val="000E72C0"/>
    <w:rsid w:val="000E7BFC"/>
    <w:rsid w:val="000F020D"/>
    <w:rsid w:val="000F0DBE"/>
    <w:rsid w:val="000F1803"/>
    <w:rsid w:val="000F1E55"/>
    <w:rsid w:val="000F220E"/>
    <w:rsid w:val="000F22D1"/>
    <w:rsid w:val="000F3C52"/>
    <w:rsid w:val="000F3EFD"/>
    <w:rsid w:val="000F45F4"/>
    <w:rsid w:val="000F5059"/>
    <w:rsid w:val="000F5256"/>
    <w:rsid w:val="000F5866"/>
    <w:rsid w:val="000F5C50"/>
    <w:rsid w:val="000F61F5"/>
    <w:rsid w:val="000F6626"/>
    <w:rsid w:val="000F69A0"/>
    <w:rsid w:val="000F7AB8"/>
    <w:rsid w:val="00100784"/>
    <w:rsid w:val="00100C29"/>
    <w:rsid w:val="001015D3"/>
    <w:rsid w:val="00101700"/>
    <w:rsid w:val="00101E4E"/>
    <w:rsid w:val="00102401"/>
    <w:rsid w:val="0010285C"/>
    <w:rsid w:val="00102A35"/>
    <w:rsid w:val="00103CEF"/>
    <w:rsid w:val="00103E1B"/>
    <w:rsid w:val="00104649"/>
    <w:rsid w:val="0010473A"/>
    <w:rsid w:val="00104991"/>
    <w:rsid w:val="00104E4F"/>
    <w:rsid w:val="00105C4F"/>
    <w:rsid w:val="00105DD2"/>
    <w:rsid w:val="00107136"/>
    <w:rsid w:val="00110FEF"/>
    <w:rsid w:val="001116B1"/>
    <w:rsid w:val="00111BA3"/>
    <w:rsid w:val="001124FA"/>
    <w:rsid w:val="00112A51"/>
    <w:rsid w:val="001138EB"/>
    <w:rsid w:val="00113E98"/>
    <w:rsid w:val="00114F69"/>
    <w:rsid w:val="001151AF"/>
    <w:rsid w:val="0011536A"/>
    <w:rsid w:val="00115480"/>
    <w:rsid w:val="00115685"/>
    <w:rsid w:val="00116322"/>
    <w:rsid w:val="00116FB2"/>
    <w:rsid w:val="00117DE9"/>
    <w:rsid w:val="001213E8"/>
    <w:rsid w:val="00121430"/>
    <w:rsid w:val="0012166C"/>
    <w:rsid w:val="00121B43"/>
    <w:rsid w:val="00122924"/>
    <w:rsid w:val="00123173"/>
    <w:rsid w:val="00123ACE"/>
    <w:rsid w:val="00125224"/>
    <w:rsid w:val="00125590"/>
    <w:rsid w:val="001257E3"/>
    <w:rsid w:val="00125A04"/>
    <w:rsid w:val="00126817"/>
    <w:rsid w:val="00126ECC"/>
    <w:rsid w:val="00126F18"/>
    <w:rsid w:val="0012709E"/>
    <w:rsid w:val="001274C9"/>
    <w:rsid w:val="0012770E"/>
    <w:rsid w:val="00127CD0"/>
    <w:rsid w:val="00127D96"/>
    <w:rsid w:val="00130B44"/>
    <w:rsid w:val="0013141F"/>
    <w:rsid w:val="00131B04"/>
    <w:rsid w:val="00131F59"/>
    <w:rsid w:val="00132581"/>
    <w:rsid w:val="00132F07"/>
    <w:rsid w:val="0013322A"/>
    <w:rsid w:val="001341A1"/>
    <w:rsid w:val="001341F2"/>
    <w:rsid w:val="00134AA9"/>
    <w:rsid w:val="00135B02"/>
    <w:rsid w:val="00135E2F"/>
    <w:rsid w:val="001362C4"/>
    <w:rsid w:val="001363D6"/>
    <w:rsid w:val="0013727E"/>
    <w:rsid w:val="00137581"/>
    <w:rsid w:val="00137799"/>
    <w:rsid w:val="00137B00"/>
    <w:rsid w:val="001412B4"/>
    <w:rsid w:val="0014195A"/>
    <w:rsid w:val="001426A8"/>
    <w:rsid w:val="00142F4A"/>
    <w:rsid w:val="0014335A"/>
    <w:rsid w:val="00143452"/>
    <w:rsid w:val="001434D9"/>
    <w:rsid w:val="00144703"/>
    <w:rsid w:val="0014516B"/>
    <w:rsid w:val="001460C5"/>
    <w:rsid w:val="001466CC"/>
    <w:rsid w:val="00146E5A"/>
    <w:rsid w:val="0014749C"/>
    <w:rsid w:val="00147926"/>
    <w:rsid w:val="001506C4"/>
    <w:rsid w:val="001518CF"/>
    <w:rsid w:val="00151D3D"/>
    <w:rsid w:val="00152322"/>
    <w:rsid w:val="0015238F"/>
    <w:rsid w:val="00152694"/>
    <w:rsid w:val="00154145"/>
    <w:rsid w:val="001551AE"/>
    <w:rsid w:val="001558DE"/>
    <w:rsid w:val="00155A44"/>
    <w:rsid w:val="001572C4"/>
    <w:rsid w:val="001575FF"/>
    <w:rsid w:val="00157C89"/>
    <w:rsid w:val="001601B9"/>
    <w:rsid w:val="00160248"/>
    <w:rsid w:val="0016043B"/>
    <w:rsid w:val="00161E66"/>
    <w:rsid w:val="001626EE"/>
    <w:rsid w:val="00162A4E"/>
    <w:rsid w:val="001637C0"/>
    <w:rsid w:val="00163C15"/>
    <w:rsid w:val="001645CC"/>
    <w:rsid w:val="00164FE5"/>
    <w:rsid w:val="001650AE"/>
    <w:rsid w:val="00165495"/>
    <w:rsid w:val="0016778D"/>
    <w:rsid w:val="00167CB7"/>
    <w:rsid w:val="00167D0A"/>
    <w:rsid w:val="001700D8"/>
    <w:rsid w:val="00170694"/>
    <w:rsid w:val="001712BC"/>
    <w:rsid w:val="00171921"/>
    <w:rsid w:val="00171A01"/>
    <w:rsid w:val="00171CB3"/>
    <w:rsid w:val="0017288E"/>
    <w:rsid w:val="00172E69"/>
    <w:rsid w:val="00172E95"/>
    <w:rsid w:val="00173659"/>
    <w:rsid w:val="00173A73"/>
    <w:rsid w:val="00174875"/>
    <w:rsid w:val="00174D20"/>
    <w:rsid w:val="0017587C"/>
    <w:rsid w:val="00175B58"/>
    <w:rsid w:val="00175BAF"/>
    <w:rsid w:val="00176F0E"/>
    <w:rsid w:val="00177C9E"/>
    <w:rsid w:val="00180197"/>
    <w:rsid w:val="00180EEF"/>
    <w:rsid w:val="00181692"/>
    <w:rsid w:val="00181898"/>
    <w:rsid w:val="00182369"/>
    <w:rsid w:val="00184241"/>
    <w:rsid w:val="001846E2"/>
    <w:rsid w:val="00184909"/>
    <w:rsid w:val="001852E6"/>
    <w:rsid w:val="00185D2B"/>
    <w:rsid w:val="00186D61"/>
    <w:rsid w:val="00187959"/>
    <w:rsid w:val="001903A0"/>
    <w:rsid w:val="001907D3"/>
    <w:rsid w:val="00190CEB"/>
    <w:rsid w:val="0019129D"/>
    <w:rsid w:val="00191957"/>
    <w:rsid w:val="00191965"/>
    <w:rsid w:val="00191980"/>
    <w:rsid w:val="00191FCD"/>
    <w:rsid w:val="00192447"/>
    <w:rsid w:val="001924EC"/>
    <w:rsid w:val="00192724"/>
    <w:rsid w:val="001929B8"/>
    <w:rsid w:val="00192D05"/>
    <w:rsid w:val="00192D5F"/>
    <w:rsid w:val="001934A2"/>
    <w:rsid w:val="00193A7C"/>
    <w:rsid w:val="001941DA"/>
    <w:rsid w:val="001942F8"/>
    <w:rsid w:val="001969EC"/>
    <w:rsid w:val="00196B76"/>
    <w:rsid w:val="001970CB"/>
    <w:rsid w:val="0019745A"/>
    <w:rsid w:val="001976BD"/>
    <w:rsid w:val="0019787E"/>
    <w:rsid w:val="001A0136"/>
    <w:rsid w:val="001A0349"/>
    <w:rsid w:val="001A0C6A"/>
    <w:rsid w:val="001A24E9"/>
    <w:rsid w:val="001A2FD4"/>
    <w:rsid w:val="001A3D5F"/>
    <w:rsid w:val="001A4D5C"/>
    <w:rsid w:val="001A5386"/>
    <w:rsid w:val="001A616E"/>
    <w:rsid w:val="001A6D79"/>
    <w:rsid w:val="001A7781"/>
    <w:rsid w:val="001A7E1C"/>
    <w:rsid w:val="001B08F5"/>
    <w:rsid w:val="001B0E91"/>
    <w:rsid w:val="001B11C7"/>
    <w:rsid w:val="001B177A"/>
    <w:rsid w:val="001B191D"/>
    <w:rsid w:val="001B1993"/>
    <w:rsid w:val="001B32D3"/>
    <w:rsid w:val="001B386E"/>
    <w:rsid w:val="001B3B34"/>
    <w:rsid w:val="001B3E96"/>
    <w:rsid w:val="001B40BF"/>
    <w:rsid w:val="001B5520"/>
    <w:rsid w:val="001B57AC"/>
    <w:rsid w:val="001B6131"/>
    <w:rsid w:val="001B67F2"/>
    <w:rsid w:val="001B6A9D"/>
    <w:rsid w:val="001B7C56"/>
    <w:rsid w:val="001C0328"/>
    <w:rsid w:val="001C053E"/>
    <w:rsid w:val="001C0C30"/>
    <w:rsid w:val="001C138E"/>
    <w:rsid w:val="001C1D59"/>
    <w:rsid w:val="001C26BA"/>
    <w:rsid w:val="001C2D42"/>
    <w:rsid w:val="001C3860"/>
    <w:rsid w:val="001C3BCF"/>
    <w:rsid w:val="001C41D1"/>
    <w:rsid w:val="001C41E6"/>
    <w:rsid w:val="001C45BF"/>
    <w:rsid w:val="001C5680"/>
    <w:rsid w:val="001C6C63"/>
    <w:rsid w:val="001C7211"/>
    <w:rsid w:val="001C7221"/>
    <w:rsid w:val="001C7900"/>
    <w:rsid w:val="001C7ACF"/>
    <w:rsid w:val="001D11E0"/>
    <w:rsid w:val="001D11E5"/>
    <w:rsid w:val="001D136A"/>
    <w:rsid w:val="001D1B43"/>
    <w:rsid w:val="001D2836"/>
    <w:rsid w:val="001D28F2"/>
    <w:rsid w:val="001D32AB"/>
    <w:rsid w:val="001D33B1"/>
    <w:rsid w:val="001D3561"/>
    <w:rsid w:val="001D3BA2"/>
    <w:rsid w:val="001D4228"/>
    <w:rsid w:val="001D44C9"/>
    <w:rsid w:val="001D44DC"/>
    <w:rsid w:val="001D4ADF"/>
    <w:rsid w:val="001D5505"/>
    <w:rsid w:val="001D5AA2"/>
    <w:rsid w:val="001D6197"/>
    <w:rsid w:val="001D6592"/>
    <w:rsid w:val="001D69B7"/>
    <w:rsid w:val="001D72CE"/>
    <w:rsid w:val="001E05D1"/>
    <w:rsid w:val="001E09DC"/>
    <w:rsid w:val="001E1363"/>
    <w:rsid w:val="001E14E7"/>
    <w:rsid w:val="001E155D"/>
    <w:rsid w:val="001E223D"/>
    <w:rsid w:val="001E3726"/>
    <w:rsid w:val="001E3BAD"/>
    <w:rsid w:val="001E73D4"/>
    <w:rsid w:val="001E7F50"/>
    <w:rsid w:val="001F0C12"/>
    <w:rsid w:val="001F164F"/>
    <w:rsid w:val="001F1D5C"/>
    <w:rsid w:val="001F1F98"/>
    <w:rsid w:val="001F222B"/>
    <w:rsid w:val="001F248E"/>
    <w:rsid w:val="001F286D"/>
    <w:rsid w:val="001F2BD8"/>
    <w:rsid w:val="001F3E06"/>
    <w:rsid w:val="001F58EC"/>
    <w:rsid w:val="001F6196"/>
    <w:rsid w:val="001F7D54"/>
    <w:rsid w:val="002006FA"/>
    <w:rsid w:val="00200E47"/>
    <w:rsid w:val="00201B05"/>
    <w:rsid w:val="002027C2"/>
    <w:rsid w:val="00202809"/>
    <w:rsid w:val="00203013"/>
    <w:rsid w:val="00203764"/>
    <w:rsid w:val="00203B86"/>
    <w:rsid w:val="0020478B"/>
    <w:rsid w:val="002060CF"/>
    <w:rsid w:val="002068E5"/>
    <w:rsid w:val="002074A7"/>
    <w:rsid w:val="00210987"/>
    <w:rsid w:val="00210B93"/>
    <w:rsid w:val="002116D0"/>
    <w:rsid w:val="00211FF4"/>
    <w:rsid w:val="00212932"/>
    <w:rsid w:val="00213D63"/>
    <w:rsid w:val="0021401F"/>
    <w:rsid w:val="00214AFA"/>
    <w:rsid w:val="00214CED"/>
    <w:rsid w:val="00214EFC"/>
    <w:rsid w:val="00214F81"/>
    <w:rsid w:val="002155E9"/>
    <w:rsid w:val="00215F63"/>
    <w:rsid w:val="002163A4"/>
    <w:rsid w:val="00216900"/>
    <w:rsid w:val="0021755A"/>
    <w:rsid w:val="00217ECC"/>
    <w:rsid w:val="00217EFD"/>
    <w:rsid w:val="00220046"/>
    <w:rsid w:val="00220798"/>
    <w:rsid w:val="00220950"/>
    <w:rsid w:val="002219C2"/>
    <w:rsid w:val="00221AE3"/>
    <w:rsid w:val="00222EEB"/>
    <w:rsid w:val="00223258"/>
    <w:rsid w:val="002237A4"/>
    <w:rsid w:val="002237B7"/>
    <w:rsid w:val="00224215"/>
    <w:rsid w:val="0022428C"/>
    <w:rsid w:val="002242BC"/>
    <w:rsid w:val="00226193"/>
    <w:rsid w:val="00226463"/>
    <w:rsid w:val="002264B0"/>
    <w:rsid w:val="0022684E"/>
    <w:rsid w:val="00226B10"/>
    <w:rsid w:val="00227A37"/>
    <w:rsid w:val="00227D6F"/>
    <w:rsid w:val="002316DC"/>
    <w:rsid w:val="00231F38"/>
    <w:rsid w:val="00232466"/>
    <w:rsid w:val="00233227"/>
    <w:rsid w:val="00233B0E"/>
    <w:rsid w:val="00233DE8"/>
    <w:rsid w:val="002340DE"/>
    <w:rsid w:val="002341CD"/>
    <w:rsid w:val="00234B3F"/>
    <w:rsid w:val="00234DD6"/>
    <w:rsid w:val="00235749"/>
    <w:rsid w:val="002364BD"/>
    <w:rsid w:val="002366DA"/>
    <w:rsid w:val="00236F38"/>
    <w:rsid w:val="00237274"/>
    <w:rsid w:val="002374B3"/>
    <w:rsid w:val="00237EDF"/>
    <w:rsid w:val="002403C1"/>
    <w:rsid w:val="00240DC1"/>
    <w:rsid w:val="00241D18"/>
    <w:rsid w:val="00241E41"/>
    <w:rsid w:val="00241ED3"/>
    <w:rsid w:val="002421A1"/>
    <w:rsid w:val="0024369A"/>
    <w:rsid w:val="002437AC"/>
    <w:rsid w:val="00243AA3"/>
    <w:rsid w:val="00243E5D"/>
    <w:rsid w:val="00244932"/>
    <w:rsid w:val="00245256"/>
    <w:rsid w:val="00245279"/>
    <w:rsid w:val="0024535B"/>
    <w:rsid w:val="00245A2B"/>
    <w:rsid w:val="00245DC7"/>
    <w:rsid w:val="00246685"/>
    <w:rsid w:val="002466A4"/>
    <w:rsid w:val="0024680D"/>
    <w:rsid w:val="00246D90"/>
    <w:rsid w:val="00247137"/>
    <w:rsid w:val="002471F5"/>
    <w:rsid w:val="002475DE"/>
    <w:rsid w:val="00247CAB"/>
    <w:rsid w:val="00250266"/>
    <w:rsid w:val="0025052C"/>
    <w:rsid w:val="00251597"/>
    <w:rsid w:val="00251C4D"/>
    <w:rsid w:val="0025490A"/>
    <w:rsid w:val="00254FB5"/>
    <w:rsid w:val="00255500"/>
    <w:rsid w:val="002562B7"/>
    <w:rsid w:val="00256791"/>
    <w:rsid w:val="00256A54"/>
    <w:rsid w:val="00256D53"/>
    <w:rsid w:val="00256FD7"/>
    <w:rsid w:val="002579DA"/>
    <w:rsid w:val="0026006F"/>
    <w:rsid w:val="00260A20"/>
    <w:rsid w:val="0026155B"/>
    <w:rsid w:val="00261A84"/>
    <w:rsid w:val="00261FB4"/>
    <w:rsid w:val="002627D8"/>
    <w:rsid w:val="00262999"/>
    <w:rsid w:val="00262BBF"/>
    <w:rsid w:val="002634AA"/>
    <w:rsid w:val="00263663"/>
    <w:rsid w:val="002638B8"/>
    <w:rsid w:val="002652DA"/>
    <w:rsid w:val="0026542C"/>
    <w:rsid w:val="0026552C"/>
    <w:rsid w:val="002666FF"/>
    <w:rsid w:val="00266FAE"/>
    <w:rsid w:val="00267668"/>
    <w:rsid w:val="002677C6"/>
    <w:rsid w:val="002677DF"/>
    <w:rsid w:val="00267CBB"/>
    <w:rsid w:val="00270141"/>
    <w:rsid w:val="002707C5"/>
    <w:rsid w:val="00271733"/>
    <w:rsid w:val="00271A55"/>
    <w:rsid w:val="002725AA"/>
    <w:rsid w:val="00273153"/>
    <w:rsid w:val="00276469"/>
    <w:rsid w:val="002772ED"/>
    <w:rsid w:val="00280A7C"/>
    <w:rsid w:val="0028180B"/>
    <w:rsid w:val="00281948"/>
    <w:rsid w:val="00281A00"/>
    <w:rsid w:val="00281A86"/>
    <w:rsid w:val="00281AF8"/>
    <w:rsid w:val="00282097"/>
    <w:rsid w:val="002822BB"/>
    <w:rsid w:val="00283A3F"/>
    <w:rsid w:val="00283ACC"/>
    <w:rsid w:val="00284FA3"/>
    <w:rsid w:val="0028525A"/>
    <w:rsid w:val="00285706"/>
    <w:rsid w:val="0028579C"/>
    <w:rsid w:val="00285D2B"/>
    <w:rsid w:val="00287E57"/>
    <w:rsid w:val="002913F6"/>
    <w:rsid w:val="002917D4"/>
    <w:rsid w:val="00291C8D"/>
    <w:rsid w:val="00291CAB"/>
    <w:rsid w:val="00292966"/>
    <w:rsid w:val="00292EBA"/>
    <w:rsid w:val="00292EE7"/>
    <w:rsid w:val="00293248"/>
    <w:rsid w:val="0029333D"/>
    <w:rsid w:val="00293625"/>
    <w:rsid w:val="00293784"/>
    <w:rsid w:val="002937C9"/>
    <w:rsid w:val="0029387C"/>
    <w:rsid w:val="00294440"/>
    <w:rsid w:val="00294773"/>
    <w:rsid w:val="00295445"/>
    <w:rsid w:val="00295ED5"/>
    <w:rsid w:val="00296221"/>
    <w:rsid w:val="00296D1F"/>
    <w:rsid w:val="002972E7"/>
    <w:rsid w:val="0029739C"/>
    <w:rsid w:val="002974E4"/>
    <w:rsid w:val="00297A0D"/>
    <w:rsid w:val="00297F5A"/>
    <w:rsid w:val="002A0239"/>
    <w:rsid w:val="002A1478"/>
    <w:rsid w:val="002A161C"/>
    <w:rsid w:val="002A1AD9"/>
    <w:rsid w:val="002A1C52"/>
    <w:rsid w:val="002A2EC0"/>
    <w:rsid w:val="002A3445"/>
    <w:rsid w:val="002A479B"/>
    <w:rsid w:val="002A4A74"/>
    <w:rsid w:val="002A4FC2"/>
    <w:rsid w:val="002A5BC8"/>
    <w:rsid w:val="002A5CEB"/>
    <w:rsid w:val="002A66D0"/>
    <w:rsid w:val="002A6A29"/>
    <w:rsid w:val="002A6CD1"/>
    <w:rsid w:val="002A6FB9"/>
    <w:rsid w:val="002A6FE8"/>
    <w:rsid w:val="002A701B"/>
    <w:rsid w:val="002B00CA"/>
    <w:rsid w:val="002B05D9"/>
    <w:rsid w:val="002B0F8F"/>
    <w:rsid w:val="002B1697"/>
    <w:rsid w:val="002B1AFF"/>
    <w:rsid w:val="002B1F13"/>
    <w:rsid w:val="002B1FA9"/>
    <w:rsid w:val="002B3311"/>
    <w:rsid w:val="002B3B37"/>
    <w:rsid w:val="002B3C12"/>
    <w:rsid w:val="002B3F77"/>
    <w:rsid w:val="002B46A5"/>
    <w:rsid w:val="002B4ADC"/>
    <w:rsid w:val="002B552E"/>
    <w:rsid w:val="002B559C"/>
    <w:rsid w:val="002B5912"/>
    <w:rsid w:val="002B6306"/>
    <w:rsid w:val="002B6AA4"/>
    <w:rsid w:val="002B6F2A"/>
    <w:rsid w:val="002C01F4"/>
    <w:rsid w:val="002C0624"/>
    <w:rsid w:val="002C099D"/>
    <w:rsid w:val="002C16F6"/>
    <w:rsid w:val="002C21C0"/>
    <w:rsid w:val="002C3195"/>
    <w:rsid w:val="002C32FB"/>
    <w:rsid w:val="002C3AAC"/>
    <w:rsid w:val="002C3BC5"/>
    <w:rsid w:val="002C3D6C"/>
    <w:rsid w:val="002C47AF"/>
    <w:rsid w:val="002C49D3"/>
    <w:rsid w:val="002C5211"/>
    <w:rsid w:val="002C53F1"/>
    <w:rsid w:val="002C54EB"/>
    <w:rsid w:val="002C5502"/>
    <w:rsid w:val="002C56B8"/>
    <w:rsid w:val="002C637B"/>
    <w:rsid w:val="002C6418"/>
    <w:rsid w:val="002C6845"/>
    <w:rsid w:val="002C6C6D"/>
    <w:rsid w:val="002D03B2"/>
    <w:rsid w:val="002D0973"/>
    <w:rsid w:val="002D1819"/>
    <w:rsid w:val="002D1DDE"/>
    <w:rsid w:val="002D1FF5"/>
    <w:rsid w:val="002D27A8"/>
    <w:rsid w:val="002D2BB2"/>
    <w:rsid w:val="002D312F"/>
    <w:rsid w:val="002D3937"/>
    <w:rsid w:val="002D3CCD"/>
    <w:rsid w:val="002D3D95"/>
    <w:rsid w:val="002D3E31"/>
    <w:rsid w:val="002D4A72"/>
    <w:rsid w:val="002D4B2F"/>
    <w:rsid w:val="002D4BD0"/>
    <w:rsid w:val="002D6BFF"/>
    <w:rsid w:val="002D6FDC"/>
    <w:rsid w:val="002D70E4"/>
    <w:rsid w:val="002D723A"/>
    <w:rsid w:val="002D7F16"/>
    <w:rsid w:val="002E123B"/>
    <w:rsid w:val="002E1F06"/>
    <w:rsid w:val="002E2B88"/>
    <w:rsid w:val="002E2D3F"/>
    <w:rsid w:val="002E477C"/>
    <w:rsid w:val="002E47CE"/>
    <w:rsid w:val="002E535F"/>
    <w:rsid w:val="002E5B3A"/>
    <w:rsid w:val="002E606B"/>
    <w:rsid w:val="002E6EA6"/>
    <w:rsid w:val="002E7306"/>
    <w:rsid w:val="002E798B"/>
    <w:rsid w:val="002E7E68"/>
    <w:rsid w:val="002F0014"/>
    <w:rsid w:val="002F1860"/>
    <w:rsid w:val="002F2567"/>
    <w:rsid w:val="002F2761"/>
    <w:rsid w:val="002F2C0C"/>
    <w:rsid w:val="002F2F1B"/>
    <w:rsid w:val="002F3B30"/>
    <w:rsid w:val="002F41E0"/>
    <w:rsid w:val="002F444D"/>
    <w:rsid w:val="002F4A2B"/>
    <w:rsid w:val="002F5B33"/>
    <w:rsid w:val="002F6491"/>
    <w:rsid w:val="002F66A4"/>
    <w:rsid w:val="002F6F7C"/>
    <w:rsid w:val="002F751C"/>
    <w:rsid w:val="002F7646"/>
    <w:rsid w:val="002F7745"/>
    <w:rsid w:val="002F7B7E"/>
    <w:rsid w:val="00300FE3"/>
    <w:rsid w:val="003014C1"/>
    <w:rsid w:val="0030161F"/>
    <w:rsid w:val="00301D73"/>
    <w:rsid w:val="003024A4"/>
    <w:rsid w:val="0030260F"/>
    <w:rsid w:val="00302AA6"/>
    <w:rsid w:val="00302B3F"/>
    <w:rsid w:val="00302CAF"/>
    <w:rsid w:val="00302D80"/>
    <w:rsid w:val="003038F0"/>
    <w:rsid w:val="00303DE3"/>
    <w:rsid w:val="00303F2A"/>
    <w:rsid w:val="0030413A"/>
    <w:rsid w:val="003055C7"/>
    <w:rsid w:val="00305812"/>
    <w:rsid w:val="00305AC9"/>
    <w:rsid w:val="003064A3"/>
    <w:rsid w:val="00306A49"/>
    <w:rsid w:val="00306DBF"/>
    <w:rsid w:val="003071B6"/>
    <w:rsid w:val="00307E19"/>
    <w:rsid w:val="003105E2"/>
    <w:rsid w:val="00310608"/>
    <w:rsid w:val="00310B98"/>
    <w:rsid w:val="00310DE4"/>
    <w:rsid w:val="00310F83"/>
    <w:rsid w:val="00312831"/>
    <w:rsid w:val="0031338C"/>
    <w:rsid w:val="00313F9A"/>
    <w:rsid w:val="00314C28"/>
    <w:rsid w:val="003153CA"/>
    <w:rsid w:val="003156B1"/>
    <w:rsid w:val="00316249"/>
    <w:rsid w:val="0031689A"/>
    <w:rsid w:val="00316D77"/>
    <w:rsid w:val="00321701"/>
    <w:rsid w:val="0032330D"/>
    <w:rsid w:val="00323534"/>
    <w:rsid w:val="00323E03"/>
    <w:rsid w:val="00323F22"/>
    <w:rsid w:val="003249D0"/>
    <w:rsid w:val="00324E62"/>
    <w:rsid w:val="00325B22"/>
    <w:rsid w:val="00325D4E"/>
    <w:rsid w:val="00326195"/>
    <w:rsid w:val="00326196"/>
    <w:rsid w:val="00326AFB"/>
    <w:rsid w:val="003303BA"/>
    <w:rsid w:val="00330F55"/>
    <w:rsid w:val="00331D48"/>
    <w:rsid w:val="003323A3"/>
    <w:rsid w:val="00332DB5"/>
    <w:rsid w:val="0033306C"/>
    <w:rsid w:val="00333C3B"/>
    <w:rsid w:val="00333EBA"/>
    <w:rsid w:val="003347F5"/>
    <w:rsid w:val="0033503B"/>
    <w:rsid w:val="00335C0F"/>
    <w:rsid w:val="00335D7D"/>
    <w:rsid w:val="00336346"/>
    <w:rsid w:val="0033779A"/>
    <w:rsid w:val="003405C7"/>
    <w:rsid w:val="003413DE"/>
    <w:rsid w:val="00341868"/>
    <w:rsid w:val="003424C8"/>
    <w:rsid w:val="00342FD0"/>
    <w:rsid w:val="00343152"/>
    <w:rsid w:val="003432DD"/>
    <w:rsid w:val="003437DF"/>
    <w:rsid w:val="003441DE"/>
    <w:rsid w:val="003447A8"/>
    <w:rsid w:val="003450EF"/>
    <w:rsid w:val="003453FA"/>
    <w:rsid w:val="00345AAF"/>
    <w:rsid w:val="00345C00"/>
    <w:rsid w:val="00345D20"/>
    <w:rsid w:val="00345EFF"/>
    <w:rsid w:val="003460D8"/>
    <w:rsid w:val="0034680E"/>
    <w:rsid w:val="0034701E"/>
    <w:rsid w:val="00347020"/>
    <w:rsid w:val="00347357"/>
    <w:rsid w:val="00347579"/>
    <w:rsid w:val="003476A9"/>
    <w:rsid w:val="003479A3"/>
    <w:rsid w:val="00347DC3"/>
    <w:rsid w:val="00350433"/>
    <w:rsid w:val="00351357"/>
    <w:rsid w:val="003514EE"/>
    <w:rsid w:val="003517CD"/>
    <w:rsid w:val="0035189E"/>
    <w:rsid w:val="003518C8"/>
    <w:rsid w:val="0035274A"/>
    <w:rsid w:val="00353160"/>
    <w:rsid w:val="00353982"/>
    <w:rsid w:val="00353B08"/>
    <w:rsid w:val="0035417F"/>
    <w:rsid w:val="003542F2"/>
    <w:rsid w:val="003544DC"/>
    <w:rsid w:val="003548B4"/>
    <w:rsid w:val="00355DF2"/>
    <w:rsid w:val="00356524"/>
    <w:rsid w:val="0035698C"/>
    <w:rsid w:val="003576EA"/>
    <w:rsid w:val="00357D0E"/>
    <w:rsid w:val="00360DAF"/>
    <w:rsid w:val="003614AA"/>
    <w:rsid w:val="00361DBF"/>
    <w:rsid w:val="0036224C"/>
    <w:rsid w:val="003626F0"/>
    <w:rsid w:val="003629F2"/>
    <w:rsid w:val="00362B2F"/>
    <w:rsid w:val="0036380F"/>
    <w:rsid w:val="00364D5A"/>
    <w:rsid w:val="003659CB"/>
    <w:rsid w:val="00365AB1"/>
    <w:rsid w:val="00366935"/>
    <w:rsid w:val="00366A93"/>
    <w:rsid w:val="00366AE1"/>
    <w:rsid w:val="00366D5E"/>
    <w:rsid w:val="003705E0"/>
    <w:rsid w:val="0037147D"/>
    <w:rsid w:val="00371AAA"/>
    <w:rsid w:val="00373E31"/>
    <w:rsid w:val="00374D4A"/>
    <w:rsid w:val="00376459"/>
    <w:rsid w:val="00376C81"/>
    <w:rsid w:val="00376DEA"/>
    <w:rsid w:val="003777EB"/>
    <w:rsid w:val="00377E7E"/>
    <w:rsid w:val="003800B2"/>
    <w:rsid w:val="003803E6"/>
    <w:rsid w:val="00380657"/>
    <w:rsid w:val="003806C7"/>
    <w:rsid w:val="0038079C"/>
    <w:rsid w:val="00380A8C"/>
    <w:rsid w:val="003811B8"/>
    <w:rsid w:val="003812C1"/>
    <w:rsid w:val="003816B7"/>
    <w:rsid w:val="00381BB4"/>
    <w:rsid w:val="00383441"/>
    <w:rsid w:val="00383D96"/>
    <w:rsid w:val="0038431B"/>
    <w:rsid w:val="00384418"/>
    <w:rsid w:val="00384CFA"/>
    <w:rsid w:val="003850A3"/>
    <w:rsid w:val="00385C7D"/>
    <w:rsid w:val="003867EC"/>
    <w:rsid w:val="00386F98"/>
    <w:rsid w:val="0038708F"/>
    <w:rsid w:val="00390759"/>
    <w:rsid w:val="00390885"/>
    <w:rsid w:val="00390FA5"/>
    <w:rsid w:val="00391D52"/>
    <w:rsid w:val="00392163"/>
    <w:rsid w:val="0039236B"/>
    <w:rsid w:val="00393433"/>
    <w:rsid w:val="0039370A"/>
    <w:rsid w:val="0039580B"/>
    <w:rsid w:val="00395D5F"/>
    <w:rsid w:val="00396307"/>
    <w:rsid w:val="003973FA"/>
    <w:rsid w:val="00397613"/>
    <w:rsid w:val="003A1AE7"/>
    <w:rsid w:val="003A290E"/>
    <w:rsid w:val="003A5132"/>
    <w:rsid w:val="003A67B1"/>
    <w:rsid w:val="003A68FF"/>
    <w:rsid w:val="003A699A"/>
    <w:rsid w:val="003A6F30"/>
    <w:rsid w:val="003A794F"/>
    <w:rsid w:val="003B0853"/>
    <w:rsid w:val="003B1062"/>
    <w:rsid w:val="003B1435"/>
    <w:rsid w:val="003B1946"/>
    <w:rsid w:val="003B1E1E"/>
    <w:rsid w:val="003B2BFA"/>
    <w:rsid w:val="003B336C"/>
    <w:rsid w:val="003B34CD"/>
    <w:rsid w:val="003B4330"/>
    <w:rsid w:val="003B439E"/>
    <w:rsid w:val="003B46B7"/>
    <w:rsid w:val="003B4C2D"/>
    <w:rsid w:val="003B51AD"/>
    <w:rsid w:val="003B5BF9"/>
    <w:rsid w:val="003B5C6F"/>
    <w:rsid w:val="003B6971"/>
    <w:rsid w:val="003B69B4"/>
    <w:rsid w:val="003B7EBD"/>
    <w:rsid w:val="003C068E"/>
    <w:rsid w:val="003C1F46"/>
    <w:rsid w:val="003C2A89"/>
    <w:rsid w:val="003C2B53"/>
    <w:rsid w:val="003C2F77"/>
    <w:rsid w:val="003C4937"/>
    <w:rsid w:val="003C4F02"/>
    <w:rsid w:val="003C5095"/>
    <w:rsid w:val="003C5543"/>
    <w:rsid w:val="003C5B1A"/>
    <w:rsid w:val="003C6110"/>
    <w:rsid w:val="003C694B"/>
    <w:rsid w:val="003C6963"/>
    <w:rsid w:val="003C6C19"/>
    <w:rsid w:val="003C6F10"/>
    <w:rsid w:val="003C6FA5"/>
    <w:rsid w:val="003C712B"/>
    <w:rsid w:val="003D025B"/>
    <w:rsid w:val="003D0C84"/>
    <w:rsid w:val="003D0F4D"/>
    <w:rsid w:val="003D0FE3"/>
    <w:rsid w:val="003D1060"/>
    <w:rsid w:val="003D1322"/>
    <w:rsid w:val="003D2119"/>
    <w:rsid w:val="003D23A4"/>
    <w:rsid w:val="003D3C91"/>
    <w:rsid w:val="003D4DAA"/>
    <w:rsid w:val="003D5D1D"/>
    <w:rsid w:val="003D5ED8"/>
    <w:rsid w:val="003D6896"/>
    <w:rsid w:val="003D6AA2"/>
    <w:rsid w:val="003D74A2"/>
    <w:rsid w:val="003E0146"/>
    <w:rsid w:val="003E01F4"/>
    <w:rsid w:val="003E0626"/>
    <w:rsid w:val="003E12E1"/>
    <w:rsid w:val="003E1417"/>
    <w:rsid w:val="003E1C5A"/>
    <w:rsid w:val="003E3074"/>
    <w:rsid w:val="003E402E"/>
    <w:rsid w:val="003E41AA"/>
    <w:rsid w:val="003E46A0"/>
    <w:rsid w:val="003E481E"/>
    <w:rsid w:val="003E5C8C"/>
    <w:rsid w:val="003E6027"/>
    <w:rsid w:val="003E6F1A"/>
    <w:rsid w:val="003E793F"/>
    <w:rsid w:val="003F0DBE"/>
    <w:rsid w:val="003F1410"/>
    <w:rsid w:val="003F15B2"/>
    <w:rsid w:val="003F2216"/>
    <w:rsid w:val="003F300E"/>
    <w:rsid w:val="003F3117"/>
    <w:rsid w:val="003F3EC9"/>
    <w:rsid w:val="003F4BA7"/>
    <w:rsid w:val="003F58CE"/>
    <w:rsid w:val="003F59F1"/>
    <w:rsid w:val="003F68DA"/>
    <w:rsid w:val="003F748D"/>
    <w:rsid w:val="00400308"/>
    <w:rsid w:val="0040110B"/>
    <w:rsid w:val="0040250A"/>
    <w:rsid w:val="004025EE"/>
    <w:rsid w:val="004028B5"/>
    <w:rsid w:val="00402924"/>
    <w:rsid w:val="00402AFA"/>
    <w:rsid w:val="00402D12"/>
    <w:rsid w:val="004034B2"/>
    <w:rsid w:val="00404EC1"/>
    <w:rsid w:val="00405CAE"/>
    <w:rsid w:val="00405CEA"/>
    <w:rsid w:val="0041025A"/>
    <w:rsid w:val="00410D35"/>
    <w:rsid w:val="004113DE"/>
    <w:rsid w:val="0041197A"/>
    <w:rsid w:val="004127CD"/>
    <w:rsid w:val="00413675"/>
    <w:rsid w:val="00413C97"/>
    <w:rsid w:val="00413D04"/>
    <w:rsid w:val="004143B0"/>
    <w:rsid w:val="00414627"/>
    <w:rsid w:val="00414BEF"/>
    <w:rsid w:val="00415E55"/>
    <w:rsid w:val="00416894"/>
    <w:rsid w:val="00416939"/>
    <w:rsid w:val="00416A96"/>
    <w:rsid w:val="00416B7A"/>
    <w:rsid w:val="00416BC6"/>
    <w:rsid w:val="00416E3E"/>
    <w:rsid w:val="004178AD"/>
    <w:rsid w:val="00417989"/>
    <w:rsid w:val="00420811"/>
    <w:rsid w:val="00421C94"/>
    <w:rsid w:val="004220D7"/>
    <w:rsid w:val="00422C7D"/>
    <w:rsid w:val="00422F62"/>
    <w:rsid w:val="00423ACE"/>
    <w:rsid w:val="00423F60"/>
    <w:rsid w:val="00424B75"/>
    <w:rsid w:val="004250FC"/>
    <w:rsid w:val="0042554D"/>
    <w:rsid w:val="004255EC"/>
    <w:rsid w:val="00425864"/>
    <w:rsid w:val="00425EB3"/>
    <w:rsid w:val="00426A5F"/>
    <w:rsid w:val="004274F4"/>
    <w:rsid w:val="004300FA"/>
    <w:rsid w:val="0043016A"/>
    <w:rsid w:val="004322E0"/>
    <w:rsid w:val="00432C98"/>
    <w:rsid w:val="00433855"/>
    <w:rsid w:val="0043412F"/>
    <w:rsid w:val="0043488A"/>
    <w:rsid w:val="0043525D"/>
    <w:rsid w:val="00435825"/>
    <w:rsid w:val="004358E7"/>
    <w:rsid w:val="004364B8"/>
    <w:rsid w:val="0043669C"/>
    <w:rsid w:val="0043699E"/>
    <w:rsid w:val="00436B80"/>
    <w:rsid w:val="00437880"/>
    <w:rsid w:val="004403C0"/>
    <w:rsid w:val="00442870"/>
    <w:rsid w:val="0044360D"/>
    <w:rsid w:val="00443687"/>
    <w:rsid w:val="004437CD"/>
    <w:rsid w:val="00443966"/>
    <w:rsid w:val="0044553D"/>
    <w:rsid w:val="0044554C"/>
    <w:rsid w:val="004458DF"/>
    <w:rsid w:val="004466C0"/>
    <w:rsid w:val="00446F75"/>
    <w:rsid w:val="00447C39"/>
    <w:rsid w:val="00447E2C"/>
    <w:rsid w:val="0045024F"/>
    <w:rsid w:val="00450490"/>
    <w:rsid w:val="00450A4C"/>
    <w:rsid w:val="00450CD1"/>
    <w:rsid w:val="00450D91"/>
    <w:rsid w:val="00450F5C"/>
    <w:rsid w:val="004515F5"/>
    <w:rsid w:val="004516AC"/>
    <w:rsid w:val="00451B65"/>
    <w:rsid w:val="004529B5"/>
    <w:rsid w:val="004530DC"/>
    <w:rsid w:val="00454295"/>
    <w:rsid w:val="004546D1"/>
    <w:rsid w:val="004556BE"/>
    <w:rsid w:val="00456F8B"/>
    <w:rsid w:val="0045780E"/>
    <w:rsid w:val="00460038"/>
    <w:rsid w:val="00460C15"/>
    <w:rsid w:val="00460E21"/>
    <w:rsid w:val="00461295"/>
    <w:rsid w:val="004627DC"/>
    <w:rsid w:val="00462C0B"/>
    <w:rsid w:val="00463791"/>
    <w:rsid w:val="00463E47"/>
    <w:rsid w:val="00463FF4"/>
    <w:rsid w:val="004647E8"/>
    <w:rsid w:val="00464B29"/>
    <w:rsid w:val="0046620F"/>
    <w:rsid w:val="004663CA"/>
    <w:rsid w:val="004678CC"/>
    <w:rsid w:val="00467B25"/>
    <w:rsid w:val="004701EE"/>
    <w:rsid w:val="0047038F"/>
    <w:rsid w:val="00470777"/>
    <w:rsid w:val="00470B27"/>
    <w:rsid w:val="00470B92"/>
    <w:rsid w:val="00470DD8"/>
    <w:rsid w:val="004715E6"/>
    <w:rsid w:val="004716A4"/>
    <w:rsid w:val="00471A6B"/>
    <w:rsid w:val="004728FD"/>
    <w:rsid w:val="00472A18"/>
    <w:rsid w:val="00472CB1"/>
    <w:rsid w:val="00473382"/>
    <w:rsid w:val="00473FAA"/>
    <w:rsid w:val="004745F9"/>
    <w:rsid w:val="00477013"/>
    <w:rsid w:val="00477222"/>
    <w:rsid w:val="0048055E"/>
    <w:rsid w:val="004805AA"/>
    <w:rsid w:val="00480F9B"/>
    <w:rsid w:val="0048161B"/>
    <w:rsid w:val="00485F3A"/>
    <w:rsid w:val="004863A0"/>
    <w:rsid w:val="00486484"/>
    <w:rsid w:val="004868FE"/>
    <w:rsid w:val="00486AE9"/>
    <w:rsid w:val="00487613"/>
    <w:rsid w:val="004908B0"/>
    <w:rsid w:val="004911C1"/>
    <w:rsid w:val="00491EEA"/>
    <w:rsid w:val="00492AA1"/>
    <w:rsid w:val="00492BBD"/>
    <w:rsid w:val="004941EE"/>
    <w:rsid w:val="004946BD"/>
    <w:rsid w:val="00495391"/>
    <w:rsid w:val="00496196"/>
    <w:rsid w:val="00496A82"/>
    <w:rsid w:val="00496F12"/>
    <w:rsid w:val="00497B39"/>
    <w:rsid w:val="004A0201"/>
    <w:rsid w:val="004A0610"/>
    <w:rsid w:val="004A0CF8"/>
    <w:rsid w:val="004A1027"/>
    <w:rsid w:val="004A14E4"/>
    <w:rsid w:val="004A17ED"/>
    <w:rsid w:val="004A1B9E"/>
    <w:rsid w:val="004A26FB"/>
    <w:rsid w:val="004A2A2D"/>
    <w:rsid w:val="004A2F6E"/>
    <w:rsid w:val="004A36A0"/>
    <w:rsid w:val="004A4120"/>
    <w:rsid w:val="004A429C"/>
    <w:rsid w:val="004A45B1"/>
    <w:rsid w:val="004A473B"/>
    <w:rsid w:val="004A51F9"/>
    <w:rsid w:val="004A5909"/>
    <w:rsid w:val="004A6097"/>
    <w:rsid w:val="004A7A7C"/>
    <w:rsid w:val="004A7B91"/>
    <w:rsid w:val="004A7B94"/>
    <w:rsid w:val="004A7D05"/>
    <w:rsid w:val="004B102E"/>
    <w:rsid w:val="004B222E"/>
    <w:rsid w:val="004B2EDD"/>
    <w:rsid w:val="004B3016"/>
    <w:rsid w:val="004B3051"/>
    <w:rsid w:val="004B489B"/>
    <w:rsid w:val="004B4F77"/>
    <w:rsid w:val="004B5E73"/>
    <w:rsid w:val="004B61E1"/>
    <w:rsid w:val="004B6428"/>
    <w:rsid w:val="004B7290"/>
    <w:rsid w:val="004B7AE4"/>
    <w:rsid w:val="004B7DAF"/>
    <w:rsid w:val="004C02CC"/>
    <w:rsid w:val="004C07F8"/>
    <w:rsid w:val="004C0DE1"/>
    <w:rsid w:val="004C1060"/>
    <w:rsid w:val="004C171B"/>
    <w:rsid w:val="004C18B9"/>
    <w:rsid w:val="004C29E7"/>
    <w:rsid w:val="004C3700"/>
    <w:rsid w:val="004C396C"/>
    <w:rsid w:val="004C39B7"/>
    <w:rsid w:val="004C3C23"/>
    <w:rsid w:val="004C4A05"/>
    <w:rsid w:val="004C4C2B"/>
    <w:rsid w:val="004C4D67"/>
    <w:rsid w:val="004C57CC"/>
    <w:rsid w:val="004C6DDA"/>
    <w:rsid w:val="004C74FE"/>
    <w:rsid w:val="004C7F9B"/>
    <w:rsid w:val="004D070E"/>
    <w:rsid w:val="004D0A07"/>
    <w:rsid w:val="004D23F5"/>
    <w:rsid w:val="004D29A0"/>
    <w:rsid w:val="004D2C02"/>
    <w:rsid w:val="004D33F7"/>
    <w:rsid w:val="004D3771"/>
    <w:rsid w:val="004D42F8"/>
    <w:rsid w:val="004D4616"/>
    <w:rsid w:val="004D46D6"/>
    <w:rsid w:val="004D539C"/>
    <w:rsid w:val="004D5532"/>
    <w:rsid w:val="004D5D36"/>
    <w:rsid w:val="004D605B"/>
    <w:rsid w:val="004D6CFC"/>
    <w:rsid w:val="004D7109"/>
    <w:rsid w:val="004D76D3"/>
    <w:rsid w:val="004D7748"/>
    <w:rsid w:val="004D7771"/>
    <w:rsid w:val="004D795C"/>
    <w:rsid w:val="004E0370"/>
    <w:rsid w:val="004E1093"/>
    <w:rsid w:val="004E18D9"/>
    <w:rsid w:val="004E1C93"/>
    <w:rsid w:val="004E1D61"/>
    <w:rsid w:val="004E1E55"/>
    <w:rsid w:val="004E2538"/>
    <w:rsid w:val="004E2891"/>
    <w:rsid w:val="004E28C1"/>
    <w:rsid w:val="004E323C"/>
    <w:rsid w:val="004E38DD"/>
    <w:rsid w:val="004E4893"/>
    <w:rsid w:val="004E48FE"/>
    <w:rsid w:val="004E5B84"/>
    <w:rsid w:val="004E5C6C"/>
    <w:rsid w:val="004E6416"/>
    <w:rsid w:val="004E66D4"/>
    <w:rsid w:val="004E770B"/>
    <w:rsid w:val="004E77D9"/>
    <w:rsid w:val="004F0A29"/>
    <w:rsid w:val="004F0FF7"/>
    <w:rsid w:val="004F202E"/>
    <w:rsid w:val="004F2779"/>
    <w:rsid w:val="004F2EF3"/>
    <w:rsid w:val="004F5E42"/>
    <w:rsid w:val="004F6813"/>
    <w:rsid w:val="004F6E9D"/>
    <w:rsid w:val="004F71C4"/>
    <w:rsid w:val="004F788C"/>
    <w:rsid w:val="004F78D0"/>
    <w:rsid w:val="004F7E72"/>
    <w:rsid w:val="004F7FEB"/>
    <w:rsid w:val="00501D11"/>
    <w:rsid w:val="00502557"/>
    <w:rsid w:val="0050329C"/>
    <w:rsid w:val="00503719"/>
    <w:rsid w:val="00503960"/>
    <w:rsid w:val="00503CD7"/>
    <w:rsid w:val="00505129"/>
    <w:rsid w:val="0050518C"/>
    <w:rsid w:val="00505261"/>
    <w:rsid w:val="00505431"/>
    <w:rsid w:val="00505904"/>
    <w:rsid w:val="00505A74"/>
    <w:rsid w:val="00505B5E"/>
    <w:rsid w:val="00510791"/>
    <w:rsid w:val="005108EE"/>
    <w:rsid w:val="00511867"/>
    <w:rsid w:val="00511EE2"/>
    <w:rsid w:val="0051216C"/>
    <w:rsid w:val="00512BB0"/>
    <w:rsid w:val="005131E7"/>
    <w:rsid w:val="005132D4"/>
    <w:rsid w:val="00513623"/>
    <w:rsid w:val="00513D0C"/>
    <w:rsid w:val="005147A4"/>
    <w:rsid w:val="00515999"/>
    <w:rsid w:val="00516138"/>
    <w:rsid w:val="005169CE"/>
    <w:rsid w:val="00516B35"/>
    <w:rsid w:val="00516B83"/>
    <w:rsid w:val="005177D5"/>
    <w:rsid w:val="00520FF3"/>
    <w:rsid w:val="00521A08"/>
    <w:rsid w:val="00521F81"/>
    <w:rsid w:val="005222B2"/>
    <w:rsid w:val="005225A4"/>
    <w:rsid w:val="005225D5"/>
    <w:rsid w:val="005228F0"/>
    <w:rsid w:val="00523489"/>
    <w:rsid w:val="005242A8"/>
    <w:rsid w:val="00524466"/>
    <w:rsid w:val="00525177"/>
    <w:rsid w:val="0052555A"/>
    <w:rsid w:val="00526C19"/>
    <w:rsid w:val="00530A35"/>
    <w:rsid w:val="00530C53"/>
    <w:rsid w:val="00530D6D"/>
    <w:rsid w:val="00530DDA"/>
    <w:rsid w:val="0053114B"/>
    <w:rsid w:val="00532B57"/>
    <w:rsid w:val="005334A9"/>
    <w:rsid w:val="005340E5"/>
    <w:rsid w:val="00534EB0"/>
    <w:rsid w:val="00535EDB"/>
    <w:rsid w:val="00536296"/>
    <w:rsid w:val="005365FC"/>
    <w:rsid w:val="00537248"/>
    <w:rsid w:val="005376CD"/>
    <w:rsid w:val="005405BE"/>
    <w:rsid w:val="00540A30"/>
    <w:rsid w:val="005414B5"/>
    <w:rsid w:val="00541BA4"/>
    <w:rsid w:val="00543BD8"/>
    <w:rsid w:val="0054406A"/>
    <w:rsid w:val="005440B6"/>
    <w:rsid w:val="0054538A"/>
    <w:rsid w:val="00545E48"/>
    <w:rsid w:val="005464B9"/>
    <w:rsid w:val="00546C82"/>
    <w:rsid w:val="005472E1"/>
    <w:rsid w:val="005476E8"/>
    <w:rsid w:val="00550026"/>
    <w:rsid w:val="0055038C"/>
    <w:rsid w:val="005508AD"/>
    <w:rsid w:val="00550EF2"/>
    <w:rsid w:val="005510A3"/>
    <w:rsid w:val="005514D0"/>
    <w:rsid w:val="00551671"/>
    <w:rsid w:val="005520E4"/>
    <w:rsid w:val="005529B5"/>
    <w:rsid w:val="00553794"/>
    <w:rsid w:val="00553A94"/>
    <w:rsid w:val="00553D69"/>
    <w:rsid w:val="00554657"/>
    <w:rsid w:val="00554FA2"/>
    <w:rsid w:val="005550F3"/>
    <w:rsid w:val="005552BD"/>
    <w:rsid w:val="00555B6E"/>
    <w:rsid w:val="00555D91"/>
    <w:rsid w:val="00556676"/>
    <w:rsid w:val="005573D6"/>
    <w:rsid w:val="00557C90"/>
    <w:rsid w:val="00557E37"/>
    <w:rsid w:val="0056029B"/>
    <w:rsid w:val="00560E83"/>
    <w:rsid w:val="00560F26"/>
    <w:rsid w:val="005626DA"/>
    <w:rsid w:val="0056432E"/>
    <w:rsid w:val="00564E90"/>
    <w:rsid w:val="00565198"/>
    <w:rsid w:val="0056538C"/>
    <w:rsid w:val="00565579"/>
    <w:rsid w:val="00565A0C"/>
    <w:rsid w:val="00565DFC"/>
    <w:rsid w:val="00565FE1"/>
    <w:rsid w:val="005660D3"/>
    <w:rsid w:val="0056657D"/>
    <w:rsid w:val="00566588"/>
    <w:rsid w:val="00566A78"/>
    <w:rsid w:val="00566CC5"/>
    <w:rsid w:val="00567F85"/>
    <w:rsid w:val="005704BA"/>
    <w:rsid w:val="0057107C"/>
    <w:rsid w:val="005717E1"/>
    <w:rsid w:val="005719BA"/>
    <w:rsid w:val="00571A7C"/>
    <w:rsid w:val="00572356"/>
    <w:rsid w:val="0057280F"/>
    <w:rsid w:val="005732B2"/>
    <w:rsid w:val="00573A53"/>
    <w:rsid w:val="005746E5"/>
    <w:rsid w:val="00574ED2"/>
    <w:rsid w:val="00575293"/>
    <w:rsid w:val="005752C0"/>
    <w:rsid w:val="0057542E"/>
    <w:rsid w:val="00576950"/>
    <w:rsid w:val="005770B6"/>
    <w:rsid w:val="0057730B"/>
    <w:rsid w:val="005773DA"/>
    <w:rsid w:val="005779D7"/>
    <w:rsid w:val="00580122"/>
    <w:rsid w:val="00581186"/>
    <w:rsid w:val="0058137D"/>
    <w:rsid w:val="005814C9"/>
    <w:rsid w:val="005818BE"/>
    <w:rsid w:val="00582489"/>
    <w:rsid w:val="005829BB"/>
    <w:rsid w:val="00583518"/>
    <w:rsid w:val="00583DAA"/>
    <w:rsid w:val="00584F50"/>
    <w:rsid w:val="00585250"/>
    <w:rsid w:val="0058544C"/>
    <w:rsid w:val="00585ECA"/>
    <w:rsid w:val="00586149"/>
    <w:rsid w:val="0058678E"/>
    <w:rsid w:val="00586A05"/>
    <w:rsid w:val="0058761F"/>
    <w:rsid w:val="005904CC"/>
    <w:rsid w:val="00590812"/>
    <w:rsid w:val="00590FE1"/>
    <w:rsid w:val="00591ADC"/>
    <w:rsid w:val="00591BB5"/>
    <w:rsid w:val="00591D7E"/>
    <w:rsid w:val="00592A2E"/>
    <w:rsid w:val="00592CAC"/>
    <w:rsid w:val="0059327F"/>
    <w:rsid w:val="00594552"/>
    <w:rsid w:val="00594703"/>
    <w:rsid w:val="0059531E"/>
    <w:rsid w:val="005956AC"/>
    <w:rsid w:val="00596493"/>
    <w:rsid w:val="00597108"/>
    <w:rsid w:val="0059741E"/>
    <w:rsid w:val="005979E3"/>
    <w:rsid w:val="00597D14"/>
    <w:rsid w:val="005A0D77"/>
    <w:rsid w:val="005A1F7D"/>
    <w:rsid w:val="005A206E"/>
    <w:rsid w:val="005A2942"/>
    <w:rsid w:val="005A2982"/>
    <w:rsid w:val="005A2A2C"/>
    <w:rsid w:val="005A40F9"/>
    <w:rsid w:val="005A484C"/>
    <w:rsid w:val="005A5171"/>
    <w:rsid w:val="005A59AB"/>
    <w:rsid w:val="005A6919"/>
    <w:rsid w:val="005B0349"/>
    <w:rsid w:val="005B117D"/>
    <w:rsid w:val="005B15E2"/>
    <w:rsid w:val="005B1BD3"/>
    <w:rsid w:val="005B2A66"/>
    <w:rsid w:val="005B3069"/>
    <w:rsid w:val="005B31F0"/>
    <w:rsid w:val="005B3880"/>
    <w:rsid w:val="005B4373"/>
    <w:rsid w:val="005B5354"/>
    <w:rsid w:val="005B5C71"/>
    <w:rsid w:val="005B6163"/>
    <w:rsid w:val="005B69AC"/>
    <w:rsid w:val="005B7512"/>
    <w:rsid w:val="005C041A"/>
    <w:rsid w:val="005C0735"/>
    <w:rsid w:val="005C0750"/>
    <w:rsid w:val="005C0D28"/>
    <w:rsid w:val="005C1D2E"/>
    <w:rsid w:val="005C2026"/>
    <w:rsid w:val="005C2076"/>
    <w:rsid w:val="005C3844"/>
    <w:rsid w:val="005C39BC"/>
    <w:rsid w:val="005C3CB8"/>
    <w:rsid w:val="005C5AE3"/>
    <w:rsid w:val="005C5B46"/>
    <w:rsid w:val="005C5F34"/>
    <w:rsid w:val="005C617F"/>
    <w:rsid w:val="005C6F5E"/>
    <w:rsid w:val="005C70A8"/>
    <w:rsid w:val="005C7A14"/>
    <w:rsid w:val="005C7ADA"/>
    <w:rsid w:val="005D0651"/>
    <w:rsid w:val="005D08AF"/>
    <w:rsid w:val="005D0FA2"/>
    <w:rsid w:val="005D1D8B"/>
    <w:rsid w:val="005D1F59"/>
    <w:rsid w:val="005D3023"/>
    <w:rsid w:val="005D37A9"/>
    <w:rsid w:val="005D4787"/>
    <w:rsid w:val="005D4952"/>
    <w:rsid w:val="005D4C63"/>
    <w:rsid w:val="005D53E3"/>
    <w:rsid w:val="005D5FB1"/>
    <w:rsid w:val="005D77A0"/>
    <w:rsid w:val="005D7FB9"/>
    <w:rsid w:val="005E07A3"/>
    <w:rsid w:val="005E12DC"/>
    <w:rsid w:val="005E14AB"/>
    <w:rsid w:val="005E1919"/>
    <w:rsid w:val="005E2605"/>
    <w:rsid w:val="005E262A"/>
    <w:rsid w:val="005E6D57"/>
    <w:rsid w:val="005E6ED2"/>
    <w:rsid w:val="005E7051"/>
    <w:rsid w:val="005E784A"/>
    <w:rsid w:val="005E7E9A"/>
    <w:rsid w:val="005F06A4"/>
    <w:rsid w:val="005F0C79"/>
    <w:rsid w:val="005F100A"/>
    <w:rsid w:val="005F12A9"/>
    <w:rsid w:val="005F1838"/>
    <w:rsid w:val="005F1C63"/>
    <w:rsid w:val="005F2586"/>
    <w:rsid w:val="005F2F6B"/>
    <w:rsid w:val="005F3BAC"/>
    <w:rsid w:val="005F3D03"/>
    <w:rsid w:val="005F3F53"/>
    <w:rsid w:val="005F571A"/>
    <w:rsid w:val="005F5F8C"/>
    <w:rsid w:val="005F6436"/>
    <w:rsid w:val="005F728C"/>
    <w:rsid w:val="0060016C"/>
    <w:rsid w:val="00600CF4"/>
    <w:rsid w:val="006018D3"/>
    <w:rsid w:val="00601B2A"/>
    <w:rsid w:val="00602780"/>
    <w:rsid w:val="00602AC1"/>
    <w:rsid w:val="00604063"/>
    <w:rsid w:val="00604ACD"/>
    <w:rsid w:val="006052D1"/>
    <w:rsid w:val="00605409"/>
    <w:rsid w:val="006056E4"/>
    <w:rsid w:val="00605C52"/>
    <w:rsid w:val="006069C1"/>
    <w:rsid w:val="0060780C"/>
    <w:rsid w:val="00607989"/>
    <w:rsid w:val="00607AC6"/>
    <w:rsid w:val="00607E0D"/>
    <w:rsid w:val="00607F02"/>
    <w:rsid w:val="00610049"/>
    <w:rsid w:val="0061058C"/>
    <w:rsid w:val="00610AA3"/>
    <w:rsid w:val="00612171"/>
    <w:rsid w:val="00612BAD"/>
    <w:rsid w:val="00612C3C"/>
    <w:rsid w:val="00612CDD"/>
    <w:rsid w:val="006134E8"/>
    <w:rsid w:val="00614115"/>
    <w:rsid w:val="00614764"/>
    <w:rsid w:val="00614B72"/>
    <w:rsid w:val="00614B8C"/>
    <w:rsid w:val="006161AE"/>
    <w:rsid w:val="00616288"/>
    <w:rsid w:val="0061695F"/>
    <w:rsid w:val="00616D45"/>
    <w:rsid w:val="006173D7"/>
    <w:rsid w:val="00617D92"/>
    <w:rsid w:val="00620B73"/>
    <w:rsid w:val="00620BC2"/>
    <w:rsid w:val="006213B8"/>
    <w:rsid w:val="0062155A"/>
    <w:rsid w:val="00622928"/>
    <w:rsid w:val="00623577"/>
    <w:rsid w:val="0062529F"/>
    <w:rsid w:val="00625A52"/>
    <w:rsid w:val="00626267"/>
    <w:rsid w:val="0062628C"/>
    <w:rsid w:val="006262DA"/>
    <w:rsid w:val="00627339"/>
    <w:rsid w:val="00630730"/>
    <w:rsid w:val="00630A18"/>
    <w:rsid w:val="00630DB8"/>
    <w:rsid w:val="0063142F"/>
    <w:rsid w:val="006318D8"/>
    <w:rsid w:val="006322EA"/>
    <w:rsid w:val="006326CB"/>
    <w:rsid w:val="006327E0"/>
    <w:rsid w:val="00633360"/>
    <w:rsid w:val="00633610"/>
    <w:rsid w:val="006340D3"/>
    <w:rsid w:val="00635748"/>
    <w:rsid w:val="0063629B"/>
    <w:rsid w:val="006365CA"/>
    <w:rsid w:val="00637307"/>
    <w:rsid w:val="006402F8"/>
    <w:rsid w:val="00642988"/>
    <w:rsid w:val="00643B12"/>
    <w:rsid w:val="0064428B"/>
    <w:rsid w:val="0064565B"/>
    <w:rsid w:val="00645A43"/>
    <w:rsid w:val="00646A0E"/>
    <w:rsid w:val="00646CF3"/>
    <w:rsid w:val="00647283"/>
    <w:rsid w:val="006478E0"/>
    <w:rsid w:val="006501C8"/>
    <w:rsid w:val="006504A3"/>
    <w:rsid w:val="00650B3B"/>
    <w:rsid w:val="006510A6"/>
    <w:rsid w:val="00651E62"/>
    <w:rsid w:val="006520BB"/>
    <w:rsid w:val="006529B9"/>
    <w:rsid w:val="006539F5"/>
    <w:rsid w:val="00654FFB"/>
    <w:rsid w:val="00655932"/>
    <w:rsid w:val="0065655F"/>
    <w:rsid w:val="00656F3B"/>
    <w:rsid w:val="00657230"/>
    <w:rsid w:val="0065743C"/>
    <w:rsid w:val="00657ED6"/>
    <w:rsid w:val="0066030B"/>
    <w:rsid w:val="00660931"/>
    <w:rsid w:val="00660DB8"/>
    <w:rsid w:val="00661F81"/>
    <w:rsid w:val="00662B96"/>
    <w:rsid w:val="00663724"/>
    <w:rsid w:val="006639B9"/>
    <w:rsid w:val="0066429C"/>
    <w:rsid w:val="006649EE"/>
    <w:rsid w:val="006657AD"/>
    <w:rsid w:val="00665FDC"/>
    <w:rsid w:val="0066665D"/>
    <w:rsid w:val="00666711"/>
    <w:rsid w:val="006668FD"/>
    <w:rsid w:val="006672BB"/>
    <w:rsid w:val="00670AFB"/>
    <w:rsid w:val="00670D05"/>
    <w:rsid w:val="006717E0"/>
    <w:rsid w:val="00671FCC"/>
    <w:rsid w:val="006721FB"/>
    <w:rsid w:val="00672470"/>
    <w:rsid w:val="00673475"/>
    <w:rsid w:val="00674265"/>
    <w:rsid w:val="00674B48"/>
    <w:rsid w:val="006753EF"/>
    <w:rsid w:val="00675466"/>
    <w:rsid w:val="00675B50"/>
    <w:rsid w:val="00676560"/>
    <w:rsid w:val="00676A41"/>
    <w:rsid w:val="00677D3C"/>
    <w:rsid w:val="00682E81"/>
    <w:rsid w:val="00682EE5"/>
    <w:rsid w:val="006834C8"/>
    <w:rsid w:val="0068461E"/>
    <w:rsid w:val="00684640"/>
    <w:rsid w:val="00684910"/>
    <w:rsid w:val="006854D5"/>
    <w:rsid w:val="00687928"/>
    <w:rsid w:val="00687FE0"/>
    <w:rsid w:val="00690A7A"/>
    <w:rsid w:val="00690A96"/>
    <w:rsid w:val="00691581"/>
    <w:rsid w:val="006927B9"/>
    <w:rsid w:val="006927F4"/>
    <w:rsid w:val="006928B0"/>
    <w:rsid w:val="006942D7"/>
    <w:rsid w:val="0069543B"/>
    <w:rsid w:val="00695602"/>
    <w:rsid w:val="00695A97"/>
    <w:rsid w:val="00696BD7"/>
    <w:rsid w:val="00697379"/>
    <w:rsid w:val="00697724"/>
    <w:rsid w:val="00697732"/>
    <w:rsid w:val="00697FE2"/>
    <w:rsid w:val="006A1087"/>
    <w:rsid w:val="006A18ED"/>
    <w:rsid w:val="006A31F2"/>
    <w:rsid w:val="006A3D7C"/>
    <w:rsid w:val="006A46C7"/>
    <w:rsid w:val="006A5066"/>
    <w:rsid w:val="006A57B0"/>
    <w:rsid w:val="006A5C6F"/>
    <w:rsid w:val="006A5DDE"/>
    <w:rsid w:val="006A6930"/>
    <w:rsid w:val="006A6C9D"/>
    <w:rsid w:val="006A6D2D"/>
    <w:rsid w:val="006A7318"/>
    <w:rsid w:val="006B0544"/>
    <w:rsid w:val="006B0A0D"/>
    <w:rsid w:val="006B1203"/>
    <w:rsid w:val="006B2897"/>
    <w:rsid w:val="006B293D"/>
    <w:rsid w:val="006B494E"/>
    <w:rsid w:val="006B4A0E"/>
    <w:rsid w:val="006B5F89"/>
    <w:rsid w:val="006B662C"/>
    <w:rsid w:val="006B7245"/>
    <w:rsid w:val="006C142C"/>
    <w:rsid w:val="006C14B7"/>
    <w:rsid w:val="006C1D4B"/>
    <w:rsid w:val="006C39B3"/>
    <w:rsid w:val="006C4542"/>
    <w:rsid w:val="006C46DC"/>
    <w:rsid w:val="006C5844"/>
    <w:rsid w:val="006C5C10"/>
    <w:rsid w:val="006C6F57"/>
    <w:rsid w:val="006C73F3"/>
    <w:rsid w:val="006C7595"/>
    <w:rsid w:val="006C770F"/>
    <w:rsid w:val="006C7F3E"/>
    <w:rsid w:val="006D0F94"/>
    <w:rsid w:val="006D1528"/>
    <w:rsid w:val="006D16EB"/>
    <w:rsid w:val="006D2C5C"/>
    <w:rsid w:val="006D30F7"/>
    <w:rsid w:val="006D3167"/>
    <w:rsid w:val="006D402F"/>
    <w:rsid w:val="006D42A3"/>
    <w:rsid w:val="006D4D32"/>
    <w:rsid w:val="006D4E98"/>
    <w:rsid w:val="006D5113"/>
    <w:rsid w:val="006D55E1"/>
    <w:rsid w:val="006D5816"/>
    <w:rsid w:val="006D6948"/>
    <w:rsid w:val="006D7621"/>
    <w:rsid w:val="006D7B5A"/>
    <w:rsid w:val="006E03C3"/>
    <w:rsid w:val="006E067E"/>
    <w:rsid w:val="006E0E56"/>
    <w:rsid w:val="006E12C6"/>
    <w:rsid w:val="006E1869"/>
    <w:rsid w:val="006E20CD"/>
    <w:rsid w:val="006E2E25"/>
    <w:rsid w:val="006E3034"/>
    <w:rsid w:val="006E3218"/>
    <w:rsid w:val="006E334A"/>
    <w:rsid w:val="006E3A41"/>
    <w:rsid w:val="006E48E0"/>
    <w:rsid w:val="006E4CC8"/>
    <w:rsid w:val="006E554C"/>
    <w:rsid w:val="006E5E7E"/>
    <w:rsid w:val="006E5F7C"/>
    <w:rsid w:val="006E6231"/>
    <w:rsid w:val="006E63A1"/>
    <w:rsid w:val="006E65F1"/>
    <w:rsid w:val="006E68E4"/>
    <w:rsid w:val="006E6922"/>
    <w:rsid w:val="006E6CDC"/>
    <w:rsid w:val="006E76EC"/>
    <w:rsid w:val="006F0C12"/>
    <w:rsid w:val="006F0EB8"/>
    <w:rsid w:val="006F1848"/>
    <w:rsid w:val="006F18B2"/>
    <w:rsid w:val="006F1D59"/>
    <w:rsid w:val="006F2824"/>
    <w:rsid w:val="006F3571"/>
    <w:rsid w:val="006F4DFF"/>
    <w:rsid w:val="006F4E1E"/>
    <w:rsid w:val="006F51D6"/>
    <w:rsid w:val="006F5396"/>
    <w:rsid w:val="006F5496"/>
    <w:rsid w:val="006F5703"/>
    <w:rsid w:val="006F5745"/>
    <w:rsid w:val="006F5A87"/>
    <w:rsid w:val="006F5CF3"/>
    <w:rsid w:val="006F6D29"/>
    <w:rsid w:val="006F6F10"/>
    <w:rsid w:val="006F7257"/>
    <w:rsid w:val="006F77B3"/>
    <w:rsid w:val="006F7923"/>
    <w:rsid w:val="006F7F55"/>
    <w:rsid w:val="0070053B"/>
    <w:rsid w:val="00700B93"/>
    <w:rsid w:val="00701AE0"/>
    <w:rsid w:val="007020BB"/>
    <w:rsid w:val="00702B4F"/>
    <w:rsid w:val="00702E1B"/>
    <w:rsid w:val="00703958"/>
    <w:rsid w:val="00703991"/>
    <w:rsid w:val="00703A14"/>
    <w:rsid w:val="00704685"/>
    <w:rsid w:val="00704CD9"/>
    <w:rsid w:val="00705158"/>
    <w:rsid w:val="007056BA"/>
    <w:rsid w:val="007064C5"/>
    <w:rsid w:val="00706CEA"/>
    <w:rsid w:val="00706F31"/>
    <w:rsid w:val="0070718F"/>
    <w:rsid w:val="00707913"/>
    <w:rsid w:val="00707AD7"/>
    <w:rsid w:val="00707D2F"/>
    <w:rsid w:val="00710281"/>
    <w:rsid w:val="00711760"/>
    <w:rsid w:val="00713E45"/>
    <w:rsid w:val="00715755"/>
    <w:rsid w:val="00715F34"/>
    <w:rsid w:val="00715FB5"/>
    <w:rsid w:val="00716D24"/>
    <w:rsid w:val="00716D39"/>
    <w:rsid w:val="00716E47"/>
    <w:rsid w:val="00716EBF"/>
    <w:rsid w:val="00717363"/>
    <w:rsid w:val="0071755F"/>
    <w:rsid w:val="00717829"/>
    <w:rsid w:val="00717EC4"/>
    <w:rsid w:val="0072001E"/>
    <w:rsid w:val="00720F34"/>
    <w:rsid w:val="00720F99"/>
    <w:rsid w:val="0072202B"/>
    <w:rsid w:val="00722A5A"/>
    <w:rsid w:val="00723040"/>
    <w:rsid w:val="00723BA4"/>
    <w:rsid w:val="00723F17"/>
    <w:rsid w:val="00724E6C"/>
    <w:rsid w:val="00725030"/>
    <w:rsid w:val="00725FFA"/>
    <w:rsid w:val="007261D7"/>
    <w:rsid w:val="0072652E"/>
    <w:rsid w:val="00726A6F"/>
    <w:rsid w:val="007273DA"/>
    <w:rsid w:val="007277B0"/>
    <w:rsid w:val="00727E66"/>
    <w:rsid w:val="00727F47"/>
    <w:rsid w:val="00730290"/>
    <w:rsid w:val="0073048E"/>
    <w:rsid w:val="007329E0"/>
    <w:rsid w:val="007341B2"/>
    <w:rsid w:val="0073497B"/>
    <w:rsid w:val="0073503F"/>
    <w:rsid w:val="007357AA"/>
    <w:rsid w:val="007360D3"/>
    <w:rsid w:val="007363D3"/>
    <w:rsid w:val="0073684D"/>
    <w:rsid w:val="00736BA1"/>
    <w:rsid w:val="00736FC4"/>
    <w:rsid w:val="00737131"/>
    <w:rsid w:val="007372ED"/>
    <w:rsid w:val="0073746C"/>
    <w:rsid w:val="00737671"/>
    <w:rsid w:val="00741106"/>
    <w:rsid w:val="007413B5"/>
    <w:rsid w:val="00741F0A"/>
    <w:rsid w:val="00741F51"/>
    <w:rsid w:val="00742442"/>
    <w:rsid w:val="007426ED"/>
    <w:rsid w:val="0074338E"/>
    <w:rsid w:val="00743C1A"/>
    <w:rsid w:val="00744578"/>
    <w:rsid w:val="007462EE"/>
    <w:rsid w:val="00746406"/>
    <w:rsid w:val="007500EE"/>
    <w:rsid w:val="0075072B"/>
    <w:rsid w:val="0075117C"/>
    <w:rsid w:val="007532C4"/>
    <w:rsid w:val="00753DA0"/>
    <w:rsid w:val="00753DB4"/>
    <w:rsid w:val="00754366"/>
    <w:rsid w:val="00754688"/>
    <w:rsid w:val="0075685D"/>
    <w:rsid w:val="00757024"/>
    <w:rsid w:val="007578E1"/>
    <w:rsid w:val="007579B5"/>
    <w:rsid w:val="00760274"/>
    <w:rsid w:val="00760ED0"/>
    <w:rsid w:val="00760FCD"/>
    <w:rsid w:val="007612AA"/>
    <w:rsid w:val="007612C8"/>
    <w:rsid w:val="00761C9E"/>
    <w:rsid w:val="0076230F"/>
    <w:rsid w:val="0076284A"/>
    <w:rsid w:val="00763E4A"/>
    <w:rsid w:val="007646B4"/>
    <w:rsid w:val="007655C0"/>
    <w:rsid w:val="00765663"/>
    <w:rsid w:val="00765692"/>
    <w:rsid w:val="007657D5"/>
    <w:rsid w:val="00766840"/>
    <w:rsid w:val="00767368"/>
    <w:rsid w:val="00767569"/>
    <w:rsid w:val="007678BD"/>
    <w:rsid w:val="00767F39"/>
    <w:rsid w:val="00767FE1"/>
    <w:rsid w:val="0077023C"/>
    <w:rsid w:val="007715C6"/>
    <w:rsid w:val="007716D5"/>
    <w:rsid w:val="00771E3D"/>
    <w:rsid w:val="0077262F"/>
    <w:rsid w:val="007729AA"/>
    <w:rsid w:val="00772C1D"/>
    <w:rsid w:val="00772C2A"/>
    <w:rsid w:val="007731A1"/>
    <w:rsid w:val="00773588"/>
    <w:rsid w:val="00773F88"/>
    <w:rsid w:val="00774059"/>
    <w:rsid w:val="0077428C"/>
    <w:rsid w:val="00774563"/>
    <w:rsid w:val="00774AAC"/>
    <w:rsid w:val="00775E5E"/>
    <w:rsid w:val="00776DA4"/>
    <w:rsid w:val="007771A5"/>
    <w:rsid w:val="007771D9"/>
    <w:rsid w:val="00780604"/>
    <w:rsid w:val="00780FB9"/>
    <w:rsid w:val="0078196A"/>
    <w:rsid w:val="00781D5C"/>
    <w:rsid w:val="0078267F"/>
    <w:rsid w:val="00782F31"/>
    <w:rsid w:val="00783065"/>
    <w:rsid w:val="00783818"/>
    <w:rsid w:val="00784754"/>
    <w:rsid w:val="00784EF6"/>
    <w:rsid w:val="00785B2F"/>
    <w:rsid w:val="00785D58"/>
    <w:rsid w:val="007873B2"/>
    <w:rsid w:val="00790DB7"/>
    <w:rsid w:val="00791090"/>
    <w:rsid w:val="00791562"/>
    <w:rsid w:val="007917B6"/>
    <w:rsid w:val="00791D4E"/>
    <w:rsid w:val="007921E6"/>
    <w:rsid w:val="007927FE"/>
    <w:rsid w:val="00792DE5"/>
    <w:rsid w:val="00793CE1"/>
    <w:rsid w:val="00794019"/>
    <w:rsid w:val="007956D1"/>
    <w:rsid w:val="00795E49"/>
    <w:rsid w:val="00795FFC"/>
    <w:rsid w:val="00797104"/>
    <w:rsid w:val="007973F2"/>
    <w:rsid w:val="00797403"/>
    <w:rsid w:val="007975CB"/>
    <w:rsid w:val="007A03BA"/>
    <w:rsid w:val="007A07DD"/>
    <w:rsid w:val="007A1138"/>
    <w:rsid w:val="007A13E4"/>
    <w:rsid w:val="007A1813"/>
    <w:rsid w:val="007A3E4B"/>
    <w:rsid w:val="007A4067"/>
    <w:rsid w:val="007A450B"/>
    <w:rsid w:val="007A4761"/>
    <w:rsid w:val="007A505E"/>
    <w:rsid w:val="007A58AF"/>
    <w:rsid w:val="007A5C7F"/>
    <w:rsid w:val="007A5D80"/>
    <w:rsid w:val="007A62AB"/>
    <w:rsid w:val="007A6E32"/>
    <w:rsid w:val="007A7306"/>
    <w:rsid w:val="007A7BC0"/>
    <w:rsid w:val="007A7CA1"/>
    <w:rsid w:val="007B0F83"/>
    <w:rsid w:val="007B19F1"/>
    <w:rsid w:val="007B3407"/>
    <w:rsid w:val="007B389E"/>
    <w:rsid w:val="007B4AAA"/>
    <w:rsid w:val="007B545E"/>
    <w:rsid w:val="007B780C"/>
    <w:rsid w:val="007C0418"/>
    <w:rsid w:val="007C0812"/>
    <w:rsid w:val="007C1A58"/>
    <w:rsid w:val="007C2549"/>
    <w:rsid w:val="007C338B"/>
    <w:rsid w:val="007C4C5A"/>
    <w:rsid w:val="007C5358"/>
    <w:rsid w:val="007C5528"/>
    <w:rsid w:val="007C55AF"/>
    <w:rsid w:val="007C5691"/>
    <w:rsid w:val="007C70CE"/>
    <w:rsid w:val="007C7573"/>
    <w:rsid w:val="007C77BC"/>
    <w:rsid w:val="007C7A5E"/>
    <w:rsid w:val="007C7C11"/>
    <w:rsid w:val="007D0032"/>
    <w:rsid w:val="007D0165"/>
    <w:rsid w:val="007D079E"/>
    <w:rsid w:val="007D0AC1"/>
    <w:rsid w:val="007D15C5"/>
    <w:rsid w:val="007D17F5"/>
    <w:rsid w:val="007D2AA6"/>
    <w:rsid w:val="007D2BA3"/>
    <w:rsid w:val="007D302A"/>
    <w:rsid w:val="007D3119"/>
    <w:rsid w:val="007D3558"/>
    <w:rsid w:val="007D36BA"/>
    <w:rsid w:val="007D371C"/>
    <w:rsid w:val="007D453E"/>
    <w:rsid w:val="007D4A46"/>
    <w:rsid w:val="007D4D0C"/>
    <w:rsid w:val="007D608B"/>
    <w:rsid w:val="007D6833"/>
    <w:rsid w:val="007D7055"/>
    <w:rsid w:val="007D73EF"/>
    <w:rsid w:val="007D7685"/>
    <w:rsid w:val="007D78D0"/>
    <w:rsid w:val="007E4033"/>
    <w:rsid w:val="007E464C"/>
    <w:rsid w:val="007E48AD"/>
    <w:rsid w:val="007E4918"/>
    <w:rsid w:val="007E4F3F"/>
    <w:rsid w:val="007E5151"/>
    <w:rsid w:val="007E5C5A"/>
    <w:rsid w:val="007E6181"/>
    <w:rsid w:val="007E6344"/>
    <w:rsid w:val="007E6C15"/>
    <w:rsid w:val="007E6F02"/>
    <w:rsid w:val="007E7183"/>
    <w:rsid w:val="007E7545"/>
    <w:rsid w:val="007E7A13"/>
    <w:rsid w:val="007E7FBF"/>
    <w:rsid w:val="007F0230"/>
    <w:rsid w:val="007F0751"/>
    <w:rsid w:val="007F0864"/>
    <w:rsid w:val="007F16CB"/>
    <w:rsid w:val="007F188D"/>
    <w:rsid w:val="007F2656"/>
    <w:rsid w:val="007F26C4"/>
    <w:rsid w:val="007F3B96"/>
    <w:rsid w:val="007F3D87"/>
    <w:rsid w:val="007F3EC6"/>
    <w:rsid w:val="007F464F"/>
    <w:rsid w:val="007F4669"/>
    <w:rsid w:val="007F48A0"/>
    <w:rsid w:val="007F49D8"/>
    <w:rsid w:val="007F65DA"/>
    <w:rsid w:val="007F6CCB"/>
    <w:rsid w:val="007F73F2"/>
    <w:rsid w:val="007F75FF"/>
    <w:rsid w:val="007F7829"/>
    <w:rsid w:val="007F79EB"/>
    <w:rsid w:val="007F7D0F"/>
    <w:rsid w:val="008003B7"/>
    <w:rsid w:val="008009A3"/>
    <w:rsid w:val="00800C3C"/>
    <w:rsid w:val="0080162F"/>
    <w:rsid w:val="00801AD7"/>
    <w:rsid w:val="008023FE"/>
    <w:rsid w:val="0080246D"/>
    <w:rsid w:val="00802AFD"/>
    <w:rsid w:val="00802B14"/>
    <w:rsid w:val="00803663"/>
    <w:rsid w:val="00803A01"/>
    <w:rsid w:val="008042C3"/>
    <w:rsid w:val="00804B13"/>
    <w:rsid w:val="00804C22"/>
    <w:rsid w:val="00806BDE"/>
    <w:rsid w:val="00810E6F"/>
    <w:rsid w:val="00810F2B"/>
    <w:rsid w:val="008116D6"/>
    <w:rsid w:val="00811D0A"/>
    <w:rsid w:val="00812895"/>
    <w:rsid w:val="008128DF"/>
    <w:rsid w:val="00813C7E"/>
    <w:rsid w:val="00815496"/>
    <w:rsid w:val="00815942"/>
    <w:rsid w:val="00816E0F"/>
    <w:rsid w:val="00817B4A"/>
    <w:rsid w:val="00820368"/>
    <w:rsid w:val="00821ACE"/>
    <w:rsid w:val="00821E75"/>
    <w:rsid w:val="00821FF8"/>
    <w:rsid w:val="0082389C"/>
    <w:rsid w:val="0082396C"/>
    <w:rsid w:val="00827AE5"/>
    <w:rsid w:val="00827B70"/>
    <w:rsid w:val="00830BBA"/>
    <w:rsid w:val="00830FED"/>
    <w:rsid w:val="0083150E"/>
    <w:rsid w:val="00833055"/>
    <w:rsid w:val="008339E5"/>
    <w:rsid w:val="00833FC5"/>
    <w:rsid w:val="008342D0"/>
    <w:rsid w:val="008346BF"/>
    <w:rsid w:val="00834C66"/>
    <w:rsid w:val="00835997"/>
    <w:rsid w:val="00835D4C"/>
    <w:rsid w:val="0083691A"/>
    <w:rsid w:val="00836A53"/>
    <w:rsid w:val="00836AB8"/>
    <w:rsid w:val="008377C8"/>
    <w:rsid w:val="00837D08"/>
    <w:rsid w:val="0084191C"/>
    <w:rsid w:val="00841AF6"/>
    <w:rsid w:val="00841B8A"/>
    <w:rsid w:val="008426E9"/>
    <w:rsid w:val="00842724"/>
    <w:rsid w:val="00845296"/>
    <w:rsid w:val="0084659D"/>
    <w:rsid w:val="00846732"/>
    <w:rsid w:val="00846CB1"/>
    <w:rsid w:val="00846E95"/>
    <w:rsid w:val="008477A3"/>
    <w:rsid w:val="00847DB0"/>
    <w:rsid w:val="00847E24"/>
    <w:rsid w:val="008503C1"/>
    <w:rsid w:val="00850829"/>
    <w:rsid w:val="0085084D"/>
    <w:rsid w:val="00850ED9"/>
    <w:rsid w:val="00850FEF"/>
    <w:rsid w:val="008512D4"/>
    <w:rsid w:val="0085136F"/>
    <w:rsid w:val="008521B3"/>
    <w:rsid w:val="00853A24"/>
    <w:rsid w:val="00853A7B"/>
    <w:rsid w:val="008542CA"/>
    <w:rsid w:val="00854A32"/>
    <w:rsid w:val="00854AE9"/>
    <w:rsid w:val="008550FF"/>
    <w:rsid w:val="00855F4B"/>
    <w:rsid w:val="0085695E"/>
    <w:rsid w:val="00856A2B"/>
    <w:rsid w:val="00861407"/>
    <w:rsid w:val="00861F27"/>
    <w:rsid w:val="008628C1"/>
    <w:rsid w:val="00863033"/>
    <w:rsid w:val="00863421"/>
    <w:rsid w:val="0086378C"/>
    <w:rsid w:val="00863A0E"/>
    <w:rsid w:val="00863F4A"/>
    <w:rsid w:val="00864868"/>
    <w:rsid w:val="00864887"/>
    <w:rsid w:val="00864938"/>
    <w:rsid w:val="00865337"/>
    <w:rsid w:val="008653B5"/>
    <w:rsid w:val="00865755"/>
    <w:rsid w:val="008666C5"/>
    <w:rsid w:val="00867155"/>
    <w:rsid w:val="00867298"/>
    <w:rsid w:val="00867361"/>
    <w:rsid w:val="00867769"/>
    <w:rsid w:val="00867BF8"/>
    <w:rsid w:val="00867C5D"/>
    <w:rsid w:val="00870165"/>
    <w:rsid w:val="008708B0"/>
    <w:rsid w:val="008730D1"/>
    <w:rsid w:val="00873EF9"/>
    <w:rsid w:val="00874541"/>
    <w:rsid w:val="008750BC"/>
    <w:rsid w:val="008752F9"/>
    <w:rsid w:val="008757D8"/>
    <w:rsid w:val="0087667B"/>
    <w:rsid w:val="00876A25"/>
    <w:rsid w:val="00876DB4"/>
    <w:rsid w:val="0087730F"/>
    <w:rsid w:val="00877AE4"/>
    <w:rsid w:val="0088020D"/>
    <w:rsid w:val="00880278"/>
    <w:rsid w:val="008805A8"/>
    <w:rsid w:val="0088100E"/>
    <w:rsid w:val="00881078"/>
    <w:rsid w:val="008810ED"/>
    <w:rsid w:val="008818D0"/>
    <w:rsid w:val="00882299"/>
    <w:rsid w:val="00883335"/>
    <w:rsid w:val="008844F8"/>
    <w:rsid w:val="00884684"/>
    <w:rsid w:val="00884C67"/>
    <w:rsid w:val="0088508A"/>
    <w:rsid w:val="00885C65"/>
    <w:rsid w:val="00886226"/>
    <w:rsid w:val="00886B09"/>
    <w:rsid w:val="00886CB7"/>
    <w:rsid w:val="008870BE"/>
    <w:rsid w:val="0089098D"/>
    <w:rsid w:val="0089105B"/>
    <w:rsid w:val="008913EE"/>
    <w:rsid w:val="00891A3B"/>
    <w:rsid w:val="00893124"/>
    <w:rsid w:val="008931AB"/>
    <w:rsid w:val="008934AD"/>
    <w:rsid w:val="0089383D"/>
    <w:rsid w:val="00893F92"/>
    <w:rsid w:val="00894759"/>
    <w:rsid w:val="00894862"/>
    <w:rsid w:val="008953E5"/>
    <w:rsid w:val="008956EB"/>
    <w:rsid w:val="008958F4"/>
    <w:rsid w:val="008959D3"/>
    <w:rsid w:val="008965B8"/>
    <w:rsid w:val="008966F4"/>
    <w:rsid w:val="00896A17"/>
    <w:rsid w:val="00896D91"/>
    <w:rsid w:val="00897E9F"/>
    <w:rsid w:val="008A0179"/>
    <w:rsid w:val="008A0344"/>
    <w:rsid w:val="008A0A21"/>
    <w:rsid w:val="008A1A7E"/>
    <w:rsid w:val="008A1F5B"/>
    <w:rsid w:val="008A2993"/>
    <w:rsid w:val="008A323F"/>
    <w:rsid w:val="008A40E4"/>
    <w:rsid w:val="008A4291"/>
    <w:rsid w:val="008A48E6"/>
    <w:rsid w:val="008A4F3D"/>
    <w:rsid w:val="008A532F"/>
    <w:rsid w:val="008A677C"/>
    <w:rsid w:val="008A67E5"/>
    <w:rsid w:val="008A6D6D"/>
    <w:rsid w:val="008A75C8"/>
    <w:rsid w:val="008A78D2"/>
    <w:rsid w:val="008A7B28"/>
    <w:rsid w:val="008B0444"/>
    <w:rsid w:val="008B0648"/>
    <w:rsid w:val="008B0A6E"/>
    <w:rsid w:val="008B0BBD"/>
    <w:rsid w:val="008B10E3"/>
    <w:rsid w:val="008B1446"/>
    <w:rsid w:val="008B14E7"/>
    <w:rsid w:val="008B1ECD"/>
    <w:rsid w:val="008B29F5"/>
    <w:rsid w:val="008B410A"/>
    <w:rsid w:val="008B4656"/>
    <w:rsid w:val="008B4B0E"/>
    <w:rsid w:val="008B53CC"/>
    <w:rsid w:val="008B5631"/>
    <w:rsid w:val="008B565F"/>
    <w:rsid w:val="008B599F"/>
    <w:rsid w:val="008B7A2B"/>
    <w:rsid w:val="008B7AE3"/>
    <w:rsid w:val="008C01D7"/>
    <w:rsid w:val="008C158C"/>
    <w:rsid w:val="008C1FB5"/>
    <w:rsid w:val="008C4885"/>
    <w:rsid w:val="008C4ED2"/>
    <w:rsid w:val="008C5353"/>
    <w:rsid w:val="008C5DF1"/>
    <w:rsid w:val="008C6112"/>
    <w:rsid w:val="008C66E4"/>
    <w:rsid w:val="008C685F"/>
    <w:rsid w:val="008C73A9"/>
    <w:rsid w:val="008D048A"/>
    <w:rsid w:val="008D068B"/>
    <w:rsid w:val="008D18E6"/>
    <w:rsid w:val="008D285D"/>
    <w:rsid w:val="008D2886"/>
    <w:rsid w:val="008D2961"/>
    <w:rsid w:val="008D2F1A"/>
    <w:rsid w:val="008D3A61"/>
    <w:rsid w:val="008D3C6F"/>
    <w:rsid w:val="008D3CCE"/>
    <w:rsid w:val="008D5620"/>
    <w:rsid w:val="008D5BFF"/>
    <w:rsid w:val="008D5C74"/>
    <w:rsid w:val="008D6452"/>
    <w:rsid w:val="008D6A56"/>
    <w:rsid w:val="008D73B6"/>
    <w:rsid w:val="008E01C1"/>
    <w:rsid w:val="008E0581"/>
    <w:rsid w:val="008E0955"/>
    <w:rsid w:val="008E1452"/>
    <w:rsid w:val="008E1AF1"/>
    <w:rsid w:val="008E1C11"/>
    <w:rsid w:val="008E3408"/>
    <w:rsid w:val="008E36E1"/>
    <w:rsid w:val="008E3DE1"/>
    <w:rsid w:val="008E4A68"/>
    <w:rsid w:val="008E4E0B"/>
    <w:rsid w:val="008E52FA"/>
    <w:rsid w:val="008E7B32"/>
    <w:rsid w:val="008F11BA"/>
    <w:rsid w:val="008F1BC3"/>
    <w:rsid w:val="008F2083"/>
    <w:rsid w:val="008F20F0"/>
    <w:rsid w:val="008F273F"/>
    <w:rsid w:val="008F2E84"/>
    <w:rsid w:val="008F302E"/>
    <w:rsid w:val="008F30D3"/>
    <w:rsid w:val="008F4702"/>
    <w:rsid w:val="008F4770"/>
    <w:rsid w:val="008F55C8"/>
    <w:rsid w:val="008F589D"/>
    <w:rsid w:val="008F65BB"/>
    <w:rsid w:val="008F671D"/>
    <w:rsid w:val="008F6A18"/>
    <w:rsid w:val="008F73C4"/>
    <w:rsid w:val="008F7CDC"/>
    <w:rsid w:val="0090063E"/>
    <w:rsid w:val="00901AB4"/>
    <w:rsid w:val="009026FE"/>
    <w:rsid w:val="009034FA"/>
    <w:rsid w:val="00904156"/>
    <w:rsid w:val="00905B42"/>
    <w:rsid w:val="00906500"/>
    <w:rsid w:val="00906C42"/>
    <w:rsid w:val="00907298"/>
    <w:rsid w:val="00910DF6"/>
    <w:rsid w:val="00911BE1"/>
    <w:rsid w:val="00912332"/>
    <w:rsid w:val="009124C5"/>
    <w:rsid w:val="0091284B"/>
    <w:rsid w:val="00912E7C"/>
    <w:rsid w:val="00913269"/>
    <w:rsid w:val="00913864"/>
    <w:rsid w:val="00913EB5"/>
    <w:rsid w:val="00914786"/>
    <w:rsid w:val="009151A1"/>
    <w:rsid w:val="0091533C"/>
    <w:rsid w:val="00915CB1"/>
    <w:rsid w:val="00915D42"/>
    <w:rsid w:val="00915F32"/>
    <w:rsid w:val="00916220"/>
    <w:rsid w:val="00917259"/>
    <w:rsid w:val="00917693"/>
    <w:rsid w:val="009200C4"/>
    <w:rsid w:val="0092106E"/>
    <w:rsid w:val="00921243"/>
    <w:rsid w:val="00921332"/>
    <w:rsid w:val="009217B8"/>
    <w:rsid w:val="00922466"/>
    <w:rsid w:val="0092380F"/>
    <w:rsid w:val="00924488"/>
    <w:rsid w:val="0092466E"/>
    <w:rsid w:val="00924FF9"/>
    <w:rsid w:val="0092587E"/>
    <w:rsid w:val="00925DEB"/>
    <w:rsid w:val="00926C74"/>
    <w:rsid w:val="009272EE"/>
    <w:rsid w:val="00930999"/>
    <w:rsid w:val="00931019"/>
    <w:rsid w:val="00933891"/>
    <w:rsid w:val="0093398D"/>
    <w:rsid w:val="00933C90"/>
    <w:rsid w:val="00934AD9"/>
    <w:rsid w:val="00934BD7"/>
    <w:rsid w:val="009352CF"/>
    <w:rsid w:val="00935461"/>
    <w:rsid w:val="0093772F"/>
    <w:rsid w:val="0094047D"/>
    <w:rsid w:val="00940A65"/>
    <w:rsid w:val="00940B1C"/>
    <w:rsid w:val="009410A9"/>
    <w:rsid w:val="00941EBE"/>
    <w:rsid w:val="00941FB5"/>
    <w:rsid w:val="009426D1"/>
    <w:rsid w:val="0094292A"/>
    <w:rsid w:val="00943C45"/>
    <w:rsid w:val="00943CA8"/>
    <w:rsid w:val="009441B3"/>
    <w:rsid w:val="0094425A"/>
    <w:rsid w:val="009443F3"/>
    <w:rsid w:val="00945074"/>
    <w:rsid w:val="0094523B"/>
    <w:rsid w:val="00945BB1"/>
    <w:rsid w:val="009463A2"/>
    <w:rsid w:val="009463A9"/>
    <w:rsid w:val="00947403"/>
    <w:rsid w:val="00947766"/>
    <w:rsid w:val="009477BD"/>
    <w:rsid w:val="00947AB3"/>
    <w:rsid w:val="00950F4B"/>
    <w:rsid w:val="0095155C"/>
    <w:rsid w:val="009520F1"/>
    <w:rsid w:val="00952863"/>
    <w:rsid w:val="00953D1B"/>
    <w:rsid w:val="00954082"/>
    <w:rsid w:val="00954BC4"/>
    <w:rsid w:val="00954CD8"/>
    <w:rsid w:val="00955745"/>
    <w:rsid w:val="00956732"/>
    <w:rsid w:val="009568CD"/>
    <w:rsid w:val="00957E96"/>
    <w:rsid w:val="00960BF0"/>
    <w:rsid w:val="00961348"/>
    <w:rsid w:val="009613B8"/>
    <w:rsid w:val="0096154C"/>
    <w:rsid w:val="00961B70"/>
    <w:rsid w:val="00961D05"/>
    <w:rsid w:val="00962814"/>
    <w:rsid w:val="00962B93"/>
    <w:rsid w:val="00962EFD"/>
    <w:rsid w:val="009633FC"/>
    <w:rsid w:val="0096356F"/>
    <w:rsid w:val="009635DF"/>
    <w:rsid w:val="00963DB9"/>
    <w:rsid w:val="009644E6"/>
    <w:rsid w:val="00964F6D"/>
    <w:rsid w:val="0096547D"/>
    <w:rsid w:val="009655B3"/>
    <w:rsid w:val="0096565F"/>
    <w:rsid w:val="00965D38"/>
    <w:rsid w:val="00965FD9"/>
    <w:rsid w:val="00966E3C"/>
    <w:rsid w:val="00966FAF"/>
    <w:rsid w:val="009676E2"/>
    <w:rsid w:val="009679FE"/>
    <w:rsid w:val="00967E7B"/>
    <w:rsid w:val="00970B42"/>
    <w:rsid w:val="00972757"/>
    <w:rsid w:val="0097334C"/>
    <w:rsid w:val="00973667"/>
    <w:rsid w:val="00974585"/>
    <w:rsid w:val="009749D5"/>
    <w:rsid w:val="00975CBF"/>
    <w:rsid w:val="00976A6D"/>
    <w:rsid w:val="00976B82"/>
    <w:rsid w:val="0097747D"/>
    <w:rsid w:val="009774A5"/>
    <w:rsid w:val="00977711"/>
    <w:rsid w:val="009779B4"/>
    <w:rsid w:val="009805E1"/>
    <w:rsid w:val="009807AA"/>
    <w:rsid w:val="00980F9D"/>
    <w:rsid w:val="00981EFE"/>
    <w:rsid w:val="009821D2"/>
    <w:rsid w:val="00982D77"/>
    <w:rsid w:val="009834B6"/>
    <w:rsid w:val="00984291"/>
    <w:rsid w:val="00984F93"/>
    <w:rsid w:val="00986420"/>
    <w:rsid w:val="0098666C"/>
    <w:rsid w:val="00986B0B"/>
    <w:rsid w:val="00987B39"/>
    <w:rsid w:val="00990208"/>
    <w:rsid w:val="00990ED8"/>
    <w:rsid w:val="0099111A"/>
    <w:rsid w:val="0099216F"/>
    <w:rsid w:val="00992D15"/>
    <w:rsid w:val="009936B4"/>
    <w:rsid w:val="00993B57"/>
    <w:rsid w:val="00993E18"/>
    <w:rsid w:val="00993EBB"/>
    <w:rsid w:val="00994218"/>
    <w:rsid w:val="0099595E"/>
    <w:rsid w:val="00995DDC"/>
    <w:rsid w:val="009962C2"/>
    <w:rsid w:val="0099637A"/>
    <w:rsid w:val="00996F86"/>
    <w:rsid w:val="009977F0"/>
    <w:rsid w:val="00997DD9"/>
    <w:rsid w:val="009A04D6"/>
    <w:rsid w:val="009A0F5C"/>
    <w:rsid w:val="009A1882"/>
    <w:rsid w:val="009A1E33"/>
    <w:rsid w:val="009A379C"/>
    <w:rsid w:val="009A3EAE"/>
    <w:rsid w:val="009A68E5"/>
    <w:rsid w:val="009A6C5D"/>
    <w:rsid w:val="009A70FB"/>
    <w:rsid w:val="009A724A"/>
    <w:rsid w:val="009A73F4"/>
    <w:rsid w:val="009A761F"/>
    <w:rsid w:val="009A7995"/>
    <w:rsid w:val="009B0AE2"/>
    <w:rsid w:val="009B13DB"/>
    <w:rsid w:val="009B169A"/>
    <w:rsid w:val="009B1E49"/>
    <w:rsid w:val="009B1F0E"/>
    <w:rsid w:val="009B2471"/>
    <w:rsid w:val="009B24DF"/>
    <w:rsid w:val="009B28E9"/>
    <w:rsid w:val="009B399B"/>
    <w:rsid w:val="009B48E5"/>
    <w:rsid w:val="009B4A86"/>
    <w:rsid w:val="009B5C7F"/>
    <w:rsid w:val="009B694E"/>
    <w:rsid w:val="009B6AB0"/>
    <w:rsid w:val="009B6CA5"/>
    <w:rsid w:val="009B7B42"/>
    <w:rsid w:val="009C084D"/>
    <w:rsid w:val="009C1114"/>
    <w:rsid w:val="009C1773"/>
    <w:rsid w:val="009C1A1F"/>
    <w:rsid w:val="009C1B4E"/>
    <w:rsid w:val="009C1D89"/>
    <w:rsid w:val="009C35BF"/>
    <w:rsid w:val="009C3DCC"/>
    <w:rsid w:val="009C53A0"/>
    <w:rsid w:val="009C5ACB"/>
    <w:rsid w:val="009C5B65"/>
    <w:rsid w:val="009C673E"/>
    <w:rsid w:val="009C6A2F"/>
    <w:rsid w:val="009C7407"/>
    <w:rsid w:val="009D067F"/>
    <w:rsid w:val="009D070B"/>
    <w:rsid w:val="009D0D98"/>
    <w:rsid w:val="009D155B"/>
    <w:rsid w:val="009D1C3C"/>
    <w:rsid w:val="009D1CA4"/>
    <w:rsid w:val="009D226D"/>
    <w:rsid w:val="009D29D3"/>
    <w:rsid w:val="009D2A2C"/>
    <w:rsid w:val="009D2C3E"/>
    <w:rsid w:val="009D2CA0"/>
    <w:rsid w:val="009D2E0E"/>
    <w:rsid w:val="009D30DA"/>
    <w:rsid w:val="009D3174"/>
    <w:rsid w:val="009D3316"/>
    <w:rsid w:val="009D370F"/>
    <w:rsid w:val="009D3C6D"/>
    <w:rsid w:val="009D408A"/>
    <w:rsid w:val="009D429C"/>
    <w:rsid w:val="009D50F3"/>
    <w:rsid w:val="009D5824"/>
    <w:rsid w:val="009D6025"/>
    <w:rsid w:val="009D6D36"/>
    <w:rsid w:val="009D7408"/>
    <w:rsid w:val="009D7961"/>
    <w:rsid w:val="009E0290"/>
    <w:rsid w:val="009E0B00"/>
    <w:rsid w:val="009E0F10"/>
    <w:rsid w:val="009E11B4"/>
    <w:rsid w:val="009E1230"/>
    <w:rsid w:val="009E139E"/>
    <w:rsid w:val="009E1782"/>
    <w:rsid w:val="009E1C92"/>
    <w:rsid w:val="009E21C6"/>
    <w:rsid w:val="009E36FD"/>
    <w:rsid w:val="009E4EF6"/>
    <w:rsid w:val="009E52E8"/>
    <w:rsid w:val="009E56D4"/>
    <w:rsid w:val="009E5CBB"/>
    <w:rsid w:val="009E5F47"/>
    <w:rsid w:val="009F0003"/>
    <w:rsid w:val="009F019A"/>
    <w:rsid w:val="009F1C54"/>
    <w:rsid w:val="009F1F59"/>
    <w:rsid w:val="009F377A"/>
    <w:rsid w:val="009F3856"/>
    <w:rsid w:val="009F39B5"/>
    <w:rsid w:val="009F3FCC"/>
    <w:rsid w:val="009F4141"/>
    <w:rsid w:val="009F43DB"/>
    <w:rsid w:val="009F4CD8"/>
    <w:rsid w:val="009F52A5"/>
    <w:rsid w:val="009F5BFB"/>
    <w:rsid w:val="009F65A1"/>
    <w:rsid w:val="009F7118"/>
    <w:rsid w:val="009F71CE"/>
    <w:rsid w:val="009F7728"/>
    <w:rsid w:val="009F78FF"/>
    <w:rsid w:val="00A001CE"/>
    <w:rsid w:val="00A00360"/>
    <w:rsid w:val="00A0067B"/>
    <w:rsid w:val="00A007E6"/>
    <w:rsid w:val="00A01EF4"/>
    <w:rsid w:val="00A026FF"/>
    <w:rsid w:val="00A02C4C"/>
    <w:rsid w:val="00A03A6F"/>
    <w:rsid w:val="00A03C7F"/>
    <w:rsid w:val="00A054F3"/>
    <w:rsid w:val="00A05A3A"/>
    <w:rsid w:val="00A05E79"/>
    <w:rsid w:val="00A0636A"/>
    <w:rsid w:val="00A0708C"/>
    <w:rsid w:val="00A07408"/>
    <w:rsid w:val="00A10BA6"/>
    <w:rsid w:val="00A115B2"/>
    <w:rsid w:val="00A12EBB"/>
    <w:rsid w:val="00A14418"/>
    <w:rsid w:val="00A14495"/>
    <w:rsid w:val="00A163D2"/>
    <w:rsid w:val="00A16B98"/>
    <w:rsid w:val="00A16D99"/>
    <w:rsid w:val="00A170C8"/>
    <w:rsid w:val="00A173A8"/>
    <w:rsid w:val="00A201F8"/>
    <w:rsid w:val="00A20288"/>
    <w:rsid w:val="00A20753"/>
    <w:rsid w:val="00A20B38"/>
    <w:rsid w:val="00A21988"/>
    <w:rsid w:val="00A21CE7"/>
    <w:rsid w:val="00A21D1C"/>
    <w:rsid w:val="00A21F08"/>
    <w:rsid w:val="00A22621"/>
    <w:rsid w:val="00A22C38"/>
    <w:rsid w:val="00A235C2"/>
    <w:rsid w:val="00A23729"/>
    <w:rsid w:val="00A23AF1"/>
    <w:rsid w:val="00A240FB"/>
    <w:rsid w:val="00A24477"/>
    <w:rsid w:val="00A2489C"/>
    <w:rsid w:val="00A249E1"/>
    <w:rsid w:val="00A24B66"/>
    <w:rsid w:val="00A24C01"/>
    <w:rsid w:val="00A25589"/>
    <w:rsid w:val="00A25F57"/>
    <w:rsid w:val="00A27879"/>
    <w:rsid w:val="00A27F7A"/>
    <w:rsid w:val="00A30C09"/>
    <w:rsid w:val="00A3112A"/>
    <w:rsid w:val="00A3166D"/>
    <w:rsid w:val="00A317D3"/>
    <w:rsid w:val="00A339A8"/>
    <w:rsid w:val="00A33F50"/>
    <w:rsid w:val="00A3506D"/>
    <w:rsid w:val="00A35794"/>
    <w:rsid w:val="00A366FE"/>
    <w:rsid w:val="00A36834"/>
    <w:rsid w:val="00A36CA7"/>
    <w:rsid w:val="00A36F7B"/>
    <w:rsid w:val="00A37706"/>
    <w:rsid w:val="00A40AD4"/>
    <w:rsid w:val="00A41355"/>
    <w:rsid w:val="00A41D5F"/>
    <w:rsid w:val="00A42356"/>
    <w:rsid w:val="00A478FF"/>
    <w:rsid w:val="00A479E7"/>
    <w:rsid w:val="00A5032C"/>
    <w:rsid w:val="00A50EDB"/>
    <w:rsid w:val="00A517EB"/>
    <w:rsid w:val="00A51C62"/>
    <w:rsid w:val="00A51DD3"/>
    <w:rsid w:val="00A51F88"/>
    <w:rsid w:val="00A52D30"/>
    <w:rsid w:val="00A52D38"/>
    <w:rsid w:val="00A538D2"/>
    <w:rsid w:val="00A53C81"/>
    <w:rsid w:val="00A53EEA"/>
    <w:rsid w:val="00A5418F"/>
    <w:rsid w:val="00A541DB"/>
    <w:rsid w:val="00A5430A"/>
    <w:rsid w:val="00A54694"/>
    <w:rsid w:val="00A54FA0"/>
    <w:rsid w:val="00A555B5"/>
    <w:rsid w:val="00A55960"/>
    <w:rsid w:val="00A55B4E"/>
    <w:rsid w:val="00A55EB6"/>
    <w:rsid w:val="00A56513"/>
    <w:rsid w:val="00A568A5"/>
    <w:rsid w:val="00A57218"/>
    <w:rsid w:val="00A578AF"/>
    <w:rsid w:val="00A600C5"/>
    <w:rsid w:val="00A60591"/>
    <w:rsid w:val="00A60C7C"/>
    <w:rsid w:val="00A61C60"/>
    <w:rsid w:val="00A6205F"/>
    <w:rsid w:val="00A62F3D"/>
    <w:rsid w:val="00A63B95"/>
    <w:rsid w:val="00A644B7"/>
    <w:rsid w:val="00A65B21"/>
    <w:rsid w:val="00A6647D"/>
    <w:rsid w:val="00A66CC2"/>
    <w:rsid w:val="00A675FC"/>
    <w:rsid w:val="00A700E9"/>
    <w:rsid w:val="00A70253"/>
    <w:rsid w:val="00A717BB"/>
    <w:rsid w:val="00A71EA2"/>
    <w:rsid w:val="00A73923"/>
    <w:rsid w:val="00A73DB2"/>
    <w:rsid w:val="00A751F3"/>
    <w:rsid w:val="00A762B7"/>
    <w:rsid w:val="00A77A15"/>
    <w:rsid w:val="00A80A9D"/>
    <w:rsid w:val="00A80C09"/>
    <w:rsid w:val="00A8255C"/>
    <w:rsid w:val="00A82903"/>
    <w:rsid w:val="00A837AA"/>
    <w:rsid w:val="00A83D0A"/>
    <w:rsid w:val="00A84667"/>
    <w:rsid w:val="00A84AFC"/>
    <w:rsid w:val="00A84D4D"/>
    <w:rsid w:val="00A87E93"/>
    <w:rsid w:val="00A90675"/>
    <w:rsid w:val="00A90702"/>
    <w:rsid w:val="00A909C5"/>
    <w:rsid w:val="00A91797"/>
    <w:rsid w:val="00A91C27"/>
    <w:rsid w:val="00A92293"/>
    <w:rsid w:val="00A929F3"/>
    <w:rsid w:val="00A93D72"/>
    <w:rsid w:val="00A940C6"/>
    <w:rsid w:val="00A942B9"/>
    <w:rsid w:val="00A94BAB"/>
    <w:rsid w:val="00A94FC4"/>
    <w:rsid w:val="00A955F3"/>
    <w:rsid w:val="00A957BB"/>
    <w:rsid w:val="00A9665D"/>
    <w:rsid w:val="00A967A2"/>
    <w:rsid w:val="00A96B21"/>
    <w:rsid w:val="00A96BA0"/>
    <w:rsid w:val="00AA02DC"/>
    <w:rsid w:val="00AA0C01"/>
    <w:rsid w:val="00AA0C13"/>
    <w:rsid w:val="00AA11F9"/>
    <w:rsid w:val="00AA22C1"/>
    <w:rsid w:val="00AA2ABD"/>
    <w:rsid w:val="00AA2C82"/>
    <w:rsid w:val="00AA2FA7"/>
    <w:rsid w:val="00AA333D"/>
    <w:rsid w:val="00AA3558"/>
    <w:rsid w:val="00AA36DD"/>
    <w:rsid w:val="00AA3B85"/>
    <w:rsid w:val="00AA47C5"/>
    <w:rsid w:val="00AA4EE7"/>
    <w:rsid w:val="00AA5321"/>
    <w:rsid w:val="00AA55AB"/>
    <w:rsid w:val="00AA5B72"/>
    <w:rsid w:val="00AA5DBB"/>
    <w:rsid w:val="00AA5EDC"/>
    <w:rsid w:val="00AA60D8"/>
    <w:rsid w:val="00AA6D3E"/>
    <w:rsid w:val="00AA70BE"/>
    <w:rsid w:val="00AA7790"/>
    <w:rsid w:val="00AA7B79"/>
    <w:rsid w:val="00AB0940"/>
    <w:rsid w:val="00AB0D7F"/>
    <w:rsid w:val="00AB1CF2"/>
    <w:rsid w:val="00AB27A8"/>
    <w:rsid w:val="00AB32CD"/>
    <w:rsid w:val="00AB342B"/>
    <w:rsid w:val="00AB3DF1"/>
    <w:rsid w:val="00AB3EFB"/>
    <w:rsid w:val="00AB48A6"/>
    <w:rsid w:val="00AB4EA4"/>
    <w:rsid w:val="00AB60EF"/>
    <w:rsid w:val="00AB6D3E"/>
    <w:rsid w:val="00AB6EB0"/>
    <w:rsid w:val="00AB75BC"/>
    <w:rsid w:val="00AC0123"/>
    <w:rsid w:val="00AC0797"/>
    <w:rsid w:val="00AC1709"/>
    <w:rsid w:val="00AC1875"/>
    <w:rsid w:val="00AC1BA0"/>
    <w:rsid w:val="00AC2333"/>
    <w:rsid w:val="00AC2394"/>
    <w:rsid w:val="00AC24DA"/>
    <w:rsid w:val="00AC2FCF"/>
    <w:rsid w:val="00AC3192"/>
    <w:rsid w:val="00AC357F"/>
    <w:rsid w:val="00AC3730"/>
    <w:rsid w:val="00AC3ACC"/>
    <w:rsid w:val="00AC4034"/>
    <w:rsid w:val="00AC487B"/>
    <w:rsid w:val="00AC5D59"/>
    <w:rsid w:val="00AC5DCE"/>
    <w:rsid w:val="00AC62CD"/>
    <w:rsid w:val="00AC641A"/>
    <w:rsid w:val="00AC69AB"/>
    <w:rsid w:val="00AC7C0E"/>
    <w:rsid w:val="00AC7E62"/>
    <w:rsid w:val="00AC7FCB"/>
    <w:rsid w:val="00AD0294"/>
    <w:rsid w:val="00AD07EF"/>
    <w:rsid w:val="00AD0B9A"/>
    <w:rsid w:val="00AD12D3"/>
    <w:rsid w:val="00AD1FE8"/>
    <w:rsid w:val="00AD2D0D"/>
    <w:rsid w:val="00AD315B"/>
    <w:rsid w:val="00AD581E"/>
    <w:rsid w:val="00AD60D6"/>
    <w:rsid w:val="00AD66BC"/>
    <w:rsid w:val="00AD6AF9"/>
    <w:rsid w:val="00AD7EFD"/>
    <w:rsid w:val="00AE0886"/>
    <w:rsid w:val="00AE1A95"/>
    <w:rsid w:val="00AE1C22"/>
    <w:rsid w:val="00AE1F1A"/>
    <w:rsid w:val="00AE2174"/>
    <w:rsid w:val="00AE2513"/>
    <w:rsid w:val="00AE2D8C"/>
    <w:rsid w:val="00AE31A5"/>
    <w:rsid w:val="00AE398F"/>
    <w:rsid w:val="00AE40D9"/>
    <w:rsid w:val="00AE5965"/>
    <w:rsid w:val="00AE596A"/>
    <w:rsid w:val="00AE5F6A"/>
    <w:rsid w:val="00AE6716"/>
    <w:rsid w:val="00AE6D93"/>
    <w:rsid w:val="00AE72FA"/>
    <w:rsid w:val="00AE75AA"/>
    <w:rsid w:val="00AE7C2E"/>
    <w:rsid w:val="00AE7F14"/>
    <w:rsid w:val="00AF0B20"/>
    <w:rsid w:val="00AF184D"/>
    <w:rsid w:val="00AF1B4F"/>
    <w:rsid w:val="00AF24F6"/>
    <w:rsid w:val="00AF34F1"/>
    <w:rsid w:val="00AF36A7"/>
    <w:rsid w:val="00AF379F"/>
    <w:rsid w:val="00AF3BF5"/>
    <w:rsid w:val="00AF40E7"/>
    <w:rsid w:val="00AF4108"/>
    <w:rsid w:val="00AF456E"/>
    <w:rsid w:val="00AF4CC9"/>
    <w:rsid w:val="00AF4E3F"/>
    <w:rsid w:val="00AF6897"/>
    <w:rsid w:val="00AF6BA2"/>
    <w:rsid w:val="00AF7779"/>
    <w:rsid w:val="00AF7B0E"/>
    <w:rsid w:val="00B00A6C"/>
    <w:rsid w:val="00B01AF7"/>
    <w:rsid w:val="00B01D4C"/>
    <w:rsid w:val="00B027F5"/>
    <w:rsid w:val="00B030E9"/>
    <w:rsid w:val="00B0364E"/>
    <w:rsid w:val="00B03826"/>
    <w:rsid w:val="00B039FD"/>
    <w:rsid w:val="00B03DA6"/>
    <w:rsid w:val="00B04043"/>
    <w:rsid w:val="00B04254"/>
    <w:rsid w:val="00B044EE"/>
    <w:rsid w:val="00B05298"/>
    <w:rsid w:val="00B05F0F"/>
    <w:rsid w:val="00B0627C"/>
    <w:rsid w:val="00B06DB0"/>
    <w:rsid w:val="00B06F48"/>
    <w:rsid w:val="00B070D5"/>
    <w:rsid w:val="00B0734F"/>
    <w:rsid w:val="00B10F67"/>
    <w:rsid w:val="00B1189E"/>
    <w:rsid w:val="00B12591"/>
    <w:rsid w:val="00B13520"/>
    <w:rsid w:val="00B14452"/>
    <w:rsid w:val="00B1457F"/>
    <w:rsid w:val="00B14727"/>
    <w:rsid w:val="00B1604B"/>
    <w:rsid w:val="00B166EB"/>
    <w:rsid w:val="00B170EF"/>
    <w:rsid w:val="00B1721C"/>
    <w:rsid w:val="00B2014A"/>
    <w:rsid w:val="00B20C82"/>
    <w:rsid w:val="00B21252"/>
    <w:rsid w:val="00B2174F"/>
    <w:rsid w:val="00B233B0"/>
    <w:rsid w:val="00B23E98"/>
    <w:rsid w:val="00B24A64"/>
    <w:rsid w:val="00B250CE"/>
    <w:rsid w:val="00B2527C"/>
    <w:rsid w:val="00B25454"/>
    <w:rsid w:val="00B25A9D"/>
    <w:rsid w:val="00B27977"/>
    <w:rsid w:val="00B3013A"/>
    <w:rsid w:val="00B30757"/>
    <w:rsid w:val="00B30B5C"/>
    <w:rsid w:val="00B31A72"/>
    <w:rsid w:val="00B320F5"/>
    <w:rsid w:val="00B326EA"/>
    <w:rsid w:val="00B32AC3"/>
    <w:rsid w:val="00B32CA1"/>
    <w:rsid w:val="00B342F6"/>
    <w:rsid w:val="00B34690"/>
    <w:rsid w:val="00B347D9"/>
    <w:rsid w:val="00B3498B"/>
    <w:rsid w:val="00B36EA9"/>
    <w:rsid w:val="00B37017"/>
    <w:rsid w:val="00B37284"/>
    <w:rsid w:val="00B372C0"/>
    <w:rsid w:val="00B3734B"/>
    <w:rsid w:val="00B3765A"/>
    <w:rsid w:val="00B37B75"/>
    <w:rsid w:val="00B37C13"/>
    <w:rsid w:val="00B40B1F"/>
    <w:rsid w:val="00B42663"/>
    <w:rsid w:val="00B42D49"/>
    <w:rsid w:val="00B444DE"/>
    <w:rsid w:val="00B44DE2"/>
    <w:rsid w:val="00B44EDB"/>
    <w:rsid w:val="00B45807"/>
    <w:rsid w:val="00B463B1"/>
    <w:rsid w:val="00B47A3E"/>
    <w:rsid w:val="00B510BE"/>
    <w:rsid w:val="00B512AB"/>
    <w:rsid w:val="00B51426"/>
    <w:rsid w:val="00B517D8"/>
    <w:rsid w:val="00B5192E"/>
    <w:rsid w:val="00B51C11"/>
    <w:rsid w:val="00B5276B"/>
    <w:rsid w:val="00B53186"/>
    <w:rsid w:val="00B54A6C"/>
    <w:rsid w:val="00B55771"/>
    <w:rsid w:val="00B55BE7"/>
    <w:rsid w:val="00B56041"/>
    <w:rsid w:val="00B56094"/>
    <w:rsid w:val="00B60136"/>
    <w:rsid w:val="00B602B2"/>
    <w:rsid w:val="00B6133F"/>
    <w:rsid w:val="00B6380A"/>
    <w:rsid w:val="00B64696"/>
    <w:rsid w:val="00B64C65"/>
    <w:rsid w:val="00B64DBC"/>
    <w:rsid w:val="00B66981"/>
    <w:rsid w:val="00B67418"/>
    <w:rsid w:val="00B67F82"/>
    <w:rsid w:val="00B70049"/>
    <w:rsid w:val="00B70BE3"/>
    <w:rsid w:val="00B71314"/>
    <w:rsid w:val="00B71EA8"/>
    <w:rsid w:val="00B72308"/>
    <w:rsid w:val="00B74061"/>
    <w:rsid w:val="00B75FFC"/>
    <w:rsid w:val="00B767F2"/>
    <w:rsid w:val="00B768DC"/>
    <w:rsid w:val="00B76C64"/>
    <w:rsid w:val="00B77BAA"/>
    <w:rsid w:val="00B80982"/>
    <w:rsid w:val="00B80AF9"/>
    <w:rsid w:val="00B82472"/>
    <w:rsid w:val="00B82545"/>
    <w:rsid w:val="00B827F3"/>
    <w:rsid w:val="00B83616"/>
    <w:rsid w:val="00B83F6D"/>
    <w:rsid w:val="00B84022"/>
    <w:rsid w:val="00B8431F"/>
    <w:rsid w:val="00B84970"/>
    <w:rsid w:val="00B84AB2"/>
    <w:rsid w:val="00B85686"/>
    <w:rsid w:val="00B85E6A"/>
    <w:rsid w:val="00B86001"/>
    <w:rsid w:val="00B8602C"/>
    <w:rsid w:val="00B8774E"/>
    <w:rsid w:val="00B90A26"/>
    <w:rsid w:val="00B91237"/>
    <w:rsid w:val="00B91631"/>
    <w:rsid w:val="00B91B0E"/>
    <w:rsid w:val="00B91EF8"/>
    <w:rsid w:val="00B923A1"/>
    <w:rsid w:val="00B92C05"/>
    <w:rsid w:val="00B93596"/>
    <w:rsid w:val="00B93CD5"/>
    <w:rsid w:val="00B94309"/>
    <w:rsid w:val="00B948D9"/>
    <w:rsid w:val="00B94DAC"/>
    <w:rsid w:val="00B958FB"/>
    <w:rsid w:val="00B966EA"/>
    <w:rsid w:val="00B96C1C"/>
    <w:rsid w:val="00B9753B"/>
    <w:rsid w:val="00BA0A33"/>
    <w:rsid w:val="00BA11AC"/>
    <w:rsid w:val="00BA1285"/>
    <w:rsid w:val="00BA1617"/>
    <w:rsid w:val="00BA2E2D"/>
    <w:rsid w:val="00BA3248"/>
    <w:rsid w:val="00BA3B30"/>
    <w:rsid w:val="00BA3DBD"/>
    <w:rsid w:val="00BA3F31"/>
    <w:rsid w:val="00BA45E4"/>
    <w:rsid w:val="00BA49CF"/>
    <w:rsid w:val="00BA4EEC"/>
    <w:rsid w:val="00BA5C18"/>
    <w:rsid w:val="00BA5E1C"/>
    <w:rsid w:val="00BA6C0F"/>
    <w:rsid w:val="00BA6C44"/>
    <w:rsid w:val="00BA772D"/>
    <w:rsid w:val="00BB0204"/>
    <w:rsid w:val="00BB118B"/>
    <w:rsid w:val="00BB174D"/>
    <w:rsid w:val="00BB2299"/>
    <w:rsid w:val="00BB2968"/>
    <w:rsid w:val="00BB2F21"/>
    <w:rsid w:val="00BB2FFD"/>
    <w:rsid w:val="00BB3813"/>
    <w:rsid w:val="00BB3CAA"/>
    <w:rsid w:val="00BB3CEA"/>
    <w:rsid w:val="00BB3D0E"/>
    <w:rsid w:val="00BB3D3E"/>
    <w:rsid w:val="00BB3FEB"/>
    <w:rsid w:val="00BB4003"/>
    <w:rsid w:val="00BB442C"/>
    <w:rsid w:val="00BB4736"/>
    <w:rsid w:val="00BB4805"/>
    <w:rsid w:val="00BB630B"/>
    <w:rsid w:val="00BB6B52"/>
    <w:rsid w:val="00BB711F"/>
    <w:rsid w:val="00BC0079"/>
    <w:rsid w:val="00BC02B9"/>
    <w:rsid w:val="00BC02C4"/>
    <w:rsid w:val="00BC030F"/>
    <w:rsid w:val="00BC0CD5"/>
    <w:rsid w:val="00BC0FC0"/>
    <w:rsid w:val="00BC14D4"/>
    <w:rsid w:val="00BC1695"/>
    <w:rsid w:val="00BC1EEB"/>
    <w:rsid w:val="00BC259F"/>
    <w:rsid w:val="00BC2681"/>
    <w:rsid w:val="00BC3233"/>
    <w:rsid w:val="00BC3A2A"/>
    <w:rsid w:val="00BC3CB2"/>
    <w:rsid w:val="00BC461C"/>
    <w:rsid w:val="00BC4629"/>
    <w:rsid w:val="00BC478F"/>
    <w:rsid w:val="00BC4AA9"/>
    <w:rsid w:val="00BC4E53"/>
    <w:rsid w:val="00BC52EA"/>
    <w:rsid w:val="00BC5B75"/>
    <w:rsid w:val="00BC5DEF"/>
    <w:rsid w:val="00BC66D5"/>
    <w:rsid w:val="00BC6C9B"/>
    <w:rsid w:val="00BC6D8E"/>
    <w:rsid w:val="00BC79A5"/>
    <w:rsid w:val="00BC7B8E"/>
    <w:rsid w:val="00BD0585"/>
    <w:rsid w:val="00BD0614"/>
    <w:rsid w:val="00BD0BCA"/>
    <w:rsid w:val="00BD0BD9"/>
    <w:rsid w:val="00BD1176"/>
    <w:rsid w:val="00BD13B8"/>
    <w:rsid w:val="00BD2C57"/>
    <w:rsid w:val="00BD2EC7"/>
    <w:rsid w:val="00BD3755"/>
    <w:rsid w:val="00BD507D"/>
    <w:rsid w:val="00BD5A45"/>
    <w:rsid w:val="00BD5C7B"/>
    <w:rsid w:val="00BD5FA7"/>
    <w:rsid w:val="00BD7313"/>
    <w:rsid w:val="00BD74DB"/>
    <w:rsid w:val="00BE01A4"/>
    <w:rsid w:val="00BE05FC"/>
    <w:rsid w:val="00BE0994"/>
    <w:rsid w:val="00BE0BE4"/>
    <w:rsid w:val="00BE0C94"/>
    <w:rsid w:val="00BE1261"/>
    <w:rsid w:val="00BE255B"/>
    <w:rsid w:val="00BE2AE8"/>
    <w:rsid w:val="00BE3C56"/>
    <w:rsid w:val="00BE51F9"/>
    <w:rsid w:val="00BE5EAE"/>
    <w:rsid w:val="00BE623E"/>
    <w:rsid w:val="00BE6702"/>
    <w:rsid w:val="00BE67A2"/>
    <w:rsid w:val="00BE67E3"/>
    <w:rsid w:val="00BE7030"/>
    <w:rsid w:val="00BE7E75"/>
    <w:rsid w:val="00BE7FDB"/>
    <w:rsid w:val="00BF0D98"/>
    <w:rsid w:val="00BF1E65"/>
    <w:rsid w:val="00BF238A"/>
    <w:rsid w:val="00BF2687"/>
    <w:rsid w:val="00BF34B4"/>
    <w:rsid w:val="00BF35BB"/>
    <w:rsid w:val="00BF46CC"/>
    <w:rsid w:val="00BF533A"/>
    <w:rsid w:val="00BF55E4"/>
    <w:rsid w:val="00BF673F"/>
    <w:rsid w:val="00BF70F5"/>
    <w:rsid w:val="00BF73E3"/>
    <w:rsid w:val="00BF7548"/>
    <w:rsid w:val="00BF75F1"/>
    <w:rsid w:val="00BF79F9"/>
    <w:rsid w:val="00BF7B6A"/>
    <w:rsid w:val="00C000B8"/>
    <w:rsid w:val="00C00C00"/>
    <w:rsid w:val="00C00EB4"/>
    <w:rsid w:val="00C01D5B"/>
    <w:rsid w:val="00C02FBE"/>
    <w:rsid w:val="00C032BD"/>
    <w:rsid w:val="00C037DE"/>
    <w:rsid w:val="00C039B7"/>
    <w:rsid w:val="00C04A99"/>
    <w:rsid w:val="00C04B36"/>
    <w:rsid w:val="00C04B78"/>
    <w:rsid w:val="00C053D9"/>
    <w:rsid w:val="00C05565"/>
    <w:rsid w:val="00C05774"/>
    <w:rsid w:val="00C05B27"/>
    <w:rsid w:val="00C05D55"/>
    <w:rsid w:val="00C06351"/>
    <w:rsid w:val="00C06784"/>
    <w:rsid w:val="00C06BEF"/>
    <w:rsid w:val="00C06C49"/>
    <w:rsid w:val="00C07160"/>
    <w:rsid w:val="00C07681"/>
    <w:rsid w:val="00C07A60"/>
    <w:rsid w:val="00C07CB7"/>
    <w:rsid w:val="00C106DC"/>
    <w:rsid w:val="00C1089E"/>
    <w:rsid w:val="00C10979"/>
    <w:rsid w:val="00C10C24"/>
    <w:rsid w:val="00C11B23"/>
    <w:rsid w:val="00C11C42"/>
    <w:rsid w:val="00C11DDA"/>
    <w:rsid w:val="00C13197"/>
    <w:rsid w:val="00C135E0"/>
    <w:rsid w:val="00C137D9"/>
    <w:rsid w:val="00C1459E"/>
    <w:rsid w:val="00C145DF"/>
    <w:rsid w:val="00C14886"/>
    <w:rsid w:val="00C1523D"/>
    <w:rsid w:val="00C155DA"/>
    <w:rsid w:val="00C16166"/>
    <w:rsid w:val="00C1635C"/>
    <w:rsid w:val="00C171F7"/>
    <w:rsid w:val="00C1779B"/>
    <w:rsid w:val="00C20AF2"/>
    <w:rsid w:val="00C20E68"/>
    <w:rsid w:val="00C2354A"/>
    <w:rsid w:val="00C248A7"/>
    <w:rsid w:val="00C24DD3"/>
    <w:rsid w:val="00C25857"/>
    <w:rsid w:val="00C25E90"/>
    <w:rsid w:val="00C2735A"/>
    <w:rsid w:val="00C27D28"/>
    <w:rsid w:val="00C27FB5"/>
    <w:rsid w:val="00C27FE3"/>
    <w:rsid w:val="00C3055B"/>
    <w:rsid w:val="00C30D6F"/>
    <w:rsid w:val="00C322B8"/>
    <w:rsid w:val="00C328A7"/>
    <w:rsid w:val="00C32A74"/>
    <w:rsid w:val="00C3312D"/>
    <w:rsid w:val="00C333B7"/>
    <w:rsid w:val="00C33EFB"/>
    <w:rsid w:val="00C34216"/>
    <w:rsid w:val="00C348C3"/>
    <w:rsid w:val="00C36ED7"/>
    <w:rsid w:val="00C37098"/>
    <w:rsid w:val="00C3799D"/>
    <w:rsid w:val="00C41074"/>
    <w:rsid w:val="00C4157D"/>
    <w:rsid w:val="00C41E66"/>
    <w:rsid w:val="00C42711"/>
    <w:rsid w:val="00C43438"/>
    <w:rsid w:val="00C443E5"/>
    <w:rsid w:val="00C44BFD"/>
    <w:rsid w:val="00C44CC6"/>
    <w:rsid w:val="00C45A09"/>
    <w:rsid w:val="00C4606C"/>
    <w:rsid w:val="00C46167"/>
    <w:rsid w:val="00C472A5"/>
    <w:rsid w:val="00C47E44"/>
    <w:rsid w:val="00C47F29"/>
    <w:rsid w:val="00C50C01"/>
    <w:rsid w:val="00C50F22"/>
    <w:rsid w:val="00C511A2"/>
    <w:rsid w:val="00C51C49"/>
    <w:rsid w:val="00C51D69"/>
    <w:rsid w:val="00C52340"/>
    <w:rsid w:val="00C52F1F"/>
    <w:rsid w:val="00C531E5"/>
    <w:rsid w:val="00C53A99"/>
    <w:rsid w:val="00C53CA4"/>
    <w:rsid w:val="00C54AC9"/>
    <w:rsid w:val="00C5548B"/>
    <w:rsid w:val="00C556D4"/>
    <w:rsid w:val="00C5596E"/>
    <w:rsid w:val="00C55B14"/>
    <w:rsid w:val="00C5677E"/>
    <w:rsid w:val="00C56B83"/>
    <w:rsid w:val="00C57B55"/>
    <w:rsid w:val="00C6033C"/>
    <w:rsid w:val="00C625F7"/>
    <w:rsid w:val="00C630EA"/>
    <w:rsid w:val="00C6355C"/>
    <w:rsid w:val="00C63F76"/>
    <w:rsid w:val="00C63FFB"/>
    <w:rsid w:val="00C652E9"/>
    <w:rsid w:val="00C675BA"/>
    <w:rsid w:val="00C715FB"/>
    <w:rsid w:val="00C71723"/>
    <w:rsid w:val="00C71903"/>
    <w:rsid w:val="00C71960"/>
    <w:rsid w:val="00C719C3"/>
    <w:rsid w:val="00C71B91"/>
    <w:rsid w:val="00C71E2D"/>
    <w:rsid w:val="00C72013"/>
    <w:rsid w:val="00C72563"/>
    <w:rsid w:val="00C72F7C"/>
    <w:rsid w:val="00C73289"/>
    <w:rsid w:val="00C74BC5"/>
    <w:rsid w:val="00C74EE7"/>
    <w:rsid w:val="00C756F7"/>
    <w:rsid w:val="00C75F5C"/>
    <w:rsid w:val="00C766C8"/>
    <w:rsid w:val="00C766E1"/>
    <w:rsid w:val="00C77156"/>
    <w:rsid w:val="00C80ECA"/>
    <w:rsid w:val="00C81595"/>
    <w:rsid w:val="00C81CC7"/>
    <w:rsid w:val="00C81CD5"/>
    <w:rsid w:val="00C8267A"/>
    <w:rsid w:val="00C8423F"/>
    <w:rsid w:val="00C845B9"/>
    <w:rsid w:val="00C84FD5"/>
    <w:rsid w:val="00C84FD6"/>
    <w:rsid w:val="00C852AA"/>
    <w:rsid w:val="00C86216"/>
    <w:rsid w:val="00C86CEE"/>
    <w:rsid w:val="00C86E21"/>
    <w:rsid w:val="00C877AF"/>
    <w:rsid w:val="00C90336"/>
    <w:rsid w:val="00C909C8"/>
    <w:rsid w:val="00C90E84"/>
    <w:rsid w:val="00C912D4"/>
    <w:rsid w:val="00C915DE"/>
    <w:rsid w:val="00C921F6"/>
    <w:rsid w:val="00C92571"/>
    <w:rsid w:val="00C92DAD"/>
    <w:rsid w:val="00C92E5B"/>
    <w:rsid w:val="00C92F8E"/>
    <w:rsid w:val="00C93DDA"/>
    <w:rsid w:val="00C93E1B"/>
    <w:rsid w:val="00C94056"/>
    <w:rsid w:val="00C94156"/>
    <w:rsid w:val="00C94FBC"/>
    <w:rsid w:val="00C9599A"/>
    <w:rsid w:val="00C96734"/>
    <w:rsid w:val="00C96CCA"/>
    <w:rsid w:val="00C9712F"/>
    <w:rsid w:val="00C97F1D"/>
    <w:rsid w:val="00CA0513"/>
    <w:rsid w:val="00CA1521"/>
    <w:rsid w:val="00CA204C"/>
    <w:rsid w:val="00CA2467"/>
    <w:rsid w:val="00CA25AB"/>
    <w:rsid w:val="00CA2D5B"/>
    <w:rsid w:val="00CA30D6"/>
    <w:rsid w:val="00CA3B25"/>
    <w:rsid w:val="00CA443B"/>
    <w:rsid w:val="00CA47B9"/>
    <w:rsid w:val="00CA4A58"/>
    <w:rsid w:val="00CA5506"/>
    <w:rsid w:val="00CA6014"/>
    <w:rsid w:val="00CA6127"/>
    <w:rsid w:val="00CA65AA"/>
    <w:rsid w:val="00CB0099"/>
    <w:rsid w:val="00CB0236"/>
    <w:rsid w:val="00CB0243"/>
    <w:rsid w:val="00CB13FB"/>
    <w:rsid w:val="00CB1CC6"/>
    <w:rsid w:val="00CB23AA"/>
    <w:rsid w:val="00CB2EE3"/>
    <w:rsid w:val="00CB3E07"/>
    <w:rsid w:val="00CB402C"/>
    <w:rsid w:val="00CB4366"/>
    <w:rsid w:val="00CB453F"/>
    <w:rsid w:val="00CB4F5C"/>
    <w:rsid w:val="00CB5643"/>
    <w:rsid w:val="00CB5858"/>
    <w:rsid w:val="00CB5C7C"/>
    <w:rsid w:val="00CB646A"/>
    <w:rsid w:val="00CB65C7"/>
    <w:rsid w:val="00CB7118"/>
    <w:rsid w:val="00CC09CB"/>
    <w:rsid w:val="00CC14D1"/>
    <w:rsid w:val="00CC2142"/>
    <w:rsid w:val="00CC24D9"/>
    <w:rsid w:val="00CC2826"/>
    <w:rsid w:val="00CC2D6E"/>
    <w:rsid w:val="00CC3241"/>
    <w:rsid w:val="00CC397E"/>
    <w:rsid w:val="00CC50CC"/>
    <w:rsid w:val="00CC5BF6"/>
    <w:rsid w:val="00CC5E41"/>
    <w:rsid w:val="00CC5EA0"/>
    <w:rsid w:val="00CC6328"/>
    <w:rsid w:val="00CC6FF6"/>
    <w:rsid w:val="00CC75D6"/>
    <w:rsid w:val="00CC788E"/>
    <w:rsid w:val="00CC78A8"/>
    <w:rsid w:val="00CD0465"/>
    <w:rsid w:val="00CD0CA0"/>
    <w:rsid w:val="00CD0DBA"/>
    <w:rsid w:val="00CD1713"/>
    <w:rsid w:val="00CD1BA4"/>
    <w:rsid w:val="00CD2099"/>
    <w:rsid w:val="00CD2288"/>
    <w:rsid w:val="00CD33DD"/>
    <w:rsid w:val="00CD39B0"/>
    <w:rsid w:val="00CD4CCD"/>
    <w:rsid w:val="00CD5D4C"/>
    <w:rsid w:val="00CD60E5"/>
    <w:rsid w:val="00CD611E"/>
    <w:rsid w:val="00CD77AA"/>
    <w:rsid w:val="00CE00CF"/>
    <w:rsid w:val="00CE0989"/>
    <w:rsid w:val="00CE0F8A"/>
    <w:rsid w:val="00CE1641"/>
    <w:rsid w:val="00CE1DFE"/>
    <w:rsid w:val="00CE2627"/>
    <w:rsid w:val="00CE2CF9"/>
    <w:rsid w:val="00CE397D"/>
    <w:rsid w:val="00CE3E8F"/>
    <w:rsid w:val="00CE3F3D"/>
    <w:rsid w:val="00CE4B76"/>
    <w:rsid w:val="00CE4E56"/>
    <w:rsid w:val="00CE586D"/>
    <w:rsid w:val="00CE6690"/>
    <w:rsid w:val="00CE675F"/>
    <w:rsid w:val="00CE697D"/>
    <w:rsid w:val="00CF273E"/>
    <w:rsid w:val="00CF278D"/>
    <w:rsid w:val="00CF2D96"/>
    <w:rsid w:val="00CF300E"/>
    <w:rsid w:val="00CF30F1"/>
    <w:rsid w:val="00CF3796"/>
    <w:rsid w:val="00CF4330"/>
    <w:rsid w:val="00CF44F8"/>
    <w:rsid w:val="00CF561E"/>
    <w:rsid w:val="00CF57A6"/>
    <w:rsid w:val="00CF5A03"/>
    <w:rsid w:val="00CF68AA"/>
    <w:rsid w:val="00CF70AB"/>
    <w:rsid w:val="00CF70F0"/>
    <w:rsid w:val="00CF7173"/>
    <w:rsid w:val="00CF7431"/>
    <w:rsid w:val="00CF780D"/>
    <w:rsid w:val="00D007C6"/>
    <w:rsid w:val="00D00945"/>
    <w:rsid w:val="00D00A52"/>
    <w:rsid w:val="00D015BA"/>
    <w:rsid w:val="00D029D8"/>
    <w:rsid w:val="00D02DC6"/>
    <w:rsid w:val="00D030F1"/>
    <w:rsid w:val="00D03831"/>
    <w:rsid w:val="00D03B2F"/>
    <w:rsid w:val="00D04319"/>
    <w:rsid w:val="00D049E9"/>
    <w:rsid w:val="00D04BD0"/>
    <w:rsid w:val="00D04CDB"/>
    <w:rsid w:val="00D04D89"/>
    <w:rsid w:val="00D062C2"/>
    <w:rsid w:val="00D06E55"/>
    <w:rsid w:val="00D0751F"/>
    <w:rsid w:val="00D1048F"/>
    <w:rsid w:val="00D10901"/>
    <w:rsid w:val="00D1105B"/>
    <w:rsid w:val="00D11989"/>
    <w:rsid w:val="00D12407"/>
    <w:rsid w:val="00D129FF"/>
    <w:rsid w:val="00D12B10"/>
    <w:rsid w:val="00D12D9C"/>
    <w:rsid w:val="00D12E2B"/>
    <w:rsid w:val="00D1366F"/>
    <w:rsid w:val="00D141D9"/>
    <w:rsid w:val="00D15BBF"/>
    <w:rsid w:val="00D16177"/>
    <w:rsid w:val="00D1638A"/>
    <w:rsid w:val="00D165F6"/>
    <w:rsid w:val="00D173DC"/>
    <w:rsid w:val="00D17CA1"/>
    <w:rsid w:val="00D2020A"/>
    <w:rsid w:val="00D21481"/>
    <w:rsid w:val="00D2194D"/>
    <w:rsid w:val="00D21EDA"/>
    <w:rsid w:val="00D22091"/>
    <w:rsid w:val="00D222DE"/>
    <w:rsid w:val="00D2254B"/>
    <w:rsid w:val="00D22B81"/>
    <w:rsid w:val="00D231F9"/>
    <w:rsid w:val="00D235FF"/>
    <w:rsid w:val="00D238FA"/>
    <w:rsid w:val="00D23C2B"/>
    <w:rsid w:val="00D23CC4"/>
    <w:rsid w:val="00D23F67"/>
    <w:rsid w:val="00D260C2"/>
    <w:rsid w:val="00D263A9"/>
    <w:rsid w:val="00D276DF"/>
    <w:rsid w:val="00D277B7"/>
    <w:rsid w:val="00D27A44"/>
    <w:rsid w:val="00D27ED1"/>
    <w:rsid w:val="00D3059B"/>
    <w:rsid w:val="00D31E63"/>
    <w:rsid w:val="00D3261A"/>
    <w:rsid w:val="00D32757"/>
    <w:rsid w:val="00D32765"/>
    <w:rsid w:val="00D3352F"/>
    <w:rsid w:val="00D349E4"/>
    <w:rsid w:val="00D35B81"/>
    <w:rsid w:val="00D378A2"/>
    <w:rsid w:val="00D4044D"/>
    <w:rsid w:val="00D40739"/>
    <w:rsid w:val="00D4080B"/>
    <w:rsid w:val="00D40E72"/>
    <w:rsid w:val="00D41696"/>
    <w:rsid w:val="00D425ED"/>
    <w:rsid w:val="00D43DB5"/>
    <w:rsid w:val="00D4447D"/>
    <w:rsid w:val="00D44559"/>
    <w:rsid w:val="00D449CC"/>
    <w:rsid w:val="00D44B2F"/>
    <w:rsid w:val="00D44E0B"/>
    <w:rsid w:val="00D45149"/>
    <w:rsid w:val="00D45B56"/>
    <w:rsid w:val="00D462C9"/>
    <w:rsid w:val="00D46591"/>
    <w:rsid w:val="00D479E9"/>
    <w:rsid w:val="00D50148"/>
    <w:rsid w:val="00D53A59"/>
    <w:rsid w:val="00D53EB6"/>
    <w:rsid w:val="00D5455D"/>
    <w:rsid w:val="00D54CA4"/>
    <w:rsid w:val="00D55E86"/>
    <w:rsid w:val="00D567D7"/>
    <w:rsid w:val="00D56D7A"/>
    <w:rsid w:val="00D57AA5"/>
    <w:rsid w:val="00D57B5E"/>
    <w:rsid w:val="00D60046"/>
    <w:rsid w:val="00D6033C"/>
    <w:rsid w:val="00D60DD1"/>
    <w:rsid w:val="00D616B1"/>
    <w:rsid w:val="00D618FF"/>
    <w:rsid w:val="00D61DAD"/>
    <w:rsid w:val="00D6282E"/>
    <w:rsid w:val="00D629FC"/>
    <w:rsid w:val="00D62E77"/>
    <w:rsid w:val="00D63564"/>
    <w:rsid w:val="00D65383"/>
    <w:rsid w:val="00D657D1"/>
    <w:rsid w:val="00D66F54"/>
    <w:rsid w:val="00D66FAC"/>
    <w:rsid w:val="00D6708F"/>
    <w:rsid w:val="00D67192"/>
    <w:rsid w:val="00D67EA3"/>
    <w:rsid w:val="00D70F77"/>
    <w:rsid w:val="00D717F6"/>
    <w:rsid w:val="00D71CDA"/>
    <w:rsid w:val="00D71E25"/>
    <w:rsid w:val="00D71FE3"/>
    <w:rsid w:val="00D71FFB"/>
    <w:rsid w:val="00D73D83"/>
    <w:rsid w:val="00D73F71"/>
    <w:rsid w:val="00D746A6"/>
    <w:rsid w:val="00D7489F"/>
    <w:rsid w:val="00D74C53"/>
    <w:rsid w:val="00D752C9"/>
    <w:rsid w:val="00D758C4"/>
    <w:rsid w:val="00D75962"/>
    <w:rsid w:val="00D75AC9"/>
    <w:rsid w:val="00D77996"/>
    <w:rsid w:val="00D77B94"/>
    <w:rsid w:val="00D77FD5"/>
    <w:rsid w:val="00D805CA"/>
    <w:rsid w:val="00D806BC"/>
    <w:rsid w:val="00D80F33"/>
    <w:rsid w:val="00D82049"/>
    <w:rsid w:val="00D82A04"/>
    <w:rsid w:val="00D8300A"/>
    <w:rsid w:val="00D83782"/>
    <w:rsid w:val="00D83A13"/>
    <w:rsid w:val="00D83E39"/>
    <w:rsid w:val="00D8414A"/>
    <w:rsid w:val="00D84AC6"/>
    <w:rsid w:val="00D85059"/>
    <w:rsid w:val="00D8576D"/>
    <w:rsid w:val="00D85873"/>
    <w:rsid w:val="00D858CA"/>
    <w:rsid w:val="00D873F6"/>
    <w:rsid w:val="00D90460"/>
    <w:rsid w:val="00D91878"/>
    <w:rsid w:val="00D91DA0"/>
    <w:rsid w:val="00D92C6A"/>
    <w:rsid w:val="00D92E21"/>
    <w:rsid w:val="00D933C4"/>
    <w:rsid w:val="00D93AAB"/>
    <w:rsid w:val="00D93C52"/>
    <w:rsid w:val="00D93C9E"/>
    <w:rsid w:val="00D93DF2"/>
    <w:rsid w:val="00D94378"/>
    <w:rsid w:val="00D94701"/>
    <w:rsid w:val="00D947C6"/>
    <w:rsid w:val="00D94EA1"/>
    <w:rsid w:val="00D950BE"/>
    <w:rsid w:val="00D950FE"/>
    <w:rsid w:val="00D96062"/>
    <w:rsid w:val="00D971D1"/>
    <w:rsid w:val="00D9783D"/>
    <w:rsid w:val="00D97987"/>
    <w:rsid w:val="00D97AEB"/>
    <w:rsid w:val="00DA01FE"/>
    <w:rsid w:val="00DA0460"/>
    <w:rsid w:val="00DA0893"/>
    <w:rsid w:val="00DA10FE"/>
    <w:rsid w:val="00DA2518"/>
    <w:rsid w:val="00DA2B97"/>
    <w:rsid w:val="00DA3268"/>
    <w:rsid w:val="00DA3BEF"/>
    <w:rsid w:val="00DA4AD5"/>
    <w:rsid w:val="00DA4FCB"/>
    <w:rsid w:val="00DA537A"/>
    <w:rsid w:val="00DA5516"/>
    <w:rsid w:val="00DA599C"/>
    <w:rsid w:val="00DA6034"/>
    <w:rsid w:val="00DA637B"/>
    <w:rsid w:val="00DA6529"/>
    <w:rsid w:val="00DA69F6"/>
    <w:rsid w:val="00DA6E78"/>
    <w:rsid w:val="00DA71A1"/>
    <w:rsid w:val="00DB0A93"/>
    <w:rsid w:val="00DB0BAD"/>
    <w:rsid w:val="00DB0CD5"/>
    <w:rsid w:val="00DB1169"/>
    <w:rsid w:val="00DB1315"/>
    <w:rsid w:val="00DB1397"/>
    <w:rsid w:val="00DB1803"/>
    <w:rsid w:val="00DB25F8"/>
    <w:rsid w:val="00DB3388"/>
    <w:rsid w:val="00DB35CD"/>
    <w:rsid w:val="00DB3613"/>
    <w:rsid w:val="00DB39CB"/>
    <w:rsid w:val="00DB407A"/>
    <w:rsid w:val="00DB5110"/>
    <w:rsid w:val="00DB6680"/>
    <w:rsid w:val="00DB6712"/>
    <w:rsid w:val="00DB6BA0"/>
    <w:rsid w:val="00DB7158"/>
    <w:rsid w:val="00DB7331"/>
    <w:rsid w:val="00DB7CA4"/>
    <w:rsid w:val="00DC0756"/>
    <w:rsid w:val="00DC0EEC"/>
    <w:rsid w:val="00DC1B0D"/>
    <w:rsid w:val="00DC2C15"/>
    <w:rsid w:val="00DC3763"/>
    <w:rsid w:val="00DC3F0B"/>
    <w:rsid w:val="00DC50A4"/>
    <w:rsid w:val="00DC5110"/>
    <w:rsid w:val="00DC51AC"/>
    <w:rsid w:val="00DC634F"/>
    <w:rsid w:val="00DC6742"/>
    <w:rsid w:val="00DC7382"/>
    <w:rsid w:val="00DC7BC1"/>
    <w:rsid w:val="00DC7F87"/>
    <w:rsid w:val="00DD0CA6"/>
    <w:rsid w:val="00DD10BF"/>
    <w:rsid w:val="00DD15C8"/>
    <w:rsid w:val="00DD17CF"/>
    <w:rsid w:val="00DD1C0F"/>
    <w:rsid w:val="00DD2242"/>
    <w:rsid w:val="00DD2640"/>
    <w:rsid w:val="00DD2D7E"/>
    <w:rsid w:val="00DD371D"/>
    <w:rsid w:val="00DD4E20"/>
    <w:rsid w:val="00DD51D3"/>
    <w:rsid w:val="00DD5298"/>
    <w:rsid w:val="00DD5678"/>
    <w:rsid w:val="00DD5E40"/>
    <w:rsid w:val="00DD6478"/>
    <w:rsid w:val="00DD6BF5"/>
    <w:rsid w:val="00DD771E"/>
    <w:rsid w:val="00DD7850"/>
    <w:rsid w:val="00DD7AF1"/>
    <w:rsid w:val="00DD7E92"/>
    <w:rsid w:val="00DE0B67"/>
    <w:rsid w:val="00DE3228"/>
    <w:rsid w:val="00DE3334"/>
    <w:rsid w:val="00DE35E7"/>
    <w:rsid w:val="00DE3914"/>
    <w:rsid w:val="00DE40D7"/>
    <w:rsid w:val="00DE42C1"/>
    <w:rsid w:val="00DE48E7"/>
    <w:rsid w:val="00DE5CDE"/>
    <w:rsid w:val="00DE7A4D"/>
    <w:rsid w:val="00DF062D"/>
    <w:rsid w:val="00DF07FE"/>
    <w:rsid w:val="00DF17D6"/>
    <w:rsid w:val="00DF21AF"/>
    <w:rsid w:val="00DF22DB"/>
    <w:rsid w:val="00DF237F"/>
    <w:rsid w:val="00DF2D15"/>
    <w:rsid w:val="00DF343A"/>
    <w:rsid w:val="00DF36F2"/>
    <w:rsid w:val="00DF6002"/>
    <w:rsid w:val="00DF7600"/>
    <w:rsid w:val="00E011C1"/>
    <w:rsid w:val="00E014FE"/>
    <w:rsid w:val="00E01808"/>
    <w:rsid w:val="00E01845"/>
    <w:rsid w:val="00E019B6"/>
    <w:rsid w:val="00E02D9E"/>
    <w:rsid w:val="00E02DAB"/>
    <w:rsid w:val="00E03032"/>
    <w:rsid w:val="00E03521"/>
    <w:rsid w:val="00E03744"/>
    <w:rsid w:val="00E037DF"/>
    <w:rsid w:val="00E03BDA"/>
    <w:rsid w:val="00E04201"/>
    <w:rsid w:val="00E0443B"/>
    <w:rsid w:val="00E0449C"/>
    <w:rsid w:val="00E05740"/>
    <w:rsid w:val="00E0681D"/>
    <w:rsid w:val="00E06C49"/>
    <w:rsid w:val="00E06C79"/>
    <w:rsid w:val="00E07685"/>
    <w:rsid w:val="00E07B41"/>
    <w:rsid w:val="00E07C8C"/>
    <w:rsid w:val="00E10626"/>
    <w:rsid w:val="00E10F45"/>
    <w:rsid w:val="00E113C8"/>
    <w:rsid w:val="00E125D2"/>
    <w:rsid w:val="00E125EF"/>
    <w:rsid w:val="00E13BF2"/>
    <w:rsid w:val="00E13DC1"/>
    <w:rsid w:val="00E13ECB"/>
    <w:rsid w:val="00E14E90"/>
    <w:rsid w:val="00E150E9"/>
    <w:rsid w:val="00E1521B"/>
    <w:rsid w:val="00E1597C"/>
    <w:rsid w:val="00E160EE"/>
    <w:rsid w:val="00E16AAB"/>
    <w:rsid w:val="00E20277"/>
    <w:rsid w:val="00E214E1"/>
    <w:rsid w:val="00E21A54"/>
    <w:rsid w:val="00E22146"/>
    <w:rsid w:val="00E22551"/>
    <w:rsid w:val="00E25118"/>
    <w:rsid w:val="00E25B06"/>
    <w:rsid w:val="00E25E30"/>
    <w:rsid w:val="00E26532"/>
    <w:rsid w:val="00E26A54"/>
    <w:rsid w:val="00E26D1F"/>
    <w:rsid w:val="00E27A63"/>
    <w:rsid w:val="00E300C4"/>
    <w:rsid w:val="00E309F2"/>
    <w:rsid w:val="00E30B25"/>
    <w:rsid w:val="00E30C5D"/>
    <w:rsid w:val="00E30D63"/>
    <w:rsid w:val="00E310F3"/>
    <w:rsid w:val="00E31CE9"/>
    <w:rsid w:val="00E32F88"/>
    <w:rsid w:val="00E3335C"/>
    <w:rsid w:val="00E3347A"/>
    <w:rsid w:val="00E33649"/>
    <w:rsid w:val="00E34029"/>
    <w:rsid w:val="00E34462"/>
    <w:rsid w:val="00E34FE0"/>
    <w:rsid w:val="00E35212"/>
    <w:rsid w:val="00E361FC"/>
    <w:rsid w:val="00E36C71"/>
    <w:rsid w:val="00E36D22"/>
    <w:rsid w:val="00E36DBC"/>
    <w:rsid w:val="00E377F4"/>
    <w:rsid w:val="00E4064E"/>
    <w:rsid w:val="00E40CE3"/>
    <w:rsid w:val="00E41F1E"/>
    <w:rsid w:val="00E4230C"/>
    <w:rsid w:val="00E42933"/>
    <w:rsid w:val="00E42A90"/>
    <w:rsid w:val="00E42B74"/>
    <w:rsid w:val="00E443C4"/>
    <w:rsid w:val="00E44BA9"/>
    <w:rsid w:val="00E4566A"/>
    <w:rsid w:val="00E457AC"/>
    <w:rsid w:val="00E45DFD"/>
    <w:rsid w:val="00E460C7"/>
    <w:rsid w:val="00E46658"/>
    <w:rsid w:val="00E46AAE"/>
    <w:rsid w:val="00E4717A"/>
    <w:rsid w:val="00E474E6"/>
    <w:rsid w:val="00E47564"/>
    <w:rsid w:val="00E50533"/>
    <w:rsid w:val="00E51A8F"/>
    <w:rsid w:val="00E52D72"/>
    <w:rsid w:val="00E5440A"/>
    <w:rsid w:val="00E54599"/>
    <w:rsid w:val="00E54632"/>
    <w:rsid w:val="00E547B5"/>
    <w:rsid w:val="00E54FA2"/>
    <w:rsid w:val="00E5564A"/>
    <w:rsid w:val="00E55C43"/>
    <w:rsid w:val="00E55FCF"/>
    <w:rsid w:val="00E560C6"/>
    <w:rsid w:val="00E561C8"/>
    <w:rsid w:val="00E57555"/>
    <w:rsid w:val="00E57A89"/>
    <w:rsid w:val="00E610AD"/>
    <w:rsid w:val="00E61998"/>
    <w:rsid w:val="00E61DE8"/>
    <w:rsid w:val="00E62EA1"/>
    <w:rsid w:val="00E63694"/>
    <w:rsid w:val="00E63DFC"/>
    <w:rsid w:val="00E63E52"/>
    <w:rsid w:val="00E64FD6"/>
    <w:rsid w:val="00E67469"/>
    <w:rsid w:val="00E67833"/>
    <w:rsid w:val="00E67F2D"/>
    <w:rsid w:val="00E7049A"/>
    <w:rsid w:val="00E709DC"/>
    <w:rsid w:val="00E70BAD"/>
    <w:rsid w:val="00E70D5A"/>
    <w:rsid w:val="00E71197"/>
    <w:rsid w:val="00E71E65"/>
    <w:rsid w:val="00E728DC"/>
    <w:rsid w:val="00E72F45"/>
    <w:rsid w:val="00E74397"/>
    <w:rsid w:val="00E7527D"/>
    <w:rsid w:val="00E7544A"/>
    <w:rsid w:val="00E75792"/>
    <w:rsid w:val="00E759ED"/>
    <w:rsid w:val="00E76B2D"/>
    <w:rsid w:val="00E76E68"/>
    <w:rsid w:val="00E77152"/>
    <w:rsid w:val="00E7741B"/>
    <w:rsid w:val="00E77742"/>
    <w:rsid w:val="00E77A81"/>
    <w:rsid w:val="00E80493"/>
    <w:rsid w:val="00E8084A"/>
    <w:rsid w:val="00E80C7C"/>
    <w:rsid w:val="00E80FF0"/>
    <w:rsid w:val="00E8107E"/>
    <w:rsid w:val="00E811C0"/>
    <w:rsid w:val="00E81863"/>
    <w:rsid w:val="00E822D9"/>
    <w:rsid w:val="00E83123"/>
    <w:rsid w:val="00E845CD"/>
    <w:rsid w:val="00E850EA"/>
    <w:rsid w:val="00E858F6"/>
    <w:rsid w:val="00E85CC2"/>
    <w:rsid w:val="00E85E74"/>
    <w:rsid w:val="00E86BF3"/>
    <w:rsid w:val="00E8718C"/>
    <w:rsid w:val="00E87523"/>
    <w:rsid w:val="00E90412"/>
    <w:rsid w:val="00E9098A"/>
    <w:rsid w:val="00E90DA3"/>
    <w:rsid w:val="00E91771"/>
    <w:rsid w:val="00E920FA"/>
    <w:rsid w:val="00E92CB5"/>
    <w:rsid w:val="00E93126"/>
    <w:rsid w:val="00E9316F"/>
    <w:rsid w:val="00E93281"/>
    <w:rsid w:val="00E939FF"/>
    <w:rsid w:val="00E93D8E"/>
    <w:rsid w:val="00E93F80"/>
    <w:rsid w:val="00E94176"/>
    <w:rsid w:val="00E94AA1"/>
    <w:rsid w:val="00E94FB9"/>
    <w:rsid w:val="00E967C2"/>
    <w:rsid w:val="00E96A97"/>
    <w:rsid w:val="00E96B53"/>
    <w:rsid w:val="00E96C23"/>
    <w:rsid w:val="00E96C32"/>
    <w:rsid w:val="00E97D45"/>
    <w:rsid w:val="00E97DBE"/>
    <w:rsid w:val="00E97F4B"/>
    <w:rsid w:val="00EA02CC"/>
    <w:rsid w:val="00EA058D"/>
    <w:rsid w:val="00EA142D"/>
    <w:rsid w:val="00EA2DF9"/>
    <w:rsid w:val="00EA4740"/>
    <w:rsid w:val="00EA4BFE"/>
    <w:rsid w:val="00EA4CD0"/>
    <w:rsid w:val="00EA4CEE"/>
    <w:rsid w:val="00EA51BA"/>
    <w:rsid w:val="00EA6AE5"/>
    <w:rsid w:val="00EA6DC5"/>
    <w:rsid w:val="00EA76F6"/>
    <w:rsid w:val="00EB18A9"/>
    <w:rsid w:val="00EB1A92"/>
    <w:rsid w:val="00EB2164"/>
    <w:rsid w:val="00EB2215"/>
    <w:rsid w:val="00EB2AA2"/>
    <w:rsid w:val="00EB2AE5"/>
    <w:rsid w:val="00EB3216"/>
    <w:rsid w:val="00EB431F"/>
    <w:rsid w:val="00EB4671"/>
    <w:rsid w:val="00EB4F85"/>
    <w:rsid w:val="00EB4FD4"/>
    <w:rsid w:val="00EB5172"/>
    <w:rsid w:val="00EB534E"/>
    <w:rsid w:val="00EB5D04"/>
    <w:rsid w:val="00EB6260"/>
    <w:rsid w:val="00EB634C"/>
    <w:rsid w:val="00EB6ED3"/>
    <w:rsid w:val="00EB74ED"/>
    <w:rsid w:val="00EC0230"/>
    <w:rsid w:val="00EC02BD"/>
    <w:rsid w:val="00EC05A8"/>
    <w:rsid w:val="00EC067E"/>
    <w:rsid w:val="00EC0A93"/>
    <w:rsid w:val="00EC0B43"/>
    <w:rsid w:val="00EC0CA1"/>
    <w:rsid w:val="00EC0DCA"/>
    <w:rsid w:val="00EC1065"/>
    <w:rsid w:val="00EC3001"/>
    <w:rsid w:val="00EC31DF"/>
    <w:rsid w:val="00EC367A"/>
    <w:rsid w:val="00EC3E6B"/>
    <w:rsid w:val="00EC42CE"/>
    <w:rsid w:val="00EC43DA"/>
    <w:rsid w:val="00EC46B8"/>
    <w:rsid w:val="00EC4F37"/>
    <w:rsid w:val="00EC521D"/>
    <w:rsid w:val="00EC5847"/>
    <w:rsid w:val="00EC59AF"/>
    <w:rsid w:val="00EC610E"/>
    <w:rsid w:val="00EC68F0"/>
    <w:rsid w:val="00EC6CD0"/>
    <w:rsid w:val="00EC6EA6"/>
    <w:rsid w:val="00EC7576"/>
    <w:rsid w:val="00EC7FD6"/>
    <w:rsid w:val="00ED07AF"/>
    <w:rsid w:val="00ED0824"/>
    <w:rsid w:val="00ED185B"/>
    <w:rsid w:val="00ED1D0C"/>
    <w:rsid w:val="00ED1EC8"/>
    <w:rsid w:val="00ED2B4C"/>
    <w:rsid w:val="00ED31FF"/>
    <w:rsid w:val="00ED329F"/>
    <w:rsid w:val="00ED34CD"/>
    <w:rsid w:val="00ED378B"/>
    <w:rsid w:val="00ED3849"/>
    <w:rsid w:val="00ED3AB0"/>
    <w:rsid w:val="00ED3F0A"/>
    <w:rsid w:val="00ED4542"/>
    <w:rsid w:val="00ED4F80"/>
    <w:rsid w:val="00ED5797"/>
    <w:rsid w:val="00ED5A4C"/>
    <w:rsid w:val="00ED5BF8"/>
    <w:rsid w:val="00ED5C87"/>
    <w:rsid w:val="00ED5D13"/>
    <w:rsid w:val="00ED5E0C"/>
    <w:rsid w:val="00ED5E6D"/>
    <w:rsid w:val="00ED5F58"/>
    <w:rsid w:val="00ED60C8"/>
    <w:rsid w:val="00ED6272"/>
    <w:rsid w:val="00ED718C"/>
    <w:rsid w:val="00ED7D11"/>
    <w:rsid w:val="00EE035D"/>
    <w:rsid w:val="00EE0463"/>
    <w:rsid w:val="00EE0B91"/>
    <w:rsid w:val="00EE0ED4"/>
    <w:rsid w:val="00EE15AC"/>
    <w:rsid w:val="00EE1F79"/>
    <w:rsid w:val="00EE2203"/>
    <w:rsid w:val="00EE2E9C"/>
    <w:rsid w:val="00EE30DE"/>
    <w:rsid w:val="00EE31F0"/>
    <w:rsid w:val="00EE3AC2"/>
    <w:rsid w:val="00EE3D81"/>
    <w:rsid w:val="00EE4C7D"/>
    <w:rsid w:val="00EE4D9D"/>
    <w:rsid w:val="00EE51FC"/>
    <w:rsid w:val="00EE5981"/>
    <w:rsid w:val="00EE5FED"/>
    <w:rsid w:val="00EE6508"/>
    <w:rsid w:val="00EE69CC"/>
    <w:rsid w:val="00EE6D78"/>
    <w:rsid w:val="00EE6E77"/>
    <w:rsid w:val="00EE7039"/>
    <w:rsid w:val="00EE75C3"/>
    <w:rsid w:val="00EE7951"/>
    <w:rsid w:val="00EF00B6"/>
    <w:rsid w:val="00EF02C5"/>
    <w:rsid w:val="00EF2215"/>
    <w:rsid w:val="00EF2B02"/>
    <w:rsid w:val="00EF2FC9"/>
    <w:rsid w:val="00EF3B1F"/>
    <w:rsid w:val="00EF3B2F"/>
    <w:rsid w:val="00EF3F97"/>
    <w:rsid w:val="00EF4173"/>
    <w:rsid w:val="00EF4428"/>
    <w:rsid w:val="00EF45BE"/>
    <w:rsid w:val="00EF4923"/>
    <w:rsid w:val="00EF4A88"/>
    <w:rsid w:val="00EF4AB3"/>
    <w:rsid w:val="00EF4DE4"/>
    <w:rsid w:val="00EF5685"/>
    <w:rsid w:val="00EF5902"/>
    <w:rsid w:val="00EF60BC"/>
    <w:rsid w:val="00EF6660"/>
    <w:rsid w:val="00EF7390"/>
    <w:rsid w:val="00EF79AB"/>
    <w:rsid w:val="00F002B4"/>
    <w:rsid w:val="00F00522"/>
    <w:rsid w:val="00F0087A"/>
    <w:rsid w:val="00F021F7"/>
    <w:rsid w:val="00F02EB9"/>
    <w:rsid w:val="00F032FA"/>
    <w:rsid w:val="00F03C1C"/>
    <w:rsid w:val="00F04E3D"/>
    <w:rsid w:val="00F04E90"/>
    <w:rsid w:val="00F063B8"/>
    <w:rsid w:val="00F0665D"/>
    <w:rsid w:val="00F06916"/>
    <w:rsid w:val="00F070F8"/>
    <w:rsid w:val="00F07448"/>
    <w:rsid w:val="00F110DB"/>
    <w:rsid w:val="00F11106"/>
    <w:rsid w:val="00F11545"/>
    <w:rsid w:val="00F11743"/>
    <w:rsid w:val="00F11A62"/>
    <w:rsid w:val="00F123E1"/>
    <w:rsid w:val="00F12873"/>
    <w:rsid w:val="00F136A3"/>
    <w:rsid w:val="00F1377B"/>
    <w:rsid w:val="00F140F0"/>
    <w:rsid w:val="00F15DA8"/>
    <w:rsid w:val="00F15F64"/>
    <w:rsid w:val="00F15FA3"/>
    <w:rsid w:val="00F164B3"/>
    <w:rsid w:val="00F1651E"/>
    <w:rsid w:val="00F169C6"/>
    <w:rsid w:val="00F2022A"/>
    <w:rsid w:val="00F203E7"/>
    <w:rsid w:val="00F210E2"/>
    <w:rsid w:val="00F2151F"/>
    <w:rsid w:val="00F21E39"/>
    <w:rsid w:val="00F2254D"/>
    <w:rsid w:val="00F22D93"/>
    <w:rsid w:val="00F22F5D"/>
    <w:rsid w:val="00F234F2"/>
    <w:rsid w:val="00F237F1"/>
    <w:rsid w:val="00F254FF"/>
    <w:rsid w:val="00F25686"/>
    <w:rsid w:val="00F258FB"/>
    <w:rsid w:val="00F25FD5"/>
    <w:rsid w:val="00F2692A"/>
    <w:rsid w:val="00F2723A"/>
    <w:rsid w:val="00F274BC"/>
    <w:rsid w:val="00F301E2"/>
    <w:rsid w:val="00F308C9"/>
    <w:rsid w:val="00F30EDC"/>
    <w:rsid w:val="00F319A6"/>
    <w:rsid w:val="00F31CB9"/>
    <w:rsid w:val="00F31D50"/>
    <w:rsid w:val="00F32452"/>
    <w:rsid w:val="00F3256F"/>
    <w:rsid w:val="00F32F47"/>
    <w:rsid w:val="00F33788"/>
    <w:rsid w:val="00F34904"/>
    <w:rsid w:val="00F34E2E"/>
    <w:rsid w:val="00F350EA"/>
    <w:rsid w:val="00F35180"/>
    <w:rsid w:val="00F35197"/>
    <w:rsid w:val="00F35292"/>
    <w:rsid w:val="00F353B9"/>
    <w:rsid w:val="00F35AB5"/>
    <w:rsid w:val="00F35C8E"/>
    <w:rsid w:val="00F4082A"/>
    <w:rsid w:val="00F4179F"/>
    <w:rsid w:val="00F41E04"/>
    <w:rsid w:val="00F42A06"/>
    <w:rsid w:val="00F433F6"/>
    <w:rsid w:val="00F439D2"/>
    <w:rsid w:val="00F45FFA"/>
    <w:rsid w:val="00F471A4"/>
    <w:rsid w:val="00F500DA"/>
    <w:rsid w:val="00F50282"/>
    <w:rsid w:val="00F50C8E"/>
    <w:rsid w:val="00F51270"/>
    <w:rsid w:val="00F518F9"/>
    <w:rsid w:val="00F51FF3"/>
    <w:rsid w:val="00F53730"/>
    <w:rsid w:val="00F53EC6"/>
    <w:rsid w:val="00F5465B"/>
    <w:rsid w:val="00F5482D"/>
    <w:rsid w:val="00F54B48"/>
    <w:rsid w:val="00F54C11"/>
    <w:rsid w:val="00F55062"/>
    <w:rsid w:val="00F57C05"/>
    <w:rsid w:val="00F60AD6"/>
    <w:rsid w:val="00F60E1E"/>
    <w:rsid w:val="00F61FD6"/>
    <w:rsid w:val="00F62F8F"/>
    <w:rsid w:val="00F63270"/>
    <w:rsid w:val="00F632EF"/>
    <w:rsid w:val="00F63943"/>
    <w:rsid w:val="00F64906"/>
    <w:rsid w:val="00F668DA"/>
    <w:rsid w:val="00F66E8A"/>
    <w:rsid w:val="00F67459"/>
    <w:rsid w:val="00F675AB"/>
    <w:rsid w:val="00F67803"/>
    <w:rsid w:val="00F678E7"/>
    <w:rsid w:val="00F7017B"/>
    <w:rsid w:val="00F72338"/>
    <w:rsid w:val="00F72C3D"/>
    <w:rsid w:val="00F738D5"/>
    <w:rsid w:val="00F73979"/>
    <w:rsid w:val="00F74E27"/>
    <w:rsid w:val="00F7534E"/>
    <w:rsid w:val="00F75492"/>
    <w:rsid w:val="00F771EE"/>
    <w:rsid w:val="00F77831"/>
    <w:rsid w:val="00F77E6B"/>
    <w:rsid w:val="00F8073D"/>
    <w:rsid w:val="00F80C48"/>
    <w:rsid w:val="00F81AA3"/>
    <w:rsid w:val="00F81D86"/>
    <w:rsid w:val="00F82C18"/>
    <w:rsid w:val="00F84070"/>
    <w:rsid w:val="00F84687"/>
    <w:rsid w:val="00F84735"/>
    <w:rsid w:val="00F85F05"/>
    <w:rsid w:val="00F864D9"/>
    <w:rsid w:val="00F870B1"/>
    <w:rsid w:val="00F87F31"/>
    <w:rsid w:val="00F87F6E"/>
    <w:rsid w:val="00F90273"/>
    <w:rsid w:val="00F90829"/>
    <w:rsid w:val="00F9095F"/>
    <w:rsid w:val="00F91089"/>
    <w:rsid w:val="00F912E0"/>
    <w:rsid w:val="00F9179B"/>
    <w:rsid w:val="00F918E0"/>
    <w:rsid w:val="00F92626"/>
    <w:rsid w:val="00F9309C"/>
    <w:rsid w:val="00F931ED"/>
    <w:rsid w:val="00F935A0"/>
    <w:rsid w:val="00F93941"/>
    <w:rsid w:val="00F939F3"/>
    <w:rsid w:val="00F93BBA"/>
    <w:rsid w:val="00F93C0E"/>
    <w:rsid w:val="00F94CD1"/>
    <w:rsid w:val="00F9577D"/>
    <w:rsid w:val="00F95FA6"/>
    <w:rsid w:val="00F97421"/>
    <w:rsid w:val="00FA0329"/>
    <w:rsid w:val="00FA18C9"/>
    <w:rsid w:val="00FA1C85"/>
    <w:rsid w:val="00FA1FCE"/>
    <w:rsid w:val="00FA25FA"/>
    <w:rsid w:val="00FA27BB"/>
    <w:rsid w:val="00FA27D4"/>
    <w:rsid w:val="00FA389C"/>
    <w:rsid w:val="00FA45EF"/>
    <w:rsid w:val="00FA48F7"/>
    <w:rsid w:val="00FA50C4"/>
    <w:rsid w:val="00FA53E7"/>
    <w:rsid w:val="00FA581F"/>
    <w:rsid w:val="00FA6BA7"/>
    <w:rsid w:val="00FA6D07"/>
    <w:rsid w:val="00FA7EAE"/>
    <w:rsid w:val="00FA7F93"/>
    <w:rsid w:val="00FB0BC7"/>
    <w:rsid w:val="00FB14EA"/>
    <w:rsid w:val="00FB1B61"/>
    <w:rsid w:val="00FB1FF2"/>
    <w:rsid w:val="00FB215E"/>
    <w:rsid w:val="00FB2D47"/>
    <w:rsid w:val="00FB31EB"/>
    <w:rsid w:val="00FB38FA"/>
    <w:rsid w:val="00FB402B"/>
    <w:rsid w:val="00FB4511"/>
    <w:rsid w:val="00FB5169"/>
    <w:rsid w:val="00FB534A"/>
    <w:rsid w:val="00FB586D"/>
    <w:rsid w:val="00FB58F4"/>
    <w:rsid w:val="00FB5A03"/>
    <w:rsid w:val="00FB5C3F"/>
    <w:rsid w:val="00FB5D59"/>
    <w:rsid w:val="00FB5DFF"/>
    <w:rsid w:val="00FB64B1"/>
    <w:rsid w:val="00FB6794"/>
    <w:rsid w:val="00FB7A1D"/>
    <w:rsid w:val="00FC0719"/>
    <w:rsid w:val="00FC13D6"/>
    <w:rsid w:val="00FC1CD7"/>
    <w:rsid w:val="00FC1E5D"/>
    <w:rsid w:val="00FC2329"/>
    <w:rsid w:val="00FC286F"/>
    <w:rsid w:val="00FC2C68"/>
    <w:rsid w:val="00FC3254"/>
    <w:rsid w:val="00FC34CC"/>
    <w:rsid w:val="00FC484E"/>
    <w:rsid w:val="00FC5F7E"/>
    <w:rsid w:val="00FC627A"/>
    <w:rsid w:val="00FC6B31"/>
    <w:rsid w:val="00FC7967"/>
    <w:rsid w:val="00FC79E4"/>
    <w:rsid w:val="00FD0079"/>
    <w:rsid w:val="00FD014B"/>
    <w:rsid w:val="00FD0874"/>
    <w:rsid w:val="00FD10FF"/>
    <w:rsid w:val="00FD14AD"/>
    <w:rsid w:val="00FD2CA0"/>
    <w:rsid w:val="00FD2DEB"/>
    <w:rsid w:val="00FD323F"/>
    <w:rsid w:val="00FD385C"/>
    <w:rsid w:val="00FD58DF"/>
    <w:rsid w:val="00FD70BB"/>
    <w:rsid w:val="00FD737B"/>
    <w:rsid w:val="00FD7733"/>
    <w:rsid w:val="00FD7BAA"/>
    <w:rsid w:val="00FD7F2A"/>
    <w:rsid w:val="00FE0484"/>
    <w:rsid w:val="00FE0FDC"/>
    <w:rsid w:val="00FE1218"/>
    <w:rsid w:val="00FE1468"/>
    <w:rsid w:val="00FE251F"/>
    <w:rsid w:val="00FE3036"/>
    <w:rsid w:val="00FE33EF"/>
    <w:rsid w:val="00FE34B5"/>
    <w:rsid w:val="00FE384E"/>
    <w:rsid w:val="00FE3FB6"/>
    <w:rsid w:val="00FE47EF"/>
    <w:rsid w:val="00FE50F2"/>
    <w:rsid w:val="00FE6239"/>
    <w:rsid w:val="00FE655D"/>
    <w:rsid w:val="00FE6735"/>
    <w:rsid w:val="00FE6BF3"/>
    <w:rsid w:val="00FE73A7"/>
    <w:rsid w:val="00FE7785"/>
    <w:rsid w:val="00FE7E1C"/>
    <w:rsid w:val="00FF0301"/>
    <w:rsid w:val="00FF06DD"/>
    <w:rsid w:val="00FF1625"/>
    <w:rsid w:val="00FF1DCA"/>
    <w:rsid w:val="00FF1E2D"/>
    <w:rsid w:val="00FF1F8D"/>
    <w:rsid w:val="00FF20E9"/>
    <w:rsid w:val="00FF3579"/>
    <w:rsid w:val="00FF3E45"/>
    <w:rsid w:val="00FF4CA1"/>
    <w:rsid w:val="00FF4EEB"/>
    <w:rsid w:val="00FF50CE"/>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7E3CC69D-3C1F-4037-90AF-BD4E45D6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LU" w:eastAsia="fr-L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E561C8"/>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E561C8"/>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561C8"/>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561C8"/>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E561C8"/>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rsid w:val="00E561C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E561C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E561C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E561C8"/>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E561C8"/>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E561C8"/>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rsid w:val="00E561C8"/>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E561C8"/>
    <w:rPr>
      <w:rFonts w:ascii="Times New Roman" w:eastAsia="SimSun" w:hAnsi="Times New Roman" w:cs="Times New Roman"/>
      <w:kern w:val="0"/>
      <w:sz w:val="18"/>
      <w:szCs w:val="20"/>
      <w14:ligatures w14:val="non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
    <w:basedOn w:val="Policepardfaut"/>
    <w:link w:val="BVIfnrChar"/>
    <w:uiPriority w:val="99"/>
    <w:unhideWhenUsed/>
    <w:rsid w:val="00E561C8"/>
    <w:rPr>
      <w:vertAlign w:val="superscript"/>
    </w:rPr>
  </w:style>
  <w:style w:type="paragraph" w:customStyle="1" w:styleId="Footnote">
    <w:name w:val="Footnote"/>
    <w:basedOn w:val="Notedebasdepage"/>
    <w:qFormat/>
    <w:rsid w:val="00E561C8"/>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Titre2Car">
    <w:name w:val="Titre 2 Car"/>
    <w:basedOn w:val="Policepardfaut"/>
    <w:link w:val="Titre2"/>
    <w:uiPriority w:val="9"/>
    <w:rsid w:val="00E561C8"/>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E561C8"/>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E561C8"/>
    <w:rPr>
      <w:rFonts w:ascii="Times New Roman" w:eastAsia="SimSun" w:hAnsi="Times New Roman" w:cs="Times New Roman"/>
      <w:kern w:val="0"/>
      <w:sz w:val="20"/>
      <w14:ligatures w14:val="none"/>
    </w:rPr>
  </w:style>
  <w:style w:type="paragraph" w:styleId="Pieddepage">
    <w:name w:val="footer"/>
    <w:basedOn w:val="Normal"/>
    <w:link w:val="PieddepageCar"/>
    <w:uiPriority w:val="99"/>
    <w:rsid w:val="00E561C8"/>
    <w:pPr>
      <w:tabs>
        <w:tab w:val="center" w:pos="4680"/>
        <w:tab w:val="right" w:pos="9360"/>
      </w:tabs>
    </w:pPr>
    <w:rPr>
      <w:sz w:val="20"/>
    </w:rPr>
  </w:style>
  <w:style w:type="character" w:customStyle="1" w:styleId="PieddepageCar">
    <w:name w:val="Pied de page Car"/>
    <w:basedOn w:val="Policepardfaut"/>
    <w:link w:val="Pieddepage"/>
    <w:uiPriority w:val="99"/>
    <w:rsid w:val="00E561C8"/>
    <w:rPr>
      <w:rFonts w:ascii="Times New Roman" w:eastAsia="SimSun" w:hAnsi="Times New Roman" w:cs="Times New Roman"/>
      <w:kern w:val="0"/>
      <w:sz w:val="20"/>
      <w14:ligatures w14:val="none"/>
    </w:rPr>
  </w:style>
  <w:style w:type="character" w:customStyle="1" w:styleId="Titre3Car">
    <w:name w:val="Titre 3 Car"/>
    <w:basedOn w:val="Policepardfaut"/>
    <w:link w:val="Titre3"/>
    <w:uiPriority w:val="9"/>
    <w:rsid w:val="00E561C8"/>
    <w:rPr>
      <w:rFonts w:ascii="Times New Roman" w:eastAsiaTheme="majorEastAsia" w:hAnsi="Times New Roman" w:cs="Times New Roman"/>
      <w:b/>
      <w:bCs/>
      <w:kern w:val="0"/>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2"/>
      </w:numPr>
      <w:spacing w:before="120" w:after="120"/>
      <w:ind w:left="1134"/>
    </w:pPr>
  </w:style>
  <w:style w:type="character" w:customStyle="1" w:styleId="Titre4Car">
    <w:name w:val="Titre 4 Car"/>
    <w:basedOn w:val="Policepardfaut"/>
    <w:link w:val="Titre4"/>
    <w:uiPriority w:val="9"/>
    <w:rsid w:val="00E561C8"/>
    <w:rPr>
      <w:rFonts w:ascii="Times New Roman" w:eastAsiaTheme="majorEastAsia" w:hAnsi="Times New Roman" w:cs="Times New Roman"/>
      <w:b/>
      <w:bCs/>
      <w:kern w:val="0"/>
      <w14:ligatures w14:val="none"/>
    </w:rPr>
  </w:style>
  <w:style w:type="character" w:customStyle="1" w:styleId="Titre5Car">
    <w:name w:val="Titre 5 Car"/>
    <w:basedOn w:val="Policepardfaut"/>
    <w:link w:val="Titre5"/>
    <w:uiPriority w:val="9"/>
    <w:rsid w:val="00E561C8"/>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semiHidden/>
    <w:unhideWhenUsed/>
    <w:rsid w:val="00E561C8"/>
    <w:rPr>
      <w:sz w:val="16"/>
      <w:szCs w:val="16"/>
    </w:rPr>
  </w:style>
  <w:style w:type="paragraph" w:styleId="Commentaire">
    <w:name w:val="annotation text"/>
    <w:basedOn w:val="Normal"/>
    <w:link w:val="CommentaireCar"/>
    <w:uiPriority w:val="99"/>
    <w:rsid w:val="00E561C8"/>
    <w:rPr>
      <w:sz w:val="20"/>
      <w:szCs w:val="20"/>
    </w:rPr>
  </w:style>
  <w:style w:type="character" w:customStyle="1" w:styleId="CommentaireCar">
    <w:name w:val="Commentaire Car"/>
    <w:basedOn w:val="Policepardfaut"/>
    <w:link w:val="Commentaire"/>
    <w:uiPriority w:val="99"/>
    <w:rsid w:val="00E561C8"/>
    <w:rPr>
      <w:rFonts w:ascii="Times New Roman" w:eastAsia="SimSu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E561C8"/>
    <w:rPr>
      <w:b/>
      <w:bCs/>
    </w:rPr>
  </w:style>
  <w:style w:type="character" w:customStyle="1" w:styleId="ObjetducommentaireCar">
    <w:name w:val="Objet du commentaire Car"/>
    <w:basedOn w:val="CommentaireCar"/>
    <w:link w:val="Objetducommentaire"/>
    <w:uiPriority w:val="99"/>
    <w:semiHidden/>
    <w:rsid w:val="00E561C8"/>
    <w:rPr>
      <w:rFonts w:ascii="Times New Roman" w:eastAsia="SimSun" w:hAnsi="Times New Roman" w:cs="Times New Roman"/>
      <w:b/>
      <w:bCs/>
      <w:kern w:val="0"/>
      <w:sz w:val="20"/>
      <w:szCs w:val="20"/>
      <w14:ligatures w14:val="none"/>
    </w:rPr>
  </w:style>
  <w:style w:type="paragraph" w:customStyle="1" w:styleId="Para1">
    <w:name w:val="Para1"/>
    <w:basedOn w:val="Normal"/>
    <w:link w:val="Para1Char"/>
    <w:rsid w:val="002666FF"/>
    <w:pPr>
      <w:numPr>
        <w:numId w:val="3"/>
      </w:numPr>
      <w:spacing w:before="120" w:after="120"/>
    </w:pPr>
    <w:rPr>
      <w:snapToGrid w:val="0"/>
      <w:szCs w:val="18"/>
    </w:rPr>
  </w:style>
  <w:style w:type="paragraph" w:styleId="TM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E561C8"/>
    <w:rPr>
      <w:rFonts w:ascii="Times New Roman" w:hAnsi="Times New Roman"/>
      <w:color w:val="0563C1" w:themeColor="hyperlink"/>
      <w:u w:val="single"/>
    </w:rPr>
  </w:style>
  <w:style w:type="character" w:customStyle="1" w:styleId="Para1Char">
    <w:name w:val="Para1 Char"/>
    <w:link w:val="Para1"/>
    <w:rsid w:val="002666FF"/>
    <w:rPr>
      <w:rFonts w:ascii="Times New Roman" w:eastAsia="SimSun" w:hAnsi="Times New Roman" w:cs="Times New Roman"/>
      <w:snapToGrid w:val="0"/>
      <w:kern w:val="0"/>
      <w:szCs w:val="18"/>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Numrodepage">
    <w:name w:val="page number"/>
    <w:rsid w:val="00673475"/>
    <w:rPr>
      <w:rFonts w:ascii="Times New Roman" w:hAnsi="Times New Roman"/>
      <w:sz w:val="22"/>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Mentionnonrsolue">
    <w:name w:val="Unresolved Mention"/>
    <w:basedOn w:val="Policepardfaut"/>
    <w:uiPriority w:val="99"/>
    <w:semiHidden/>
    <w:unhideWhenUsed/>
    <w:rsid w:val="000A78A3"/>
    <w:rPr>
      <w:color w:val="605E5C"/>
      <w:shd w:val="clear" w:color="auto" w:fill="E1DFDD"/>
    </w:rPr>
  </w:style>
  <w:style w:type="character" w:styleId="Lienhypertextesuivivisit">
    <w:name w:val="FollowedHyperlink"/>
    <w:basedOn w:val="Policepardfaut"/>
    <w:uiPriority w:val="99"/>
    <w:semiHidden/>
    <w:unhideWhenUsed/>
    <w:rsid w:val="000A78A3"/>
    <w:rPr>
      <w:color w:val="954F72" w:themeColor="followedHyperlink"/>
      <w:u w:val="single"/>
    </w:rPr>
  </w:style>
  <w:style w:type="paragraph" w:styleId="R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Normal"/>
    <w:rsid w:val="00B27977"/>
    <w:pPr>
      <w:keepNext/>
      <w:spacing w:before="120" w:after="120"/>
    </w:pPr>
    <w:rPr>
      <w:i/>
      <w:iCs/>
    </w:rPr>
  </w:style>
  <w:style w:type="paragraph" w:styleId="Paragraphedeliste">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rPr>
  </w:style>
  <w:style w:type="character" w:styleId="Accentuation">
    <w:name w:val="Emphasis"/>
    <w:basedOn w:val="Policepardfaut"/>
    <w:uiPriority w:val="20"/>
    <w:qFormat/>
    <w:rsid w:val="008A1A7E"/>
    <w:rPr>
      <w:i/>
      <w:iCs/>
    </w:rPr>
  </w:style>
  <w:style w:type="character" w:customStyle="1" w:styleId="Titre6Car">
    <w:name w:val="Titre 6 Car"/>
    <w:basedOn w:val="Policepardfaut"/>
    <w:link w:val="Titre6"/>
    <w:rsid w:val="00E561C8"/>
    <w:rPr>
      <w:rFonts w:ascii="Times New Roman" w:eastAsia="SimSun" w:hAnsi="Times New Roman" w:cs="Times New Roman"/>
      <w:bCs/>
      <w:kern w:val="0"/>
      <w:sz w:val="24"/>
      <w14:ligatures w14:val="none"/>
    </w:rPr>
  </w:style>
  <w:style w:type="character" w:customStyle="1" w:styleId="Titre7Car">
    <w:name w:val="Titre 7 Car"/>
    <w:basedOn w:val="Policepardfaut"/>
    <w:link w:val="Titre7"/>
    <w:rsid w:val="00E561C8"/>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rsid w:val="00E561C8"/>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rsid w:val="00E561C8"/>
    <w:rPr>
      <w:rFonts w:ascii="Times New Roman" w:eastAsia="SimSun" w:hAnsi="Times New Roman" w:cs="Times New Roman"/>
      <w:snapToGrid w:val="0"/>
      <w:kern w:val="0"/>
      <w:u w:val="single"/>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numPr>
        <w:numId w:val="12"/>
      </w:num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e">
    <w:name w:val="List"/>
    <w:basedOn w:val="Normal"/>
    <w:semiHidden/>
    <w:rsid w:val="00E561C8"/>
    <w:pPr>
      <w:contextualSpacing/>
    </w:pPr>
  </w:style>
  <w:style w:type="numbering" w:customStyle="1" w:styleId="ListCBD">
    <w:name w:val="ListCBD"/>
    <w:basedOn w:val="Aucuneliste"/>
    <w:uiPriority w:val="99"/>
    <w:rsid w:val="00E561C8"/>
    <w:pPr>
      <w:numPr>
        <w:numId w:val="10"/>
      </w:numPr>
    </w:pPr>
  </w:style>
  <w:style w:type="numbering" w:customStyle="1" w:styleId="CBDHeadings">
    <w:name w:val="CBD_Headings"/>
    <w:basedOn w:val="ListCBD"/>
    <w:uiPriority w:val="99"/>
    <w:rsid w:val="00E561C8"/>
    <w:pPr>
      <w:numPr>
        <w:numId w:val="11"/>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M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Textedebulles">
    <w:name w:val="Balloon Text"/>
    <w:basedOn w:val="Normal"/>
    <w:link w:val="TextedebullesCar"/>
    <w:uiPriority w:val="99"/>
    <w:semiHidden/>
    <w:unhideWhenUsed/>
    <w:rsid w:val="00E561C8"/>
    <w:rPr>
      <w:rFonts w:ascii="Segoe UI" w:hAnsi="Segoe UI" w:cs="Segoe UI"/>
      <w:sz w:val="18"/>
      <w:szCs w:val="18"/>
    </w:rPr>
  </w:style>
  <w:style w:type="character" w:customStyle="1" w:styleId="TextedebullesCar">
    <w:name w:val="Texte de bulles Car"/>
    <w:basedOn w:val="Policepardfaut"/>
    <w:link w:val="Textedebulles"/>
    <w:uiPriority w:val="99"/>
    <w:semiHidden/>
    <w:rsid w:val="00E561C8"/>
    <w:rPr>
      <w:rFonts w:ascii="Segoe UI" w:eastAsia="SimSun" w:hAnsi="Segoe UI" w:cs="Segoe UI"/>
      <w:kern w:val="0"/>
      <w:sz w:val="18"/>
      <w:szCs w:val="18"/>
      <w14:ligatures w14:val="none"/>
    </w:rPr>
  </w:style>
  <w:style w:type="paragraph" w:styleId="Bibliographie">
    <w:name w:val="Bibliography"/>
    <w:basedOn w:val="Normal"/>
    <w:next w:val="Normal"/>
    <w:uiPriority w:val="37"/>
    <w:semiHidden/>
    <w:unhideWhenUsed/>
    <w:rsid w:val="00E561C8"/>
  </w:style>
  <w:style w:type="paragraph" w:styleId="Normalcentr">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E561C8"/>
    <w:pPr>
      <w:spacing w:after="120" w:line="480" w:lineRule="auto"/>
    </w:pPr>
  </w:style>
  <w:style w:type="character" w:customStyle="1" w:styleId="Corpsdetexte2Car">
    <w:name w:val="Corps de texte 2 Car"/>
    <w:basedOn w:val="Policepardfaut"/>
    <w:link w:val="Corpsdetexte2"/>
    <w:uiPriority w:val="99"/>
    <w:semiHidden/>
    <w:rsid w:val="00E561C8"/>
    <w:rPr>
      <w:rFonts w:ascii="Times New Roman" w:eastAsia="SimSun" w:hAnsi="Times New Roman" w:cs="Times New Roman"/>
      <w:kern w:val="0"/>
      <w14:ligatures w14:val="none"/>
    </w:rPr>
  </w:style>
  <w:style w:type="paragraph" w:styleId="Corpsdetexte3">
    <w:name w:val="Body Text 3"/>
    <w:basedOn w:val="Normal"/>
    <w:link w:val="Corpsdetexte3Car"/>
    <w:uiPriority w:val="99"/>
    <w:semiHidden/>
    <w:unhideWhenUsed/>
    <w:rsid w:val="00E561C8"/>
    <w:pPr>
      <w:spacing w:after="120"/>
    </w:pPr>
    <w:rPr>
      <w:sz w:val="16"/>
      <w:szCs w:val="16"/>
    </w:rPr>
  </w:style>
  <w:style w:type="character" w:customStyle="1" w:styleId="Corpsdetexte3Car">
    <w:name w:val="Corps de texte 3 Car"/>
    <w:basedOn w:val="Policepardfaut"/>
    <w:link w:val="Corpsdetexte3"/>
    <w:uiPriority w:val="99"/>
    <w:semiHidden/>
    <w:rsid w:val="00E561C8"/>
    <w:rPr>
      <w:rFonts w:ascii="Times New Roman" w:eastAsia="SimSun" w:hAnsi="Times New Roman" w:cs="Times New Roman"/>
      <w:kern w:val="0"/>
      <w:sz w:val="16"/>
      <w:szCs w:val="16"/>
      <w14:ligatures w14:val="none"/>
    </w:rPr>
  </w:style>
  <w:style w:type="paragraph" w:styleId="Retrait1religne">
    <w:name w:val="Body Text First Indent"/>
    <w:basedOn w:val="Corpsdetexte"/>
    <w:link w:val="Retrait1religneC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E561C8"/>
    <w:rPr>
      <w:rFonts w:ascii="Times New Roman" w:eastAsia="SimSun" w:hAnsi="Times New Roman" w:cs="Times New Roman"/>
      <w:kern w:val="0"/>
      <w14:ligatures w14:val="none"/>
    </w:rPr>
  </w:style>
  <w:style w:type="paragraph" w:styleId="Retraitcorpsdetexte">
    <w:name w:val="Body Text Indent"/>
    <w:basedOn w:val="Normal"/>
    <w:link w:val="RetraitcorpsdetexteCar"/>
    <w:uiPriority w:val="99"/>
    <w:semiHidden/>
    <w:unhideWhenUsed/>
    <w:rsid w:val="00E561C8"/>
    <w:pPr>
      <w:spacing w:after="120"/>
      <w:ind w:left="360"/>
    </w:pPr>
  </w:style>
  <w:style w:type="character" w:customStyle="1" w:styleId="RetraitcorpsdetexteCar">
    <w:name w:val="Retrait corps de texte Car"/>
    <w:basedOn w:val="Policepardfaut"/>
    <w:link w:val="Retraitcorpsdetexte"/>
    <w:uiPriority w:val="99"/>
    <w:semiHidden/>
    <w:rsid w:val="00E561C8"/>
    <w:rPr>
      <w:rFonts w:ascii="Times New Roman" w:eastAsia="SimSun" w:hAnsi="Times New Roman" w:cs="Times New Roman"/>
      <w:kern w:val="0"/>
      <w14:ligatures w14:val="none"/>
    </w:rPr>
  </w:style>
  <w:style w:type="paragraph" w:styleId="Retraitcorpset1relig">
    <w:name w:val="Body Text First Indent 2"/>
    <w:basedOn w:val="Retraitcorpsdetexte"/>
    <w:link w:val="Retraitcorpset1religCar"/>
    <w:uiPriority w:val="99"/>
    <w:semiHidden/>
    <w:unhideWhenUsed/>
    <w:rsid w:val="00E561C8"/>
    <w:pPr>
      <w:spacing w:after="0"/>
      <w:ind w:firstLine="360"/>
    </w:pPr>
  </w:style>
  <w:style w:type="character" w:customStyle="1" w:styleId="Retraitcorpset1religCar">
    <w:name w:val="Retrait corps et 1re lig. Car"/>
    <w:basedOn w:val="RetraitcorpsdetexteCar"/>
    <w:link w:val="Retraitcorpset1relig"/>
    <w:uiPriority w:val="99"/>
    <w:semiHidden/>
    <w:rsid w:val="00E561C8"/>
    <w:rPr>
      <w:rFonts w:ascii="Times New Roman" w:eastAsia="SimSun" w:hAnsi="Times New Roman" w:cs="Times New Roman"/>
      <w:kern w:val="0"/>
      <w14:ligatures w14:val="none"/>
    </w:rPr>
  </w:style>
  <w:style w:type="paragraph" w:styleId="Retraitcorpsdetexte2">
    <w:name w:val="Body Text Indent 2"/>
    <w:basedOn w:val="Normal"/>
    <w:link w:val="Retraitcorpsdetexte2Car"/>
    <w:uiPriority w:val="99"/>
    <w:semiHidden/>
    <w:unhideWhenUsed/>
    <w:rsid w:val="00E561C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E561C8"/>
    <w:rPr>
      <w:rFonts w:ascii="Times New Roman" w:eastAsia="SimSun" w:hAnsi="Times New Roman" w:cs="Times New Roman"/>
      <w:kern w:val="0"/>
      <w14:ligatures w14:val="none"/>
    </w:rPr>
  </w:style>
  <w:style w:type="paragraph" w:styleId="Retraitcorpsdetexte3">
    <w:name w:val="Body Text Indent 3"/>
    <w:basedOn w:val="Normal"/>
    <w:link w:val="Retraitcorpsdetexte3Car"/>
    <w:uiPriority w:val="99"/>
    <w:semiHidden/>
    <w:unhideWhenUsed/>
    <w:rsid w:val="00E561C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E561C8"/>
    <w:rPr>
      <w:rFonts w:ascii="Times New Roman" w:eastAsia="SimSun" w:hAnsi="Times New Roman" w:cs="Times New Roman"/>
      <w:kern w:val="0"/>
      <w:sz w:val="16"/>
      <w:szCs w:val="16"/>
      <w14:ligatures w14:val="none"/>
    </w:rPr>
  </w:style>
  <w:style w:type="character" w:styleId="Titredulivre">
    <w:name w:val="Book Title"/>
    <w:basedOn w:val="Policepardfaut"/>
    <w:uiPriority w:val="33"/>
    <w:qFormat/>
    <w:rsid w:val="00E561C8"/>
    <w:rPr>
      <w:b/>
      <w:bCs/>
      <w:i/>
      <w:iCs/>
      <w:spacing w:val="5"/>
    </w:rPr>
  </w:style>
  <w:style w:type="paragraph" w:styleId="Lgende">
    <w:name w:val="caption"/>
    <w:basedOn w:val="Normal"/>
    <w:next w:val="Normal"/>
    <w:uiPriority w:val="35"/>
    <w:semiHidden/>
    <w:unhideWhenUsed/>
    <w:qFormat/>
    <w:rsid w:val="00E561C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E561C8"/>
    <w:pPr>
      <w:ind w:left="4320"/>
    </w:pPr>
  </w:style>
  <w:style w:type="character" w:customStyle="1" w:styleId="FormuledepolitesseCar">
    <w:name w:val="Formule de politesse Car"/>
    <w:basedOn w:val="Policepardfaut"/>
    <w:link w:val="Formuledepolitesse"/>
    <w:uiPriority w:val="99"/>
    <w:semiHidden/>
    <w:rsid w:val="00E561C8"/>
    <w:rPr>
      <w:rFonts w:ascii="Times New Roman" w:eastAsia="SimSun" w:hAnsi="Times New Roman" w:cs="Times New Roman"/>
      <w:kern w:val="0"/>
      <w14:ligatures w14:val="none"/>
    </w:rPr>
  </w:style>
  <w:style w:type="table" w:styleId="Grillecouleur">
    <w:name w:val="Colorful Grid"/>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tblPr/>
      <w:tcPr>
        <w:shd w:val="clear" w:color="auto" w:fill="F7CAAC" w:themeFill="accent2" w:themeFillTint="66"/>
      </w:tcPr>
    </w:tblStylePr>
    <w:tblStylePr w:type="lastRow">
      <w:tblPr/>
      <w:tcPr>
        <w:shd w:val="clear" w:color="auto" w:fill="F7CAAC" w:themeFill="accent2" w:themeFillTint="66"/>
      </w:tcPr>
    </w:tblStylePr>
    <w:tblStylePr w:type="firstCol">
      <w:tblPr/>
      <w:tcPr>
        <w:shd w:val="clear" w:color="auto" w:fill="C45911" w:themeFill="accent2" w:themeFillShade="BF"/>
      </w:tcPr>
    </w:tblStylePr>
    <w:tblStylePr w:type="lastCol">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tblPr/>
      <w:tcPr>
        <w:shd w:val="clear" w:color="auto" w:fill="DBDBDB" w:themeFill="accent3" w:themeFillTint="66"/>
      </w:tcPr>
    </w:tblStylePr>
    <w:tblStylePr w:type="lastRow">
      <w:tblPr/>
      <w:tcPr>
        <w:shd w:val="clear" w:color="auto" w:fill="DBDBDB" w:themeFill="accent3" w:themeFillTint="66"/>
      </w:tcPr>
    </w:tblStylePr>
    <w:tblStylePr w:type="firstCol">
      <w:tblPr/>
      <w:tcPr>
        <w:shd w:val="clear" w:color="auto" w:fill="7B7B7B" w:themeFill="accent3" w:themeFillShade="BF"/>
      </w:tcPr>
    </w:tblStylePr>
    <w:tblStylePr w:type="lastCol">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tblPr/>
      <w:tcPr>
        <w:shd w:val="clear" w:color="auto" w:fill="FFE599" w:themeFill="accent4" w:themeFillTint="66"/>
      </w:tcPr>
    </w:tblStylePr>
    <w:tblStylePr w:type="lastRow">
      <w:tblPr/>
      <w:tcPr>
        <w:shd w:val="clear" w:color="auto" w:fill="FFE599" w:themeFill="accent4" w:themeFillTint="66"/>
      </w:tcPr>
    </w:tblStylePr>
    <w:tblStylePr w:type="firstCol">
      <w:tblPr/>
      <w:tcPr>
        <w:shd w:val="clear" w:color="auto" w:fill="BF8F00" w:themeFill="accent4" w:themeFillShade="BF"/>
      </w:tcPr>
    </w:tblStylePr>
    <w:tblStylePr w:type="lastCol">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tblPr/>
      <w:tcPr>
        <w:shd w:val="clear" w:color="auto" w:fill="BDD6EE" w:themeFill="accent5" w:themeFillTint="66"/>
      </w:tcPr>
    </w:tblStylePr>
    <w:tblStylePr w:type="lastRow">
      <w:tblPr/>
      <w:tcPr>
        <w:shd w:val="clear" w:color="auto" w:fill="BDD6EE" w:themeFill="accent5" w:themeFillTint="66"/>
      </w:tcPr>
    </w:tblStylePr>
    <w:tblStylePr w:type="firstCol">
      <w:tblPr/>
      <w:tcPr>
        <w:shd w:val="clear" w:color="auto" w:fill="2E74B5" w:themeFill="accent5" w:themeFillShade="BF"/>
      </w:tcPr>
    </w:tblStylePr>
    <w:tblStylePr w:type="lastCol">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tblPr/>
      <w:tcPr>
        <w:shd w:val="clear" w:color="auto" w:fill="C5E0B3" w:themeFill="accent6" w:themeFillTint="66"/>
      </w:tcPr>
    </w:tblStylePr>
    <w:tblStylePr w:type="lastRow">
      <w:tblPr/>
      <w:tcPr>
        <w:shd w:val="clear" w:color="auto" w:fill="C5E0B3" w:themeFill="accent6" w:themeFillTint="66"/>
      </w:tcPr>
    </w:tblStylePr>
    <w:tblStylePr w:type="firstCol">
      <w:tblPr/>
      <w:tcPr>
        <w:shd w:val="clear" w:color="auto" w:fill="538135" w:themeFill="accent6" w:themeFillShade="BF"/>
      </w:tcPr>
    </w:tblStylePr>
    <w:tblStylePr w:type="lastCol">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tblPr/>
      <w:tcPr>
        <w:tcBorders>
          <w:bottom w:val="single" w:sz="12" w:space="0" w:color="FFFFFF" w:themeColor="background1"/>
        </w:tcBorders>
        <w:shd w:val="clear" w:color="auto" w:fill="CC9900"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tblPr/>
      <w:tcPr>
        <w:tcBorders>
          <w:bottom w:val="single" w:sz="12" w:space="0" w:color="FFFFFF" w:themeColor="background1"/>
        </w:tcBorders>
        <w:shd w:val="clear" w:color="auto" w:fill="848484"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tblPr/>
      <w:tcPr>
        <w:tcBorders>
          <w:bottom w:val="single" w:sz="12" w:space="0" w:color="FFFFFF" w:themeColor="background1"/>
        </w:tcBorders>
        <w:shd w:val="clear" w:color="auto" w:fill="598A38"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tblPr/>
      <w:tcPr>
        <w:tcBorders>
          <w:bottom w:val="single" w:sz="12" w:space="0" w:color="FFFFFF" w:themeColor="background1"/>
        </w:tcBorders>
        <w:shd w:val="clear" w:color="auto" w:fill="317CC1"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64378" w:themeFill="accent1" w:themeFillShade="99"/>
      </w:tcPr>
    </w:tblStylePr>
    <w:tblStylePr w:type="firstCol">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style>
  <w:style w:type="table" w:styleId="Tramecouleur-Accent2">
    <w:name w:val="Colorful Shading Accent 2"/>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D470D" w:themeFill="accent2" w:themeFillShade="99"/>
      </w:tcPr>
    </w:tblStylePr>
    <w:tblStylePr w:type="firstCol">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style>
  <w:style w:type="table" w:styleId="Tramecouleur-Accent3">
    <w:name w:val="Colorful Shading Accent 3"/>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7300" w:themeFill="accent4" w:themeFillShade="99"/>
      </w:tcPr>
    </w:tblStylePr>
    <w:tblStylePr w:type="firstCol">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style>
  <w:style w:type="table" w:styleId="Tramecouleur-Accent5">
    <w:name w:val="Colorful Shading Accent 5"/>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55D91" w:themeFill="accent5" w:themeFillShade="99"/>
      </w:tcPr>
    </w:tblStylePr>
    <w:tblStylePr w:type="firstCol">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style>
  <w:style w:type="table" w:styleId="Tramecouleur-Accent6">
    <w:name w:val="Colorful Shading Accent 6"/>
    <w:basedOn w:val="Tableau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3672A" w:themeFill="accent6" w:themeFillShade="99"/>
      </w:tcPr>
    </w:tblStylePr>
    <w:tblStylePr w:type="firstCol">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style>
  <w:style w:type="table" w:styleId="Listefonce">
    <w:name w:val="Dark List"/>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E561C8"/>
  </w:style>
  <w:style w:type="character" w:customStyle="1" w:styleId="DateCar">
    <w:name w:val="Date Car"/>
    <w:basedOn w:val="Policepardfaut"/>
    <w:link w:val="Date"/>
    <w:uiPriority w:val="99"/>
    <w:semiHidden/>
    <w:rsid w:val="00E561C8"/>
    <w:rPr>
      <w:rFonts w:ascii="Times New Roman" w:eastAsia="SimSun" w:hAnsi="Times New Roman" w:cs="Times New Roman"/>
      <w:kern w:val="0"/>
      <w14:ligatures w14:val="none"/>
    </w:rPr>
  </w:style>
  <w:style w:type="paragraph" w:styleId="Explorateurdedocuments">
    <w:name w:val="Document Map"/>
    <w:basedOn w:val="Normal"/>
    <w:link w:val="ExplorateurdedocumentsCar"/>
    <w:uiPriority w:val="99"/>
    <w:semiHidden/>
    <w:unhideWhenUsed/>
    <w:rsid w:val="00E561C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E561C8"/>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E561C8"/>
  </w:style>
  <w:style w:type="character" w:customStyle="1" w:styleId="SignaturelectroniqueCar">
    <w:name w:val="Signature électronique Car"/>
    <w:basedOn w:val="Policepardfaut"/>
    <w:link w:val="Signaturelectronique"/>
    <w:uiPriority w:val="99"/>
    <w:semiHidden/>
    <w:rsid w:val="00E561C8"/>
    <w:rPr>
      <w:rFonts w:ascii="Times New Roman" w:eastAsia="SimSun" w:hAnsi="Times New Roman" w:cs="Times New Roman"/>
      <w:kern w:val="0"/>
      <w14:ligatures w14:val="none"/>
    </w:rPr>
  </w:style>
  <w:style w:type="character" w:styleId="Appeldenotedefin">
    <w:name w:val="endnote reference"/>
    <w:basedOn w:val="Policepardfaut"/>
    <w:uiPriority w:val="99"/>
    <w:semiHidden/>
    <w:unhideWhenUsed/>
    <w:rsid w:val="00E561C8"/>
    <w:rPr>
      <w:vertAlign w:val="superscript"/>
    </w:rPr>
  </w:style>
  <w:style w:type="paragraph" w:styleId="Notedefin">
    <w:name w:val="endnote text"/>
    <w:basedOn w:val="Normal"/>
    <w:link w:val="NotedefinCar"/>
    <w:uiPriority w:val="99"/>
    <w:semiHidden/>
    <w:unhideWhenUsed/>
    <w:rsid w:val="00E561C8"/>
    <w:rPr>
      <w:sz w:val="20"/>
      <w:szCs w:val="20"/>
    </w:rPr>
  </w:style>
  <w:style w:type="character" w:customStyle="1" w:styleId="NotedefinCar">
    <w:name w:val="Note de fin Car"/>
    <w:basedOn w:val="Policepardfaut"/>
    <w:link w:val="Notedefin"/>
    <w:uiPriority w:val="99"/>
    <w:semiHidden/>
    <w:rsid w:val="00E561C8"/>
    <w:rPr>
      <w:rFonts w:ascii="Times New Roman" w:eastAsia="SimSun" w:hAnsi="Times New Roman" w:cs="Times New Roman"/>
      <w:kern w:val="0"/>
      <w:sz w:val="20"/>
      <w:szCs w:val="20"/>
      <w14:ligatures w14:val="none"/>
    </w:rPr>
  </w:style>
  <w:style w:type="paragraph" w:styleId="Adressedestinataire">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E561C8"/>
    <w:rPr>
      <w:rFonts w:asciiTheme="majorHAnsi" w:eastAsiaTheme="majorEastAsia" w:hAnsiTheme="majorHAnsi" w:cstheme="majorBidi"/>
      <w:sz w:val="20"/>
      <w:szCs w:val="20"/>
    </w:rPr>
  </w:style>
  <w:style w:type="table" w:styleId="TableauGrille1Clair">
    <w:name w:val="Grid Table 1 Light"/>
    <w:basedOn w:val="TableauNormal"/>
    <w:uiPriority w:val="46"/>
    <w:rsid w:val="00E561C8"/>
    <w:pPr>
      <w:spacing w:after="0"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E561C8"/>
    <w:pPr>
      <w:spacing w:after="0" w:line="240" w:lineRule="auto"/>
    </w:pPr>
    <w:rPr>
      <w:rFonts w:ascii="Calibri" w:hAnsi="Calibr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tblPr/>
      <w:tcPr>
        <w:tcBorders>
          <w:bottom w:val="single" w:sz="12" w:space="0" w:color="8EAADB" w:themeColor="accent1" w:themeTint="99"/>
        </w:tcBorders>
      </w:tcPr>
    </w:tblStylePr>
    <w:tblStylePr w:type="lastRow">
      <w:tblPr/>
      <w:tcPr>
        <w:tcBorders>
          <w:top w:val="double" w:sz="2" w:space="0" w:color="8EAADB" w:themeColor="accent1" w:themeTint="99"/>
        </w:tcBorders>
      </w:tcPr>
    </w:tblStylePr>
  </w:style>
  <w:style w:type="table" w:styleId="TableauGrille1Clair-Accentuation2">
    <w:name w:val="Grid Table 1 Light Accent 2"/>
    <w:basedOn w:val="TableauNormal"/>
    <w:uiPriority w:val="46"/>
    <w:rsid w:val="00E561C8"/>
    <w:pPr>
      <w:spacing w:after="0" w:line="240" w:lineRule="auto"/>
    </w:pPr>
    <w:rPr>
      <w:rFonts w:ascii="Calibri" w:hAnsi="Calibr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tblPr/>
      <w:tcPr>
        <w:tcBorders>
          <w:bottom w:val="single" w:sz="12" w:space="0" w:color="F4B083" w:themeColor="accent2" w:themeTint="99"/>
        </w:tcBorders>
      </w:tcPr>
    </w:tblStylePr>
    <w:tblStylePr w:type="lastRow">
      <w:tblPr/>
      <w:tcPr>
        <w:tcBorders>
          <w:top w:val="double" w:sz="2" w:space="0" w:color="F4B083" w:themeColor="accent2" w:themeTint="99"/>
        </w:tcBorders>
      </w:tcPr>
    </w:tblStylePr>
  </w:style>
  <w:style w:type="table" w:styleId="TableauGrille1Clair-Accentuation3">
    <w:name w:val="Grid Table 1 Light Accent 3"/>
    <w:basedOn w:val="TableauNormal"/>
    <w:uiPriority w:val="46"/>
    <w:rsid w:val="00E561C8"/>
    <w:pPr>
      <w:spacing w:after="0" w:line="240" w:lineRule="auto"/>
    </w:pPr>
    <w:rPr>
      <w:rFonts w:ascii="Calibri" w:hAnsi="Calibr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tblPr/>
      <w:tcPr>
        <w:tcBorders>
          <w:bottom w:val="single" w:sz="12" w:space="0" w:color="C9C9C9" w:themeColor="accent3" w:themeTint="99"/>
        </w:tcBorders>
      </w:tcPr>
    </w:tblStylePr>
    <w:tblStylePr w:type="lastRow">
      <w:tblPr/>
      <w:tcPr>
        <w:tcBorders>
          <w:top w:val="double" w:sz="2" w:space="0" w:color="C9C9C9" w:themeColor="accent3" w:themeTint="99"/>
        </w:tcBorders>
      </w:tcPr>
    </w:tblStylePr>
  </w:style>
  <w:style w:type="table" w:styleId="TableauGrille1Clair-Accentuation4">
    <w:name w:val="Grid Table 1 Light Accent 4"/>
    <w:basedOn w:val="TableauNormal"/>
    <w:uiPriority w:val="46"/>
    <w:rsid w:val="00E561C8"/>
    <w:pPr>
      <w:spacing w:after="0" w:line="240" w:lineRule="auto"/>
    </w:pPr>
    <w:rPr>
      <w:rFonts w:ascii="Calibri" w:hAnsi="Calibr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tblPr/>
      <w:tcPr>
        <w:tcBorders>
          <w:bottom w:val="single" w:sz="12" w:space="0" w:color="FFD966" w:themeColor="accent4" w:themeTint="99"/>
        </w:tcBorders>
      </w:tcPr>
    </w:tblStylePr>
    <w:tblStylePr w:type="lastRow">
      <w:tblPr/>
      <w:tcPr>
        <w:tcBorders>
          <w:top w:val="double" w:sz="2" w:space="0" w:color="FFD966" w:themeColor="accent4" w:themeTint="99"/>
        </w:tcBorders>
      </w:tcPr>
    </w:tblStylePr>
  </w:style>
  <w:style w:type="table" w:styleId="TableauGrille1Clair-Accentuation5">
    <w:name w:val="Grid Table 1 Light Accent 5"/>
    <w:basedOn w:val="TableauNormal"/>
    <w:uiPriority w:val="46"/>
    <w:rsid w:val="00E561C8"/>
    <w:pPr>
      <w:spacing w:after="0" w:line="240" w:lineRule="auto"/>
    </w:pPr>
    <w:rPr>
      <w:rFonts w:ascii="Calibri" w:hAnsi="Calibri"/>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tblPr/>
      <w:tcPr>
        <w:tcBorders>
          <w:bottom w:val="single" w:sz="12" w:space="0" w:color="9CC2E5" w:themeColor="accent5" w:themeTint="99"/>
        </w:tcBorders>
      </w:tcPr>
    </w:tblStylePr>
    <w:tblStylePr w:type="lastRow">
      <w:tblPr/>
      <w:tcPr>
        <w:tcBorders>
          <w:top w:val="double" w:sz="2" w:space="0" w:color="9CC2E5" w:themeColor="accent5" w:themeTint="99"/>
        </w:tcBorders>
      </w:tcPr>
    </w:tblStylePr>
  </w:style>
  <w:style w:type="table" w:styleId="TableauGrille1Clair-Accentuation6">
    <w:name w:val="Grid Table 1 Light Accent 6"/>
    <w:basedOn w:val="TableauNormal"/>
    <w:uiPriority w:val="46"/>
    <w:rsid w:val="00E561C8"/>
    <w:pPr>
      <w:spacing w:after="0" w:line="240" w:lineRule="auto"/>
    </w:pPr>
    <w:rPr>
      <w:rFonts w:ascii="Calibri" w:hAnsi="Calibr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tblPr/>
      <w:tcPr>
        <w:tcBorders>
          <w:bottom w:val="single" w:sz="12" w:space="0" w:color="A8D08D" w:themeColor="accent6" w:themeTint="99"/>
        </w:tcBorders>
      </w:tcPr>
    </w:tblStylePr>
    <w:tblStylePr w:type="lastRow">
      <w:tblPr/>
      <w:tcPr>
        <w:tcBorders>
          <w:top w:val="double" w:sz="2" w:space="0" w:color="A8D08D" w:themeColor="accent6" w:themeTint="99"/>
        </w:tcBorders>
      </w:tcPr>
    </w:tblStylePr>
  </w:style>
  <w:style w:type="table" w:styleId="TableauGrille2">
    <w:name w:val="Grid Table 2"/>
    <w:basedOn w:val="TableauNormal"/>
    <w:uiPriority w:val="47"/>
    <w:rsid w:val="00E561C8"/>
    <w:pPr>
      <w:spacing w:after="0"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E561C8"/>
    <w:pPr>
      <w:spacing w:after="0" w:line="240" w:lineRule="auto"/>
    </w:pPr>
    <w:rPr>
      <w:rFonts w:ascii="Calibri" w:hAnsi="Calibr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tblPr/>
      <w:tcPr>
        <w:tcBorders>
          <w:top w:val="nil"/>
          <w:bottom w:val="single" w:sz="12" w:space="0" w:color="8EAADB" w:themeColor="accent1" w:themeTint="99"/>
          <w:insideH w:val="nil"/>
          <w:insideV w:val="nil"/>
        </w:tcBorders>
        <w:shd w:val="clear" w:color="auto" w:fill="FFFFFF" w:themeFill="background1"/>
      </w:tcPr>
    </w:tblStylePr>
    <w:tblStylePr w:type="lastRow">
      <w:tblPr/>
      <w:tcPr>
        <w:tcBorders>
          <w:top w:val="double" w:sz="2" w:space="0" w:color="8EAADB" w:themeColor="accent1" w:themeTint="99"/>
          <w:bottom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E561C8"/>
    <w:pPr>
      <w:spacing w:after="0" w:line="240" w:lineRule="auto"/>
    </w:pPr>
    <w:rPr>
      <w:rFonts w:ascii="Calibri" w:hAnsi="Calibr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tblPr/>
      <w:tcPr>
        <w:tcBorders>
          <w:top w:val="nil"/>
          <w:bottom w:val="single" w:sz="12" w:space="0" w:color="F4B083" w:themeColor="accent2" w:themeTint="99"/>
          <w:insideH w:val="nil"/>
          <w:insideV w:val="nil"/>
        </w:tcBorders>
        <w:shd w:val="clear" w:color="auto" w:fill="FFFFFF" w:themeFill="background1"/>
      </w:tcPr>
    </w:tblStylePr>
    <w:tblStylePr w:type="lastRow">
      <w:tblPr/>
      <w:tcPr>
        <w:tcBorders>
          <w:top w:val="double" w:sz="2" w:space="0" w:color="F4B083" w:themeColor="accent2" w:themeTint="99"/>
          <w:bottom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E561C8"/>
    <w:pPr>
      <w:spacing w:after="0" w:line="240" w:lineRule="auto"/>
    </w:pPr>
    <w:rPr>
      <w:rFonts w:ascii="Calibri" w:hAnsi="Calibr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tblPr/>
      <w:tcPr>
        <w:tcBorders>
          <w:top w:val="nil"/>
          <w:bottom w:val="single" w:sz="12" w:space="0" w:color="C9C9C9" w:themeColor="accent3" w:themeTint="99"/>
          <w:insideH w:val="nil"/>
          <w:insideV w:val="nil"/>
        </w:tcBorders>
        <w:shd w:val="clear" w:color="auto" w:fill="FFFFFF" w:themeFill="background1"/>
      </w:tcPr>
    </w:tblStylePr>
    <w:tblStylePr w:type="lastRow">
      <w:tblPr/>
      <w:tcPr>
        <w:tcBorders>
          <w:top w:val="double" w:sz="2" w:space="0" w:color="C9C9C9" w:themeColor="accent3" w:themeTint="99"/>
          <w:bottom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E561C8"/>
    <w:pPr>
      <w:spacing w:after="0" w:line="240" w:lineRule="auto"/>
    </w:pPr>
    <w:rPr>
      <w:rFonts w:ascii="Calibri" w:hAnsi="Calibr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tblPr/>
      <w:tcPr>
        <w:tcBorders>
          <w:top w:val="nil"/>
          <w:bottom w:val="single" w:sz="12" w:space="0" w:color="FFD966" w:themeColor="accent4" w:themeTint="99"/>
          <w:insideH w:val="nil"/>
          <w:insideV w:val="nil"/>
        </w:tcBorders>
        <w:shd w:val="clear" w:color="auto" w:fill="FFFFFF" w:themeFill="background1"/>
      </w:tcPr>
    </w:tblStylePr>
    <w:tblStylePr w:type="lastRow">
      <w:tblPr/>
      <w:tcPr>
        <w:tcBorders>
          <w:top w:val="double" w:sz="2" w:space="0" w:color="FFD966" w:themeColor="accent4" w:themeTint="99"/>
          <w:bottom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E561C8"/>
    <w:pPr>
      <w:spacing w:after="0" w:line="240" w:lineRule="auto"/>
    </w:pPr>
    <w:rPr>
      <w:rFonts w:ascii="Calibri" w:hAnsi="Calibri"/>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tblPr/>
      <w:tcPr>
        <w:tcBorders>
          <w:top w:val="nil"/>
          <w:bottom w:val="single" w:sz="12" w:space="0" w:color="9CC2E5" w:themeColor="accent5" w:themeTint="99"/>
          <w:insideH w:val="nil"/>
          <w:insideV w:val="nil"/>
        </w:tcBorders>
        <w:shd w:val="clear" w:color="auto" w:fill="FFFFFF" w:themeFill="background1"/>
      </w:tcPr>
    </w:tblStylePr>
    <w:tblStylePr w:type="lastRow">
      <w:tblPr/>
      <w:tcPr>
        <w:tcBorders>
          <w:top w:val="double" w:sz="2" w:space="0" w:color="9CC2E5" w:themeColor="accent5" w:themeTint="99"/>
          <w:bottom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E561C8"/>
    <w:pPr>
      <w:spacing w:after="0" w:line="240" w:lineRule="auto"/>
    </w:pPr>
    <w:rPr>
      <w:rFonts w:ascii="Calibri" w:hAnsi="Calibr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tblPr/>
      <w:tcPr>
        <w:tcBorders>
          <w:top w:val="nil"/>
          <w:bottom w:val="single" w:sz="12" w:space="0" w:color="A8D08D" w:themeColor="accent6" w:themeTint="99"/>
          <w:insideH w:val="nil"/>
          <w:insideV w:val="nil"/>
        </w:tcBorders>
        <w:shd w:val="clear" w:color="auto" w:fill="FFFFFF" w:themeFill="background1"/>
      </w:tcPr>
    </w:tblStylePr>
    <w:tblStylePr w:type="lastRow">
      <w:tblPr/>
      <w:tcPr>
        <w:tcBorders>
          <w:top w:val="double" w:sz="2" w:space="0" w:color="A8D08D" w:themeColor="accent6" w:themeTint="99"/>
          <w:bottom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E561C8"/>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E561C8"/>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E561C8"/>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E561C8"/>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E561C8"/>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E561C8"/>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E561C8"/>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E561C8"/>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E561C8"/>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E561C8"/>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E561C8"/>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E561C8"/>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E561C8"/>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E561C8"/>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E561C8"/>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bottom w:val="single" w:sz="12" w:space="0" w:color="8EAADB" w:themeColor="accent1" w:themeTint="99"/>
        </w:tcBorders>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bottom w:val="single" w:sz="12" w:space="0" w:color="F4B083" w:themeColor="accent2" w:themeTint="99"/>
        </w:tcBorders>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bottom w:val="single" w:sz="12" w:space="0" w:color="C9C9C9" w:themeColor="accent3" w:themeTint="99"/>
        </w:tcBorders>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bottom w:val="single" w:sz="12" w:space="0" w:color="FFD966" w:themeColor="accent4" w:themeTint="99"/>
        </w:tcBorders>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bottom w:val="single" w:sz="12" w:space="0" w:color="9CC2E5" w:themeColor="accent5" w:themeTint="99"/>
        </w:tcBorders>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bottom w:val="single" w:sz="12" w:space="0" w:color="A8D08D" w:themeColor="accent6" w:themeTint="99"/>
        </w:tcBorders>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E561C8"/>
    <w:rPr>
      <w:color w:val="2B579A"/>
      <w:shd w:val="clear" w:color="auto" w:fill="E1DFDD"/>
    </w:rPr>
  </w:style>
  <w:style w:type="character" w:styleId="AcronymeHTML">
    <w:name w:val="HTML Acronym"/>
    <w:basedOn w:val="Policepardfaut"/>
    <w:uiPriority w:val="99"/>
    <w:semiHidden/>
    <w:unhideWhenUsed/>
    <w:rsid w:val="00E561C8"/>
  </w:style>
  <w:style w:type="paragraph" w:styleId="AdresseHTML">
    <w:name w:val="HTML Address"/>
    <w:basedOn w:val="Normal"/>
    <w:link w:val="AdresseHTMLCar"/>
    <w:uiPriority w:val="99"/>
    <w:semiHidden/>
    <w:unhideWhenUsed/>
    <w:rsid w:val="00E561C8"/>
    <w:rPr>
      <w:i/>
      <w:iCs/>
    </w:rPr>
  </w:style>
  <w:style w:type="character" w:customStyle="1" w:styleId="AdresseHTMLCar">
    <w:name w:val="Adresse HTML Car"/>
    <w:basedOn w:val="Policepardfaut"/>
    <w:link w:val="AdresseHTML"/>
    <w:uiPriority w:val="99"/>
    <w:semiHidden/>
    <w:rsid w:val="00E561C8"/>
    <w:rPr>
      <w:rFonts w:ascii="Times New Roman" w:eastAsia="SimSun" w:hAnsi="Times New Roman" w:cs="Times New Roman"/>
      <w:i/>
      <w:iCs/>
      <w:kern w:val="0"/>
      <w14:ligatures w14:val="none"/>
    </w:rPr>
  </w:style>
  <w:style w:type="character" w:styleId="CitationHTML">
    <w:name w:val="HTML Cite"/>
    <w:basedOn w:val="Policepardfaut"/>
    <w:uiPriority w:val="99"/>
    <w:semiHidden/>
    <w:unhideWhenUsed/>
    <w:rsid w:val="00E561C8"/>
    <w:rPr>
      <w:i/>
      <w:iCs/>
    </w:rPr>
  </w:style>
  <w:style w:type="character" w:styleId="CodeHTML">
    <w:name w:val="HTML Code"/>
    <w:basedOn w:val="Policepardfaut"/>
    <w:uiPriority w:val="99"/>
    <w:semiHidden/>
    <w:unhideWhenUsed/>
    <w:rsid w:val="00E561C8"/>
    <w:rPr>
      <w:rFonts w:ascii="Consolas" w:hAnsi="Consolas"/>
      <w:sz w:val="20"/>
      <w:szCs w:val="20"/>
    </w:rPr>
  </w:style>
  <w:style w:type="character" w:styleId="DfinitionHTML">
    <w:name w:val="HTML Definition"/>
    <w:basedOn w:val="Policepardfaut"/>
    <w:uiPriority w:val="99"/>
    <w:semiHidden/>
    <w:unhideWhenUsed/>
    <w:rsid w:val="00E561C8"/>
    <w:rPr>
      <w:i/>
      <w:iCs/>
    </w:rPr>
  </w:style>
  <w:style w:type="character" w:styleId="ClavierHTML">
    <w:name w:val="HTML Keyboard"/>
    <w:basedOn w:val="Policepardfaut"/>
    <w:uiPriority w:val="99"/>
    <w:semiHidden/>
    <w:unhideWhenUsed/>
    <w:rsid w:val="00E561C8"/>
    <w:rPr>
      <w:rFonts w:ascii="Consolas" w:hAnsi="Consolas"/>
      <w:sz w:val="20"/>
      <w:szCs w:val="20"/>
    </w:rPr>
  </w:style>
  <w:style w:type="paragraph" w:styleId="PrformatHTML">
    <w:name w:val="HTML Preformatted"/>
    <w:basedOn w:val="Normal"/>
    <w:link w:val="PrformatHTMLCar"/>
    <w:uiPriority w:val="99"/>
    <w:semiHidden/>
    <w:unhideWhenUsed/>
    <w:rsid w:val="00E561C8"/>
    <w:rPr>
      <w:rFonts w:ascii="Consolas" w:hAnsi="Consolas"/>
      <w:sz w:val="20"/>
      <w:szCs w:val="20"/>
    </w:rPr>
  </w:style>
  <w:style w:type="character" w:customStyle="1" w:styleId="PrformatHTMLCar">
    <w:name w:val="Préformaté HTML Car"/>
    <w:basedOn w:val="Policepardfaut"/>
    <w:link w:val="PrformatHTML"/>
    <w:uiPriority w:val="99"/>
    <w:semiHidden/>
    <w:rsid w:val="00E561C8"/>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E561C8"/>
    <w:rPr>
      <w:rFonts w:ascii="Consolas" w:hAnsi="Consolas"/>
      <w:sz w:val="24"/>
      <w:szCs w:val="24"/>
    </w:rPr>
  </w:style>
  <w:style w:type="character" w:styleId="MachinecrireHTML">
    <w:name w:val="HTML Typewriter"/>
    <w:basedOn w:val="Policepardfaut"/>
    <w:uiPriority w:val="99"/>
    <w:semiHidden/>
    <w:unhideWhenUsed/>
    <w:rsid w:val="00E561C8"/>
    <w:rPr>
      <w:rFonts w:ascii="Consolas" w:hAnsi="Consolas"/>
      <w:sz w:val="20"/>
      <w:szCs w:val="20"/>
    </w:rPr>
  </w:style>
  <w:style w:type="character" w:styleId="VariableHTML">
    <w:name w:val="HTML Variable"/>
    <w:basedOn w:val="Policepardfaut"/>
    <w:uiPriority w:val="99"/>
    <w:semiHidden/>
    <w:unhideWhenUsed/>
    <w:rsid w:val="00E561C8"/>
    <w:rPr>
      <w:i/>
      <w:iCs/>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Accentuationintense">
    <w:name w:val="Intense Emphasis"/>
    <w:basedOn w:val="Policepardfaut"/>
    <w:uiPriority w:val="21"/>
    <w:qFormat/>
    <w:rsid w:val="00E561C8"/>
    <w:rPr>
      <w:i/>
      <w:iCs/>
      <w:color w:val="4472C4" w:themeColor="accent1"/>
    </w:rPr>
  </w:style>
  <w:style w:type="paragraph" w:styleId="Citationintense">
    <w:name w:val="Intense Quote"/>
    <w:basedOn w:val="Normal"/>
    <w:next w:val="Normal"/>
    <w:link w:val="CitationintenseC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E561C8"/>
    <w:rPr>
      <w:rFonts w:ascii="Times New Roman" w:eastAsia="SimSun" w:hAnsi="Times New Roman" w:cs="Times New Roman"/>
      <w:i/>
      <w:iCs/>
      <w:color w:val="4472C4" w:themeColor="accent1"/>
      <w:kern w:val="0"/>
      <w14:ligatures w14:val="none"/>
    </w:rPr>
  </w:style>
  <w:style w:type="character" w:styleId="Rfrenceintense">
    <w:name w:val="Intense Reference"/>
    <w:basedOn w:val="Policepardfaut"/>
    <w:uiPriority w:val="32"/>
    <w:qFormat/>
    <w:rsid w:val="00E561C8"/>
    <w:rPr>
      <w:b/>
      <w:bCs/>
      <w:smallCaps/>
      <w:color w:val="4472C4" w:themeColor="accent1"/>
      <w:spacing w:val="5"/>
    </w:rPr>
  </w:style>
  <w:style w:type="table" w:styleId="Grilleclaire">
    <w:name w:val="Light Grid"/>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lastCol">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lastCol">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E561C8"/>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tblPr/>
      <w:tcPr>
        <w:shd w:val="clear" w:color="auto" w:fill="4472C4" w:themeFill="accent1"/>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tblPr/>
      <w:tcPr>
        <w:shd w:val="clear" w:color="auto" w:fill="5B9BD5" w:themeFill="accent5"/>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E561C8"/>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E561C8"/>
  </w:style>
  <w:style w:type="paragraph" w:styleId="Liste2">
    <w:name w:val="List 2"/>
    <w:basedOn w:val="Normal"/>
    <w:uiPriority w:val="99"/>
    <w:semiHidden/>
    <w:unhideWhenUsed/>
    <w:rsid w:val="00E561C8"/>
    <w:pPr>
      <w:ind w:left="720" w:hanging="360"/>
      <w:contextualSpacing/>
    </w:pPr>
  </w:style>
  <w:style w:type="paragraph" w:styleId="Liste3">
    <w:name w:val="List 3"/>
    <w:basedOn w:val="Normal"/>
    <w:uiPriority w:val="99"/>
    <w:semiHidden/>
    <w:unhideWhenUsed/>
    <w:rsid w:val="00E561C8"/>
    <w:pPr>
      <w:ind w:left="1080" w:hanging="360"/>
      <w:contextualSpacing/>
    </w:pPr>
  </w:style>
  <w:style w:type="paragraph" w:styleId="Liste4">
    <w:name w:val="List 4"/>
    <w:basedOn w:val="Normal"/>
    <w:uiPriority w:val="99"/>
    <w:semiHidden/>
    <w:unhideWhenUsed/>
    <w:rsid w:val="00E561C8"/>
    <w:pPr>
      <w:ind w:left="1440" w:hanging="360"/>
      <w:contextualSpacing/>
    </w:pPr>
  </w:style>
  <w:style w:type="paragraph" w:styleId="Liste5">
    <w:name w:val="List 5"/>
    <w:basedOn w:val="Normal"/>
    <w:uiPriority w:val="99"/>
    <w:semiHidden/>
    <w:unhideWhenUsed/>
    <w:rsid w:val="00E561C8"/>
    <w:pPr>
      <w:ind w:left="1800" w:hanging="360"/>
      <w:contextualSpacing/>
    </w:pPr>
  </w:style>
  <w:style w:type="paragraph" w:styleId="Listepuces">
    <w:name w:val="List Bullet"/>
    <w:basedOn w:val="Normal"/>
    <w:uiPriority w:val="99"/>
    <w:semiHidden/>
    <w:unhideWhenUsed/>
    <w:rsid w:val="00E561C8"/>
    <w:pPr>
      <w:numPr>
        <w:numId w:val="5"/>
      </w:numPr>
      <w:contextualSpacing/>
    </w:pPr>
  </w:style>
  <w:style w:type="paragraph" w:styleId="Listepuces2">
    <w:name w:val="List Bullet 2"/>
    <w:basedOn w:val="Normal"/>
    <w:uiPriority w:val="99"/>
    <w:semiHidden/>
    <w:unhideWhenUsed/>
    <w:rsid w:val="00E561C8"/>
    <w:pPr>
      <w:numPr>
        <w:numId w:val="6"/>
      </w:numPr>
      <w:contextualSpacing/>
    </w:pPr>
  </w:style>
  <w:style w:type="paragraph" w:styleId="Listepuces3">
    <w:name w:val="List Bullet 3"/>
    <w:basedOn w:val="Normal"/>
    <w:uiPriority w:val="99"/>
    <w:semiHidden/>
    <w:unhideWhenUsed/>
    <w:rsid w:val="00E561C8"/>
    <w:pPr>
      <w:numPr>
        <w:numId w:val="7"/>
      </w:numPr>
      <w:contextualSpacing/>
    </w:pPr>
  </w:style>
  <w:style w:type="paragraph" w:styleId="Listepuces4">
    <w:name w:val="List Bullet 4"/>
    <w:basedOn w:val="Normal"/>
    <w:uiPriority w:val="99"/>
    <w:semiHidden/>
    <w:unhideWhenUsed/>
    <w:rsid w:val="00E561C8"/>
    <w:pPr>
      <w:numPr>
        <w:numId w:val="8"/>
      </w:numPr>
      <w:contextualSpacing/>
    </w:pPr>
  </w:style>
  <w:style w:type="paragraph" w:styleId="Listepuces5">
    <w:name w:val="List Bullet 5"/>
    <w:basedOn w:val="Normal"/>
    <w:uiPriority w:val="99"/>
    <w:semiHidden/>
    <w:unhideWhenUsed/>
    <w:rsid w:val="00E561C8"/>
    <w:pPr>
      <w:numPr>
        <w:numId w:val="9"/>
      </w:numPr>
      <w:contextualSpacing/>
    </w:pPr>
  </w:style>
  <w:style w:type="paragraph" w:styleId="Listecontinue">
    <w:name w:val="List Continue"/>
    <w:basedOn w:val="Normal"/>
    <w:uiPriority w:val="99"/>
    <w:semiHidden/>
    <w:unhideWhenUsed/>
    <w:rsid w:val="00E561C8"/>
    <w:pPr>
      <w:spacing w:after="120"/>
      <w:ind w:left="360"/>
      <w:contextualSpacing/>
    </w:pPr>
  </w:style>
  <w:style w:type="paragraph" w:styleId="Listecontinue2">
    <w:name w:val="List Continue 2"/>
    <w:basedOn w:val="Normal"/>
    <w:uiPriority w:val="99"/>
    <w:semiHidden/>
    <w:unhideWhenUsed/>
    <w:rsid w:val="00E561C8"/>
    <w:pPr>
      <w:spacing w:after="120"/>
      <w:ind w:left="720"/>
      <w:contextualSpacing/>
    </w:pPr>
  </w:style>
  <w:style w:type="paragraph" w:styleId="Listecontinue3">
    <w:name w:val="List Continue 3"/>
    <w:basedOn w:val="Normal"/>
    <w:uiPriority w:val="99"/>
    <w:semiHidden/>
    <w:unhideWhenUsed/>
    <w:rsid w:val="00E561C8"/>
    <w:pPr>
      <w:spacing w:after="120"/>
      <w:ind w:left="1080"/>
      <w:contextualSpacing/>
    </w:pPr>
  </w:style>
  <w:style w:type="paragraph" w:styleId="Listecontinue4">
    <w:name w:val="List Continue 4"/>
    <w:basedOn w:val="Normal"/>
    <w:uiPriority w:val="99"/>
    <w:semiHidden/>
    <w:unhideWhenUsed/>
    <w:rsid w:val="00E561C8"/>
    <w:pPr>
      <w:spacing w:after="120"/>
      <w:ind w:left="1440"/>
      <w:contextualSpacing/>
    </w:pPr>
  </w:style>
  <w:style w:type="paragraph" w:styleId="Listecontinue5">
    <w:name w:val="List Continue 5"/>
    <w:basedOn w:val="Normal"/>
    <w:uiPriority w:val="99"/>
    <w:semiHidden/>
    <w:unhideWhenUsed/>
    <w:rsid w:val="00E561C8"/>
    <w:pPr>
      <w:spacing w:after="120"/>
      <w:ind w:left="1800"/>
      <w:contextualSpacing/>
    </w:pPr>
  </w:style>
  <w:style w:type="paragraph" w:styleId="Listenumros">
    <w:name w:val="List Number"/>
    <w:basedOn w:val="Normal"/>
    <w:uiPriority w:val="99"/>
    <w:semiHidden/>
    <w:unhideWhenUsed/>
    <w:rsid w:val="00E561C8"/>
    <w:pPr>
      <w:numPr>
        <w:numId w:val="13"/>
      </w:numPr>
      <w:contextualSpacing/>
    </w:pPr>
  </w:style>
  <w:style w:type="paragraph" w:styleId="Listenumros2">
    <w:name w:val="List Number 2"/>
    <w:basedOn w:val="Normal"/>
    <w:uiPriority w:val="99"/>
    <w:semiHidden/>
    <w:unhideWhenUsed/>
    <w:rsid w:val="00E561C8"/>
    <w:pPr>
      <w:numPr>
        <w:numId w:val="14"/>
      </w:numPr>
      <w:contextualSpacing/>
    </w:pPr>
  </w:style>
  <w:style w:type="paragraph" w:styleId="Listenumros3">
    <w:name w:val="List Number 3"/>
    <w:basedOn w:val="Normal"/>
    <w:uiPriority w:val="99"/>
    <w:semiHidden/>
    <w:unhideWhenUsed/>
    <w:rsid w:val="00E561C8"/>
    <w:pPr>
      <w:numPr>
        <w:numId w:val="15"/>
      </w:numPr>
      <w:contextualSpacing/>
    </w:pPr>
  </w:style>
  <w:style w:type="paragraph" w:styleId="Listenumros4">
    <w:name w:val="List Number 4"/>
    <w:basedOn w:val="Normal"/>
    <w:uiPriority w:val="99"/>
    <w:semiHidden/>
    <w:unhideWhenUsed/>
    <w:rsid w:val="00E561C8"/>
    <w:pPr>
      <w:numPr>
        <w:numId w:val="16"/>
      </w:numPr>
      <w:contextualSpacing/>
    </w:pPr>
  </w:style>
  <w:style w:type="paragraph" w:styleId="Listenumros5">
    <w:name w:val="List Number 5"/>
    <w:basedOn w:val="Normal"/>
    <w:uiPriority w:val="99"/>
    <w:semiHidden/>
    <w:unhideWhenUsed/>
    <w:rsid w:val="00E561C8"/>
    <w:pPr>
      <w:numPr>
        <w:numId w:val="17"/>
      </w:numPr>
      <w:contextualSpacing/>
    </w:pPr>
  </w:style>
  <w:style w:type="table" w:styleId="TableauListe1Clair">
    <w:name w:val="List Table 1 Light"/>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8EAADB" w:themeColor="accent1" w:themeTint="99"/>
        </w:tcBorders>
      </w:tcPr>
    </w:tblStylePr>
    <w:tblStylePr w:type="lastRow">
      <w:tblPr/>
      <w:tcPr>
        <w:tcBorders>
          <w:top w:val="sing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F4B083" w:themeColor="accent2" w:themeTint="99"/>
        </w:tcBorders>
      </w:tcPr>
    </w:tblStylePr>
    <w:tblStylePr w:type="lastRow">
      <w:tblPr/>
      <w:tcPr>
        <w:tcBorders>
          <w:top w:val="sing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C9C9C9" w:themeColor="accent3" w:themeTint="99"/>
        </w:tcBorders>
      </w:tcPr>
    </w:tblStylePr>
    <w:tblStylePr w:type="lastRow">
      <w:tblPr/>
      <w:tcPr>
        <w:tcBorders>
          <w:top w:val="sing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FFD966" w:themeColor="accent4" w:themeTint="99"/>
        </w:tcBorders>
      </w:tcPr>
    </w:tblStylePr>
    <w:tblStylePr w:type="lastRow">
      <w:tblPr/>
      <w:tcPr>
        <w:tcBorders>
          <w:top w:val="sing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9CC2E5" w:themeColor="accent5" w:themeTint="99"/>
        </w:tcBorders>
      </w:tcPr>
    </w:tblStylePr>
    <w:tblStylePr w:type="lastRow">
      <w:tblPr/>
      <w:tcPr>
        <w:tcBorders>
          <w:top w:val="sing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E561C8"/>
    <w:pPr>
      <w:spacing w:after="0" w:line="240" w:lineRule="auto"/>
    </w:pPr>
    <w:rPr>
      <w:rFonts w:ascii="Calibri" w:hAnsi="Calibri"/>
    </w:rPr>
    <w:tblPr>
      <w:tblStyleRowBandSize w:val="1"/>
      <w:tblStyleColBandSize w:val="1"/>
    </w:tblPr>
    <w:tblStylePr w:type="firstRow">
      <w:tblPr/>
      <w:tcPr>
        <w:tcBorders>
          <w:bottom w:val="single" w:sz="4" w:space="0" w:color="A8D08D" w:themeColor="accent6" w:themeTint="99"/>
        </w:tcBorders>
      </w:tcPr>
    </w:tblStylePr>
    <w:tblStylePr w:type="lastRow">
      <w:tblPr/>
      <w:tcPr>
        <w:tcBorders>
          <w:top w:val="sing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E561C8"/>
    <w:pPr>
      <w:spacing w:after="0"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E561C8"/>
    <w:pPr>
      <w:spacing w:after="0" w:line="240" w:lineRule="auto"/>
    </w:pPr>
    <w:rPr>
      <w:rFonts w:ascii="Calibri" w:hAnsi="Calibr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E561C8"/>
    <w:pPr>
      <w:spacing w:after="0" w:line="240" w:lineRule="auto"/>
    </w:pPr>
    <w:rPr>
      <w:rFonts w:ascii="Calibri" w:hAnsi="Calibri"/>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E561C8"/>
    <w:pPr>
      <w:spacing w:after="0" w:line="240" w:lineRule="auto"/>
    </w:pPr>
    <w:rPr>
      <w:rFonts w:ascii="Calibri" w:hAnsi="Calibr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E561C8"/>
    <w:pPr>
      <w:spacing w:after="0" w:line="240" w:lineRule="auto"/>
    </w:pPr>
    <w:rPr>
      <w:rFonts w:ascii="Calibri" w:hAnsi="Calibri"/>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E561C8"/>
    <w:pPr>
      <w:spacing w:after="0" w:line="240" w:lineRule="auto"/>
    </w:pPr>
    <w:rPr>
      <w:rFonts w:ascii="Calibri" w:hAnsi="Calibri"/>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E561C8"/>
    <w:pPr>
      <w:spacing w:after="0" w:line="240" w:lineRule="auto"/>
    </w:pPr>
    <w:rPr>
      <w:rFonts w:ascii="Calibri" w:hAnsi="Calibri"/>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E561C8"/>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E561C8"/>
    <w:pPr>
      <w:spacing w:after="0" w:line="240" w:lineRule="auto"/>
    </w:pPr>
    <w:rPr>
      <w:rFonts w:ascii="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tblPr/>
      <w:tcPr>
        <w:shd w:val="clear" w:color="auto" w:fill="4472C4" w:themeFill="accent1"/>
      </w:tcPr>
    </w:tblStylePr>
    <w:tblStylePr w:type="lastRow">
      <w:tblPr/>
      <w:tcPr>
        <w:tcBorders>
          <w:top w:val="double" w:sz="4" w:space="0" w:color="4472C4"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E561C8"/>
    <w:pPr>
      <w:spacing w:after="0" w:line="240" w:lineRule="auto"/>
    </w:pPr>
    <w:rPr>
      <w:rFonts w:ascii="Calibri" w:hAnsi="Calibr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tblPr/>
      <w:tcPr>
        <w:shd w:val="clear" w:color="auto" w:fill="ED7D31" w:themeFill="accent2"/>
      </w:tcPr>
    </w:tblStylePr>
    <w:tblStylePr w:type="lastRow">
      <w:tblPr/>
      <w:tcPr>
        <w:tcBorders>
          <w:top w:val="double" w:sz="4" w:space="0" w:color="ED7D31"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E561C8"/>
    <w:pPr>
      <w:spacing w:after="0" w:line="240" w:lineRule="auto"/>
    </w:pPr>
    <w:rPr>
      <w:rFonts w:ascii="Calibri" w:hAnsi="Calibr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tblPr/>
      <w:tcPr>
        <w:shd w:val="clear" w:color="auto" w:fill="A5A5A5" w:themeFill="accent3"/>
      </w:tcPr>
    </w:tblStylePr>
    <w:tblStylePr w:type="lastRow">
      <w:tblPr/>
      <w:tcPr>
        <w:tcBorders>
          <w:top w:val="double" w:sz="4" w:space="0" w:color="A5A5A5"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E561C8"/>
    <w:pPr>
      <w:spacing w:after="0" w:line="240" w:lineRule="auto"/>
    </w:pPr>
    <w:rPr>
      <w:rFonts w:ascii="Calibri" w:hAnsi="Calibr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tblPr/>
      <w:tcPr>
        <w:shd w:val="clear" w:color="auto" w:fill="FFC000" w:themeFill="accent4"/>
      </w:tcPr>
    </w:tblStylePr>
    <w:tblStylePr w:type="lastRow">
      <w:tblPr/>
      <w:tcPr>
        <w:tcBorders>
          <w:top w:val="double" w:sz="4" w:space="0" w:color="FFC000"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E561C8"/>
    <w:pPr>
      <w:spacing w:after="0" w:line="240" w:lineRule="auto"/>
    </w:pPr>
    <w:rPr>
      <w:rFonts w:ascii="Calibri" w:hAnsi="Calibr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tblPr/>
      <w:tcPr>
        <w:shd w:val="clear" w:color="auto" w:fill="5B9BD5" w:themeFill="accent5"/>
      </w:tcPr>
    </w:tblStylePr>
    <w:tblStylePr w:type="lastRow">
      <w:tblPr/>
      <w:tcPr>
        <w:tcBorders>
          <w:top w:val="double" w:sz="4" w:space="0" w:color="5B9BD5"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E561C8"/>
    <w:pPr>
      <w:spacing w:after="0" w:line="240" w:lineRule="auto"/>
    </w:pPr>
    <w:rPr>
      <w:rFonts w:ascii="Calibri" w:hAnsi="Calibr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tblPr/>
      <w:tcPr>
        <w:shd w:val="clear" w:color="auto" w:fill="70AD47" w:themeFill="accent6"/>
      </w:tcPr>
    </w:tblStylePr>
    <w:tblStylePr w:type="lastRow">
      <w:tblPr/>
      <w:tcPr>
        <w:tcBorders>
          <w:top w:val="double" w:sz="4" w:space="0" w:color="70AD47"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E561C8"/>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E561C8"/>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E561C8"/>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E561C8"/>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E561C8"/>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E561C8"/>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E561C8"/>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tblPr/>
      <w:tcPr>
        <w:tcBorders>
          <w:bottom w:val="single" w:sz="4" w:space="0" w:color="4472C4" w:themeColor="accent1"/>
        </w:tcBorders>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tblPr/>
      <w:tcPr>
        <w:tcBorders>
          <w:bottom w:val="single" w:sz="4" w:space="0" w:color="ED7D31" w:themeColor="accent2"/>
        </w:tcBorders>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tblPr/>
      <w:tcPr>
        <w:tcBorders>
          <w:bottom w:val="single" w:sz="4" w:space="0" w:color="A5A5A5" w:themeColor="accent3"/>
        </w:tcBorders>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tblPr/>
      <w:tcPr>
        <w:tcBorders>
          <w:bottom w:val="single" w:sz="4" w:space="0" w:color="FFC000" w:themeColor="accent4"/>
        </w:tcBorders>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tblPr/>
      <w:tcPr>
        <w:tcBorders>
          <w:bottom w:val="single" w:sz="4" w:space="0" w:color="5B9BD5" w:themeColor="accent5"/>
        </w:tcBorders>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tblPr/>
      <w:tcPr>
        <w:tcBorders>
          <w:bottom w:val="single" w:sz="4" w:space="0" w:color="70AD47" w:themeColor="accent6"/>
        </w:tcBorders>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E561C8"/>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E561C8"/>
    <w:pPr>
      <w:spacing w:after="0" w:line="240" w:lineRule="auto"/>
    </w:pPr>
    <w:rPr>
      <w:color w:val="2F5496" w:themeColor="accent1" w:themeShade="BF"/>
    </w:rPr>
    <w:tblPr>
      <w:tblStyleRowBandSize w:val="1"/>
      <w:tblStyleColBandSize w:val="1"/>
    </w:tblPr>
    <w:tblStylePr w:type="firstRow">
      <w:tblPr/>
      <w:tcPr>
        <w:tcBorders>
          <w:bottom w:val="single" w:sz="4" w:space="0" w:color="4472C4" w:themeColor="accent1"/>
        </w:tcBorders>
        <w:shd w:val="clear" w:color="auto" w:fill="FFFFFF" w:themeFill="background1"/>
      </w:tcPr>
    </w:tblStylePr>
    <w:tblStylePr w:type="lastRow">
      <w:tblPr/>
      <w:tcPr>
        <w:tcBorders>
          <w:top w:val="single" w:sz="4" w:space="0" w:color="4472C4" w:themeColor="accent1"/>
        </w:tcBorders>
        <w:shd w:val="clear" w:color="auto" w:fill="FFFFFF" w:themeFill="background1"/>
      </w:tcPr>
    </w:tblStylePr>
    <w:tblStylePr w:type="firstCol">
      <w:pPr>
        <w:jc w:val="right"/>
      </w:pPr>
      <w:tblPr/>
      <w:tcPr>
        <w:tcBorders>
          <w:right w:val="single" w:sz="4" w:space="0" w:color="4472C4" w:themeColor="accent1"/>
        </w:tcBorders>
        <w:shd w:val="clear" w:color="auto" w:fill="FFFFFF" w:themeFill="background1"/>
      </w:tcPr>
    </w:tblStylePr>
    <w:tblStylePr w:type="lastCol">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E561C8"/>
    <w:pPr>
      <w:spacing w:after="0" w:line="240" w:lineRule="auto"/>
    </w:pPr>
    <w:rPr>
      <w:color w:val="C45911" w:themeColor="accent2" w:themeShade="BF"/>
    </w:rPr>
    <w:tblPr>
      <w:tblStyleRowBandSize w:val="1"/>
      <w:tblStyleColBandSize w:val="1"/>
    </w:tblPr>
    <w:tblStylePr w:type="firstRow">
      <w:tblPr/>
      <w:tcPr>
        <w:tcBorders>
          <w:bottom w:val="single" w:sz="4" w:space="0" w:color="ED7D31" w:themeColor="accent2"/>
        </w:tcBorders>
        <w:shd w:val="clear" w:color="auto" w:fill="FFFFFF" w:themeFill="background1"/>
      </w:tcPr>
    </w:tblStylePr>
    <w:tblStylePr w:type="lastRow">
      <w:tblPr/>
      <w:tcPr>
        <w:tcBorders>
          <w:top w:val="single" w:sz="4" w:space="0" w:color="ED7D31" w:themeColor="accent2"/>
        </w:tcBorders>
        <w:shd w:val="clear" w:color="auto" w:fill="FFFFFF" w:themeFill="background1"/>
      </w:tcPr>
    </w:tblStylePr>
    <w:tblStylePr w:type="firstCol">
      <w:pPr>
        <w:jc w:val="right"/>
      </w:pPr>
      <w:tblPr/>
      <w:tcPr>
        <w:tcBorders>
          <w:right w:val="single" w:sz="4" w:space="0" w:color="ED7D31" w:themeColor="accent2"/>
        </w:tcBorders>
        <w:shd w:val="clear" w:color="auto" w:fill="FFFFFF" w:themeFill="background1"/>
      </w:tcPr>
    </w:tblStylePr>
    <w:tblStylePr w:type="lastCol">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E561C8"/>
    <w:pPr>
      <w:spacing w:after="0" w:line="240" w:lineRule="auto"/>
    </w:pPr>
    <w:rPr>
      <w:color w:val="7B7B7B" w:themeColor="accent3" w:themeShade="BF"/>
    </w:rPr>
    <w:tblPr>
      <w:tblStyleRowBandSize w:val="1"/>
      <w:tblStyleColBandSize w:val="1"/>
    </w:tblPr>
    <w:tblStylePr w:type="firstRow">
      <w:tblPr/>
      <w:tcPr>
        <w:tcBorders>
          <w:bottom w:val="single" w:sz="4" w:space="0" w:color="A5A5A5" w:themeColor="accent3"/>
        </w:tcBorders>
        <w:shd w:val="clear" w:color="auto" w:fill="FFFFFF" w:themeFill="background1"/>
      </w:tcPr>
    </w:tblStylePr>
    <w:tblStylePr w:type="lastRow">
      <w:tblPr/>
      <w:tcPr>
        <w:tcBorders>
          <w:top w:val="single" w:sz="4" w:space="0" w:color="A5A5A5" w:themeColor="accent3"/>
        </w:tcBorders>
        <w:shd w:val="clear" w:color="auto" w:fill="FFFFFF" w:themeFill="background1"/>
      </w:tcPr>
    </w:tblStylePr>
    <w:tblStylePr w:type="firstCol">
      <w:pPr>
        <w:jc w:val="right"/>
      </w:pPr>
      <w:tblPr/>
      <w:tcPr>
        <w:tcBorders>
          <w:right w:val="single" w:sz="4" w:space="0" w:color="A5A5A5" w:themeColor="accent3"/>
        </w:tcBorders>
        <w:shd w:val="clear" w:color="auto" w:fill="FFFFFF" w:themeFill="background1"/>
      </w:tcPr>
    </w:tblStylePr>
    <w:tblStylePr w:type="lastCol">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E561C8"/>
    <w:pPr>
      <w:spacing w:after="0" w:line="240" w:lineRule="auto"/>
    </w:pPr>
    <w:rPr>
      <w:color w:val="BF8F00" w:themeColor="accent4" w:themeShade="BF"/>
    </w:rPr>
    <w:tblPr>
      <w:tblStyleRowBandSize w:val="1"/>
      <w:tblStyleColBandSize w:val="1"/>
    </w:tblPr>
    <w:tblStylePr w:type="firstRow">
      <w:tblPr/>
      <w:tcPr>
        <w:tcBorders>
          <w:bottom w:val="single" w:sz="4" w:space="0" w:color="FFC000" w:themeColor="accent4"/>
        </w:tcBorders>
        <w:shd w:val="clear" w:color="auto" w:fill="FFFFFF" w:themeFill="background1"/>
      </w:tcPr>
    </w:tblStylePr>
    <w:tblStylePr w:type="lastRow">
      <w:tblPr/>
      <w:tcPr>
        <w:tcBorders>
          <w:top w:val="single" w:sz="4" w:space="0" w:color="FFC000" w:themeColor="accent4"/>
        </w:tcBorders>
        <w:shd w:val="clear" w:color="auto" w:fill="FFFFFF" w:themeFill="background1"/>
      </w:tcPr>
    </w:tblStylePr>
    <w:tblStylePr w:type="firstCol">
      <w:pPr>
        <w:jc w:val="right"/>
      </w:pPr>
      <w:tblPr/>
      <w:tcPr>
        <w:tcBorders>
          <w:right w:val="single" w:sz="4" w:space="0" w:color="FFC000" w:themeColor="accent4"/>
        </w:tcBorders>
        <w:shd w:val="clear" w:color="auto" w:fill="FFFFFF" w:themeFill="background1"/>
      </w:tcPr>
    </w:tblStylePr>
    <w:tblStylePr w:type="lastCol">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E561C8"/>
    <w:pPr>
      <w:spacing w:after="0" w:line="240" w:lineRule="auto"/>
    </w:pPr>
    <w:rPr>
      <w:color w:val="2E74B5" w:themeColor="accent5" w:themeShade="BF"/>
    </w:rPr>
    <w:tblPr>
      <w:tblStyleRowBandSize w:val="1"/>
      <w:tblStyleColBandSize w:val="1"/>
    </w:tblPr>
    <w:tblStylePr w:type="firstRow">
      <w:tblPr/>
      <w:tcPr>
        <w:tcBorders>
          <w:bottom w:val="single" w:sz="4" w:space="0" w:color="5B9BD5" w:themeColor="accent5"/>
        </w:tcBorders>
        <w:shd w:val="clear" w:color="auto" w:fill="FFFFFF" w:themeFill="background1"/>
      </w:tcPr>
    </w:tblStylePr>
    <w:tblStylePr w:type="lastRow">
      <w:tblPr/>
      <w:tcPr>
        <w:tcBorders>
          <w:top w:val="single" w:sz="4" w:space="0" w:color="5B9BD5" w:themeColor="accent5"/>
        </w:tcBorders>
        <w:shd w:val="clear" w:color="auto" w:fill="FFFFFF" w:themeFill="background1"/>
      </w:tcPr>
    </w:tblStylePr>
    <w:tblStylePr w:type="firstCol">
      <w:pPr>
        <w:jc w:val="right"/>
      </w:pPr>
      <w:tblPr/>
      <w:tcPr>
        <w:tcBorders>
          <w:right w:val="single" w:sz="4" w:space="0" w:color="5B9BD5" w:themeColor="accent5"/>
        </w:tcBorders>
        <w:shd w:val="clear" w:color="auto" w:fill="FFFFFF" w:themeFill="background1"/>
      </w:tcPr>
    </w:tblStylePr>
    <w:tblStylePr w:type="lastCol">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E561C8"/>
    <w:pPr>
      <w:spacing w:after="0" w:line="240" w:lineRule="auto"/>
    </w:pPr>
    <w:rPr>
      <w:color w:val="538135" w:themeColor="accent6" w:themeShade="BF"/>
    </w:rPr>
    <w:tblPr>
      <w:tblStyleRowBandSize w:val="1"/>
      <w:tblStyleColBandSize w:val="1"/>
    </w:tblPr>
    <w:tblStylePr w:type="firstRow">
      <w:tblPr/>
      <w:tcPr>
        <w:tcBorders>
          <w:bottom w:val="single" w:sz="4" w:space="0" w:color="70AD47" w:themeColor="accent6"/>
        </w:tcBorders>
        <w:shd w:val="clear" w:color="auto" w:fill="FFFFFF" w:themeFill="background1"/>
      </w:tcPr>
    </w:tblStylePr>
    <w:tblStylePr w:type="lastRow">
      <w:tblPr/>
      <w:tcPr>
        <w:tcBorders>
          <w:top w:val="single" w:sz="4" w:space="0" w:color="70AD47" w:themeColor="accent6"/>
        </w:tcBorders>
        <w:shd w:val="clear" w:color="auto" w:fill="FFFFFF" w:themeFill="background1"/>
      </w:tcPr>
    </w:tblStylePr>
    <w:tblStylePr w:type="firstCol">
      <w:pPr>
        <w:jc w:val="right"/>
      </w:pPr>
      <w:tblPr/>
      <w:tcPr>
        <w:tcBorders>
          <w:right w:val="single" w:sz="4" w:space="0" w:color="70AD47" w:themeColor="accent6"/>
        </w:tcBorders>
        <w:shd w:val="clear" w:color="auto" w:fill="FFFFFF" w:themeFill="background1"/>
      </w:tcPr>
    </w:tblStylePr>
    <w:tblStylePr w:type="lastCol">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E561C8"/>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lastRow">
      <w:tblPr/>
      <w:tcPr>
        <w:tcBorders>
          <w:top w:val="single" w:sz="18" w:space="0" w:color="7295D2" w:themeColor="accent1" w:themeTint="BF"/>
        </w:tcBorders>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lastRow">
      <w:tblPr/>
      <w:tcPr>
        <w:tcBorders>
          <w:top w:val="single" w:sz="18" w:space="0" w:color="84B3DF" w:themeColor="accent5" w:themeTint="BF"/>
        </w:tcBorders>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E561C8"/>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tblPr/>
      <w:tcPr>
        <w:shd w:val="clear" w:color="auto" w:fill="ECF1F9"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tblPr/>
      <w:tcPr>
        <w:shd w:val="clear" w:color="auto" w:fill="F6F6F6"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tblPr/>
      <w:tcPr>
        <w:shd w:val="clear" w:color="auto" w:fill="FFF8E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tblPr/>
      <w:tcPr>
        <w:shd w:val="clear" w:color="auto" w:fill="EEF5FB"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tblPr/>
      <w:tcPr>
        <w:shd w:val="clear" w:color="auto" w:fill="F0F7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E561C8"/>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tblPr/>
      <w:tcPr>
        <w:tcBorders>
          <w:top w:val="nil"/>
          <w:bottom w:val="single" w:sz="8" w:space="0" w:color="4472C4" w:themeColor="accent1"/>
        </w:tcBorders>
      </w:tcPr>
    </w:tblStylePr>
    <w:tblStylePr w:type="lastRow">
      <w:tblPr/>
      <w:tcPr>
        <w:tcBorders>
          <w:top w:val="single" w:sz="8" w:space="0" w:color="4472C4" w:themeColor="accent1"/>
          <w:bottom w:val="single" w:sz="8" w:space="0" w:color="4472C4" w:themeColor="accent1"/>
        </w:tcBorders>
      </w:tcPr>
    </w:tblStylePr>
    <w:tblStylePr w:type="lastCol">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tblPr/>
      <w:tcPr>
        <w:tcBorders>
          <w:top w:val="nil"/>
          <w:bottom w:val="single" w:sz="8" w:space="0" w:color="ED7D31" w:themeColor="accent2"/>
        </w:tcBorders>
      </w:tcPr>
    </w:tblStylePr>
    <w:tblStylePr w:type="lastRow">
      <w:tblPr/>
      <w:tcPr>
        <w:tcBorders>
          <w:top w:val="single" w:sz="8" w:space="0" w:color="ED7D31" w:themeColor="accent2"/>
          <w:bottom w:val="single" w:sz="8" w:space="0" w:color="ED7D31" w:themeColor="accent2"/>
        </w:tcBorders>
      </w:tcPr>
    </w:tblStylePr>
    <w:tblStylePr w:type="lastCol">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tblPr/>
      <w:tcPr>
        <w:tcBorders>
          <w:top w:val="nil"/>
          <w:bottom w:val="single" w:sz="8" w:space="0" w:color="A5A5A5" w:themeColor="accent3"/>
        </w:tcBorders>
      </w:tcPr>
    </w:tblStylePr>
    <w:tblStylePr w:type="lastRow">
      <w:tblPr/>
      <w:tcPr>
        <w:tcBorders>
          <w:top w:val="single" w:sz="8" w:space="0" w:color="A5A5A5" w:themeColor="accent3"/>
          <w:bottom w:val="single" w:sz="8" w:space="0" w:color="A5A5A5" w:themeColor="accent3"/>
        </w:tcBorders>
      </w:tcPr>
    </w:tblStylePr>
    <w:tblStylePr w:type="lastCol">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tblPr/>
      <w:tcPr>
        <w:tcBorders>
          <w:top w:val="nil"/>
          <w:bottom w:val="single" w:sz="8" w:space="0" w:color="FFC000" w:themeColor="accent4"/>
        </w:tcBorders>
      </w:tcPr>
    </w:tblStylePr>
    <w:tblStylePr w:type="lastRow">
      <w:tblPr/>
      <w:tcPr>
        <w:tcBorders>
          <w:top w:val="single" w:sz="8" w:space="0" w:color="FFC000" w:themeColor="accent4"/>
          <w:bottom w:val="single" w:sz="8" w:space="0" w:color="FFC000" w:themeColor="accent4"/>
        </w:tcBorders>
      </w:tcPr>
    </w:tblStylePr>
    <w:tblStylePr w:type="lastCol">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tblPr/>
      <w:tcPr>
        <w:tcBorders>
          <w:top w:val="nil"/>
          <w:bottom w:val="single" w:sz="8" w:space="0" w:color="5B9BD5" w:themeColor="accent5"/>
        </w:tcBorders>
      </w:tcPr>
    </w:tblStylePr>
    <w:tblStylePr w:type="lastRow">
      <w:tblPr/>
      <w:tcPr>
        <w:tcBorders>
          <w:top w:val="single" w:sz="8" w:space="0" w:color="5B9BD5" w:themeColor="accent5"/>
          <w:bottom w:val="single" w:sz="8" w:space="0" w:color="5B9BD5" w:themeColor="accent5"/>
        </w:tcBorders>
      </w:tcPr>
    </w:tblStylePr>
    <w:tblStylePr w:type="lastCol">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tblPr/>
      <w:tcPr>
        <w:tcBorders>
          <w:top w:val="nil"/>
          <w:bottom w:val="single" w:sz="8" w:space="0" w:color="70AD47" w:themeColor="accent6"/>
        </w:tcBorders>
      </w:tcPr>
    </w:tblStylePr>
    <w:tblStylePr w:type="lastRow">
      <w:tblPr/>
      <w:tcPr>
        <w:tcBorders>
          <w:top w:val="single" w:sz="8" w:space="0" w:color="70AD47" w:themeColor="accent6"/>
          <w:bottom w:val="single" w:sz="8" w:space="0" w:color="70AD47" w:themeColor="accent6"/>
        </w:tcBorders>
      </w:tcPr>
    </w:tblStylePr>
    <w:tblStylePr w:type="lastCol">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E561C8"/>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1"/>
      </w:tcPr>
    </w:tblStylePr>
    <w:tblStylePr w:type="lastCol">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5"/>
      </w:tcPr>
    </w:tblStylePr>
    <w:tblStylePr w:type="lastCol">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E561C8"/>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E561C8"/>
    <w:rPr>
      <w:color w:val="2B579A"/>
      <w:shd w:val="clear" w:color="auto" w:fill="E1DFDD"/>
    </w:rPr>
  </w:style>
  <w:style w:type="paragraph" w:styleId="En-ttedemessage">
    <w:name w:val="Message Header"/>
    <w:basedOn w:val="Normal"/>
    <w:link w:val="En-ttedemessageC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E561C8"/>
    <w:rPr>
      <w:rFonts w:asciiTheme="majorHAnsi" w:eastAsiaTheme="majorEastAsia" w:hAnsiTheme="majorHAnsi" w:cstheme="majorBidi"/>
      <w:kern w:val="0"/>
      <w:sz w:val="24"/>
      <w:szCs w:val="24"/>
      <w:shd w:val="pct20" w:color="auto" w:fill="auto"/>
      <w14:ligatures w14:val="none"/>
    </w:rPr>
  </w:style>
  <w:style w:type="paragraph" w:styleId="Sansinterligne">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Retraitnormal">
    <w:name w:val="Normal Indent"/>
    <w:basedOn w:val="Normal"/>
    <w:uiPriority w:val="99"/>
    <w:semiHidden/>
    <w:unhideWhenUsed/>
    <w:rsid w:val="00E561C8"/>
    <w:pPr>
      <w:ind w:left="720"/>
    </w:pPr>
  </w:style>
  <w:style w:type="paragraph" w:styleId="Titredenote">
    <w:name w:val="Note Heading"/>
    <w:basedOn w:val="Normal"/>
    <w:next w:val="Normal"/>
    <w:link w:val="TitredenoteCar"/>
    <w:uiPriority w:val="99"/>
    <w:semiHidden/>
    <w:unhideWhenUsed/>
    <w:rsid w:val="00E561C8"/>
  </w:style>
  <w:style w:type="character" w:customStyle="1" w:styleId="TitredenoteCar">
    <w:name w:val="Titre de note Car"/>
    <w:basedOn w:val="Policepardfaut"/>
    <w:link w:val="Titredenote"/>
    <w:uiPriority w:val="99"/>
    <w:semiHidden/>
    <w:rsid w:val="00E561C8"/>
    <w:rPr>
      <w:rFonts w:ascii="Times New Roman" w:eastAsia="SimSun" w:hAnsi="Times New Roman" w:cs="Times New Roman"/>
      <w:kern w:val="0"/>
      <w14:ligatures w14:val="none"/>
    </w:rPr>
  </w:style>
  <w:style w:type="table" w:styleId="Tableausimple1">
    <w:name w:val="Plain Table 1"/>
    <w:basedOn w:val="TableauNormal"/>
    <w:uiPriority w:val="41"/>
    <w:rsid w:val="00E561C8"/>
    <w:pPr>
      <w:spacing w:after="0"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E561C8"/>
    <w:pPr>
      <w:spacing w:after="0"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E561C8"/>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E561C8"/>
    <w:pPr>
      <w:spacing w:after="0" w:line="240" w:lineRule="auto"/>
    </w:pPr>
    <w:rPr>
      <w:rFonts w:ascii="Calibri" w:hAnsi="Calibri"/>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E561C8"/>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E561C8"/>
    <w:rPr>
      <w:rFonts w:ascii="Consolas" w:hAnsi="Consolas"/>
      <w:sz w:val="21"/>
      <w:szCs w:val="21"/>
    </w:rPr>
  </w:style>
  <w:style w:type="character" w:customStyle="1" w:styleId="TextebrutCar">
    <w:name w:val="Texte brut Car"/>
    <w:basedOn w:val="Policepardfaut"/>
    <w:link w:val="Textebrut"/>
    <w:uiPriority w:val="99"/>
    <w:semiHidden/>
    <w:rsid w:val="00E561C8"/>
    <w:rPr>
      <w:rFonts w:ascii="Consolas" w:eastAsia="SimSun" w:hAnsi="Consolas" w:cs="Times New Roman"/>
      <w:kern w:val="0"/>
      <w:sz w:val="21"/>
      <w:szCs w:val="21"/>
      <w14:ligatures w14:val="none"/>
    </w:rPr>
  </w:style>
  <w:style w:type="paragraph" w:styleId="Citation">
    <w:name w:val="Quote"/>
    <w:basedOn w:val="Normal"/>
    <w:next w:val="Normal"/>
    <w:link w:val="CitationCar"/>
    <w:uiPriority w:val="29"/>
    <w:qFormat/>
    <w:rsid w:val="00E561C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E561C8"/>
    <w:rPr>
      <w:rFonts w:ascii="Times New Roman" w:eastAsia="SimSun" w:hAnsi="Times New Roman" w:cs="Times New Roman"/>
      <w:i/>
      <w:iCs/>
      <w:color w:val="404040" w:themeColor="text1" w:themeTint="BF"/>
      <w:kern w:val="0"/>
      <w14:ligatures w14:val="none"/>
    </w:rPr>
  </w:style>
  <w:style w:type="paragraph" w:styleId="Salutations">
    <w:name w:val="Salutation"/>
    <w:basedOn w:val="Normal"/>
    <w:next w:val="Normal"/>
    <w:link w:val="SalutationsCar"/>
    <w:uiPriority w:val="99"/>
    <w:semiHidden/>
    <w:unhideWhenUsed/>
    <w:rsid w:val="00E561C8"/>
  </w:style>
  <w:style w:type="character" w:customStyle="1" w:styleId="SalutationsCar">
    <w:name w:val="Salutations Car"/>
    <w:basedOn w:val="Policepardfaut"/>
    <w:link w:val="Salutations"/>
    <w:uiPriority w:val="99"/>
    <w:semiHidden/>
    <w:rsid w:val="00E561C8"/>
    <w:rPr>
      <w:rFonts w:ascii="Times New Roman" w:eastAsia="SimSun" w:hAnsi="Times New Roman" w:cs="Times New Roman"/>
      <w:kern w:val="0"/>
      <w14:ligatures w14:val="none"/>
    </w:rPr>
  </w:style>
  <w:style w:type="paragraph" w:styleId="Signature">
    <w:name w:val="Signature"/>
    <w:basedOn w:val="Normal"/>
    <w:link w:val="SignatureCar"/>
    <w:uiPriority w:val="99"/>
    <w:semiHidden/>
    <w:unhideWhenUsed/>
    <w:rsid w:val="00E561C8"/>
    <w:pPr>
      <w:ind w:left="4320"/>
    </w:pPr>
  </w:style>
  <w:style w:type="character" w:customStyle="1" w:styleId="SignatureCar">
    <w:name w:val="Signature Car"/>
    <w:basedOn w:val="Policepardfaut"/>
    <w:link w:val="Signature"/>
    <w:uiPriority w:val="99"/>
    <w:semiHidden/>
    <w:rsid w:val="00E561C8"/>
    <w:rPr>
      <w:rFonts w:ascii="Times New Roman" w:eastAsia="SimSun" w:hAnsi="Times New Roman" w:cs="Times New Roman"/>
      <w:kern w:val="0"/>
      <w14:ligatures w14:val="none"/>
    </w:rPr>
  </w:style>
  <w:style w:type="character" w:styleId="SmartHyperlink">
    <w:name w:val="Smart Hyperlink"/>
    <w:basedOn w:val="Policepardfaut"/>
    <w:uiPriority w:val="99"/>
    <w:semiHidden/>
    <w:unhideWhenUsed/>
    <w:rsid w:val="00E561C8"/>
    <w:rPr>
      <w:u w:val="dotted"/>
    </w:rPr>
  </w:style>
  <w:style w:type="character" w:styleId="SmartLink">
    <w:name w:val="Smart Link"/>
    <w:basedOn w:val="Policepardfaut"/>
    <w:uiPriority w:val="99"/>
    <w:semiHidden/>
    <w:unhideWhenUsed/>
    <w:rsid w:val="00E561C8"/>
    <w:rPr>
      <w:color w:val="0000FF"/>
      <w:u w:val="single"/>
      <w:shd w:val="clear" w:color="auto" w:fill="F3F2F1"/>
    </w:rPr>
  </w:style>
  <w:style w:type="character" w:styleId="lev">
    <w:name w:val="Strong"/>
    <w:basedOn w:val="Policepardfaut"/>
    <w:uiPriority w:val="22"/>
    <w:qFormat/>
    <w:rsid w:val="00E561C8"/>
    <w:rPr>
      <w:b/>
      <w:bCs/>
    </w:rPr>
  </w:style>
  <w:style w:type="character" w:styleId="Accentuationlgre">
    <w:name w:val="Subtle Emphasis"/>
    <w:basedOn w:val="Policepardfaut"/>
    <w:uiPriority w:val="19"/>
    <w:qFormat/>
    <w:rsid w:val="00E561C8"/>
    <w:rPr>
      <w:i/>
      <w:iCs/>
      <w:color w:val="404040" w:themeColor="text1" w:themeTint="BF"/>
    </w:rPr>
  </w:style>
  <w:style w:type="character" w:styleId="Rfrencelgre">
    <w:name w:val="Subtle Reference"/>
    <w:basedOn w:val="Policepardfaut"/>
    <w:uiPriority w:val="31"/>
    <w:qFormat/>
    <w:rsid w:val="00E561C8"/>
    <w:rPr>
      <w:smallCaps/>
      <w:color w:val="5A5A5A" w:themeColor="text1" w:themeTint="A5"/>
    </w:rPr>
  </w:style>
  <w:style w:type="table" w:styleId="Effetsdetableau3D1">
    <w:name w:val="Table 3D effects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E561C8"/>
    <w:pPr>
      <w:spacing w:after="0"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561C8"/>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8"/>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0" TargetMode="External"/><Relationship Id="rId26" Type="http://schemas.openxmlformats.org/officeDocument/2006/relationships/image" Target="media/image5.svg"/><Relationship Id="rId3" Type="http://schemas.openxmlformats.org/officeDocument/2006/relationships/customXml" Target="../customXml/item3.xml"/><Relationship Id="rId21" Type="http://schemas.openxmlformats.org/officeDocument/2006/relationships/hyperlink" Target="https://bch.cbd.int/database/attachment/?id=1087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MOP-01" TargetMode="External"/><Relationship Id="rId25" Type="http://schemas.openxmlformats.org/officeDocument/2006/relationships/image" Target="media/image4.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id=12893" TargetMode="External"/><Relationship Id="rId20" Type="http://schemas.openxmlformats.org/officeDocument/2006/relationships/hyperlink" Target="https://bch.cbd.int/database/attachment/?id=1087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3.amazonaws.com/km.documents.attachments/0b17/b79a/e7653ab41c735a6d349a3b54"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meetings/COP-10" TargetMode="External"/><Relationship Id="rId23" Type="http://schemas.openxmlformats.org/officeDocument/2006/relationships/hyperlink" Target="https://s3.amazonaws.com/km.documents.attachments/0b17/b79a/e7653ab41c735a6d349a3b54"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decisions/np-mop-02/np-mop-02-dec-03-fr.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bch.cbd.int/database/attachment/?id=10881" TargetMode="External"/><Relationship Id="rId27" Type="http://schemas.openxmlformats.org/officeDocument/2006/relationships/hyperlink" Target="https://s3.amazonaws.com/km.documents.attachments/0b17/b79a/e7653ab41c735a6d349a3b54"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C935864A314DF8BDB799161515BB81"/>
        <w:category>
          <w:name w:val="General"/>
          <w:gallery w:val="placeholder"/>
        </w:category>
        <w:types>
          <w:type w:val="bbPlcHdr"/>
        </w:types>
        <w:behaviors>
          <w:behavior w:val="content"/>
        </w:behaviors>
        <w:guid w:val="{F1BBEDD9-AD01-408D-A8A9-609CE92D6F8A}"/>
      </w:docPartPr>
      <w:docPartBody>
        <w:p w:rsidR="005C6920" w:rsidRDefault="00E24B29">
          <w:r w:rsidRPr="002317B6">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3118F"/>
    <w:rsid w:val="00074024"/>
    <w:rsid w:val="00095437"/>
    <w:rsid w:val="000B3342"/>
    <w:rsid w:val="0011441E"/>
    <w:rsid w:val="00116FB2"/>
    <w:rsid w:val="00131B04"/>
    <w:rsid w:val="00136BA1"/>
    <w:rsid w:val="0014032F"/>
    <w:rsid w:val="001C57C1"/>
    <w:rsid w:val="001D1F05"/>
    <w:rsid w:val="001F6196"/>
    <w:rsid w:val="002D4E2C"/>
    <w:rsid w:val="002E312C"/>
    <w:rsid w:val="00302AA6"/>
    <w:rsid w:val="00396F2B"/>
    <w:rsid w:val="003B3C04"/>
    <w:rsid w:val="004001E5"/>
    <w:rsid w:val="00401F79"/>
    <w:rsid w:val="004025EE"/>
    <w:rsid w:val="00434D5F"/>
    <w:rsid w:val="004458A2"/>
    <w:rsid w:val="004826DC"/>
    <w:rsid w:val="00495C96"/>
    <w:rsid w:val="004C1567"/>
    <w:rsid w:val="004D2899"/>
    <w:rsid w:val="00502A1C"/>
    <w:rsid w:val="00533BA0"/>
    <w:rsid w:val="005C6920"/>
    <w:rsid w:val="005F11D1"/>
    <w:rsid w:val="00604063"/>
    <w:rsid w:val="00605409"/>
    <w:rsid w:val="00662C8C"/>
    <w:rsid w:val="00664CC4"/>
    <w:rsid w:val="00667527"/>
    <w:rsid w:val="00691581"/>
    <w:rsid w:val="006A18ED"/>
    <w:rsid w:val="007013E8"/>
    <w:rsid w:val="007235BE"/>
    <w:rsid w:val="007426ED"/>
    <w:rsid w:val="007A6E1D"/>
    <w:rsid w:val="007C33FB"/>
    <w:rsid w:val="00825270"/>
    <w:rsid w:val="00855EAA"/>
    <w:rsid w:val="00877048"/>
    <w:rsid w:val="008F7E8E"/>
    <w:rsid w:val="00957796"/>
    <w:rsid w:val="00960515"/>
    <w:rsid w:val="009B7B42"/>
    <w:rsid w:val="009C3CF7"/>
    <w:rsid w:val="00A538D2"/>
    <w:rsid w:val="00A84D4D"/>
    <w:rsid w:val="00B7548F"/>
    <w:rsid w:val="00B8774E"/>
    <w:rsid w:val="00BC52EA"/>
    <w:rsid w:val="00C603C1"/>
    <w:rsid w:val="00C845B9"/>
    <w:rsid w:val="00C9776F"/>
    <w:rsid w:val="00CC66FE"/>
    <w:rsid w:val="00CE3F3D"/>
    <w:rsid w:val="00D1105B"/>
    <w:rsid w:val="00D33EE7"/>
    <w:rsid w:val="00D349E4"/>
    <w:rsid w:val="00D40588"/>
    <w:rsid w:val="00D8122F"/>
    <w:rsid w:val="00D86E52"/>
    <w:rsid w:val="00DB3388"/>
    <w:rsid w:val="00DD7E92"/>
    <w:rsid w:val="00E019B6"/>
    <w:rsid w:val="00E24B29"/>
    <w:rsid w:val="00E358A5"/>
    <w:rsid w:val="00E67AB8"/>
    <w:rsid w:val="00F552B3"/>
    <w:rsid w:val="00FC4E37"/>
    <w:rsid w:val="00FC5BAA"/>
    <w:rsid w:val="00FC762E"/>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24B2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D04177-DEC5-4721-8FC3-E9C9FF0B2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20</TotalTime>
  <Pages>10</Pages>
  <Words>4652</Words>
  <Characters>25591</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Synthesis of views to inform a preliminary review of the compliance procedures and mechanisms of the Nagoya Protocol on Access to Genetic Resources and the Fair and Equitable Sharing of Benefits Arising from Their Utilization</vt:lpstr>
      <vt:lpstr>Synthesis of views to inform a preliminary review of the compliance procedures and mechanisms of the Nagoya Protocol on Access to Genetic Resources and the Fair and Equitable Sharing of Benefits Arising from Their Utilization</vt:lpstr>
    </vt:vector>
  </TitlesOfParts>
  <Company/>
  <LinksUpToDate>false</LinksUpToDate>
  <CharactersWithSpaces>30183</CharactersWithSpaces>
  <SharedDoc>false</SharedDoc>
  <HLinks>
    <vt:vector size="24" baseType="variant">
      <vt:variant>
        <vt:i4>6029399</vt:i4>
      </vt:variant>
      <vt:variant>
        <vt:i4>6</vt:i4>
      </vt:variant>
      <vt:variant>
        <vt:i4>0</vt:i4>
      </vt:variant>
      <vt:variant>
        <vt:i4>5</vt:i4>
      </vt:variant>
      <vt:variant>
        <vt:lpwstr>https://bch.cbd.int/protocol/cpb_art34_info.shtml</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6684728</vt:i4>
      </vt:variant>
      <vt:variant>
        <vt:i4>0</vt:i4>
      </vt:variant>
      <vt:variant>
        <vt:i4>0</vt:i4>
      </vt:variant>
      <vt:variant>
        <vt:i4>5</vt:i4>
      </vt:variant>
      <vt:variant>
        <vt:lpwstr>https://www.cbd.int/notifications/2025-080</vt:lpwstr>
      </vt:variant>
      <vt:variant>
        <vt:lpwstr/>
      </vt:variant>
      <vt:variant>
        <vt:i4>3145766</vt:i4>
      </vt:variant>
      <vt:variant>
        <vt:i4>0</vt:i4>
      </vt:variant>
      <vt:variant>
        <vt:i4>0</vt:i4>
      </vt:variant>
      <vt:variant>
        <vt:i4>5</vt:i4>
      </vt:variant>
      <vt:variant>
        <vt:lpwstr>https://www.cbd.int/doc/meetings/bs/bscc-08/official/bscc-08-03-en.pdf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de points de vue visant à inspirer un examen préliminaire des procédures et mécanismes de respect des obligations du Protocole de Nagoya sur l’accès aux ressources génétiques et le partage juste et équitable des avantages découlant de leur utilisation</dc:title>
  <dc:subject>CBD/NP/CC/5/4/Add.2-CBD/SBI/7/7/Add.2</dc:subject>
  <dc:creator>scbd</dc:creator>
  <cp:keywords>Eighteenth meeting of the Compliance Committee under the Cartagena Protocol on Biosafety</cp:keywords>
  <dc:description/>
  <cp:lastModifiedBy>Virginie Dupont-Shakh</cp:lastModifiedBy>
  <cp:revision>9</cp:revision>
  <dcterms:created xsi:type="dcterms:W3CDTF">2026-05-04T16:09:00Z</dcterms:created>
  <dcterms:modified xsi:type="dcterms:W3CDTF">2026-05-05T07:37:00Z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