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8357D" w14:paraId="199C38B0" w14:textId="77777777" w:rsidTr="00265533">
        <w:trPr>
          <w:trHeight w:val="851"/>
        </w:trPr>
        <w:tc>
          <w:tcPr>
            <w:tcW w:w="976" w:type="dxa"/>
            <w:tcBorders>
              <w:bottom w:val="single" w:sz="12" w:space="0" w:color="auto"/>
            </w:tcBorders>
          </w:tcPr>
          <w:p w14:paraId="3BA82B3A" w14:textId="77777777" w:rsidR="0088357D" w:rsidRPr="00321985" w:rsidRDefault="0088357D" w:rsidP="00265533">
            <w:r>
              <w:rPr>
                <w:noProof/>
                <w:lang w:val="fr-CA" w:eastAsia="fr-CA"/>
              </w:rPr>
              <w:drawing>
                <wp:inline distT="0" distB="0" distL="0" distR="0" wp14:anchorId="6916BA09" wp14:editId="27EBC75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D8F1FB8" w14:textId="28F82707" w:rsidR="0088357D" w:rsidRPr="00321985" w:rsidRDefault="00C771DA" w:rsidP="00265533">
            <w:r w:rsidRPr="00C771DA">
              <w:rPr>
                <w:noProof/>
                <w:lang w:val="fr-CA" w:eastAsia="fr-CA"/>
              </w:rPr>
              <w:drawing>
                <wp:inline distT="0" distB="0" distL="0" distR="0" wp14:anchorId="52FDFCB3" wp14:editId="74D451F7">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36C0B2E8" w14:textId="77777777" w:rsidR="0088357D" w:rsidRPr="00C9161D" w:rsidRDefault="0088357D" w:rsidP="00265533">
            <w:pPr>
              <w:jc w:val="right"/>
              <w:rPr>
                <w:rFonts w:ascii="Arial" w:hAnsi="Arial" w:cs="Arial"/>
                <w:b/>
                <w:sz w:val="32"/>
                <w:szCs w:val="32"/>
              </w:rPr>
            </w:pPr>
            <w:r w:rsidRPr="00C9161D">
              <w:rPr>
                <w:rFonts w:ascii="Arial" w:hAnsi="Arial" w:cs="Arial"/>
                <w:b/>
                <w:sz w:val="32"/>
                <w:szCs w:val="32"/>
              </w:rPr>
              <w:t>CBD</w:t>
            </w:r>
          </w:p>
        </w:tc>
      </w:tr>
      <w:tr w:rsidR="0088357D" w:rsidRPr="00C771DA" w14:paraId="76474287" w14:textId="77777777" w:rsidTr="00265533">
        <w:tc>
          <w:tcPr>
            <w:tcW w:w="6117" w:type="dxa"/>
            <w:gridSpan w:val="2"/>
            <w:tcBorders>
              <w:top w:val="single" w:sz="12" w:space="0" w:color="auto"/>
              <w:bottom w:val="single" w:sz="36" w:space="0" w:color="auto"/>
            </w:tcBorders>
            <w:vAlign w:val="center"/>
          </w:tcPr>
          <w:p w14:paraId="19377994" w14:textId="0CDF580B" w:rsidR="0088357D" w:rsidRPr="00C771DA" w:rsidRDefault="00C771DA" w:rsidP="00265533">
            <w:pPr>
              <w:rPr>
                <w:lang w:val="fr-CA"/>
              </w:rPr>
            </w:pPr>
            <w:r w:rsidRPr="00C771DA">
              <w:rPr>
                <w:bCs/>
                <w:noProof/>
                <w:szCs w:val="22"/>
                <w:lang w:val="fr-CA" w:eastAsia="fr-CA"/>
              </w:rPr>
              <w:drawing>
                <wp:inline distT="0" distB="0" distL="0" distR="0" wp14:anchorId="6F415E0F" wp14:editId="39C24AE7">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03FDABE" w14:textId="77777777" w:rsidR="0088357D" w:rsidRPr="00C771DA" w:rsidRDefault="0088357D" w:rsidP="00265533">
            <w:pPr>
              <w:ind w:left="1215"/>
              <w:rPr>
                <w:szCs w:val="22"/>
                <w:lang w:val="fr-CA"/>
              </w:rPr>
            </w:pPr>
            <w:proofErr w:type="spellStart"/>
            <w:r w:rsidRPr="00C771DA">
              <w:rPr>
                <w:szCs w:val="22"/>
                <w:lang w:val="fr-CA"/>
              </w:rPr>
              <w:t>Distr</w:t>
            </w:r>
            <w:proofErr w:type="spellEnd"/>
            <w:r w:rsidRPr="00C771DA">
              <w:rPr>
                <w:szCs w:val="22"/>
                <w:lang w:val="fr-CA"/>
              </w:rPr>
              <w:t>.</w:t>
            </w:r>
          </w:p>
          <w:p w14:paraId="2CB75270" w14:textId="3D9FDAD2" w:rsidR="0088357D" w:rsidRPr="00C771DA" w:rsidRDefault="00C771DA" w:rsidP="00265533">
            <w:pPr>
              <w:ind w:left="1215"/>
              <w:rPr>
                <w:szCs w:val="22"/>
                <w:lang w:val="fr-CA"/>
              </w:rPr>
            </w:pPr>
            <w:r w:rsidRPr="00C771DA">
              <w:rPr>
                <w:caps/>
                <w:szCs w:val="22"/>
                <w:lang w:val="fr-CA"/>
              </w:rPr>
              <w:t>LIMITÉE</w:t>
            </w:r>
          </w:p>
          <w:p w14:paraId="0FE25AFF" w14:textId="77777777" w:rsidR="0088357D" w:rsidRPr="00C771DA" w:rsidRDefault="0088357D" w:rsidP="00265533">
            <w:pPr>
              <w:ind w:left="1215"/>
              <w:rPr>
                <w:szCs w:val="22"/>
                <w:lang w:val="fr-CA"/>
              </w:rPr>
            </w:pPr>
          </w:p>
          <w:p w14:paraId="79C9B55C" w14:textId="31B0F5BB" w:rsidR="0088357D" w:rsidRPr="00C771DA" w:rsidRDefault="00B058F5" w:rsidP="00265533">
            <w:pPr>
              <w:ind w:left="1215"/>
              <w:rPr>
                <w:szCs w:val="22"/>
                <w:lang w:val="fr-CA"/>
              </w:rPr>
            </w:pPr>
            <w:sdt>
              <w:sdtPr>
                <w:rPr>
                  <w:lang w:val="fr-CA"/>
                </w:rPr>
                <w:alias w:val="Subject"/>
                <w:tag w:val=""/>
                <w:id w:val="2137136483"/>
                <w:placeholder>
                  <w:docPart w:val="F981A0C7AD174EBCA6964BB7D7C45502"/>
                </w:placeholder>
                <w:dataBinding w:prefixMappings="xmlns:ns0='http://purl.org/dc/elements/1.1/' xmlns:ns1='http://schemas.openxmlformats.org/package/2006/metadata/core-properties' " w:xpath="/ns1:coreProperties[1]/ns0:subject[1]" w:storeItemID="{6C3C8BC8-F283-45AE-878A-BAB7291924A1}"/>
                <w:text/>
              </w:sdtPr>
              <w:sdtEndPr/>
              <w:sdtContent>
                <w:r w:rsidR="004355F8" w:rsidRPr="00C771DA">
                  <w:rPr>
                    <w:lang w:val="fr-CA"/>
                  </w:rPr>
                  <w:t>CBD/COP/15/L.29</w:t>
                </w:r>
              </w:sdtContent>
            </w:sdt>
          </w:p>
          <w:p w14:paraId="4A3F8AA0" w14:textId="57DF629D" w:rsidR="0088357D" w:rsidRPr="00C771DA" w:rsidRDefault="0088357D" w:rsidP="00265533">
            <w:pPr>
              <w:ind w:left="1215"/>
              <w:rPr>
                <w:szCs w:val="22"/>
                <w:lang w:val="fr-CA"/>
              </w:rPr>
            </w:pPr>
            <w:r w:rsidRPr="00C771DA">
              <w:rPr>
                <w:szCs w:val="22"/>
                <w:lang w:val="fr-CA"/>
              </w:rPr>
              <w:t xml:space="preserve">18 </w:t>
            </w:r>
            <w:r w:rsidR="00C771DA" w:rsidRPr="00C771DA">
              <w:rPr>
                <w:szCs w:val="22"/>
                <w:lang w:val="fr-CA"/>
              </w:rPr>
              <w:t>décembre</w:t>
            </w:r>
            <w:r w:rsidRPr="00C771DA">
              <w:rPr>
                <w:szCs w:val="22"/>
                <w:lang w:val="fr-CA"/>
              </w:rPr>
              <w:t xml:space="preserve"> 2022</w:t>
            </w:r>
          </w:p>
          <w:p w14:paraId="02B5EDE0" w14:textId="77777777" w:rsidR="0088357D" w:rsidRPr="00C771DA" w:rsidRDefault="0088357D" w:rsidP="00265533">
            <w:pPr>
              <w:ind w:left="1215"/>
              <w:rPr>
                <w:szCs w:val="22"/>
                <w:lang w:val="fr-CA"/>
              </w:rPr>
            </w:pPr>
          </w:p>
          <w:p w14:paraId="6820957D" w14:textId="77777777" w:rsidR="00C771DA" w:rsidRPr="00C771DA" w:rsidRDefault="00C771DA" w:rsidP="00265533">
            <w:pPr>
              <w:ind w:left="1215"/>
              <w:rPr>
                <w:szCs w:val="22"/>
                <w:lang w:val="fr-CA"/>
              </w:rPr>
            </w:pPr>
            <w:r w:rsidRPr="00C771DA">
              <w:rPr>
                <w:szCs w:val="22"/>
                <w:lang w:val="fr-CA"/>
              </w:rPr>
              <w:t>FRANÇAIS</w:t>
            </w:r>
          </w:p>
          <w:p w14:paraId="1873645F" w14:textId="280FEE61" w:rsidR="0088357D" w:rsidRPr="00C771DA" w:rsidRDefault="0088357D" w:rsidP="00265533">
            <w:pPr>
              <w:ind w:left="1215"/>
              <w:rPr>
                <w:szCs w:val="22"/>
                <w:lang w:val="fr-CA"/>
              </w:rPr>
            </w:pPr>
            <w:r w:rsidRPr="00C771DA">
              <w:rPr>
                <w:szCs w:val="22"/>
                <w:lang w:val="fr-CA"/>
              </w:rPr>
              <w:t>ORIGINAL</w:t>
            </w:r>
            <w:r w:rsidR="00C771DA" w:rsidRPr="00C771DA">
              <w:rPr>
                <w:szCs w:val="22"/>
                <w:lang w:val="fr-CA"/>
              </w:rPr>
              <w:t xml:space="preserve"> </w:t>
            </w:r>
            <w:r w:rsidRPr="00C771DA">
              <w:rPr>
                <w:szCs w:val="22"/>
                <w:lang w:val="fr-CA"/>
              </w:rPr>
              <w:t xml:space="preserve">: </w:t>
            </w:r>
            <w:r w:rsidR="00C771DA" w:rsidRPr="00C771DA">
              <w:rPr>
                <w:szCs w:val="22"/>
                <w:lang w:val="fr-CA"/>
              </w:rPr>
              <w:t>ANGLAIS</w:t>
            </w:r>
          </w:p>
          <w:p w14:paraId="1DDE5A9F" w14:textId="77777777" w:rsidR="0088357D" w:rsidRPr="00C771DA" w:rsidRDefault="0088357D" w:rsidP="00265533">
            <w:pPr>
              <w:rPr>
                <w:lang w:val="fr-CA"/>
              </w:rPr>
            </w:pPr>
          </w:p>
        </w:tc>
      </w:tr>
    </w:tbl>
    <w:p w14:paraId="199ED4B6" w14:textId="4513D412" w:rsidR="00C771DA" w:rsidRPr="00C771DA" w:rsidRDefault="00C771DA" w:rsidP="00C771DA">
      <w:pPr>
        <w:pStyle w:val="Cornernotation"/>
        <w:ind w:left="360" w:right="4398" w:hanging="360"/>
        <w:rPr>
          <w:lang w:val="fr-CA"/>
        </w:rPr>
      </w:pPr>
      <w:r w:rsidRPr="00C771DA">
        <w:rPr>
          <w:lang w:val="fr-CA"/>
        </w:rPr>
        <w:t>CONFÉRENCE DES PARTIES À LA CONVENTION SUR LA DIVERSITÉ BIOLOGIQUE</w:t>
      </w:r>
    </w:p>
    <w:p w14:paraId="7D52F679" w14:textId="77777777" w:rsidR="00C771DA" w:rsidRPr="00C771DA" w:rsidRDefault="00C771DA" w:rsidP="00C771DA">
      <w:pPr>
        <w:tabs>
          <w:tab w:val="left" w:pos="5954"/>
        </w:tabs>
        <w:autoSpaceDE w:val="0"/>
        <w:autoSpaceDN w:val="0"/>
        <w:adjustRightInd w:val="0"/>
        <w:ind w:right="3406"/>
        <w:jc w:val="left"/>
        <w:rPr>
          <w:szCs w:val="22"/>
          <w:lang w:val="fr-CA"/>
        </w:rPr>
      </w:pPr>
      <w:r w:rsidRPr="00C771DA">
        <w:rPr>
          <w:szCs w:val="22"/>
          <w:lang w:val="fr-CA"/>
        </w:rPr>
        <w:t>Quinzième réunion, deuxième partie</w:t>
      </w:r>
    </w:p>
    <w:p w14:paraId="72C66E2C" w14:textId="77777777" w:rsidR="00C771DA" w:rsidRPr="00C771DA" w:rsidRDefault="00C771DA" w:rsidP="00C771DA">
      <w:pPr>
        <w:rPr>
          <w:szCs w:val="22"/>
          <w:lang w:val="fr-CA"/>
        </w:rPr>
      </w:pPr>
      <w:r w:rsidRPr="00C771DA">
        <w:rPr>
          <w:szCs w:val="22"/>
          <w:lang w:val="fr-CA"/>
        </w:rPr>
        <w:t>Montréal, Canada, 7-19 décembre 2022</w:t>
      </w:r>
    </w:p>
    <w:p w14:paraId="417D95AE" w14:textId="100E3D4A" w:rsidR="00C771DA" w:rsidRPr="00C771DA" w:rsidRDefault="00C771DA" w:rsidP="00C771DA">
      <w:pPr>
        <w:rPr>
          <w:lang w:val="fr-CA"/>
        </w:rPr>
      </w:pPr>
      <w:r w:rsidRPr="00C771DA">
        <w:rPr>
          <w:szCs w:val="22"/>
          <w:lang w:val="fr-CA"/>
        </w:rPr>
        <w:t>Point 12 A de l’ordre du jour</w:t>
      </w:r>
    </w:p>
    <w:p w14:paraId="45BC3AB5" w14:textId="258E65B8" w:rsidR="00606960" w:rsidRPr="00C771DA" w:rsidRDefault="00606960" w:rsidP="00A3490B">
      <w:pPr>
        <w:keepNext/>
        <w:suppressLineNumbers/>
        <w:suppressAutoHyphens/>
        <w:kinsoku w:val="0"/>
        <w:overflowPunct w:val="0"/>
        <w:autoSpaceDE w:val="0"/>
        <w:autoSpaceDN w:val="0"/>
        <w:adjustRightInd w:val="0"/>
        <w:snapToGrid w:val="0"/>
        <w:spacing w:before="120" w:after="120"/>
        <w:jc w:val="center"/>
        <w:rPr>
          <w:b/>
          <w:bCs/>
          <w:iCs/>
          <w:snapToGrid w:val="0"/>
          <w:kern w:val="22"/>
          <w:szCs w:val="22"/>
          <w:lang w:val="fr-CA"/>
        </w:rPr>
        <w:sectPr w:rsidR="00606960" w:rsidRPr="00C771DA" w:rsidSect="00BF6528">
          <w:headerReference w:type="even" r:id="rId15"/>
          <w:headerReference w:type="first" r:id="rId16"/>
          <w:pgSz w:w="12240" w:h="15840"/>
          <w:pgMar w:top="851" w:right="1183" w:bottom="709" w:left="1134" w:header="709" w:footer="709" w:gutter="0"/>
          <w:cols w:space="708"/>
          <w:titlePg/>
          <w:docGrid w:linePitch="360"/>
        </w:sectPr>
      </w:pPr>
    </w:p>
    <w:p w14:paraId="54AB15B7" w14:textId="3F220774" w:rsidR="0088357D" w:rsidRPr="00C771DA" w:rsidRDefault="00C771DA" w:rsidP="0088357D">
      <w:pPr>
        <w:spacing w:before="240" w:after="120"/>
        <w:jc w:val="center"/>
        <w:rPr>
          <w:rFonts w:asciiTheme="majorBidi" w:hAnsiTheme="majorBidi" w:cstheme="majorBidi"/>
          <w:b/>
          <w:bCs/>
          <w:iCs/>
          <w:caps/>
          <w:snapToGrid w:val="0"/>
          <w:kern w:val="22"/>
          <w:szCs w:val="22"/>
          <w:lang w:val="fr-CA"/>
        </w:rPr>
      </w:pPr>
      <w:r w:rsidRPr="00C771DA">
        <w:rPr>
          <w:rFonts w:asciiTheme="majorBidi" w:hAnsiTheme="majorBidi" w:cstheme="majorBidi"/>
          <w:b/>
          <w:bCs/>
          <w:iCs/>
          <w:snapToGrid w:val="0"/>
          <w:kern w:val="22"/>
          <w:szCs w:val="22"/>
          <w:lang w:val="fr-CA"/>
        </w:rPr>
        <w:t>Mobilisation des ressources</w:t>
      </w:r>
    </w:p>
    <w:p w14:paraId="1C926B24" w14:textId="5DCCC65B" w:rsidR="00BE5791" w:rsidRPr="00C771DA" w:rsidRDefault="000C68BB" w:rsidP="00A3490B">
      <w:pPr>
        <w:spacing w:before="120" w:after="120"/>
        <w:jc w:val="center"/>
        <w:rPr>
          <w:rFonts w:asciiTheme="majorBidi" w:hAnsiTheme="majorBidi" w:cstheme="majorBidi"/>
          <w:b/>
          <w:bCs/>
          <w:iCs/>
          <w:caps/>
          <w:snapToGrid w:val="0"/>
          <w:kern w:val="22"/>
          <w:szCs w:val="22"/>
          <w:lang w:val="fr-CA"/>
        </w:rPr>
      </w:pPr>
      <w:r>
        <w:rPr>
          <w:rFonts w:asciiTheme="majorBidi" w:hAnsiTheme="majorBidi" w:cstheme="majorBidi"/>
          <w:b/>
          <w:bCs/>
          <w:iCs/>
          <w:snapToGrid w:val="0"/>
          <w:kern w:val="22"/>
          <w:szCs w:val="22"/>
          <w:lang w:val="fr-CA"/>
        </w:rPr>
        <w:t>Projet de décision proposé par le président</w:t>
      </w:r>
    </w:p>
    <w:p w14:paraId="03BF2EF2" w14:textId="77777777" w:rsidR="000C68BB" w:rsidRPr="00675643" w:rsidRDefault="000C68BB" w:rsidP="000C68BB">
      <w:pPr>
        <w:keepNext/>
        <w:suppressLineNumbers/>
        <w:suppressAutoHyphens/>
        <w:kinsoku w:val="0"/>
        <w:overflowPunct w:val="0"/>
        <w:autoSpaceDE w:val="0"/>
        <w:autoSpaceDN w:val="0"/>
        <w:adjustRightInd w:val="0"/>
        <w:snapToGrid w:val="0"/>
        <w:spacing w:before="120" w:after="120"/>
        <w:ind w:firstLine="720"/>
        <w:jc w:val="left"/>
        <w:rPr>
          <w:bCs/>
          <w:i/>
          <w:iCs/>
          <w:snapToGrid w:val="0"/>
          <w:szCs w:val="22"/>
          <w:lang w:val="fr-CA"/>
        </w:rPr>
      </w:pPr>
      <w:r>
        <w:rPr>
          <w:bCs/>
          <w:i/>
          <w:iCs/>
          <w:snapToGrid w:val="0"/>
          <w:szCs w:val="22"/>
          <w:lang w:val="fr-CA"/>
        </w:rPr>
        <w:t>La Conférence des Parties</w:t>
      </w:r>
      <w:r w:rsidRPr="00675643">
        <w:rPr>
          <w:bCs/>
          <w:i/>
          <w:iCs/>
          <w:snapToGrid w:val="0"/>
          <w:szCs w:val="22"/>
          <w:lang w:val="fr-CA"/>
        </w:rPr>
        <w:t xml:space="preserve">, </w:t>
      </w:r>
    </w:p>
    <w:p w14:paraId="5878A512" w14:textId="77777777" w:rsidR="000C68BB" w:rsidRPr="00675643" w:rsidRDefault="000C68BB" w:rsidP="000C68BB">
      <w:pPr>
        <w:keepNext/>
        <w:suppressLineNumbers/>
        <w:suppressAutoHyphens/>
        <w:kinsoku w:val="0"/>
        <w:overflowPunct w:val="0"/>
        <w:autoSpaceDE w:val="0"/>
        <w:autoSpaceDN w:val="0"/>
        <w:adjustRightInd w:val="0"/>
        <w:snapToGrid w:val="0"/>
        <w:spacing w:before="120" w:after="120"/>
        <w:ind w:firstLine="720"/>
        <w:rPr>
          <w:szCs w:val="22"/>
          <w:lang w:val="fr-CA" w:eastAsia="zh-CN"/>
        </w:rPr>
      </w:pPr>
      <w:r w:rsidRPr="006E78A2">
        <w:rPr>
          <w:rFonts w:eastAsia="DengXian"/>
          <w:i/>
          <w:iCs/>
          <w:szCs w:val="22"/>
          <w:lang w:val="fr-FR"/>
        </w:rPr>
        <w:t>Rappelant</w:t>
      </w:r>
      <w:r w:rsidRPr="006E78A2">
        <w:rPr>
          <w:rFonts w:eastAsia="DengXian"/>
          <w:szCs w:val="22"/>
          <w:lang w:val="fr-FR"/>
        </w:rPr>
        <w:t xml:space="preserve"> l’article 20 de la Co</w:t>
      </w:r>
      <w:r>
        <w:rPr>
          <w:rFonts w:eastAsia="DengXian"/>
          <w:szCs w:val="22"/>
          <w:lang w:val="fr-FR"/>
        </w:rPr>
        <w:t xml:space="preserve">nvention en tant que base pour </w:t>
      </w:r>
      <w:r w:rsidRPr="006E78A2">
        <w:rPr>
          <w:rFonts w:eastAsia="DengXian"/>
          <w:szCs w:val="22"/>
          <w:lang w:val="fr-FR"/>
        </w:rPr>
        <w:t xml:space="preserve">fournir et mobiliser des ressources de toutes </w:t>
      </w:r>
      <w:r>
        <w:rPr>
          <w:rFonts w:eastAsia="DengXian"/>
          <w:szCs w:val="22"/>
          <w:lang w:val="fr-FR"/>
        </w:rPr>
        <w:t>les sources</w:t>
      </w:r>
      <w:r w:rsidRPr="006E78A2">
        <w:rPr>
          <w:rFonts w:eastAsia="DengXian"/>
          <w:szCs w:val="22"/>
          <w:lang w:val="fr-FR"/>
        </w:rPr>
        <w:t xml:space="preserve"> et la pertinence de</w:t>
      </w:r>
      <w:r>
        <w:rPr>
          <w:rFonts w:eastAsia="DengXian"/>
          <w:szCs w:val="22"/>
          <w:lang w:val="fr-FR"/>
        </w:rPr>
        <w:t xml:space="preserve">s </w:t>
      </w:r>
      <w:r w:rsidRPr="006E78A2">
        <w:rPr>
          <w:rFonts w:eastAsia="DengXian"/>
          <w:szCs w:val="22"/>
          <w:lang w:val="fr-FR"/>
        </w:rPr>
        <w:t>article</w:t>
      </w:r>
      <w:r>
        <w:rPr>
          <w:rFonts w:eastAsia="DengXian"/>
          <w:szCs w:val="22"/>
          <w:lang w:val="fr-FR"/>
        </w:rPr>
        <w:t>s</w:t>
      </w:r>
      <w:r w:rsidRPr="006E78A2">
        <w:rPr>
          <w:rFonts w:eastAsia="DengXian"/>
          <w:szCs w:val="22"/>
          <w:lang w:val="fr-FR"/>
        </w:rPr>
        <w:t xml:space="preserve"> 11 </w:t>
      </w:r>
      <w:r>
        <w:rPr>
          <w:rFonts w:eastAsia="DengXian"/>
          <w:szCs w:val="22"/>
          <w:lang w:val="fr-FR"/>
        </w:rPr>
        <w:t xml:space="preserve">et 12 </w:t>
      </w:r>
      <w:r w:rsidRPr="006E78A2">
        <w:rPr>
          <w:rFonts w:eastAsia="DengXian"/>
          <w:szCs w:val="22"/>
          <w:lang w:val="fr-FR"/>
        </w:rPr>
        <w:t>à cet égard</w:t>
      </w:r>
      <w:r>
        <w:rPr>
          <w:snapToGrid w:val="0"/>
          <w:kern w:val="22"/>
          <w:szCs w:val="22"/>
          <w:lang w:val="fr-CA" w:eastAsia="zh-CN"/>
        </w:rPr>
        <w:t>,</w:t>
      </w:r>
    </w:p>
    <w:p w14:paraId="2761955B" w14:textId="48699DE8" w:rsidR="000C68BB" w:rsidRPr="00675643" w:rsidRDefault="000C68BB" w:rsidP="000C68BB">
      <w:pPr>
        <w:suppressLineNumbers/>
        <w:suppressAutoHyphens/>
        <w:spacing w:before="120" w:after="120"/>
        <w:ind w:firstLine="720"/>
        <w:rPr>
          <w:bCs/>
          <w:i/>
          <w:iCs/>
          <w:snapToGrid w:val="0"/>
          <w:szCs w:val="22"/>
          <w:lang w:val="fr-CA"/>
        </w:rPr>
      </w:pPr>
      <w:r w:rsidRPr="00675643">
        <w:rPr>
          <w:bCs/>
          <w:i/>
          <w:iCs/>
          <w:snapToGrid w:val="0"/>
          <w:szCs w:val="22"/>
          <w:lang w:val="fr-CA"/>
        </w:rPr>
        <w:t xml:space="preserve">Rappelant </w:t>
      </w:r>
      <w:r>
        <w:rPr>
          <w:bCs/>
          <w:iCs/>
          <w:snapToGrid w:val="0"/>
          <w:szCs w:val="22"/>
          <w:lang w:val="fr-CA"/>
        </w:rPr>
        <w:t>l’objectif D et la cible 19</w:t>
      </w:r>
      <w:r w:rsidRPr="00675643">
        <w:rPr>
          <w:bCs/>
          <w:iCs/>
          <w:snapToGrid w:val="0"/>
          <w:szCs w:val="22"/>
          <w:lang w:val="fr-CA"/>
        </w:rPr>
        <w:t xml:space="preserve"> du </w:t>
      </w:r>
      <w:r>
        <w:rPr>
          <w:bCs/>
          <w:iCs/>
          <w:snapToGrid w:val="0"/>
          <w:szCs w:val="22"/>
          <w:lang w:val="fr-CA"/>
        </w:rPr>
        <w:t>cadre mondial de la biodiversité pour l'après-2020</w:t>
      </w:r>
      <w:r w:rsidRPr="00675643">
        <w:rPr>
          <w:bCs/>
          <w:iCs/>
          <w:snapToGrid w:val="0"/>
          <w:szCs w:val="22"/>
          <w:lang w:val="fr-CA"/>
        </w:rPr>
        <w:t>,</w:t>
      </w:r>
      <w:r w:rsidRPr="00675643">
        <w:rPr>
          <w:bCs/>
          <w:i/>
          <w:iCs/>
          <w:snapToGrid w:val="0"/>
          <w:szCs w:val="22"/>
          <w:lang w:val="fr-CA"/>
        </w:rPr>
        <w:t xml:space="preserve"> </w:t>
      </w:r>
    </w:p>
    <w:p w14:paraId="65AB9A86" w14:textId="77777777" w:rsidR="000C68BB" w:rsidRPr="00675643" w:rsidRDefault="000C68BB" w:rsidP="000C68BB">
      <w:pPr>
        <w:suppressLineNumbers/>
        <w:suppressAutoHyphens/>
        <w:spacing w:before="120" w:after="120"/>
        <w:ind w:firstLine="720"/>
        <w:rPr>
          <w:bCs/>
          <w:snapToGrid w:val="0"/>
          <w:szCs w:val="22"/>
          <w:lang w:val="fr-CA"/>
        </w:rPr>
      </w:pPr>
      <w:r w:rsidRPr="00675643">
        <w:rPr>
          <w:bCs/>
          <w:i/>
          <w:iCs/>
          <w:snapToGrid w:val="0"/>
          <w:szCs w:val="22"/>
          <w:lang w:val="fr-CA"/>
        </w:rPr>
        <w:t xml:space="preserve">Soulignant </w:t>
      </w:r>
      <w:r w:rsidRPr="00675643">
        <w:rPr>
          <w:bCs/>
          <w:iCs/>
          <w:snapToGrid w:val="0"/>
          <w:szCs w:val="22"/>
          <w:lang w:val="fr-CA"/>
        </w:rPr>
        <w:t xml:space="preserve">l’importance </w:t>
      </w:r>
      <w:r>
        <w:rPr>
          <w:bCs/>
          <w:iCs/>
          <w:snapToGrid w:val="0"/>
          <w:szCs w:val="22"/>
          <w:lang w:val="fr-CA"/>
        </w:rPr>
        <w:t>d’accroître</w:t>
      </w:r>
      <w:r w:rsidRPr="00675643">
        <w:rPr>
          <w:bCs/>
          <w:iCs/>
          <w:snapToGrid w:val="0"/>
          <w:szCs w:val="22"/>
          <w:lang w:val="fr-CA"/>
        </w:rPr>
        <w:t xml:space="preserve"> en toute urgence la </w:t>
      </w:r>
      <w:r>
        <w:rPr>
          <w:bCs/>
          <w:iCs/>
          <w:snapToGrid w:val="0"/>
          <w:szCs w:val="22"/>
          <w:lang w:val="fr-CA"/>
        </w:rPr>
        <w:t>mobilisation</w:t>
      </w:r>
      <w:r w:rsidRPr="00675643">
        <w:rPr>
          <w:bCs/>
          <w:iCs/>
          <w:snapToGrid w:val="0"/>
          <w:szCs w:val="22"/>
          <w:lang w:val="fr-CA"/>
        </w:rPr>
        <w:t xml:space="preserve"> des ressources financières de toutes les sources</w:t>
      </w:r>
      <w:r>
        <w:rPr>
          <w:bCs/>
          <w:iCs/>
          <w:snapToGrid w:val="0"/>
          <w:szCs w:val="22"/>
          <w:lang w:val="fr-CA"/>
        </w:rPr>
        <w:t>,</w:t>
      </w:r>
      <w:r w:rsidRPr="00675643">
        <w:rPr>
          <w:bCs/>
          <w:iCs/>
          <w:snapToGrid w:val="0"/>
          <w:szCs w:val="22"/>
          <w:lang w:val="fr-CA"/>
        </w:rPr>
        <w:t xml:space="preserve"> nationales et internationales, publiques et privées</w:t>
      </w:r>
      <w:r>
        <w:rPr>
          <w:bCs/>
          <w:iCs/>
          <w:snapToGrid w:val="0"/>
          <w:szCs w:val="22"/>
          <w:lang w:val="fr-CA"/>
        </w:rPr>
        <w:t>,</w:t>
      </w:r>
      <w:r w:rsidRPr="00675643">
        <w:rPr>
          <w:bCs/>
          <w:iCs/>
          <w:snapToGrid w:val="0"/>
          <w:szCs w:val="22"/>
          <w:lang w:val="fr-CA"/>
        </w:rPr>
        <w:t xml:space="preserve"> afin de</w:t>
      </w:r>
      <w:r>
        <w:rPr>
          <w:bCs/>
          <w:iCs/>
          <w:snapToGrid w:val="0"/>
          <w:szCs w:val="22"/>
          <w:lang w:val="fr-CA"/>
        </w:rPr>
        <w:t xml:space="preserve"> resserrer l’écart du financement de la diversité biologique et d’offrir des ressources adéquates et prévisibles au moment opportun </w:t>
      </w:r>
      <w:r>
        <w:rPr>
          <w:szCs w:val="22"/>
          <w:lang w:val="fr-FR"/>
        </w:rPr>
        <w:t>pour</w:t>
      </w:r>
      <w:r w:rsidRPr="006E78A2">
        <w:rPr>
          <w:szCs w:val="22"/>
          <w:lang w:val="fr-FR"/>
        </w:rPr>
        <w:t xml:space="preserve"> la mise en œuvre effective du cadre mondial de la biodiversité pour l’après</w:t>
      </w:r>
      <w:r w:rsidRPr="006E78A2">
        <w:rPr>
          <w:szCs w:val="22"/>
          <w:lang w:val="fr-FR"/>
        </w:rPr>
        <w:noBreakHyphen/>
        <w:t>2020</w:t>
      </w:r>
      <w:r w:rsidRPr="00675643">
        <w:rPr>
          <w:bCs/>
          <w:snapToGrid w:val="0"/>
          <w:szCs w:val="22"/>
          <w:lang w:val="fr-CA"/>
        </w:rPr>
        <w:t>,</w:t>
      </w:r>
    </w:p>
    <w:p w14:paraId="0353F80D" w14:textId="77777777" w:rsidR="000C68BB" w:rsidRDefault="000C68BB" w:rsidP="000C68BB">
      <w:pPr>
        <w:keepNext/>
        <w:suppressLineNumbers/>
        <w:suppressAutoHyphens/>
        <w:kinsoku w:val="0"/>
        <w:overflowPunct w:val="0"/>
        <w:autoSpaceDE w:val="0"/>
        <w:autoSpaceDN w:val="0"/>
        <w:adjustRightInd w:val="0"/>
        <w:snapToGrid w:val="0"/>
        <w:spacing w:before="120" w:after="120"/>
        <w:ind w:firstLine="720"/>
        <w:rPr>
          <w:snapToGrid w:val="0"/>
          <w:kern w:val="22"/>
          <w:szCs w:val="22"/>
          <w:lang w:val="fr-CA" w:eastAsia="zh-CN"/>
        </w:rPr>
      </w:pPr>
      <w:r w:rsidRPr="00675643">
        <w:rPr>
          <w:i/>
          <w:snapToGrid w:val="0"/>
          <w:kern w:val="22"/>
          <w:szCs w:val="22"/>
          <w:lang w:val="fr-FR"/>
        </w:rPr>
        <w:t>Prenant note</w:t>
      </w:r>
      <w:r>
        <w:rPr>
          <w:snapToGrid w:val="0"/>
          <w:kern w:val="22"/>
          <w:szCs w:val="22"/>
          <w:lang w:val="fr-FR"/>
        </w:rPr>
        <w:t xml:space="preserve"> des cibles 14, 15, 16 et 18, et soulignant </w:t>
      </w:r>
      <w:r w:rsidRPr="006E78A2">
        <w:rPr>
          <w:snapToGrid w:val="0"/>
          <w:kern w:val="22"/>
          <w:szCs w:val="22"/>
          <w:lang w:val="fr-FR"/>
        </w:rPr>
        <w:t>l’importance d’intégrer la biodiversité pour renforcer la mobilisation des ressources et l’utilisation efficac</w:t>
      </w:r>
      <w:r>
        <w:rPr>
          <w:snapToGrid w:val="0"/>
          <w:kern w:val="22"/>
          <w:szCs w:val="22"/>
          <w:lang w:val="fr-FR"/>
        </w:rPr>
        <w:t xml:space="preserve">e et efficiente des ressources, </w:t>
      </w:r>
      <w:r w:rsidRPr="006E78A2">
        <w:rPr>
          <w:snapToGrid w:val="0"/>
          <w:kern w:val="22"/>
          <w:szCs w:val="22"/>
          <w:lang w:val="fr-FR"/>
        </w:rPr>
        <w:t>afin d’appuyer la conservation et l’utilisation durable de la biodiversité,</w:t>
      </w:r>
    </w:p>
    <w:p w14:paraId="475FB761" w14:textId="77777777" w:rsidR="000C68BB" w:rsidRPr="00675643" w:rsidRDefault="000C68BB" w:rsidP="000C68BB">
      <w:pPr>
        <w:keepNext/>
        <w:suppressLineNumbers/>
        <w:suppressAutoHyphens/>
        <w:kinsoku w:val="0"/>
        <w:overflowPunct w:val="0"/>
        <w:autoSpaceDE w:val="0"/>
        <w:autoSpaceDN w:val="0"/>
        <w:adjustRightInd w:val="0"/>
        <w:snapToGrid w:val="0"/>
        <w:spacing w:before="120" w:after="120"/>
        <w:ind w:firstLine="720"/>
        <w:rPr>
          <w:bCs/>
          <w:snapToGrid w:val="0"/>
          <w:szCs w:val="22"/>
          <w:lang w:val="fr-CA"/>
        </w:rPr>
      </w:pPr>
      <w:r w:rsidRPr="00675643">
        <w:rPr>
          <w:rFonts w:eastAsia="DengXian"/>
          <w:i/>
          <w:szCs w:val="22"/>
          <w:lang w:val="fr-CA" w:eastAsia="zh-CN"/>
        </w:rPr>
        <w:t>Confirmant</w:t>
      </w:r>
      <w:r>
        <w:rPr>
          <w:rFonts w:eastAsia="DengXian"/>
          <w:szCs w:val="22"/>
          <w:lang w:val="fr-CA" w:eastAsia="zh-CN"/>
        </w:rPr>
        <w:t xml:space="preserve"> la nécessité de mobiliser des ressources de toutes les sources, immédiatement et de manière accélérée, tout en prenant les mesures nécessaires pour garantir une mobilisation soutenue des ressources afin d’atteindre les objectifs de 2030 et de réaliser la vision 2050, et de mobiliser les ressources à la hauteur des ambitions </w:t>
      </w:r>
      <w:r w:rsidRPr="00675643">
        <w:rPr>
          <w:rFonts w:eastAsia="DengXian"/>
          <w:szCs w:val="22"/>
          <w:lang w:val="fr-CA" w:eastAsia="zh-CN"/>
        </w:rPr>
        <w:t>du cadre mondial de la biodiversité pour l'après-2020,</w:t>
      </w:r>
    </w:p>
    <w:p w14:paraId="3E0AE7F8" w14:textId="77777777" w:rsidR="000C68BB"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i/>
          <w:iCs/>
          <w:snapToGrid w:val="0"/>
          <w:kern w:val="22"/>
          <w:szCs w:val="22"/>
          <w:lang w:val="fr-CA"/>
        </w:rPr>
        <w:t xml:space="preserve">Reconnaissant </w:t>
      </w:r>
      <w:r w:rsidRPr="00675643">
        <w:rPr>
          <w:iCs/>
          <w:snapToGrid w:val="0"/>
          <w:kern w:val="22"/>
          <w:szCs w:val="22"/>
          <w:lang w:val="fr-CA"/>
        </w:rPr>
        <w:t xml:space="preserve">que l’Objectif 20 d’Aichi </w:t>
      </w:r>
      <w:r>
        <w:rPr>
          <w:iCs/>
          <w:snapToGrid w:val="0"/>
          <w:kern w:val="22"/>
          <w:szCs w:val="22"/>
          <w:lang w:val="fr-CA"/>
        </w:rPr>
        <w:t>demandant une augmentation marquée des ressources pour mettre en œuvre le Plan stratégique 2011-2020 pour la diversité biologique a été atteint, et se réjouissant des efforts déployés à cet égard, tout en reconnaissant qu’ils n’ont pas été suffisants pour permettre la mise en œuvre entière et efficace des Objectifs d’Aichi pour la biodiversité</w:t>
      </w:r>
      <w:r w:rsidRPr="00675643">
        <w:rPr>
          <w:snapToGrid w:val="0"/>
          <w:kern w:val="22"/>
          <w:szCs w:val="22"/>
          <w:lang w:val="fr-CA"/>
        </w:rPr>
        <w:t>,</w:t>
      </w:r>
    </w:p>
    <w:p w14:paraId="4371FCDF"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i/>
          <w:snapToGrid w:val="0"/>
          <w:kern w:val="22"/>
          <w:szCs w:val="22"/>
          <w:lang w:val="fr-CA"/>
        </w:rPr>
        <w:t>Se réjouissant</w:t>
      </w:r>
      <w:r>
        <w:rPr>
          <w:snapToGrid w:val="0"/>
          <w:kern w:val="22"/>
          <w:szCs w:val="22"/>
          <w:lang w:val="fr-CA"/>
        </w:rPr>
        <w:t xml:space="preserve"> des contributions annoncées des pays donateurs dans le cadre de la huitième reconstitution des ressources du Fonds pour l’environnement mondial,</w:t>
      </w:r>
    </w:p>
    <w:p w14:paraId="06FEC072" w14:textId="77777777" w:rsidR="000C68BB" w:rsidRPr="006E78A2" w:rsidRDefault="000C68BB" w:rsidP="000C68BB">
      <w:pPr>
        <w:suppressLineNumbers/>
        <w:suppressAutoHyphens/>
        <w:spacing w:before="120" w:after="120"/>
        <w:ind w:firstLine="709"/>
        <w:rPr>
          <w:snapToGrid w:val="0"/>
          <w:kern w:val="22"/>
          <w:szCs w:val="22"/>
          <w:lang w:val="fr-FR" w:eastAsia="zh-CN"/>
        </w:rPr>
      </w:pPr>
      <w:r w:rsidRPr="006E78A2">
        <w:rPr>
          <w:i/>
          <w:iCs/>
          <w:snapToGrid w:val="0"/>
          <w:kern w:val="22"/>
          <w:szCs w:val="22"/>
          <w:lang w:val="fr-FR"/>
        </w:rPr>
        <w:t>Réaffirmant</w:t>
      </w:r>
      <w:r w:rsidRPr="006E78A2">
        <w:rPr>
          <w:snapToGrid w:val="0"/>
          <w:kern w:val="22"/>
          <w:szCs w:val="22"/>
          <w:lang w:val="fr-FR"/>
        </w:rPr>
        <w:t xml:space="preserve"> le rôle essentiel des stratégies et plans d’action nationaux pour la biodiversité en tant que base pour l’identification des besoins et des priorités de financement au niveau national, et en vue de la mobilisation efficace et efficiente des ressources de toutes </w:t>
      </w:r>
      <w:r>
        <w:rPr>
          <w:snapToGrid w:val="0"/>
          <w:kern w:val="22"/>
          <w:szCs w:val="22"/>
          <w:lang w:val="fr-FR"/>
        </w:rPr>
        <w:t>les sources</w:t>
      </w:r>
      <w:r w:rsidRPr="006E78A2">
        <w:rPr>
          <w:snapToGrid w:val="0"/>
          <w:kern w:val="22"/>
          <w:szCs w:val="22"/>
          <w:lang w:val="fr-FR"/>
        </w:rPr>
        <w:t>, en fonction des circonstances et des priorités nation</w:t>
      </w:r>
      <w:r>
        <w:rPr>
          <w:snapToGrid w:val="0"/>
          <w:kern w:val="22"/>
          <w:szCs w:val="22"/>
          <w:lang w:val="fr-FR"/>
        </w:rPr>
        <w:t>ales</w:t>
      </w:r>
      <w:r w:rsidRPr="006E78A2">
        <w:rPr>
          <w:snapToGrid w:val="0"/>
          <w:kern w:val="22"/>
          <w:szCs w:val="22"/>
          <w:lang w:val="fr-FR"/>
        </w:rPr>
        <w:t>, y compris, le cas échéant, aux fins de l’application des protocoles relevant de la Convention et de la mise en œuvre complémentaire d’autres conventions relatives à la biodiversité,</w:t>
      </w:r>
    </w:p>
    <w:p w14:paraId="76298930" w14:textId="77777777" w:rsidR="000C68BB" w:rsidRPr="00675643" w:rsidRDefault="000C68BB" w:rsidP="000C68BB">
      <w:pPr>
        <w:suppressLineNumbers/>
        <w:suppressAutoHyphens/>
        <w:spacing w:before="120" w:after="120"/>
        <w:ind w:firstLine="709"/>
        <w:rPr>
          <w:iCs/>
          <w:snapToGrid w:val="0"/>
          <w:kern w:val="22"/>
          <w:szCs w:val="22"/>
          <w:lang w:val="fr-CA" w:eastAsia="zh-CN"/>
        </w:rPr>
      </w:pPr>
      <w:r w:rsidRPr="006E78A2">
        <w:rPr>
          <w:i/>
          <w:iCs/>
          <w:snapToGrid w:val="0"/>
          <w:kern w:val="22"/>
          <w:szCs w:val="22"/>
          <w:lang w:val="fr-FR"/>
        </w:rPr>
        <w:t>Rappelant</w:t>
      </w:r>
      <w:r w:rsidRPr="006E78A2">
        <w:rPr>
          <w:iCs/>
          <w:snapToGrid w:val="0"/>
          <w:kern w:val="22"/>
          <w:szCs w:val="22"/>
          <w:lang w:val="fr-FR"/>
        </w:rPr>
        <w:t xml:space="preserve"> que les Parties sont invitées à élaborer des plans financiers nationaux ou autres instruments de planification semblables, dans le cadre des stratégies et plans d’action nationaux pour la biodiversité, s’alignant sur le but 2.2 de la stratégie de mobilisation des ressources adoptée par la décision IX/11</w:t>
      </w:r>
      <w:r w:rsidRPr="00675643">
        <w:rPr>
          <w:iCs/>
          <w:snapToGrid w:val="0"/>
          <w:kern w:val="22"/>
          <w:szCs w:val="22"/>
          <w:lang w:val="fr-CA" w:eastAsia="zh-CN"/>
        </w:rPr>
        <w:t>,</w:t>
      </w:r>
    </w:p>
    <w:p w14:paraId="3280E3FC" w14:textId="77777777" w:rsidR="000C68BB" w:rsidRPr="006E78A2"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6E78A2">
        <w:rPr>
          <w:i/>
          <w:iCs/>
          <w:snapToGrid w:val="0"/>
          <w:kern w:val="22"/>
          <w:szCs w:val="22"/>
          <w:lang w:val="fr-FR"/>
        </w:rPr>
        <w:lastRenderedPageBreak/>
        <w:t>Reconnaissant</w:t>
      </w:r>
      <w:r w:rsidRPr="006E78A2">
        <w:rPr>
          <w:snapToGrid w:val="0"/>
          <w:kern w:val="22"/>
          <w:szCs w:val="22"/>
          <w:lang w:val="fr-FR"/>
        </w:rPr>
        <w:t xml:space="preserve"> la nécessité d’établir des partenariats et une collaboration efficaces entre tous les acteurs concernés, et de renforcer les partenariats avec les entreprises et le secteur financier pour mobiliser des ressources et </w:t>
      </w:r>
      <w:r>
        <w:rPr>
          <w:snapToGrid w:val="0"/>
          <w:kern w:val="22"/>
          <w:szCs w:val="22"/>
          <w:lang w:val="fr-FR"/>
        </w:rPr>
        <w:t>harmoniser</w:t>
      </w:r>
      <w:r w:rsidRPr="006E78A2">
        <w:rPr>
          <w:snapToGrid w:val="0"/>
          <w:kern w:val="22"/>
          <w:szCs w:val="22"/>
          <w:lang w:val="fr-FR"/>
        </w:rPr>
        <w:t xml:space="preserve"> les flux financiers </w:t>
      </w:r>
      <w:r>
        <w:rPr>
          <w:snapToGrid w:val="0"/>
          <w:kern w:val="22"/>
          <w:szCs w:val="22"/>
          <w:lang w:val="fr-FR"/>
        </w:rPr>
        <w:t>à</w:t>
      </w:r>
      <w:r w:rsidRPr="006E78A2">
        <w:rPr>
          <w:snapToGrid w:val="0"/>
          <w:kern w:val="22"/>
          <w:szCs w:val="22"/>
          <w:lang w:val="fr-FR"/>
        </w:rPr>
        <w:t xml:space="preserve"> la mission du cadre mondial de la biodiversité pour l’après</w:t>
      </w:r>
      <w:r w:rsidRPr="006E78A2">
        <w:rPr>
          <w:snapToGrid w:val="0"/>
          <w:kern w:val="22"/>
          <w:szCs w:val="22"/>
          <w:lang w:val="fr-FR"/>
        </w:rPr>
        <w:noBreakHyphen/>
        <w:t>2020,</w:t>
      </w:r>
    </w:p>
    <w:p w14:paraId="15B7039B"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E78A2">
        <w:rPr>
          <w:i/>
          <w:iCs/>
          <w:snapToGrid w:val="0"/>
          <w:kern w:val="22"/>
          <w:szCs w:val="22"/>
          <w:lang w:val="fr-FR"/>
        </w:rPr>
        <w:t>Conscients</w:t>
      </w:r>
      <w:r w:rsidRPr="006E78A2">
        <w:rPr>
          <w:snapToGrid w:val="0"/>
          <w:kern w:val="22"/>
          <w:szCs w:val="22"/>
          <w:lang w:val="fr-FR"/>
        </w:rPr>
        <w:t xml:space="preserve"> des possibilités d’exploiter les synergies entre les conventions de Rio, notamment les synergies liées à la mobilisation et à l’utilisation des ressources pour la conservation et l’utilisation durable de la biodiversité</w:t>
      </w:r>
      <w:r w:rsidRPr="00675643">
        <w:rPr>
          <w:snapToGrid w:val="0"/>
          <w:kern w:val="22"/>
          <w:szCs w:val="22"/>
          <w:lang w:val="fr-CA"/>
        </w:rPr>
        <w:t>,</w:t>
      </w:r>
    </w:p>
    <w:p w14:paraId="2912089B"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1.</w:t>
      </w:r>
      <w:r w:rsidRPr="00675643">
        <w:rPr>
          <w:snapToGrid w:val="0"/>
          <w:kern w:val="22"/>
          <w:szCs w:val="22"/>
          <w:lang w:val="fr-CA"/>
        </w:rPr>
        <w:tab/>
      </w:r>
      <w:r w:rsidRPr="006E78A2">
        <w:rPr>
          <w:i/>
          <w:iCs/>
          <w:snapToGrid w:val="0"/>
          <w:kern w:val="22"/>
          <w:szCs w:val="22"/>
          <w:lang w:val="fr-FR"/>
        </w:rPr>
        <w:t>Remercie</w:t>
      </w:r>
      <w:r w:rsidRPr="006E78A2">
        <w:rPr>
          <w:snapToGrid w:val="0"/>
          <w:kern w:val="22"/>
          <w:szCs w:val="22"/>
          <w:lang w:val="fr-FR"/>
        </w:rPr>
        <w:t xml:space="preserve"> le Gouvernement allemand de son appui financier aux travaux du Groupe d’experts sur</w:t>
      </w:r>
      <w:r>
        <w:rPr>
          <w:snapToGrid w:val="0"/>
          <w:kern w:val="22"/>
          <w:szCs w:val="22"/>
          <w:lang w:val="fr-FR"/>
        </w:rPr>
        <w:t xml:space="preserve"> la mobilisation des ressources</w:t>
      </w:r>
      <w:r w:rsidRPr="006E78A2">
        <w:rPr>
          <w:snapToGrid w:val="0"/>
          <w:kern w:val="22"/>
          <w:szCs w:val="22"/>
          <w:lang w:val="fr-FR"/>
        </w:rPr>
        <w:t xml:space="preserve"> et d’avoir accueilli l’atelier thématique</w:t>
      </w:r>
      <w:r w:rsidRPr="006E78A2">
        <w:rPr>
          <w:i/>
          <w:snapToGrid w:val="0"/>
          <w:kern w:val="22"/>
          <w:szCs w:val="22"/>
          <w:lang w:val="fr-FR"/>
        </w:rPr>
        <w:t xml:space="preserve"> </w:t>
      </w:r>
      <w:bookmarkStart w:id="0" w:name="_Hlk37260892"/>
      <w:r w:rsidRPr="006E78A2">
        <w:rPr>
          <w:snapToGrid w:val="0"/>
          <w:kern w:val="22"/>
          <w:szCs w:val="22"/>
          <w:lang w:val="fr-FR"/>
        </w:rPr>
        <w:t>sur la mobilisation des ressources pour le cadre mondial de la biodiversité pour l’après</w:t>
      </w:r>
      <w:r w:rsidRPr="006E78A2">
        <w:rPr>
          <w:snapToGrid w:val="0"/>
          <w:kern w:val="22"/>
          <w:szCs w:val="22"/>
          <w:lang w:val="fr-FR"/>
        </w:rPr>
        <w:noBreakHyphen/>
        <w:t>2020, qui s’est tenu à Berlin du 14 au 16 janvier 2020</w:t>
      </w:r>
      <w:bookmarkEnd w:id="0"/>
      <w:r>
        <w:rPr>
          <w:snapToGrid w:val="0"/>
          <w:kern w:val="22"/>
          <w:szCs w:val="22"/>
          <w:lang w:val="fr-FR"/>
        </w:rPr>
        <w:t xml:space="preserve"> </w:t>
      </w:r>
      <w:r w:rsidRPr="00675643">
        <w:rPr>
          <w:snapToGrid w:val="0"/>
          <w:kern w:val="22"/>
          <w:szCs w:val="22"/>
          <w:lang w:val="fr-CA"/>
        </w:rPr>
        <w:t xml:space="preserve">; </w:t>
      </w:r>
    </w:p>
    <w:p w14:paraId="33E0FE19"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2.</w:t>
      </w:r>
      <w:r w:rsidRPr="00675643">
        <w:rPr>
          <w:snapToGrid w:val="0"/>
          <w:kern w:val="22"/>
          <w:szCs w:val="22"/>
          <w:lang w:val="fr-CA"/>
        </w:rPr>
        <w:tab/>
      </w:r>
      <w:r w:rsidRPr="00675643">
        <w:rPr>
          <w:bCs/>
          <w:i/>
          <w:snapToGrid w:val="0"/>
          <w:kern w:val="22"/>
          <w:szCs w:val="22"/>
          <w:lang w:val="fr-FR"/>
        </w:rPr>
        <w:t>Accueille</w:t>
      </w:r>
      <w:r>
        <w:rPr>
          <w:rFonts w:eastAsia="DengXian"/>
          <w:bCs/>
          <w:snapToGrid w:val="0"/>
          <w:kern w:val="22"/>
          <w:szCs w:val="22"/>
          <w:lang w:val="fr-FR"/>
        </w:rPr>
        <w:t xml:space="preserve"> le rapport final du G</w:t>
      </w:r>
      <w:r w:rsidRPr="006E78A2">
        <w:rPr>
          <w:rFonts w:eastAsia="DengXian"/>
          <w:bCs/>
          <w:snapToGrid w:val="0"/>
          <w:kern w:val="22"/>
          <w:szCs w:val="22"/>
          <w:lang w:val="fr-FR"/>
        </w:rPr>
        <w:t xml:space="preserve">roupe d’experts, qui fournit une évaluation des ressources de toutes </w:t>
      </w:r>
      <w:r>
        <w:rPr>
          <w:rFonts w:eastAsia="DengXian"/>
          <w:bCs/>
          <w:snapToGrid w:val="0"/>
          <w:kern w:val="22"/>
          <w:szCs w:val="22"/>
          <w:lang w:val="fr-FR"/>
        </w:rPr>
        <w:t>les sources</w:t>
      </w:r>
      <w:r w:rsidRPr="006E78A2">
        <w:rPr>
          <w:rFonts w:eastAsia="DengXian"/>
          <w:bCs/>
          <w:snapToGrid w:val="0"/>
          <w:kern w:val="22"/>
          <w:szCs w:val="22"/>
          <w:lang w:val="fr-FR"/>
        </w:rPr>
        <w:t xml:space="preserve"> nécessaires à la mise en œuvre du cadre mondial de la biodiversité pour l’après</w:t>
      </w:r>
      <w:r w:rsidRPr="006E78A2">
        <w:rPr>
          <w:rFonts w:eastAsia="DengXian"/>
          <w:bCs/>
          <w:snapToGrid w:val="0"/>
          <w:kern w:val="22"/>
          <w:szCs w:val="22"/>
          <w:lang w:val="fr-FR"/>
        </w:rPr>
        <w:noBreakHyphen/>
        <w:t xml:space="preserve">2020, </w:t>
      </w:r>
      <w:r>
        <w:rPr>
          <w:rFonts w:eastAsia="DengXian"/>
          <w:bCs/>
          <w:snapToGrid w:val="0"/>
          <w:kern w:val="22"/>
          <w:szCs w:val="22"/>
          <w:lang w:val="fr-FR"/>
        </w:rPr>
        <w:t>et prend note des</w:t>
      </w:r>
      <w:r w:rsidRPr="006E78A2">
        <w:rPr>
          <w:rFonts w:eastAsia="DengXian"/>
          <w:bCs/>
          <w:snapToGrid w:val="0"/>
          <w:kern w:val="22"/>
          <w:szCs w:val="22"/>
          <w:lang w:val="fr-FR"/>
        </w:rPr>
        <w:t xml:space="preserve"> autres rapports du Groupe d’experts, examinés par l’Organe subsidiaire chargé de l’application à sa troisième réunion </w:t>
      </w:r>
      <w:r w:rsidRPr="00675643">
        <w:rPr>
          <w:snapToGrid w:val="0"/>
          <w:kern w:val="22"/>
          <w:szCs w:val="22"/>
          <w:lang w:val="fr-CA"/>
        </w:rPr>
        <w:t xml:space="preserve">; </w:t>
      </w:r>
    </w:p>
    <w:p w14:paraId="5980CC1D"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3.</w:t>
      </w:r>
      <w:r w:rsidRPr="00675643">
        <w:rPr>
          <w:snapToGrid w:val="0"/>
          <w:kern w:val="22"/>
          <w:szCs w:val="22"/>
          <w:lang w:val="fr-CA"/>
        </w:rPr>
        <w:tab/>
      </w:r>
      <w:r w:rsidRPr="006E78A2">
        <w:rPr>
          <w:i/>
          <w:iCs/>
          <w:snapToGrid w:val="0"/>
          <w:kern w:val="22"/>
          <w:szCs w:val="22"/>
          <w:lang w:val="fr-FR"/>
        </w:rPr>
        <w:t>Prend note</w:t>
      </w:r>
      <w:r w:rsidRPr="006E78A2">
        <w:rPr>
          <w:snapToGrid w:val="0"/>
          <w:kern w:val="22"/>
          <w:szCs w:val="22"/>
          <w:lang w:val="fr-FR"/>
        </w:rPr>
        <w:t xml:space="preserve"> de l’analyse finale des cadres de présentation de rapports financiers reçue par les Parties, préparée par la Secrétaire exécutive</w:t>
      </w:r>
      <w:r>
        <w:rPr>
          <w:snapToGrid w:val="0"/>
          <w:kern w:val="22"/>
          <w:szCs w:val="22"/>
          <w:lang w:val="fr-FR"/>
        </w:rPr>
        <w:t xml:space="preserve"> </w:t>
      </w:r>
      <w:r w:rsidRPr="00675643">
        <w:rPr>
          <w:snapToGrid w:val="0"/>
          <w:kern w:val="22"/>
          <w:szCs w:val="22"/>
          <w:lang w:val="fr-CA"/>
        </w:rPr>
        <w:t xml:space="preserve">; </w:t>
      </w:r>
    </w:p>
    <w:p w14:paraId="3D2355DE"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4.</w:t>
      </w:r>
      <w:r w:rsidRPr="00675643">
        <w:rPr>
          <w:snapToGrid w:val="0"/>
          <w:kern w:val="22"/>
          <w:szCs w:val="22"/>
          <w:lang w:val="fr-CA"/>
        </w:rPr>
        <w:tab/>
      </w:r>
      <w:r w:rsidRPr="006E78A2">
        <w:rPr>
          <w:i/>
          <w:iCs/>
          <w:snapToGrid w:val="0"/>
          <w:kern w:val="22"/>
          <w:szCs w:val="22"/>
          <w:lang w:val="fr-FR"/>
        </w:rPr>
        <w:t xml:space="preserve">Prend note </w:t>
      </w:r>
      <w:r w:rsidRPr="006E78A2">
        <w:rPr>
          <w:snapToGrid w:val="0"/>
          <w:kern w:val="22"/>
          <w:szCs w:val="22"/>
          <w:lang w:val="fr-FR"/>
        </w:rPr>
        <w:t>des progrès accomplis par les Parties dans la mise en œuvre de la stratégie de mobilisation des ressources et des objectifs de mobilisation des ressources adoptés au titre de l’Objectif 20 d’Aichi pour la biodiversité </w:t>
      </w:r>
      <w:r w:rsidRPr="00675643">
        <w:rPr>
          <w:snapToGrid w:val="0"/>
          <w:kern w:val="22"/>
          <w:szCs w:val="22"/>
          <w:lang w:val="fr-CA"/>
        </w:rPr>
        <w:t xml:space="preserve">; </w:t>
      </w:r>
    </w:p>
    <w:p w14:paraId="0FA1FD9E"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5.</w:t>
      </w:r>
      <w:r w:rsidRPr="00675643">
        <w:rPr>
          <w:snapToGrid w:val="0"/>
          <w:kern w:val="22"/>
          <w:szCs w:val="22"/>
          <w:lang w:val="fr-CA"/>
        </w:rPr>
        <w:tab/>
      </w:r>
      <w:r>
        <w:rPr>
          <w:i/>
          <w:iCs/>
          <w:snapToGrid w:val="0"/>
          <w:kern w:val="22"/>
          <w:szCs w:val="22"/>
          <w:lang w:val="fr-CA"/>
        </w:rPr>
        <w:t xml:space="preserve">Se réjouit </w:t>
      </w:r>
      <w:r>
        <w:rPr>
          <w:iCs/>
          <w:snapToGrid w:val="0"/>
          <w:kern w:val="22"/>
          <w:szCs w:val="22"/>
          <w:lang w:val="fr-CA"/>
        </w:rPr>
        <w:t>du fait que l’engagement de doubler les flux de l’ensemble des ressources internationales pour la diversité biologique ressources vers les pays en développement avant 2015 a été respecté </w:t>
      </w:r>
      <w:r w:rsidRPr="00675643">
        <w:rPr>
          <w:snapToGrid w:val="0"/>
          <w:kern w:val="22"/>
          <w:szCs w:val="22"/>
          <w:lang w:val="fr-CA"/>
        </w:rPr>
        <w:t>;</w:t>
      </w:r>
    </w:p>
    <w:p w14:paraId="548B5350"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6.</w:t>
      </w:r>
      <w:r w:rsidRPr="00675643">
        <w:rPr>
          <w:i/>
          <w:iCs/>
          <w:snapToGrid w:val="0"/>
          <w:kern w:val="22"/>
          <w:szCs w:val="22"/>
          <w:lang w:val="fr-CA"/>
        </w:rPr>
        <w:tab/>
      </w:r>
      <w:r>
        <w:rPr>
          <w:i/>
          <w:iCs/>
          <w:snapToGrid w:val="0"/>
          <w:kern w:val="22"/>
          <w:szCs w:val="22"/>
          <w:lang w:val="fr-CA"/>
        </w:rPr>
        <w:t xml:space="preserve">Se réjouit </w:t>
      </w:r>
      <w:r>
        <w:rPr>
          <w:iCs/>
          <w:snapToGrid w:val="0"/>
          <w:kern w:val="22"/>
          <w:szCs w:val="22"/>
          <w:lang w:val="fr-CA"/>
        </w:rPr>
        <w:t xml:space="preserve">des contributions annoncées pour financer la mise en œuvre des Objectifs d’Aichi pour la biodiversité, reconnaît que des efforts supplémentaires sont nécessaires et encourage les pays développés, les autres donateurs et les institutions financières à faciliter l’accès efficace à ces ressources par les voies multilatérales et bilatérales </w:t>
      </w:r>
      <w:r w:rsidRPr="00675643">
        <w:rPr>
          <w:snapToGrid w:val="0"/>
          <w:kern w:val="22"/>
          <w:szCs w:val="22"/>
          <w:lang w:val="fr-CA"/>
        </w:rPr>
        <w:t>;</w:t>
      </w:r>
    </w:p>
    <w:p w14:paraId="000817C2"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7.</w:t>
      </w:r>
      <w:r w:rsidRPr="00675643">
        <w:rPr>
          <w:snapToGrid w:val="0"/>
          <w:kern w:val="22"/>
          <w:szCs w:val="22"/>
          <w:lang w:val="fr-CA"/>
        </w:rPr>
        <w:tab/>
      </w:r>
      <w:r>
        <w:rPr>
          <w:i/>
          <w:iCs/>
          <w:snapToGrid w:val="0"/>
          <w:kern w:val="22"/>
          <w:szCs w:val="22"/>
          <w:lang w:val="fr-CA"/>
        </w:rPr>
        <w:t xml:space="preserve">Se réjouit </w:t>
      </w:r>
      <w:r>
        <w:rPr>
          <w:iCs/>
          <w:snapToGrid w:val="0"/>
          <w:kern w:val="22"/>
          <w:szCs w:val="22"/>
          <w:lang w:val="fr-CA"/>
        </w:rPr>
        <w:t xml:space="preserve">des nouvelles initiatives comprenant, sans s’y limiter, le Partenariat pour l’accélération des SPANB, la Coalition des grandes ambitions pour la nature et les populations 2.0, le Fonds pour le patrimoine paysager, le Fonds de Kunming pour la biodiversité, le Fonds japonais pour la biodiversité et autres instruments, et encourage les donateurs publics et privés à y contribuer et toutes les Parties à les utiliser </w:t>
      </w:r>
      <w:r w:rsidRPr="00675643">
        <w:rPr>
          <w:snapToGrid w:val="0"/>
          <w:kern w:val="22"/>
          <w:szCs w:val="22"/>
          <w:lang w:val="fr-CA"/>
        </w:rPr>
        <w:t>;</w:t>
      </w:r>
      <w:r w:rsidRPr="00675643">
        <w:rPr>
          <w:i/>
          <w:iCs/>
          <w:snapToGrid w:val="0"/>
          <w:kern w:val="22"/>
          <w:szCs w:val="22"/>
          <w:lang w:val="fr-CA"/>
        </w:rPr>
        <w:t xml:space="preserve"> </w:t>
      </w:r>
    </w:p>
    <w:p w14:paraId="51840BF9"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8.</w:t>
      </w:r>
      <w:r w:rsidRPr="00675643">
        <w:rPr>
          <w:snapToGrid w:val="0"/>
          <w:kern w:val="22"/>
          <w:szCs w:val="22"/>
          <w:lang w:val="fr-CA"/>
        </w:rPr>
        <w:tab/>
      </w:r>
      <w:r>
        <w:rPr>
          <w:i/>
          <w:iCs/>
          <w:snapToGrid w:val="0"/>
          <w:kern w:val="22"/>
          <w:szCs w:val="22"/>
          <w:lang w:val="fr-CA"/>
        </w:rPr>
        <w:t xml:space="preserve">Invite </w:t>
      </w:r>
      <w:r>
        <w:rPr>
          <w:iCs/>
          <w:snapToGrid w:val="0"/>
          <w:kern w:val="22"/>
          <w:szCs w:val="22"/>
          <w:lang w:val="fr-CA"/>
        </w:rPr>
        <w:t xml:space="preserve">le Secrétaire général des Nations Unies à renforcer davantage le système de développement des Nations Unies, ainsi que les fonds et les programmes, en prenant appui sur les réformes du système des Nations Unies, afin de renforcer davantage les équipes de pays des Nations Unies dans leurs efforts pour appuyer les pays dans l’intégration des priorités mises de l’avant dans les SPANB et autres instruments nationaux de planification de la biodiversité, aux cadres de coopération au développement durable des Nations Unies </w:t>
      </w:r>
      <w:r w:rsidRPr="00675643">
        <w:rPr>
          <w:snapToGrid w:val="0"/>
          <w:kern w:val="22"/>
          <w:szCs w:val="22"/>
          <w:lang w:val="fr-CA"/>
        </w:rPr>
        <w:t>;</w:t>
      </w:r>
    </w:p>
    <w:p w14:paraId="51CC2686"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9.</w:t>
      </w:r>
      <w:r w:rsidRPr="00675643">
        <w:rPr>
          <w:i/>
          <w:iCs/>
          <w:snapToGrid w:val="0"/>
          <w:kern w:val="22"/>
          <w:szCs w:val="22"/>
          <w:lang w:val="fr-CA"/>
        </w:rPr>
        <w:tab/>
      </w:r>
      <w:r>
        <w:rPr>
          <w:i/>
          <w:iCs/>
          <w:snapToGrid w:val="0"/>
          <w:kern w:val="22"/>
          <w:szCs w:val="22"/>
          <w:lang w:val="fr-CA"/>
        </w:rPr>
        <w:t xml:space="preserve">Reconnaît </w:t>
      </w:r>
      <w:r>
        <w:rPr>
          <w:iCs/>
          <w:snapToGrid w:val="0"/>
          <w:kern w:val="22"/>
          <w:szCs w:val="22"/>
          <w:lang w:val="fr-CA"/>
        </w:rPr>
        <w:t xml:space="preserve">les efforts déployés par d’autres institutions et instruments pertinents pour intégrer la biodiversité à leurs décisions sur le financement et les programmes, et les encourage à harmoniser leur financement aux objectifs et cibles du cadre mondial de la biodiversité </w:t>
      </w:r>
      <w:r w:rsidRPr="00675643">
        <w:rPr>
          <w:snapToGrid w:val="0"/>
          <w:kern w:val="22"/>
          <w:szCs w:val="22"/>
          <w:lang w:val="fr-CA"/>
        </w:rPr>
        <w:t>;</w:t>
      </w:r>
    </w:p>
    <w:p w14:paraId="1FEECCB5"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10.</w:t>
      </w:r>
      <w:r w:rsidRPr="00675643">
        <w:rPr>
          <w:snapToGrid w:val="0"/>
          <w:kern w:val="22"/>
          <w:szCs w:val="22"/>
          <w:lang w:val="fr-CA"/>
        </w:rPr>
        <w:tab/>
      </w:r>
      <w:r w:rsidRPr="006E78A2">
        <w:rPr>
          <w:i/>
          <w:iCs/>
          <w:snapToGrid w:val="0"/>
          <w:kern w:val="22"/>
          <w:szCs w:val="22"/>
          <w:lang w:val="fr-FR"/>
        </w:rPr>
        <w:t>Reconnaît également</w:t>
      </w:r>
      <w:r w:rsidRPr="006E78A2">
        <w:rPr>
          <w:snapToGrid w:val="0"/>
          <w:kern w:val="22"/>
          <w:szCs w:val="22"/>
          <w:lang w:val="fr-FR"/>
        </w:rPr>
        <w:t xml:space="preserve"> la constante nécessité pour les pays en développement de se doter d’autres moyens de mise en œuvre, notamment grâce à un appui technique </w:t>
      </w:r>
      <w:r>
        <w:rPr>
          <w:snapToGrid w:val="0"/>
          <w:kern w:val="22"/>
          <w:szCs w:val="22"/>
          <w:lang w:val="fr-FR"/>
        </w:rPr>
        <w:t>e</w:t>
      </w:r>
      <w:r w:rsidRPr="006E78A2">
        <w:rPr>
          <w:snapToGrid w:val="0"/>
          <w:kern w:val="22"/>
          <w:szCs w:val="22"/>
          <w:lang w:val="fr-FR"/>
        </w:rPr>
        <w:t xml:space="preserve">t financier et à un renforcement des capacités, </w:t>
      </w:r>
      <w:r>
        <w:rPr>
          <w:snapToGrid w:val="0"/>
          <w:kern w:val="22"/>
          <w:szCs w:val="22"/>
          <w:lang w:val="fr-FR"/>
        </w:rPr>
        <w:t>dont</w:t>
      </w:r>
      <w:r w:rsidRPr="006E78A2">
        <w:rPr>
          <w:snapToGrid w:val="0"/>
          <w:kern w:val="22"/>
          <w:szCs w:val="22"/>
          <w:lang w:val="fr-FR"/>
        </w:rPr>
        <w:t xml:space="preserve"> des mesures au niveau national pour mobiliser des ressources, en assurer le suivi et en rendre compte </w:t>
      </w:r>
      <w:r w:rsidRPr="00675643">
        <w:rPr>
          <w:snapToGrid w:val="0"/>
          <w:kern w:val="22"/>
          <w:szCs w:val="22"/>
          <w:lang w:val="fr-CA"/>
        </w:rPr>
        <w:t xml:space="preserve">; </w:t>
      </w:r>
    </w:p>
    <w:p w14:paraId="272FF00E"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rPr>
          <w:b/>
          <w:bCs/>
          <w:snapToGrid w:val="0"/>
          <w:kern w:val="22"/>
          <w:szCs w:val="22"/>
          <w:lang w:val="fr-CA"/>
        </w:rPr>
      </w:pPr>
      <w:r>
        <w:rPr>
          <w:b/>
          <w:bCs/>
          <w:snapToGrid w:val="0"/>
          <w:kern w:val="22"/>
          <w:szCs w:val="22"/>
          <w:lang w:val="fr-CA"/>
        </w:rPr>
        <w:t>Stratégie de mobilisation des ressources</w:t>
      </w:r>
    </w:p>
    <w:p w14:paraId="75191AAE"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val="fr-CA" w:eastAsia="zh-CN"/>
        </w:rPr>
      </w:pPr>
      <w:r w:rsidRPr="00675643">
        <w:rPr>
          <w:snapToGrid w:val="0"/>
          <w:kern w:val="22"/>
          <w:szCs w:val="22"/>
          <w:lang w:val="fr-CA"/>
        </w:rPr>
        <w:t>11.</w:t>
      </w:r>
      <w:r w:rsidRPr="00675643">
        <w:rPr>
          <w:i/>
          <w:snapToGrid w:val="0"/>
          <w:kern w:val="22"/>
          <w:szCs w:val="22"/>
          <w:lang w:val="fr-CA"/>
        </w:rPr>
        <w:tab/>
      </w:r>
      <w:r w:rsidRPr="006E78A2">
        <w:rPr>
          <w:i/>
          <w:snapToGrid w:val="0"/>
          <w:kern w:val="22"/>
          <w:szCs w:val="22"/>
          <w:lang w:val="fr-FR"/>
        </w:rPr>
        <w:t>Adopte</w:t>
      </w:r>
      <w:r w:rsidRPr="006E78A2">
        <w:rPr>
          <w:snapToGrid w:val="0"/>
          <w:kern w:val="22"/>
          <w:szCs w:val="22"/>
          <w:lang w:val="fr-FR"/>
        </w:rPr>
        <w:t xml:space="preserve"> la stratégie </w:t>
      </w:r>
      <w:r>
        <w:rPr>
          <w:snapToGrid w:val="0"/>
          <w:kern w:val="22"/>
          <w:szCs w:val="22"/>
          <w:lang w:val="fr-FR"/>
        </w:rPr>
        <w:t xml:space="preserve">de mobilisation des ressources </w:t>
      </w:r>
      <w:r w:rsidRPr="006E78A2">
        <w:rPr>
          <w:snapToGrid w:val="0"/>
          <w:kern w:val="22"/>
          <w:szCs w:val="22"/>
          <w:lang w:val="fr-FR"/>
        </w:rPr>
        <w:t xml:space="preserve">figurant à l’annexe I </w:t>
      </w:r>
      <w:r>
        <w:rPr>
          <w:snapToGrid w:val="0"/>
          <w:kern w:val="22"/>
          <w:szCs w:val="22"/>
          <w:lang w:val="fr-FR"/>
        </w:rPr>
        <w:t>à</w:t>
      </w:r>
      <w:r w:rsidRPr="006E78A2">
        <w:rPr>
          <w:snapToGrid w:val="0"/>
          <w:kern w:val="22"/>
          <w:szCs w:val="22"/>
          <w:lang w:val="fr-FR"/>
        </w:rPr>
        <w:t xml:space="preserve"> la présente </w:t>
      </w:r>
      <w:r>
        <w:rPr>
          <w:snapToGrid w:val="0"/>
          <w:kern w:val="22"/>
          <w:szCs w:val="22"/>
          <w:lang w:val="fr-FR"/>
        </w:rPr>
        <w:t>décision en tant qu’orientation pour faciliter la mobilisation immédiate de ressources,</w:t>
      </w:r>
      <w:r w:rsidRPr="006E78A2">
        <w:rPr>
          <w:snapToGrid w:val="0"/>
          <w:kern w:val="22"/>
          <w:szCs w:val="22"/>
          <w:lang w:val="fr-FR"/>
        </w:rPr>
        <w:t xml:space="preserve"> en tenant compte des circonstances nationales </w:t>
      </w:r>
      <w:r w:rsidRPr="00675643">
        <w:rPr>
          <w:rFonts w:eastAsia="DengXian"/>
          <w:snapToGrid w:val="0"/>
          <w:kern w:val="22"/>
          <w:szCs w:val="22"/>
          <w:lang w:val="fr-CA" w:eastAsia="zh-CN"/>
        </w:rPr>
        <w:t xml:space="preserve">; </w:t>
      </w:r>
    </w:p>
    <w:p w14:paraId="5F217DFE"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val="fr-CA" w:eastAsia="zh-CN"/>
        </w:rPr>
      </w:pPr>
      <w:r w:rsidRPr="00675643">
        <w:rPr>
          <w:rFonts w:eastAsia="DengXian"/>
          <w:snapToGrid w:val="0"/>
          <w:kern w:val="22"/>
          <w:szCs w:val="22"/>
          <w:lang w:val="fr-CA" w:eastAsia="zh-CN"/>
        </w:rPr>
        <w:t>12.</w:t>
      </w:r>
      <w:r w:rsidRPr="00675643">
        <w:rPr>
          <w:rFonts w:eastAsia="DengXian"/>
          <w:snapToGrid w:val="0"/>
          <w:kern w:val="22"/>
          <w:szCs w:val="22"/>
          <w:lang w:val="fr-CA" w:eastAsia="zh-CN"/>
        </w:rPr>
        <w:tab/>
      </w:r>
      <w:r>
        <w:rPr>
          <w:rFonts w:eastAsia="DengXian"/>
          <w:i/>
          <w:iCs/>
          <w:snapToGrid w:val="0"/>
          <w:kern w:val="22"/>
          <w:szCs w:val="22"/>
          <w:lang w:val="fr-CA" w:eastAsia="zh-CN"/>
        </w:rPr>
        <w:t xml:space="preserve">Reconnaît </w:t>
      </w:r>
      <w:r>
        <w:rPr>
          <w:rFonts w:eastAsia="DengXian"/>
          <w:iCs/>
          <w:snapToGrid w:val="0"/>
          <w:kern w:val="22"/>
          <w:szCs w:val="22"/>
          <w:lang w:val="fr-CA" w:eastAsia="zh-CN"/>
        </w:rPr>
        <w:t xml:space="preserve">que la stratégie globale de mobilisation des ressources contient une étape intermédiaire (2023-2024) et une étape à moyen terme </w:t>
      </w:r>
      <w:r w:rsidRPr="00675643">
        <w:rPr>
          <w:rFonts w:eastAsia="DengXian"/>
          <w:snapToGrid w:val="0"/>
          <w:kern w:val="22"/>
          <w:szCs w:val="22"/>
          <w:lang w:val="fr-CA" w:eastAsia="zh-CN"/>
        </w:rPr>
        <w:t>(2025-2030)</w:t>
      </w:r>
      <w:r>
        <w:rPr>
          <w:rFonts w:eastAsia="DengXian"/>
          <w:snapToGrid w:val="0"/>
          <w:kern w:val="22"/>
          <w:szCs w:val="22"/>
          <w:lang w:val="fr-CA" w:eastAsia="zh-CN"/>
        </w:rPr>
        <w:t xml:space="preserve"> </w:t>
      </w:r>
      <w:r w:rsidRPr="00675643">
        <w:rPr>
          <w:rFonts w:eastAsia="DengXian"/>
          <w:snapToGrid w:val="0"/>
          <w:kern w:val="22"/>
          <w:szCs w:val="22"/>
          <w:lang w:val="fr-CA" w:eastAsia="zh-CN"/>
        </w:rPr>
        <w:t>;</w:t>
      </w:r>
    </w:p>
    <w:p w14:paraId="22EB71FC"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lastRenderedPageBreak/>
        <w:t>13.</w:t>
      </w:r>
      <w:r w:rsidRPr="00675643">
        <w:rPr>
          <w:i/>
          <w:snapToGrid w:val="0"/>
          <w:kern w:val="22"/>
          <w:szCs w:val="22"/>
          <w:lang w:val="fr-CA"/>
        </w:rPr>
        <w:tab/>
      </w:r>
      <w:r>
        <w:rPr>
          <w:i/>
          <w:iCs/>
          <w:snapToGrid w:val="0"/>
          <w:kern w:val="22"/>
          <w:szCs w:val="22"/>
          <w:lang w:val="fr-FR"/>
        </w:rPr>
        <w:t>Encourage</w:t>
      </w:r>
      <w:r w:rsidRPr="006E78A2">
        <w:rPr>
          <w:snapToGrid w:val="0"/>
          <w:kern w:val="22"/>
          <w:szCs w:val="22"/>
          <w:lang w:val="fr-FR"/>
        </w:rPr>
        <w:t xml:space="preserve"> les Parties et </w:t>
      </w:r>
      <w:r>
        <w:rPr>
          <w:snapToGrid w:val="0"/>
          <w:kern w:val="22"/>
          <w:szCs w:val="22"/>
          <w:lang w:val="fr-FR"/>
        </w:rPr>
        <w:t xml:space="preserve">invite </w:t>
      </w:r>
      <w:r w:rsidRPr="006E78A2">
        <w:rPr>
          <w:snapToGrid w:val="0"/>
          <w:kern w:val="22"/>
          <w:szCs w:val="22"/>
          <w:lang w:val="fr-FR"/>
        </w:rPr>
        <w:t>les autres gouvernements</w:t>
      </w:r>
      <w:r>
        <w:rPr>
          <w:snapToGrid w:val="0"/>
          <w:kern w:val="22"/>
          <w:szCs w:val="22"/>
          <w:lang w:val="fr-FR"/>
        </w:rPr>
        <w:t xml:space="preserve"> et organisations, le secteur privé et autres grands groupes de parties prenantes</w:t>
      </w:r>
      <w:r w:rsidRPr="006E78A2">
        <w:rPr>
          <w:snapToGrid w:val="0"/>
          <w:kern w:val="22"/>
          <w:szCs w:val="22"/>
          <w:lang w:val="fr-FR"/>
        </w:rPr>
        <w:t xml:space="preserve"> à prendre en co</w:t>
      </w:r>
      <w:r>
        <w:rPr>
          <w:snapToGrid w:val="0"/>
          <w:kern w:val="22"/>
          <w:szCs w:val="22"/>
          <w:lang w:val="fr-FR"/>
        </w:rPr>
        <w:t xml:space="preserve">nsidération la </w:t>
      </w:r>
      <w:r w:rsidRPr="006E78A2">
        <w:rPr>
          <w:snapToGrid w:val="0"/>
          <w:kern w:val="22"/>
          <w:szCs w:val="22"/>
          <w:lang w:val="fr-FR"/>
        </w:rPr>
        <w:t xml:space="preserve">stratégie de mobilisation des ressources en tant que cadre </w:t>
      </w:r>
      <w:r>
        <w:rPr>
          <w:snapToGrid w:val="0"/>
          <w:kern w:val="22"/>
          <w:szCs w:val="22"/>
          <w:lang w:val="fr-FR"/>
        </w:rPr>
        <w:t>souple</w:t>
      </w:r>
      <w:r w:rsidRPr="006E78A2">
        <w:rPr>
          <w:snapToGrid w:val="0"/>
          <w:kern w:val="22"/>
          <w:szCs w:val="22"/>
          <w:lang w:val="fr-FR"/>
        </w:rPr>
        <w:t xml:space="preserve"> guidant la mise en œuvre de l’objectif ou des objectifs de mobilisation des ressources du c</w:t>
      </w:r>
      <w:r>
        <w:rPr>
          <w:snapToGrid w:val="0"/>
          <w:kern w:val="22"/>
          <w:szCs w:val="22"/>
          <w:lang w:val="fr-FR"/>
        </w:rPr>
        <w:t>adre mondial de la biodiversité</w:t>
      </w:r>
      <w:r w:rsidRPr="006E78A2">
        <w:rPr>
          <w:snapToGrid w:val="0"/>
          <w:kern w:val="22"/>
          <w:szCs w:val="22"/>
          <w:lang w:val="fr-FR"/>
        </w:rPr>
        <w:t>, conformément aux circonstances nationales</w:t>
      </w:r>
      <w:r>
        <w:rPr>
          <w:snapToGrid w:val="0"/>
          <w:kern w:val="22"/>
          <w:szCs w:val="22"/>
          <w:lang w:val="fr-FR"/>
        </w:rPr>
        <w:t xml:space="preserve"> </w:t>
      </w:r>
      <w:r w:rsidRPr="00675643">
        <w:rPr>
          <w:snapToGrid w:val="0"/>
          <w:kern w:val="22"/>
          <w:szCs w:val="22"/>
          <w:lang w:val="fr-CA"/>
        </w:rPr>
        <w:t xml:space="preserve">; </w:t>
      </w:r>
    </w:p>
    <w:p w14:paraId="3D809BED"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14.</w:t>
      </w:r>
      <w:r w:rsidRPr="00675643">
        <w:rPr>
          <w:snapToGrid w:val="0"/>
          <w:kern w:val="22"/>
          <w:szCs w:val="22"/>
          <w:lang w:val="fr-CA"/>
        </w:rPr>
        <w:tab/>
      </w:r>
      <w:bookmarkStart w:id="1" w:name="_Hlk37148960"/>
      <w:r w:rsidRPr="006E78A2">
        <w:rPr>
          <w:i/>
          <w:snapToGrid w:val="0"/>
          <w:kern w:val="22"/>
          <w:szCs w:val="22"/>
          <w:lang w:val="fr-FR"/>
        </w:rPr>
        <w:t xml:space="preserve">Invite </w:t>
      </w:r>
      <w:r w:rsidRPr="006E78A2">
        <w:rPr>
          <w:snapToGrid w:val="0"/>
          <w:kern w:val="22"/>
          <w:szCs w:val="22"/>
          <w:lang w:val="fr-FR"/>
        </w:rPr>
        <w:t>les organisations et initiatives internationales concernées</w:t>
      </w:r>
      <w:r>
        <w:rPr>
          <w:snapToGrid w:val="0"/>
          <w:kern w:val="22"/>
          <w:szCs w:val="22"/>
          <w:lang w:val="fr-FR"/>
        </w:rPr>
        <w:t>, ainsi que les partenariats regroupant plusieurs parties prenantes</w:t>
      </w:r>
      <w:r w:rsidRPr="006E78A2">
        <w:rPr>
          <w:snapToGrid w:val="0"/>
          <w:kern w:val="22"/>
          <w:szCs w:val="22"/>
          <w:lang w:val="fr-FR"/>
        </w:rPr>
        <w:t xml:space="preserve"> à soutenir la mise en œuvre de la stratégie de mobilisation des ressources</w:t>
      </w:r>
      <w:r>
        <w:rPr>
          <w:snapToGrid w:val="0"/>
          <w:kern w:val="22"/>
          <w:szCs w:val="22"/>
          <w:lang w:val="fr-FR"/>
        </w:rPr>
        <w:t> </w:t>
      </w:r>
      <w:bookmarkEnd w:id="1"/>
      <w:r w:rsidRPr="00675643">
        <w:rPr>
          <w:snapToGrid w:val="0"/>
          <w:kern w:val="22"/>
          <w:szCs w:val="22"/>
          <w:lang w:val="fr-CA"/>
        </w:rPr>
        <w:t>;</w:t>
      </w:r>
    </w:p>
    <w:p w14:paraId="09EAA29A"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CA"/>
        </w:rPr>
      </w:pPr>
      <w:r w:rsidRPr="00675643">
        <w:rPr>
          <w:iCs/>
          <w:snapToGrid w:val="0"/>
          <w:kern w:val="22"/>
          <w:szCs w:val="22"/>
          <w:lang w:val="fr-CA"/>
        </w:rPr>
        <w:t xml:space="preserve">15. </w:t>
      </w:r>
      <w:r w:rsidRPr="00675643">
        <w:rPr>
          <w:iCs/>
          <w:snapToGrid w:val="0"/>
          <w:kern w:val="22"/>
          <w:szCs w:val="22"/>
          <w:lang w:val="fr-CA"/>
        </w:rPr>
        <w:tab/>
      </w:r>
      <w:r w:rsidRPr="00675643">
        <w:rPr>
          <w:i/>
          <w:iCs/>
          <w:snapToGrid w:val="0"/>
          <w:kern w:val="22"/>
          <w:szCs w:val="22"/>
          <w:lang w:val="fr-CA"/>
        </w:rPr>
        <w:t>Exhorte</w:t>
      </w:r>
      <w:r>
        <w:rPr>
          <w:iCs/>
          <w:snapToGrid w:val="0"/>
          <w:kern w:val="22"/>
          <w:szCs w:val="22"/>
          <w:lang w:val="fr-CA"/>
        </w:rPr>
        <w:t xml:space="preserve"> le Fonds pour l’environnement mondial de reformer davantage ses activités afin de garantir l’exactitude, la prévisibilité et le flux opportun de ressources, en établissant des modalités d’accès faciles et efficaces, notamment en mettant à niveau les systèmes accélérés et en facilitant les contributions de nouvelles sources ;</w:t>
      </w:r>
    </w:p>
    <w:p w14:paraId="096C96B6"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CA"/>
        </w:rPr>
      </w:pPr>
      <w:r w:rsidRPr="00675643">
        <w:rPr>
          <w:iCs/>
          <w:snapToGrid w:val="0"/>
          <w:kern w:val="22"/>
          <w:szCs w:val="22"/>
          <w:lang w:val="fr-CA"/>
        </w:rPr>
        <w:t>16.</w:t>
      </w:r>
      <w:r w:rsidRPr="00675643">
        <w:rPr>
          <w:iCs/>
          <w:snapToGrid w:val="0"/>
          <w:kern w:val="22"/>
          <w:szCs w:val="22"/>
          <w:lang w:val="fr-CA"/>
        </w:rPr>
        <w:tab/>
      </w:r>
      <w:r w:rsidRPr="00675643">
        <w:rPr>
          <w:i/>
          <w:iCs/>
          <w:snapToGrid w:val="0"/>
          <w:kern w:val="22"/>
          <w:szCs w:val="22"/>
          <w:lang w:val="fr-CA"/>
        </w:rPr>
        <w:t>Demande</w:t>
      </w:r>
      <w:r>
        <w:rPr>
          <w:iCs/>
          <w:snapToGrid w:val="0"/>
          <w:kern w:val="22"/>
          <w:szCs w:val="22"/>
          <w:lang w:val="fr-CA"/>
        </w:rPr>
        <w:t xml:space="preserve"> la refonte fondamentale de l’architecture mondiale de financement et la réforme des banques multilatérales de développement et des institutions internationales de financement, dont les banques d’investissement, afin qu’elles répondent à l’objectif de soutenir la mise en œuvre du cadre mondial de la biodiversité, le développement durable et la transition équitable des efforts dans les pays en développement </w:t>
      </w:r>
      <w:r w:rsidRPr="00675643">
        <w:rPr>
          <w:iCs/>
          <w:snapToGrid w:val="0"/>
          <w:kern w:val="22"/>
          <w:szCs w:val="22"/>
          <w:lang w:val="fr-CA"/>
        </w:rPr>
        <w:t>;</w:t>
      </w:r>
    </w:p>
    <w:p w14:paraId="25DE7067"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CA"/>
        </w:rPr>
      </w:pPr>
      <w:r w:rsidRPr="00675643">
        <w:rPr>
          <w:iCs/>
          <w:snapToGrid w:val="0"/>
          <w:kern w:val="22"/>
          <w:szCs w:val="22"/>
          <w:lang w:val="fr-CA"/>
        </w:rPr>
        <w:t>17.</w:t>
      </w:r>
      <w:r w:rsidRPr="00675643">
        <w:rPr>
          <w:iCs/>
          <w:snapToGrid w:val="0"/>
          <w:kern w:val="22"/>
          <w:szCs w:val="22"/>
          <w:lang w:val="fr-CA"/>
        </w:rPr>
        <w:tab/>
      </w:r>
      <w:r w:rsidRPr="00675643">
        <w:rPr>
          <w:i/>
          <w:iCs/>
          <w:snapToGrid w:val="0"/>
          <w:kern w:val="22"/>
          <w:szCs w:val="22"/>
          <w:lang w:val="fr-CA"/>
        </w:rPr>
        <w:t>Invite</w:t>
      </w:r>
      <w:r>
        <w:rPr>
          <w:iCs/>
          <w:snapToGrid w:val="0"/>
          <w:kern w:val="22"/>
          <w:szCs w:val="22"/>
          <w:lang w:val="fr-CA"/>
        </w:rPr>
        <w:t xml:space="preserve"> les banques multilatérales de développement ainsi que les institutions financières internationales et philanthropiques à soutenir la stratégie de mobilisation des ressources présentée à l’annexe I, et notamment à </w:t>
      </w:r>
      <w:r w:rsidRPr="00675643">
        <w:rPr>
          <w:iCs/>
          <w:snapToGrid w:val="0"/>
          <w:kern w:val="22"/>
          <w:szCs w:val="22"/>
          <w:lang w:val="fr-CA"/>
        </w:rPr>
        <w:t xml:space="preserve">:  </w:t>
      </w:r>
    </w:p>
    <w:p w14:paraId="618AE04E"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CA"/>
        </w:rPr>
      </w:pPr>
      <w:r w:rsidRPr="00675643">
        <w:rPr>
          <w:iCs/>
          <w:snapToGrid w:val="0"/>
          <w:kern w:val="22"/>
          <w:szCs w:val="22"/>
          <w:lang w:val="fr-CA"/>
        </w:rPr>
        <w:t>a)</w:t>
      </w:r>
      <w:r w:rsidRPr="00675643">
        <w:rPr>
          <w:iCs/>
          <w:snapToGrid w:val="0"/>
          <w:kern w:val="22"/>
          <w:szCs w:val="22"/>
          <w:lang w:val="fr-CA"/>
        </w:rPr>
        <w:tab/>
      </w:r>
      <w:r>
        <w:rPr>
          <w:iCs/>
          <w:snapToGrid w:val="0"/>
          <w:kern w:val="22"/>
          <w:szCs w:val="22"/>
          <w:lang w:val="fr-CA"/>
        </w:rPr>
        <w:t xml:space="preserve">Repérer et déclarer les investissements de leur portefeuille qui contribuent à la réalisation des objectifs de la Convention et des objectifs et cibles du cadre mondial de la biodiversité, en tenant compte de l’orientation internationale pertinente et des bonnes pratiques internationales </w:t>
      </w:r>
      <w:r w:rsidRPr="00675643">
        <w:rPr>
          <w:iCs/>
          <w:snapToGrid w:val="0"/>
          <w:kern w:val="22"/>
          <w:szCs w:val="22"/>
          <w:lang w:val="fr-CA"/>
        </w:rPr>
        <w:t>;</w:t>
      </w:r>
    </w:p>
    <w:p w14:paraId="27CBF5B7"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CA"/>
        </w:rPr>
      </w:pPr>
      <w:r w:rsidRPr="00675643">
        <w:rPr>
          <w:iCs/>
          <w:snapToGrid w:val="0"/>
          <w:kern w:val="22"/>
          <w:szCs w:val="22"/>
          <w:lang w:val="fr-CA"/>
        </w:rPr>
        <w:t xml:space="preserve">b) </w:t>
      </w:r>
      <w:r w:rsidRPr="00675643">
        <w:rPr>
          <w:iCs/>
          <w:snapToGrid w:val="0"/>
          <w:kern w:val="22"/>
          <w:szCs w:val="22"/>
          <w:lang w:val="fr-CA"/>
        </w:rPr>
        <w:tab/>
      </w:r>
      <w:r>
        <w:rPr>
          <w:iCs/>
          <w:snapToGrid w:val="0"/>
          <w:kern w:val="22"/>
          <w:szCs w:val="22"/>
          <w:lang w:val="fr-CA"/>
        </w:rPr>
        <w:t xml:space="preserve">Harmoniser leurs portefeuilles et leurs flux financiers aux objectifs de la Convention et aux objectifs et cibles du cadre mondial de la biodiversité d’ici à 2030 </w:t>
      </w:r>
      <w:r w:rsidRPr="00675643">
        <w:rPr>
          <w:iCs/>
          <w:snapToGrid w:val="0"/>
          <w:kern w:val="22"/>
          <w:szCs w:val="22"/>
          <w:lang w:val="fr-CA"/>
        </w:rPr>
        <w:t xml:space="preserve">;  </w:t>
      </w:r>
    </w:p>
    <w:p w14:paraId="569E3E1A"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CA"/>
        </w:rPr>
      </w:pPr>
      <w:r w:rsidRPr="00675643">
        <w:rPr>
          <w:iCs/>
          <w:snapToGrid w:val="0"/>
          <w:kern w:val="22"/>
          <w:szCs w:val="22"/>
          <w:lang w:val="fr-CA"/>
        </w:rPr>
        <w:t xml:space="preserve">c) </w:t>
      </w:r>
      <w:r w:rsidRPr="00675643">
        <w:rPr>
          <w:iCs/>
          <w:snapToGrid w:val="0"/>
          <w:kern w:val="22"/>
          <w:szCs w:val="22"/>
          <w:lang w:val="fr-CA"/>
        </w:rPr>
        <w:tab/>
      </w:r>
      <w:r>
        <w:rPr>
          <w:iCs/>
          <w:snapToGrid w:val="0"/>
          <w:kern w:val="22"/>
          <w:szCs w:val="22"/>
          <w:lang w:val="fr-CA"/>
        </w:rPr>
        <w:t>Simplifier l’accès aux ressources financières pour la biodiversité ;</w:t>
      </w:r>
    </w:p>
    <w:p w14:paraId="0FC1565F"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CA"/>
        </w:rPr>
      </w:pPr>
      <w:r w:rsidRPr="00675643">
        <w:rPr>
          <w:iCs/>
          <w:snapToGrid w:val="0"/>
          <w:kern w:val="22"/>
          <w:szCs w:val="22"/>
          <w:lang w:val="fr-CA"/>
        </w:rPr>
        <w:t xml:space="preserve">d) </w:t>
      </w:r>
      <w:r w:rsidRPr="00675643">
        <w:rPr>
          <w:iCs/>
          <w:snapToGrid w:val="0"/>
          <w:kern w:val="22"/>
          <w:szCs w:val="22"/>
          <w:lang w:val="fr-CA"/>
        </w:rPr>
        <w:tab/>
      </w:r>
      <w:r>
        <w:rPr>
          <w:iCs/>
          <w:snapToGrid w:val="0"/>
          <w:kern w:val="22"/>
          <w:szCs w:val="22"/>
          <w:lang w:val="fr-CA"/>
        </w:rPr>
        <w:t xml:space="preserve">Augmenter le financement de la biodiversité en mobilisant des ressources de toutes les sources et en déployant un éventail complet d’instruments, dont de nouvelles approches innovatrices telles de la mobilisation de capitaux privés et le financement mixte </w:t>
      </w:r>
      <w:r w:rsidRPr="00675643">
        <w:rPr>
          <w:iCs/>
          <w:snapToGrid w:val="0"/>
          <w:kern w:val="22"/>
          <w:szCs w:val="22"/>
          <w:lang w:val="fr-CA"/>
        </w:rPr>
        <w:t>;</w:t>
      </w:r>
    </w:p>
    <w:p w14:paraId="071B35B5"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CA"/>
        </w:rPr>
      </w:pPr>
      <w:r w:rsidRPr="00675643">
        <w:rPr>
          <w:iCs/>
          <w:snapToGrid w:val="0"/>
          <w:kern w:val="22"/>
          <w:szCs w:val="22"/>
          <w:lang w:val="fr-CA"/>
        </w:rPr>
        <w:t xml:space="preserve">e) </w:t>
      </w:r>
      <w:r w:rsidRPr="00675643">
        <w:rPr>
          <w:iCs/>
          <w:snapToGrid w:val="0"/>
          <w:kern w:val="22"/>
          <w:szCs w:val="22"/>
          <w:lang w:val="fr-CA"/>
        </w:rPr>
        <w:tab/>
      </w:r>
      <w:r>
        <w:rPr>
          <w:iCs/>
          <w:snapToGrid w:val="0"/>
          <w:kern w:val="22"/>
          <w:szCs w:val="22"/>
          <w:lang w:val="fr-CA"/>
        </w:rPr>
        <w:t>Faire rapport de leurs progrès aux futures réunions de la Conférence des Parties</w:t>
      </w:r>
      <w:r w:rsidRPr="00675643">
        <w:rPr>
          <w:iCs/>
          <w:snapToGrid w:val="0"/>
          <w:kern w:val="22"/>
          <w:szCs w:val="22"/>
          <w:lang w:val="fr-CA"/>
        </w:rPr>
        <w:t xml:space="preserve">. </w:t>
      </w:r>
    </w:p>
    <w:p w14:paraId="39E82743" w14:textId="0BF32258"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CA"/>
        </w:rPr>
      </w:pPr>
      <w:r w:rsidRPr="00675643">
        <w:rPr>
          <w:iCs/>
          <w:snapToGrid w:val="0"/>
          <w:kern w:val="22"/>
          <w:szCs w:val="22"/>
          <w:lang w:val="fr-CA"/>
        </w:rPr>
        <w:t>18.</w:t>
      </w:r>
      <w:r w:rsidRPr="00675643">
        <w:rPr>
          <w:iCs/>
          <w:snapToGrid w:val="0"/>
          <w:kern w:val="22"/>
          <w:szCs w:val="22"/>
          <w:lang w:val="fr-CA"/>
        </w:rPr>
        <w:tab/>
      </w:r>
      <w:r>
        <w:rPr>
          <w:i/>
          <w:snapToGrid w:val="0"/>
          <w:kern w:val="22"/>
          <w:szCs w:val="22"/>
          <w:lang w:val="fr-CA"/>
        </w:rPr>
        <w:t xml:space="preserve">Invite également </w:t>
      </w:r>
      <w:r>
        <w:rPr>
          <w:iCs/>
          <w:snapToGrid w:val="0"/>
          <w:kern w:val="22"/>
          <w:szCs w:val="22"/>
          <w:lang w:val="fr-CA"/>
        </w:rPr>
        <w:t>les institutions internationales de financement et les banques multilatérales de développement, en particulier le Groupe Banque mondiale et le FMI, à envisager immédiatement de soutenir la mise en œuvre du cadre mondial de la biodiversité</w:t>
      </w:r>
      <w:r w:rsidR="00B77133">
        <w:rPr>
          <w:iCs/>
          <w:snapToGrid w:val="0"/>
          <w:kern w:val="22"/>
          <w:szCs w:val="22"/>
          <w:lang w:val="fr-CA"/>
        </w:rPr>
        <w:t xml:space="preserve"> créé au titre du paragraphe 29</w:t>
      </w:r>
      <w:r>
        <w:rPr>
          <w:iCs/>
          <w:snapToGrid w:val="0"/>
          <w:kern w:val="22"/>
          <w:szCs w:val="22"/>
          <w:lang w:val="fr-CA"/>
        </w:rPr>
        <w:t xml:space="preserve">, notamment en s’associant au Fonds mondial pour la biodiversité </w:t>
      </w:r>
      <w:r w:rsidRPr="00675643">
        <w:rPr>
          <w:iCs/>
          <w:snapToGrid w:val="0"/>
          <w:kern w:val="22"/>
          <w:szCs w:val="22"/>
          <w:lang w:val="fr-CA"/>
        </w:rPr>
        <w:t>;</w:t>
      </w:r>
    </w:p>
    <w:p w14:paraId="1A370C42"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CA"/>
        </w:rPr>
      </w:pPr>
      <w:r w:rsidRPr="00675643">
        <w:rPr>
          <w:iCs/>
          <w:snapToGrid w:val="0"/>
          <w:kern w:val="22"/>
          <w:szCs w:val="22"/>
          <w:lang w:val="fr-CA"/>
        </w:rPr>
        <w:t>19.</w:t>
      </w:r>
      <w:r w:rsidRPr="00675643">
        <w:rPr>
          <w:iCs/>
          <w:snapToGrid w:val="0"/>
          <w:kern w:val="22"/>
          <w:szCs w:val="22"/>
          <w:lang w:val="fr-CA"/>
        </w:rPr>
        <w:tab/>
      </w:r>
      <w:r>
        <w:rPr>
          <w:i/>
          <w:snapToGrid w:val="0"/>
          <w:kern w:val="22"/>
          <w:szCs w:val="22"/>
          <w:lang w:val="fr-CA"/>
        </w:rPr>
        <w:t xml:space="preserve">Invite </w:t>
      </w:r>
      <w:r>
        <w:rPr>
          <w:snapToGrid w:val="0"/>
          <w:kern w:val="22"/>
          <w:szCs w:val="22"/>
          <w:lang w:val="fr-CA"/>
        </w:rPr>
        <w:t>les pays développés Parties et les autres Parties capables de le faire à soutenir la stratégie de mobilisation des ressources jointe à l’annexe I, notamment en intégrant la biodiversité et en augmentant le financement direct de la biodiversité dans leurs portefeuilles, ainsi que par le biais d’instruments de mobilisation des investissements privés pour la biodiversité </w:t>
      </w:r>
      <w:r w:rsidRPr="00675643">
        <w:rPr>
          <w:iCs/>
          <w:snapToGrid w:val="0"/>
          <w:kern w:val="22"/>
          <w:szCs w:val="22"/>
          <w:lang w:val="fr-CA"/>
        </w:rPr>
        <w:t xml:space="preserve">; </w:t>
      </w:r>
    </w:p>
    <w:p w14:paraId="4CDE0E6D"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CA"/>
        </w:rPr>
      </w:pPr>
      <w:r w:rsidRPr="00675643">
        <w:rPr>
          <w:iCs/>
          <w:snapToGrid w:val="0"/>
          <w:kern w:val="22"/>
          <w:szCs w:val="22"/>
          <w:lang w:val="fr-CA"/>
        </w:rPr>
        <w:t>20.</w:t>
      </w:r>
      <w:r w:rsidRPr="00675643">
        <w:rPr>
          <w:iCs/>
          <w:snapToGrid w:val="0"/>
          <w:kern w:val="22"/>
          <w:szCs w:val="22"/>
          <w:lang w:val="fr-CA"/>
        </w:rPr>
        <w:tab/>
      </w:r>
      <w:r w:rsidRPr="006E78A2">
        <w:rPr>
          <w:i/>
          <w:iCs/>
          <w:snapToGrid w:val="0"/>
          <w:kern w:val="22"/>
          <w:szCs w:val="22"/>
          <w:lang w:val="fr-FR"/>
        </w:rPr>
        <w:t>Prend note avec satisfaction</w:t>
      </w:r>
      <w:r w:rsidRPr="006E78A2">
        <w:rPr>
          <w:snapToGrid w:val="0"/>
          <w:kern w:val="22"/>
          <w:szCs w:val="22"/>
          <w:lang w:val="fr-FR"/>
        </w:rPr>
        <w:t xml:space="preserve"> des récentes initiatives programmatiques de fonds tels que le Fonds pour la neutralité en matière de dégradation des terres dans le cadre de la Convention des Nations Unies sur la lutte contre la désertification, le Fonds vert pour le climat et le Fonds pour l’environnement mondial, ainsi que d’autres mécanismes de financement bilatéraux et multilatéraux, </w:t>
      </w:r>
      <w:r>
        <w:rPr>
          <w:snapToGrid w:val="0"/>
          <w:kern w:val="22"/>
          <w:szCs w:val="22"/>
          <w:lang w:val="fr-FR"/>
        </w:rPr>
        <w:t xml:space="preserve">tels que les arrangements financiers pour répondre aux pertes et avaries, dont un fonds, </w:t>
      </w:r>
      <w:r w:rsidRPr="006E78A2">
        <w:rPr>
          <w:snapToGrid w:val="0"/>
          <w:kern w:val="22"/>
          <w:szCs w:val="22"/>
          <w:lang w:val="fr-FR"/>
        </w:rPr>
        <w:t xml:space="preserve">visant à exploiter les synergies dans l’élaboration et le financement de projets aux fins des objectifs des conventions de Rio et des conventions et ententes </w:t>
      </w:r>
      <w:r>
        <w:rPr>
          <w:snapToGrid w:val="0"/>
          <w:kern w:val="22"/>
          <w:szCs w:val="22"/>
          <w:lang w:val="fr-FR"/>
        </w:rPr>
        <w:t>internationales</w:t>
      </w:r>
      <w:r w:rsidRPr="006E78A2">
        <w:rPr>
          <w:snapToGrid w:val="0"/>
          <w:kern w:val="22"/>
          <w:szCs w:val="22"/>
          <w:lang w:val="fr-FR"/>
        </w:rPr>
        <w:t xml:space="preserve"> rela</w:t>
      </w:r>
      <w:r>
        <w:rPr>
          <w:snapToGrid w:val="0"/>
          <w:kern w:val="22"/>
          <w:szCs w:val="22"/>
          <w:lang w:val="fr-FR"/>
        </w:rPr>
        <w:t>tives à la biodiversité</w:t>
      </w:r>
      <w:r w:rsidRPr="006E78A2">
        <w:rPr>
          <w:snapToGrid w:val="0"/>
          <w:kern w:val="22"/>
          <w:szCs w:val="22"/>
          <w:lang w:val="fr-FR"/>
        </w:rPr>
        <w:t> </w:t>
      </w:r>
      <w:r w:rsidRPr="00675643">
        <w:rPr>
          <w:iCs/>
          <w:snapToGrid w:val="0"/>
          <w:kern w:val="22"/>
          <w:szCs w:val="22"/>
          <w:lang w:val="fr-CA"/>
        </w:rPr>
        <w:t xml:space="preserve">; </w:t>
      </w:r>
    </w:p>
    <w:p w14:paraId="7DDC4C40"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CA"/>
        </w:rPr>
      </w:pPr>
      <w:r w:rsidRPr="00675643">
        <w:rPr>
          <w:iCs/>
          <w:snapToGrid w:val="0"/>
          <w:kern w:val="22"/>
          <w:szCs w:val="22"/>
          <w:lang w:val="fr-CA"/>
        </w:rPr>
        <w:t xml:space="preserve">21. </w:t>
      </w:r>
      <w:r w:rsidRPr="00675643">
        <w:rPr>
          <w:iCs/>
          <w:snapToGrid w:val="0"/>
          <w:kern w:val="22"/>
          <w:szCs w:val="22"/>
          <w:lang w:val="fr-CA"/>
        </w:rPr>
        <w:tab/>
      </w:r>
      <w:r w:rsidRPr="006E78A2">
        <w:rPr>
          <w:i/>
          <w:iCs/>
          <w:snapToGrid w:val="0"/>
          <w:kern w:val="22"/>
          <w:szCs w:val="22"/>
          <w:lang w:val="fr-FR"/>
        </w:rPr>
        <w:t>Encourage</w:t>
      </w:r>
      <w:r w:rsidRPr="006E78A2">
        <w:rPr>
          <w:bCs/>
          <w:snapToGrid w:val="0"/>
          <w:kern w:val="22"/>
          <w:szCs w:val="22"/>
          <w:lang w:val="fr-FR"/>
        </w:rPr>
        <w:t xml:space="preserve"> les fonds et les mécanismes de financement mentionnés au paragraphe précédent à poursuivre et à intensifier leurs travaux en vue de générer des retombées positives pour la biodiversité et de les accroître dans le cadre d’interventions complémentaires, cohérentes et collaboratives ayant un impact plus important, ainsi qu’à renforcer les actions visant à lutter simultanément contre la perte de biodiversité, les changements climatiques et la dégradation des terres</w:t>
      </w:r>
      <w:r>
        <w:rPr>
          <w:bCs/>
          <w:snapToGrid w:val="0"/>
          <w:kern w:val="22"/>
          <w:szCs w:val="22"/>
          <w:lang w:val="fr-FR"/>
        </w:rPr>
        <w:t xml:space="preserve"> </w:t>
      </w:r>
      <w:r w:rsidRPr="00675643">
        <w:rPr>
          <w:iCs/>
          <w:snapToGrid w:val="0"/>
          <w:kern w:val="22"/>
          <w:szCs w:val="22"/>
          <w:lang w:val="fr-CA"/>
        </w:rPr>
        <w:t>;</w:t>
      </w:r>
    </w:p>
    <w:p w14:paraId="07663F98"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rPr>
          <w:b/>
          <w:bCs/>
          <w:snapToGrid w:val="0"/>
          <w:kern w:val="22"/>
          <w:szCs w:val="22"/>
          <w:lang w:val="fr-CA"/>
        </w:rPr>
      </w:pPr>
      <w:bookmarkStart w:id="2" w:name="_Hlk122181771"/>
      <w:r>
        <w:rPr>
          <w:b/>
          <w:bCs/>
          <w:snapToGrid w:val="0"/>
          <w:kern w:val="22"/>
          <w:szCs w:val="22"/>
          <w:lang w:val="fr-CA"/>
        </w:rPr>
        <w:lastRenderedPageBreak/>
        <w:t>Plans nationaux de financement</w:t>
      </w:r>
    </w:p>
    <w:p w14:paraId="78A265EF"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22.</w:t>
      </w:r>
      <w:r w:rsidRPr="00675643">
        <w:rPr>
          <w:snapToGrid w:val="0"/>
          <w:kern w:val="22"/>
          <w:szCs w:val="22"/>
          <w:lang w:val="fr-CA"/>
        </w:rPr>
        <w:tab/>
      </w:r>
      <w:r>
        <w:rPr>
          <w:i/>
          <w:iCs/>
          <w:snapToGrid w:val="0"/>
          <w:kern w:val="22"/>
          <w:szCs w:val="22"/>
          <w:lang w:val="fr-CA"/>
        </w:rPr>
        <w:t xml:space="preserve">Encourage </w:t>
      </w:r>
      <w:r>
        <w:rPr>
          <w:iCs/>
          <w:snapToGrid w:val="0"/>
          <w:kern w:val="22"/>
          <w:szCs w:val="22"/>
          <w:lang w:val="fr-CA"/>
        </w:rPr>
        <w:t xml:space="preserve">les Parties à élaborer, actualiser et mettre en œuvre des plans nationaux de financement de la biodiversité ou instruments semblables, selon une évaluation des dépenses et des besoins financiers pour la biodiversité, et selon les stratégies et plans d’action pour la biodiversité, afin de soutenir la mobilisation adéquate et opportune de ressources internationales et nationales, publiques et privées, pour la mise en œuvre efficace du cadre mondial de la biodiversité pour l'après-2020 </w:t>
      </w:r>
      <w:r w:rsidRPr="00675643">
        <w:rPr>
          <w:snapToGrid w:val="0"/>
          <w:kern w:val="22"/>
          <w:szCs w:val="22"/>
          <w:lang w:val="fr-CA"/>
        </w:rPr>
        <w:t xml:space="preserve">; </w:t>
      </w:r>
    </w:p>
    <w:p w14:paraId="092D791D"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bCs/>
          <w:snapToGrid w:val="0"/>
          <w:kern w:val="22"/>
          <w:szCs w:val="22"/>
          <w:lang w:val="fr-CA"/>
        </w:rPr>
      </w:pPr>
      <w:r w:rsidRPr="00675643">
        <w:rPr>
          <w:bCs/>
          <w:snapToGrid w:val="0"/>
          <w:kern w:val="22"/>
          <w:szCs w:val="22"/>
          <w:lang w:val="fr-CA"/>
        </w:rPr>
        <w:t>23.</w:t>
      </w:r>
      <w:r w:rsidRPr="00675643">
        <w:rPr>
          <w:bCs/>
          <w:snapToGrid w:val="0"/>
          <w:kern w:val="22"/>
          <w:szCs w:val="22"/>
          <w:lang w:val="fr-CA"/>
        </w:rPr>
        <w:tab/>
      </w:r>
      <w:r w:rsidRPr="00675643">
        <w:rPr>
          <w:bCs/>
          <w:i/>
          <w:iCs/>
          <w:snapToGrid w:val="0"/>
          <w:kern w:val="22"/>
          <w:szCs w:val="22"/>
          <w:lang w:val="fr-CA"/>
        </w:rPr>
        <w:t xml:space="preserve">Encourage </w:t>
      </w:r>
      <w:r w:rsidRPr="00675643">
        <w:rPr>
          <w:bCs/>
          <w:iCs/>
          <w:snapToGrid w:val="0"/>
          <w:kern w:val="22"/>
          <w:szCs w:val="22"/>
          <w:lang w:val="fr-CA"/>
        </w:rPr>
        <w:t>les pays développés Parties à exprimer leur contribution</w:t>
      </w:r>
      <w:r>
        <w:rPr>
          <w:bCs/>
          <w:iCs/>
          <w:snapToGrid w:val="0"/>
          <w:kern w:val="22"/>
          <w:szCs w:val="22"/>
          <w:lang w:val="fr-CA"/>
        </w:rPr>
        <w:t xml:space="preserve"> à la mise en œuvre de la Convention dans les pays en développement dans leurs plans financiers nationaux ou autres instruments semblables</w:t>
      </w:r>
      <w:r w:rsidRPr="00675643">
        <w:rPr>
          <w:bCs/>
          <w:iCs/>
          <w:snapToGrid w:val="0"/>
          <w:kern w:val="22"/>
          <w:szCs w:val="22"/>
          <w:lang w:val="fr-CA"/>
        </w:rPr>
        <w:t xml:space="preserve"> </w:t>
      </w:r>
      <w:r w:rsidRPr="00675643">
        <w:rPr>
          <w:bCs/>
          <w:snapToGrid w:val="0"/>
          <w:kern w:val="22"/>
          <w:szCs w:val="22"/>
          <w:lang w:val="fr-CA"/>
        </w:rPr>
        <w:t>;</w:t>
      </w:r>
    </w:p>
    <w:p w14:paraId="308C079B"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24.</w:t>
      </w:r>
      <w:r w:rsidRPr="00675643">
        <w:rPr>
          <w:snapToGrid w:val="0"/>
          <w:kern w:val="22"/>
          <w:szCs w:val="22"/>
          <w:lang w:val="fr-CA"/>
        </w:rPr>
        <w:tab/>
      </w:r>
      <w:r w:rsidRPr="00675643">
        <w:rPr>
          <w:i/>
          <w:iCs/>
          <w:snapToGrid w:val="0"/>
          <w:kern w:val="22"/>
          <w:szCs w:val="22"/>
          <w:lang w:val="fr-CA"/>
        </w:rPr>
        <w:t xml:space="preserve">Encourage </w:t>
      </w:r>
      <w:r w:rsidRPr="00675643">
        <w:rPr>
          <w:iCs/>
          <w:snapToGrid w:val="0"/>
          <w:kern w:val="22"/>
          <w:szCs w:val="22"/>
          <w:lang w:val="fr-CA"/>
        </w:rPr>
        <w:t xml:space="preserve">les pays en développement Parties à fournir des informations sur </w:t>
      </w:r>
      <w:r>
        <w:rPr>
          <w:iCs/>
          <w:snapToGrid w:val="0"/>
          <w:kern w:val="22"/>
          <w:szCs w:val="22"/>
          <w:lang w:val="fr-CA"/>
        </w:rPr>
        <w:t xml:space="preserve">le financement, le développement technologique et le transfert de technologie, et sur le soutien au renforcement des capacités dont ils ont besoin, qu’ils ont reçu et ont utilisé pour mettre en œuvre leurs stratégies et plans d’action nationaux pour la biodiversité, dans </w:t>
      </w:r>
      <w:r w:rsidRPr="00675643">
        <w:rPr>
          <w:iCs/>
          <w:snapToGrid w:val="0"/>
          <w:kern w:val="22"/>
          <w:szCs w:val="22"/>
          <w:lang w:val="fr-CA"/>
        </w:rPr>
        <w:t>leurs plans nationaux de financement de la biodiversité</w:t>
      </w:r>
      <w:r>
        <w:rPr>
          <w:iCs/>
          <w:snapToGrid w:val="0"/>
          <w:kern w:val="22"/>
          <w:szCs w:val="22"/>
          <w:lang w:val="fr-CA"/>
        </w:rPr>
        <w:t>, selon qu’il convient </w:t>
      </w:r>
      <w:r w:rsidRPr="00675643">
        <w:rPr>
          <w:snapToGrid w:val="0"/>
          <w:kern w:val="22"/>
          <w:szCs w:val="22"/>
          <w:lang w:val="fr-CA"/>
        </w:rPr>
        <w:t>;</w:t>
      </w:r>
    </w:p>
    <w:p w14:paraId="070C9663"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25.</w:t>
      </w:r>
      <w:r w:rsidRPr="00675643">
        <w:rPr>
          <w:snapToGrid w:val="0"/>
          <w:kern w:val="22"/>
          <w:szCs w:val="22"/>
          <w:lang w:val="fr-CA"/>
        </w:rPr>
        <w:tab/>
      </w:r>
      <w:r>
        <w:rPr>
          <w:i/>
          <w:iCs/>
          <w:snapToGrid w:val="0"/>
          <w:kern w:val="22"/>
          <w:szCs w:val="22"/>
          <w:lang w:val="fr-CA"/>
        </w:rPr>
        <w:t xml:space="preserve">Prend note avec satisfaction </w:t>
      </w:r>
      <w:r>
        <w:rPr>
          <w:iCs/>
          <w:snapToGrid w:val="0"/>
          <w:kern w:val="22"/>
          <w:szCs w:val="22"/>
          <w:lang w:val="fr-CA"/>
        </w:rPr>
        <w:t>des travaux des organisations et initiatives internationales pertinentes et intéressées, dont l’Initiative de financement de la biodiversité du Programme des Nations Unies pour le développement (</w:t>
      </w:r>
      <w:proofErr w:type="spellStart"/>
      <w:r>
        <w:rPr>
          <w:iCs/>
          <w:snapToGrid w:val="0"/>
          <w:kern w:val="22"/>
          <w:szCs w:val="22"/>
          <w:lang w:val="fr-CA"/>
        </w:rPr>
        <w:t>BIOFIN</w:t>
      </w:r>
      <w:proofErr w:type="spellEnd"/>
      <w:r>
        <w:rPr>
          <w:iCs/>
          <w:snapToGrid w:val="0"/>
          <w:kern w:val="22"/>
          <w:szCs w:val="22"/>
          <w:lang w:val="fr-CA"/>
        </w:rPr>
        <w:t xml:space="preserve">), pour offrir un soutien financier, technique et de renforcement des capacités aux  pays en développement intéressés, mettre à jour et mettre en œuvre les plans nationaux de financement de la biodiversité et peaufiner la méthodologie de l’Initiative de financement de la biodiversité, et encourage </w:t>
      </w:r>
      <w:proofErr w:type="spellStart"/>
      <w:r>
        <w:rPr>
          <w:iCs/>
          <w:snapToGrid w:val="0"/>
          <w:kern w:val="22"/>
          <w:szCs w:val="22"/>
          <w:lang w:val="fr-CA"/>
        </w:rPr>
        <w:t>BIOFIN</w:t>
      </w:r>
      <w:proofErr w:type="spellEnd"/>
      <w:r>
        <w:rPr>
          <w:iCs/>
          <w:snapToGrid w:val="0"/>
          <w:kern w:val="22"/>
          <w:szCs w:val="22"/>
          <w:lang w:val="fr-CA"/>
        </w:rPr>
        <w:t xml:space="preserve"> et les autres organisations internationales pertinentes et intéressées à poursuivre et à élargir leurs travaux</w:t>
      </w:r>
      <w:r>
        <w:rPr>
          <w:i/>
          <w:iCs/>
          <w:snapToGrid w:val="0"/>
          <w:kern w:val="22"/>
          <w:szCs w:val="22"/>
          <w:lang w:val="fr-CA"/>
        </w:rPr>
        <w:t xml:space="preserve"> </w:t>
      </w:r>
      <w:r w:rsidRPr="00675643">
        <w:rPr>
          <w:snapToGrid w:val="0"/>
          <w:kern w:val="22"/>
          <w:szCs w:val="22"/>
          <w:lang w:val="fr-CA"/>
        </w:rPr>
        <w:t xml:space="preserve">;   </w:t>
      </w:r>
    </w:p>
    <w:p w14:paraId="08F1F59D"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26.</w:t>
      </w:r>
      <w:r w:rsidRPr="00675643">
        <w:rPr>
          <w:snapToGrid w:val="0"/>
          <w:kern w:val="22"/>
          <w:szCs w:val="22"/>
          <w:lang w:val="fr-CA"/>
        </w:rPr>
        <w:tab/>
      </w:r>
      <w:r>
        <w:rPr>
          <w:i/>
          <w:iCs/>
          <w:snapToGrid w:val="0"/>
          <w:kern w:val="22"/>
          <w:szCs w:val="22"/>
          <w:lang w:val="fr-CA"/>
        </w:rPr>
        <w:t xml:space="preserve">Invite </w:t>
      </w:r>
      <w:r>
        <w:rPr>
          <w:iCs/>
          <w:snapToGrid w:val="0"/>
          <w:kern w:val="22"/>
          <w:szCs w:val="22"/>
          <w:lang w:val="fr-CA"/>
        </w:rPr>
        <w:t xml:space="preserve">le Fonds pour l’environnement mondial à soutenir l’élaboration et la mise en œuvre des plans nationaux de financement de la biodiversité et autres instruments de financement semblables, afin de soutenir les efforts des pays bénéficiaires pour mobiliser les ressources nationales et internationales qui leur permettront d’atteindre les objectifs nationaux définis dans leurs stratégies et plans d’action nationaux pour la biodiversité et de contribuer au cadre mondial de la biodiversité </w:t>
      </w:r>
      <w:r w:rsidRPr="00675643">
        <w:rPr>
          <w:snapToGrid w:val="0"/>
          <w:kern w:val="22"/>
          <w:szCs w:val="22"/>
          <w:lang w:val="fr-CA"/>
        </w:rPr>
        <w:t xml:space="preserve">; </w:t>
      </w:r>
    </w:p>
    <w:p w14:paraId="45682A81"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27.</w:t>
      </w:r>
      <w:r w:rsidRPr="00675643">
        <w:rPr>
          <w:snapToGrid w:val="0"/>
          <w:kern w:val="22"/>
          <w:szCs w:val="22"/>
          <w:lang w:val="fr-CA"/>
        </w:rPr>
        <w:tab/>
      </w:r>
      <w:r>
        <w:rPr>
          <w:i/>
          <w:iCs/>
          <w:snapToGrid w:val="0"/>
          <w:kern w:val="22"/>
          <w:szCs w:val="22"/>
          <w:lang w:val="fr-CA"/>
        </w:rPr>
        <w:t xml:space="preserve">Encourage </w:t>
      </w:r>
      <w:r>
        <w:rPr>
          <w:iCs/>
          <w:snapToGrid w:val="0"/>
          <w:kern w:val="22"/>
          <w:szCs w:val="22"/>
          <w:lang w:val="fr-CA"/>
        </w:rPr>
        <w:t xml:space="preserve">les pays développés Parties et les Parties capables de le faire à maintenir et à augmenter leur soutien financier à </w:t>
      </w:r>
      <w:proofErr w:type="spellStart"/>
      <w:r>
        <w:rPr>
          <w:iCs/>
          <w:snapToGrid w:val="0"/>
          <w:kern w:val="22"/>
          <w:szCs w:val="22"/>
          <w:lang w:val="fr-CA"/>
        </w:rPr>
        <w:t>BIOFIN</w:t>
      </w:r>
      <w:proofErr w:type="spellEnd"/>
      <w:r>
        <w:rPr>
          <w:iCs/>
          <w:snapToGrid w:val="0"/>
          <w:kern w:val="22"/>
          <w:szCs w:val="22"/>
          <w:lang w:val="fr-CA"/>
        </w:rPr>
        <w:t xml:space="preserve"> et autres initiatives semblables, afin de soutenir la mise en œuvre rapide des plans nationaux de financement et autres instruments semblables des pays en développement et des Parties à économie en transition </w:t>
      </w:r>
      <w:r w:rsidRPr="00675643">
        <w:rPr>
          <w:snapToGrid w:val="0"/>
          <w:kern w:val="22"/>
          <w:szCs w:val="22"/>
          <w:lang w:val="fr-CA"/>
        </w:rPr>
        <w:t>;</w:t>
      </w:r>
    </w:p>
    <w:p w14:paraId="48335F9E" w14:textId="77777777" w:rsidR="000C68BB" w:rsidRPr="00675643" w:rsidRDefault="000C68BB" w:rsidP="000C68BB">
      <w:pPr>
        <w:keepNext/>
        <w:suppressLineNumbers/>
        <w:suppressAutoHyphens/>
        <w:kinsoku w:val="0"/>
        <w:overflowPunct w:val="0"/>
        <w:autoSpaceDE w:val="0"/>
        <w:autoSpaceDN w:val="0"/>
        <w:adjustRightInd w:val="0"/>
        <w:snapToGrid w:val="0"/>
        <w:spacing w:before="120" w:after="120"/>
        <w:jc w:val="left"/>
        <w:rPr>
          <w:b/>
          <w:snapToGrid w:val="0"/>
          <w:kern w:val="22"/>
          <w:szCs w:val="22"/>
          <w:lang w:val="fr-CA"/>
        </w:rPr>
      </w:pPr>
      <w:r w:rsidRPr="006E78A2">
        <w:rPr>
          <w:b/>
          <w:snapToGrid w:val="0"/>
          <w:kern w:val="22"/>
          <w:szCs w:val="22"/>
          <w:lang w:val="fr-FR"/>
        </w:rPr>
        <w:t>Mesures de soutien à l’intensification et l’harmonisation des mesures d’incitation au titre de l’article 11 de la Convention</w:t>
      </w:r>
    </w:p>
    <w:p w14:paraId="75E8188C"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28.</w:t>
      </w:r>
      <w:r w:rsidRPr="00675643">
        <w:rPr>
          <w:snapToGrid w:val="0"/>
          <w:kern w:val="22"/>
          <w:szCs w:val="22"/>
          <w:lang w:val="fr-CA"/>
        </w:rPr>
        <w:tab/>
      </w:r>
      <w:r w:rsidRPr="006E78A2">
        <w:rPr>
          <w:i/>
          <w:iCs/>
          <w:snapToGrid w:val="0"/>
          <w:kern w:val="22"/>
          <w:szCs w:val="22"/>
          <w:lang w:val="fr-FR"/>
        </w:rPr>
        <w:t>Prend note</w:t>
      </w:r>
      <w:r>
        <w:rPr>
          <w:snapToGrid w:val="0"/>
          <w:kern w:val="22"/>
          <w:szCs w:val="22"/>
          <w:lang w:val="fr-FR"/>
        </w:rPr>
        <w:t xml:space="preserve"> </w:t>
      </w:r>
      <w:r w:rsidRPr="006E78A2">
        <w:rPr>
          <w:i/>
          <w:iCs/>
          <w:snapToGrid w:val="0"/>
          <w:kern w:val="22"/>
          <w:szCs w:val="22"/>
          <w:lang w:val="fr-FR"/>
        </w:rPr>
        <w:t>avec satisfaction</w:t>
      </w:r>
      <w:r w:rsidRPr="006E78A2">
        <w:rPr>
          <w:snapToGrid w:val="0"/>
          <w:kern w:val="22"/>
          <w:szCs w:val="22"/>
          <w:lang w:val="fr-FR"/>
        </w:rPr>
        <w:t xml:space="preserve"> des travaux du Comité des politiques de l’environnement de l’Organisation de coopération et de développement économiques visant à aider les pays à intensifier et à </w:t>
      </w:r>
      <w:r>
        <w:rPr>
          <w:snapToGrid w:val="0"/>
          <w:kern w:val="22"/>
          <w:szCs w:val="22"/>
          <w:lang w:val="fr-FR"/>
        </w:rPr>
        <w:t>harmoniser</w:t>
      </w:r>
      <w:r w:rsidRPr="006E78A2">
        <w:rPr>
          <w:snapToGrid w:val="0"/>
          <w:kern w:val="22"/>
          <w:szCs w:val="22"/>
          <w:lang w:val="fr-FR"/>
        </w:rPr>
        <w:t xml:space="preserve"> les mesures d’incitation, en particulier en ce qui concerne les orientations permettant d’identifier et d’évaluer les mesures d’incitation</w:t>
      </w:r>
      <w:r>
        <w:rPr>
          <w:snapToGrid w:val="0"/>
          <w:kern w:val="22"/>
          <w:szCs w:val="22"/>
          <w:lang w:val="fr-FR"/>
        </w:rPr>
        <w:t xml:space="preserve"> nuisibles pour </w:t>
      </w:r>
      <w:r w:rsidRPr="006E78A2">
        <w:rPr>
          <w:snapToGrid w:val="0"/>
          <w:kern w:val="22"/>
          <w:szCs w:val="22"/>
          <w:lang w:val="fr-FR"/>
        </w:rPr>
        <w:t>la biodiversité, le suivi des instruments économiques et de financement</w:t>
      </w:r>
      <w:r>
        <w:rPr>
          <w:snapToGrid w:val="0"/>
          <w:kern w:val="22"/>
          <w:szCs w:val="22"/>
          <w:lang w:val="fr-FR"/>
        </w:rPr>
        <w:t xml:space="preserve"> de la </w:t>
      </w:r>
      <w:r w:rsidRPr="006E78A2">
        <w:rPr>
          <w:snapToGrid w:val="0"/>
          <w:kern w:val="22"/>
          <w:szCs w:val="22"/>
          <w:lang w:val="fr-FR"/>
        </w:rPr>
        <w:t xml:space="preserve">biodiversité, et </w:t>
      </w:r>
      <w:r>
        <w:rPr>
          <w:snapToGrid w:val="0"/>
          <w:kern w:val="22"/>
          <w:szCs w:val="22"/>
          <w:lang w:val="fr-FR"/>
        </w:rPr>
        <w:t>l’harmonisation</w:t>
      </w:r>
      <w:r w:rsidRPr="006E78A2">
        <w:rPr>
          <w:snapToGrid w:val="0"/>
          <w:kern w:val="22"/>
          <w:szCs w:val="22"/>
          <w:lang w:val="fr-FR"/>
        </w:rPr>
        <w:t xml:space="preserve"> des budgets nationaux </w:t>
      </w:r>
      <w:r>
        <w:rPr>
          <w:snapToGrid w:val="0"/>
          <w:kern w:val="22"/>
          <w:szCs w:val="22"/>
          <w:lang w:val="fr-FR"/>
        </w:rPr>
        <w:t>aux</w:t>
      </w:r>
      <w:r w:rsidRPr="006E78A2">
        <w:rPr>
          <w:snapToGrid w:val="0"/>
          <w:kern w:val="22"/>
          <w:szCs w:val="22"/>
          <w:lang w:val="fr-FR"/>
        </w:rPr>
        <w:t xml:space="preserve"> objectifs en matière de climat, de biodiversité et d’autres objectifs environnementaux, ainsi que les travaux </w:t>
      </w:r>
      <w:r>
        <w:rPr>
          <w:snapToGrid w:val="0"/>
          <w:kern w:val="22"/>
          <w:szCs w:val="22"/>
          <w:lang w:val="fr-FR"/>
        </w:rPr>
        <w:t xml:space="preserve">pertinents de </w:t>
      </w:r>
      <w:proofErr w:type="spellStart"/>
      <w:r>
        <w:rPr>
          <w:snapToGrid w:val="0"/>
          <w:kern w:val="22"/>
          <w:szCs w:val="22"/>
          <w:lang w:val="fr-FR"/>
        </w:rPr>
        <w:t>BIOFIN</w:t>
      </w:r>
      <w:proofErr w:type="spellEnd"/>
      <w:r>
        <w:rPr>
          <w:snapToGrid w:val="0"/>
          <w:kern w:val="22"/>
          <w:szCs w:val="22"/>
          <w:lang w:val="fr-FR"/>
        </w:rPr>
        <w:t xml:space="preserve">, et </w:t>
      </w:r>
      <w:r w:rsidRPr="006E78A2">
        <w:rPr>
          <w:snapToGrid w:val="0"/>
          <w:kern w:val="22"/>
          <w:szCs w:val="22"/>
          <w:lang w:val="fr-FR"/>
        </w:rPr>
        <w:t>encourage</w:t>
      </w:r>
      <w:r>
        <w:rPr>
          <w:snapToGrid w:val="0"/>
          <w:kern w:val="22"/>
          <w:szCs w:val="22"/>
          <w:lang w:val="fr-FR"/>
        </w:rPr>
        <w:t xml:space="preserve"> </w:t>
      </w:r>
      <w:r w:rsidRPr="006E78A2">
        <w:rPr>
          <w:snapToGrid w:val="0"/>
          <w:kern w:val="22"/>
          <w:szCs w:val="22"/>
          <w:lang w:val="fr-FR"/>
        </w:rPr>
        <w:t xml:space="preserve">les organisations à poursuivre et à intensifier ces travaux </w:t>
      </w:r>
      <w:r w:rsidRPr="00675643">
        <w:rPr>
          <w:snapToGrid w:val="0"/>
          <w:kern w:val="22"/>
          <w:szCs w:val="22"/>
          <w:lang w:val="fr-CA"/>
        </w:rPr>
        <w:t xml:space="preserve">; </w:t>
      </w:r>
    </w:p>
    <w:p w14:paraId="64029F21" w14:textId="09792F5D" w:rsidR="000C68BB" w:rsidRPr="00675643" w:rsidRDefault="000C68BB" w:rsidP="000C68BB">
      <w:pPr>
        <w:pStyle w:val="Corpsdetexte"/>
        <w:ind w:right="117" w:firstLine="0"/>
        <w:rPr>
          <w:b/>
          <w:bCs/>
          <w:iCs w:val="0"/>
          <w:lang w:val="fr-CA"/>
        </w:rPr>
      </w:pPr>
      <w:r>
        <w:rPr>
          <w:b/>
          <w:bCs/>
          <w:iCs w:val="0"/>
          <w:lang w:val="fr-CA"/>
        </w:rPr>
        <w:t>Fonds</w:t>
      </w:r>
      <w:r w:rsidR="00B77133">
        <w:rPr>
          <w:b/>
          <w:bCs/>
          <w:iCs w:val="0"/>
          <w:lang w:val="fr-CA"/>
        </w:rPr>
        <w:t xml:space="preserve"> du cadre</w:t>
      </w:r>
      <w:r>
        <w:rPr>
          <w:b/>
          <w:bCs/>
          <w:iCs w:val="0"/>
          <w:lang w:val="fr-CA"/>
        </w:rPr>
        <w:t xml:space="preserve"> mondial pour la biodiversité</w:t>
      </w:r>
    </w:p>
    <w:p w14:paraId="539FA0F6" w14:textId="77777777" w:rsidR="000C68BB" w:rsidRPr="00675643" w:rsidRDefault="000C68BB" w:rsidP="000C68BB">
      <w:pPr>
        <w:pStyle w:val="Corpsdetexte"/>
        <w:ind w:right="117" w:firstLine="630"/>
        <w:rPr>
          <w:iCs w:val="0"/>
          <w:lang w:val="fr-CA"/>
        </w:rPr>
      </w:pPr>
      <w:r w:rsidRPr="00675643">
        <w:rPr>
          <w:iCs w:val="0"/>
          <w:lang w:val="fr-CA"/>
        </w:rPr>
        <w:t>29.</w:t>
      </w:r>
      <w:r w:rsidRPr="00675643">
        <w:rPr>
          <w:iCs w:val="0"/>
          <w:lang w:val="fr-CA"/>
        </w:rPr>
        <w:tab/>
      </w:r>
      <w:r>
        <w:rPr>
          <w:i/>
          <w:lang w:val="fr-CA"/>
        </w:rPr>
        <w:t xml:space="preserve">Reconnaît </w:t>
      </w:r>
      <w:r>
        <w:rPr>
          <w:lang w:val="fr-CA"/>
        </w:rPr>
        <w:t xml:space="preserve">l’urgence d’accroître le financement international de la biodiversité et de créer un Fonds mondial pour la biodiversité dédié et accessible en </w:t>
      </w:r>
      <w:r w:rsidRPr="00675643">
        <w:rPr>
          <w:lang w:val="fr-CA"/>
        </w:rPr>
        <w:t xml:space="preserve">2023, capable de mobiliser et de décaisser rapidement de nouvelles ressources et des ressources supplémentaires de toutes les sources, à la hauteur des ambitions du cadre mondial de la biodiversité </w:t>
      </w:r>
      <w:r w:rsidRPr="00675643">
        <w:rPr>
          <w:iCs w:val="0"/>
          <w:lang w:val="fr-CA"/>
        </w:rPr>
        <w:t>;</w:t>
      </w:r>
    </w:p>
    <w:p w14:paraId="2DEECD64" w14:textId="09328C57" w:rsidR="000C68BB" w:rsidRPr="00675643" w:rsidRDefault="000C68BB" w:rsidP="000C68BB">
      <w:pPr>
        <w:pStyle w:val="Corpsdetexte"/>
        <w:ind w:right="117" w:firstLine="630"/>
        <w:rPr>
          <w:iCs w:val="0"/>
          <w:lang w:val="fr-CA"/>
        </w:rPr>
      </w:pPr>
      <w:r w:rsidRPr="00675643">
        <w:rPr>
          <w:iCs w:val="0"/>
          <w:lang w:val="fr-CA"/>
        </w:rPr>
        <w:t>30.</w:t>
      </w:r>
      <w:r w:rsidRPr="00675643">
        <w:rPr>
          <w:iCs w:val="0"/>
          <w:lang w:val="fr-CA"/>
        </w:rPr>
        <w:tab/>
      </w:r>
      <w:r>
        <w:rPr>
          <w:i/>
          <w:lang w:val="fr-CA"/>
        </w:rPr>
        <w:t xml:space="preserve">Prie </w:t>
      </w:r>
      <w:r>
        <w:rPr>
          <w:lang w:val="fr-CA"/>
        </w:rPr>
        <w:t xml:space="preserve">le Fonds pour l’environnement mondial de créer </w:t>
      </w:r>
      <w:r w:rsidR="00B77133">
        <w:rPr>
          <w:lang w:val="fr-CA"/>
        </w:rPr>
        <w:t xml:space="preserve">en 2030 et jusqu’en 2030, à moins que la Conférence des Parties n’en décide autrement, un fonds d’affectation spéciale en appui à la mise en œuvre du cadre </w:t>
      </w:r>
      <w:r>
        <w:rPr>
          <w:lang w:val="fr-CA"/>
        </w:rPr>
        <w:t xml:space="preserve">mondial pour la biodiversité, </w:t>
      </w:r>
      <w:r w:rsidR="000D47BE">
        <w:rPr>
          <w:lang w:val="fr-CA"/>
        </w:rPr>
        <w:t xml:space="preserve">afin </w:t>
      </w:r>
      <w:r>
        <w:rPr>
          <w:lang w:val="fr-CA"/>
        </w:rPr>
        <w:t>d’offrir un complément au soutien existant et d’intensifier le finan</w:t>
      </w:r>
      <w:r w:rsidR="000D47BE">
        <w:rPr>
          <w:lang w:val="fr-CA"/>
        </w:rPr>
        <w:t>cement dans le but de garantir s</w:t>
      </w:r>
      <w:r>
        <w:rPr>
          <w:lang w:val="fr-CA"/>
        </w:rPr>
        <w:t xml:space="preserve">a mise en œuvre dans les délais prévus, en tenant compte du caractère suffisant, de la prévisibilité et du flux opportun des ressources </w:t>
      </w:r>
      <w:r w:rsidRPr="00675643">
        <w:rPr>
          <w:iCs w:val="0"/>
          <w:lang w:val="fr-CA"/>
        </w:rPr>
        <w:t>;</w:t>
      </w:r>
    </w:p>
    <w:p w14:paraId="3D4A4EDE" w14:textId="195C0DA1" w:rsidR="000C68BB" w:rsidRPr="00675643" w:rsidRDefault="000C68BB" w:rsidP="000C68BB">
      <w:pPr>
        <w:pStyle w:val="Corpsdetexte"/>
        <w:ind w:right="117" w:firstLine="630"/>
        <w:rPr>
          <w:iCs w:val="0"/>
          <w:lang w:val="fr-CA"/>
        </w:rPr>
      </w:pPr>
      <w:r w:rsidRPr="00675643">
        <w:rPr>
          <w:iCs w:val="0"/>
          <w:lang w:val="fr-CA"/>
        </w:rPr>
        <w:lastRenderedPageBreak/>
        <w:t>31.</w:t>
      </w:r>
      <w:r w:rsidRPr="00675643">
        <w:rPr>
          <w:iCs w:val="0"/>
          <w:lang w:val="fr-CA"/>
        </w:rPr>
        <w:tab/>
      </w:r>
      <w:r>
        <w:rPr>
          <w:i/>
          <w:lang w:val="fr-CA"/>
        </w:rPr>
        <w:t xml:space="preserve">Prie </w:t>
      </w:r>
      <w:r>
        <w:rPr>
          <w:lang w:val="fr-CA"/>
        </w:rPr>
        <w:t xml:space="preserve">le Fonds pour l’environnement mondial de préparer une décision, pour examen par le Conseil, sur l’approbation d’un Fonds mondial de la biodiversité </w:t>
      </w:r>
      <w:r w:rsidR="000D47BE">
        <w:rPr>
          <w:lang w:val="fr-CA"/>
        </w:rPr>
        <w:t>ayant son propre organe de gouvernance</w:t>
      </w:r>
      <w:r w:rsidR="00B740E3">
        <w:rPr>
          <w:lang w:val="fr-CA"/>
        </w:rPr>
        <w:t xml:space="preserve">, </w:t>
      </w:r>
      <w:r>
        <w:rPr>
          <w:lang w:val="fr-CA"/>
        </w:rPr>
        <w:t xml:space="preserve">dédié exclusivement au soutien à la mise en œuvre des objectifs et cibles du </w:t>
      </w:r>
      <w:r w:rsidR="00B740E3">
        <w:rPr>
          <w:lang w:val="fr-CA"/>
        </w:rPr>
        <w:t xml:space="preserve">cadre mondial de la biodiversité pour l'après-2020 </w:t>
      </w:r>
      <w:r w:rsidRPr="00675643">
        <w:rPr>
          <w:iCs w:val="0"/>
          <w:lang w:val="fr-CA"/>
        </w:rPr>
        <w:t xml:space="preserve">; </w:t>
      </w:r>
    </w:p>
    <w:p w14:paraId="66C076CF" w14:textId="38E3BD77" w:rsidR="000C68BB" w:rsidRPr="00675643" w:rsidRDefault="000C68BB" w:rsidP="000C68BB">
      <w:pPr>
        <w:pStyle w:val="Corpsdetexte"/>
        <w:ind w:right="117" w:firstLine="630"/>
        <w:rPr>
          <w:iCs w:val="0"/>
          <w:lang w:val="fr-CA"/>
        </w:rPr>
      </w:pPr>
      <w:r w:rsidRPr="00675643">
        <w:rPr>
          <w:iCs w:val="0"/>
          <w:lang w:val="fr-CA"/>
        </w:rPr>
        <w:t>32.</w:t>
      </w:r>
      <w:r w:rsidRPr="00675643">
        <w:rPr>
          <w:iCs w:val="0"/>
          <w:lang w:val="fr-CA"/>
        </w:rPr>
        <w:tab/>
      </w:r>
      <w:r>
        <w:rPr>
          <w:i/>
          <w:lang w:val="fr-CA"/>
        </w:rPr>
        <w:t xml:space="preserve">Prie </w:t>
      </w:r>
      <w:r>
        <w:rPr>
          <w:lang w:val="fr-CA"/>
        </w:rPr>
        <w:t xml:space="preserve">le Fonds pour l’environnement mondial de </w:t>
      </w:r>
      <w:r w:rsidR="00B740E3">
        <w:rPr>
          <w:lang w:val="fr-CA"/>
        </w:rPr>
        <w:t>développer</w:t>
      </w:r>
      <w:r>
        <w:rPr>
          <w:lang w:val="fr-CA"/>
        </w:rPr>
        <w:t xml:space="preserve"> les arrangements institutionnels et de gouvernance nécessaires, afin de permettre au Fonds mondial pour la biodiversité de profiter d’un soutien financier de t</w:t>
      </w:r>
      <w:r w:rsidR="00B740E3">
        <w:rPr>
          <w:lang w:val="fr-CA"/>
        </w:rPr>
        <w:t>outes les sources, outre l’</w:t>
      </w:r>
      <w:proofErr w:type="spellStart"/>
      <w:r w:rsidR="00B740E3">
        <w:rPr>
          <w:lang w:val="fr-CA"/>
        </w:rPr>
        <w:t>ADP</w:t>
      </w:r>
      <w:proofErr w:type="spellEnd"/>
      <w:r>
        <w:rPr>
          <w:lang w:val="fr-CA"/>
        </w:rPr>
        <w:t> </w:t>
      </w:r>
      <w:r w:rsidRPr="00675643">
        <w:rPr>
          <w:iCs w:val="0"/>
          <w:lang w:val="fr-CA"/>
        </w:rPr>
        <w:t xml:space="preserve">;  </w:t>
      </w:r>
    </w:p>
    <w:p w14:paraId="009ACD14" w14:textId="77777777" w:rsidR="000C68BB" w:rsidRPr="00675643" w:rsidRDefault="000C68BB" w:rsidP="000C68BB">
      <w:pPr>
        <w:pStyle w:val="Corpsdetexte"/>
        <w:ind w:right="117" w:firstLine="630"/>
        <w:rPr>
          <w:iCs w:val="0"/>
          <w:lang w:val="fr-CA"/>
        </w:rPr>
      </w:pPr>
      <w:r w:rsidRPr="00675643">
        <w:rPr>
          <w:iCs w:val="0"/>
          <w:lang w:val="fr-CA"/>
        </w:rPr>
        <w:t>33.</w:t>
      </w:r>
      <w:r w:rsidRPr="00675643">
        <w:rPr>
          <w:iCs w:val="0"/>
          <w:lang w:val="fr-CA"/>
        </w:rPr>
        <w:tab/>
      </w:r>
      <w:r>
        <w:rPr>
          <w:i/>
          <w:lang w:val="fr-CA"/>
        </w:rPr>
        <w:t xml:space="preserve">Prie </w:t>
      </w:r>
      <w:r>
        <w:rPr>
          <w:lang w:val="fr-CA"/>
        </w:rPr>
        <w:t xml:space="preserve">le Fonds pour l’environnement mondial de concevoir et d’appliquer un cycle de projet proposant un processus de demande et d’approbation simple et efficace, offrant ainsi un accès facile et efficient aux ressources du Fonds mondial de la biodiversité </w:t>
      </w:r>
      <w:r w:rsidRPr="00675643">
        <w:rPr>
          <w:iCs w:val="0"/>
          <w:lang w:val="fr-CA"/>
        </w:rPr>
        <w:t>;</w:t>
      </w:r>
    </w:p>
    <w:p w14:paraId="4DBA1EA1" w14:textId="77777777" w:rsidR="000C68BB" w:rsidRPr="00675643" w:rsidRDefault="000C68BB" w:rsidP="000C68BB">
      <w:pPr>
        <w:pStyle w:val="Corpsdetexte"/>
        <w:ind w:right="117" w:firstLine="630"/>
        <w:rPr>
          <w:iCs w:val="0"/>
          <w:lang w:val="fr-CA"/>
        </w:rPr>
      </w:pPr>
      <w:r w:rsidRPr="00675643">
        <w:rPr>
          <w:iCs w:val="0"/>
          <w:lang w:val="fr-CA"/>
        </w:rPr>
        <w:t>34.</w:t>
      </w:r>
      <w:r w:rsidRPr="00675643">
        <w:rPr>
          <w:iCs w:val="0"/>
          <w:lang w:val="fr-CA"/>
        </w:rPr>
        <w:tab/>
      </w:r>
      <w:r>
        <w:rPr>
          <w:i/>
          <w:lang w:val="fr-CA"/>
        </w:rPr>
        <w:t xml:space="preserve">Exhorte </w:t>
      </w:r>
      <w:r>
        <w:rPr>
          <w:lang w:val="fr-CA"/>
        </w:rPr>
        <w:t>le Fonds pour l’environnement mondial d’approuver ces décisions lors de la prochaine session du Conseil et leur ratification lors de la prochaine session de l’Assemblée en 2023 :</w:t>
      </w:r>
    </w:p>
    <w:p w14:paraId="7835E053" w14:textId="5012240B" w:rsidR="000C68BB" w:rsidRPr="00675643" w:rsidRDefault="000C68BB" w:rsidP="000C68BB">
      <w:pPr>
        <w:pStyle w:val="Corpsdetexte"/>
        <w:ind w:right="117" w:firstLine="630"/>
        <w:rPr>
          <w:iCs w:val="0"/>
          <w:lang w:val="fr-CA"/>
        </w:rPr>
      </w:pPr>
      <w:r w:rsidRPr="00675643">
        <w:rPr>
          <w:iCs w:val="0"/>
          <w:lang w:val="fr-CA"/>
        </w:rPr>
        <w:t>35.</w:t>
      </w:r>
      <w:r w:rsidRPr="00675643">
        <w:rPr>
          <w:iCs w:val="0"/>
          <w:lang w:val="fr-CA"/>
        </w:rPr>
        <w:tab/>
      </w:r>
      <w:r>
        <w:rPr>
          <w:i/>
          <w:lang w:val="fr-CA"/>
        </w:rPr>
        <w:t xml:space="preserve">Demande </w:t>
      </w:r>
      <w:r>
        <w:rPr>
          <w:lang w:val="fr-CA"/>
        </w:rPr>
        <w:t>une contribution importante et immédiate de toutes les sources, conformément à la cible 19.1 du cadre </w:t>
      </w:r>
      <w:r w:rsidRPr="00675643">
        <w:rPr>
          <w:iCs w:val="0"/>
          <w:lang w:val="fr-CA"/>
        </w:rPr>
        <w:t>;</w:t>
      </w:r>
    </w:p>
    <w:p w14:paraId="45EBD3A7" w14:textId="77777777" w:rsidR="000C68BB" w:rsidRPr="00675643" w:rsidRDefault="000C68BB" w:rsidP="000C68BB">
      <w:pPr>
        <w:pStyle w:val="Corpsdetexte"/>
        <w:ind w:right="117" w:firstLine="630"/>
        <w:rPr>
          <w:iCs w:val="0"/>
          <w:lang w:val="fr-CA"/>
        </w:rPr>
      </w:pPr>
      <w:r w:rsidRPr="00675643">
        <w:rPr>
          <w:iCs w:val="0"/>
          <w:lang w:val="fr-CA"/>
        </w:rPr>
        <w:t>36.</w:t>
      </w:r>
      <w:r w:rsidRPr="00675643">
        <w:rPr>
          <w:iCs w:val="0"/>
          <w:lang w:val="fr-CA"/>
        </w:rPr>
        <w:tab/>
      </w:r>
      <w:r>
        <w:rPr>
          <w:i/>
          <w:lang w:val="fr-CA"/>
        </w:rPr>
        <w:t>Demande</w:t>
      </w:r>
      <w:r>
        <w:rPr>
          <w:iCs w:val="0"/>
          <w:lang w:val="fr-CA"/>
        </w:rPr>
        <w:t xml:space="preserve"> au </w:t>
      </w:r>
      <w:r w:rsidRPr="00675643">
        <w:rPr>
          <w:iCs w:val="0"/>
          <w:lang w:val="fr-CA"/>
        </w:rPr>
        <w:t>Fonds pour l’environnement mondial de faire participer les banques multilatérales de développement et les institutions internationales de financement à la conception et l’opérationnalisation du Fonds mondial pour la biodiversité, dans le but d’accroître les ressources du Fonds et pour le Fonds</w:t>
      </w:r>
      <w:r>
        <w:rPr>
          <w:iCs w:val="0"/>
          <w:lang w:val="fr-CA"/>
        </w:rPr>
        <w:t>,</w:t>
      </w:r>
      <w:r w:rsidRPr="00675643">
        <w:rPr>
          <w:iCs w:val="0"/>
          <w:lang w:val="fr-CA"/>
        </w:rPr>
        <w:t xml:space="preserve"> et les  acheminer dans les portefeuilles nouveaux</w:t>
      </w:r>
      <w:r>
        <w:rPr>
          <w:iCs w:val="0"/>
          <w:lang w:val="fr-CA"/>
        </w:rPr>
        <w:t xml:space="preserve"> et existants devant être harmonisés aux objectifs et aux cibles du cadre mondial de la biodiversité </w:t>
      </w:r>
      <w:r w:rsidRPr="00675643">
        <w:rPr>
          <w:iCs w:val="0"/>
          <w:lang w:val="fr-CA"/>
        </w:rPr>
        <w:t>;</w:t>
      </w:r>
    </w:p>
    <w:p w14:paraId="03237F1E" w14:textId="77777777" w:rsidR="000C68BB" w:rsidRDefault="000C68BB" w:rsidP="000C68BB">
      <w:pPr>
        <w:pStyle w:val="Corpsdetexte"/>
        <w:ind w:right="117" w:firstLine="630"/>
        <w:rPr>
          <w:iCs w:val="0"/>
          <w:lang w:val="fr-CA"/>
        </w:rPr>
      </w:pPr>
      <w:r w:rsidRPr="00675643">
        <w:rPr>
          <w:iCs w:val="0"/>
          <w:lang w:val="fr-CA"/>
        </w:rPr>
        <w:t>37.</w:t>
      </w:r>
      <w:r w:rsidRPr="00675643">
        <w:rPr>
          <w:iCs w:val="0"/>
          <w:lang w:val="fr-CA"/>
        </w:rPr>
        <w:tab/>
      </w:r>
      <w:r>
        <w:rPr>
          <w:i/>
          <w:lang w:val="fr-CA"/>
        </w:rPr>
        <w:t xml:space="preserve">Demande </w:t>
      </w:r>
      <w:r>
        <w:rPr>
          <w:lang w:val="fr-CA"/>
        </w:rPr>
        <w:t xml:space="preserve">au Fonds pour l’environnement mondial de faire rapport aux futures réunions de la Conférence des Parties sur les progrès accomplis dans la création, le fonctionnement et le rendement du Fonds mondial pour la biodiversité </w:t>
      </w:r>
      <w:r w:rsidRPr="00675643">
        <w:rPr>
          <w:iCs w:val="0"/>
          <w:lang w:val="fr-CA"/>
        </w:rPr>
        <w:t>;</w:t>
      </w:r>
    </w:p>
    <w:p w14:paraId="62FD96AE" w14:textId="35B668FF" w:rsidR="00B740E3" w:rsidRPr="00B740E3" w:rsidRDefault="00B740E3" w:rsidP="000C68BB">
      <w:pPr>
        <w:pStyle w:val="Corpsdetexte"/>
        <w:ind w:right="117" w:firstLine="630"/>
        <w:rPr>
          <w:iCs w:val="0"/>
          <w:lang w:val="fr-CA"/>
        </w:rPr>
      </w:pPr>
      <w:r>
        <w:rPr>
          <w:iCs w:val="0"/>
          <w:lang w:val="fr-CA"/>
        </w:rPr>
        <w:t>38.</w:t>
      </w:r>
      <w:r>
        <w:rPr>
          <w:iCs w:val="0"/>
          <w:lang w:val="fr-CA"/>
        </w:rPr>
        <w:tab/>
      </w:r>
      <w:r>
        <w:rPr>
          <w:i/>
          <w:iCs w:val="0"/>
          <w:lang w:val="fr-CA"/>
        </w:rPr>
        <w:t xml:space="preserve">Décide </w:t>
      </w:r>
      <w:r>
        <w:rPr>
          <w:iCs w:val="0"/>
          <w:lang w:val="fr-CA"/>
        </w:rPr>
        <w:t xml:space="preserve">d’évaluer les progrès accomplis dans la création, le fonctionnement et le rendement du Fonds mondial de la biodiversité, et d’examiner et </w:t>
      </w:r>
      <w:r w:rsidR="00B06899">
        <w:rPr>
          <w:iCs w:val="0"/>
          <w:lang w:val="fr-CA"/>
        </w:rPr>
        <w:t>d’</w:t>
      </w:r>
      <w:r>
        <w:rPr>
          <w:iCs w:val="0"/>
          <w:lang w:val="fr-CA"/>
        </w:rPr>
        <w:t xml:space="preserve">adopter une orientation supplémentaire au Fonds pour l’environnement mondial et à l’organe de gouvernance mentionné dans le </w:t>
      </w:r>
      <w:r w:rsidR="00B06899">
        <w:rPr>
          <w:iCs w:val="0"/>
          <w:lang w:val="fr-CA"/>
        </w:rPr>
        <w:t>paragraphe</w:t>
      </w:r>
      <w:r>
        <w:rPr>
          <w:iCs w:val="0"/>
          <w:lang w:val="fr-CA"/>
        </w:rPr>
        <w:t xml:space="preserve"> 31, </w:t>
      </w:r>
      <w:r w:rsidR="00B06899">
        <w:rPr>
          <w:iCs w:val="0"/>
          <w:lang w:val="fr-CA"/>
        </w:rPr>
        <w:t>sur</w:t>
      </w:r>
      <w:r>
        <w:rPr>
          <w:iCs w:val="0"/>
          <w:lang w:val="fr-CA"/>
        </w:rPr>
        <w:t xml:space="preserve"> les modalités et le fo</w:t>
      </w:r>
      <w:r w:rsidR="00B06899">
        <w:rPr>
          <w:iCs w:val="0"/>
          <w:lang w:val="fr-CA"/>
        </w:rPr>
        <w:t>n</w:t>
      </w:r>
      <w:r>
        <w:rPr>
          <w:iCs w:val="0"/>
          <w:lang w:val="fr-CA"/>
        </w:rPr>
        <w:t>ctionnement du Fonds mondial pour la biodiversité, lors de ses futures réunions.</w:t>
      </w:r>
    </w:p>
    <w:p w14:paraId="03D06663" w14:textId="275BCAB1" w:rsidR="000C68BB" w:rsidRPr="00675643" w:rsidRDefault="000C68BB" w:rsidP="000C68BB">
      <w:pPr>
        <w:pStyle w:val="Corpsdetexte"/>
        <w:ind w:right="117" w:firstLine="630"/>
        <w:rPr>
          <w:iCs w:val="0"/>
          <w:lang w:val="fr-CA"/>
        </w:rPr>
      </w:pPr>
      <w:r w:rsidRPr="00675643">
        <w:rPr>
          <w:iCs w:val="0"/>
          <w:lang w:val="fr-CA"/>
        </w:rPr>
        <w:t>3</w:t>
      </w:r>
      <w:r w:rsidR="00B740E3">
        <w:rPr>
          <w:iCs w:val="0"/>
          <w:lang w:val="fr-CA"/>
        </w:rPr>
        <w:t>9</w:t>
      </w:r>
      <w:r w:rsidRPr="00675643">
        <w:rPr>
          <w:iCs w:val="0"/>
          <w:lang w:val="fr-CA"/>
        </w:rPr>
        <w:t>.</w:t>
      </w:r>
      <w:r w:rsidRPr="00675643">
        <w:rPr>
          <w:iCs w:val="0"/>
          <w:lang w:val="fr-CA"/>
        </w:rPr>
        <w:tab/>
      </w:r>
      <w:r>
        <w:rPr>
          <w:i/>
          <w:lang w:val="fr-CA"/>
        </w:rPr>
        <w:t xml:space="preserve">Décide </w:t>
      </w:r>
      <w:r>
        <w:rPr>
          <w:iCs w:val="0"/>
          <w:lang w:val="fr-CA"/>
        </w:rPr>
        <w:t>de réaliser un bilan du fonctionnement et du rendement du Fonds mondial pour la biodiversité, notamment son échelle, sa rapidité</w:t>
      </w:r>
      <w:r w:rsidR="00B06899">
        <w:rPr>
          <w:iCs w:val="0"/>
          <w:lang w:val="fr-CA"/>
        </w:rPr>
        <w:t>,</w:t>
      </w:r>
      <w:r>
        <w:rPr>
          <w:iCs w:val="0"/>
          <w:lang w:val="fr-CA"/>
        </w:rPr>
        <w:t xml:space="preserve"> son accessibilité</w:t>
      </w:r>
      <w:r w:rsidR="00B06899">
        <w:rPr>
          <w:iCs w:val="0"/>
          <w:lang w:val="fr-CA"/>
        </w:rPr>
        <w:t xml:space="preserve"> et les futurs arrangements</w:t>
      </w:r>
      <w:r>
        <w:rPr>
          <w:iCs w:val="0"/>
          <w:lang w:val="fr-CA"/>
        </w:rPr>
        <w:t>, à la dix-huitième réunion de la Conférence des Parties, et d’y donner suite</w:t>
      </w:r>
      <w:r w:rsidRPr="00675643">
        <w:rPr>
          <w:iCs w:val="0"/>
          <w:lang w:val="fr-CA"/>
        </w:rPr>
        <w:t>.</w:t>
      </w:r>
    </w:p>
    <w:bookmarkEnd w:id="2"/>
    <w:p w14:paraId="6CF49831" w14:textId="77777777" w:rsidR="000C68BB" w:rsidRPr="00675643" w:rsidRDefault="000C68BB" w:rsidP="000C68BB">
      <w:pPr>
        <w:suppressLineNumbers/>
        <w:suppressAutoHyphens/>
        <w:kinsoku w:val="0"/>
        <w:overflowPunct w:val="0"/>
        <w:autoSpaceDE w:val="0"/>
        <w:autoSpaceDN w:val="0"/>
        <w:adjustRightInd w:val="0"/>
        <w:snapToGrid w:val="0"/>
        <w:spacing w:before="120" w:after="120"/>
        <w:rPr>
          <w:b/>
          <w:bCs/>
          <w:szCs w:val="22"/>
          <w:lang w:val="fr-CA"/>
        </w:rPr>
      </w:pPr>
      <w:r>
        <w:rPr>
          <w:b/>
          <w:bCs/>
          <w:szCs w:val="22"/>
          <w:lang w:val="fr-CA"/>
        </w:rPr>
        <w:t>Revue de la stratégie de mobilisation des ressources</w:t>
      </w:r>
    </w:p>
    <w:p w14:paraId="7E7F716B" w14:textId="4B50E891" w:rsidR="000C68BB" w:rsidRPr="00675643" w:rsidRDefault="00B740E3" w:rsidP="000C68B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val="fr-CA" w:eastAsia="zh-CN"/>
        </w:rPr>
      </w:pPr>
      <w:r>
        <w:rPr>
          <w:rFonts w:eastAsia="DengXian"/>
          <w:snapToGrid w:val="0"/>
          <w:kern w:val="22"/>
          <w:szCs w:val="22"/>
          <w:lang w:val="fr-CA" w:eastAsia="zh-CN"/>
        </w:rPr>
        <w:t>40</w:t>
      </w:r>
      <w:r w:rsidR="000C68BB" w:rsidRPr="00675643">
        <w:rPr>
          <w:rFonts w:eastAsia="DengXian"/>
          <w:snapToGrid w:val="0"/>
          <w:kern w:val="22"/>
          <w:szCs w:val="22"/>
          <w:lang w:val="fr-CA" w:eastAsia="zh-CN"/>
        </w:rPr>
        <w:t>.</w:t>
      </w:r>
      <w:r w:rsidR="000C68BB" w:rsidRPr="00675643">
        <w:rPr>
          <w:rFonts w:eastAsia="DengXian"/>
          <w:snapToGrid w:val="0"/>
          <w:kern w:val="22"/>
          <w:szCs w:val="22"/>
          <w:lang w:val="fr-CA" w:eastAsia="zh-CN"/>
        </w:rPr>
        <w:tab/>
      </w:r>
      <w:r w:rsidR="000C68BB">
        <w:rPr>
          <w:rFonts w:eastAsia="DengXian"/>
          <w:i/>
          <w:iCs/>
          <w:snapToGrid w:val="0"/>
          <w:kern w:val="22"/>
          <w:szCs w:val="22"/>
          <w:lang w:val="fr-CA" w:eastAsia="zh-CN"/>
        </w:rPr>
        <w:t xml:space="preserve">Décide </w:t>
      </w:r>
      <w:r w:rsidR="000C68BB">
        <w:rPr>
          <w:rFonts w:eastAsia="DengXian"/>
          <w:iCs/>
          <w:snapToGrid w:val="0"/>
          <w:kern w:val="22"/>
          <w:szCs w:val="22"/>
          <w:lang w:val="fr-CA" w:eastAsia="zh-CN"/>
        </w:rPr>
        <w:t xml:space="preserve">de revoir la </w:t>
      </w:r>
      <w:r w:rsidR="000C68BB" w:rsidRPr="00675643">
        <w:rPr>
          <w:rFonts w:eastAsia="DengXian"/>
          <w:iCs/>
          <w:snapToGrid w:val="0"/>
          <w:kern w:val="22"/>
          <w:szCs w:val="22"/>
          <w:lang w:val="fr-CA" w:eastAsia="zh-CN"/>
        </w:rPr>
        <w:t xml:space="preserve">stratégie de mobilisation des ressources à sa seizième réunion afin de l’harmoniser complètement au cadre mondial de la biodiversité et confirmer qu’elle offre une base solide pour orienter les Parties et les autres acteurs vers la mobilisation de </w:t>
      </w:r>
      <w:r w:rsidR="000C68BB" w:rsidRPr="00675643">
        <w:rPr>
          <w:iCs/>
          <w:snapToGrid w:val="0"/>
          <w:kern w:val="22"/>
          <w:szCs w:val="22"/>
          <w:lang w:val="fr-CA" w:eastAsia="zh-CN"/>
        </w:rPr>
        <w:t>ressources</w:t>
      </w:r>
      <w:r w:rsidR="000C68BB" w:rsidRPr="00675643">
        <w:rPr>
          <w:rFonts w:eastAsia="DengXian"/>
          <w:iCs/>
          <w:snapToGrid w:val="0"/>
          <w:kern w:val="22"/>
          <w:szCs w:val="22"/>
          <w:lang w:val="fr-CA" w:eastAsia="zh-CN"/>
        </w:rPr>
        <w:t xml:space="preserve"> adéquates à la hauteur des ambitions du cadre mondial de la biodiversité </w:t>
      </w:r>
      <w:r w:rsidR="000C68BB" w:rsidRPr="00675643">
        <w:rPr>
          <w:snapToGrid w:val="0"/>
          <w:kern w:val="22"/>
          <w:szCs w:val="22"/>
          <w:lang w:val="fr-CA"/>
        </w:rPr>
        <w:t xml:space="preserve">; </w:t>
      </w:r>
    </w:p>
    <w:p w14:paraId="7A2F20DC" w14:textId="0EB0030B" w:rsidR="000C68BB" w:rsidRPr="00675643" w:rsidRDefault="00B740E3"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Pr>
          <w:snapToGrid w:val="0"/>
          <w:kern w:val="22"/>
          <w:szCs w:val="22"/>
          <w:lang w:val="fr-CA"/>
        </w:rPr>
        <w:t>41</w:t>
      </w:r>
      <w:r w:rsidR="000C68BB" w:rsidRPr="00675643">
        <w:rPr>
          <w:snapToGrid w:val="0"/>
          <w:kern w:val="22"/>
          <w:szCs w:val="22"/>
          <w:lang w:val="fr-CA"/>
        </w:rPr>
        <w:t xml:space="preserve">. </w:t>
      </w:r>
      <w:r w:rsidR="000C68BB" w:rsidRPr="00675643">
        <w:rPr>
          <w:snapToGrid w:val="0"/>
          <w:kern w:val="22"/>
          <w:szCs w:val="22"/>
          <w:lang w:val="fr-CA"/>
        </w:rPr>
        <w:tab/>
      </w:r>
      <w:r w:rsidR="000C68BB">
        <w:rPr>
          <w:i/>
          <w:iCs/>
          <w:snapToGrid w:val="0"/>
          <w:kern w:val="22"/>
          <w:szCs w:val="22"/>
          <w:lang w:val="fr-CA"/>
        </w:rPr>
        <w:t xml:space="preserve">Décide </w:t>
      </w:r>
      <w:r w:rsidR="000C68BB">
        <w:rPr>
          <w:iCs/>
          <w:snapToGrid w:val="0"/>
          <w:kern w:val="22"/>
          <w:szCs w:val="22"/>
          <w:lang w:val="fr-CA"/>
        </w:rPr>
        <w:t>d’examiner le paysage financier actuel, afin d’évaluer ses lacunes et ses chevauchements, et de repérer les occasions de renforcer, simplifier et réformer les instruments existants et ainsi renforcer le paysage financier actuel de la biodiversité </w:t>
      </w:r>
      <w:r w:rsidR="000C68BB" w:rsidRPr="00675643">
        <w:rPr>
          <w:snapToGrid w:val="0"/>
          <w:kern w:val="22"/>
          <w:szCs w:val="22"/>
          <w:lang w:val="fr-CA"/>
        </w:rPr>
        <w:t xml:space="preserve">; </w:t>
      </w:r>
    </w:p>
    <w:p w14:paraId="7D0C9606" w14:textId="470EADFA" w:rsidR="000C68BB" w:rsidRPr="00675643" w:rsidRDefault="000C68BB" w:rsidP="000C68BB">
      <w:pPr>
        <w:suppressLineNumbers/>
        <w:suppressAutoHyphens/>
        <w:kinsoku w:val="0"/>
        <w:overflowPunct w:val="0"/>
        <w:autoSpaceDE w:val="0"/>
        <w:autoSpaceDN w:val="0"/>
        <w:adjustRightInd w:val="0"/>
        <w:snapToGrid w:val="0"/>
        <w:spacing w:before="120" w:after="120"/>
        <w:ind w:firstLine="709"/>
        <w:rPr>
          <w:snapToGrid w:val="0"/>
          <w:kern w:val="22"/>
          <w:szCs w:val="22"/>
          <w:lang w:val="fr-CA"/>
        </w:rPr>
      </w:pPr>
      <w:r w:rsidRPr="00675643">
        <w:rPr>
          <w:snapToGrid w:val="0"/>
          <w:kern w:val="22"/>
          <w:szCs w:val="22"/>
          <w:lang w:val="fr-CA"/>
        </w:rPr>
        <w:t>4</w:t>
      </w:r>
      <w:r w:rsidR="00B740E3">
        <w:rPr>
          <w:snapToGrid w:val="0"/>
          <w:kern w:val="22"/>
          <w:szCs w:val="22"/>
          <w:lang w:val="fr-CA"/>
        </w:rPr>
        <w:t>2</w:t>
      </w:r>
      <w:r w:rsidRPr="00675643">
        <w:rPr>
          <w:snapToGrid w:val="0"/>
          <w:kern w:val="22"/>
          <w:szCs w:val="22"/>
          <w:lang w:val="fr-CA"/>
        </w:rPr>
        <w:t xml:space="preserve">. </w:t>
      </w:r>
      <w:r w:rsidRPr="00675643">
        <w:rPr>
          <w:snapToGrid w:val="0"/>
          <w:kern w:val="22"/>
          <w:szCs w:val="22"/>
          <w:lang w:val="fr-CA"/>
        </w:rPr>
        <w:tab/>
      </w:r>
      <w:r>
        <w:rPr>
          <w:i/>
          <w:iCs/>
          <w:snapToGrid w:val="0"/>
          <w:kern w:val="22"/>
          <w:szCs w:val="22"/>
          <w:lang w:val="fr-CA"/>
        </w:rPr>
        <w:t xml:space="preserve">Décide également </w:t>
      </w:r>
      <w:r>
        <w:rPr>
          <w:iCs/>
          <w:snapToGrid w:val="0"/>
          <w:kern w:val="22"/>
          <w:szCs w:val="22"/>
          <w:lang w:val="fr-CA"/>
        </w:rPr>
        <w:t>d’étudier les propositions pour un instrument mondial de financement de la biodiversité afin de mobiliser des ressources de toutes les sources, à la hauteur des ambitions du cadre mondial de la biodiversité, selon les évaluations réalisées et les lacunes repérées dans le contexte du paragraphe précédent </w:t>
      </w:r>
      <w:r w:rsidRPr="00675643">
        <w:rPr>
          <w:snapToGrid w:val="0"/>
          <w:kern w:val="22"/>
          <w:szCs w:val="22"/>
          <w:lang w:val="fr-CA"/>
        </w:rPr>
        <w:t>;</w:t>
      </w:r>
    </w:p>
    <w:p w14:paraId="66E458FE" w14:textId="2524E5BE"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zCs w:val="22"/>
          <w:lang w:val="fr-CA"/>
        </w:rPr>
      </w:pPr>
      <w:r w:rsidRPr="00675643">
        <w:rPr>
          <w:snapToGrid w:val="0"/>
          <w:kern w:val="22"/>
          <w:szCs w:val="22"/>
          <w:lang w:val="fr-CA"/>
        </w:rPr>
        <w:t>4</w:t>
      </w:r>
      <w:r w:rsidR="00B740E3">
        <w:rPr>
          <w:snapToGrid w:val="0"/>
          <w:kern w:val="22"/>
          <w:szCs w:val="22"/>
          <w:lang w:val="fr-CA"/>
        </w:rPr>
        <w:t>3</w:t>
      </w:r>
      <w:r w:rsidRPr="00675643">
        <w:rPr>
          <w:snapToGrid w:val="0"/>
          <w:kern w:val="22"/>
          <w:szCs w:val="22"/>
          <w:lang w:val="fr-CA"/>
        </w:rPr>
        <w:t xml:space="preserve">. </w:t>
      </w:r>
      <w:r w:rsidRPr="00675643">
        <w:rPr>
          <w:snapToGrid w:val="0"/>
          <w:kern w:val="22"/>
          <w:szCs w:val="22"/>
          <w:lang w:val="fr-CA"/>
        </w:rPr>
        <w:tab/>
      </w:r>
      <w:r>
        <w:rPr>
          <w:i/>
          <w:iCs/>
          <w:szCs w:val="22"/>
          <w:lang w:val="fr-CA"/>
        </w:rPr>
        <w:t xml:space="preserve">Crée </w:t>
      </w:r>
      <w:r>
        <w:rPr>
          <w:szCs w:val="22"/>
          <w:lang w:val="fr-CA"/>
        </w:rPr>
        <w:t>un comité consultatif sur la mobilisation des ressources afin de renforcer la stratégie de mobilisation des ressources et d’opérationnaliser les décisions prises dans les paragraphes précédents, selon le mandat présenté à l’annexe II à la présente décision, et de préparer un rapport sur le sujet pour examen par l’Organe subsidiaire chargé de l'application à sa quatrième réunion et la Conférence des Parties à sa seizième réunion </w:t>
      </w:r>
      <w:r w:rsidRPr="00675643">
        <w:rPr>
          <w:szCs w:val="22"/>
          <w:lang w:val="fr-CA"/>
        </w:rPr>
        <w:t xml:space="preserve">; </w:t>
      </w:r>
    </w:p>
    <w:p w14:paraId="6136E901" w14:textId="552B473A"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4</w:t>
      </w:r>
      <w:r w:rsidR="00B740E3">
        <w:rPr>
          <w:snapToGrid w:val="0"/>
          <w:kern w:val="22"/>
          <w:szCs w:val="22"/>
          <w:lang w:val="fr-CA"/>
        </w:rPr>
        <w:t>4</w:t>
      </w:r>
      <w:r w:rsidRPr="00675643">
        <w:rPr>
          <w:snapToGrid w:val="0"/>
          <w:kern w:val="22"/>
          <w:szCs w:val="22"/>
          <w:lang w:val="fr-CA"/>
        </w:rPr>
        <w:t>.</w:t>
      </w:r>
      <w:r w:rsidRPr="00675643">
        <w:rPr>
          <w:snapToGrid w:val="0"/>
          <w:kern w:val="22"/>
          <w:szCs w:val="22"/>
          <w:lang w:val="fr-CA"/>
        </w:rPr>
        <w:tab/>
      </w:r>
      <w:r>
        <w:rPr>
          <w:i/>
          <w:snapToGrid w:val="0"/>
          <w:kern w:val="22"/>
          <w:szCs w:val="22"/>
          <w:lang w:val="fr-CA"/>
        </w:rPr>
        <w:t xml:space="preserve">Invite </w:t>
      </w:r>
      <w:r>
        <w:rPr>
          <w:snapToGrid w:val="0"/>
          <w:kern w:val="22"/>
          <w:szCs w:val="22"/>
          <w:lang w:val="fr-CA"/>
        </w:rPr>
        <w:t xml:space="preserve">les Parties, les autres </w:t>
      </w:r>
      <w:r w:rsidRPr="00675643">
        <w:rPr>
          <w:snapToGrid w:val="0"/>
          <w:kern w:val="22"/>
          <w:szCs w:val="22"/>
          <w:lang w:val="fr-CA"/>
        </w:rPr>
        <w:t xml:space="preserve">gouvernements et les organisations et initiatives internationales pertinentes à soumettre à la Secrétaire exécutive des propositions sur leurs expériences, bonnes pratiques et </w:t>
      </w:r>
      <w:r w:rsidRPr="00675643">
        <w:rPr>
          <w:snapToGrid w:val="0"/>
          <w:kern w:val="22"/>
          <w:szCs w:val="22"/>
          <w:lang w:val="fr-CA"/>
        </w:rPr>
        <w:lastRenderedPageBreak/>
        <w:t xml:space="preserve">enseignements tirés de la stratégie de mobilisation des ressources adoptée </w:t>
      </w:r>
      <w:r w:rsidR="00B06899">
        <w:rPr>
          <w:snapToGrid w:val="0"/>
          <w:kern w:val="22"/>
          <w:szCs w:val="22"/>
          <w:lang w:val="fr-CA"/>
        </w:rPr>
        <w:t xml:space="preserve">par </w:t>
      </w:r>
      <w:r w:rsidRPr="00675643">
        <w:rPr>
          <w:snapToGrid w:val="0"/>
          <w:kern w:val="22"/>
          <w:szCs w:val="22"/>
          <w:lang w:val="fr-CA"/>
        </w:rPr>
        <w:t>la Conférence des Parties</w:t>
      </w:r>
      <w:r w:rsidR="00B06899">
        <w:rPr>
          <w:snapToGrid w:val="0"/>
          <w:kern w:val="22"/>
          <w:szCs w:val="22"/>
          <w:lang w:val="fr-CA"/>
        </w:rPr>
        <w:t xml:space="preserve"> à s</w:t>
      </w:r>
      <w:r w:rsidR="00B06899" w:rsidRPr="00675643">
        <w:rPr>
          <w:snapToGrid w:val="0"/>
          <w:kern w:val="22"/>
          <w:szCs w:val="22"/>
          <w:lang w:val="fr-CA"/>
        </w:rPr>
        <w:t>a quinzième réunion</w:t>
      </w:r>
      <w:r>
        <w:rPr>
          <w:snapToGrid w:val="0"/>
          <w:kern w:val="22"/>
          <w:szCs w:val="22"/>
          <w:lang w:val="fr-CA"/>
        </w:rPr>
        <w:t>, notamment</w:t>
      </w:r>
      <w:r w:rsidRPr="00675643">
        <w:rPr>
          <w:snapToGrid w:val="0"/>
          <w:kern w:val="22"/>
          <w:szCs w:val="22"/>
          <w:lang w:val="fr-CA"/>
        </w:rPr>
        <w:t xml:space="preserve"> </w:t>
      </w:r>
      <w:r w:rsidR="006C592A">
        <w:rPr>
          <w:snapToGrid w:val="0"/>
          <w:kern w:val="22"/>
          <w:szCs w:val="22"/>
          <w:lang w:val="fr-CA"/>
        </w:rPr>
        <w:t>leur</w:t>
      </w:r>
      <w:r w:rsidRPr="00675643">
        <w:rPr>
          <w:snapToGrid w:val="0"/>
          <w:kern w:val="22"/>
          <w:szCs w:val="22"/>
          <w:lang w:val="fr-CA"/>
        </w:rPr>
        <w:t xml:space="preserve"> contribution pour faciliter la mobilisation immédiate de ressources en appui à la mise en œuvre du cadre mondial de la biodiversité pour l'après-2020</w:t>
      </w:r>
      <w:r>
        <w:rPr>
          <w:snapToGrid w:val="0"/>
          <w:kern w:val="22"/>
          <w:szCs w:val="22"/>
          <w:lang w:val="fr-CA"/>
        </w:rPr>
        <w:t xml:space="preserve">, et </w:t>
      </w:r>
      <w:r w:rsidRPr="00675643">
        <w:rPr>
          <w:i/>
          <w:snapToGrid w:val="0"/>
          <w:kern w:val="22"/>
          <w:szCs w:val="22"/>
          <w:lang w:val="fr-CA"/>
        </w:rPr>
        <w:t>prie</w:t>
      </w:r>
      <w:r>
        <w:rPr>
          <w:snapToGrid w:val="0"/>
          <w:kern w:val="22"/>
          <w:szCs w:val="22"/>
          <w:lang w:val="fr-CA"/>
        </w:rPr>
        <w:t xml:space="preserve"> la Secrétaire exécutive de compiler ces propositions pour examen par le comité consultatif sur la mobilisation des ressources </w:t>
      </w:r>
      <w:r w:rsidRPr="00675643">
        <w:rPr>
          <w:snapToGrid w:val="0"/>
          <w:kern w:val="22"/>
          <w:szCs w:val="22"/>
          <w:lang w:val="fr-CA"/>
        </w:rPr>
        <w:t xml:space="preserve">; </w:t>
      </w:r>
    </w:p>
    <w:p w14:paraId="1295B850" w14:textId="728DB47B"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snapToGrid w:val="0"/>
          <w:kern w:val="22"/>
          <w:szCs w:val="22"/>
          <w:lang w:val="fr-CA"/>
        </w:rPr>
        <w:t>4</w:t>
      </w:r>
      <w:r w:rsidR="00B740E3">
        <w:rPr>
          <w:snapToGrid w:val="0"/>
          <w:kern w:val="22"/>
          <w:szCs w:val="22"/>
          <w:lang w:val="fr-CA"/>
        </w:rPr>
        <w:t>5</w:t>
      </w:r>
      <w:r w:rsidRPr="00675643">
        <w:rPr>
          <w:snapToGrid w:val="0"/>
          <w:kern w:val="22"/>
          <w:szCs w:val="22"/>
          <w:lang w:val="fr-CA"/>
        </w:rPr>
        <w:t>.</w:t>
      </w:r>
      <w:r w:rsidRPr="00675643">
        <w:rPr>
          <w:snapToGrid w:val="0"/>
          <w:kern w:val="22"/>
          <w:szCs w:val="22"/>
          <w:lang w:val="fr-CA"/>
        </w:rPr>
        <w:tab/>
      </w:r>
      <w:r>
        <w:rPr>
          <w:i/>
          <w:snapToGrid w:val="0"/>
          <w:kern w:val="22"/>
          <w:szCs w:val="22"/>
          <w:lang w:val="fr-CA"/>
        </w:rPr>
        <w:t xml:space="preserve">Demande </w:t>
      </w:r>
      <w:r>
        <w:rPr>
          <w:snapToGrid w:val="0"/>
          <w:kern w:val="22"/>
          <w:szCs w:val="22"/>
          <w:lang w:val="fr-CA"/>
        </w:rPr>
        <w:t>à l’Organe subsidiaire chargé de l'application, à sa quatrième réunion, d’examiner et de développer davantage, si nécessaire, les recommandations du comité consultatif, pour examen et adoption par la Conférence des Parties à sa seizième réunion</w:t>
      </w:r>
      <w:r w:rsidRPr="00675643">
        <w:rPr>
          <w:snapToGrid w:val="0"/>
          <w:kern w:val="22"/>
          <w:szCs w:val="22"/>
          <w:lang w:val="fr-CA"/>
        </w:rPr>
        <w:t>;</w:t>
      </w:r>
    </w:p>
    <w:p w14:paraId="14CC8C96" w14:textId="6F74825C" w:rsidR="000C68BB" w:rsidRPr="00675643" w:rsidRDefault="00B740E3" w:rsidP="000C68BB">
      <w:pPr>
        <w:suppressLineNumbers/>
        <w:suppressAutoHyphens/>
        <w:kinsoku w:val="0"/>
        <w:overflowPunct w:val="0"/>
        <w:autoSpaceDE w:val="0"/>
        <w:autoSpaceDN w:val="0"/>
        <w:adjustRightInd w:val="0"/>
        <w:snapToGrid w:val="0"/>
        <w:spacing w:before="120" w:after="120"/>
        <w:ind w:firstLine="720"/>
        <w:rPr>
          <w:b/>
          <w:bCs/>
          <w:snapToGrid w:val="0"/>
          <w:kern w:val="22"/>
          <w:szCs w:val="22"/>
          <w:lang w:val="fr-CA"/>
        </w:rPr>
      </w:pPr>
      <w:r>
        <w:rPr>
          <w:snapToGrid w:val="0"/>
          <w:kern w:val="22"/>
          <w:szCs w:val="22"/>
          <w:lang w:val="fr-CA"/>
        </w:rPr>
        <w:t>46</w:t>
      </w:r>
      <w:r w:rsidR="000C68BB" w:rsidRPr="00675643">
        <w:rPr>
          <w:snapToGrid w:val="0"/>
          <w:kern w:val="22"/>
          <w:szCs w:val="22"/>
          <w:lang w:val="fr-CA"/>
        </w:rPr>
        <w:t>.</w:t>
      </w:r>
      <w:r w:rsidR="000C68BB" w:rsidRPr="00675643">
        <w:rPr>
          <w:snapToGrid w:val="0"/>
          <w:kern w:val="22"/>
          <w:szCs w:val="22"/>
          <w:lang w:val="fr-CA"/>
        </w:rPr>
        <w:tab/>
      </w:r>
      <w:r w:rsidR="000C68BB">
        <w:rPr>
          <w:i/>
          <w:iCs/>
          <w:snapToGrid w:val="0"/>
          <w:kern w:val="22"/>
          <w:szCs w:val="22"/>
          <w:lang w:val="fr-CA"/>
        </w:rPr>
        <w:t xml:space="preserve">Décide </w:t>
      </w:r>
      <w:r w:rsidR="000C68BB">
        <w:rPr>
          <w:iCs/>
          <w:snapToGrid w:val="0"/>
          <w:kern w:val="22"/>
          <w:szCs w:val="22"/>
          <w:lang w:val="fr-CA"/>
        </w:rPr>
        <w:t xml:space="preserve">de poursuivre la révision de la stratégie de mobilisation des ressources à chaque réunion de la Conférence des Parties, à compter de la dix-septième réunion de la Conférence des Parties, en réalisant un bilan mondial, créant ainsi un processus itératif qui permettra de faciliter toute adaptation ultérieure de la stratégie </w:t>
      </w:r>
      <w:r w:rsidR="006C592A">
        <w:rPr>
          <w:iCs/>
          <w:snapToGrid w:val="0"/>
          <w:kern w:val="22"/>
          <w:szCs w:val="22"/>
          <w:lang w:val="fr-CA"/>
        </w:rPr>
        <w:t xml:space="preserve">et les arrangements institutionnels connexes, </w:t>
      </w:r>
      <w:r w:rsidR="000C68BB">
        <w:rPr>
          <w:iCs/>
          <w:snapToGrid w:val="0"/>
          <w:kern w:val="22"/>
          <w:szCs w:val="22"/>
          <w:lang w:val="fr-CA"/>
        </w:rPr>
        <w:t>et de mobiliser des ressources en appui à la mise en œuvre du cadre mondial de la biodiversité en temps opportun</w:t>
      </w:r>
      <w:r w:rsidR="000C68BB" w:rsidRPr="00675643">
        <w:rPr>
          <w:snapToGrid w:val="0"/>
          <w:kern w:val="22"/>
          <w:szCs w:val="22"/>
          <w:lang w:val="fr-CA"/>
        </w:rPr>
        <w:t>;</w:t>
      </w:r>
    </w:p>
    <w:p w14:paraId="063A20D3" w14:textId="77777777" w:rsidR="000C68BB" w:rsidRPr="00675643" w:rsidRDefault="000C68BB" w:rsidP="000C68BB">
      <w:pPr>
        <w:keepNext/>
        <w:suppressLineNumbers/>
        <w:suppressAutoHyphens/>
        <w:kinsoku w:val="0"/>
        <w:overflowPunct w:val="0"/>
        <w:autoSpaceDE w:val="0"/>
        <w:autoSpaceDN w:val="0"/>
        <w:adjustRightInd w:val="0"/>
        <w:snapToGrid w:val="0"/>
        <w:spacing w:before="120" w:after="120"/>
        <w:ind w:hanging="11"/>
        <w:jc w:val="left"/>
        <w:rPr>
          <w:b/>
          <w:snapToGrid w:val="0"/>
          <w:kern w:val="22"/>
          <w:szCs w:val="22"/>
          <w:lang w:val="fr-CA"/>
        </w:rPr>
      </w:pPr>
      <w:r>
        <w:rPr>
          <w:b/>
          <w:snapToGrid w:val="0"/>
          <w:kern w:val="22"/>
          <w:szCs w:val="22"/>
          <w:lang w:val="fr-CA"/>
        </w:rPr>
        <w:t>Activités de soutien de la Secrétaire exécutive</w:t>
      </w:r>
    </w:p>
    <w:p w14:paraId="7F09F951" w14:textId="2C5C8080" w:rsidR="000C68BB" w:rsidRPr="00675643" w:rsidRDefault="00B740E3"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Pr>
          <w:snapToGrid w:val="0"/>
          <w:kern w:val="22"/>
          <w:szCs w:val="22"/>
          <w:lang w:val="fr-CA"/>
        </w:rPr>
        <w:t>47</w:t>
      </w:r>
      <w:r w:rsidR="000C68BB" w:rsidRPr="00675643">
        <w:rPr>
          <w:snapToGrid w:val="0"/>
          <w:kern w:val="22"/>
          <w:szCs w:val="22"/>
          <w:lang w:val="fr-CA"/>
        </w:rPr>
        <w:t>.</w:t>
      </w:r>
      <w:r w:rsidR="000C68BB" w:rsidRPr="00675643">
        <w:rPr>
          <w:snapToGrid w:val="0"/>
          <w:kern w:val="22"/>
          <w:szCs w:val="22"/>
          <w:lang w:val="fr-CA"/>
        </w:rPr>
        <w:tab/>
      </w:r>
      <w:r w:rsidR="000C68BB">
        <w:rPr>
          <w:i/>
          <w:snapToGrid w:val="0"/>
          <w:kern w:val="22"/>
          <w:szCs w:val="22"/>
          <w:lang w:val="fr-CA"/>
        </w:rPr>
        <w:t xml:space="preserve">Charge </w:t>
      </w:r>
      <w:r w:rsidR="000C68BB">
        <w:rPr>
          <w:snapToGrid w:val="0"/>
          <w:kern w:val="22"/>
          <w:szCs w:val="22"/>
          <w:lang w:val="fr-CA"/>
        </w:rPr>
        <w:t xml:space="preserve">la Secrétaire exécutive, selon la disponibilité des ressources </w:t>
      </w:r>
      <w:r w:rsidR="000C68BB" w:rsidRPr="00675643">
        <w:rPr>
          <w:snapToGrid w:val="0"/>
          <w:kern w:val="22"/>
          <w:szCs w:val="22"/>
          <w:lang w:val="fr-CA"/>
        </w:rPr>
        <w:t>:</w:t>
      </w:r>
    </w:p>
    <w:p w14:paraId="3CAEA13F" w14:textId="6D729930" w:rsidR="000C68BB" w:rsidRPr="00675643"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675643">
        <w:rPr>
          <w:rFonts w:eastAsia="DengXian"/>
          <w:snapToGrid w:val="0"/>
          <w:kern w:val="22"/>
          <w:szCs w:val="22"/>
          <w:lang w:val="fr-CA" w:eastAsia="zh-CN"/>
        </w:rPr>
        <w:t>a)</w:t>
      </w:r>
      <w:r w:rsidRPr="00675643">
        <w:rPr>
          <w:rFonts w:eastAsia="DengXian"/>
          <w:snapToGrid w:val="0"/>
          <w:kern w:val="22"/>
          <w:szCs w:val="22"/>
          <w:lang w:val="fr-CA" w:eastAsia="zh-CN"/>
        </w:rPr>
        <w:tab/>
      </w:r>
      <w:r>
        <w:rPr>
          <w:rFonts w:eastAsia="DengXian"/>
          <w:snapToGrid w:val="0"/>
          <w:kern w:val="22"/>
          <w:szCs w:val="22"/>
          <w:lang w:val="fr-CA" w:eastAsia="zh-CN"/>
        </w:rPr>
        <w:t xml:space="preserve">De constituer un groupe spécial d’experts techniques sur les éléments de l’établissement des rapports financiers du </w:t>
      </w:r>
      <w:r w:rsidR="006C592A">
        <w:rPr>
          <w:rFonts w:eastAsia="DengXian"/>
          <w:snapToGrid w:val="0"/>
          <w:kern w:val="22"/>
          <w:szCs w:val="22"/>
          <w:lang w:val="fr-CA" w:eastAsia="zh-CN"/>
        </w:rPr>
        <w:t xml:space="preserve">cadre mondial de la biodiversité </w:t>
      </w:r>
      <w:r>
        <w:rPr>
          <w:rFonts w:eastAsia="DengXian"/>
          <w:snapToGrid w:val="0"/>
          <w:kern w:val="22"/>
          <w:szCs w:val="22"/>
          <w:lang w:val="fr-CA" w:eastAsia="zh-CN"/>
        </w:rPr>
        <w:t>pour l'après-2020, en se fondant sur le mandat joint à l’annexe III à la présente décision, pour examen par la Conférence des Parties à sa seizième réunion </w:t>
      </w:r>
      <w:r w:rsidRPr="00675643">
        <w:rPr>
          <w:rFonts w:eastAsia="DengXian"/>
          <w:snapToGrid w:val="0"/>
          <w:kern w:val="22"/>
          <w:szCs w:val="22"/>
          <w:lang w:val="fr-CA" w:eastAsia="zh-CN"/>
        </w:rPr>
        <w:t>;</w:t>
      </w:r>
    </w:p>
    <w:p w14:paraId="126CBB71" w14:textId="77777777" w:rsidR="000C68BB" w:rsidRPr="00675643" w:rsidRDefault="000C68BB" w:rsidP="000C68BB">
      <w:pPr>
        <w:suppressLineNumbers/>
        <w:suppressAutoHyphens/>
        <w:spacing w:before="120" w:after="120"/>
        <w:ind w:firstLine="720"/>
        <w:rPr>
          <w:szCs w:val="22"/>
          <w:lang w:val="fr-CA" w:eastAsia="zh-CN"/>
        </w:rPr>
      </w:pPr>
      <w:r w:rsidRPr="00675643">
        <w:rPr>
          <w:szCs w:val="22"/>
          <w:lang w:val="fr-CA" w:eastAsia="zh-CN"/>
        </w:rPr>
        <w:t>b)</w:t>
      </w:r>
      <w:r w:rsidRPr="00675643">
        <w:rPr>
          <w:szCs w:val="22"/>
          <w:lang w:val="fr-CA" w:eastAsia="zh-CN"/>
        </w:rPr>
        <w:tab/>
      </w:r>
      <w:r>
        <w:rPr>
          <w:szCs w:val="22"/>
          <w:lang w:val="fr-CA" w:eastAsia="zh-CN"/>
        </w:rPr>
        <w:t>D’envoyer une notification aux pays en développement Parties et aux Parties à économie en transition, les invitant à déterminer, selon leurs circonstances nationales, s’ils sont en mesure de remplir volontairement les obligations des pays en développement Parties conformément à l’article 20/2 de la Convention et, le cas échéant, d’en faire part à la Secrétaire exécutive </w:t>
      </w:r>
      <w:r w:rsidRPr="00675643">
        <w:rPr>
          <w:szCs w:val="22"/>
          <w:lang w:val="fr-CA" w:eastAsia="zh-CN"/>
        </w:rPr>
        <w:t>;</w:t>
      </w:r>
    </w:p>
    <w:p w14:paraId="705F9173" w14:textId="7D62B692" w:rsidR="000C68BB" w:rsidRPr="00675643" w:rsidRDefault="000C68BB" w:rsidP="000C68BB">
      <w:pPr>
        <w:suppressLineNumbers/>
        <w:suppressAutoHyphens/>
        <w:spacing w:before="120" w:after="120"/>
        <w:ind w:firstLine="720"/>
        <w:rPr>
          <w:szCs w:val="22"/>
          <w:lang w:val="fr-CA" w:eastAsia="zh-CN"/>
        </w:rPr>
      </w:pPr>
      <w:r w:rsidRPr="00675643">
        <w:rPr>
          <w:szCs w:val="22"/>
          <w:lang w:val="fr-CA" w:eastAsia="zh-CN"/>
        </w:rPr>
        <w:t>c)</w:t>
      </w:r>
      <w:r w:rsidRPr="00675643">
        <w:rPr>
          <w:szCs w:val="22"/>
          <w:lang w:val="fr-CA" w:eastAsia="zh-CN"/>
        </w:rPr>
        <w:tab/>
      </w:r>
      <w:r>
        <w:rPr>
          <w:szCs w:val="22"/>
          <w:lang w:val="fr-CA" w:eastAsia="zh-CN"/>
        </w:rPr>
        <w:t xml:space="preserve">De compiler les indications reçues dans le contexte du paragraphe précédent pour examen par la Conférence des Parties à sa </w:t>
      </w:r>
      <w:r w:rsidR="006C592A">
        <w:rPr>
          <w:szCs w:val="22"/>
          <w:lang w:val="fr-CA" w:eastAsia="zh-CN"/>
        </w:rPr>
        <w:t>seizième</w:t>
      </w:r>
      <w:r>
        <w:rPr>
          <w:szCs w:val="22"/>
          <w:lang w:val="fr-CA" w:eastAsia="zh-CN"/>
        </w:rPr>
        <w:t xml:space="preserve"> réunion </w:t>
      </w:r>
      <w:r w:rsidRPr="00675643">
        <w:rPr>
          <w:szCs w:val="22"/>
          <w:lang w:val="fr-CA" w:eastAsia="zh-CN"/>
        </w:rPr>
        <w:t xml:space="preserve">; </w:t>
      </w:r>
    </w:p>
    <w:p w14:paraId="1D5BD9D9" w14:textId="77777777" w:rsidR="000C68BB" w:rsidRPr="00675643" w:rsidRDefault="000C68BB" w:rsidP="000C68BB">
      <w:pPr>
        <w:suppressLineNumbers/>
        <w:suppressAutoHyphens/>
        <w:spacing w:before="120" w:after="120"/>
        <w:ind w:firstLine="720"/>
        <w:rPr>
          <w:szCs w:val="22"/>
          <w:lang w:val="fr-CA" w:eastAsia="zh-CN"/>
        </w:rPr>
      </w:pPr>
      <w:r w:rsidRPr="00675643">
        <w:rPr>
          <w:szCs w:val="22"/>
          <w:lang w:val="fr-CA" w:eastAsia="zh-CN"/>
        </w:rPr>
        <w:t>d)</w:t>
      </w:r>
      <w:r w:rsidRPr="00675643">
        <w:rPr>
          <w:szCs w:val="22"/>
          <w:lang w:val="fr-CA" w:eastAsia="zh-CN"/>
        </w:rPr>
        <w:tab/>
      </w:r>
      <w:r>
        <w:rPr>
          <w:szCs w:val="22"/>
          <w:lang w:val="fr-CA" w:eastAsia="zh-CN"/>
        </w:rPr>
        <w:t>De soutenir les travaux du comité consultatif sur la mobilisation des ressources </w:t>
      </w:r>
      <w:r w:rsidRPr="00675643">
        <w:rPr>
          <w:szCs w:val="22"/>
          <w:lang w:val="fr-CA" w:eastAsia="zh-CN"/>
        </w:rPr>
        <w:t>;</w:t>
      </w:r>
    </w:p>
    <w:p w14:paraId="67C1110D" w14:textId="77777777" w:rsidR="000C68BB" w:rsidRPr="00675643" w:rsidRDefault="000C68BB" w:rsidP="000C68BB">
      <w:pPr>
        <w:suppressLineNumbers/>
        <w:suppressAutoHyphens/>
        <w:spacing w:before="120" w:after="120"/>
        <w:ind w:firstLine="720"/>
        <w:rPr>
          <w:szCs w:val="22"/>
          <w:lang w:val="fr-CA" w:eastAsia="zh-CN"/>
        </w:rPr>
      </w:pPr>
      <w:r w:rsidRPr="00675643">
        <w:rPr>
          <w:szCs w:val="22"/>
          <w:lang w:val="fr-CA" w:eastAsia="zh-CN"/>
        </w:rPr>
        <w:t>e)</w:t>
      </w:r>
      <w:r w:rsidRPr="00675643">
        <w:rPr>
          <w:szCs w:val="22"/>
          <w:lang w:val="fr-CA" w:eastAsia="zh-CN"/>
        </w:rPr>
        <w:tab/>
      </w:r>
      <w:r>
        <w:rPr>
          <w:snapToGrid w:val="0"/>
          <w:kern w:val="22"/>
          <w:szCs w:val="22"/>
          <w:lang w:val="fr-CA" w:eastAsia="zh-CN"/>
        </w:rPr>
        <w:t>De collaborer  davantage avec l’Initiative de financement de la biodiversité du Programme des Nations Unies pour le développement et autres organisations et initiatives pertinentes et intéressées, afin de faciliter et de soutenir leurs travaux </w:t>
      </w:r>
      <w:r w:rsidRPr="00675643">
        <w:rPr>
          <w:szCs w:val="22"/>
          <w:lang w:val="fr-CA" w:eastAsia="zh-CN"/>
        </w:rPr>
        <w:t>;</w:t>
      </w:r>
    </w:p>
    <w:p w14:paraId="74B81AE7" w14:textId="77777777" w:rsidR="000C68BB" w:rsidRPr="00675643" w:rsidRDefault="000C68BB" w:rsidP="000C68BB">
      <w:pPr>
        <w:suppressLineNumbers/>
        <w:suppressAutoHyphens/>
        <w:spacing w:before="120" w:after="120"/>
        <w:ind w:firstLine="720"/>
        <w:rPr>
          <w:szCs w:val="22"/>
          <w:lang w:val="fr-CA" w:eastAsia="zh-CN"/>
        </w:rPr>
      </w:pPr>
      <w:r w:rsidRPr="00675643">
        <w:rPr>
          <w:szCs w:val="22"/>
          <w:lang w:val="fr-CA" w:eastAsia="zh-CN"/>
        </w:rPr>
        <w:t>f)</w:t>
      </w:r>
      <w:r w:rsidRPr="00675643">
        <w:rPr>
          <w:szCs w:val="22"/>
          <w:lang w:val="fr-CA" w:eastAsia="zh-CN"/>
        </w:rPr>
        <w:tab/>
      </w:r>
      <w:r>
        <w:rPr>
          <w:szCs w:val="22"/>
          <w:lang w:val="fr-FR"/>
        </w:rPr>
        <w:t>De p</w:t>
      </w:r>
      <w:r w:rsidRPr="006E78A2">
        <w:rPr>
          <w:szCs w:val="22"/>
          <w:lang w:val="fr-FR"/>
        </w:rPr>
        <w:t>oursuivre et</w:t>
      </w:r>
      <w:r>
        <w:rPr>
          <w:szCs w:val="22"/>
          <w:lang w:val="fr-FR"/>
        </w:rPr>
        <w:t xml:space="preserve"> d’</w:t>
      </w:r>
      <w:r w:rsidRPr="006E78A2">
        <w:rPr>
          <w:szCs w:val="22"/>
          <w:lang w:val="fr-FR"/>
        </w:rPr>
        <w:t xml:space="preserve">intensifier la collaboration avec les organisations et initiatives compétentes afin de promouvoir davantage les mesures de soutien à l’intensification et l’harmonisation des mesures d'incitation, conformément </w:t>
      </w:r>
      <w:r>
        <w:rPr>
          <w:szCs w:val="22"/>
          <w:lang w:val="fr-FR"/>
        </w:rPr>
        <w:t xml:space="preserve">à l’article 11 de la Convention </w:t>
      </w:r>
      <w:r w:rsidRPr="00675643">
        <w:rPr>
          <w:szCs w:val="22"/>
          <w:lang w:val="fr-CA" w:eastAsia="zh-CN"/>
        </w:rPr>
        <w:t>;</w:t>
      </w:r>
    </w:p>
    <w:p w14:paraId="55ED016F" w14:textId="77777777" w:rsidR="000C68BB" w:rsidRPr="00675643" w:rsidRDefault="000C68BB" w:rsidP="000C68BB">
      <w:pPr>
        <w:suppressLineNumbers/>
        <w:suppressAutoHyphens/>
        <w:spacing w:before="120" w:after="120"/>
        <w:ind w:firstLine="720"/>
        <w:rPr>
          <w:szCs w:val="22"/>
          <w:lang w:val="fr-CA" w:eastAsia="zh-CN"/>
        </w:rPr>
      </w:pPr>
      <w:r w:rsidRPr="00675643">
        <w:rPr>
          <w:szCs w:val="22"/>
          <w:lang w:val="fr-CA" w:eastAsia="zh-CN"/>
        </w:rPr>
        <w:t>g)</w:t>
      </w:r>
      <w:r w:rsidRPr="00675643">
        <w:rPr>
          <w:szCs w:val="22"/>
          <w:lang w:val="fr-CA" w:eastAsia="zh-CN"/>
        </w:rPr>
        <w:tab/>
      </w:r>
      <w:r>
        <w:rPr>
          <w:szCs w:val="22"/>
          <w:lang w:val="fr-FR"/>
        </w:rPr>
        <w:t>De p</w:t>
      </w:r>
      <w:r w:rsidRPr="006E78A2">
        <w:rPr>
          <w:szCs w:val="22"/>
          <w:lang w:val="fr-FR"/>
        </w:rPr>
        <w:t xml:space="preserve">oursuivre et </w:t>
      </w:r>
      <w:r>
        <w:rPr>
          <w:szCs w:val="22"/>
          <w:lang w:val="fr-FR"/>
        </w:rPr>
        <w:t>d’</w:t>
      </w:r>
      <w:r w:rsidRPr="006E78A2">
        <w:rPr>
          <w:szCs w:val="22"/>
          <w:lang w:val="fr-FR"/>
        </w:rPr>
        <w:t>intensifier la collaboration avec les mécanismes multilatéraux et bilatéraux de financement afin de catalyser davantage les synergies lors de l’élaboration et du financement de projets pour réaliser les ob</w:t>
      </w:r>
      <w:r>
        <w:rPr>
          <w:szCs w:val="22"/>
          <w:lang w:val="fr-FR"/>
        </w:rPr>
        <w:t xml:space="preserve">jectifs des conventions de Rio </w:t>
      </w:r>
      <w:r w:rsidRPr="006E78A2">
        <w:rPr>
          <w:szCs w:val="22"/>
          <w:lang w:val="fr-FR"/>
        </w:rPr>
        <w:t xml:space="preserve">et les </w:t>
      </w:r>
      <w:r>
        <w:rPr>
          <w:szCs w:val="22"/>
          <w:lang w:val="fr-FR"/>
        </w:rPr>
        <w:t>O</w:t>
      </w:r>
      <w:r w:rsidRPr="006E78A2">
        <w:rPr>
          <w:szCs w:val="22"/>
          <w:lang w:val="fr-FR"/>
        </w:rPr>
        <w:t>bjectifs de développement durabl</w:t>
      </w:r>
      <w:r>
        <w:rPr>
          <w:szCs w:val="22"/>
          <w:lang w:val="fr-FR"/>
        </w:rPr>
        <w:t>e.</w:t>
      </w:r>
    </w:p>
    <w:p w14:paraId="2152D988" w14:textId="19A90205" w:rsidR="003E0D7D" w:rsidRPr="00C771DA" w:rsidRDefault="003E0D7D" w:rsidP="00A3490B">
      <w:pPr>
        <w:suppressLineNumbers/>
        <w:suppressAutoHyphens/>
        <w:spacing w:before="120" w:after="120"/>
        <w:ind w:firstLine="720"/>
        <w:rPr>
          <w:szCs w:val="22"/>
          <w:lang w:val="fr-CA" w:eastAsia="zh-CN"/>
        </w:rPr>
      </w:pPr>
    </w:p>
    <w:p w14:paraId="08C2412E" w14:textId="48DC4E61" w:rsidR="004B477E" w:rsidRPr="000C68BB" w:rsidRDefault="004B477E" w:rsidP="00A3490B">
      <w:pPr>
        <w:suppressLineNumbers/>
        <w:suppressAutoHyphens/>
        <w:spacing w:before="120" w:after="120"/>
        <w:ind w:firstLine="720"/>
        <w:rPr>
          <w:szCs w:val="22"/>
          <w:lang w:val="fr-CA" w:eastAsia="zh-CN"/>
        </w:rPr>
      </w:pPr>
      <w:r w:rsidRPr="000C68BB">
        <w:rPr>
          <w:szCs w:val="22"/>
          <w:lang w:val="fr-CA" w:eastAsia="zh-CN"/>
        </w:rPr>
        <w:t xml:space="preserve"> </w:t>
      </w:r>
    </w:p>
    <w:p w14:paraId="5A6094F8" w14:textId="77777777" w:rsidR="00F2413D" w:rsidRPr="000C68BB" w:rsidRDefault="00F2413D" w:rsidP="00A3490B">
      <w:pPr>
        <w:spacing w:before="120" w:after="120"/>
        <w:jc w:val="left"/>
        <w:rPr>
          <w:b/>
          <w:i/>
          <w:iCs/>
          <w:caps/>
          <w:snapToGrid w:val="0"/>
          <w:color w:val="000000"/>
          <w:szCs w:val="22"/>
          <w:lang w:val="fr-CA"/>
        </w:rPr>
      </w:pPr>
      <w:r w:rsidRPr="000C68BB">
        <w:rPr>
          <w:b/>
          <w:i/>
          <w:iCs/>
          <w:caps/>
          <w:snapToGrid w:val="0"/>
          <w:color w:val="000000"/>
          <w:szCs w:val="22"/>
          <w:lang w:val="fr-CA"/>
        </w:rPr>
        <w:br w:type="page"/>
      </w:r>
    </w:p>
    <w:p w14:paraId="5253BEE9" w14:textId="77777777" w:rsidR="00F7011E" w:rsidRPr="001751B7" w:rsidRDefault="00F7011E" w:rsidP="00F7011E">
      <w:pPr>
        <w:keepNext/>
        <w:suppressLineNumbers/>
        <w:tabs>
          <w:tab w:val="left" w:pos="720"/>
        </w:tabs>
        <w:suppressAutoHyphens/>
        <w:spacing w:before="120" w:after="120"/>
        <w:ind w:right="567"/>
        <w:jc w:val="center"/>
        <w:outlineLvl w:val="1"/>
        <w:rPr>
          <w:bCs/>
          <w:i/>
          <w:iCs/>
          <w:snapToGrid w:val="0"/>
          <w:color w:val="000000"/>
          <w:szCs w:val="22"/>
          <w:lang w:val="fr-FR"/>
        </w:rPr>
      </w:pPr>
      <w:r w:rsidRPr="001751B7">
        <w:rPr>
          <w:bCs/>
          <w:i/>
          <w:iCs/>
          <w:caps/>
          <w:snapToGrid w:val="0"/>
          <w:color w:val="000000"/>
          <w:szCs w:val="22"/>
          <w:lang w:val="fr-FR"/>
        </w:rPr>
        <w:lastRenderedPageBreak/>
        <w:t>A</w:t>
      </w:r>
      <w:r w:rsidRPr="001751B7">
        <w:rPr>
          <w:bCs/>
          <w:i/>
          <w:iCs/>
          <w:snapToGrid w:val="0"/>
          <w:color w:val="000000"/>
          <w:szCs w:val="22"/>
          <w:lang w:val="fr-FR"/>
        </w:rPr>
        <w:t>nnexe I</w:t>
      </w:r>
    </w:p>
    <w:p w14:paraId="71CFD665" w14:textId="77777777" w:rsidR="00F7011E" w:rsidRPr="001751B7" w:rsidRDefault="00F7011E" w:rsidP="00F7011E">
      <w:pPr>
        <w:keepNext/>
        <w:suppressLineNumbers/>
        <w:tabs>
          <w:tab w:val="left" w:pos="720"/>
        </w:tabs>
        <w:suppressAutoHyphens/>
        <w:spacing w:before="120" w:after="120"/>
        <w:ind w:right="567"/>
        <w:jc w:val="center"/>
        <w:outlineLvl w:val="1"/>
        <w:rPr>
          <w:b/>
          <w:caps/>
          <w:snapToGrid w:val="0"/>
          <w:color w:val="000000"/>
          <w:szCs w:val="22"/>
          <w:lang w:val="fr-FR"/>
        </w:rPr>
      </w:pPr>
      <w:r w:rsidRPr="001751B7">
        <w:rPr>
          <w:b/>
          <w:snapToGrid w:val="0"/>
          <w:kern w:val="22"/>
          <w:szCs w:val="22"/>
          <w:lang w:val="fr-FR"/>
        </w:rPr>
        <w:t>STRATÉGIE DE MOBILISATION DES RESSOURCES</w:t>
      </w:r>
      <w:r w:rsidRPr="001751B7">
        <w:rPr>
          <w:b/>
          <w:caps/>
          <w:snapToGrid w:val="0"/>
          <w:color w:val="000000"/>
          <w:szCs w:val="22"/>
          <w:lang w:val="fr-FR"/>
        </w:rPr>
        <w:t xml:space="preserve"> </w:t>
      </w:r>
    </w:p>
    <w:p w14:paraId="4D60D428" w14:textId="77777777" w:rsidR="00F7011E" w:rsidRPr="001751B7" w:rsidRDefault="00F7011E" w:rsidP="00F7011E">
      <w:pPr>
        <w:keepNext/>
        <w:suppressLineNumbers/>
        <w:tabs>
          <w:tab w:val="left" w:pos="720"/>
        </w:tabs>
        <w:suppressAutoHyphens/>
        <w:spacing w:before="120" w:after="120"/>
        <w:ind w:right="567"/>
        <w:jc w:val="center"/>
        <w:outlineLvl w:val="1"/>
        <w:rPr>
          <w:b/>
          <w:caps/>
          <w:snapToGrid w:val="0"/>
          <w:color w:val="000000"/>
          <w:szCs w:val="22"/>
          <w:lang w:val="fr-FR"/>
        </w:rPr>
      </w:pPr>
      <w:r>
        <w:rPr>
          <w:b/>
          <w:caps/>
          <w:snapToGrid w:val="0"/>
          <w:color w:val="000000"/>
          <w:szCs w:val="22"/>
          <w:lang w:val="fr-FR"/>
        </w:rPr>
        <w:t xml:space="preserve">JALONS ET </w:t>
      </w:r>
      <w:r w:rsidRPr="001751B7">
        <w:rPr>
          <w:b/>
          <w:caps/>
          <w:snapToGrid w:val="0"/>
          <w:color w:val="000000"/>
          <w:szCs w:val="22"/>
          <w:lang w:val="fr-FR"/>
        </w:rPr>
        <w:t xml:space="preserve">structure </w:t>
      </w:r>
      <w:r>
        <w:rPr>
          <w:b/>
          <w:caps/>
          <w:snapToGrid w:val="0"/>
          <w:color w:val="000000"/>
          <w:szCs w:val="22"/>
          <w:lang w:val="fr-FR"/>
        </w:rPr>
        <w:t xml:space="preserve">POUR LA </w:t>
      </w:r>
      <w:r w:rsidRPr="001751B7">
        <w:rPr>
          <w:b/>
          <w:caps/>
          <w:snapToGrid w:val="0"/>
          <w:color w:val="000000"/>
          <w:szCs w:val="22"/>
          <w:lang w:val="fr-FR"/>
        </w:rPr>
        <w:t>Phase</w:t>
      </w:r>
      <w:r>
        <w:rPr>
          <w:b/>
          <w:caps/>
          <w:snapToGrid w:val="0"/>
          <w:color w:val="000000"/>
          <w:szCs w:val="22"/>
          <w:lang w:val="fr-FR"/>
        </w:rPr>
        <w:t> </w:t>
      </w:r>
      <w:r w:rsidRPr="001751B7">
        <w:rPr>
          <w:b/>
          <w:caps/>
          <w:snapToGrid w:val="0"/>
          <w:color w:val="000000"/>
          <w:szCs w:val="22"/>
          <w:lang w:val="fr-FR"/>
        </w:rPr>
        <w:t>I</w:t>
      </w:r>
    </w:p>
    <w:p w14:paraId="16B7D8ED" w14:textId="77777777" w:rsidR="00F7011E" w:rsidRPr="001751B7" w:rsidRDefault="00F7011E" w:rsidP="00F7011E">
      <w:pPr>
        <w:keepNext/>
        <w:suppressLineNumbers/>
        <w:tabs>
          <w:tab w:val="left" w:pos="720"/>
        </w:tabs>
        <w:suppressAutoHyphens/>
        <w:spacing w:before="120" w:after="120"/>
        <w:ind w:right="567"/>
        <w:jc w:val="center"/>
        <w:outlineLvl w:val="1"/>
        <w:rPr>
          <w:b/>
          <w:caps/>
          <w:snapToGrid w:val="0"/>
          <w:color w:val="000000"/>
          <w:szCs w:val="22"/>
          <w:lang w:val="fr-FR"/>
        </w:rPr>
      </w:pPr>
      <w:r w:rsidRPr="001751B7">
        <w:rPr>
          <w:b/>
          <w:caps/>
          <w:snapToGrid w:val="0"/>
          <w:color w:val="000000"/>
          <w:szCs w:val="22"/>
          <w:lang w:val="fr-FR"/>
        </w:rPr>
        <w:t xml:space="preserve">(2023-2024) </w:t>
      </w:r>
    </w:p>
    <w:p w14:paraId="2609C022" w14:textId="77777777" w:rsidR="00F7011E" w:rsidRPr="001751B7" w:rsidRDefault="00F7011E" w:rsidP="00F7011E">
      <w:pPr>
        <w:suppressLineNumbers/>
        <w:suppressAutoHyphens/>
        <w:spacing w:before="120"/>
        <w:rPr>
          <w:b/>
          <w:color w:val="000000"/>
          <w:szCs w:val="22"/>
          <w:lang w:val="fr-FR" w:eastAsia="zh-CN"/>
        </w:rPr>
      </w:pPr>
      <w:r>
        <w:rPr>
          <w:b/>
          <w:color w:val="000000"/>
          <w:szCs w:val="22"/>
          <w:lang w:val="fr-FR" w:eastAsia="zh-CN"/>
        </w:rPr>
        <w:t>Objet </w:t>
      </w:r>
      <w:r w:rsidRPr="001751B7">
        <w:rPr>
          <w:b/>
          <w:color w:val="000000"/>
          <w:szCs w:val="22"/>
          <w:lang w:val="fr-FR" w:eastAsia="zh-CN"/>
        </w:rPr>
        <w:t xml:space="preserve">: </w:t>
      </w:r>
    </w:p>
    <w:p w14:paraId="5F1CAF7E" w14:textId="77777777" w:rsidR="00F7011E" w:rsidRPr="001751B7" w:rsidRDefault="00F7011E" w:rsidP="00F7011E">
      <w:pPr>
        <w:numPr>
          <w:ilvl w:val="0"/>
          <w:numId w:val="6"/>
        </w:numPr>
        <w:suppressLineNumbers/>
        <w:suppressAutoHyphens/>
        <w:spacing w:before="120"/>
        <w:ind w:left="284" w:hanging="284"/>
        <w:rPr>
          <w:bCs/>
          <w:color w:val="000000"/>
          <w:szCs w:val="22"/>
          <w:lang w:val="fr-FR" w:eastAsia="zh-CN"/>
        </w:rPr>
      </w:pPr>
      <w:r>
        <w:rPr>
          <w:bCs/>
          <w:color w:val="000000"/>
          <w:szCs w:val="22"/>
          <w:lang w:val="fr-FR" w:eastAsia="zh-CN"/>
        </w:rPr>
        <w:t>La présente stratégie a pour objet de permettre une mobilisation rapide des ressources, d’accroître et d’aligner les ressources destinées à la mise en œuvre du cadre mondial de la biodiversité pour l’après-2020 ainsi que d’établir une base à partir de laquelle élaborer davantage jusqu’en 2030 à la lumière des travaux du Comité consultatif sur la mobilisation des ressources et conformément au cadre mondial de la biodiversité</w:t>
      </w:r>
      <w:r w:rsidRPr="001751B7">
        <w:rPr>
          <w:bCs/>
          <w:color w:val="000000"/>
          <w:szCs w:val="22"/>
          <w:lang w:val="fr-FR" w:eastAsia="zh-CN"/>
        </w:rPr>
        <w:t>.</w:t>
      </w:r>
    </w:p>
    <w:p w14:paraId="6A855820" w14:textId="2D596596" w:rsidR="00F7011E" w:rsidRPr="001751B7" w:rsidRDefault="00F7011E" w:rsidP="00F7011E">
      <w:pPr>
        <w:numPr>
          <w:ilvl w:val="0"/>
          <w:numId w:val="6"/>
        </w:numPr>
        <w:suppressLineNumbers/>
        <w:suppressAutoHyphens/>
        <w:spacing w:before="120"/>
        <w:ind w:left="284" w:hanging="284"/>
        <w:rPr>
          <w:b/>
          <w:snapToGrid w:val="0"/>
          <w:color w:val="000000"/>
          <w:kern w:val="22"/>
          <w:szCs w:val="22"/>
          <w:lang w:val="fr-FR" w:eastAsia="zh-CN"/>
        </w:rPr>
      </w:pPr>
      <w:r>
        <w:rPr>
          <w:bCs/>
          <w:color w:val="000000"/>
          <w:szCs w:val="22"/>
          <w:lang w:val="fr-FR" w:eastAsia="zh-CN"/>
        </w:rPr>
        <w:t xml:space="preserve">La stratégie sera mise à jour par l’Organe subsidiaire chargé de l’application afin de tenir compte des recommandations du Comité consultatif sur la mobilisation des ressources. La stratégie mise à jour sera présentée à la </w:t>
      </w:r>
      <w:r w:rsidR="001516E5">
        <w:rPr>
          <w:bCs/>
          <w:color w:val="000000"/>
          <w:szCs w:val="22"/>
          <w:lang w:val="fr-FR" w:eastAsia="zh-CN"/>
        </w:rPr>
        <w:t>seizième réunion de la Conférence des Parties</w:t>
      </w:r>
      <w:r>
        <w:rPr>
          <w:bCs/>
          <w:color w:val="000000"/>
          <w:szCs w:val="22"/>
          <w:lang w:val="fr-FR" w:eastAsia="zh-CN"/>
        </w:rPr>
        <w:t xml:space="preserve"> pour examen et pour adoption.</w:t>
      </w:r>
    </w:p>
    <w:p w14:paraId="1892BE49" w14:textId="77777777" w:rsidR="00F7011E" w:rsidRPr="001751B7" w:rsidRDefault="00F7011E" w:rsidP="00F7011E">
      <w:pPr>
        <w:numPr>
          <w:ilvl w:val="0"/>
          <w:numId w:val="6"/>
        </w:numPr>
        <w:spacing w:before="120"/>
        <w:jc w:val="left"/>
        <w:rPr>
          <w:lang w:val="fr-FR"/>
        </w:rPr>
      </w:pPr>
      <w:r>
        <w:rPr>
          <w:szCs w:val="22"/>
          <w:lang w:val="fr-FR"/>
        </w:rPr>
        <w:t>La stratégie mobilisera les ressources nécessaires à la mise en œuvre de la Convention en traitant les trois objectifs de cette dernière de manière équilibrée et à la mesure de l’ambition du cadre mondial de la biodiversité.</w:t>
      </w:r>
    </w:p>
    <w:p w14:paraId="509AB742" w14:textId="77777777" w:rsidR="00F7011E" w:rsidRPr="001751B7" w:rsidRDefault="00F7011E" w:rsidP="00F7011E">
      <w:pPr>
        <w:numPr>
          <w:ilvl w:val="0"/>
          <w:numId w:val="6"/>
        </w:numPr>
        <w:suppressLineNumbers/>
        <w:suppressAutoHyphens/>
        <w:spacing w:before="120"/>
        <w:ind w:left="284" w:hanging="284"/>
        <w:rPr>
          <w:szCs w:val="22"/>
          <w:lang w:val="fr-FR"/>
        </w:rPr>
      </w:pPr>
      <w:r>
        <w:rPr>
          <w:color w:val="000000"/>
          <w:szCs w:val="22"/>
          <w:lang w:val="fr-FR" w:eastAsia="zh-CN"/>
        </w:rPr>
        <w:t>L’orientation de la stratégie sera dictée par </w:t>
      </w:r>
      <w:r w:rsidRPr="001751B7">
        <w:rPr>
          <w:color w:val="000000"/>
          <w:szCs w:val="22"/>
          <w:lang w:val="fr-FR" w:eastAsia="zh-CN"/>
        </w:rPr>
        <w:t>:</w:t>
      </w:r>
    </w:p>
    <w:p w14:paraId="5A75366B" w14:textId="77777777" w:rsidR="00F7011E" w:rsidRPr="001751B7" w:rsidRDefault="00F7011E" w:rsidP="00F7011E">
      <w:pPr>
        <w:numPr>
          <w:ilvl w:val="1"/>
          <w:numId w:val="6"/>
        </w:numPr>
        <w:suppressLineNumbers/>
        <w:suppressAutoHyphens/>
        <w:snapToGrid w:val="0"/>
        <w:spacing w:before="120"/>
        <w:ind w:left="567" w:hanging="283"/>
        <w:rPr>
          <w:szCs w:val="22"/>
          <w:lang w:val="fr-FR"/>
        </w:rPr>
      </w:pPr>
      <w:r>
        <w:rPr>
          <w:szCs w:val="22"/>
          <w:lang w:val="fr-FR"/>
        </w:rPr>
        <w:t>La partie C du cadre mondial de la biodiversité,</w:t>
      </w:r>
    </w:p>
    <w:p w14:paraId="5DB57FBC" w14:textId="77777777" w:rsidR="00F7011E" w:rsidRPr="001751B7" w:rsidRDefault="00F7011E" w:rsidP="00F7011E">
      <w:pPr>
        <w:numPr>
          <w:ilvl w:val="1"/>
          <w:numId w:val="6"/>
        </w:numPr>
        <w:suppressLineNumbers/>
        <w:suppressAutoHyphens/>
        <w:snapToGrid w:val="0"/>
        <w:spacing w:before="60"/>
        <w:ind w:left="567" w:hanging="283"/>
        <w:rPr>
          <w:szCs w:val="22"/>
          <w:lang w:val="fr-FR"/>
        </w:rPr>
      </w:pPr>
      <w:r>
        <w:rPr>
          <w:szCs w:val="22"/>
          <w:lang w:val="fr-FR"/>
        </w:rPr>
        <w:t>Les a</w:t>
      </w:r>
      <w:r w:rsidRPr="001751B7">
        <w:rPr>
          <w:szCs w:val="22"/>
          <w:lang w:val="fr-FR"/>
        </w:rPr>
        <w:t>rticle</w:t>
      </w:r>
      <w:r>
        <w:rPr>
          <w:szCs w:val="22"/>
          <w:lang w:val="fr-FR"/>
        </w:rPr>
        <w:t>s</w:t>
      </w:r>
      <w:r w:rsidRPr="001751B7">
        <w:rPr>
          <w:szCs w:val="22"/>
          <w:lang w:val="fr-FR"/>
        </w:rPr>
        <w:t xml:space="preserve"> 20, 21 </w:t>
      </w:r>
      <w:r>
        <w:rPr>
          <w:szCs w:val="22"/>
          <w:lang w:val="fr-FR"/>
        </w:rPr>
        <w:t xml:space="preserve">et </w:t>
      </w:r>
      <w:r w:rsidRPr="001751B7">
        <w:rPr>
          <w:szCs w:val="22"/>
          <w:lang w:val="fr-FR"/>
        </w:rPr>
        <w:t>11</w:t>
      </w:r>
      <w:r>
        <w:rPr>
          <w:szCs w:val="22"/>
          <w:lang w:val="fr-FR"/>
        </w:rPr>
        <w:t>,</w:t>
      </w:r>
    </w:p>
    <w:p w14:paraId="16F23979" w14:textId="77777777" w:rsidR="00F7011E" w:rsidRPr="001751B7" w:rsidRDefault="00F7011E" w:rsidP="00F7011E">
      <w:pPr>
        <w:numPr>
          <w:ilvl w:val="0"/>
          <w:numId w:val="7"/>
        </w:numPr>
        <w:spacing w:before="60"/>
        <w:ind w:left="568" w:hanging="284"/>
        <w:jc w:val="left"/>
        <w:rPr>
          <w:szCs w:val="22"/>
          <w:lang w:val="fr-FR"/>
        </w:rPr>
      </w:pPr>
      <w:r>
        <w:rPr>
          <w:lang w:val="fr-FR"/>
        </w:rPr>
        <w:t xml:space="preserve">Les financements de </w:t>
      </w:r>
      <w:r w:rsidRPr="003B5132">
        <w:rPr>
          <w:lang w:val="fr-FR"/>
        </w:rPr>
        <w:t>toutes</w:t>
      </w:r>
      <w:r>
        <w:rPr>
          <w:lang w:val="fr-FR"/>
        </w:rPr>
        <w:t xml:space="preserve"> les</w:t>
      </w:r>
      <w:r w:rsidRPr="003B5132">
        <w:rPr>
          <w:lang w:val="fr-FR"/>
        </w:rPr>
        <w:t xml:space="preserve"> sources, </w:t>
      </w:r>
      <w:r>
        <w:rPr>
          <w:lang w:val="fr-FR"/>
        </w:rPr>
        <w:t xml:space="preserve">provenant </w:t>
      </w:r>
      <w:r w:rsidRPr="003B5132">
        <w:rPr>
          <w:lang w:val="fr-FR"/>
        </w:rPr>
        <w:t>d</w:t>
      </w:r>
      <w:r>
        <w:rPr>
          <w:lang w:val="fr-FR"/>
        </w:rPr>
        <w:t>’</w:t>
      </w:r>
      <w:r w:rsidRPr="003B5132">
        <w:rPr>
          <w:lang w:val="fr-FR"/>
        </w:rPr>
        <w:t>un large éventail d</w:t>
      </w:r>
      <w:r>
        <w:rPr>
          <w:lang w:val="fr-FR"/>
        </w:rPr>
        <w:t>’</w:t>
      </w:r>
      <w:r w:rsidRPr="003B5132">
        <w:rPr>
          <w:lang w:val="fr-FR"/>
        </w:rPr>
        <w:t>instruments et de mécanismes financiers</w:t>
      </w:r>
      <w:r>
        <w:rPr>
          <w:lang w:val="fr-FR"/>
        </w:rPr>
        <w:t>,</w:t>
      </w:r>
      <w:r w:rsidRPr="001751B7">
        <w:rPr>
          <w:lang w:val="fr-FR"/>
        </w:rPr>
        <w:t xml:space="preserve"> </w:t>
      </w:r>
    </w:p>
    <w:p w14:paraId="65939931" w14:textId="77777777" w:rsidR="00F7011E" w:rsidRPr="001751B7" w:rsidRDefault="00F7011E" w:rsidP="00F7011E">
      <w:pPr>
        <w:numPr>
          <w:ilvl w:val="0"/>
          <w:numId w:val="7"/>
        </w:numPr>
        <w:spacing w:before="60"/>
        <w:ind w:left="568" w:hanging="284"/>
        <w:jc w:val="left"/>
        <w:rPr>
          <w:szCs w:val="22"/>
          <w:lang w:val="fr-FR"/>
        </w:rPr>
      </w:pPr>
      <w:r>
        <w:rPr>
          <w:szCs w:val="22"/>
          <w:lang w:val="fr-FR"/>
        </w:rPr>
        <w:t>La</w:t>
      </w:r>
      <w:r w:rsidRPr="003B5132">
        <w:rPr>
          <w:szCs w:val="22"/>
          <w:lang w:val="fr-FR"/>
        </w:rPr>
        <w:t xml:space="preserve"> mobilisation immédiate des ressources, tout en préservant une vision à long terme des besoins en ressources financières</w:t>
      </w:r>
      <w:r>
        <w:rPr>
          <w:szCs w:val="22"/>
          <w:lang w:val="fr-FR"/>
        </w:rPr>
        <w:t>,</w:t>
      </w:r>
    </w:p>
    <w:p w14:paraId="6A68DC84" w14:textId="77777777" w:rsidR="00F7011E" w:rsidRPr="001751B7" w:rsidRDefault="00F7011E" w:rsidP="00F7011E">
      <w:pPr>
        <w:numPr>
          <w:ilvl w:val="0"/>
          <w:numId w:val="7"/>
        </w:numPr>
        <w:spacing w:before="60"/>
        <w:ind w:left="568" w:hanging="284"/>
        <w:jc w:val="left"/>
        <w:rPr>
          <w:szCs w:val="22"/>
          <w:lang w:val="fr-FR"/>
        </w:rPr>
      </w:pPr>
      <w:r>
        <w:rPr>
          <w:lang w:val="fr-FR"/>
        </w:rPr>
        <w:t>L’a</w:t>
      </w:r>
      <w:r w:rsidRPr="00825E90">
        <w:rPr>
          <w:lang w:val="fr-FR"/>
        </w:rPr>
        <w:t>ccès complet, juste et équitable</w:t>
      </w:r>
      <w:r>
        <w:rPr>
          <w:lang w:val="fr-FR"/>
        </w:rPr>
        <w:t xml:space="preserve"> de </w:t>
      </w:r>
      <w:r w:rsidRPr="00825E90">
        <w:rPr>
          <w:lang w:val="fr-FR"/>
        </w:rPr>
        <w:t xml:space="preserve">toutes les Parties à </w:t>
      </w:r>
      <w:r>
        <w:rPr>
          <w:lang w:val="fr-FR"/>
        </w:rPr>
        <w:t>l’ensemble d</w:t>
      </w:r>
      <w:r w:rsidRPr="00825E90">
        <w:rPr>
          <w:lang w:val="fr-FR"/>
        </w:rPr>
        <w:t>es sources de financement</w:t>
      </w:r>
      <w:r>
        <w:rPr>
          <w:lang w:val="fr-FR"/>
        </w:rPr>
        <w:t>.</w:t>
      </w:r>
      <w:r w:rsidRPr="00825E90">
        <w:rPr>
          <w:lang w:val="fr-FR"/>
        </w:rPr>
        <w:t xml:space="preserve"> </w:t>
      </w:r>
    </w:p>
    <w:p w14:paraId="53E0AD7C" w14:textId="77777777" w:rsidR="00F7011E" w:rsidRPr="001751B7" w:rsidRDefault="00F7011E" w:rsidP="00F7011E">
      <w:pPr>
        <w:suppressLineNumbers/>
        <w:tabs>
          <w:tab w:val="left" w:pos="284"/>
        </w:tabs>
        <w:suppressAutoHyphens/>
        <w:rPr>
          <w:b/>
          <w:snapToGrid w:val="0"/>
          <w:color w:val="000000"/>
          <w:kern w:val="22"/>
          <w:szCs w:val="22"/>
          <w:lang w:val="fr-FR" w:eastAsia="zh-CN"/>
        </w:rPr>
      </w:pPr>
    </w:p>
    <w:p w14:paraId="6D6C5FB6" w14:textId="77777777" w:rsidR="00F7011E" w:rsidRPr="001751B7" w:rsidRDefault="00F7011E" w:rsidP="00F7011E">
      <w:pPr>
        <w:suppressLineNumbers/>
        <w:tabs>
          <w:tab w:val="left" w:pos="284"/>
        </w:tabs>
        <w:suppressAutoHyphens/>
        <w:rPr>
          <w:b/>
          <w:snapToGrid w:val="0"/>
          <w:color w:val="000000"/>
          <w:kern w:val="22"/>
          <w:szCs w:val="22"/>
          <w:lang w:val="fr-FR" w:eastAsia="zh-CN"/>
        </w:rPr>
      </w:pPr>
      <w:r w:rsidRPr="001751B7">
        <w:rPr>
          <w:b/>
          <w:snapToGrid w:val="0"/>
          <w:color w:val="000000"/>
          <w:kern w:val="22"/>
          <w:szCs w:val="22"/>
          <w:lang w:val="fr-FR" w:eastAsia="zh-CN"/>
        </w:rPr>
        <w:t>A.</w:t>
      </w:r>
      <w:r w:rsidRPr="001751B7">
        <w:rPr>
          <w:b/>
          <w:snapToGrid w:val="0"/>
          <w:color w:val="000000"/>
          <w:kern w:val="22"/>
          <w:szCs w:val="22"/>
          <w:lang w:val="fr-FR" w:eastAsia="zh-CN"/>
        </w:rPr>
        <w:tab/>
      </w:r>
      <w:r>
        <w:rPr>
          <w:b/>
          <w:snapToGrid w:val="0"/>
          <w:color w:val="000000"/>
          <w:kern w:val="22"/>
          <w:szCs w:val="22"/>
          <w:lang w:val="fr-FR" w:eastAsia="zh-CN"/>
        </w:rPr>
        <w:t>Actions d’activation</w:t>
      </w:r>
    </w:p>
    <w:p w14:paraId="71A0B802" w14:textId="77777777" w:rsidR="00F7011E" w:rsidRDefault="00F7011E" w:rsidP="00F7011E">
      <w:pPr>
        <w:numPr>
          <w:ilvl w:val="0"/>
          <w:numId w:val="9"/>
        </w:numPr>
        <w:spacing w:before="120"/>
        <w:jc w:val="left"/>
        <w:rPr>
          <w:szCs w:val="22"/>
          <w:lang w:val="fr-FR"/>
        </w:rPr>
      </w:pPr>
      <w:r>
        <w:rPr>
          <w:szCs w:val="22"/>
          <w:lang w:val="fr-FR"/>
        </w:rPr>
        <w:t>Promouvoir la</w:t>
      </w:r>
      <w:r w:rsidRPr="000E6B0C">
        <w:rPr>
          <w:szCs w:val="22"/>
          <w:lang w:val="fr-FR"/>
        </w:rPr>
        <w:t xml:space="preserve"> mise à jour et</w:t>
      </w:r>
      <w:r>
        <w:rPr>
          <w:szCs w:val="22"/>
          <w:lang w:val="fr-FR"/>
        </w:rPr>
        <w:t xml:space="preserve"> </w:t>
      </w:r>
      <w:r w:rsidRPr="000E6B0C">
        <w:rPr>
          <w:szCs w:val="22"/>
          <w:lang w:val="fr-FR"/>
        </w:rPr>
        <w:t>la mise en œuvre des SPANB, notamment par le biais d</w:t>
      </w:r>
      <w:r>
        <w:rPr>
          <w:szCs w:val="22"/>
          <w:lang w:val="fr-FR"/>
        </w:rPr>
        <w:t>u partenariat pour</w:t>
      </w:r>
      <w:r w:rsidRPr="000E6B0C">
        <w:rPr>
          <w:szCs w:val="22"/>
          <w:lang w:val="fr-FR"/>
        </w:rPr>
        <w:t xml:space="preserve"> l</w:t>
      </w:r>
      <w:r>
        <w:rPr>
          <w:szCs w:val="22"/>
          <w:lang w:val="fr-FR"/>
        </w:rPr>
        <w:t>’</w:t>
      </w:r>
      <w:r w:rsidRPr="000E6B0C">
        <w:rPr>
          <w:szCs w:val="22"/>
          <w:lang w:val="fr-FR"/>
        </w:rPr>
        <w:t>accélérat</w:t>
      </w:r>
      <w:r>
        <w:rPr>
          <w:szCs w:val="22"/>
          <w:lang w:val="fr-FR"/>
        </w:rPr>
        <w:t xml:space="preserve">ion </w:t>
      </w:r>
      <w:r w:rsidRPr="000E6B0C">
        <w:rPr>
          <w:szCs w:val="22"/>
          <w:lang w:val="fr-FR"/>
        </w:rPr>
        <w:t>de</w:t>
      </w:r>
      <w:r>
        <w:rPr>
          <w:szCs w:val="22"/>
          <w:lang w:val="fr-FR"/>
        </w:rPr>
        <w:t>s</w:t>
      </w:r>
      <w:r w:rsidRPr="000E6B0C">
        <w:rPr>
          <w:szCs w:val="22"/>
          <w:lang w:val="fr-FR"/>
        </w:rPr>
        <w:t xml:space="preserve"> SPANB et d</w:t>
      </w:r>
      <w:r>
        <w:rPr>
          <w:szCs w:val="22"/>
          <w:lang w:val="fr-FR"/>
        </w:rPr>
        <w:t>’</w:t>
      </w:r>
      <w:r w:rsidRPr="000E6B0C">
        <w:rPr>
          <w:szCs w:val="22"/>
          <w:lang w:val="fr-FR"/>
        </w:rPr>
        <w:t>initiatives similaires</w:t>
      </w:r>
      <w:r>
        <w:rPr>
          <w:szCs w:val="22"/>
          <w:lang w:val="fr-FR"/>
        </w:rPr>
        <w:t>,</w:t>
      </w:r>
    </w:p>
    <w:p w14:paraId="3DC01E56" w14:textId="77777777" w:rsidR="00F7011E" w:rsidRPr="000E6B0C" w:rsidRDefault="00F7011E" w:rsidP="00F7011E">
      <w:pPr>
        <w:numPr>
          <w:ilvl w:val="0"/>
          <w:numId w:val="9"/>
        </w:numPr>
        <w:spacing w:before="120"/>
        <w:jc w:val="left"/>
        <w:rPr>
          <w:szCs w:val="22"/>
          <w:lang w:val="fr-FR"/>
        </w:rPr>
      </w:pPr>
      <w:r>
        <w:rPr>
          <w:szCs w:val="22"/>
          <w:lang w:val="fr-FR"/>
        </w:rPr>
        <w:t>Élaborer, mettre à jour et mettre en œuvre</w:t>
      </w:r>
      <w:r w:rsidRPr="005F7E8E">
        <w:rPr>
          <w:szCs w:val="22"/>
          <w:lang w:val="fr-FR"/>
        </w:rPr>
        <w:t xml:space="preserve"> </w:t>
      </w:r>
      <w:r>
        <w:rPr>
          <w:szCs w:val="22"/>
          <w:lang w:val="fr-FR"/>
        </w:rPr>
        <w:t>l</w:t>
      </w:r>
      <w:r w:rsidRPr="005F7E8E">
        <w:rPr>
          <w:szCs w:val="22"/>
          <w:lang w:val="fr-FR"/>
        </w:rPr>
        <w:t>es plans nationaux de financement de la biodiversité ou instruments similaires</w:t>
      </w:r>
      <w:r>
        <w:rPr>
          <w:szCs w:val="22"/>
          <w:lang w:val="fr-FR"/>
        </w:rPr>
        <w:t>,</w:t>
      </w:r>
    </w:p>
    <w:p w14:paraId="0E589B97" w14:textId="77777777" w:rsidR="00F7011E" w:rsidRPr="001751B7" w:rsidRDefault="00F7011E" w:rsidP="00F7011E">
      <w:pPr>
        <w:numPr>
          <w:ilvl w:val="0"/>
          <w:numId w:val="9"/>
        </w:numPr>
        <w:spacing w:before="120"/>
        <w:jc w:val="left"/>
        <w:rPr>
          <w:szCs w:val="22"/>
          <w:lang w:val="fr-FR"/>
        </w:rPr>
      </w:pPr>
      <w:r>
        <w:rPr>
          <w:szCs w:val="22"/>
          <w:lang w:val="fr-FR"/>
        </w:rPr>
        <w:t>Accroître le</w:t>
      </w:r>
      <w:r w:rsidRPr="005F7E8E">
        <w:rPr>
          <w:szCs w:val="22"/>
          <w:lang w:val="fr-FR"/>
        </w:rPr>
        <w:t xml:space="preserve"> soutien financier à </w:t>
      </w:r>
      <w:proofErr w:type="spellStart"/>
      <w:r w:rsidRPr="005F7E8E">
        <w:rPr>
          <w:szCs w:val="22"/>
          <w:lang w:val="fr-FR"/>
        </w:rPr>
        <w:t>BIOFIN</w:t>
      </w:r>
      <w:proofErr w:type="spellEnd"/>
      <w:r w:rsidRPr="005F7E8E">
        <w:rPr>
          <w:szCs w:val="22"/>
          <w:lang w:val="fr-FR"/>
        </w:rPr>
        <w:t xml:space="preserve"> et aux autres initiatives connexes afin de soutenir la mise en œuvre des plans nationaux de financement de la biodiversité</w:t>
      </w:r>
      <w:r>
        <w:rPr>
          <w:szCs w:val="22"/>
          <w:lang w:val="fr-FR"/>
        </w:rPr>
        <w:t>,</w:t>
      </w:r>
    </w:p>
    <w:p w14:paraId="7855BB3B" w14:textId="77777777" w:rsidR="00F7011E" w:rsidRPr="001751B7" w:rsidRDefault="00F7011E" w:rsidP="00F7011E">
      <w:pPr>
        <w:numPr>
          <w:ilvl w:val="0"/>
          <w:numId w:val="9"/>
        </w:numPr>
        <w:spacing w:before="120"/>
        <w:jc w:val="left"/>
        <w:rPr>
          <w:szCs w:val="22"/>
          <w:lang w:val="fr-FR"/>
        </w:rPr>
      </w:pPr>
      <w:r>
        <w:rPr>
          <w:szCs w:val="22"/>
          <w:lang w:val="fr-FR"/>
        </w:rPr>
        <w:t>Optimiser l</w:t>
      </w:r>
      <w:r w:rsidRPr="005F7E8E">
        <w:rPr>
          <w:szCs w:val="22"/>
          <w:lang w:val="fr-FR"/>
        </w:rPr>
        <w:t>es partenariats multi-acteurs</w:t>
      </w:r>
      <w:r>
        <w:rPr>
          <w:szCs w:val="22"/>
          <w:lang w:val="fr-FR"/>
        </w:rPr>
        <w:t>,</w:t>
      </w:r>
    </w:p>
    <w:p w14:paraId="0BFCBC4D" w14:textId="77777777" w:rsidR="00F7011E" w:rsidRPr="001751B7" w:rsidRDefault="00F7011E" w:rsidP="00F7011E">
      <w:pPr>
        <w:numPr>
          <w:ilvl w:val="0"/>
          <w:numId w:val="9"/>
        </w:numPr>
        <w:spacing w:before="120"/>
        <w:jc w:val="left"/>
        <w:rPr>
          <w:szCs w:val="22"/>
          <w:lang w:val="fr-FR"/>
        </w:rPr>
      </w:pPr>
      <w:r w:rsidRPr="005F7E8E">
        <w:rPr>
          <w:szCs w:val="22"/>
          <w:lang w:val="fr-FR"/>
        </w:rPr>
        <w:t>Développe</w:t>
      </w:r>
      <w:r>
        <w:rPr>
          <w:szCs w:val="22"/>
          <w:lang w:val="fr-FR"/>
        </w:rPr>
        <w:t>r</w:t>
      </w:r>
      <w:r w:rsidRPr="005F7E8E">
        <w:rPr>
          <w:szCs w:val="22"/>
          <w:lang w:val="fr-FR"/>
        </w:rPr>
        <w:t xml:space="preserve"> et renforce</w:t>
      </w:r>
      <w:r>
        <w:rPr>
          <w:szCs w:val="22"/>
          <w:lang w:val="fr-FR"/>
        </w:rPr>
        <w:t>r l</w:t>
      </w:r>
      <w:r w:rsidRPr="005F7E8E">
        <w:rPr>
          <w:szCs w:val="22"/>
          <w:lang w:val="fr-FR"/>
        </w:rPr>
        <w:t xml:space="preserve">es capacités, </w:t>
      </w:r>
      <w:r>
        <w:rPr>
          <w:szCs w:val="22"/>
          <w:lang w:val="fr-FR"/>
        </w:rPr>
        <w:t xml:space="preserve">la </w:t>
      </w:r>
      <w:r w:rsidRPr="005F7E8E">
        <w:rPr>
          <w:szCs w:val="22"/>
          <w:lang w:val="fr-FR"/>
        </w:rPr>
        <w:t xml:space="preserve">coopération scientifique et technologique et </w:t>
      </w:r>
      <w:r>
        <w:rPr>
          <w:szCs w:val="22"/>
          <w:lang w:val="fr-FR"/>
        </w:rPr>
        <w:t xml:space="preserve">le </w:t>
      </w:r>
      <w:r w:rsidRPr="005F7E8E">
        <w:rPr>
          <w:szCs w:val="22"/>
          <w:lang w:val="fr-FR"/>
        </w:rPr>
        <w:t>transfert de technologie</w:t>
      </w:r>
      <w:r>
        <w:rPr>
          <w:szCs w:val="22"/>
          <w:lang w:val="fr-FR"/>
        </w:rPr>
        <w:t>s</w:t>
      </w:r>
      <w:r w:rsidRPr="001751B7">
        <w:rPr>
          <w:szCs w:val="22"/>
          <w:lang w:val="fr-FR"/>
        </w:rPr>
        <w:t>.</w:t>
      </w:r>
    </w:p>
    <w:p w14:paraId="79D07ECE" w14:textId="77777777" w:rsidR="00F7011E" w:rsidRPr="001751B7" w:rsidRDefault="00F7011E" w:rsidP="00F7011E">
      <w:pPr>
        <w:tabs>
          <w:tab w:val="left" w:pos="284"/>
        </w:tabs>
        <w:rPr>
          <w:b/>
          <w:bCs/>
          <w:szCs w:val="22"/>
          <w:lang w:val="fr-FR"/>
        </w:rPr>
      </w:pPr>
    </w:p>
    <w:p w14:paraId="4E9DA4D0" w14:textId="77777777" w:rsidR="00F7011E" w:rsidRPr="001751B7" w:rsidRDefault="00F7011E" w:rsidP="00F7011E">
      <w:pPr>
        <w:tabs>
          <w:tab w:val="left" w:pos="284"/>
        </w:tabs>
        <w:rPr>
          <w:b/>
          <w:bCs/>
          <w:szCs w:val="22"/>
          <w:lang w:val="fr-FR"/>
        </w:rPr>
      </w:pPr>
      <w:r w:rsidRPr="001751B7">
        <w:rPr>
          <w:b/>
          <w:bCs/>
          <w:szCs w:val="22"/>
          <w:lang w:val="fr-FR"/>
        </w:rPr>
        <w:t>B.</w:t>
      </w:r>
      <w:r w:rsidRPr="001751B7">
        <w:rPr>
          <w:b/>
          <w:bCs/>
          <w:szCs w:val="22"/>
          <w:lang w:val="fr-FR"/>
        </w:rPr>
        <w:tab/>
      </w:r>
      <w:r w:rsidRPr="00CE0CAE">
        <w:rPr>
          <w:b/>
          <w:bCs/>
          <w:szCs w:val="22"/>
          <w:lang w:val="fr-FR"/>
        </w:rPr>
        <w:t>Augmenter les flux financiers internationaux liés à la biodiversité et les ressources financières de toutes les sources</w:t>
      </w:r>
    </w:p>
    <w:p w14:paraId="10C8A2B2" w14:textId="77777777" w:rsidR="00F7011E" w:rsidRPr="001751B7" w:rsidRDefault="00F7011E" w:rsidP="00F7011E">
      <w:pPr>
        <w:snapToGrid w:val="0"/>
        <w:spacing w:before="120"/>
        <w:rPr>
          <w:b/>
          <w:bCs/>
          <w:i/>
          <w:iCs/>
          <w:szCs w:val="22"/>
          <w:lang w:val="fr-FR"/>
        </w:rPr>
      </w:pPr>
      <w:r w:rsidRPr="001751B7">
        <w:rPr>
          <w:b/>
          <w:bCs/>
          <w:szCs w:val="22"/>
          <w:lang w:val="fr-FR"/>
        </w:rPr>
        <w:tab/>
      </w:r>
      <w:r w:rsidRPr="00CE0CAE">
        <w:rPr>
          <w:b/>
          <w:bCs/>
          <w:i/>
          <w:iCs/>
          <w:szCs w:val="22"/>
          <w:lang w:val="fr-FR"/>
        </w:rPr>
        <w:t xml:space="preserve">Ressources nouvelles et </w:t>
      </w:r>
      <w:r>
        <w:rPr>
          <w:b/>
          <w:bCs/>
          <w:i/>
          <w:iCs/>
          <w:szCs w:val="22"/>
          <w:lang w:val="fr-FR"/>
        </w:rPr>
        <w:t>additionnelles</w:t>
      </w:r>
    </w:p>
    <w:p w14:paraId="7C16460D" w14:textId="77777777" w:rsidR="00F7011E" w:rsidRPr="001751B7" w:rsidRDefault="00F7011E" w:rsidP="00F7011E">
      <w:pPr>
        <w:numPr>
          <w:ilvl w:val="0"/>
          <w:numId w:val="11"/>
        </w:numPr>
        <w:spacing w:before="120"/>
        <w:ind w:left="714" w:hanging="357"/>
        <w:jc w:val="left"/>
        <w:rPr>
          <w:szCs w:val="22"/>
          <w:lang w:val="fr-FR"/>
        </w:rPr>
      </w:pPr>
      <w:r w:rsidRPr="007D3077">
        <w:rPr>
          <w:szCs w:val="22"/>
          <w:lang w:val="fr-FR"/>
        </w:rPr>
        <w:t xml:space="preserve">Augmenter les flux internationaux de ressources financières </w:t>
      </w:r>
      <w:r>
        <w:rPr>
          <w:szCs w:val="22"/>
          <w:lang w:val="fr-FR"/>
        </w:rPr>
        <w:t xml:space="preserve">en lien avec </w:t>
      </w:r>
      <w:r w:rsidRPr="007D3077">
        <w:rPr>
          <w:szCs w:val="22"/>
          <w:lang w:val="fr-FR"/>
        </w:rPr>
        <w:t xml:space="preserve">la biodiversité </w:t>
      </w:r>
      <w:r>
        <w:rPr>
          <w:szCs w:val="22"/>
          <w:lang w:val="fr-FR"/>
        </w:rPr>
        <w:t>à destination des</w:t>
      </w:r>
      <w:r w:rsidRPr="007D3077">
        <w:rPr>
          <w:szCs w:val="22"/>
          <w:lang w:val="fr-FR"/>
        </w:rPr>
        <w:t xml:space="preserve"> pays en développement, en particulier les pays les moins avancés et les petits États insulaires en développement, ainsi que les pays à économie en transition</w:t>
      </w:r>
      <w:r>
        <w:rPr>
          <w:szCs w:val="22"/>
          <w:lang w:val="fr-FR"/>
        </w:rPr>
        <w:t> </w:t>
      </w:r>
      <w:r w:rsidRPr="001751B7">
        <w:rPr>
          <w:szCs w:val="22"/>
          <w:lang w:val="fr-FR"/>
        </w:rPr>
        <w:t>:</w:t>
      </w:r>
    </w:p>
    <w:p w14:paraId="7D8A542F" w14:textId="77777777" w:rsidR="00F7011E" w:rsidRPr="001751B7" w:rsidRDefault="00F7011E" w:rsidP="00F7011E">
      <w:pPr>
        <w:numPr>
          <w:ilvl w:val="1"/>
          <w:numId w:val="11"/>
        </w:numPr>
        <w:spacing w:before="120"/>
        <w:ind w:left="1134"/>
        <w:jc w:val="left"/>
        <w:rPr>
          <w:szCs w:val="22"/>
          <w:lang w:val="fr-FR"/>
        </w:rPr>
      </w:pPr>
      <w:r>
        <w:rPr>
          <w:szCs w:val="22"/>
          <w:lang w:val="fr-FR"/>
        </w:rPr>
        <w:t>Respect par les pays développés Parties de leurs obligations consistant à fournir des ressources financières adéquates, nouvelles et additionnelles ;</w:t>
      </w:r>
      <w:r w:rsidRPr="001751B7">
        <w:rPr>
          <w:szCs w:val="22"/>
          <w:lang w:val="fr-FR"/>
        </w:rPr>
        <w:t xml:space="preserve"> </w:t>
      </w:r>
    </w:p>
    <w:p w14:paraId="3ECC8BD5" w14:textId="77777777" w:rsidR="00F7011E" w:rsidRPr="001751B7" w:rsidRDefault="00F7011E" w:rsidP="00F7011E">
      <w:pPr>
        <w:numPr>
          <w:ilvl w:val="1"/>
          <w:numId w:val="11"/>
        </w:numPr>
        <w:spacing w:before="120"/>
        <w:ind w:left="1134"/>
        <w:jc w:val="left"/>
        <w:rPr>
          <w:szCs w:val="22"/>
          <w:lang w:val="fr-FR"/>
        </w:rPr>
      </w:pPr>
      <w:r>
        <w:rPr>
          <w:szCs w:val="22"/>
          <w:lang w:val="fr-FR"/>
        </w:rPr>
        <w:lastRenderedPageBreak/>
        <w:t>Examen par les autres Parties de la possibilité de s’engager volontairement à remplir les obligations des pays développés Parties ;</w:t>
      </w:r>
    </w:p>
    <w:p w14:paraId="481D2E7D" w14:textId="77777777" w:rsidR="00F7011E" w:rsidRPr="001751B7" w:rsidRDefault="00F7011E" w:rsidP="00F7011E">
      <w:pPr>
        <w:numPr>
          <w:ilvl w:val="1"/>
          <w:numId w:val="11"/>
        </w:numPr>
        <w:spacing w:before="120"/>
        <w:ind w:left="1134"/>
        <w:jc w:val="left"/>
        <w:rPr>
          <w:szCs w:val="22"/>
          <w:lang w:val="fr-FR"/>
        </w:rPr>
      </w:pPr>
      <w:r>
        <w:rPr>
          <w:szCs w:val="22"/>
          <w:lang w:val="fr-FR"/>
        </w:rPr>
        <w:t>Augmentation du</w:t>
      </w:r>
      <w:r w:rsidRPr="006645B4">
        <w:rPr>
          <w:szCs w:val="22"/>
          <w:lang w:val="fr-FR"/>
        </w:rPr>
        <w:t xml:space="preserve"> financement international de la biodiversité par les BMD, les institutions financières internationales et les organisations philanthropiques, en partenariat avec le FEM, le cas échéant.</w:t>
      </w:r>
    </w:p>
    <w:p w14:paraId="228D4F86" w14:textId="77777777" w:rsidR="00F7011E" w:rsidRPr="001751B7" w:rsidRDefault="00F7011E" w:rsidP="00F7011E">
      <w:pPr>
        <w:numPr>
          <w:ilvl w:val="0"/>
          <w:numId w:val="11"/>
        </w:numPr>
        <w:spacing w:before="120"/>
        <w:jc w:val="left"/>
        <w:rPr>
          <w:szCs w:val="22"/>
          <w:lang w:val="fr-FR"/>
        </w:rPr>
      </w:pPr>
      <w:r w:rsidRPr="00701D5A">
        <w:rPr>
          <w:szCs w:val="22"/>
          <w:lang w:val="fr-FR"/>
        </w:rPr>
        <w:t xml:space="preserve">Créer un Fonds mondial pour la biodiversité </w:t>
      </w:r>
      <w:r>
        <w:rPr>
          <w:szCs w:val="22"/>
          <w:lang w:val="fr-FR"/>
        </w:rPr>
        <w:t xml:space="preserve">qui soit </w:t>
      </w:r>
      <w:r w:rsidRPr="00701D5A">
        <w:rPr>
          <w:szCs w:val="22"/>
          <w:lang w:val="fr-FR"/>
        </w:rPr>
        <w:t xml:space="preserve">ouvert aux contributions de toutes </w:t>
      </w:r>
      <w:r>
        <w:rPr>
          <w:szCs w:val="22"/>
          <w:lang w:val="fr-FR"/>
        </w:rPr>
        <w:t>les sources</w:t>
      </w:r>
      <w:r w:rsidRPr="00701D5A">
        <w:rPr>
          <w:szCs w:val="22"/>
          <w:lang w:val="fr-FR"/>
        </w:rPr>
        <w:t>.</w:t>
      </w:r>
    </w:p>
    <w:p w14:paraId="2230808D" w14:textId="77777777" w:rsidR="00F7011E" w:rsidRPr="001751B7" w:rsidRDefault="00F7011E" w:rsidP="00F7011E">
      <w:pPr>
        <w:numPr>
          <w:ilvl w:val="0"/>
          <w:numId w:val="11"/>
        </w:numPr>
        <w:spacing w:before="120"/>
        <w:jc w:val="left"/>
        <w:rPr>
          <w:szCs w:val="22"/>
          <w:lang w:val="fr-FR"/>
        </w:rPr>
      </w:pPr>
      <w:r>
        <w:rPr>
          <w:szCs w:val="22"/>
          <w:lang w:val="fr-FR"/>
        </w:rPr>
        <w:t>Mobiliser des ressources internationales additionnelles, y compris :</w:t>
      </w:r>
    </w:p>
    <w:p w14:paraId="39C075E4" w14:textId="77777777" w:rsidR="00F7011E" w:rsidRPr="001751B7" w:rsidRDefault="00F7011E" w:rsidP="00F7011E">
      <w:pPr>
        <w:spacing w:before="120"/>
        <w:ind w:left="720"/>
        <w:jc w:val="left"/>
        <w:rPr>
          <w:szCs w:val="22"/>
          <w:lang w:val="fr-FR"/>
        </w:rPr>
      </w:pPr>
      <w:r w:rsidRPr="001751B7">
        <w:rPr>
          <w:szCs w:val="22"/>
          <w:lang w:val="fr-FR"/>
        </w:rPr>
        <w:t xml:space="preserve">a) </w:t>
      </w:r>
      <w:r w:rsidRPr="001751B7">
        <w:rPr>
          <w:szCs w:val="22"/>
          <w:lang w:val="fr-FR"/>
        </w:rPr>
        <w:tab/>
      </w:r>
      <w:r>
        <w:rPr>
          <w:szCs w:val="22"/>
          <w:lang w:val="fr-FR"/>
        </w:rPr>
        <w:t>En augmentant le nombre de solutions financières novatrices telles que les émissions obligataires vertes et les paiements pour services écosystémiques, en élaborant des lignes directrices et en partageant les bonnes pratiques ;</w:t>
      </w:r>
    </w:p>
    <w:p w14:paraId="27778F69" w14:textId="77777777" w:rsidR="00F7011E" w:rsidRPr="001751B7" w:rsidRDefault="00F7011E" w:rsidP="00F7011E">
      <w:pPr>
        <w:spacing w:before="120"/>
        <w:ind w:left="720"/>
        <w:jc w:val="left"/>
        <w:rPr>
          <w:szCs w:val="22"/>
          <w:lang w:val="fr-FR"/>
        </w:rPr>
      </w:pPr>
      <w:r w:rsidRPr="001751B7">
        <w:rPr>
          <w:szCs w:val="22"/>
          <w:lang w:val="fr-FR"/>
        </w:rPr>
        <w:t xml:space="preserve">b) </w:t>
      </w:r>
      <w:r w:rsidRPr="001751B7">
        <w:rPr>
          <w:szCs w:val="22"/>
          <w:lang w:val="fr-FR"/>
        </w:rPr>
        <w:tab/>
      </w:r>
      <w:r>
        <w:rPr>
          <w:szCs w:val="22"/>
          <w:lang w:val="fr-FR"/>
        </w:rPr>
        <w:t>Auprès des organisations philanthropiques et des entreprises, et en tirant parti de la finance privée ;</w:t>
      </w:r>
    </w:p>
    <w:p w14:paraId="30C571FB" w14:textId="77777777" w:rsidR="00F7011E" w:rsidRPr="001751B7" w:rsidRDefault="00F7011E" w:rsidP="00F7011E">
      <w:pPr>
        <w:spacing w:before="120"/>
        <w:ind w:left="720"/>
        <w:jc w:val="left"/>
        <w:rPr>
          <w:szCs w:val="22"/>
          <w:lang w:val="fr-FR"/>
        </w:rPr>
      </w:pPr>
      <w:r>
        <w:rPr>
          <w:szCs w:val="22"/>
          <w:lang w:val="fr-FR"/>
        </w:rPr>
        <w:t>c</w:t>
      </w:r>
      <w:r w:rsidRPr="001751B7">
        <w:rPr>
          <w:szCs w:val="22"/>
          <w:lang w:val="fr-FR"/>
        </w:rPr>
        <w:t xml:space="preserve">) </w:t>
      </w:r>
      <w:r w:rsidRPr="001751B7">
        <w:rPr>
          <w:szCs w:val="22"/>
          <w:lang w:val="fr-FR"/>
        </w:rPr>
        <w:tab/>
      </w:r>
      <w:r>
        <w:rPr>
          <w:szCs w:val="22"/>
          <w:lang w:val="fr-FR"/>
        </w:rPr>
        <w:t>P</w:t>
      </w:r>
      <w:r w:rsidRPr="0073703E">
        <w:rPr>
          <w:szCs w:val="22"/>
          <w:lang w:val="fr-FR"/>
        </w:rPr>
        <w:t xml:space="preserve">ar le biais </w:t>
      </w:r>
      <w:r>
        <w:rPr>
          <w:szCs w:val="22"/>
          <w:lang w:val="fr-FR"/>
        </w:rPr>
        <w:t>du</w:t>
      </w:r>
      <w:r w:rsidRPr="0073703E">
        <w:rPr>
          <w:szCs w:val="22"/>
          <w:lang w:val="fr-FR"/>
        </w:rPr>
        <w:t xml:space="preserve"> mécanisme multilatéral mondial de partage des avantages </w:t>
      </w:r>
      <w:r>
        <w:rPr>
          <w:szCs w:val="22"/>
          <w:lang w:val="fr-FR"/>
        </w:rPr>
        <w:t>découlant de l’utilisation des informations de séquençage numériques</w:t>
      </w:r>
      <w:r w:rsidRPr="001751B7">
        <w:rPr>
          <w:szCs w:val="22"/>
          <w:vertAlign w:val="superscript"/>
          <w:lang w:val="fr-FR"/>
        </w:rPr>
        <w:footnoteReference w:id="2"/>
      </w:r>
      <w:r>
        <w:rPr>
          <w:szCs w:val="22"/>
          <w:lang w:val="fr-FR"/>
        </w:rPr>
        <w:t>.</w:t>
      </w:r>
    </w:p>
    <w:p w14:paraId="21B284ED" w14:textId="77777777" w:rsidR="00F7011E" w:rsidRPr="001751B7" w:rsidRDefault="00F7011E" w:rsidP="00F7011E">
      <w:pPr>
        <w:numPr>
          <w:ilvl w:val="0"/>
          <w:numId w:val="11"/>
        </w:numPr>
        <w:spacing w:before="120"/>
        <w:jc w:val="left"/>
        <w:rPr>
          <w:szCs w:val="22"/>
          <w:lang w:val="fr-FR"/>
        </w:rPr>
      </w:pPr>
      <w:r w:rsidRPr="00BD2A16">
        <w:rPr>
          <w:szCs w:val="22"/>
          <w:lang w:val="fr-FR"/>
        </w:rPr>
        <w:t>Améliorer les termes et la mise en œuvre des accords relatifs à l</w:t>
      </w:r>
      <w:r>
        <w:rPr>
          <w:szCs w:val="22"/>
          <w:lang w:val="fr-FR"/>
        </w:rPr>
        <w:t>’</w:t>
      </w:r>
      <w:r w:rsidRPr="00BD2A16">
        <w:rPr>
          <w:szCs w:val="22"/>
          <w:lang w:val="fr-FR"/>
        </w:rPr>
        <w:t xml:space="preserve">accès aux ressources génétiques et au partage juste et équitable des avantages découlant de leur utilisation, notamment par </w:t>
      </w:r>
      <w:r>
        <w:rPr>
          <w:szCs w:val="22"/>
          <w:lang w:val="fr-FR"/>
        </w:rPr>
        <w:t>le biais d’</w:t>
      </w:r>
      <w:r w:rsidRPr="00BD2A16">
        <w:rPr>
          <w:szCs w:val="22"/>
          <w:lang w:val="fr-FR"/>
        </w:rPr>
        <w:t>approches multilatérales.</w:t>
      </w:r>
    </w:p>
    <w:p w14:paraId="58A22A4C" w14:textId="77777777" w:rsidR="00F7011E" w:rsidRPr="001751B7" w:rsidRDefault="00F7011E" w:rsidP="00F7011E">
      <w:pPr>
        <w:numPr>
          <w:ilvl w:val="0"/>
          <w:numId w:val="11"/>
        </w:numPr>
        <w:spacing w:before="120"/>
        <w:jc w:val="left"/>
        <w:rPr>
          <w:szCs w:val="22"/>
          <w:lang w:val="fr-FR"/>
        </w:rPr>
      </w:pPr>
      <w:r>
        <w:rPr>
          <w:szCs w:val="22"/>
          <w:lang w:val="fr-FR"/>
        </w:rPr>
        <w:t>A</w:t>
      </w:r>
      <w:r w:rsidRPr="00572381">
        <w:rPr>
          <w:szCs w:val="22"/>
          <w:lang w:val="fr-FR"/>
        </w:rPr>
        <w:t>méliorer l</w:t>
      </w:r>
      <w:r>
        <w:rPr>
          <w:szCs w:val="22"/>
          <w:lang w:val="fr-FR"/>
        </w:rPr>
        <w:t>’</w:t>
      </w:r>
      <w:r w:rsidRPr="00572381">
        <w:rPr>
          <w:szCs w:val="22"/>
          <w:lang w:val="fr-FR"/>
        </w:rPr>
        <w:t xml:space="preserve">accès au marché des produits et services </w:t>
      </w:r>
      <w:r>
        <w:rPr>
          <w:szCs w:val="22"/>
          <w:lang w:val="fr-FR"/>
        </w:rPr>
        <w:t xml:space="preserve">centrés sur </w:t>
      </w:r>
      <w:r w:rsidRPr="00572381">
        <w:rPr>
          <w:szCs w:val="22"/>
          <w:lang w:val="fr-FR"/>
        </w:rPr>
        <w:t>la biodiversité</w:t>
      </w:r>
      <w:r w:rsidRPr="001751B7">
        <w:rPr>
          <w:szCs w:val="22"/>
          <w:lang w:val="fr-FR"/>
        </w:rPr>
        <w:t>.</w:t>
      </w:r>
    </w:p>
    <w:p w14:paraId="603D9A45" w14:textId="77777777" w:rsidR="00F7011E" w:rsidRPr="001751B7" w:rsidDel="001B4EB8" w:rsidRDefault="00F7011E" w:rsidP="00F7011E">
      <w:pPr>
        <w:ind w:left="720"/>
        <w:jc w:val="left"/>
        <w:rPr>
          <w:szCs w:val="22"/>
          <w:lang w:val="fr-FR"/>
        </w:rPr>
      </w:pPr>
    </w:p>
    <w:p w14:paraId="36544227" w14:textId="77777777" w:rsidR="00F7011E" w:rsidRPr="001751B7" w:rsidRDefault="00F7011E" w:rsidP="008120B2">
      <w:pPr>
        <w:keepNext/>
        <w:keepLines/>
        <w:snapToGrid w:val="0"/>
        <w:ind w:left="720"/>
        <w:jc w:val="left"/>
        <w:rPr>
          <w:b/>
          <w:bCs/>
          <w:i/>
          <w:iCs/>
          <w:szCs w:val="22"/>
          <w:lang w:val="fr-FR"/>
        </w:rPr>
      </w:pPr>
      <w:r w:rsidRPr="006115FC">
        <w:rPr>
          <w:b/>
          <w:bCs/>
          <w:i/>
          <w:iCs/>
          <w:szCs w:val="22"/>
          <w:lang w:val="fr-FR"/>
        </w:rPr>
        <w:t xml:space="preserve">Identifier et éliminer, supprimer progressivement, ou </w:t>
      </w:r>
      <w:r>
        <w:rPr>
          <w:b/>
          <w:bCs/>
          <w:i/>
          <w:iCs/>
          <w:szCs w:val="22"/>
          <w:lang w:val="fr-FR"/>
        </w:rPr>
        <w:t>réformer</w:t>
      </w:r>
      <w:r w:rsidRPr="006115FC">
        <w:rPr>
          <w:b/>
          <w:bCs/>
          <w:i/>
          <w:iCs/>
          <w:szCs w:val="22"/>
          <w:lang w:val="fr-FR"/>
        </w:rPr>
        <w:t xml:space="preserve"> les flux de ressources financières causant des dommages</w:t>
      </w:r>
    </w:p>
    <w:p w14:paraId="597A9A06" w14:textId="77777777" w:rsidR="00F7011E" w:rsidRPr="001751B7" w:rsidRDefault="00F7011E" w:rsidP="00F7011E">
      <w:pPr>
        <w:numPr>
          <w:ilvl w:val="0"/>
          <w:numId w:val="11"/>
        </w:numPr>
        <w:spacing w:before="120"/>
        <w:rPr>
          <w:szCs w:val="22"/>
          <w:lang w:val="fr-FR"/>
        </w:rPr>
      </w:pPr>
      <w:r w:rsidRPr="00FD6C12">
        <w:rPr>
          <w:szCs w:val="22"/>
          <w:lang w:val="fr-FR"/>
        </w:rPr>
        <w:t>Intégrer la biodiversité dans la coopération au développement</w:t>
      </w:r>
      <w:r>
        <w:rPr>
          <w:szCs w:val="22"/>
          <w:lang w:val="fr-FR"/>
        </w:rPr>
        <w:t> </w:t>
      </w:r>
      <w:r w:rsidRPr="001751B7">
        <w:rPr>
          <w:szCs w:val="22"/>
          <w:lang w:val="fr-FR"/>
        </w:rPr>
        <w:t xml:space="preserve">: </w:t>
      </w:r>
    </w:p>
    <w:p w14:paraId="4F73B970" w14:textId="77777777" w:rsidR="00F7011E" w:rsidRPr="001751B7" w:rsidRDefault="00F7011E" w:rsidP="00F7011E">
      <w:pPr>
        <w:numPr>
          <w:ilvl w:val="2"/>
          <w:numId w:val="31"/>
        </w:numPr>
        <w:spacing w:before="120"/>
        <w:ind w:left="709" w:firstLine="0"/>
        <w:rPr>
          <w:szCs w:val="22"/>
          <w:lang w:val="fr-FR"/>
        </w:rPr>
      </w:pPr>
      <w:r w:rsidRPr="003743EE">
        <w:rPr>
          <w:szCs w:val="22"/>
          <w:lang w:val="fr-FR"/>
        </w:rPr>
        <w:t xml:space="preserve">redéfinir les priorités des agences et </w:t>
      </w:r>
      <w:r>
        <w:rPr>
          <w:szCs w:val="22"/>
          <w:lang w:val="fr-FR"/>
        </w:rPr>
        <w:t xml:space="preserve">des </w:t>
      </w:r>
      <w:r w:rsidRPr="003743EE">
        <w:rPr>
          <w:szCs w:val="22"/>
          <w:lang w:val="fr-FR"/>
        </w:rPr>
        <w:t>banques de coopération au développement, des BMD, des institutions financières internationales et des organisations caritatives</w:t>
      </w:r>
      <w:r>
        <w:rPr>
          <w:szCs w:val="22"/>
          <w:lang w:val="fr-FR"/>
        </w:rPr>
        <w:t xml:space="preserve"> en termes de</w:t>
      </w:r>
      <w:r w:rsidRPr="003743EE">
        <w:rPr>
          <w:szCs w:val="22"/>
          <w:lang w:val="fr-FR"/>
        </w:rPr>
        <w:t xml:space="preserve"> portefeuilles et de pratiques, en vue d</w:t>
      </w:r>
      <w:r>
        <w:rPr>
          <w:szCs w:val="22"/>
          <w:lang w:val="fr-FR"/>
        </w:rPr>
        <w:t>’</w:t>
      </w:r>
      <w:r w:rsidRPr="003743EE">
        <w:rPr>
          <w:szCs w:val="22"/>
          <w:lang w:val="fr-FR"/>
        </w:rPr>
        <w:t xml:space="preserve">aligner </w:t>
      </w:r>
      <w:r>
        <w:rPr>
          <w:szCs w:val="22"/>
          <w:lang w:val="fr-FR"/>
        </w:rPr>
        <w:t>leurs</w:t>
      </w:r>
      <w:r w:rsidRPr="003743EE">
        <w:rPr>
          <w:szCs w:val="22"/>
          <w:lang w:val="fr-FR"/>
        </w:rPr>
        <w:t xml:space="preserve"> flux financiers sur les objectifs de la Convention</w:t>
      </w:r>
      <w:r w:rsidRPr="001751B7">
        <w:rPr>
          <w:szCs w:val="22"/>
          <w:lang w:val="fr-FR"/>
        </w:rPr>
        <w:t xml:space="preserve">. </w:t>
      </w:r>
    </w:p>
    <w:p w14:paraId="259DCEB0" w14:textId="77777777" w:rsidR="00F7011E" w:rsidRPr="001751B7" w:rsidRDefault="00F7011E" w:rsidP="00F7011E">
      <w:pPr>
        <w:numPr>
          <w:ilvl w:val="2"/>
          <w:numId w:val="31"/>
        </w:numPr>
        <w:spacing w:before="120"/>
        <w:ind w:left="709" w:firstLine="0"/>
        <w:rPr>
          <w:szCs w:val="22"/>
          <w:lang w:val="fr-FR"/>
        </w:rPr>
      </w:pPr>
      <w:r w:rsidRPr="00042080">
        <w:rPr>
          <w:szCs w:val="22"/>
          <w:lang w:val="fr-FR"/>
        </w:rPr>
        <w:t>exploiter et mettre à l</w:t>
      </w:r>
      <w:r>
        <w:rPr>
          <w:szCs w:val="22"/>
          <w:lang w:val="fr-FR"/>
        </w:rPr>
        <w:t>’</w:t>
      </w:r>
      <w:r w:rsidRPr="00042080">
        <w:rPr>
          <w:szCs w:val="22"/>
          <w:lang w:val="fr-FR"/>
        </w:rPr>
        <w:t>échelle les synergies dans le développement et le financement des projets en vue de générer et d</w:t>
      </w:r>
      <w:r>
        <w:rPr>
          <w:szCs w:val="22"/>
          <w:lang w:val="fr-FR"/>
        </w:rPr>
        <w:t>’</w:t>
      </w:r>
      <w:r w:rsidRPr="00042080">
        <w:rPr>
          <w:szCs w:val="22"/>
          <w:lang w:val="fr-FR"/>
        </w:rPr>
        <w:t xml:space="preserve">accroître les </w:t>
      </w:r>
      <w:proofErr w:type="spellStart"/>
      <w:r w:rsidRPr="00042080">
        <w:rPr>
          <w:szCs w:val="22"/>
          <w:lang w:val="fr-FR"/>
        </w:rPr>
        <w:t>co</w:t>
      </w:r>
      <w:proofErr w:type="spellEnd"/>
      <w:r w:rsidRPr="00042080">
        <w:rPr>
          <w:szCs w:val="22"/>
          <w:lang w:val="fr-FR"/>
        </w:rPr>
        <w:t>-bénéfices de la biodiversité</w:t>
      </w:r>
      <w:r w:rsidRPr="001751B7">
        <w:rPr>
          <w:szCs w:val="22"/>
          <w:lang w:val="fr-FR"/>
        </w:rPr>
        <w:t>.</w:t>
      </w:r>
    </w:p>
    <w:p w14:paraId="320EF6FA" w14:textId="77777777" w:rsidR="00F7011E" w:rsidRPr="001751B7" w:rsidRDefault="00F7011E" w:rsidP="00F7011E">
      <w:pPr>
        <w:numPr>
          <w:ilvl w:val="0"/>
          <w:numId w:val="11"/>
        </w:numPr>
        <w:spacing w:before="120"/>
        <w:jc w:val="left"/>
        <w:rPr>
          <w:szCs w:val="22"/>
          <w:lang w:val="fr-FR"/>
        </w:rPr>
      </w:pPr>
      <w:r w:rsidRPr="005E3679">
        <w:rPr>
          <w:szCs w:val="22"/>
          <w:lang w:val="fr-FR"/>
        </w:rPr>
        <w:t>Renforcer l</w:t>
      </w:r>
      <w:r>
        <w:rPr>
          <w:szCs w:val="22"/>
          <w:lang w:val="fr-FR"/>
        </w:rPr>
        <w:t>’</w:t>
      </w:r>
      <w:r w:rsidRPr="005E3679">
        <w:rPr>
          <w:szCs w:val="22"/>
          <w:lang w:val="fr-FR"/>
        </w:rPr>
        <w:t>évaluation des risques et les exigences de transparence en matière de remise de rapports pour les acteurs internationaux de la finance privée et d</w:t>
      </w:r>
      <w:r>
        <w:rPr>
          <w:szCs w:val="22"/>
          <w:lang w:val="fr-FR"/>
        </w:rPr>
        <w:t>u monde des</w:t>
      </w:r>
      <w:r w:rsidRPr="005E3679">
        <w:rPr>
          <w:szCs w:val="22"/>
          <w:lang w:val="fr-FR"/>
        </w:rPr>
        <w:t xml:space="preserve"> affaires.</w:t>
      </w:r>
    </w:p>
    <w:p w14:paraId="0325A1C7" w14:textId="77777777" w:rsidR="00F7011E" w:rsidRPr="001751B7" w:rsidRDefault="00F7011E" w:rsidP="00F7011E">
      <w:pPr>
        <w:numPr>
          <w:ilvl w:val="0"/>
          <w:numId w:val="11"/>
        </w:numPr>
        <w:spacing w:before="120"/>
        <w:jc w:val="left"/>
        <w:rPr>
          <w:szCs w:val="22"/>
          <w:lang w:val="fr-FR"/>
        </w:rPr>
      </w:pPr>
      <w:r w:rsidRPr="001420AE">
        <w:rPr>
          <w:szCs w:val="22"/>
          <w:lang w:val="fr-FR"/>
        </w:rPr>
        <w:t>Faire rapport sur les mesures prises et les efforts déployés pour identifier et éliminer, supprimer progressivement ou réformer les incitations néfastes</w:t>
      </w:r>
      <w:r w:rsidRPr="001751B7">
        <w:rPr>
          <w:szCs w:val="22"/>
          <w:lang w:val="fr-FR"/>
        </w:rPr>
        <w:t>.</w:t>
      </w:r>
      <w:r w:rsidRPr="001751B7">
        <w:rPr>
          <w:sz w:val="16"/>
          <w:lang w:val="fr-FR"/>
        </w:rPr>
        <w:t xml:space="preserve"> </w:t>
      </w:r>
    </w:p>
    <w:p w14:paraId="55BBF14F" w14:textId="77777777" w:rsidR="00F7011E" w:rsidRPr="001751B7" w:rsidRDefault="00F7011E" w:rsidP="00F7011E">
      <w:pPr>
        <w:keepNext/>
        <w:ind w:firstLine="720"/>
        <w:jc w:val="left"/>
        <w:rPr>
          <w:b/>
          <w:bCs/>
          <w:i/>
          <w:iCs/>
          <w:szCs w:val="22"/>
          <w:lang w:val="fr-FR"/>
        </w:rPr>
      </w:pPr>
    </w:p>
    <w:p w14:paraId="26254F60" w14:textId="77777777" w:rsidR="00F7011E" w:rsidRPr="001751B7" w:rsidRDefault="00F7011E" w:rsidP="00F7011E">
      <w:pPr>
        <w:keepNext/>
        <w:ind w:firstLine="720"/>
        <w:jc w:val="left"/>
        <w:rPr>
          <w:b/>
          <w:bCs/>
          <w:i/>
          <w:iCs/>
          <w:szCs w:val="22"/>
          <w:lang w:val="fr-FR"/>
        </w:rPr>
      </w:pPr>
      <w:r>
        <w:rPr>
          <w:b/>
          <w:bCs/>
          <w:i/>
          <w:iCs/>
          <w:szCs w:val="22"/>
          <w:lang w:val="fr-FR"/>
        </w:rPr>
        <w:t>Améliorer l’efficacité de l’utilisation des ressources</w:t>
      </w:r>
    </w:p>
    <w:p w14:paraId="0062E108" w14:textId="77777777" w:rsidR="00F7011E" w:rsidRPr="001751B7" w:rsidRDefault="00F7011E" w:rsidP="00F7011E">
      <w:pPr>
        <w:numPr>
          <w:ilvl w:val="0"/>
          <w:numId w:val="11"/>
        </w:numPr>
        <w:spacing w:before="120"/>
        <w:jc w:val="left"/>
        <w:rPr>
          <w:szCs w:val="22"/>
          <w:lang w:val="fr-FR"/>
        </w:rPr>
      </w:pPr>
      <w:r w:rsidRPr="001B3F66">
        <w:rPr>
          <w:szCs w:val="22"/>
          <w:lang w:val="fr-FR"/>
        </w:rPr>
        <w:t>Améliorer les opérations du FEM et les modalités d</w:t>
      </w:r>
      <w:r>
        <w:rPr>
          <w:szCs w:val="22"/>
          <w:lang w:val="fr-FR"/>
        </w:rPr>
        <w:t>’</w:t>
      </w:r>
      <w:r w:rsidRPr="001B3F66">
        <w:rPr>
          <w:szCs w:val="22"/>
          <w:lang w:val="fr-FR"/>
        </w:rPr>
        <w:t>accès</w:t>
      </w:r>
      <w:r>
        <w:rPr>
          <w:szCs w:val="22"/>
          <w:lang w:val="fr-FR"/>
        </w:rPr>
        <w:t xml:space="preserve"> à ce dernier</w:t>
      </w:r>
      <w:r w:rsidRPr="001B3F66">
        <w:rPr>
          <w:szCs w:val="22"/>
          <w:lang w:val="fr-FR"/>
        </w:rPr>
        <w:t>, notamment en développant des systèmes accélérés</w:t>
      </w:r>
      <w:r>
        <w:rPr>
          <w:szCs w:val="22"/>
          <w:lang w:val="fr-FR"/>
        </w:rPr>
        <w:t> </w:t>
      </w:r>
      <w:r w:rsidRPr="001B3F66">
        <w:rPr>
          <w:szCs w:val="22"/>
          <w:lang w:val="fr-FR"/>
        </w:rPr>
        <w:t>; en permettant au fonds d</w:t>
      </w:r>
      <w:r>
        <w:rPr>
          <w:szCs w:val="22"/>
          <w:lang w:val="fr-FR"/>
        </w:rPr>
        <w:t>’</w:t>
      </w:r>
      <w:r w:rsidRPr="001B3F66">
        <w:rPr>
          <w:szCs w:val="22"/>
          <w:lang w:val="fr-FR"/>
        </w:rPr>
        <w:t>affectation spéciale du FEM d</w:t>
      </w:r>
      <w:r>
        <w:rPr>
          <w:szCs w:val="22"/>
          <w:lang w:val="fr-FR"/>
        </w:rPr>
        <w:t>’</w:t>
      </w:r>
      <w:r w:rsidRPr="001B3F66">
        <w:rPr>
          <w:szCs w:val="22"/>
          <w:lang w:val="fr-FR"/>
        </w:rPr>
        <w:t>être ouvert aux contributions de toutes les sources, y compris celles issues du secteur privé et de la philanthropie ; et en mettant en place des arrangements institutionnels pour le fonds d</w:t>
      </w:r>
      <w:r>
        <w:rPr>
          <w:szCs w:val="22"/>
          <w:lang w:val="fr-FR"/>
        </w:rPr>
        <w:t>’</w:t>
      </w:r>
      <w:r w:rsidRPr="001B3F66">
        <w:rPr>
          <w:szCs w:val="22"/>
          <w:lang w:val="fr-FR"/>
        </w:rPr>
        <w:t>affectation spéciale en partenariat avec les BMD et les institutions financières internationales</w:t>
      </w:r>
      <w:r w:rsidRPr="001751B7">
        <w:rPr>
          <w:szCs w:val="22"/>
          <w:lang w:val="fr-FR"/>
        </w:rPr>
        <w:t>.</w:t>
      </w:r>
    </w:p>
    <w:p w14:paraId="6C5FAA7F" w14:textId="77777777" w:rsidR="00F7011E" w:rsidRPr="001751B7" w:rsidRDefault="00F7011E" w:rsidP="00F7011E">
      <w:pPr>
        <w:numPr>
          <w:ilvl w:val="0"/>
          <w:numId w:val="11"/>
        </w:numPr>
        <w:spacing w:before="120"/>
        <w:jc w:val="left"/>
        <w:rPr>
          <w:szCs w:val="22"/>
          <w:lang w:val="fr-FR"/>
        </w:rPr>
      </w:pPr>
      <w:r w:rsidRPr="00961B3E">
        <w:rPr>
          <w:szCs w:val="22"/>
          <w:lang w:val="fr-FR"/>
        </w:rPr>
        <w:t>Simplifier les modalités d</w:t>
      </w:r>
      <w:r>
        <w:rPr>
          <w:szCs w:val="22"/>
          <w:lang w:val="fr-FR"/>
        </w:rPr>
        <w:t>’</w:t>
      </w:r>
      <w:r w:rsidRPr="00961B3E">
        <w:rPr>
          <w:szCs w:val="22"/>
          <w:lang w:val="fr-FR"/>
        </w:rPr>
        <w:t>accès des BMD, des institutions financières internationales et des organisations caritatives au</w:t>
      </w:r>
      <w:r>
        <w:rPr>
          <w:szCs w:val="22"/>
          <w:lang w:val="fr-FR"/>
        </w:rPr>
        <w:t>x</w:t>
      </w:r>
      <w:r w:rsidRPr="00961B3E">
        <w:rPr>
          <w:szCs w:val="22"/>
          <w:lang w:val="fr-FR"/>
        </w:rPr>
        <w:t xml:space="preserve"> financement</w:t>
      </w:r>
      <w:r>
        <w:rPr>
          <w:szCs w:val="22"/>
          <w:lang w:val="fr-FR"/>
        </w:rPr>
        <w:t>s</w:t>
      </w:r>
      <w:r w:rsidRPr="00961B3E">
        <w:rPr>
          <w:szCs w:val="22"/>
          <w:lang w:val="fr-FR"/>
        </w:rPr>
        <w:t xml:space="preserve"> en faveur de la biodiversité.</w:t>
      </w:r>
    </w:p>
    <w:p w14:paraId="2D1CCBFE" w14:textId="77777777" w:rsidR="00F7011E" w:rsidRPr="001751B7" w:rsidRDefault="00F7011E" w:rsidP="00F7011E">
      <w:pPr>
        <w:numPr>
          <w:ilvl w:val="0"/>
          <w:numId w:val="11"/>
        </w:numPr>
        <w:spacing w:before="120"/>
        <w:jc w:val="left"/>
        <w:rPr>
          <w:szCs w:val="22"/>
          <w:lang w:val="fr-FR"/>
        </w:rPr>
      </w:pPr>
      <w:r w:rsidRPr="00E954D7">
        <w:rPr>
          <w:szCs w:val="22"/>
          <w:lang w:val="fr-FR"/>
        </w:rPr>
        <w:t>Accroître la transparence et la responsabilité, le suivi et la remise des rapports des financements publics et privés liés à la biodiversité à tous les niveaux.</w:t>
      </w:r>
    </w:p>
    <w:p w14:paraId="44CA88E5" w14:textId="77777777" w:rsidR="00F7011E" w:rsidRPr="001751B7" w:rsidRDefault="00F7011E" w:rsidP="00F7011E">
      <w:pPr>
        <w:numPr>
          <w:ilvl w:val="0"/>
          <w:numId w:val="11"/>
        </w:numPr>
        <w:spacing w:before="120"/>
        <w:jc w:val="left"/>
        <w:rPr>
          <w:szCs w:val="22"/>
          <w:lang w:val="fr-FR"/>
        </w:rPr>
      </w:pPr>
      <w:r w:rsidRPr="00E954D7">
        <w:rPr>
          <w:szCs w:val="22"/>
          <w:lang w:val="fr-FR"/>
        </w:rPr>
        <w:lastRenderedPageBreak/>
        <w:t>Allouer davantage de ressources aux principaux partenaires de mise en œuvre aux niveaux régional, national et local et faciliter les partenariats en vue de garantir l</w:t>
      </w:r>
      <w:r>
        <w:rPr>
          <w:szCs w:val="22"/>
          <w:lang w:val="fr-FR"/>
        </w:rPr>
        <w:t>’</w:t>
      </w:r>
      <w:r w:rsidRPr="00E954D7">
        <w:rPr>
          <w:szCs w:val="22"/>
          <w:lang w:val="fr-FR"/>
        </w:rPr>
        <w:t>engagement des communautés et les résultats sur le terrain</w:t>
      </w:r>
      <w:r>
        <w:rPr>
          <w:szCs w:val="22"/>
          <w:lang w:val="fr-FR"/>
        </w:rPr>
        <w:t>.</w:t>
      </w:r>
    </w:p>
    <w:p w14:paraId="28F286D2" w14:textId="77777777" w:rsidR="00F7011E" w:rsidRPr="001751B7" w:rsidRDefault="00F7011E" w:rsidP="00F7011E">
      <w:pPr>
        <w:numPr>
          <w:ilvl w:val="0"/>
          <w:numId w:val="11"/>
        </w:numPr>
        <w:spacing w:before="120"/>
        <w:jc w:val="left"/>
        <w:rPr>
          <w:szCs w:val="22"/>
          <w:lang w:val="fr-FR"/>
        </w:rPr>
      </w:pPr>
      <w:r w:rsidRPr="00E954D7">
        <w:rPr>
          <w:szCs w:val="22"/>
          <w:lang w:val="fr-FR"/>
        </w:rPr>
        <w:t>Renforcer l</w:t>
      </w:r>
      <w:r>
        <w:rPr>
          <w:szCs w:val="22"/>
          <w:lang w:val="fr-FR"/>
        </w:rPr>
        <w:t>e sentiment d’appartenance et</w:t>
      </w:r>
      <w:r w:rsidRPr="00E954D7">
        <w:rPr>
          <w:szCs w:val="22"/>
          <w:lang w:val="fr-FR"/>
        </w:rPr>
        <w:t xml:space="preserve"> la capacité d</w:t>
      </w:r>
      <w:r>
        <w:rPr>
          <w:szCs w:val="22"/>
          <w:lang w:val="fr-FR"/>
        </w:rPr>
        <w:t>’</w:t>
      </w:r>
      <w:r w:rsidRPr="00E954D7">
        <w:rPr>
          <w:szCs w:val="22"/>
          <w:lang w:val="fr-FR"/>
        </w:rPr>
        <w:t>accès au financement</w:t>
      </w:r>
      <w:r w:rsidRPr="001751B7">
        <w:rPr>
          <w:szCs w:val="22"/>
          <w:lang w:val="fr-FR"/>
        </w:rPr>
        <w:t>.</w:t>
      </w:r>
    </w:p>
    <w:p w14:paraId="7B2AE0A8" w14:textId="77777777" w:rsidR="00F7011E" w:rsidRPr="001751B7" w:rsidRDefault="00F7011E" w:rsidP="00F7011E">
      <w:pPr>
        <w:numPr>
          <w:ilvl w:val="0"/>
          <w:numId w:val="11"/>
        </w:numPr>
        <w:spacing w:before="120"/>
        <w:jc w:val="left"/>
        <w:rPr>
          <w:szCs w:val="22"/>
          <w:lang w:val="fr-FR"/>
        </w:rPr>
      </w:pPr>
      <w:r w:rsidRPr="006213C6">
        <w:rPr>
          <w:szCs w:val="22"/>
          <w:lang w:val="fr-FR"/>
        </w:rPr>
        <w:t xml:space="preserve">Établir des synergies et tirer parti des </w:t>
      </w:r>
      <w:r>
        <w:rPr>
          <w:szCs w:val="22"/>
          <w:lang w:val="fr-FR"/>
        </w:rPr>
        <w:t>retombées positives</w:t>
      </w:r>
      <w:r w:rsidRPr="006213C6">
        <w:rPr>
          <w:szCs w:val="22"/>
          <w:lang w:val="fr-FR"/>
        </w:rPr>
        <w:t xml:space="preserve"> de la biodiversité</w:t>
      </w:r>
      <w:r w:rsidRPr="001751B7">
        <w:rPr>
          <w:szCs w:val="22"/>
          <w:lang w:val="fr-FR"/>
        </w:rPr>
        <w:t>.</w:t>
      </w:r>
    </w:p>
    <w:p w14:paraId="36F979FA" w14:textId="77777777" w:rsidR="00F7011E" w:rsidRPr="001751B7" w:rsidRDefault="00F7011E" w:rsidP="00F7011E">
      <w:pPr>
        <w:rPr>
          <w:b/>
          <w:bCs/>
          <w:szCs w:val="22"/>
          <w:lang w:val="fr-FR"/>
        </w:rPr>
      </w:pPr>
    </w:p>
    <w:p w14:paraId="1BC949DC" w14:textId="77777777" w:rsidR="00F7011E" w:rsidRPr="001751B7" w:rsidRDefault="00F7011E" w:rsidP="005910F3">
      <w:pPr>
        <w:keepNext/>
        <w:ind w:left="720" w:hanging="720"/>
        <w:rPr>
          <w:b/>
          <w:bCs/>
          <w:szCs w:val="22"/>
          <w:lang w:val="fr-FR"/>
        </w:rPr>
      </w:pPr>
      <w:r w:rsidRPr="001751B7">
        <w:rPr>
          <w:b/>
          <w:bCs/>
          <w:szCs w:val="22"/>
          <w:lang w:val="fr-FR"/>
        </w:rPr>
        <w:t>C.</w:t>
      </w:r>
      <w:r w:rsidRPr="001751B7">
        <w:rPr>
          <w:b/>
          <w:bCs/>
          <w:szCs w:val="22"/>
          <w:lang w:val="fr-FR"/>
        </w:rPr>
        <w:tab/>
      </w:r>
      <w:r w:rsidRPr="002666D7">
        <w:rPr>
          <w:b/>
          <w:bCs/>
          <w:szCs w:val="22"/>
          <w:lang w:val="fr-FR"/>
        </w:rPr>
        <w:t>Augmenter de manière significative la mobilisation des ressources de toutes les sources</w:t>
      </w:r>
      <w:r>
        <w:rPr>
          <w:b/>
          <w:bCs/>
          <w:szCs w:val="22"/>
          <w:lang w:val="fr-FR"/>
        </w:rPr>
        <w:t xml:space="preserve"> à l’échelle nationale</w:t>
      </w:r>
    </w:p>
    <w:p w14:paraId="14232ED4" w14:textId="77777777" w:rsidR="00F7011E" w:rsidRPr="001751B7" w:rsidRDefault="00F7011E" w:rsidP="00F7011E">
      <w:pPr>
        <w:spacing w:before="120"/>
        <w:ind w:left="720"/>
        <w:jc w:val="left"/>
        <w:rPr>
          <w:b/>
          <w:bCs/>
          <w:i/>
          <w:iCs/>
          <w:szCs w:val="22"/>
          <w:lang w:val="fr-FR"/>
        </w:rPr>
      </w:pPr>
      <w:r w:rsidRPr="004D59D4">
        <w:rPr>
          <w:b/>
          <w:bCs/>
          <w:i/>
          <w:iCs/>
          <w:szCs w:val="22"/>
          <w:lang w:val="fr-FR"/>
        </w:rPr>
        <w:t>Ressources nouvelles et additionnelles</w:t>
      </w:r>
    </w:p>
    <w:p w14:paraId="24C82D72" w14:textId="77777777" w:rsidR="00F7011E" w:rsidRPr="001751B7" w:rsidRDefault="00F7011E" w:rsidP="00F7011E">
      <w:pPr>
        <w:numPr>
          <w:ilvl w:val="0"/>
          <w:numId w:val="12"/>
        </w:numPr>
        <w:spacing w:before="120"/>
        <w:jc w:val="left"/>
        <w:rPr>
          <w:szCs w:val="22"/>
          <w:lang w:val="fr-FR"/>
        </w:rPr>
      </w:pPr>
      <w:r w:rsidRPr="009A6987">
        <w:rPr>
          <w:szCs w:val="22"/>
          <w:lang w:val="fr-FR"/>
        </w:rPr>
        <w:t>Augmenter de manière significative les dépenses publiques nationales liées à la biodiversité</w:t>
      </w:r>
      <w:r w:rsidRPr="001751B7">
        <w:rPr>
          <w:szCs w:val="22"/>
          <w:lang w:val="fr-FR"/>
        </w:rPr>
        <w:t>.</w:t>
      </w:r>
    </w:p>
    <w:p w14:paraId="2E842B42" w14:textId="77777777" w:rsidR="00F7011E" w:rsidRPr="001751B7" w:rsidRDefault="00F7011E" w:rsidP="00F7011E">
      <w:pPr>
        <w:numPr>
          <w:ilvl w:val="0"/>
          <w:numId w:val="12"/>
        </w:numPr>
        <w:spacing w:before="120"/>
        <w:jc w:val="left"/>
        <w:rPr>
          <w:szCs w:val="22"/>
          <w:lang w:val="fr-FR"/>
        </w:rPr>
      </w:pPr>
      <w:r w:rsidRPr="009A6987">
        <w:rPr>
          <w:szCs w:val="22"/>
          <w:lang w:val="fr-FR"/>
        </w:rPr>
        <w:t>Utiliser, le cas échéant, le financement international afin d</w:t>
      </w:r>
      <w:r>
        <w:rPr>
          <w:szCs w:val="22"/>
          <w:lang w:val="fr-FR"/>
        </w:rPr>
        <w:t>’</w:t>
      </w:r>
      <w:r w:rsidRPr="009A6987">
        <w:rPr>
          <w:szCs w:val="22"/>
          <w:lang w:val="fr-FR"/>
        </w:rPr>
        <w:t>exercer un effet de levier sur le financement national public et privé de la biodiversité</w:t>
      </w:r>
      <w:r w:rsidRPr="001751B7">
        <w:rPr>
          <w:szCs w:val="22"/>
          <w:lang w:val="fr-FR"/>
        </w:rPr>
        <w:t>.</w:t>
      </w:r>
    </w:p>
    <w:p w14:paraId="1F7C4956" w14:textId="77777777" w:rsidR="00F7011E" w:rsidRPr="001751B7" w:rsidRDefault="00F7011E" w:rsidP="00F7011E">
      <w:pPr>
        <w:numPr>
          <w:ilvl w:val="0"/>
          <w:numId w:val="12"/>
        </w:numPr>
        <w:spacing w:before="120"/>
        <w:jc w:val="left"/>
        <w:rPr>
          <w:szCs w:val="22"/>
          <w:lang w:val="fr-FR"/>
        </w:rPr>
      </w:pPr>
      <w:r>
        <w:rPr>
          <w:szCs w:val="22"/>
          <w:lang w:val="fr-FR"/>
        </w:rPr>
        <w:t>C</w:t>
      </w:r>
      <w:r w:rsidRPr="009A6987">
        <w:rPr>
          <w:szCs w:val="22"/>
          <w:lang w:val="fr-FR"/>
        </w:rPr>
        <w:t>oncevoir et mettre en œuvre ou étendre des mesures d</w:t>
      </w:r>
      <w:r>
        <w:rPr>
          <w:szCs w:val="22"/>
          <w:lang w:val="fr-FR"/>
        </w:rPr>
        <w:t>’</w:t>
      </w:r>
      <w:r w:rsidRPr="009A6987">
        <w:rPr>
          <w:szCs w:val="22"/>
          <w:lang w:val="fr-FR"/>
        </w:rPr>
        <w:t>incitation</w:t>
      </w:r>
      <w:r>
        <w:rPr>
          <w:szCs w:val="22"/>
          <w:lang w:val="fr-FR"/>
        </w:rPr>
        <w:t>,</w:t>
      </w:r>
      <w:r w:rsidRPr="009A6987">
        <w:rPr>
          <w:szCs w:val="22"/>
          <w:lang w:val="fr-FR"/>
        </w:rPr>
        <w:t xml:space="preserve"> conformément aux autres obligations internationales pertinentes</w:t>
      </w:r>
      <w:r w:rsidRPr="001751B7">
        <w:rPr>
          <w:szCs w:val="22"/>
          <w:lang w:val="fr-FR"/>
        </w:rPr>
        <w:t>.</w:t>
      </w:r>
    </w:p>
    <w:p w14:paraId="7E163138" w14:textId="77777777" w:rsidR="00F7011E" w:rsidRPr="001751B7" w:rsidRDefault="00F7011E" w:rsidP="00F7011E">
      <w:pPr>
        <w:numPr>
          <w:ilvl w:val="0"/>
          <w:numId w:val="12"/>
        </w:numPr>
        <w:spacing w:before="120"/>
        <w:jc w:val="left"/>
        <w:rPr>
          <w:szCs w:val="22"/>
          <w:lang w:val="fr-FR"/>
        </w:rPr>
      </w:pPr>
      <w:r w:rsidRPr="009A6987">
        <w:rPr>
          <w:szCs w:val="22"/>
          <w:lang w:val="fr-FR"/>
        </w:rPr>
        <w:t>Accroître de manière significative les dépenses privées nationales liées à la biodiversité, tant directes qu</w:t>
      </w:r>
      <w:r>
        <w:rPr>
          <w:szCs w:val="22"/>
          <w:lang w:val="fr-FR"/>
        </w:rPr>
        <w:t>’</w:t>
      </w:r>
      <w:r w:rsidRPr="009A6987">
        <w:rPr>
          <w:szCs w:val="22"/>
          <w:lang w:val="fr-FR"/>
        </w:rPr>
        <w:t>indirectes.</w:t>
      </w:r>
    </w:p>
    <w:p w14:paraId="346B2E66" w14:textId="77777777" w:rsidR="00F7011E" w:rsidRPr="001751B7" w:rsidRDefault="00F7011E" w:rsidP="00F7011E">
      <w:pPr>
        <w:numPr>
          <w:ilvl w:val="0"/>
          <w:numId w:val="12"/>
        </w:numPr>
        <w:spacing w:before="120"/>
        <w:jc w:val="left"/>
        <w:rPr>
          <w:szCs w:val="22"/>
          <w:lang w:val="fr-FR"/>
        </w:rPr>
      </w:pPr>
      <w:r>
        <w:rPr>
          <w:szCs w:val="22"/>
          <w:lang w:val="fr-FR"/>
        </w:rPr>
        <w:t>É</w:t>
      </w:r>
      <w:r w:rsidRPr="002375B3">
        <w:rPr>
          <w:szCs w:val="22"/>
          <w:lang w:val="fr-FR"/>
        </w:rPr>
        <w:t xml:space="preserve">laborer et </w:t>
      </w:r>
      <w:r>
        <w:rPr>
          <w:szCs w:val="22"/>
          <w:lang w:val="fr-FR"/>
        </w:rPr>
        <w:t xml:space="preserve">mettre en œuvre </w:t>
      </w:r>
      <w:r w:rsidRPr="002375B3">
        <w:rPr>
          <w:szCs w:val="22"/>
          <w:lang w:val="fr-FR"/>
        </w:rPr>
        <w:t xml:space="preserve">des solutions de financement de la biodiversité ou des instruments similaires pour le financement de la biodiversité, notamment en recourant à des outils financiers </w:t>
      </w:r>
      <w:r>
        <w:rPr>
          <w:szCs w:val="22"/>
          <w:lang w:val="fr-FR"/>
        </w:rPr>
        <w:t>novateurs</w:t>
      </w:r>
      <w:r w:rsidRPr="002375B3">
        <w:rPr>
          <w:szCs w:val="22"/>
          <w:lang w:val="fr-FR"/>
        </w:rPr>
        <w:t xml:space="preserve"> tels que les financements mixtes ou les obligations vertes/bleues, et/ou en en élargissant l</w:t>
      </w:r>
      <w:r>
        <w:rPr>
          <w:szCs w:val="22"/>
          <w:lang w:val="fr-FR"/>
        </w:rPr>
        <w:t>’</w:t>
      </w:r>
      <w:r w:rsidRPr="002375B3">
        <w:rPr>
          <w:szCs w:val="22"/>
          <w:lang w:val="fr-FR"/>
        </w:rPr>
        <w:t>utilisation.</w:t>
      </w:r>
    </w:p>
    <w:p w14:paraId="0EDFDF0B" w14:textId="77777777" w:rsidR="00F7011E" w:rsidRPr="001751B7" w:rsidRDefault="00F7011E" w:rsidP="00F7011E">
      <w:pPr>
        <w:numPr>
          <w:ilvl w:val="0"/>
          <w:numId w:val="12"/>
        </w:numPr>
        <w:spacing w:before="120"/>
        <w:jc w:val="left"/>
        <w:rPr>
          <w:szCs w:val="22"/>
          <w:lang w:val="fr-FR"/>
        </w:rPr>
      </w:pPr>
      <w:r>
        <w:rPr>
          <w:szCs w:val="22"/>
          <w:lang w:val="fr-FR"/>
        </w:rPr>
        <w:t>Améliorer le rôle joué par les actions collectives, y compris celles menées par les peuples autochtones et les communautés locales, les actions</w:t>
      </w:r>
      <w:r w:rsidRPr="00F72973">
        <w:rPr>
          <w:szCs w:val="22"/>
          <w:lang w:val="fr-FR"/>
        </w:rPr>
        <w:t xml:space="preserve"> </w:t>
      </w:r>
      <w:r>
        <w:rPr>
          <w:szCs w:val="22"/>
          <w:lang w:val="fr-FR"/>
        </w:rPr>
        <w:t>centrées sur la Terre nourricière et les approches non basées sur le marché.</w:t>
      </w:r>
    </w:p>
    <w:p w14:paraId="3D7C5042" w14:textId="77777777" w:rsidR="00F7011E" w:rsidRPr="001751B7" w:rsidRDefault="00F7011E" w:rsidP="00F7011E">
      <w:pPr>
        <w:jc w:val="left"/>
        <w:rPr>
          <w:szCs w:val="22"/>
          <w:lang w:val="fr-FR"/>
        </w:rPr>
      </w:pPr>
    </w:p>
    <w:p w14:paraId="651FD4B5" w14:textId="77777777" w:rsidR="00F7011E" w:rsidRPr="001751B7" w:rsidRDefault="00F7011E" w:rsidP="005910F3">
      <w:pPr>
        <w:ind w:left="720"/>
        <w:jc w:val="left"/>
        <w:rPr>
          <w:b/>
          <w:bCs/>
          <w:i/>
          <w:iCs/>
          <w:szCs w:val="22"/>
          <w:lang w:val="fr-FR"/>
        </w:rPr>
      </w:pPr>
      <w:r w:rsidRPr="004C5DE5">
        <w:rPr>
          <w:b/>
          <w:bCs/>
          <w:i/>
          <w:iCs/>
          <w:szCs w:val="22"/>
          <w:lang w:val="fr-FR"/>
        </w:rPr>
        <w:t>Identifier et éliminer, supprimer progressivement ou réformer les flux de ressources financières causant des dommages</w:t>
      </w:r>
    </w:p>
    <w:p w14:paraId="113010B4" w14:textId="77777777" w:rsidR="00F7011E" w:rsidRPr="001751B7" w:rsidRDefault="00F7011E" w:rsidP="00F7011E">
      <w:pPr>
        <w:numPr>
          <w:ilvl w:val="0"/>
          <w:numId w:val="12"/>
        </w:numPr>
        <w:spacing w:before="120"/>
        <w:jc w:val="left"/>
        <w:rPr>
          <w:szCs w:val="22"/>
          <w:lang w:val="fr-FR"/>
        </w:rPr>
      </w:pPr>
      <w:r w:rsidRPr="00637A40">
        <w:rPr>
          <w:szCs w:val="22"/>
          <w:lang w:val="fr-FR"/>
        </w:rPr>
        <w:t>Intégrer la biodiversité dans les budgets publics</w:t>
      </w:r>
      <w:r w:rsidRPr="00F7011E">
        <w:rPr>
          <w:lang w:val="fr-CA"/>
        </w:rPr>
        <w:t> </w:t>
      </w:r>
      <w:r w:rsidRPr="00637A40">
        <w:rPr>
          <w:szCs w:val="22"/>
          <w:lang w:val="fr-FR"/>
        </w:rPr>
        <w:t xml:space="preserve">: aligner progressivement tous les flux fiscaux et financiers publics sur objectifs </w:t>
      </w:r>
      <w:r>
        <w:rPr>
          <w:szCs w:val="22"/>
          <w:lang w:val="fr-FR"/>
        </w:rPr>
        <w:t xml:space="preserve">et les cibles </w:t>
      </w:r>
      <w:r w:rsidRPr="00637A40">
        <w:rPr>
          <w:szCs w:val="22"/>
          <w:lang w:val="fr-FR"/>
        </w:rPr>
        <w:t>du cadre mondial pour la biodiversité, dans la mesure du possible et selon les besoins.</w:t>
      </w:r>
    </w:p>
    <w:p w14:paraId="7BFD80E9" w14:textId="77777777" w:rsidR="00F7011E" w:rsidRPr="001751B7" w:rsidRDefault="00F7011E" w:rsidP="00F7011E">
      <w:pPr>
        <w:numPr>
          <w:ilvl w:val="0"/>
          <w:numId w:val="12"/>
        </w:numPr>
        <w:spacing w:before="120"/>
        <w:jc w:val="left"/>
        <w:rPr>
          <w:szCs w:val="22"/>
          <w:lang w:val="fr-FR"/>
        </w:rPr>
      </w:pPr>
      <w:r w:rsidRPr="00637A40">
        <w:rPr>
          <w:szCs w:val="22"/>
          <w:lang w:val="fr-FR"/>
        </w:rPr>
        <w:t>Intégration du secteur privé</w:t>
      </w:r>
      <w:r>
        <w:rPr>
          <w:szCs w:val="22"/>
          <w:lang w:val="fr-FR"/>
        </w:rPr>
        <w:t> </w:t>
      </w:r>
      <w:r w:rsidRPr="00637A40">
        <w:rPr>
          <w:szCs w:val="22"/>
          <w:lang w:val="fr-FR"/>
        </w:rPr>
        <w:t>: assurer ou encourager, selon le cas, l</w:t>
      </w:r>
      <w:r>
        <w:rPr>
          <w:szCs w:val="22"/>
          <w:lang w:val="fr-FR"/>
        </w:rPr>
        <w:t>’</w:t>
      </w:r>
      <w:r w:rsidRPr="00637A40">
        <w:rPr>
          <w:szCs w:val="22"/>
          <w:lang w:val="fr-FR"/>
        </w:rPr>
        <w:t>alignement des flux fiscaux, privés et financiers pertinents sur les objectifs de la Convention.</w:t>
      </w:r>
    </w:p>
    <w:p w14:paraId="47475B56" w14:textId="77777777" w:rsidR="00F7011E" w:rsidRPr="001751B7" w:rsidRDefault="00F7011E" w:rsidP="00F7011E">
      <w:pPr>
        <w:numPr>
          <w:ilvl w:val="0"/>
          <w:numId w:val="12"/>
        </w:numPr>
        <w:spacing w:before="120"/>
        <w:jc w:val="left"/>
        <w:rPr>
          <w:szCs w:val="22"/>
          <w:lang w:val="fr-FR"/>
        </w:rPr>
      </w:pPr>
      <w:r w:rsidRPr="00637A40">
        <w:rPr>
          <w:szCs w:val="22"/>
          <w:lang w:val="fr-FR"/>
        </w:rPr>
        <w:t xml:space="preserve">Intégrer la biodiversité </w:t>
      </w:r>
      <w:r>
        <w:rPr>
          <w:szCs w:val="22"/>
          <w:lang w:val="fr-FR"/>
        </w:rPr>
        <w:t>au sein du</w:t>
      </w:r>
      <w:r w:rsidRPr="00637A40">
        <w:rPr>
          <w:szCs w:val="22"/>
          <w:lang w:val="fr-FR"/>
        </w:rPr>
        <w:t xml:space="preserve"> secteur financier</w:t>
      </w:r>
      <w:r>
        <w:rPr>
          <w:szCs w:val="22"/>
          <w:lang w:val="fr-FR"/>
        </w:rPr>
        <w:t>.</w:t>
      </w:r>
    </w:p>
    <w:p w14:paraId="1787D347" w14:textId="77777777" w:rsidR="00F7011E" w:rsidRPr="001751B7" w:rsidRDefault="00F7011E" w:rsidP="00F7011E">
      <w:pPr>
        <w:numPr>
          <w:ilvl w:val="0"/>
          <w:numId w:val="12"/>
        </w:numPr>
        <w:spacing w:before="120"/>
        <w:jc w:val="left"/>
        <w:rPr>
          <w:szCs w:val="22"/>
          <w:lang w:val="fr-FR"/>
        </w:rPr>
      </w:pPr>
      <w:r w:rsidRPr="00E30FD9">
        <w:rPr>
          <w:szCs w:val="22"/>
          <w:lang w:val="fr-FR"/>
        </w:rPr>
        <w:t>Identifier et éliminer, supprimer progressivement ou réformer les incitations, y compris les subventions, qui sont néfastes pour la biodiversité, conformément aux autres obligations internationales pertinentes.</w:t>
      </w:r>
    </w:p>
    <w:p w14:paraId="50C106E2" w14:textId="77777777" w:rsidR="00F7011E" w:rsidRPr="001751B7" w:rsidRDefault="00F7011E" w:rsidP="00F7011E">
      <w:pPr>
        <w:numPr>
          <w:ilvl w:val="0"/>
          <w:numId w:val="12"/>
        </w:numPr>
        <w:spacing w:before="120"/>
        <w:jc w:val="left"/>
        <w:rPr>
          <w:szCs w:val="22"/>
          <w:lang w:val="fr-FR"/>
        </w:rPr>
      </w:pPr>
      <w:r w:rsidRPr="00C702AD">
        <w:rPr>
          <w:szCs w:val="22"/>
          <w:lang w:val="fr-FR"/>
        </w:rPr>
        <w:t>Encourager le suivi, l</w:t>
      </w:r>
      <w:r>
        <w:rPr>
          <w:szCs w:val="22"/>
          <w:lang w:val="fr-FR"/>
        </w:rPr>
        <w:t>’</w:t>
      </w:r>
      <w:r w:rsidRPr="00C702AD">
        <w:rPr>
          <w:szCs w:val="22"/>
          <w:lang w:val="fr-FR"/>
        </w:rPr>
        <w:t>évaluation et la divulgation transparente par les institutions financières des risques, des dépendances et des impacts sur la biodiversité des portefeuilles et des opérations financières</w:t>
      </w:r>
      <w:r>
        <w:rPr>
          <w:szCs w:val="22"/>
          <w:lang w:val="fr-FR"/>
        </w:rPr>
        <w:t> </w:t>
      </w:r>
      <w:r w:rsidRPr="00C702AD">
        <w:rPr>
          <w:szCs w:val="22"/>
          <w:lang w:val="fr-FR"/>
        </w:rPr>
        <w:t xml:space="preserve">; réduire ou éliminer les </w:t>
      </w:r>
      <w:r>
        <w:rPr>
          <w:szCs w:val="22"/>
          <w:lang w:val="fr-FR"/>
        </w:rPr>
        <w:t>incidences</w:t>
      </w:r>
      <w:r w:rsidRPr="00C702AD">
        <w:rPr>
          <w:szCs w:val="22"/>
          <w:lang w:val="fr-FR"/>
        </w:rPr>
        <w:t xml:space="preserve"> négati</w:t>
      </w:r>
      <w:r>
        <w:rPr>
          <w:szCs w:val="22"/>
          <w:lang w:val="fr-FR"/>
        </w:rPr>
        <w:t xml:space="preserve">ves </w:t>
      </w:r>
      <w:r w:rsidRPr="00C702AD">
        <w:rPr>
          <w:szCs w:val="22"/>
          <w:lang w:val="fr-FR"/>
        </w:rPr>
        <w:t xml:space="preserve">des investissements sur les écosystèmes et </w:t>
      </w:r>
      <w:r>
        <w:rPr>
          <w:szCs w:val="22"/>
          <w:lang w:val="fr-FR"/>
        </w:rPr>
        <w:t xml:space="preserve">sur </w:t>
      </w:r>
      <w:r w:rsidRPr="00C702AD">
        <w:rPr>
          <w:szCs w:val="22"/>
          <w:lang w:val="fr-FR"/>
        </w:rPr>
        <w:t>la biodiversité.</w:t>
      </w:r>
    </w:p>
    <w:p w14:paraId="1831FFDE" w14:textId="77777777" w:rsidR="00F7011E" w:rsidRPr="001751B7" w:rsidRDefault="00F7011E" w:rsidP="00F7011E">
      <w:pPr>
        <w:snapToGrid w:val="0"/>
        <w:spacing w:before="120"/>
        <w:ind w:firstLine="720"/>
        <w:jc w:val="left"/>
        <w:rPr>
          <w:b/>
          <w:bCs/>
          <w:i/>
          <w:iCs/>
          <w:szCs w:val="22"/>
          <w:lang w:val="fr-FR"/>
        </w:rPr>
      </w:pPr>
      <w:r w:rsidRPr="009A5A04">
        <w:rPr>
          <w:b/>
          <w:bCs/>
          <w:i/>
          <w:iCs/>
          <w:szCs w:val="22"/>
          <w:lang w:val="fr-FR"/>
        </w:rPr>
        <w:t>Améliorer l</w:t>
      </w:r>
      <w:r>
        <w:rPr>
          <w:b/>
          <w:bCs/>
          <w:i/>
          <w:iCs/>
          <w:szCs w:val="22"/>
          <w:lang w:val="fr-FR"/>
        </w:rPr>
        <w:t>’</w:t>
      </w:r>
      <w:r w:rsidRPr="009A5A04">
        <w:rPr>
          <w:b/>
          <w:bCs/>
          <w:i/>
          <w:iCs/>
          <w:szCs w:val="22"/>
          <w:lang w:val="fr-FR"/>
        </w:rPr>
        <w:t>efficacité et l</w:t>
      </w:r>
      <w:r>
        <w:rPr>
          <w:b/>
          <w:bCs/>
          <w:i/>
          <w:iCs/>
          <w:szCs w:val="22"/>
          <w:lang w:val="fr-FR"/>
        </w:rPr>
        <w:t>’</w:t>
      </w:r>
      <w:r w:rsidRPr="009A5A04">
        <w:rPr>
          <w:b/>
          <w:bCs/>
          <w:i/>
          <w:iCs/>
          <w:szCs w:val="22"/>
          <w:lang w:val="fr-FR"/>
        </w:rPr>
        <w:t>efficience de l</w:t>
      </w:r>
      <w:r>
        <w:rPr>
          <w:b/>
          <w:bCs/>
          <w:i/>
          <w:iCs/>
          <w:szCs w:val="22"/>
          <w:lang w:val="fr-FR"/>
        </w:rPr>
        <w:t>’</w:t>
      </w:r>
      <w:r w:rsidRPr="009A5A04">
        <w:rPr>
          <w:b/>
          <w:bCs/>
          <w:i/>
          <w:iCs/>
          <w:szCs w:val="22"/>
          <w:lang w:val="fr-FR"/>
        </w:rPr>
        <w:t>utilisation des ressources</w:t>
      </w:r>
    </w:p>
    <w:p w14:paraId="5131B37A" w14:textId="77777777" w:rsidR="00F7011E" w:rsidRPr="001751B7" w:rsidRDefault="00F7011E" w:rsidP="00F7011E">
      <w:pPr>
        <w:numPr>
          <w:ilvl w:val="0"/>
          <w:numId w:val="12"/>
        </w:numPr>
        <w:spacing w:before="120"/>
        <w:jc w:val="left"/>
        <w:rPr>
          <w:szCs w:val="22"/>
          <w:lang w:val="fr-FR"/>
        </w:rPr>
      </w:pPr>
      <w:r w:rsidRPr="009A5A04">
        <w:rPr>
          <w:szCs w:val="22"/>
          <w:lang w:val="fr-FR"/>
        </w:rPr>
        <w:t>Assurer l</w:t>
      </w:r>
      <w:r>
        <w:rPr>
          <w:szCs w:val="22"/>
          <w:lang w:val="fr-FR"/>
        </w:rPr>
        <w:t>’</w:t>
      </w:r>
      <w:r w:rsidRPr="009A5A04">
        <w:rPr>
          <w:szCs w:val="22"/>
          <w:lang w:val="fr-FR"/>
        </w:rPr>
        <w:t>appropriation nationale en s</w:t>
      </w:r>
      <w:r>
        <w:rPr>
          <w:szCs w:val="22"/>
          <w:lang w:val="fr-FR"/>
        </w:rPr>
        <w:t>’</w:t>
      </w:r>
      <w:r w:rsidRPr="009A5A04">
        <w:rPr>
          <w:szCs w:val="22"/>
          <w:lang w:val="fr-FR"/>
        </w:rPr>
        <w:t>alignant sur les plans de développement nationaux</w:t>
      </w:r>
      <w:r w:rsidRPr="001751B7">
        <w:rPr>
          <w:szCs w:val="22"/>
          <w:lang w:val="fr-FR"/>
        </w:rPr>
        <w:t>.</w:t>
      </w:r>
    </w:p>
    <w:p w14:paraId="7ABF2243" w14:textId="77777777" w:rsidR="00F7011E" w:rsidRPr="001751B7" w:rsidRDefault="00F7011E" w:rsidP="00F7011E">
      <w:pPr>
        <w:numPr>
          <w:ilvl w:val="0"/>
          <w:numId w:val="12"/>
        </w:numPr>
        <w:spacing w:before="120"/>
        <w:jc w:val="left"/>
        <w:rPr>
          <w:szCs w:val="22"/>
          <w:lang w:val="fr-FR"/>
        </w:rPr>
      </w:pPr>
      <w:r>
        <w:rPr>
          <w:szCs w:val="22"/>
          <w:lang w:val="fr-FR"/>
        </w:rPr>
        <w:t>S</w:t>
      </w:r>
      <w:r w:rsidRPr="009A5A04">
        <w:rPr>
          <w:szCs w:val="22"/>
          <w:lang w:val="fr-FR"/>
        </w:rPr>
        <w:t>outenir la cohérence des politiques en créant ou en renforçant les partenariats avec les peuples autochtones et les communautés locales ainsi qu</w:t>
      </w:r>
      <w:r>
        <w:rPr>
          <w:szCs w:val="22"/>
          <w:lang w:val="fr-FR"/>
        </w:rPr>
        <w:t>’</w:t>
      </w:r>
      <w:r w:rsidRPr="009A5A04">
        <w:rPr>
          <w:szCs w:val="22"/>
          <w:lang w:val="fr-FR"/>
        </w:rPr>
        <w:t>avec la société civile</w:t>
      </w:r>
      <w:r w:rsidRPr="001751B7">
        <w:rPr>
          <w:szCs w:val="22"/>
          <w:lang w:val="fr-FR"/>
        </w:rPr>
        <w:t>.</w:t>
      </w:r>
    </w:p>
    <w:p w14:paraId="11926778" w14:textId="77777777" w:rsidR="00F7011E" w:rsidRPr="001751B7" w:rsidRDefault="00F7011E" w:rsidP="00F7011E">
      <w:pPr>
        <w:numPr>
          <w:ilvl w:val="0"/>
          <w:numId w:val="12"/>
        </w:numPr>
        <w:spacing w:before="120"/>
        <w:jc w:val="left"/>
        <w:rPr>
          <w:szCs w:val="22"/>
          <w:lang w:val="fr-FR"/>
        </w:rPr>
      </w:pPr>
      <w:r w:rsidRPr="00D33BF4">
        <w:rPr>
          <w:szCs w:val="22"/>
          <w:lang w:val="fr-FR"/>
        </w:rPr>
        <w:t>Renforcer le développement des capacités, l</w:t>
      </w:r>
      <w:r>
        <w:rPr>
          <w:szCs w:val="22"/>
          <w:lang w:val="fr-FR"/>
        </w:rPr>
        <w:t>’</w:t>
      </w:r>
      <w:r w:rsidRPr="00D33BF4">
        <w:rPr>
          <w:szCs w:val="22"/>
          <w:lang w:val="fr-FR"/>
        </w:rPr>
        <w:t xml:space="preserve">assistance technique et la coopération technologique en matière de planification financière </w:t>
      </w:r>
      <w:r>
        <w:rPr>
          <w:szCs w:val="22"/>
          <w:lang w:val="fr-FR"/>
        </w:rPr>
        <w:t>ainsi que</w:t>
      </w:r>
      <w:r w:rsidRPr="00D33BF4">
        <w:rPr>
          <w:szCs w:val="22"/>
          <w:lang w:val="fr-FR"/>
        </w:rPr>
        <w:t xml:space="preserve"> d</w:t>
      </w:r>
      <w:r>
        <w:rPr>
          <w:szCs w:val="22"/>
          <w:lang w:val="fr-FR"/>
        </w:rPr>
        <w:t>’</w:t>
      </w:r>
      <w:r w:rsidRPr="00D33BF4">
        <w:rPr>
          <w:szCs w:val="22"/>
          <w:lang w:val="fr-FR"/>
        </w:rPr>
        <w:t>utilisation et de gestion efficaces des ressources</w:t>
      </w:r>
      <w:r w:rsidRPr="001751B7">
        <w:rPr>
          <w:szCs w:val="22"/>
          <w:lang w:val="fr-FR"/>
        </w:rPr>
        <w:t>.</w:t>
      </w:r>
    </w:p>
    <w:p w14:paraId="38981546" w14:textId="77777777" w:rsidR="00F7011E" w:rsidRPr="001751B7" w:rsidRDefault="00F7011E" w:rsidP="00F7011E">
      <w:pPr>
        <w:numPr>
          <w:ilvl w:val="0"/>
          <w:numId w:val="12"/>
        </w:numPr>
        <w:spacing w:before="120"/>
        <w:jc w:val="left"/>
        <w:rPr>
          <w:szCs w:val="22"/>
          <w:lang w:val="fr-FR"/>
        </w:rPr>
      </w:pPr>
      <w:r>
        <w:rPr>
          <w:szCs w:val="22"/>
          <w:lang w:val="fr-FR"/>
        </w:rPr>
        <w:lastRenderedPageBreak/>
        <w:t>A</w:t>
      </w:r>
      <w:r w:rsidRPr="001E7443">
        <w:rPr>
          <w:szCs w:val="22"/>
          <w:lang w:val="fr-FR"/>
        </w:rPr>
        <w:t>méliorer la transparence et la responsabilité, ainsi que les systèmes nationaux de suivi de l</w:t>
      </w:r>
      <w:r>
        <w:rPr>
          <w:szCs w:val="22"/>
          <w:lang w:val="fr-FR"/>
        </w:rPr>
        <w:t>’</w:t>
      </w:r>
      <w:r w:rsidRPr="001E7443">
        <w:rPr>
          <w:szCs w:val="22"/>
          <w:lang w:val="fr-FR"/>
        </w:rPr>
        <w:t>utilisation des ressources</w:t>
      </w:r>
      <w:r>
        <w:rPr>
          <w:szCs w:val="22"/>
          <w:lang w:val="fr-FR"/>
        </w:rPr>
        <w:t>.</w:t>
      </w:r>
    </w:p>
    <w:p w14:paraId="3D74FE7D" w14:textId="77777777" w:rsidR="00F7011E" w:rsidRPr="001751B7" w:rsidRDefault="00F7011E" w:rsidP="00F7011E">
      <w:pPr>
        <w:numPr>
          <w:ilvl w:val="0"/>
          <w:numId w:val="12"/>
        </w:numPr>
        <w:spacing w:before="120"/>
        <w:jc w:val="left"/>
        <w:rPr>
          <w:szCs w:val="22"/>
          <w:lang w:val="fr-FR"/>
        </w:rPr>
      </w:pPr>
      <w:r w:rsidRPr="001E7443">
        <w:rPr>
          <w:szCs w:val="22"/>
          <w:lang w:val="fr-FR"/>
        </w:rPr>
        <w:t xml:space="preserve">Créer des synergies et tirer parti des </w:t>
      </w:r>
      <w:r>
        <w:rPr>
          <w:szCs w:val="22"/>
          <w:lang w:val="fr-FR"/>
        </w:rPr>
        <w:t>retombées positives</w:t>
      </w:r>
      <w:r w:rsidRPr="006213C6">
        <w:rPr>
          <w:szCs w:val="22"/>
          <w:lang w:val="fr-FR"/>
        </w:rPr>
        <w:t xml:space="preserve"> </w:t>
      </w:r>
      <w:r w:rsidRPr="001E7443">
        <w:rPr>
          <w:szCs w:val="22"/>
          <w:lang w:val="fr-FR"/>
        </w:rPr>
        <w:t>de la biodiversité</w:t>
      </w:r>
      <w:r>
        <w:rPr>
          <w:szCs w:val="22"/>
          <w:lang w:val="fr-FR"/>
        </w:rPr>
        <w:t>.</w:t>
      </w:r>
    </w:p>
    <w:p w14:paraId="4C53D601" w14:textId="77777777" w:rsidR="00F7011E" w:rsidRPr="001751B7" w:rsidRDefault="00F7011E" w:rsidP="00F7011E">
      <w:pPr>
        <w:spacing w:before="120"/>
        <w:ind w:left="720"/>
        <w:jc w:val="left"/>
        <w:rPr>
          <w:szCs w:val="22"/>
          <w:lang w:val="fr-FR"/>
        </w:rPr>
      </w:pPr>
    </w:p>
    <w:p w14:paraId="4745C0F9" w14:textId="77777777" w:rsidR="00F7011E" w:rsidRPr="001751B7" w:rsidRDefault="00F7011E" w:rsidP="00F7011E">
      <w:pPr>
        <w:suppressLineNumbers/>
        <w:suppressAutoHyphens/>
        <w:kinsoku w:val="0"/>
        <w:overflowPunct w:val="0"/>
        <w:autoSpaceDE w:val="0"/>
        <w:autoSpaceDN w:val="0"/>
        <w:adjustRightInd w:val="0"/>
        <w:snapToGrid w:val="0"/>
        <w:spacing w:before="120" w:after="120"/>
        <w:rPr>
          <w:bCs/>
          <w:snapToGrid w:val="0"/>
          <w:kern w:val="22"/>
          <w:szCs w:val="22"/>
          <w:lang w:val="fr-FR"/>
        </w:rPr>
      </w:pPr>
    </w:p>
    <w:p w14:paraId="5A08FDC7" w14:textId="77777777" w:rsidR="00F7011E" w:rsidRPr="001751B7" w:rsidRDefault="00F7011E" w:rsidP="00F7011E">
      <w:pPr>
        <w:jc w:val="left"/>
        <w:rPr>
          <w:i/>
          <w:iCs/>
          <w:kern w:val="22"/>
          <w:szCs w:val="22"/>
          <w:lang w:val="fr-FR"/>
        </w:rPr>
      </w:pPr>
      <w:r w:rsidRPr="001751B7">
        <w:rPr>
          <w:i/>
          <w:iCs/>
          <w:kern w:val="22"/>
          <w:szCs w:val="22"/>
          <w:lang w:val="fr-FR"/>
        </w:rPr>
        <w:br w:type="page"/>
      </w:r>
    </w:p>
    <w:p w14:paraId="25FC95A9" w14:textId="77777777" w:rsidR="00F7011E" w:rsidRPr="001751B7" w:rsidRDefault="00F7011E" w:rsidP="00F7011E">
      <w:pPr>
        <w:spacing w:before="120" w:after="120"/>
        <w:jc w:val="center"/>
        <w:rPr>
          <w:i/>
          <w:iCs/>
          <w:kern w:val="22"/>
          <w:szCs w:val="22"/>
          <w:highlight w:val="yellow"/>
          <w:lang w:val="fr-FR"/>
        </w:rPr>
      </w:pPr>
      <w:r w:rsidRPr="001751B7">
        <w:rPr>
          <w:i/>
          <w:iCs/>
          <w:kern w:val="22"/>
          <w:szCs w:val="22"/>
          <w:lang w:val="fr-FR"/>
        </w:rPr>
        <w:lastRenderedPageBreak/>
        <w:t>Annex</w:t>
      </w:r>
      <w:r>
        <w:rPr>
          <w:i/>
          <w:iCs/>
          <w:kern w:val="22"/>
          <w:szCs w:val="22"/>
          <w:lang w:val="fr-FR"/>
        </w:rPr>
        <w:t>e</w:t>
      </w:r>
      <w:r w:rsidRPr="001751B7">
        <w:rPr>
          <w:i/>
          <w:iCs/>
          <w:kern w:val="22"/>
          <w:szCs w:val="22"/>
          <w:lang w:val="fr-FR"/>
        </w:rPr>
        <w:t xml:space="preserve"> II</w:t>
      </w:r>
    </w:p>
    <w:p w14:paraId="66062A1E" w14:textId="77777777" w:rsidR="00F7011E" w:rsidRPr="001751B7" w:rsidRDefault="00F7011E" w:rsidP="00F7011E">
      <w:pPr>
        <w:pStyle w:val="HEADINGNOTFORTOC"/>
        <w:spacing w:before="120"/>
        <w:rPr>
          <w:lang w:val="fr-FR"/>
        </w:rPr>
      </w:pPr>
      <w:r>
        <w:rPr>
          <w:kern w:val="22"/>
          <w:lang w:val="fr-FR"/>
        </w:rPr>
        <w:t>MANDAT DU COMITé consultatif sur la mobilisation des ressources</w:t>
      </w:r>
    </w:p>
    <w:p w14:paraId="158AA3CF" w14:textId="77777777" w:rsidR="00F7011E" w:rsidRPr="001751B7" w:rsidRDefault="00F7011E" w:rsidP="00F7011E">
      <w:pPr>
        <w:pStyle w:val="Default"/>
        <w:numPr>
          <w:ilvl w:val="0"/>
          <w:numId w:val="13"/>
        </w:numPr>
        <w:spacing w:before="120" w:after="120"/>
        <w:jc w:val="both"/>
        <w:rPr>
          <w:szCs w:val="22"/>
          <w:lang w:val="fr-FR"/>
        </w:rPr>
      </w:pPr>
      <w:r w:rsidRPr="001751B7">
        <w:rPr>
          <w:sz w:val="22"/>
          <w:szCs w:val="22"/>
          <w:lang w:val="fr-FR"/>
        </w:rPr>
        <w:t>1.</w:t>
      </w:r>
      <w:r w:rsidRPr="001751B7">
        <w:rPr>
          <w:sz w:val="22"/>
          <w:szCs w:val="22"/>
          <w:lang w:val="fr-FR"/>
        </w:rPr>
        <w:tab/>
      </w:r>
      <w:r w:rsidRPr="009437D3">
        <w:rPr>
          <w:sz w:val="22"/>
          <w:szCs w:val="22"/>
          <w:lang w:val="fr-FR"/>
        </w:rPr>
        <w:t>Le Comité consultatif sur la mobilisation des ressources fournira à l</w:t>
      </w:r>
      <w:r>
        <w:rPr>
          <w:sz w:val="22"/>
          <w:szCs w:val="22"/>
          <w:lang w:val="fr-FR"/>
        </w:rPr>
        <w:t>’</w:t>
      </w:r>
      <w:r w:rsidRPr="009437D3">
        <w:rPr>
          <w:sz w:val="22"/>
          <w:szCs w:val="22"/>
          <w:lang w:val="fr-FR"/>
        </w:rPr>
        <w:t>Organe subsidiaire chargé de l</w:t>
      </w:r>
      <w:r>
        <w:rPr>
          <w:sz w:val="22"/>
          <w:szCs w:val="22"/>
          <w:lang w:val="fr-FR"/>
        </w:rPr>
        <w:t>’</w:t>
      </w:r>
      <w:r w:rsidRPr="009437D3">
        <w:rPr>
          <w:sz w:val="22"/>
          <w:szCs w:val="22"/>
          <w:lang w:val="fr-FR"/>
        </w:rPr>
        <w:t>application, lors de sa quatrième réunion, des recommandations sur le renforcement de la stratégie de mobilisation des ressources du cadre mondial pour la biodiversité et sur la mise en œuvre des décisions prises dans les paragraphes 39 à 41 du présent document afin de s</w:t>
      </w:r>
      <w:r>
        <w:rPr>
          <w:sz w:val="22"/>
          <w:szCs w:val="22"/>
          <w:lang w:val="fr-FR"/>
        </w:rPr>
        <w:t>’</w:t>
      </w:r>
      <w:r w:rsidRPr="009437D3">
        <w:rPr>
          <w:sz w:val="22"/>
          <w:szCs w:val="22"/>
          <w:lang w:val="fr-FR"/>
        </w:rPr>
        <w:t xml:space="preserve">assurer </w:t>
      </w:r>
      <w:r>
        <w:rPr>
          <w:sz w:val="22"/>
          <w:szCs w:val="22"/>
          <w:lang w:val="fr-FR"/>
        </w:rPr>
        <w:t>de fournir</w:t>
      </w:r>
      <w:r w:rsidRPr="009437D3">
        <w:rPr>
          <w:sz w:val="22"/>
          <w:szCs w:val="22"/>
          <w:lang w:val="fr-FR"/>
        </w:rPr>
        <w:t xml:space="preserve"> une base solide pour guider les Parties et les autres acteurs vers la mobilisation de ressources adéquates à la mesure de l</w:t>
      </w:r>
      <w:r>
        <w:rPr>
          <w:sz w:val="22"/>
          <w:szCs w:val="22"/>
          <w:lang w:val="fr-FR"/>
        </w:rPr>
        <w:t>’</w:t>
      </w:r>
      <w:r w:rsidRPr="009437D3">
        <w:rPr>
          <w:sz w:val="22"/>
          <w:szCs w:val="22"/>
          <w:lang w:val="fr-FR"/>
        </w:rPr>
        <w:t>ambition du cadre mondial pour la biodiversité, en se basant notamment sur les étapes suivantes</w:t>
      </w:r>
      <w:r>
        <w:rPr>
          <w:sz w:val="22"/>
          <w:szCs w:val="22"/>
          <w:lang w:val="fr-FR"/>
        </w:rPr>
        <w:t> </w:t>
      </w:r>
      <w:r w:rsidRPr="001751B7">
        <w:rPr>
          <w:sz w:val="22"/>
          <w:szCs w:val="22"/>
          <w:lang w:val="fr-FR"/>
        </w:rPr>
        <w:t>:</w:t>
      </w:r>
    </w:p>
    <w:p w14:paraId="02BAE6B0" w14:textId="1C4877A5" w:rsidR="00F7011E" w:rsidRPr="001751B7" w:rsidRDefault="00F7011E" w:rsidP="00F7011E">
      <w:pPr>
        <w:pStyle w:val="Default"/>
        <w:spacing w:before="120" w:after="120"/>
        <w:rPr>
          <w:b/>
          <w:bCs/>
          <w:i/>
          <w:iCs/>
          <w:sz w:val="22"/>
          <w:szCs w:val="22"/>
          <w:lang w:val="fr-FR"/>
        </w:rPr>
      </w:pPr>
      <w:r w:rsidRPr="006C3116">
        <w:rPr>
          <w:b/>
          <w:bCs/>
          <w:i/>
          <w:iCs/>
          <w:sz w:val="22"/>
          <w:szCs w:val="22"/>
          <w:lang w:val="fr-FR"/>
        </w:rPr>
        <w:t xml:space="preserve">Mise à niveau de la </w:t>
      </w:r>
      <w:r>
        <w:rPr>
          <w:b/>
          <w:bCs/>
          <w:i/>
          <w:iCs/>
          <w:sz w:val="22"/>
          <w:szCs w:val="22"/>
          <w:lang w:val="fr-FR"/>
        </w:rPr>
        <w:t>stratégie de mobilisation des ressources</w:t>
      </w:r>
      <w:r w:rsidRPr="006C3116">
        <w:rPr>
          <w:b/>
          <w:bCs/>
          <w:i/>
          <w:iCs/>
          <w:sz w:val="22"/>
          <w:szCs w:val="22"/>
          <w:lang w:val="fr-FR"/>
        </w:rPr>
        <w:t xml:space="preserve"> conformément aux décisions pertinentes prises par la </w:t>
      </w:r>
      <w:r>
        <w:rPr>
          <w:b/>
          <w:bCs/>
          <w:i/>
          <w:iCs/>
          <w:sz w:val="22"/>
          <w:szCs w:val="22"/>
          <w:lang w:val="fr-FR"/>
        </w:rPr>
        <w:t>quinzième réunion de la Conférence des Parties</w:t>
      </w:r>
    </w:p>
    <w:p w14:paraId="5730A10A" w14:textId="29102BB8" w:rsidR="00F7011E" w:rsidRPr="001751B7" w:rsidRDefault="00F7011E" w:rsidP="00F7011E">
      <w:pPr>
        <w:pStyle w:val="Default"/>
        <w:numPr>
          <w:ilvl w:val="1"/>
          <w:numId w:val="15"/>
        </w:numPr>
        <w:tabs>
          <w:tab w:val="clear" w:pos="1440"/>
        </w:tabs>
        <w:spacing w:before="120" w:after="120"/>
        <w:jc w:val="both"/>
        <w:rPr>
          <w:sz w:val="22"/>
          <w:szCs w:val="22"/>
          <w:lang w:val="fr-FR"/>
        </w:rPr>
      </w:pPr>
      <w:r w:rsidRPr="006B5B7D">
        <w:rPr>
          <w:sz w:val="22"/>
          <w:szCs w:val="22"/>
          <w:lang w:val="fr-FR"/>
        </w:rPr>
        <w:t xml:space="preserve">Renforcer la </w:t>
      </w:r>
      <w:r w:rsidR="001516E5">
        <w:rPr>
          <w:sz w:val="22"/>
          <w:szCs w:val="22"/>
          <w:lang w:val="fr-FR"/>
        </w:rPr>
        <w:t>stratégie de mobilisation des ressources</w:t>
      </w:r>
      <w:r w:rsidRPr="006B5B7D">
        <w:rPr>
          <w:sz w:val="22"/>
          <w:szCs w:val="22"/>
          <w:lang w:val="fr-FR"/>
        </w:rPr>
        <w:t xml:space="preserve"> tel</w:t>
      </w:r>
      <w:r>
        <w:rPr>
          <w:sz w:val="22"/>
          <w:szCs w:val="22"/>
          <w:lang w:val="fr-FR"/>
        </w:rPr>
        <w:t>le</w:t>
      </w:r>
      <w:r w:rsidRPr="006B5B7D">
        <w:rPr>
          <w:sz w:val="22"/>
          <w:szCs w:val="22"/>
          <w:lang w:val="fr-FR"/>
        </w:rPr>
        <w:t xml:space="preserve"> qu</w:t>
      </w:r>
      <w:r>
        <w:rPr>
          <w:sz w:val="22"/>
          <w:szCs w:val="22"/>
          <w:lang w:val="fr-FR"/>
        </w:rPr>
        <w:t>’</w:t>
      </w:r>
      <w:r w:rsidRPr="006B5B7D">
        <w:rPr>
          <w:sz w:val="22"/>
          <w:szCs w:val="22"/>
          <w:lang w:val="fr-FR"/>
        </w:rPr>
        <w:t xml:space="preserve">adoptée par la </w:t>
      </w:r>
      <w:r w:rsidR="008120B2">
        <w:rPr>
          <w:sz w:val="22"/>
          <w:szCs w:val="22"/>
          <w:lang w:val="fr-FR"/>
        </w:rPr>
        <w:t>Conférence des Parties à sa quinzième réunion</w:t>
      </w:r>
      <w:r w:rsidRPr="006B5B7D">
        <w:rPr>
          <w:sz w:val="22"/>
          <w:szCs w:val="22"/>
          <w:lang w:val="fr-FR"/>
        </w:rPr>
        <w:t xml:space="preserve"> en l</w:t>
      </w:r>
      <w:r>
        <w:rPr>
          <w:sz w:val="22"/>
          <w:szCs w:val="22"/>
          <w:lang w:val="fr-FR"/>
        </w:rPr>
        <w:t>’</w:t>
      </w:r>
      <w:r w:rsidR="00164A16">
        <w:rPr>
          <w:sz w:val="22"/>
          <w:szCs w:val="22"/>
          <w:lang w:val="fr-FR"/>
        </w:rPr>
        <w:t>alignant sur le c</w:t>
      </w:r>
      <w:r w:rsidRPr="006B5B7D">
        <w:rPr>
          <w:sz w:val="22"/>
          <w:szCs w:val="22"/>
          <w:lang w:val="fr-FR"/>
        </w:rPr>
        <w:t>adre mondial pour la biodiversité et d</w:t>
      </w:r>
      <w:r>
        <w:rPr>
          <w:sz w:val="22"/>
          <w:szCs w:val="22"/>
          <w:lang w:val="fr-FR"/>
        </w:rPr>
        <w:t>’</w:t>
      </w:r>
      <w:r w:rsidRPr="006B5B7D">
        <w:rPr>
          <w:sz w:val="22"/>
          <w:szCs w:val="22"/>
          <w:lang w:val="fr-FR"/>
        </w:rPr>
        <w:t xml:space="preserve">autres décisions pertinentes de la </w:t>
      </w:r>
      <w:r w:rsidR="008120B2">
        <w:rPr>
          <w:sz w:val="22"/>
          <w:szCs w:val="22"/>
          <w:lang w:val="fr-FR"/>
        </w:rPr>
        <w:t>quinzième réunion de la Conférence des Parties</w:t>
      </w:r>
      <w:r w:rsidRPr="006B5B7D">
        <w:rPr>
          <w:sz w:val="22"/>
          <w:szCs w:val="22"/>
          <w:lang w:val="fr-FR"/>
        </w:rPr>
        <w:t>, en assurant la cohérence avec d</w:t>
      </w:r>
      <w:r>
        <w:rPr>
          <w:sz w:val="22"/>
          <w:szCs w:val="22"/>
          <w:lang w:val="fr-FR"/>
        </w:rPr>
        <w:t>’</w:t>
      </w:r>
      <w:r w:rsidRPr="006B5B7D">
        <w:rPr>
          <w:sz w:val="22"/>
          <w:szCs w:val="22"/>
          <w:lang w:val="fr-FR"/>
        </w:rPr>
        <w:t xml:space="preserve">autres décisions pertinentes de la </w:t>
      </w:r>
      <w:r w:rsidR="008120B2">
        <w:rPr>
          <w:sz w:val="22"/>
          <w:szCs w:val="22"/>
          <w:lang w:val="fr-FR"/>
        </w:rPr>
        <w:t>Conférence des Parties</w:t>
      </w:r>
      <w:r w:rsidRPr="006B5B7D">
        <w:rPr>
          <w:sz w:val="22"/>
          <w:szCs w:val="22"/>
          <w:lang w:val="fr-FR"/>
        </w:rPr>
        <w:t>, telles que celles sur la remise de rapports et le suivi, la planification nationale, le développement des capacités, l</w:t>
      </w:r>
      <w:r>
        <w:rPr>
          <w:sz w:val="22"/>
          <w:szCs w:val="22"/>
          <w:lang w:val="fr-FR"/>
        </w:rPr>
        <w:t>’</w:t>
      </w:r>
      <w:r w:rsidRPr="006B5B7D">
        <w:rPr>
          <w:sz w:val="22"/>
          <w:szCs w:val="22"/>
          <w:lang w:val="fr-FR"/>
        </w:rPr>
        <w:t>intégration, l</w:t>
      </w:r>
      <w:r>
        <w:rPr>
          <w:sz w:val="22"/>
          <w:szCs w:val="22"/>
          <w:lang w:val="fr-FR"/>
        </w:rPr>
        <w:t>’</w:t>
      </w:r>
      <w:r w:rsidRPr="006B5B7D">
        <w:rPr>
          <w:sz w:val="22"/>
          <w:szCs w:val="22"/>
          <w:lang w:val="fr-FR"/>
        </w:rPr>
        <w:t>APA/ISN, etc</w:t>
      </w:r>
      <w:r>
        <w:rPr>
          <w:sz w:val="22"/>
          <w:szCs w:val="22"/>
          <w:lang w:val="fr-FR"/>
        </w:rPr>
        <w:t>. </w:t>
      </w:r>
      <w:r w:rsidRPr="006B5B7D">
        <w:rPr>
          <w:sz w:val="22"/>
          <w:szCs w:val="22"/>
          <w:lang w:val="fr-FR"/>
        </w:rPr>
        <w:t>;</w:t>
      </w:r>
    </w:p>
    <w:p w14:paraId="7F9ED1D3" w14:textId="77777777" w:rsidR="00F7011E" w:rsidRPr="001751B7" w:rsidRDefault="00F7011E" w:rsidP="00F7011E">
      <w:pPr>
        <w:pStyle w:val="Default"/>
        <w:numPr>
          <w:ilvl w:val="1"/>
          <w:numId w:val="15"/>
        </w:numPr>
        <w:tabs>
          <w:tab w:val="clear" w:pos="1440"/>
        </w:tabs>
        <w:spacing w:before="120" w:after="120"/>
        <w:jc w:val="both"/>
        <w:rPr>
          <w:sz w:val="22"/>
          <w:szCs w:val="22"/>
          <w:lang w:val="fr-FR"/>
        </w:rPr>
      </w:pPr>
      <w:r w:rsidRPr="00F0662F">
        <w:rPr>
          <w:sz w:val="22"/>
          <w:szCs w:val="22"/>
          <w:lang w:val="fr-FR"/>
        </w:rPr>
        <w:t>Améliorer la base d</w:t>
      </w:r>
      <w:r>
        <w:rPr>
          <w:sz w:val="22"/>
          <w:szCs w:val="22"/>
          <w:lang w:val="fr-FR"/>
        </w:rPr>
        <w:t>’</w:t>
      </w:r>
      <w:r w:rsidRPr="00F0662F">
        <w:rPr>
          <w:sz w:val="22"/>
          <w:szCs w:val="22"/>
          <w:lang w:val="fr-FR"/>
        </w:rPr>
        <w:t>informations sur les besoins, les lacunes et les priorités en matière de financement</w:t>
      </w:r>
      <w:r>
        <w:rPr>
          <w:sz w:val="22"/>
          <w:szCs w:val="22"/>
          <w:lang w:val="fr-FR"/>
        </w:rPr>
        <w:t> </w:t>
      </w:r>
      <w:r w:rsidRPr="001751B7">
        <w:rPr>
          <w:sz w:val="22"/>
          <w:szCs w:val="22"/>
          <w:lang w:val="fr-FR"/>
        </w:rPr>
        <w:t>;</w:t>
      </w:r>
    </w:p>
    <w:p w14:paraId="0AE490A7" w14:textId="77777777" w:rsidR="00F7011E" w:rsidRPr="001751B7" w:rsidRDefault="00F7011E" w:rsidP="00F7011E">
      <w:pPr>
        <w:pStyle w:val="Default"/>
        <w:numPr>
          <w:ilvl w:val="1"/>
          <w:numId w:val="15"/>
        </w:numPr>
        <w:tabs>
          <w:tab w:val="clear" w:pos="1440"/>
        </w:tabs>
        <w:spacing w:before="120" w:after="120"/>
        <w:jc w:val="both"/>
        <w:rPr>
          <w:b/>
          <w:bCs/>
          <w:i/>
          <w:iCs/>
          <w:sz w:val="22"/>
          <w:szCs w:val="22"/>
          <w:lang w:val="fr-FR"/>
        </w:rPr>
      </w:pPr>
      <w:r w:rsidRPr="00A50FDD">
        <w:rPr>
          <w:sz w:val="22"/>
          <w:szCs w:val="22"/>
          <w:lang w:val="fr-FR"/>
        </w:rPr>
        <w:t>Identifier les sources de financement additionnel</w:t>
      </w:r>
      <w:r>
        <w:rPr>
          <w:sz w:val="22"/>
          <w:szCs w:val="22"/>
          <w:lang w:val="fr-FR"/>
        </w:rPr>
        <w:t xml:space="preserve"> </w:t>
      </w:r>
      <w:r w:rsidRPr="00A50FDD">
        <w:rPr>
          <w:sz w:val="22"/>
          <w:szCs w:val="22"/>
          <w:lang w:val="fr-FR"/>
        </w:rPr>
        <w:t>potentielles, en reconnaissant la nécessité d</w:t>
      </w:r>
      <w:r>
        <w:rPr>
          <w:sz w:val="22"/>
          <w:szCs w:val="22"/>
          <w:lang w:val="fr-FR"/>
        </w:rPr>
        <w:t>’</w:t>
      </w:r>
      <w:r w:rsidRPr="00A50FDD">
        <w:rPr>
          <w:sz w:val="22"/>
          <w:szCs w:val="22"/>
          <w:lang w:val="fr-FR"/>
        </w:rPr>
        <w:t xml:space="preserve">un soutien provenant de sources très diverses, y compris des sources </w:t>
      </w:r>
      <w:r>
        <w:rPr>
          <w:sz w:val="22"/>
          <w:szCs w:val="22"/>
          <w:lang w:val="fr-FR"/>
        </w:rPr>
        <w:t>novatrices </w:t>
      </w:r>
      <w:r w:rsidRPr="00A50FDD">
        <w:rPr>
          <w:sz w:val="22"/>
          <w:szCs w:val="22"/>
          <w:lang w:val="fr-FR"/>
        </w:rPr>
        <w:t>;</w:t>
      </w:r>
    </w:p>
    <w:p w14:paraId="7D8E1A06" w14:textId="77777777" w:rsidR="00F7011E" w:rsidRPr="001751B7" w:rsidRDefault="00F7011E" w:rsidP="00F7011E">
      <w:pPr>
        <w:pStyle w:val="Default"/>
        <w:spacing w:before="120" w:after="120"/>
        <w:rPr>
          <w:b/>
          <w:bCs/>
          <w:i/>
          <w:iCs/>
          <w:sz w:val="22"/>
          <w:szCs w:val="22"/>
          <w:lang w:val="fr-FR"/>
        </w:rPr>
      </w:pPr>
      <w:r w:rsidRPr="00A924E4">
        <w:rPr>
          <w:b/>
          <w:bCs/>
          <w:i/>
          <w:iCs/>
          <w:sz w:val="22"/>
          <w:szCs w:val="22"/>
          <w:lang w:val="fr-FR"/>
        </w:rPr>
        <w:t>Évaluation de l</w:t>
      </w:r>
      <w:r>
        <w:rPr>
          <w:b/>
          <w:bCs/>
          <w:i/>
          <w:iCs/>
          <w:sz w:val="22"/>
          <w:szCs w:val="22"/>
          <w:lang w:val="fr-FR"/>
        </w:rPr>
        <w:t>’</w:t>
      </w:r>
      <w:r w:rsidRPr="00A924E4">
        <w:rPr>
          <w:b/>
          <w:bCs/>
          <w:i/>
          <w:iCs/>
          <w:sz w:val="22"/>
          <w:szCs w:val="22"/>
          <w:lang w:val="fr-FR"/>
        </w:rPr>
        <w:t>efficience, de l</w:t>
      </w:r>
      <w:r>
        <w:rPr>
          <w:b/>
          <w:bCs/>
          <w:i/>
          <w:iCs/>
          <w:sz w:val="22"/>
          <w:szCs w:val="22"/>
          <w:lang w:val="fr-FR"/>
        </w:rPr>
        <w:t>’</w:t>
      </w:r>
      <w:r w:rsidRPr="00A924E4">
        <w:rPr>
          <w:b/>
          <w:bCs/>
          <w:i/>
          <w:iCs/>
          <w:sz w:val="22"/>
          <w:szCs w:val="22"/>
          <w:lang w:val="fr-FR"/>
        </w:rPr>
        <w:t>efficacité, des lacunes et des chevauchements</w:t>
      </w:r>
    </w:p>
    <w:p w14:paraId="4F8963B2" w14:textId="77777777" w:rsidR="00F7011E" w:rsidRPr="001751B7" w:rsidRDefault="00F7011E" w:rsidP="00F7011E">
      <w:pPr>
        <w:pStyle w:val="Default"/>
        <w:numPr>
          <w:ilvl w:val="1"/>
          <w:numId w:val="27"/>
        </w:numPr>
        <w:tabs>
          <w:tab w:val="clear" w:pos="1440"/>
        </w:tabs>
        <w:spacing w:before="120" w:after="120"/>
        <w:jc w:val="both"/>
        <w:rPr>
          <w:sz w:val="22"/>
          <w:szCs w:val="22"/>
          <w:lang w:val="fr-FR"/>
        </w:rPr>
      </w:pPr>
      <w:r>
        <w:rPr>
          <w:sz w:val="22"/>
          <w:szCs w:val="22"/>
          <w:lang w:val="fr-FR"/>
        </w:rPr>
        <w:t>F</w:t>
      </w:r>
      <w:r w:rsidRPr="008F67ED">
        <w:rPr>
          <w:sz w:val="22"/>
          <w:szCs w:val="22"/>
          <w:lang w:val="fr-FR"/>
        </w:rPr>
        <w:t>ournir une vue d</w:t>
      </w:r>
      <w:r>
        <w:rPr>
          <w:sz w:val="22"/>
          <w:szCs w:val="22"/>
          <w:lang w:val="fr-FR"/>
        </w:rPr>
        <w:t>’</w:t>
      </w:r>
      <w:r w:rsidRPr="008F67ED">
        <w:rPr>
          <w:sz w:val="22"/>
          <w:szCs w:val="22"/>
          <w:lang w:val="fr-FR"/>
        </w:rPr>
        <w:t xml:space="preserve">ensemble du paysage mondial du financement de la biodiversité et identifier les institutions, notamment mondiales, régionales et nationales, qui financent des activités liées à la lutte contre la perte de biodiversité, ainsi que les moyens de renforcer la cohérence, la coordination et les synergies entre </w:t>
      </w:r>
      <w:r>
        <w:rPr>
          <w:sz w:val="22"/>
          <w:szCs w:val="22"/>
          <w:lang w:val="fr-FR"/>
        </w:rPr>
        <w:t>c</w:t>
      </w:r>
      <w:r w:rsidRPr="008F67ED">
        <w:rPr>
          <w:sz w:val="22"/>
          <w:szCs w:val="22"/>
          <w:lang w:val="fr-FR"/>
        </w:rPr>
        <w:t>elles</w:t>
      </w:r>
      <w:r>
        <w:rPr>
          <w:sz w:val="22"/>
          <w:szCs w:val="22"/>
          <w:lang w:val="fr-FR"/>
        </w:rPr>
        <w:t>-ci </w:t>
      </w:r>
      <w:r w:rsidRPr="001751B7">
        <w:rPr>
          <w:sz w:val="22"/>
          <w:szCs w:val="22"/>
          <w:lang w:val="fr-FR"/>
        </w:rPr>
        <w:t>;</w:t>
      </w:r>
    </w:p>
    <w:p w14:paraId="64C285E5" w14:textId="77777777" w:rsidR="00F7011E" w:rsidRPr="001751B7" w:rsidRDefault="00F7011E" w:rsidP="00F7011E">
      <w:pPr>
        <w:pStyle w:val="Default"/>
        <w:numPr>
          <w:ilvl w:val="1"/>
          <w:numId w:val="27"/>
        </w:numPr>
        <w:tabs>
          <w:tab w:val="clear" w:pos="1440"/>
        </w:tabs>
        <w:spacing w:before="120" w:after="120"/>
        <w:jc w:val="both"/>
        <w:rPr>
          <w:b/>
          <w:bCs/>
          <w:i/>
          <w:iCs/>
          <w:sz w:val="22"/>
          <w:szCs w:val="22"/>
          <w:lang w:val="fr-FR"/>
        </w:rPr>
      </w:pPr>
      <w:bookmarkStart w:id="3" w:name="_Hlk121538861"/>
      <w:r>
        <w:rPr>
          <w:sz w:val="22"/>
          <w:szCs w:val="22"/>
          <w:lang w:val="fr-FR"/>
        </w:rPr>
        <w:t>É</w:t>
      </w:r>
      <w:r w:rsidRPr="00C23252">
        <w:rPr>
          <w:sz w:val="22"/>
          <w:szCs w:val="22"/>
          <w:lang w:val="fr-FR"/>
        </w:rPr>
        <w:t xml:space="preserve">valuer </w:t>
      </w:r>
      <w:r>
        <w:rPr>
          <w:sz w:val="22"/>
          <w:szCs w:val="22"/>
          <w:lang w:val="fr-FR"/>
        </w:rPr>
        <w:t>la manière dont</w:t>
      </w:r>
      <w:r w:rsidRPr="00C23252">
        <w:rPr>
          <w:sz w:val="22"/>
          <w:szCs w:val="22"/>
          <w:lang w:val="fr-FR"/>
        </w:rPr>
        <w:t xml:space="preserve"> les instruments, les fonds et les cadres existants, ainsi que leur</w:t>
      </w:r>
      <w:r>
        <w:rPr>
          <w:sz w:val="22"/>
          <w:szCs w:val="22"/>
          <w:lang w:val="fr-FR"/>
        </w:rPr>
        <w:t>s</w:t>
      </w:r>
      <w:r w:rsidRPr="00C23252">
        <w:rPr>
          <w:sz w:val="22"/>
          <w:szCs w:val="22"/>
          <w:lang w:val="fr-FR"/>
        </w:rPr>
        <w:t xml:space="preserve"> interaction</w:t>
      </w:r>
      <w:r>
        <w:rPr>
          <w:sz w:val="22"/>
          <w:szCs w:val="22"/>
          <w:lang w:val="fr-FR"/>
        </w:rPr>
        <w:t>s</w:t>
      </w:r>
      <w:r w:rsidRPr="00C23252">
        <w:rPr>
          <w:sz w:val="22"/>
          <w:szCs w:val="22"/>
          <w:lang w:val="fr-FR"/>
        </w:rPr>
        <w:t>, pourraient être encore améliorés, et ceux qui réussissent, promus, reproduits ou étendus, afin qu</w:t>
      </w:r>
      <w:r>
        <w:rPr>
          <w:sz w:val="22"/>
          <w:szCs w:val="22"/>
          <w:lang w:val="fr-FR"/>
        </w:rPr>
        <w:t>’</w:t>
      </w:r>
      <w:r w:rsidRPr="00C23252">
        <w:rPr>
          <w:sz w:val="22"/>
          <w:szCs w:val="22"/>
          <w:lang w:val="fr-FR"/>
        </w:rPr>
        <w:t>ils s</w:t>
      </w:r>
      <w:r>
        <w:rPr>
          <w:sz w:val="22"/>
          <w:szCs w:val="22"/>
          <w:lang w:val="fr-FR"/>
        </w:rPr>
        <w:t>’</w:t>
      </w:r>
      <w:r w:rsidRPr="00C23252">
        <w:rPr>
          <w:sz w:val="22"/>
          <w:szCs w:val="22"/>
          <w:lang w:val="fr-FR"/>
        </w:rPr>
        <w:t>alignent pleinement sur la mise en œuvre du cadre mondial pour la biodiversité et lui apportent un soutien immédiat</w:t>
      </w:r>
      <w:r>
        <w:rPr>
          <w:sz w:val="22"/>
          <w:szCs w:val="22"/>
          <w:lang w:val="fr-FR"/>
        </w:rPr>
        <w:t> </w:t>
      </w:r>
      <w:r w:rsidRPr="00C23252">
        <w:rPr>
          <w:sz w:val="22"/>
          <w:szCs w:val="22"/>
          <w:lang w:val="fr-FR"/>
        </w:rPr>
        <w:t>;</w:t>
      </w:r>
    </w:p>
    <w:p w14:paraId="1597810E" w14:textId="7B061BA5" w:rsidR="00F7011E" w:rsidRPr="001751B7" w:rsidRDefault="00F7011E" w:rsidP="00F7011E">
      <w:pPr>
        <w:pStyle w:val="Default"/>
        <w:numPr>
          <w:ilvl w:val="1"/>
          <w:numId w:val="27"/>
        </w:numPr>
        <w:tabs>
          <w:tab w:val="clear" w:pos="1440"/>
        </w:tabs>
        <w:spacing w:before="120" w:after="120"/>
        <w:jc w:val="both"/>
        <w:rPr>
          <w:sz w:val="22"/>
          <w:szCs w:val="22"/>
          <w:lang w:val="fr-FR"/>
        </w:rPr>
      </w:pPr>
      <w:r>
        <w:rPr>
          <w:sz w:val="22"/>
          <w:szCs w:val="22"/>
          <w:lang w:val="fr-FR"/>
        </w:rPr>
        <w:t>T</w:t>
      </w:r>
      <w:r w:rsidRPr="00603C65">
        <w:rPr>
          <w:sz w:val="22"/>
          <w:szCs w:val="22"/>
          <w:lang w:val="fr-FR"/>
        </w:rPr>
        <w:t>enir compte de l</w:t>
      </w:r>
      <w:r>
        <w:rPr>
          <w:sz w:val="22"/>
          <w:szCs w:val="22"/>
          <w:lang w:val="fr-FR"/>
        </w:rPr>
        <w:t>’</w:t>
      </w:r>
      <w:r w:rsidRPr="00603C65">
        <w:rPr>
          <w:sz w:val="22"/>
          <w:szCs w:val="22"/>
          <w:lang w:val="fr-FR"/>
        </w:rPr>
        <w:t>avancement de la réforme du Fonds pour l</w:t>
      </w:r>
      <w:r>
        <w:rPr>
          <w:sz w:val="22"/>
          <w:szCs w:val="22"/>
          <w:lang w:val="fr-FR"/>
        </w:rPr>
        <w:t>’</w:t>
      </w:r>
      <w:r w:rsidRPr="00603C65">
        <w:rPr>
          <w:sz w:val="22"/>
          <w:szCs w:val="22"/>
          <w:lang w:val="fr-FR"/>
        </w:rPr>
        <w:t xml:space="preserve">environnement mondial visant à soutenir la mobilisation rapide de ressources pour la mise en œuvre du cadre mondial pour la biodiversité, et en particulier du processus de création du </w:t>
      </w:r>
      <w:r w:rsidR="005910F3">
        <w:rPr>
          <w:sz w:val="22"/>
          <w:szCs w:val="22"/>
          <w:lang w:val="fr-FR"/>
        </w:rPr>
        <w:t>Fonds mondial pour la biodiversité</w:t>
      </w:r>
      <w:r w:rsidRPr="00603C65">
        <w:rPr>
          <w:sz w:val="22"/>
          <w:szCs w:val="22"/>
          <w:lang w:val="fr-FR"/>
        </w:rPr>
        <w:t xml:space="preserve"> et de sa mise en œuvre</w:t>
      </w:r>
      <w:r>
        <w:rPr>
          <w:sz w:val="22"/>
          <w:szCs w:val="22"/>
          <w:lang w:val="fr-FR"/>
        </w:rPr>
        <w:t> ;</w:t>
      </w:r>
    </w:p>
    <w:p w14:paraId="703EA7E9" w14:textId="77777777" w:rsidR="00F7011E" w:rsidRPr="001751B7" w:rsidRDefault="00F7011E" w:rsidP="00F7011E">
      <w:pPr>
        <w:pStyle w:val="Default"/>
        <w:numPr>
          <w:ilvl w:val="1"/>
          <w:numId w:val="27"/>
        </w:numPr>
        <w:tabs>
          <w:tab w:val="clear" w:pos="1440"/>
        </w:tabs>
        <w:spacing w:before="120" w:after="120"/>
        <w:jc w:val="both"/>
        <w:rPr>
          <w:b/>
          <w:bCs/>
          <w:i/>
          <w:iCs/>
          <w:sz w:val="22"/>
          <w:szCs w:val="22"/>
          <w:lang w:val="fr-FR"/>
        </w:rPr>
      </w:pPr>
      <w:r>
        <w:rPr>
          <w:sz w:val="22"/>
          <w:szCs w:val="22"/>
          <w:lang w:val="fr-FR"/>
        </w:rPr>
        <w:t>I</w:t>
      </w:r>
      <w:r w:rsidRPr="003A3068">
        <w:rPr>
          <w:sz w:val="22"/>
          <w:szCs w:val="22"/>
          <w:lang w:val="fr-FR"/>
        </w:rPr>
        <w:t>dentifier les lacunes dans le paysage actuel du financement, y compris le</w:t>
      </w:r>
      <w:r>
        <w:rPr>
          <w:sz w:val="22"/>
          <w:szCs w:val="22"/>
          <w:lang w:val="fr-FR"/>
        </w:rPr>
        <w:t>ur</w:t>
      </w:r>
      <w:r w:rsidRPr="003A3068">
        <w:rPr>
          <w:sz w:val="22"/>
          <w:szCs w:val="22"/>
          <w:lang w:val="fr-FR"/>
        </w:rPr>
        <w:t xml:space="preserve"> type, </w:t>
      </w:r>
      <w:r>
        <w:rPr>
          <w:sz w:val="22"/>
          <w:szCs w:val="22"/>
          <w:lang w:val="fr-FR"/>
        </w:rPr>
        <w:t xml:space="preserve">par exemple en termes de </w:t>
      </w:r>
      <w:r w:rsidRPr="003A3068">
        <w:rPr>
          <w:sz w:val="22"/>
          <w:szCs w:val="22"/>
          <w:lang w:val="fr-FR"/>
        </w:rPr>
        <w:t xml:space="preserve">rapidité, </w:t>
      </w:r>
      <w:r>
        <w:rPr>
          <w:sz w:val="22"/>
          <w:szCs w:val="22"/>
          <w:lang w:val="fr-FR"/>
        </w:rPr>
        <w:t>d’</w:t>
      </w:r>
      <w:r w:rsidRPr="003A3068">
        <w:rPr>
          <w:sz w:val="22"/>
          <w:szCs w:val="22"/>
          <w:lang w:val="fr-FR"/>
        </w:rPr>
        <w:t xml:space="preserve">éligibilité, </w:t>
      </w:r>
      <w:r>
        <w:rPr>
          <w:sz w:val="22"/>
          <w:szCs w:val="22"/>
          <w:lang w:val="fr-FR"/>
        </w:rPr>
        <w:t>d’</w:t>
      </w:r>
      <w:r w:rsidRPr="003A3068">
        <w:rPr>
          <w:sz w:val="22"/>
          <w:szCs w:val="22"/>
          <w:lang w:val="fr-FR"/>
        </w:rPr>
        <w:t xml:space="preserve">adéquation et </w:t>
      </w:r>
      <w:r>
        <w:rPr>
          <w:sz w:val="22"/>
          <w:szCs w:val="22"/>
          <w:lang w:val="fr-FR"/>
        </w:rPr>
        <w:t>d’</w:t>
      </w:r>
      <w:r w:rsidRPr="003A3068">
        <w:rPr>
          <w:sz w:val="22"/>
          <w:szCs w:val="22"/>
          <w:lang w:val="fr-FR"/>
        </w:rPr>
        <w:t>accès au financement, les lacunes prioritaires pour lesquelles des solutions devraient être explorées ainsi que les moyens les plus efficaces de combler ces lacunes</w:t>
      </w:r>
      <w:r>
        <w:rPr>
          <w:sz w:val="22"/>
          <w:szCs w:val="22"/>
          <w:lang w:val="fr-FR"/>
        </w:rPr>
        <w:t> </w:t>
      </w:r>
      <w:r w:rsidRPr="003A3068">
        <w:rPr>
          <w:sz w:val="22"/>
          <w:szCs w:val="22"/>
          <w:lang w:val="fr-FR"/>
        </w:rPr>
        <w:t>;</w:t>
      </w:r>
    </w:p>
    <w:bookmarkEnd w:id="3"/>
    <w:p w14:paraId="2EBC8DD5" w14:textId="77777777" w:rsidR="00F7011E" w:rsidRPr="001751B7" w:rsidRDefault="00F7011E" w:rsidP="00F7011E">
      <w:pPr>
        <w:pStyle w:val="Default"/>
        <w:spacing w:before="120" w:after="120"/>
        <w:jc w:val="both"/>
        <w:rPr>
          <w:b/>
          <w:bCs/>
          <w:i/>
          <w:iCs/>
          <w:sz w:val="22"/>
          <w:szCs w:val="22"/>
          <w:lang w:val="fr-FR"/>
        </w:rPr>
      </w:pPr>
      <w:r>
        <w:rPr>
          <w:b/>
          <w:bCs/>
          <w:i/>
          <w:iCs/>
          <w:sz w:val="22"/>
          <w:szCs w:val="22"/>
          <w:lang w:val="fr-FR"/>
        </w:rPr>
        <w:t>Instrument mondial de financement de la biodiversité</w:t>
      </w:r>
    </w:p>
    <w:p w14:paraId="1299E558" w14:textId="77777777" w:rsidR="00F7011E" w:rsidRPr="001751B7" w:rsidRDefault="00F7011E" w:rsidP="00F7011E">
      <w:pPr>
        <w:pStyle w:val="Para1"/>
        <w:numPr>
          <w:ilvl w:val="0"/>
          <w:numId w:val="0"/>
        </w:numPr>
        <w:rPr>
          <w:lang w:val="fr-FR"/>
        </w:rPr>
      </w:pPr>
      <w:r>
        <w:rPr>
          <w:lang w:val="fr-FR"/>
        </w:rPr>
        <w:t>L</w:t>
      </w:r>
      <w:r w:rsidRPr="003C3CF6">
        <w:rPr>
          <w:lang w:val="fr-FR"/>
        </w:rPr>
        <w:t xml:space="preserve">e Comité consultatif sur la mobilisation des ressources élaborera des recommandations </w:t>
      </w:r>
      <w:r>
        <w:rPr>
          <w:lang w:val="fr-FR"/>
        </w:rPr>
        <w:t>à l’intention de l’Organe subsidiaire chargé de l’application sur </w:t>
      </w:r>
      <w:r w:rsidRPr="001751B7">
        <w:rPr>
          <w:lang w:val="fr-FR"/>
        </w:rPr>
        <w:t>;</w:t>
      </w:r>
    </w:p>
    <w:p w14:paraId="350026F4" w14:textId="77777777" w:rsidR="00F7011E" w:rsidRDefault="00F7011E" w:rsidP="00F7011E">
      <w:pPr>
        <w:pStyle w:val="Para1"/>
        <w:numPr>
          <w:ilvl w:val="1"/>
          <w:numId w:val="2"/>
        </w:numPr>
        <w:rPr>
          <w:lang w:val="fr-FR"/>
        </w:rPr>
      </w:pPr>
      <w:r>
        <w:rPr>
          <w:lang w:val="fr-FR"/>
        </w:rPr>
        <w:t>La question de la création ou non d’un mécanisme financier dédié pour la CBD sous l’autorité de la Conférence des parties, qui pourrait être nommé « Fonds mondial pour la biodiversité », et les options disponibles pour son opérationnalisation.</w:t>
      </w:r>
    </w:p>
    <w:p w14:paraId="61E32B24" w14:textId="77777777" w:rsidR="00F7011E" w:rsidRPr="004108A2" w:rsidRDefault="00F7011E" w:rsidP="00F7011E">
      <w:pPr>
        <w:pStyle w:val="Para1"/>
        <w:numPr>
          <w:ilvl w:val="1"/>
          <w:numId w:val="2"/>
        </w:numPr>
        <w:rPr>
          <w:lang w:val="fr-FR"/>
        </w:rPr>
      </w:pPr>
      <w:r>
        <w:rPr>
          <w:lang w:val="fr-FR"/>
        </w:rPr>
        <w:t>La question de nommer le fonds d’affectation spéciale créé par la décision 15/[xx] {FM} sous l’égide du Fonds mondial pour l’environnement, « Fonds mondial pour la biodiversité » ou non.</w:t>
      </w:r>
    </w:p>
    <w:p w14:paraId="62FAEF60" w14:textId="77777777" w:rsidR="00F7011E" w:rsidRPr="00624BFB" w:rsidRDefault="00F7011E" w:rsidP="00F7011E">
      <w:pPr>
        <w:pStyle w:val="Para1"/>
        <w:numPr>
          <w:ilvl w:val="1"/>
          <w:numId w:val="2"/>
        </w:numPr>
        <w:rPr>
          <w:lang w:val="fr-FR"/>
        </w:rPr>
      </w:pPr>
      <w:r w:rsidRPr="00624BFB">
        <w:rPr>
          <w:szCs w:val="22"/>
          <w:lang w:val="fr-FR"/>
        </w:rPr>
        <w:t xml:space="preserve">La question de savoir si l’un des mécanismes de financement mentionnés ci-dessus, ou un autre mécanisme, serait </w:t>
      </w:r>
      <w:r>
        <w:rPr>
          <w:szCs w:val="22"/>
          <w:lang w:val="fr-FR"/>
        </w:rPr>
        <w:t xml:space="preserve">ou non </w:t>
      </w:r>
      <w:r w:rsidRPr="00624BFB">
        <w:rPr>
          <w:szCs w:val="22"/>
          <w:lang w:val="fr-FR"/>
        </w:rPr>
        <w:t>une entité adéquate pour percevoir et décaisser les recettes générées par le mécanisme</w:t>
      </w:r>
      <w:r>
        <w:rPr>
          <w:szCs w:val="22"/>
          <w:lang w:val="fr-FR"/>
        </w:rPr>
        <w:t xml:space="preserve"> créé par la décision 15/[xx] [ISN] </w:t>
      </w:r>
      <w:r w:rsidRPr="00624BFB">
        <w:rPr>
          <w:szCs w:val="22"/>
          <w:lang w:val="fr-FR"/>
        </w:rPr>
        <w:t>;</w:t>
      </w:r>
    </w:p>
    <w:p w14:paraId="6C2AB847" w14:textId="77777777" w:rsidR="00F7011E" w:rsidRDefault="00F7011E" w:rsidP="00F7011E">
      <w:pPr>
        <w:pStyle w:val="NormalWeb"/>
        <w:spacing w:before="120" w:beforeAutospacing="0" w:after="120" w:afterAutospacing="0"/>
        <w:jc w:val="both"/>
        <w:rPr>
          <w:b/>
          <w:bCs/>
          <w:i/>
          <w:iCs/>
          <w:sz w:val="22"/>
          <w:szCs w:val="22"/>
          <w:lang w:val="fr-FR"/>
        </w:rPr>
      </w:pPr>
    </w:p>
    <w:p w14:paraId="4FBE13E9" w14:textId="77777777" w:rsidR="00F7011E" w:rsidRPr="001751B7" w:rsidRDefault="00F7011E" w:rsidP="00F7011E">
      <w:pPr>
        <w:pStyle w:val="NormalWeb"/>
        <w:spacing w:before="120" w:beforeAutospacing="0" w:after="120" w:afterAutospacing="0"/>
        <w:jc w:val="both"/>
        <w:rPr>
          <w:b/>
          <w:bCs/>
          <w:i/>
          <w:iCs/>
          <w:sz w:val="22"/>
          <w:szCs w:val="22"/>
          <w:lang w:val="fr-FR"/>
        </w:rPr>
      </w:pPr>
      <w:r w:rsidRPr="003E3572">
        <w:rPr>
          <w:b/>
          <w:bCs/>
          <w:i/>
          <w:iCs/>
          <w:sz w:val="22"/>
          <w:szCs w:val="22"/>
          <w:lang w:val="fr-FR"/>
        </w:rPr>
        <w:t>Modalités du Comité consultatif sur la mobilisation des ressources</w:t>
      </w:r>
    </w:p>
    <w:p w14:paraId="4A0EA9E9" w14:textId="77777777" w:rsidR="00F7011E" w:rsidRPr="001751B7" w:rsidRDefault="00F7011E" w:rsidP="00F7011E">
      <w:pPr>
        <w:pStyle w:val="NormalWeb"/>
        <w:numPr>
          <w:ilvl w:val="0"/>
          <w:numId w:val="17"/>
        </w:numPr>
        <w:spacing w:before="120" w:beforeAutospacing="0" w:after="120" w:afterAutospacing="0"/>
        <w:ind w:left="284" w:hanging="284"/>
        <w:jc w:val="both"/>
        <w:rPr>
          <w:sz w:val="22"/>
          <w:szCs w:val="22"/>
          <w:lang w:val="fr-FR"/>
        </w:rPr>
      </w:pPr>
      <w:r w:rsidRPr="003E3572">
        <w:rPr>
          <w:sz w:val="22"/>
          <w:szCs w:val="22"/>
          <w:lang w:val="fr-FR"/>
        </w:rPr>
        <w:t>La composition du Comité consultatif sera la suivante</w:t>
      </w:r>
      <w:r>
        <w:rPr>
          <w:sz w:val="22"/>
          <w:szCs w:val="22"/>
          <w:lang w:val="fr-FR"/>
        </w:rPr>
        <w:t> </w:t>
      </w:r>
      <w:r w:rsidRPr="003E3572">
        <w:rPr>
          <w:sz w:val="22"/>
          <w:szCs w:val="22"/>
          <w:lang w:val="fr-FR"/>
        </w:rPr>
        <w:t>: jusqu</w:t>
      </w:r>
      <w:r>
        <w:rPr>
          <w:sz w:val="22"/>
          <w:szCs w:val="22"/>
          <w:lang w:val="fr-FR"/>
        </w:rPr>
        <w:t>’</w:t>
      </w:r>
      <w:r w:rsidRPr="003E3572">
        <w:rPr>
          <w:sz w:val="22"/>
          <w:szCs w:val="22"/>
          <w:lang w:val="fr-FR"/>
        </w:rPr>
        <w:t>à dix (10) représentants attitrés par région seront invités à participer, et dix (10) représentants d</w:t>
      </w:r>
      <w:r>
        <w:rPr>
          <w:sz w:val="22"/>
          <w:szCs w:val="22"/>
          <w:lang w:val="fr-FR"/>
        </w:rPr>
        <w:t>’</w:t>
      </w:r>
      <w:r w:rsidRPr="003E3572">
        <w:rPr>
          <w:sz w:val="22"/>
          <w:szCs w:val="22"/>
          <w:lang w:val="fr-FR"/>
        </w:rPr>
        <w:t>organisations et d</w:t>
      </w:r>
      <w:r>
        <w:rPr>
          <w:sz w:val="22"/>
          <w:szCs w:val="22"/>
          <w:lang w:val="fr-FR"/>
        </w:rPr>
        <w:t>’</w:t>
      </w:r>
      <w:r w:rsidRPr="003E3572">
        <w:rPr>
          <w:sz w:val="22"/>
          <w:szCs w:val="22"/>
          <w:lang w:val="fr-FR"/>
        </w:rPr>
        <w:t>initiatives pertinentes ainsi que dix (10) représentants des parties prenantes, des peuples autochtones et des communautés locales, des femmes et des jeunes, en préservant l</w:t>
      </w:r>
      <w:r>
        <w:rPr>
          <w:sz w:val="22"/>
          <w:szCs w:val="22"/>
          <w:lang w:val="fr-FR"/>
        </w:rPr>
        <w:t>’</w:t>
      </w:r>
      <w:r w:rsidRPr="003E3572">
        <w:rPr>
          <w:sz w:val="22"/>
          <w:szCs w:val="22"/>
          <w:lang w:val="fr-FR"/>
        </w:rPr>
        <w:t>équilibre entre les régions, et en s</w:t>
      </w:r>
      <w:r>
        <w:rPr>
          <w:sz w:val="22"/>
          <w:szCs w:val="22"/>
          <w:lang w:val="fr-FR"/>
        </w:rPr>
        <w:t>’</w:t>
      </w:r>
      <w:r w:rsidRPr="003E3572">
        <w:rPr>
          <w:sz w:val="22"/>
          <w:szCs w:val="22"/>
          <w:lang w:val="fr-FR"/>
        </w:rPr>
        <w:t>efforçant de respecter l</w:t>
      </w:r>
      <w:r>
        <w:rPr>
          <w:sz w:val="22"/>
          <w:szCs w:val="22"/>
          <w:lang w:val="fr-FR"/>
        </w:rPr>
        <w:t>’</w:t>
      </w:r>
      <w:r w:rsidRPr="003E3572">
        <w:rPr>
          <w:sz w:val="22"/>
          <w:szCs w:val="22"/>
          <w:lang w:val="fr-FR"/>
        </w:rPr>
        <w:t>équilibre entre les sexes.</w:t>
      </w:r>
    </w:p>
    <w:p w14:paraId="2F992870" w14:textId="77777777" w:rsidR="00F7011E" w:rsidRPr="001751B7" w:rsidRDefault="00F7011E" w:rsidP="00F7011E">
      <w:pPr>
        <w:pStyle w:val="NormalWeb"/>
        <w:numPr>
          <w:ilvl w:val="0"/>
          <w:numId w:val="17"/>
        </w:numPr>
        <w:spacing w:before="120" w:beforeAutospacing="0" w:after="120" w:afterAutospacing="0"/>
        <w:ind w:left="284" w:hanging="284"/>
        <w:jc w:val="both"/>
        <w:rPr>
          <w:sz w:val="22"/>
          <w:szCs w:val="22"/>
          <w:lang w:val="fr-FR"/>
        </w:rPr>
      </w:pPr>
      <w:r w:rsidRPr="008B07EC">
        <w:rPr>
          <w:sz w:val="22"/>
          <w:szCs w:val="22"/>
          <w:lang w:val="fr-FR"/>
        </w:rPr>
        <w:t>Le comité élira deux co-présidents parmi ses membres.</w:t>
      </w:r>
      <w:r w:rsidRPr="001751B7">
        <w:rPr>
          <w:sz w:val="22"/>
          <w:szCs w:val="22"/>
          <w:lang w:val="fr-FR"/>
        </w:rPr>
        <w:t xml:space="preserve"> </w:t>
      </w:r>
    </w:p>
    <w:p w14:paraId="21B10D88" w14:textId="77777777" w:rsidR="00F7011E" w:rsidRPr="001751B7" w:rsidRDefault="00F7011E" w:rsidP="00F7011E">
      <w:pPr>
        <w:pStyle w:val="NormalWeb"/>
        <w:numPr>
          <w:ilvl w:val="0"/>
          <w:numId w:val="17"/>
        </w:numPr>
        <w:spacing w:before="120" w:beforeAutospacing="0" w:after="120" w:afterAutospacing="0"/>
        <w:ind w:left="284" w:hanging="284"/>
        <w:jc w:val="both"/>
        <w:rPr>
          <w:sz w:val="22"/>
          <w:szCs w:val="22"/>
          <w:lang w:val="fr-FR"/>
        </w:rPr>
      </w:pPr>
      <w:r w:rsidRPr="008B07EC">
        <w:rPr>
          <w:sz w:val="22"/>
          <w:szCs w:val="22"/>
          <w:lang w:val="fr-FR"/>
        </w:rPr>
        <w:t xml:space="preserve">Le Comité mènera ses travaux à la fois par voie électronique et, dans la limite des ressources financières disponibles, en personne, </w:t>
      </w:r>
      <w:r>
        <w:rPr>
          <w:sz w:val="22"/>
          <w:szCs w:val="22"/>
          <w:lang w:val="fr-FR"/>
        </w:rPr>
        <w:t>et se réunira</w:t>
      </w:r>
      <w:r w:rsidRPr="008B07EC">
        <w:rPr>
          <w:sz w:val="22"/>
          <w:szCs w:val="22"/>
          <w:lang w:val="fr-FR"/>
        </w:rPr>
        <w:t xml:space="preserve"> au moins 2 fois au cours de la période intersessions précédant la seizième réunion de la Conférence des Parties.</w:t>
      </w:r>
    </w:p>
    <w:p w14:paraId="2060E0C4" w14:textId="56F59E7B" w:rsidR="00F7011E" w:rsidRPr="001751B7" w:rsidRDefault="00F7011E" w:rsidP="00F7011E">
      <w:pPr>
        <w:pStyle w:val="NormalWeb"/>
        <w:numPr>
          <w:ilvl w:val="0"/>
          <w:numId w:val="17"/>
        </w:numPr>
        <w:spacing w:before="120" w:beforeAutospacing="0" w:after="120" w:afterAutospacing="0"/>
        <w:ind w:left="284" w:hanging="284"/>
        <w:jc w:val="both"/>
        <w:rPr>
          <w:sz w:val="22"/>
          <w:szCs w:val="22"/>
          <w:lang w:val="fr-FR"/>
        </w:rPr>
      </w:pPr>
      <w:r w:rsidRPr="001604F1">
        <w:rPr>
          <w:sz w:val="22"/>
          <w:szCs w:val="22"/>
          <w:lang w:val="fr-FR"/>
        </w:rPr>
        <w:t>Le Comité s</w:t>
      </w:r>
      <w:r>
        <w:rPr>
          <w:sz w:val="22"/>
          <w:szCs w:val="22"/>
          <w:lang w:val="fr-FR"/>
        </w:rPr>
        <w:t>’</w:t>
      </w:r>
      <w:r w:rsidRPr="001604F1">
        <w:rPr>
          <w:sz w:val="22"/>
          <w:szCs w:val="22"/>
          <w:lang w:val="fr-FR"/>
        </w:rPr>
        <w:t>appuiera sur différentes sources d</w:t>
      </w:r>
      <w:r>
        <w:rPr>
          <w:sz w:val="22"/>
          <w:szCs w:val="22"/>
          <w:lang w:val="fr-FR"/>
        </w:rPr>
        <w:t>’</w:t>
      </w:r>
      <w:r w:rsidRPr="001604F1">
        <w:rPr>
          <w:sz w:val="22"/>
          <w:szCs w:val="22"/>
          <w:lang w:val="fr-FR"/>
        </w:rPr>
        <w:t>information, telles que des études et des dialogues, ainsi que sur l</w:t>
      </w:r>
      <w:r>
        <w:rPr>
          <w:sz w:val="22"/>
          <w:szCs w:val="22"/>
          <w:lang w:val="fr-FR"/>
        </w:rPr>
        <w:t>’</w:t>
      </w:r>
      <w:r w:rsidRPr="001604F1">
        <w:rPr>
          <w:sz w:val="22"/>
          <w:szCs w:val="22"/>
          <w:lang w:val="fr-FR"/>
        </w:rPr>
        <w:t>expérience acquise dans le cadre d</w:t>
      </w:r>
      <w:r>
        <w:rPr>
          <w:sz w:val="22"/>
          <w:szCs w:val="22"/>
          <w:lang w:val="fr-FR"/>
        </w:rPr>
        <w:t>’</w:t>
      </w:r>
      <w:r w:rsidRPr="001604F1">
        <w:rPr>
          <w:sz w:val="22"/>
          <w:szCs w:val="22"/>
          <w:lang w:val="fr-FR"/>
        </w:rPr>
        <w:t xml:space="preserve">autres </w:t>
      </w:r>
      <w:r w:rsidR="005910F3">
        <w:rPr>
          <w:sz w:val="22"/>
          <w:szCs w:val="22"/>
          <w:lang w:val="fr-FR"/>
        </w:rPr>
        <w:t>accords mondiaux sur l’environnement</w:t>
      </w:r>
      <w:r w:rsidRPr="001604F1">
        <w:rPr>
          <w:sz w:val="22"/>
          <w:szCs w:val="22"/>
          <w:lang w:val="fr-FR"/>
        </w:rPr>
        <w:t>, et tiendra compte des demandes reçues au sujet de l</w:t>
      </w:r>
      <w:r>
        <w:rPr>
          <w:sz w:val="22"/>
          <w:szCs w:val="22"/>
          <w:lang w:val="fr-FR"/>
        </w:rPr>
        <w:t>’</w:t>
      </w:r>
      <w:r w:rsidRPr="001604F1">
        <w:rPr>
          <w:sz w:val="22"/>
          <w:szCs w:val="22"/>
          <w:lang w:val="fr-FR"/>
        </w:rPr>
        <w:t>expérience acquise avec l</w:t>
      </w:r>
      <w:r>
        <w:rPr>
          <w:sz w:val="22"/>
          <w:szCs w:val="22"/>
          <w:lang w:val="fr-FR"/>
        </w:rPr>
        <w:t>a</w:t>
      </w:r>
      <w:r w:rsidRPr="001604F1">
        <w:rPr>
          <w:sz w:val="22"/>
          <w:szCs w:val="22"/>
          <w:lang w:val="fr-FR"/>
        </w:rPr>
        <w:t xml:space="preserve"> </w:t>
      </w:r>
      <w:r w:rsidR="001516E5">
        <w:rPr>
          <w:sz w:val="22"/>
          <w:szCs w:val="22"/>
          <w:lang w:val="fr-FR"/>
        </w:rPr>
        <w:t>stratégie de mobilisation des ressources</w:t>
      </w:r>
      <w:r w:rsidRPr="001604F1">
        <w:rPr>
          <w:sz w:val="22"/>
          <w:szCs w:val="22"/>
          <w:lang w:val="fr-FR"/>
        </w:rPr>
        <w:t xml:space="preserve"> afin de démarrer rapidement la mobilisation des ressources</w:t>
      </w:r>
      <w:r>
        <w:rPr>
          <w:sz w:val="22"/>
          <w:szCs w:val="22"/>
          <w:lang w:val="fr-FR"/>
        </w:rPr>
        <w:t> </w:t>
      </w:r>
      <w:r w:rsidRPr="001751B7">
        <w:rPr>
          <w:sz w:val="22"/>
          <w:szCs w:val="22"/>
          <w:lang w:val="fr-FR"/>
        </w:rPr>
        <w:t>;</w:t>
      </w:r>
    </w:p>
    <w:p w14:paraId="3F9B882F" w14:textId="77777777" w:rsidR="00F7011E" w:rsidRPr="001751B7" w:rsidRDefault="00F7011E" w:rsidP="00F7011E">
      <w:pPr>
        <w:pStyle w:val="NormalWeb"/>
        <w:numPr>
          <w:ilvl w:val="0"/>
          <w:numId w:val="17"/>
        </w:numPr>
        <w:spacing w:before="120" w:beforeAutospacing="0" w:after="120" w:afterAutospacing="0"/>
        <w:ind w:left="284" w:hanging="284"/>
        <w:jc w:val="both"/>
        <w:rPr>
          <w:sz w:val="22"/>
          <w:szCs w:val="22"/>
          <w:lang w:val="fr-FR"/>
        </w:rPr>
      </w:pPr>
      <w:r w:rsidRPr="00866DE7">
        <w:rPr>
          <w:sz w:val="22"/>
          <w:szCs w:val="22"/>
          <w:lang w:val="fr-FR"/>
        </w:rPr>
        <w:t>D</w:t>
      </w:r>
      <w:r>
        <w:rPr>
          <w:sz w:val="22"/>
          <w:szCs w:val="22"/>
          <w:lang w:val="fr-FR"/>
        </w:rPr>
        <w:t>’</w:t>
      </w:r>
      <w:r w:rsidRPr="00866DE7">
        <w:rPr>
          <w:sz w:val="22"/>
          <w:szCs w:val="22"/>
          <w:lang w:val="fr-FR"/>
        </w:rPr>
        <w:t>autres gouvernements, observateurs et/ou experts pourront être invités à participer aux réunions ou à certaines parties de celles-ci à la discrétion des coprésidents.</w:t>
      </w:r>
    </w:p>
    <w:p w14:paraId="4CC449C4" w14:textId="062C9FBF" w:rsidR="00F7011E" w:rsidRPr="001751B7" w:rsidRDefault="00F7011E" w:rsidP="00F7011E">
      <w:pPr>
        <w:pStyle w:val="NormalWeb"/>
        <w:numPr>
          <w:ilvl w:val="0"/>
          <w:numId w:val="17"/>
        </w:numPr>
        <w:spacing w:before="120" w:beforeAutospacing="0" w:after="120" w:afterAutospacing="0"/>
        <w:ind w:left="284" w:hanging="284"/>
        <w:jc w:val="both"/>
        <w:rPr>
          <w:sz w:val="22"/>
          <w:szCs w:val="22"/>
          <w:lang w:val="fr-FR"/>
        </w:rPr>
      </w:pPr>
      <w:r w:rsidRPr="00866DE7">
        <w:rPr>
          <w:sz w:val="22"/>
          <w:szCs w:val="22"/>
          <w:lang w:val="fr-FR"/>
        </w:rPr>
        <w:t>Le résultat de ces travaux sera présenté par les coprésidents sous forme de recommandations du Comité consultatif à l</w:t>
      </w:r>
      <w:r>
        <w:rPr>
          <w:sz w:val="22"/>
          <w:szCs w:val="22"/>
          <w:lang w:val="fr-FR"/>
        </w:rPr>
        <w:t>’</w:t>
      </w:r>
      <w:r w:rsidRPr="00866DE7">
        <w:rPr>
          <w:sz w:val="22"/>
          <w:szCs w:val="22"/>
          <w:lang w:val="fr-FR"/>
        </w:rPr>
        <w:t>Organe subsidiaire chargé de l</w:t>
      </w:r>
      <w:r>
        <w:rPr>
          <w:sz w:val="22"/>
          <w:szCs w:val="22"/>
          <w:lang w:val="fr-FR"/>
        </w:rPr>
        <w:t>’</w:t>
      </w:r>
      <w:r w:rsidRPr="00866DE7">
        <w:rPr>
          <w:sz w:val="22"/>
          <w:szCs w:val="22"/>
          <w:lang w:val="fr-FR"/>
        </w:rPr>
        <w:t xml:space="preserve">application lors de sa quatrième réunion, en vue de leur adoption par la </w:t>
      </w:r>
      <w:r w:rsidR="008120B2">
        <w:rPr>
          <w:sz w:val="22"/>
          <w:szCs w:val="22"/>
          <w:lang w:val="fr-FR"/>
        </w:rPr>
        <w:t>Conférence des Parties à sa seizième réunion</w:t>
      </w:r>
      <w:r w:rsidRPr="00866DE7">
        <w:rPr>
          <w:sz w:val="22"/>
          <w:szCs w:val="22"/>
          <w:lang w:val="fr-FR"/>
        </w:rPr>
        <w:t>.</w:t>
      </w:r>
    </w:p>
    <w:p w14:paraId="214EC41D" w14:textId="77777777" w:rsidR="00F7011E" w:rsidRPr="001751B7" w:rsidRDefault="00F7011E" w:rsidP="00F7011E">
      <w:pPr>
        <w:spacing w:before="120" w:after="120"/>
        <w:jc w:val="left"/>
        <w:rPr>
          <w:rFonts w:eastAsiaTheme="minorEastAsia"/>
          <w:color w:val="000000"/>
          <w:szCs w:val="22"/>
          <w:lang w:val="fr-FR"/>
        </w:rPr>
      </w:pPr>
      <w:r w:rsidRPr="001751B7">
        <w:rPr>
          <w:szCs w:val="22"/>
          <w:lang w:val="fr-FR"/>
        </w:rPr>
        <w:br w:type="page"/>
      </w:r>
    </w:p>
    <w:p w14:paraId="65C65331" w14:textId="715F32BF" w:rsidR="00F7011E" w:rsidRPr="001751B7" w:rsidRDefault="00F7011E" w:rsidP="00F7011E">
      <w:pPr>
        <w:pStyle w:val="Default"/>
        <w:spacing w:before="120" w:after="120"/>
        <w:jc w:val="center"/>
        <w:rPr>
          <w:i/>
          <w:iCs/>
          <w:sz w:val="22"/>
          <w:szCs w:val="22"/>
          <w:lang w:val="fr-FR"/>
        </w:rPr>
      </w:pPr>
      <w:r w:rsidRPr="001751B7">
        <w:rPr>
          <w:i/>
          <w:iCs/>
          <w:sz w:val="22"/>
          <w:szCs w:val="22"/>
          <w:lang w:val="fr-FR"/>
        </w:rPr>
        <w:lastRenderedPageBreak/>
        <w:t>Annex</w:t>
      </w:r>
      <w:r>
        <w:rPr>
          <w:i/>
          <w:iCs/>
          <w:sz w:val="22"/>
          <w:szCs w:val="22"/>
          <w:lang w:val="fr-FR"/>
        </w:rPr>
        <w:t>e</w:t>
      </w:r>
      <w:r w:rsidRPr="001751B7">
        <w:rPr>
          <w:i/>
          <w:iCs/>
          <w:sz w:val="22"/>
          <w:szCs w:val="22"/>
          <w:lang w:val="fr-FR"/>
        </w:rPr>
        <w:t xml:space="preserve"> III</w:t>
      </w:r>
    </w:p>
    <w:p w14:paraId="047263A9" w14:textId="77777777" w:rsidR="00F7011E" w:rsidRPr="001751B7" w:rsidRDefault="00F7011E" w:rsidP="00F7011E">
      <w:pPr>
        <w:keepNext/>
        <w:keepLines/>
        <w:spacing w:before="120" w:after="120"/>
        <w:jc w:val="center"/>
        <w:outlineLvl w:val="1"/>
        <w:rPr>
          <w:rFonts w:ascii="Times New Roman Bold" w:hAnsi="Times New Roman Bold"/>
          <w:b/>
          <w:bCs/>
          <w:iCs/>
          <w:caps/>
          <w:lang w:val="fr-FR"/>
        </w:rPr>
      </w:pPr>
      <w:r w:rsidRPr="00744C74">
        <w:rPr>
          <w:rFonts w:ascii="Times New Roman Bold" w:hAnsi="Times New Roman Bold"/>
          <w:b/>
          <w:bCs/>
          <w:iCs/>
          <w:caps/>
          <w:lang w:val="fr-FR"/>
        </w:rPr>
        <w:t>MANDAT DU GROUPE D</w:t>
      </w:r>
      <w:r>
        <w:rPr>
          <w:rFonts w:ascii="Times New Roman Bold" w:hAnsi="Times New Roman Bold"/>
          <w:b/>
          <w:bCs/>
          <w:iCs/>
          <w:caps/>
          <w:lang w:val="fr-FR"/>
        </w:rPr>
        <w:t>’</w:t>
      </w:r>
      <w:r w:rsidRPr="00744C74">
        <w:rPr>
          <w:rFonts w:ascii="Times New Roman Bold" w:hAnsi="Times New Roman Bold"/>
          <w:b/>
          <w:bCs/>
          <w:iCs/>
          <w:caps/>
          <w:lang w:val="fr-FR"/>
        </w:rPr>
        <w:t>EXPERTS SUR LA REMISE DE RAPPORTS FINANCIERS</w:t>
      </w:r>
    </w:p>
    <w:p w14:paraId="3365EA3D" w14:textId="77777777" w:rsidR="00F7011E" w:rsidRPr="001751B7" w:rsidRDefault="00F7011E" w:rsidP="00F7011E">
      <w:pPr>
        <w:keepNext/>
        <w:keepLines/>
        <w:numPr>
          <w:ilvl w:val="0"/>
          <w:numId w:val="19"/>
        </w:numPr>
        <w:suppressLineNumbers/>
        <w:suppressAutoHyphens/>
        <w:kinsoku w:val="0"/>
        <w:overflowPunct w:val="0"/>
        <w:autoSpaceDE w:val="0"/>
        <w:autoSpaceDN w:val="0"/>
        <w:adjustRightInd w:val="0"/>
        <w:snapToGrid w:val="0"/>
        <w:spacing w:before="120" w:after="120"/>
        <w:ind w:left="0" w:hanging="11"/>
        <w:rPr>
          <w:snapToGrid w:val="0"/>
          <w:kern w:val="22"/>
          <w:szCs w:val="22"/>
          <w:lang w:val="fr-FR"/>
        </w:rPr>
      </w:pPr>
      <w:r>
        <w:rPr>
          <w:snapToGrid w:val="0"/>
          <w:kern w:val="22"/>
          <w:szCs w:val="22"/>
          <w:lang w:val="fr-FR"/>
        </w:rPr>
        <w:t>Le groupe de travail d’experts sera chargé de</w:t>
      </w:r>
      <w:r w:rsidRPr="00F7011E">
        <w:rPr>
          <w:lang w:val="fr-CA"/>
        </w:rPr>
        <w:t> </w:t>
      </w:r>
      <w:r w:rsidRPr="001751B7">
        <w:rPr>
          <w:snapToGrid w:val="0"/>
          <w:kern w:val="22"/>
          <w:szCs w:val="22"/>
          <w:lang w:val="fr-FR"/>
        </w:rPr>
        <w:t>:</w:t>
      </w:r>
    </w:p>
    <w:p w14:paraId="67D80791" w14:textId="6427EBB2" w:rsidR="00F7011E" w:rsidRPr="001751B7" w:rsidRDefault="00F7011E" w:rsidP="00F7011E">
      <w:pPr>
        <w:numPr>
          <w:ilvl w:val="0"/>
          <w:numId w:val="21"/>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Pr>
          <w:snapToGrid w:val="0"/>
          <w:kern w:val="22"/>
          <w:szCs w:val="22"/>
          <w:lang w:val="fr-FR"/>
        </w:rPr>
        <w:t>I</w:t>
      </w:r>
      <w:r w:rsidRPr="00F70FB6">
        <w:rPr>
          <w:snapToGrid w:val="0"/>
          <w:kern w:val="22"/>
          <w:szCs w:val="22"/>
          <w:lang w:val="fr-FR"/>
        </w:rPr>
        <w:t xml:space="preserve">dentifier </w:t>
      </w:r>
      <w:r>
        <w:rPr>
          <w:snapToGrid w:val="0"/>
          <w:kern w:val="22"/>
          <w:szCs w:val="22"/>
          <w:lang w:val="fr-FR"/>
        </w:rPr>
        <w:t>d</w:t>
      </w:r>
      <w:r w:rsidRPr="00F70FB6">
        <w:rPr>
          <w:snapToGrid w:val="0"/>
          <w:kern w:val="22"/>
          <w:szCs w:val="22"/>
          <w:lang w:val="fr-FR"/>
        </w:rPr>
        <w:t xml:space="preserve">es métadonnées et </w:t>
      </w:r>
      <w:r>
        <w:rPr>
          <w:snapToGrid w:val="0"/>
          <w:kern w:val="22"/>
          <w:szCs w:val="22"/>
          <w:lang w:val="fr-FR"/>
        </w:rPr>
        <w:t>d</w:t>
      </w:r>
      <w:r w:rsidRPr="00F70FB6">
        <w:rPr>
          <w:snapToGrid w:val="0"/>
          <w:kern w:val="22"/>
          <w:szCs w:val="22"/>
          <w:lang w:val="fr-FR"/>
        </w:rPr>
        <w:t xml:space="preserve">es informations détaillées, y compris </w:t>
      </w:r>
      <w:r>
        <w:rPr>
          <w:snapToGrid w:val="0"/>
          <w:kern w:val="22"/>
          <w:szCs w:val="22"/>
          <w:lang w:val="fr-FR"/>
        </w:rPr>
        <w:t xml:space="preserve">celles répondant aux </w:t>
      </w:r>
      <w:r w:rsidRPr="00F70FB6">
        <w:rPr>
          <w:snapToGrid w:val="0"/>
          <w:kern w:val="22"/>
          <w:szCs w:val="22"/>
          <w:lang w:val="fr-FR"/>
        </w:rPr>
        <w:t>besoins de développement des capacités en matière de suivi, de combler les lacunes des indicateurs relatifs aux objectifs et aux cibles pertinents en matière de mobilisation des ressources, en particulier pour les dépenses publiques et les investissements privés, et d</w:t>
      </w:r>
      <w:r>
        <w:rPr>
          <w:snapToGrid w:val="0"/>
          <w:kern w:val="22"/>
          <w:szCs w:val="22"/>
          <w:lang w:val="fr-FR"/>
        </w:rPr>
        <w:t>’</w:t>
      </w:r>
      <w:r w:rsidRPr="00F70FB6">
        <w:rPr>
          <w:snapToGrid w:val="0"/>
          <w:kern w:val="22"/>
          <w:szCs w:val="22"/>
          <w:lang w:val="fr-FR"/>
        </w:rPr>
        <w:t xml:space="preserve">autres cibles pertinentes en matière de mobilisation des ressources, dans le cadre de suivi du </w:t>
      </w:r>
      <w:r>
        <w:rPr>
          <w:snapToGrid w:val="0"/>
          <w:kern w:val="22"/>
          <w:szCs w:val="22"/>
          <w:lang w:val="fr-FR"/>
        </w:rPr>
        <w:t>c</w:t>
      </w:r>
      <w:r w:rsidRPr="00F70FB6">
        <w:rPr>
          <w:snapToGrid w:val="0"/>
          <w:kern w:val="22"/>
          <w:szCs w:val="22"/>
          <w:lang w:val="fr-FR"/>
        </w:rPr>
        <w:t>adre mondial de la biodiversité pour l</w:t>
      </w:r>
      <w:r>
        <w:rPr>
          <w:snapToGrid w:val="0"/>
          <w:kern w:val="22"/>
          <w:szCs w:val="22"/>
          <w:lang w:val="fr-FR"/>
        </w:rPr>
        <w:t>’</w:t>
      </w:r>
      <w:r w:rsidRPr="00F70FB6">
        <w:rPr>
          <w:snapToGrid w:val="0"/>
          <w:kern w:val="22"/>
          <w:szCs w:val="22"/>
          <w:lang w:val="fr-FR"/>
        </w:rPr>
        <w:t>après-2020</w:t>
      </w:r>
      <w:r>
        <w:rPr>
          <w:rStyle w:val="Appelnotedebasdep"/>
          <w:snapToGrid w:val="0"/>
          <w:kern w:val="22"/>
          <w:szCs w:val="22"/>
          <w:lang w:val="fr-FR"/>
        </w:rPr>
        <w:footnoteReference w:id="3"/>
      </w:r>
      <w:r w:rsidRPr="00F70FB6">
        <w:rPr>
          <w:snapToGrid w:val="0"/>
          <w:kern w:val="22"/>
          <w:szCs w:val="22"/>
          <w:lang w:val="fr-FR"/>
        </w:rPr>
        <w:t>, en tenant compte des méthodologies et des normes existantes</w:t>
      </w:r>
      <w:r>
        <w:rPr>
          <w:snapToGrid w:val="0"/>
          <w:kern w:val="22"/>
          <w:szCs w:val="22"/>
          <w:lang w:val="fr-FR"/>
        </w:rPr>
        <w:t xml:space="preserve"> ayant</w:t>
      </w:r>
      <w:r w:rsidRPr="00F70FB6">
        <w:rPr>
          <w:snapToGrid w:val="0"/>
          <w:kern w:val="22"/>
          <w:szCs w:val="22"/>
          <w:lang w:val="fr-FR"/>
        </w:rPr>
        <w:t xml:space="preserve"> été élaborées, notamment les indicateurs relatifs aux Objectifs de développement durable, le Cadre pour le développement des statistiques de l</w:t>
      </w:r>
      <w:r>
        <w:rPr>
          <w:snapToGrid w:val="0"/>
          <w:kern w:val="22"/>
          <w:szCs w:val="22"/>
          <w:lang w:val="fr-FR"/>
        </w:rPr>
        <w:t>’</w:t>
      </w:r>
      <w:r w:rsidRPr="00F70FB6">
        <w:rPr>
          <w:snapToGrid w:val="0"/>
          <w:kern w:val="22"/>
          <w:szCs w:val="22"/>
          <w:lang w:val="fr-FR"/>
        </w:rPr>
        <w:t xml:space="preserve">environnement et le Système de comptabilité environnementale et économique élaboré sous les auspices de la Commission de statistique </w:t>
      </w:r>
      <w:r w:rsidR="002C20AB">
        <w:rPr>
          <w:snapToGrid w:val="0"/>
          <w:kern w:val="22"/>
          <w:szCs w:val="22"/>
          <w:lang w:val="fr-FR"/>
        </w:rPr>
        <w:t>des Nations Unies</w:t>
      </w:r>
      <w:r>
        <w:rPr>
          <w:snapToGrid w:val="0"/>
          <w:kern w:val="22"/>
          <w:szCs w:val="22"/>
          <w:lang w:val="fr-FR"/>
        </w:rPr>
        <w:t> </w:t>
      </w:r>
      <w:r w:rsidRPr="001751B7">
        <w:rPr>
          <w:snapToGrid w:val="0"/>
          <w:kern w:val="22"/>
          <w:szCs w:val="22"/>
          <w:lang w:val="fr-FR"/>
        </w:rPr>
        <w:t>;</w:t>
      </w:r>
    </w:p>
    <w:p w14:paraId="65A7249C" w14:textId="375857E6" w:rsidR="00F7011E" w:rsidRPr="001751B7" w:rsidRDefault="00F7011E" w:rsidP="00F7011E">
      <w:pPr>
        <w:numPr>
          <w:ilvl w:val="0"/>
          <w:numId w:val="21"/>
        </w:numPr>
        <w:suppressLineNumbers/>
        <w:suppressAutoHyphens/>
        <w:kinsoku w:val="0"/>
        <w:overflowPunct w:val="0"/>
        <w:autoSpaceDE w:val="0"/>
        <w:autoSpaceDN w:val="0"/>
        <w:adjustRightInd w:val="0"/>
        <w:snapToGrid w:val="0"/>
        <w:spacing w:before="120" w:after="120"/>
        <w:ind w:left="0" w:firstLine="720"/>
        <w:rPr>
          <w:snapToGrid w:val="0"/>
          <w:color w:val="000000" w:themeColor="text1"/>
          <w:kern w:val="22"/>
          <w:szCs w:val="22"/>
          <w:lang w:val="fr-FR"/>
        </w:rPr>
      </w:pPr>
      <w:r w:rsidRPr="00885E78">
        <w:rPr>
          <w:snapToGrid w:val="0"/>
          <w:kern w:val="22"/>
          <w:szCs w:val="22"/>
          <w:lang w:val="fr-FR"/>
        </w:rPr>
        <w:t>Fournir des conseils techniques et d</w:t>
      </w:r>
      <w:r>
        <w:rPr>
          <w:snapToGrid w:val="0"/>
          <w:kern w:val="22"/>
          <w:szCs w:val="22"/>
          <w:lang w:val="fr-FR"/>
        </w:rPr>
        <w:t>’</w:t>
      </w:r>
      <w:r w:rsidRPr="00885E78">
        <w:rPr>
          <w:snapToGrid w:val="0"/>
          <w:kern w:val="22"/>
          <w:szCs w:val="22"/>
          <w:lang w:val="fr-FR"/>
        </w:rPr>
        <w:t xml:space="preserve">élaborer des directives sur le suivi de la mobilisation des ressources, </w:t>
      </w:r>
      <w:r>
        <w:rPr>
          <w:snapToGrid w:val="0"/>
          <w:kern w:val="22"/>
          <w:szCs w:val="22"/>
          <w:lang w:val="fr-FR"/>
        </w:rPr>
        <w:t xml:space="preserve">et </w:t>
      </w:r>
      <w:r w:rsidRPr="00885E78">
        <w:rPr>
          <w:snapToGrid w:val="0"/>
          <w:kern w:val="22"/>
          <w:szCs w:val="22"/>
          <w:lang w:val="fr-FR"/>
        </w:rPr>
        <w:t xml:space="preserve">notamment </w:t>
      </w:r>
      <w:r>
        <w:rPr>
          <w:snapToGrid w:val="0"/>
          <w:kern w:val="22"/>
          <w:szCs w:val="22"/>
          <w:lang w:val="fr-FR"/>
        </w:rPr>
        <w:t xml:space="preserve">sur </w:t>
      </w:r>
      <w:r w:rsidRPr="00885E78">
        <w:rPr>
          <w:snapToGrid w:val="0"/>
          <w:kern w:val="22"/>
          <w:szCs w:val="22"/>
          <w:lang w:val="fr-FR"/>
        </w:rPr>
        <w:t>la mise en œuvre d</w:t>
      </w:r>
      <w:r>
        <w:rPr>
          <w:snapToGrid w:val="0"/>
          <w:kern w:val="22"/>
          <w:szCs w:val="22"/>
          <w:lang w:val="fr-FR"/>
        </w:rPr>
        <w:t>’</w:t>
      </w:r>
      <w:r w:rsidRPr="00885E78">
        <w:rPr>
          <w:snapToGrid w:val="0"/>
          <w:kern w:val="22"/>
          <w:szCs w:val="22"/>
          <w:lang w:val="fr-FR"/>
        </w:rPr>
        <w:t>indicateurs, y compris des conseils sur l</w:t>
      </w:r>
      <w:r>
        <w:rPr>
          <w:snapToGrid w:val="0"/>
          <w:kern w:val="22"/>
          <w:szCs w:val="22"/>
          <w:lang w:val="fr-FR"/>
        </w:rPr>
        <w:t>’</w:t>
      </w:r>
      <w:r w:rsidRPr="00885E78">
        <w:rPr>
          <w:snapToGrid w:val="0"/>
          <w:kern w:val="22"/>
          <w:szCs w:val="22"/>
          <w:lang w:val="fr-FR"/>
        </w:rPr>
        <w:t>utilisation de définitions harmonisées et convenues pour les indicateurs, sur les meilleures pratiques de suivi et de partage des données nationales, et des conseils scientifiques et techniques sur l</w:t>
      </w:r>
      <w:r>
        <w:rPr>
          <w:snapToGrid w:val="0"/>
          <w:kern w:val="22"/>
          <w:szCs w:val="22"/>
          <w:lang w:val="fr-FR"/>
        </w:rPr>
        <w:t>’</w:t>
      </w:r>
      <w:r w:rsidRPr="00885E78">
        <w:rPr>
          <w:snapToGrid w:val="0"/>
          <w:kern w:val="22"/>
          <w:szCs w:val="22"/>
          <w:lang w:val="fr-FR"/>
        </w:rPr>
        <w:t>amélioration des indicateurs ou l</w:t>
      </w:r>
      <w:r>
        <w:rPr>
          <w:snapToGrid w:val="0"/>
          <w:kern w:val="22"/>
          <w:szCs w:val="22"/>
          <w:lang w:val="fr-FR"/>
        </w:rPr>
        <w:t>’</w:t>
      </w:r>
      <w:r w:rsidRPr="00885E78">
        <w:rPr>
          <w:snapToGrid w:val="0"/>
          <w:kern w:val="22"/>
          <w:szCs w:val="22"/>
          <w:lang w:val="fr-FR"/>
        </w:rPr>
        <w:t>ajout de nouveaux indicat</w:t>
      </w:r>
      <w:r w:rsidR="00164A16">
        <w:rPr>
          <w:snapToGrid w:val="0"/>
          <w:kern w:val="22"/>
          <w:szCs w:val="22"/>
          <w:lang w:val="fr-FR"/>
        </w:rPr>
        <w:t>eurs dans le cadre de suivi du c</w:t>
      </w:r>
      <w:r w:rsidRPr="00885E78">
        <w:rPr>
          <w:snapToGrid w:val="0"/>
          <w:kern w:val="22"/>
          <w:szCs w:val="22"/>
          <w:lang w:val="fr-FR"/>
        </w:rPr>
        <w:t>adre mondial de la biodiversité pour l</w:t>
      </w:r>
      <w:r>
        <w:rPr>
          <w:snapToGrid w:val="0"/>
          <w:kern w:val="22"/>
          <w:szCs w:val="22"/>
          <w:lang w:val="fr-FR"/>
        </w:rPr>
        <w:t>’</w:t>
      </w:r>
      <w:r w:rsidRPr="00885E78">
        <w:rPr>
          <w:snapToGrid w:val="0"/>
          <w:kern w:val="22"/>
          <w:szCs w:val="22"/>
          <w:lang w:val="fr-FR"/>
        </w:rPr>
        <w:t xml:space="preserve">après-2020, y compris les indicateurs pertinents pour le secteur privé et les autres parties prenantes, les </w:t>
      </w:r>
      <w:r>
        <w:rPr>
          <w:snapToGrid w:val="0"/>
          <w:kern w:val="22"/>
          <w:szCs w:val="22"/>
          <w:lang w:val="fr-FR"/>
        </w:rPr>
        <w:t>composantes</w:t>
      </w:r>
      <w:r w:rsidRPr="00885E78">
        <w:rPr>
          <w:snapToGrid w:val="0"/>
          <w:kern w:val="22"/>
          <w:szCs w:val="22"/>
          <w:lang w:val="fr-FR"/>
        </w:rPr>
        <w:t xml:space="preserve"> des rapports nationaux et </w:t>
      </w:r>
      <w:r>
        <w:rPr>
          <w:snapToGrid w:val="0"/>
          <w:kern w:val="22"/>
          <w:szCs w:val="22"/>
          <w:lang w:val="fr-FR"/>
        </w:rPr>
        <w:t>du</w:t>
      </w:r>
      <w:r w:rsidRPr="00885E78">
        <w:rPr>
          <w:snapToGrid w:val="0"/>
          <w:kern w:val="22"/>
          <w:szCs w:val="22"/>
          <w:lang w:val="fr-FR"/>
        </w:rPr>
        <w:t xml:space="preserve"> modèle de rapport national connexe, en tenant compte du système de remise des rapports</w:t>
      </w:r>
      <w:r w:rsidRPr="00E25D75">
        <w:rPr>
          <w:snapToGrid w:val="0"/>
          <w:kern w:val="22"/>
          <w:szCs w:val="22"/>
          <w:lang w:val="fr-FR"/>
        </w:rPr>
        <w:t xml:space="preserve"> </w:t>
      </w:r>
      <w:r w:rsidRPr="00885E78">
        <w:rPr>
          <w:snapToGrid w:val="0"/>
          <w:kern w:val="22"/>
          <w:szCs w:val="22"/>
          <w:lang w:val="fr-FR"/>
        </w:rPr>
        <w:t>nationa</w:t>
      </w:r>
      <w:r>
        <w:rPr>
          <w:snapToGrid w:val="0"/>
          <w:kern w:val="22"/>
          <w:szCs w:val="22"/>
          <w:lang w:val="fr-FR"/>
        </w:rPr>
        <w:t>ux pertinent </w:t>
      </w:r>
      <w:r w:rsidRPr="001751B7">
        <w:rPr>
          <w:snapToGrid w:val="0"/>
          <w:color w:val="000000" w:themeColor="text1"/>
          <w:kern w:val="22"/>
          <w:szCs w:val="22"/>
          <w:lang w:val="fr-FR"/>
        </w:rPr>
        <w:t>;</w:t>
      </w:r>
    </w:p>
    <w:p w14:paraId="583453D4" w14:textId="16657651" w:rsidR="00F7011E" w:rsidRPr="001751B7" w:rsidRDefault="00F7011E" w:rsidP="00F7011E">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fr-FR"/>
        </w:rPr>
      </w:pPr>
      <w:r w:rsidRPr="001751B7">
        <w:rPr>
          <w:snapToGrid w:val="0"/>
          <w:kern w:val="22"/>
          <w:szCs w:val="22"/>
          <w:lang w:val="fr-FR"/>
        </w:rPr>
        <w:t>c)</w:t>
      </w:r>
      <w:r w:rsidRPr="001751B7">
        <w:rPr>
          <w:snapToGrid w:val="0"/>
          <w:kern w:val="22"/>
          <w:szCs w:val="22"/>
          <w:lang w:val="fr-FR"/>
        </w:rPr>
        <w:tab/>
      </w:r>
      <w:r w:rsidRPr="001D025E">
        <w:rPr>
          <w:snapToGrid w:val="0"/>
          <w:kern w:val="22"/>
          <w:szCs w:val="22"/>
          <w:lang w:val="fr-FR"/>
        </w:rPr>
        <w:t>Recommander un modèle de rapport national simple et standardisé, ou l</w:t>
      </w:r>
      <w:r>
        <w:rPr>
          <w:snapToGrid w:val="0"/>
          <w:kern w:val="22"/>
          <w:szCs w:val="22"/>
          <w:lang w:val="fr-FR"/>
        </w:rPr>
        <w:t>’</w:t>
      </w:r>
      <w:r w:rsidRPr="001D025E">
        <w:rPr>
          <w:snapToGrid w:val="0"/>
          <w:kern w:val="22"/>
          <w:szCs w:val="22"/>
          <w:lang w:val="fr-FR"/>
        </w:rPr>
        <w:t>utilisation d</w:t>
      </w:r>
      <w:r>
        <w:rPr>
          <w:snapToGrid w:val="0"/>
          <w:kern w:val="22"/>
          <w:szCs w:val="22"/>
          <w:lang w:val="fr-FR"/>
        </w:rPr>
        <w:t>’</w:t>
      </w:r>
      <w:r w:rsidRPr="001D025E">
        <w:rPr>
          <w:snapToGrid w:val="0"/>
          <w:kern w:val="22"/>
          <w:szCs w:val="22"/>
          <w:lang w:val="fr-FR"/>
        </w:rPr>
        <w:t>un système de</w:t>
      </w:r>
      <w:r>
        <w:rPr>
          <w:snapToGrid w:val="0"/>
          <w:kern w:val="22"/>
          <w:szCs w:val="22"/>
          <w:lang w:val="fr-FR"/>
        </w:rPr>
        <w:t xml:space="preserve"> remise de</w:t>
      </w:r>
      <w:r w:rsidRPr="001D025E">
        <w:rPr>
          <w:snapToGrid w:val="0"/>
          <w:kern w:val="22"/>
          <w:szCs w:val="22"/>
          <w:lang w:val="fr-FR"/>
        </w:rPr>
        <w:t xml:space="preserve"> rapport existant, dans le but de collecter et de présenter des données com</w:t>
      </w:r>
      <w:r w:rsidR="00164A16">
        <w:rPr>
          <w:snapToGrid w:val="0"/>
          <w:kern w:val="22"/>
          <w:szCs w:val="22"/>
          <w:lang w:val="fr-FR"/>
        </w:rPr>
        <w:t>parables sur le financement du c</w:t>
      </w:r>
      <w:bookmarkStart w:id="4" w:name="_GoBack"/>
      <w:bookmarkEnd w:id="4"/>
      <w:r w:rsidRPr="001D025E">
        <w:rPr>
          <w:snapToGrid w:val="0"/>
          <w:kern w:val="22"/>
          <w:szCs w:val="22"/>
          <w:lang w:val="fr-FR"/>
        </w:rPr>
        <w:t>adre mondial pour la biodiversité quelle que soit la source, y compris les niveaux et les tendances</w:t>
      </w:r>
      <w:r>
        <w:rPr>
          <w:snapToGrid w:val="0"/>
          <w:kern w:val="22"/>
          <w:szCs w:val="22"/>
          <w:lang w:val="fr-FR"/>
        </w:rPr>
        <w:t> </w:t>
      </w:r>
      <w:r w:rsidRPr="001751B7">
        <w:rPr>
          <w:snapToGrid w:val="0"/>
          <w:kern w:val="22"/>
          <w:szCs w:val="22"/>
          <w:lang w:val="fr-FR"/>
        </w:rPr>
        <w:t>;</w:t>
      </w:r>
    </w:p>
    <w:p w14:paraId="6A80E014" w14:textId="77777777" w:rsidR="00F7011E" w:rsidRPr="001751B7" w:rsidRDefault="00F7011E" w:rsidP="00F7011E">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fr-FR"/>
        </w:rPr>
      </w:pPr>
      <w:r w:rsidRPr="001751B7">
        <w:rPr>
          <w:snapToGrid w:val="0"/>
          <w:color w:val="000000" w:themeColor="text1"/>
          <w:kern w:val="22"/>
          <w:szCs w:val="22"/>
          <w:lang w:val="fr-FR"/>
        </w:rPr>
        <w:t>d)</w:t>
      </w:r>
      <w:r w:rsidRPr="001751B7">
        <w:rPr>
          <w:snapToGrid w:val="0"/>
          <w:color w:val="000000" w:themeColor="text1"/>
          <w:kern w:val="22"/>
          <w:szCs w:val="22"/>
          <w:lang w:val="fr-FR"/>
        </w:rPr>
        <w:tab/>
      </w:r>
      <w:r w:rsidRPr="00A92EC4">
        <w:rPr>
          <w:snapToGrid w:val="0"/>
          <w:color w:val="000000" w:themeColor="text1"/>
          <w:kern w:val="22"/>
          <w:szCs w:val="22"/>
          <w:lang w:val="fr-FR"/>
        </w:rPr>
        <w:t xml:space="preserve">Fournir des orientations aux Parties sur les moyens de remédier efficacement aux lacunes en matière de données, en reconnaissant les défis spécifiques auxquels sont confrontés les pays en développement Parties </w:t>
      </w:r>
      <w:r>
        <w:rPr>
          <w:snapToGrid w:val="0"/>
          <w:color w:val="000000" w:themeColor="text1"/>
          <w:kern w:val="22"/>
          <w:szCs w:val="22"/>
          <w:lang w:val="fr-FR"/>
        </w:rPr>
        <w:t>en matière de</w:t>
      </w:r>
      <w:r w:rsidRPr="00A92EC4">
        <w:rPr>
          <w:snapToGrid w:val="0"/>
          <w:color w:val="000000" w:themeColor="text1"/>
          <w:kern w:val="22"/>
          <w:szCs w:val="22"/>
          <w:lang w:val="fr-FR"/>
        </w:rPr>
        <w:t xml:space="preserve"> développement et </w:t>
      </w:r>
      <w:r>
        <w:rPr>
          <w:snapToGrid w:val="0"/>
          <w:color w:val="000000" w:themeColor="text1"/>
          <w:kern w:val="22"/>
          <w:szCs w:val="22"/>
          <w:lang w:val="fr-FR"/>
        </w:rPr>
        <w:t>d’</w:t>
      </w:r>
      <w:r w:rsidRPr="00A92EC4">
        <w:rPr>
          <w:snapToGrid w:val="0"/>
          <w:color w:val="000000" w:themeColor="text1"/>
          <w:kern w:val="22"/>
          <w:szCs w:val="22"/>
          <w:lang w:val="fr-FR"/>
        </w:rPr>
        <w:t>accès aux outils d</w:t>
      </w:r>
      <w:r>
        <w:rPr>
          <w:snapToGrid w:val="0"/>
          <w:color w:val="000000" w:themeColor="text1"/>
          <w:kern w:val="22"/>
          <w:szCs w:val="22"/>
          <w:lang w:val="fr-FR"/>
        </w:rPr>
        <w:t>’</w:t>
      </w:r>
      <w:r w:rsidRPr="00A92EC4">
        <w:rPr>
          <w:snapToGrid w:val="0"/>
          <w:color w:val="000000" w:themeColor="text1"/>
          <w:kern w:val="22"/>
          <w:szCs w:val="22"/>
          <w:lang w:val="fr-FR"/>
        </w:rPr>
        <w:t>information</w:t>
      </w:r>
      <w:r>
        <w:rPr>
          <w:snapToGrid w:val="0"/>
          <w:color w:val="000000" w:themeColor="text1"/>
          <w:kern w:val="22"/>
          <w:szCs w:val="22"/>
          <w:lang w:val="fr-FR"/>
        </w:rPr>
        <w:t> </w:t>
      </w:r>
      <w:r w:rsidRPr="001751B7">
        <w:rPr>
          <w:snapToGrid w:val="0"/>
          <w:color w:val="000000" w:themeColor="text1"/>
          <w:kern w:val="22"/>
          <w:szCs w:val="22"/>
          <w:lang w:val="fr-FR"/>
        </w:rPr>
        <w:t>;</w:t>
      </w:r>
    </w:p>
    <w:p w14:paraId="6D2146F7" w14:textId="77777777" w:rsidR="00F7011E" w:rsidRPr="001751B7" w:rsidRDefault="00F7011E" w:rsidP="00F7011E">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1751B7">
        <w:rPr>
          <w:snapToGrid w:val="0"/>
          <w:kern w:val="22"/>
          <w:szCs w:val="22"/>
          <w:lang w:val="fr-FR"/>
        </w:rPr>
        <w:t>e)</w:t>
      </w:r>
      <w:r w:rsidRPr="001751B7">
        <w:rPr>
          <w:snapToGrid w:val="0"/>
          <w:kern w:val="22"/>
          <w:szCs w:val="22"/>
          <w:lang w:val="fr-FR"/>
        </w:rPr>
        <w:tab/>
      </w:r>
      <w:r w:rsidRPr="004E6020">
        <w:rPr>
          <w:snapToGrid w:val="0"/>
          <w:kern w:val="22"/>
          <w:szCs w:val="22"/>
          <w:lang w:val="fr-FR"/>
        </w:rPr>
        <w:t>Fournir des conseils sur les capacités existantes, les lacunes et les besoins en termes de développement des capacités, de transfert de technologie et de besoins de financement liés au suivi et à la remise des rapports financiers.</w:t>
      </w:r>
    </w:p>
    <w:p w14:paraId="30AC5A8E" w14:textId="77777777" w:rsidR="00F7011E" w:rsidRPr="001751B7" w:rsidRDefault="00F7011E" w:rsidP="00F7011E">
      <w:pPr>
        <w:numPr>
          <w:ilvl w:val="0"/>
          <w:numId w:val="19"/>
        </w:numPr>
        <w:suppressLineNumbers/>
        <w:suppressAutoHyphens/>
        <w:kinsoku w:val="0"/>
        <w:overflowPunct w:val="0"/>
        <w:autoSpaceDE w:val="0"/>
        <w:autoSpaceDN w:val="0"/>
        <w:adjustRightInd w:val="0"/>
        <w:snapToGrid w:val="0"/>
        <w:spacing w:before="120" w:after="120"/>
        <w:ind w:left="0" w:hanging="11"/>
        <w:rPr>
          <w:snapToGrid w:val="0"/>
          <w:kern w:val="22"/>
          <w:szCs w:val="22"/>
          <w:lang w:val="fr-FR"/>
        </w:rPr>
      </w:pPr>
      <w:r w:rsidRPr="004E6020">
        <w:rPr>
          <w:snapToGrid w:val="0"/>
          <w:kern w:val="22"/>
          <w:szCs w:val="22"/>
          <w:lang w:val="fr-FR"/>
        </w:rPr>
        <w:t>Le groupe de travail d</w:t>
      </w:r>
      <w:r>
        <w:rPr>
          <w:snapToGrid w:val="0"/>
          <w:kern w:val="22"/>
          <w:szCs w:val="22"/>
          <w:lang w:val="fr-FR"/>
        </w:rPr>
        <w:t>’</w:t>
      </w:r>
      <w:r w:rsidRPr="004E6020">
        <w:rPr>
          <w:snapToGrid w:val="0"/>
          <w:kern w:val="22"/>
          <w:szCs w:val="22"/>
          <w:lang w:val="fr-FR"/>
        </w:rPr>
        <w:t>experts tiendra compte</w:t>
      </w:r>
      <w:r>
        <w:rPr>
          <w:snapToGrid w:val="0"/>
          <w:kern w:val="22"/>
          <w:szCs w:val="22"/>
          <w:lang w:val="fr-FR"/>
        </w:rPr>
        <w:t> </w:t>
      </w:r>
      <w:r w:rsidRPr="001751B7">
        <w:rPr>
          <w:snapToGrid w:val="0"/>
          <w:kern w:val="22"/>
          <w:szCs w:val="22"/>
          <w:lang w:val="fr-FR"/>
        </w:rPr>
        <w:t>:</w:t>
      </w:r>
    </w:p>
    <w:p w14:paraId="5F1AD7EB" w14:textId="77777777" w:rsidR="00F7011E" w:rsidRPr="001751B7" w:rsidRDefault="00F7011E" w:rsidP="00F7011E">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CF2332">
        <w:rPr>
          <w:snapToGrid w:val="0"/>
          <w:kern w:val="22"/>
          <w:szCs w:val="22"/>
          <w:lang w:val="fr-FR"/>
        </w:rPr>
        <w:t xml:space="preserve">Des travaux et des expériences antérieurs au sein de la Convention </w:t>
      </w:r>
      <w:r>
        <w:rPr>
          <w:snapToGrid w:val="0"/>
          <w:kern w:val="22"/>
          <w:szCs w:val="22"/>
          <w:lang w:val="fr-FR"/>
        </w:rPr>
        <w:t>relatifs à</w:t>
      </w:r>
      <w:r w:rsidRPr="00CF2332">
        <w:rPr>
          <w:snapToGrid w:val="0"/>
          <w:kern w:val="22"/>
          <w:szCs w:val="22"/>
          <w:lang w:val="fr-FR"/>
        </w:rPr>
        <w:t xml:space="preserve"> la remise des rapports financiers, y compris les travaux du groupe d</w:t>
      </w:r>
      <w:r>
        <w:rPr>
          <w:snapToGrid w:val="0"/>
          <w:kern w:val="22"/>
          <w:szCs w:val="22"/>
          <w:lang w:val="fr-FR"/>
        </w:rPr>
        <w:t>’</w:t>
      </w:r>
      <w:r w:rsidRPr="00CF2332">
        <w:rPr>
          <w:snapToGrid w:val="0"/>
          <w:kern w:val="22"/>
          <w:szCs w:val="22"/>
          <w:lang w:val="fr-FR"/>
        </w:rPr>
        <w:t xml:space="preserve">experts et </w:t>
      </w:r>
      <w:r>
        <w:rPr>
          <w:snapToGrid w:val="0"/>
          <w:kern w:val="22"/>
          <w:szCs w:val="22"/>
          <w:lang w:val="fr-FR"/>
        </w:rPr>
        <w:t>d</w:t>
      </w:r>
      <w:r w:rsidRPr="00CF2332">
        <w:rPr>
          <w:snapToGrid w:val="0"/>
          <w:kern w:val="22"/>
          <w:szCs w:val="22"/>
          <w:lang w:val="fr-FR"/>
        </w:rPr>
        <w:t>es autres programmes de travail pertinents concernant les indicateurs et le suivi</w:t>
      </w:r>
      <w:r w:rsidRPr="00F7011E">
        <w:rPr>
          <w:lang w:val="fr-CA"/>
        </w:rPr>
        <w:t> </w:t>
      </w:r>
      <w:r w:rsidRPr="001751B7">
        <w:rPr>
          <w:snapToGrid w:val="0"/>
          <w:kern w:val="22"/>
          <w:szCs w:val="22"/>
          <w:lang w:val="fr-FR"/>
        </w:rPr>
        <w:t>;</w:t>
      </w:r>
    </w:p>
    <w:p w14:paraId="23DA4683" w14:textId="77777777" w:rsidR="00F7011E" w:rsidRPr="001751B7" w:rsidRDefault="00F7011E" w:rsidP="00F7011E">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DD3858">
        <w:rPr>
          <w:snapToGrid w:val="0"/>
          <w:kern w:val="22"/>
          <w:szCs w:val="22"/>
          <w:lang w:val="fr-FR"/>
        </w:rPr>
        <w:t>Des plans de financement nationaux ou instruments similaires</w:t>
      </w:r>
      <w:r>
        <w:rPr>
          <w:snapToGrid w:val="0"/>
          <w:kern w:val="22"/>
          <w:szCs w:val="22"/>
          <w:lang w:val="fr-FR"/>
        </w:rPr>
        <w:t> </w:t>
      </w:r>
      <w:r w:rsidRPr="001751B7">
        <w:rPr>
          <w:snapToGrid w:val="0"/>
          <w:kern w:val="22"/>
          <w:szCs w:val="22"/>
          <w:lang w:val="fr-FR"/>
        </w:rPr>
        <w:t>;</w:t>
      </w:r>
    </w:p>
    <w:p w14:paraId="07CFD7E6" w14:textId="7E6A792D" w:rsidR="00F7011E" w:rsidRPr="001751B7" w:rsidRDefault="00F7011E" w:rsidP="00F7011E">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AC690F">
        <w:rPr>
          <w:snapToGrid w:val="0"/>
          <w:color w:val="000000" w:themeColor="text1"/>
          <w:kern w:val="22"/>
          <w:szCs w:val="22"/>
          <w:lang w:val="fr-FR"/>
        </w:rPr>
        <w:t xml:space="preserve">Des normes statistiques et de leur développement dans le cadre du forum intergouvernemental de la Commission statistique </w:t>
      </w:r>
      <w:r w:rsidRPr="001751B7">
        <w:rPr>
          <w:snapToGrid w:val="0"/>
          <w:color w:val="000000" w:themeColor="text1"/>
          <w:kern w:val="22"/>
          <w:szCs w:val="22"/>
          <w:lang w:val="fr-FR"/>
        </w:rPr>
        <w:t>;</w:t>
      </w:r>
    </w:p>
    <w:p w14:paraId="4B9A50E5" w14:textId="585F0AEC" w:rsidR="00F7011E" w:rsidRPr="001751B7" w:rsidRDefault="00F7011E" w:rsidP="00F7011E">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Pr>
          <w:snapToGrid w:val="0"/>
          <w:color w:val="000000" w:themeColor="text1"/>
          <w:kern w:val="22"/>
          <w:szCs w:val="22"/>
          <w:lang w:val="fr-FR"/>
        </w:rPr>
        <w:t xml:space="preserve">De la remise de rapports au regard des </w:t>
      </w:r>
      <w:r w:rsidR="002C20AB">
        <w:rPr>
          <w:snapToGrid w:val="0"/>
          <w:color w:val="000000" w:themeColor="text1"/>
          <w:kern w:val="22"/>
          <w:szCs w:val="22"/>
          <w:lang w:val="fr-FR"/>
        </w:rPr>
        <w:t>objectifs de développement durable</w:t>
      </w:r>
      <w:r>
        <w:rPr>
          <w:snapToGrid w:val="0"/>
          <w:color w:val="000000" w:themeColor="text1"/>
          <w:kern w:val="22"/>
          <w:szCs w:val="22"/>
          <w:lang w:val="fr-FR"/>
        </w:rPr>
        <w:t> </w:t>
      </w:r>
      <w:r w:rsidRPr="001751B7">
        <w:rPr>
          <w:snapToGrid w:val="0"/>
          <w:color w:val="000000" w:themeColor="text1"/>
          <w:kern w:val="22"/>
          <w:szCs w:val="22"/>
          <w:lang w:val="fr-FR"/>
        </w:rPr>
        <w:t>;</w:t>
      </w:r>
    </w:p>
    <w:p w14:paraId="7A1E3FD3" w14:textId="77777777" w:rsidR="00F7011E" w:rsidRPr="001751B7" w:rsidRDefault="00F7011E" w:rsidP="00F7011E">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F364D3">
        <w:rPr>
          <w:snapToGrid w:val="0"/>
          <w:color w:val="000000" w:themeColor="text1"/>
          <w:kern w:val="22"/>
          <w:szCs w:val="22"/>
          <w:lang w:val="fr-FR"/>
        </w:rPr>
        <w:t>Des travaux et des expériences antérieurs avec d</w:t>
      </w:r>
      <w:r>
        <w:rPr>
          <w:snapToGrid w:val="0"/>
          <w:color w:val="000000" w:themeColor="text1"/>
          <w:kern w:val="22"/>
          <w:szCs w:val="22"/>
          <w:lang w:val="fr-FR"/>
        </w:rPr>
        <w:t>’</w:t>
      </w:r>
      <w:r w:rsidRPr="00F364D3">
        <w:rPr>
          <w:snapToGrid w:val="0"/>
          <w:color w:val="000000" w:themeColor="text1"/>
          <w:kern w:val="22"/>
          <w:szCs w:val="22"/>
          <w:lang w:val="fr-FR"/>
        </w:rPr>
        <w:t>autres cadres de suivi mondiaux, régionaux et nationaux pertinents, des accords multilatéraux sur l</w:t>
      </w:r>
      <w:r>
        <w:rPr>
          <w:snapToGrid w:val="0"/>
          <w:color w:val="000000" w:themeColor="text1"/>
          <w:kern w:val="22"/>
          <w:szCs w:val="22"/>
          <w:lang w:val="fr-FR"/>
        </w:rPr>
        <w:t>’</w:t>
      </w:r>
      <w:r w:rsidRPr="00F364D3">
        <w:rPr>
          <w:snapToGrid w:val="0"/>
          <w:color w:val="000000" w:themeColor="text1"/>
          <w:kern w:val="22"/>
          <w:szCs w:val="22"/>
          <w:lang w:val="fr-FR"/>
        </w:rPr>
        <w:t>environnement et des systèmes de connaissances, y compris les travaux de l</w:t>
      </w:r>
      <w:r>
        <w:rPr>
          <w:snapToGrid w:val="0"/>
          <w:color w:val="000000" w:themeColor="text1"/>
          <w:kern w:val="22"/>
          <w:szCs w:val="22"/>
          <w:lang w:val="fr-FR"/>
        </w:rPr>
        <w:t>’</w:t>
      </w:r>
      <w:r w:rsidRPr="00F364D3">
        <w:rPr>
          <w:snapToGrid w:val="0"/>
          <w:color w:val="000000" w:themeColor="text1"/>
          <w:kern w:val="22"/>
          <w:szCs w:val="22"/>
          <w:lang w:val="fr-FR"/>
        </w:rPr>
        <w:t>Initiative de financement de la biodiversité du Programme des Nations Unies pour le développement (</w:t>
      </w:r>
      <w:proofErr w:type="spellStart"/>
      <w:r w:rsidRPr="00F364D3">
        <w:rPr>
          <w:snapToGrid w:val="0"/>
          <w:color w:val="000000" w:themeColor="text1"/>
          <w:kern w:val="22"/>
          <w:szCs w:val="22"/>
          <w:lang w:val="fr-FR"/>
        </w:rPr>
        <w:t>BIOFIN</w:t>
      </w:r>
      <w:proofErr w:type="spellEnd"/>
      <w:r w:rsidRPr="00F364D3">
        <w:rPr>
          <w:snapToGrid w:val="0"/>
          <w:color w:val="000000" w:themeColor="text1"/>
          <w:kern w:val="22"/>
          <w:szCs w:val="22"/>
          <w:lang w:val="fr-FR"/>
        </w:rPr>
        <w:t xml:space="preserve">) </w:t>
      </w:r>
      <w:r>
        <w:rPr>
          <w:snapToGrid w:val="0"/>
          <w:color w:val="000000" w:themeColor="text1"/>
          <w:kern w:val="22"/>
          <w:szCs w:val="22"/>
          <w:lang w:val="fr-FR"/>
        </w:rPr>
        <w:t xml:space="preserve">ainsi que ceux </w:t>
      </w:r>
      <w:r w:rsidRPr="00F364D3">
        <w:rPr>
          <w:snapToGrid w:val="0"/>
          <w:color w:val="000000" w:themeColor="text1"/>
          <w:kern w:val="22"/>
          <w:szCs w:val="22"/>
          <w:lang w:val="fr-FR"/>
        </w:rPr>
        <w:t>de l</w:t>
      </w:r>
      <w:r>
        <w:rPr>
          <w:snapToGrid w:val="0"/>
          <w:color w:val="000000" w:themeColor="text1"/>
          <w:kern w:val="22"/>
          <w:szCs w:val="22"/>
          <w:lang w:val="fr-FR"/>
        </w:rPr>
        <w:t>’</w:t>
      </w:r>
      <w:r w:rsidRPr="00F364D3">
        <w:rPr>
          <w:snapToGrid w:val="0"/>
          <w:color w:val="000000" w:themeColor="text1"/>
          <w:kern w:val="22"/>
          <w:szCs w:val="22"/>
          <w:lang w:val="fr-FR"/>
        </w:rPr>
        <w:t>Organisation de coopération et de développement économiques (OCDE)</w:t>
      </w:r>
      <w:r w:rsidRPr="001751B7">
        <w:rPr>
          <w:snapToGrid w:val="0"/>
          <w:color w:val="000000" w:themeColor="text1"/>
          <w:kern w:val="22"/>
          <w:szCs w:val="22"/>
          <w:lang w:val="fr-FR"/>
        </w:rPr>
        <w:t>.</w:t>
      </w:r>
    </w:p>
    <w:p w14:paraId="75836B4C" w14:textId="049DCC52" w:rsidR="00F7011E" w:rsidRPr="001751B7" w:rsidRDefault="00F7011E" w:rsidP="00F7011E">
      <w:pPr>
        <w:numPr>
          <w:ilvl w:val="0"/>
          <w:numId w:val="22"/>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E217E4">
        <w:rPr>
          <w:snapToGrid w:val="0"/>
          <w:kern w:val="22"/>
          <w:szCs w:val="22"/>
          <w:lang w:val="fr-FR"/>
        </w:rPr>
        <w:t>Le groupe de travail d</w:t>
      </w:r>
      <w:r>
        <w:rPr>
          <w:snapToGrid w:val="0"/>
          <w:kern w:val="22"/>
          <w:szCs w:val="22"/>
          <w:lang w:val="fr-FR"/>
        </w:rPr>
        <w:t>’</w:t>
      </w:r>
      <w:r w:rsidRPr="00E217E4">
        <w:rPr>
          <w:snapToGrid w:val="0"/>
          <w:kern w:val="22"/>
          <w:szCs w:val="22"/>
          <w:lang w:val="fr-FR"/>
        </w:rPr>
        <w:t>experts sera établi sous l</w:t>
      </w:r>
      <w:r>
        <w:rPr>
          <w:snapToGrid w:val="0"/>
          <w:kern w:val="22"/>
          <w:szCs w:val="22"/>
          <w:lang w:val="fr-FR"/>
        </w:rPr>
        <w:t>’</w:t>
      </w:r>
      <w:r w:rsidRPr="00E217E4">
        <w:rPr>
          <w:snapToGrid w:val="0"/>
          <w:kern w:val="22"/>
          <w:szCs w:val="22"/>
          <w:lang w:val="fr-FR"/>
        </w:rPr>
        <w:t xml:space="preserve">égide du </w:t>
      </w:r>
      <w:r>
        <w:rPr>
          <w:snapToGrid w:val="0"/>
          <w:kern w:val="22"/>
          <w:szCs w:val="22"/>
          <w:lang w:val="fr-FR"/>
        </w:rPr>
        <w:t>G</w:t>
      </w:r>
      <w:r w:rsidRPr="00E217E4">
        <w:rPr>
          <w:snapToGrid w:val="0"/>
          <w:kern w:val="22"/>
          <w:szCs w:val="22"/>
          <w:lang w:val="fr-FR"/>
        </w:rPr>
        <w:t>roupe spécial d</w:t>
      </w:r>
      <w:r>
        <w:rPr>
          <w:snapToGrid w:val="0"/>
          <w:kern w:val="22"/>
          <w:szCs w:val="22"/>
          <w:lang w:val="fr-FR"/>
        </w:rPr>
        <w:t>’</w:t>
      </w:r>
      <w:r w:rsidRPr="00E217E4">
        <w:rPr>
          <w:snapToGrid w:val="0"/>
          <w:kern w:val="22"/>
          <w:szCs w:val="22"/>
          <w:lang w:val="fr-FR"/>
        </w:rPr>
        <w:t>experts techniques qui a été créé pour prodiguer des conseils sur la poursuite de l</w:t>
      </w:r>
      <w:r>
        <w:rPr>
          <w:snapToGrid w:val="0"/>
          <w:kern w:val="22"/>
          <w:szCs w:val="22"/>
          <w:lang w:val="fr-FR"/>
        </w:rPr>
        <w:t>’</w:t>
      </w:r>
      <w:r w:rsidRPr="00E217E4">
        <w:rPr>
          <w:snapToGrid w:val="0"/>
          <w:kern w:val="22"/>
          <w:szCs w:val="22"/>
          <w:lang w:val="fr-FR"/>
        </w:rPr>
        <w:t>opérationn</w:t>
      </w:r>
      <w:r w:rsidR="00164A16">
        <w:rPr>
          <w:snapToGrid w:val="0"/>
          <w:kern w:val="22"/>
          <w:szCs w:val="22"/>
          <w:lang w:val="fr-FR"/>
        </w:rPr>
        <w:t>alisation du cadre de suivi du c</w:t>
      </w:r>
      <w:r w:rsidRPr="00E217E4">
        <w:rPr>
          <w:snapToGrid w:val="0"/>
          <w:kern w:val="22"/>
          <w:szCs w:val="22"/>
          <w:lang w:val="fr-FR"/>
        </w:rPr>
        <w:t>adre mondial de la biodiversité pour l</w:t>
      </w:r>
      <w:r>
        <w:rPr>
          <w:snapToGrid w:val="0"/>
          <w:kern w:val="22"/>
          <w:szCs w:val="22"/>
          <w:lang w:val="fr-FR"/>
        </w:rPr>
        <w:t>’</w:t>
      </w:r>
      <w:r w:rsidRPr="00E217E4">
        <w:rPr>
          <w:snapToGrid w:val="0"/>
          <w:kern w:val="22"/>
          <w:szCs w:val="22"/>
          <w:lang w:val="fr-FR"/>
        </w:rPr>
        <w:t>après-2020, conformément au paragraphe 6 du mandat dudit groupe</w:t>
      </w:r>
      <w:r>
        <w:rPr>
          <w:rStyle w:val="Appelnotedebasdep"/>
          <w:snapToGrid w:val="0"/>
          <w:kern w:val="22"/>
          <w:szCs w:val="22"/>
          <w:lang w:val="fr-FR"/>
        </w:rPr>
        <w:footnoteReference w:id="4"/>
      </w:r>
      <w:r w:rsidRPr="00E217E4">
        <w:rPr>
          <w:snapToGrid w:val="0"/>
          <w:kern w:val="22"/>
          <w:szCs w:val="22"/>
          <w:lang w:val="fr-FR"/>
        </w:rPr>
        <w:t xml:space="preserve">, en tenant compte de </w:t>
      </w:r>
      <w:r w:rsidRPr="00E217E4">
        <w:rPr>
          <w:snapToGrid w:val="0"/>
          <w:kern w:val="22"/>
          <w:szCs w:val="22"/>
          <w:lang w:val="fr-FR"/>
        </w:rPr>
        <w:lastRenderedPageBreak/>
        <w:t>l</w:t>
      </w:r>
      <w:r>
        <w:rPr>
          <w:snapToGrid w:val="0"/>
          <w:kern w:val="22"/>
          <w:szCs w:val="22"/>
          <w:lang w:val="fr-FR"/>
        </w:rPr>
        <w:t>’</w:t>
      </w:r>
      <w:r w:rsidRPr="00E217E4">
        <w:rPr>
          <w:snapToGrid w:val="0"/>
          <w:kern w:val="22"/>
          <w:szCs w:val="22"/>
          <w:lang w:val="fr-FR"/>
        </w:rPr>
        <w:t>équilibre géographique. Le groupe sera composé d</w:t>
      </w:r>
      <w:r>
        <w:rPr>
          <w:snapToGrid w:val="0"/>
          <w:kern w:val="22"/>
          <w:szCs w:val="22"/>
          <w:lang w:val="fr-FR"/>
        </w:rPr>
        <w:t>’</w:t>
      </w:r>
      <w:r w:rsidRPr="00E217E4">
        <w:rPr>
          <w:snapToGrid w:val="0"/>
          <w:kern w:val="22"/>
          <w:szCs w:val="22"/>
          <w:lang w:val="fr-FR"/>
        </w:rPr>
        <w:t>experts techniques sur les statistiques de financement de la biodiversité issus des Parties ainsi que d</w:t>
      </w:r>
      <w:r>
        <w:rPr>
          <w:snapToGrid w:val="0"/>
          <w:kern w:val="22"/>
          <w:szCs w:val="22"/>
          <w:lang w:val="fr-FR"/>
        </w:rPr>
        <w:t>’</w:t>
      </w:r>
      <w:r w:rsidRPr="00E217E4">
        <w:rPr>
          <w:snapToGrid w:val="0"/>
          <w:kern w:val="22"/>
          <w:szCs w:val="22"/>
          <w:lang w:val="fr-FR"/>
        </w:rPr>
        <w:t>observateurs et d</w:t>
      </w:r>
      <w:r>
        <w:rPr>
          <w:snapToGrid w:val="0"/>
          <w:kern w:val="22"/>
          <w:szCs w:val="22"/>
          <w:lang w:val="fr-FR"/>
        </w:rPr>
        <w:t>’</w:t>
      </w:r>
      <w:r w:rsidRPr="00E217E4">
        <w:rPr>
          <w:snapToGrid w:val="0"/>
          <w:kern w:val="22"/>
          <w:szCs w:val="22"/>
          <w:lang w:val="fr-FR"/>
        </w:rPr>
        <w:t>autres organisations compétentes.</w:t>
      </w:r>
    </w:p>
    <w:p w14:paraId="4DB8474F" w14:textId="77777777" w:rsidR="00F7011E" w:rsidRPr="001751B7" w:rsidRDefault="00F7011E" w:rsidP="00F7011E">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lang w:val="fr-FR"/>
        </w:rPr>
      </w:pPr>
      <w:r w:rsidRPr="00F13254">
        <w:rPr>
          <w:snapToGrid w:val="0"/>
          <w:kern w:val="22"/>
          <w:szCs w:val="22"/>
          <w:lang w:val="fr-FR"/>
        </w:rPr>
        <w:t>Le groupe de travail d</w:t>
      </w:r>
      <w:r>
        <w:rPr>
          <w:snapToGrid w:val="0"/>
          <w:kern w:val="22"/>
          <w:szCs w:val="22"/>
          <w:lang w:val="fr-FR"/>
        </w:rPr>
        <w:t>’</w:t>
      </w:r>
      <w:r w:rsidRPr="00F13254">
        <w:rPr>
          <w:snapToGrid w:val="0"/>
          <w:kern w:val="22"/>
          <w:szCs w:val="22"/>
          <w:lang w:val="fr-FR"/>
        </w:rPr>
        <w:t>experts élira deux co-présidents parmi ses membres</w:t>
      </w:r>
      <w:r w:rsidRPr="001751B7">
        <w:rPr>
          <w:snapToGrid w:val="0"/>
          <w:kern w:val="22"/>
          <w:szCs w:val="22"/>
          <w:lang w:val="fr-FR"/>
        </w:rPr>
        <w:t>.</w:t>
      </w:r>
    </w:p>
    <w:p w14:paraId="31946F8D" w14:textId="7A8DCAA4" w:rsidR="00F7011E" w:rsidRPr="001751B7" w:rsidRDefault="00F7011E" w:rsidP="00F7011E">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lang w:val="fr-FR"/>
        </w:rPr>
      </w:pPr>
      <w:r w:rsidRPr="00F13254">
        <w:rPr>
          <w:snapToGrid w:val="0"/>
          <w:kern w:val="22"/>
          <w:szCs w:val="22"/>
          <w:lang w:val="fr-FR"/>
        </w:rPr>
        <w:t>Le groupe de travail d</w:t>
      </w:r>
      <w:r>
        <w:rPr>
          <w:snapToGrid w:val="0"/>
          <w:kern w:val="22"/>
          <w:szCs w:val="22"/>
          <w:lang w:val="fr-FR"/>
        </w:rPr>
        <w:t>’</w:t>
      </w:r>
      <w:r w:rsidRPr="00F13254">
        <w:rPr>
          <w:snapToGrid w:val="0"/>
          <w:kern w:val="22"/>
          <w:szCs w:val="22"/>
          <w:lang w:val="fr-FR"/>
        </w:rPr>
        <w:t>experts travaillera en étroite coordination avec le groupe spécial d</w:t>
      </w:r>
      <w:r>
        <w:rPr>
          <w:snapToGrid w:val="0"/>
          <w:kern w:val="22"/>
          <w:szCs w:val="22"/>
          <w:lang w:val="fr-FR"/>
        </w:rPr>
        <w:t>’</w:t>
      </w:r>
      <w:r w:rsidRPr="00F13254">
        <w:rPr>
          <w:snapToGrid w:val="0"/>
          <w:kern w:val="22"/>
          <w:szCs w:val="22"/>
          <w:lang w:val="fr-FR"/>
        </w:rPr>
        <w:t>experts techniques qui a été créé pour donner des conseils sur la poursuite de l</w:t>
      </w:r>
      <w:r>
        <w:rPr>
          <w:snapToGrid w:val="0"/>
          <w:kern w:val="22"/>
          <w:szCs w:val="22"/>
          <w:lang w:val="fr-FR"/>
        </w:rPr>
        <w:t>’</w:t>
      </w:r>
      <w:r w:rsidRPr="00F13254">
        <w:rPr>
          <w:snapToGrid w:val="0"/>
          <w:kern w:val="22"/>
          <w:szCs w:val="22"/>
          <w:lang w:val="fr-FR"/>
        </w:rPr>
        <w:t>opérationn</w:t>
      </w:r>
      <w:r w:rsidR="00164A16">
        <w:rPr>
          <w:snapToGrid w:val="0"/>
          <w:kern w:val="22"/>
          <w:szCs w:val="22"/>
          <w:lang w:val="fr-FR"/>
        </w:rPr>
        <w:t>alisation du cadre de suivi du c</w:t>
      </w:r>
      <w:r w:rsidRPr="00F13254">
        <w:rPr>
          <w:snapToGrid w:val="0"/>
          <w:kern w:val="22"/>
          <w:szCs w:val="22"/>
          <w:lang w:val="fr-FR"/>
        </w:rPr>
        <w:t>adre mondial de la biodiversité pour l</w:t>
      </w:r>
      <w:r>
        <w:rPr>
          <w:snapToGrid w:val="0"/>
          <w:kern w:val="22"/>
          <w:szCs w:val="22"/>
          <w:lang w:val="fr-FR"/>
        </w:rPr>
        <w:t>’</w:t>
      </w:r>
      <w:r w:rsidRPr="00F13254">
        <w:rPr>
          <w:snapToGrid w:val="0"/>
          <w:kern w:val="22"/>
          <w:szCs w:val="22"/>
          <w:lang w:val="fr-FR"/>
        </w:rPr>
        <w:t>après-2020, afin d</w:t>
      </w:r>
      <w:r>
        <w:rPr>
          <w:snapToGrid w:val="0"/>
          <w:kern w:val="22"/>
          <w:szCs w:val="22"/>
          <w:lang w:val="fr-FR"/>
        </w:rPr>
        <w:t>’</w:t>
      </w:r>
      <w:r w:rsidRPr="00F13254">
        <w:rPr>
          <w:snapToGrid w:val="0"/>
          <w:kern w:val="22"/>
          <w:szCs w:val="22"/>
          <w:lang w:val="fr-FR"/>
        </w:rPr>
        <w:t>éviter tout chevauchement des mandats et toute redondance des travaux.</w:t>
      </w:r>
    </w:p>
    <w:p w14:paraId="26884380" w14:textId="77777777" w:rsidR="00F7011E" w:rsidRPr="001751B7" w:rsidRDefault="00F7011E" w:rsidP="00F7011E">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lang w:val="fr-FR"/>
        </w:rPr>
      </w:pPr>
      <w:r w:rsidRPr="00F13254">
        <w:rPr>
          <w:snapToGrid w:val="0"/>
          <w:kern w:val="22"/>
          <w:szCs w:val="22"/>
          <w:lang w:val="fr-FR"/>
        </w:rPr>
        <w:t>Le groupe de travail d</w:t>
      </w:r>
      <w:r>
        <w:rPr>
          <w:snapToGrid w:val="0"/>
          <w:kern w:val="22"/>
          <w:szCs w:val="22"/>
          <w:lang w:val="fr-FR"/>
        </w:rPr>
        <w:t>’</w:t>
      </w:r>
      <w:r w:rsidRPr="00F13254">
        <w:rPr>
          <w:snapToGrid w:val="0"/>
          <w:kern w:val="22"/>
          <w:szCs w:val="22"/>
          <w:lang w:val="fr-FR"/>
        </w:rPr>
        <w:t>experts mènera principalement ses travaux par voie électronique et, dans la limite des ressources financières disponibles, se réunira également en personne, si possible au moins deux fois au cours de la période intersessions.</w:t>
      </w:r>
    </w:p>
    <w:p w14:paraId="54923FB8" w14:textId="77777777" w:rsidR="00F7011E" w:rsidRPr="00D737A9" w:rsidRDefault="00F7011E" w:rsidP="00F7011E">
      <w:pPr>
        <w:pStyle w:val="Paragraphedeliste"/>
        <w:numPr>
          <w:ilvl w:val="0"/>
          <w:numId w:val="22"/>
        </w:numPr>
        <w:suppressLineNumbers/>
        <w:suppressAutoHyphens/>
        <w:kinsoku w:val="0"/>
        <w:overflowPunct w:val="0"/>
        <w:autoSpaceDE w:val="0"/>
        <w:autoSpaceDN w:val="0"/>
        <w:adjustRightInd w:val="0"/>
        <w:snapToGrid w:val="0"/>
        <w:spacing w:before="120" w:after="120"/>
        <w:ind w:left="0" w:firstLine="0"/>
        <w:rPr>
          <w:snapToGrid w:val="0"/>
          <w:color w:val="000000" w:themeColor="text1"/>
          <w:kern w:val="22"/>
          <w:szCs w:val="22"/>
          <w:lang w:val="fr-FR"/>
        </w:rPr>
      </w:pPr>
      <w:r w:rsidRPr="00D737A9">
        <w:rPr>
          <w:snapToGrid w:val="0"/>
          <w:color w:val="000000" w:themeColor="text1"/>
          <w:kern w:val="22"/>
          <w:szCs w:val="22"/>
          <w:lang w:val="fr-FR"/>
        </w:rPr>
        <w:t>Le groupe de travail d’experts devrait être créé lors de la première réunion du groupe spécial d’experts techniques et commencer ses travaux immédiatement après celle-ci, afin de donner des conseils sur la poursuite de l’opérationnalisation du cadre de suivi. Il rendra compte de ses travaux par l’intermédiaire du groupe spécial d’experts techniques à l’Organe subsidiaire chargé de l’application et à l’Organe subsidiaire chargé de fournir des avis scientifiques, techniques et technologiques lors des réunions précédant la seizième réunion de la Conférence des Parties.</w:t>
      </w:r>
    </w:p>
    <w:p w14:paraId="594AC345" w14:textId="1553FE69" w:rsidR="00552674" w:rsidRPr="00F7011E" w:rsidRDefault="00552674" w:rsidP="00552674">
      <w:pPr>
        <w:suppressLineNumbers/>
        <w:suppressAutoHyphens/>
        <w:kinsoku w:val="0"/>
        <w:overflowPunct w:val="0"/>
        <w:autoSpaceDE w:val="0"/>
        <w:autoSpaceDN w:val="0"/>
        <w:adjustRightInd w:val="0"/>
        <w:snapToGrid w:val="0"/>
        <w:spacing w:before="120" w:after="120"/>
        <w:rPr>
          <w:snapToGrid w:val="0"/>
          <w:color w:val="000000" w:themeColor="text1"/>
          <w:kern w:val="22"/>
          <w:szCs w:val="22"/>
          <w:lang w:val="fr-FR"/>
        </w:rPr>
      </w:pPr>
    </w:p>
    <w:p w14:paraId="5E4568FB" w14:textId="24C86519" w:rsidR="00253107" w:rsidRPr="00A54C34" w:rsidRDefault="00BF6528" w:rsidP="00563AC1">
      <w:pPr>
        <w:suppressLineNumbers/>
        <w:suppressAutoHyphens/>
        <w:kinsoku w:val="0"/>
        <w:overflowPunct w:val="0"/>
        <w:autoSpaceDE w:val="0"/>
        <w:autoSpaceDN w:val="0"/>
        <w:adjustRightInd w:val="0"/>
        <w:snapToGrid w:val="0"/>
        <w:spacing w:before="120" w:after="120"/>
        <w:jc w:val="center"/>
        <w:rPr>
          <w:highlight w:val="yellow"/>
        </w:rPr>
      </w:pPr>
      <w:r>
        <w:rPr>
          <w:szCs w:val="22"/>
          <w:lang w:val="en-CA"/>
        </w:rPr>
        <w:t>_________</w:t>
      </w:r>
    </w:p>
    <w:sectPr w:rsidR="00253107" w:rsidRPr="00A54C34" w:rsidSect="00BF6528">
      <w:headerReference w:type="default" r:id="rId17"/>
      <w:type w:val="continuous"/>
      <w:pgSz w:w="12240" w:h="15840"/>
      <w:pgMar w:top="851" w:right="1183"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E199F" w14:textId="77777777" w:rsidR="00B058F5" w:rsidRDefault="00B058F5" w:rsidP="00CF1848">
      <w:r>
        <w:separator/>
      </w:r>
    </w:p>
  </w:endnote>
  <w:endnote w:type="continuationSeparator" w:id="0">
    <w:p w14:paraId="1F2F4D34" w14:textId="77777777" w:rsidR="00B058F5" w:rsidRDefault="00B058F5" w:rsidP="00CF1848">
      <w:r>
        <w:continuationSeparator/>
      </w:r>
    </w:p>
  </w:endnote>
  <w:endnote w:type="continuationNotice" w:id="1">
    <w:p w14:paraId="59428B8A" w14:textId="77777777" w:rsidR="00B058F5" w:rsidRDefault="00B05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DengXian">
    <w:altName w:val="等线"/>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620FA" w14:textId="77777777" w:rsidR="00B058F5" w:rsidRDefault="00B058F5" w:rsidP="00CF1848">
      <w:r>
        <w:separator/>
      </w:r>
    </w:p>
  </w:footnote>
  <w:footnote w:type="continuationSeparator" w:id="0">
    <w:p w14:paraId="3DCC3E83" w14:textId="77777777" w:rsidR="00B058F5" w:rsidRDefault="00B058F5" w:rsidP="00CF1848">
      <w:r>
        <w:continuationSeparator/>
      </w:r>
    </w:p>
  </w:footnote>
  <w:footnote w:type="continuationNotice" w:id="1">
    <w:p w14:paraId="58CD5074" w14:textId="77777777" w:rsidR="00B058F5" w:rsidRDefault="00B058F5"/>
  </w:footnote>
  <w:footnote w:id="2">
    <w:p w14:paraId="09A354DB" w14:textId="77777777" w:rsidR="00F7011E" w:rsidRPr="002A03EF" w:rsidRDefault="00F7011E" w:rsidP="00F7011E">
      <w:pPr>
        <w:pStyle w:val="Notedebasdepage"/>
        <w:rPr>
          <w:lang w:val="fr-FR"/>
        </w:rPr>
      </w:pPr>
      <w:r w:rsidRPr="002A03EF">
        <w:rPr>
          <w:rStyle w:val="Appelnotedebasdep"/>
          <w:lang w:val="fr-FR"/>
        </w:rPr>
        <w:footnoteRef/>
      </w:r>
      <w:r w:rsidRPr="002A03EF">
        <w:rPr>
          <w:lang w:val="fr-FR"/>
        </w:rPr>
        <w:t xml:space="preserve"> Décision 15/--</w:t>
      </w:r>
    </w:p>
  </w:footnote>
  <w:footnote w:id="3">
    <w:p w14:paraId="59FB1552" w14:textId="77777777" w:rsidR="00F7011E" w:rsidRPr="002A03EF" w:rsidRDefault="00F7011E" w:rsidP="00F7011E">
      <w:pPr>
        <w:pStyle w:val="Notedebasdepage"/>
        <w:ind w:firstLine="0"/>
        <w:rPr>
          <w:lang w:val="fr-FR"/>
        </w:rPr>
      </w:pPr>
      <w:r w:rsidRPr="002A03EF">
        <w:rPr>
          <w:rStyle w:val="Appelnotedebasdep"/>
          <w:lang w:val="fr-FR"/>
        </w:rPr>
        <w:footnoteRef/>
      </w:r>
      <w:r w:rsidRPr="002A03EF">
        <w:rPr>
          <w:lang w:val="fr-FR"/>
        </w:rPr>
        <w:t xml:space="preserve"> Se réfère aux objectifs et aux cibles telles que </w:t>
      </w:r>
      <w:r>
        <w:rPr>
          <w:lang w:val="fr-FR"/>
        </w:rPr>
        <w:t xml:space="preserve">formulés </w:t>
      </w:r>
      <w:r w:rsidRPr="002A03EF">
        <w:rPr>
          <w:lang w:val="fr-FR"/>
        </w:rPr>
        <w:t xml:space="preserve">dans le premier projet de cadre mondial de la biodiversité, </w:t>
      </w:r>
      <w:r>
        <w:rPr>
          <w:lang w:val="fr-FR"/>
        </w:rPr>
        <w:t>figurant</w:t>
      </w:r>
      <w:r w:rsidRPr="002A03EF">
        <w:rPr>
          <w:lang w:val="fr-FR"/>
        </w:rPr>
        <w:t xml:space="preserve"> dan</w:t>
      </w:r>
      <w:r>
        <w:rPr>
          <w:lang w:val="fr-FR"/>
        </w:rPr>
        <w:t>s le document CBD/WG2020/3/3.</w:t>
      </w:r>
    </w:p>
  </w:footnote>
  <w:footnote w:id="4">
    <w:p w14:paraId="106DDABC" w14:textId="77777777" w:rsidR="00F7011E" w:rsidRPr="002868A5" w:rsidRDefault="00F7011E" w:rsidP="00F7011E">
      <w:pPr>
        <w:pStyle w:val="Notedebasdepage"/>
        <w:ind w:firstLine="0"/>
        <w:rPr>
          <w:lang w:val="fr-FR"/>
        </w:rPr>
      </w:pPr>
      <w:r>
        <w:rPr>
          <w:rStyle w:val="Appelnotedebasdep"/>
        </w:rPr>
        <w:footnoteRef/>
      </w:r>
      <w:r w:rsidRPr="00F7011E">
        <w:rPr>
          <w:lang w:val="fr-CA"/>
        </w:rPr>
        <w:t xml:space="preserve"> </w:t>
      </w:r>
      <w:r>
        <w:rPr>
          <w:lang w:val="fr-FR"/>
        </w:rPr>
        <w:t>Décision 15/-- au titre du point 9B de l’ordre du jour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61448" w14:textId="40C56826" w:rsidR="0088357D" w:rsidRPr="00C9161D" w:rsidRDefault="00B058F5" w:rsidP="0088357D">
    <w:pPr>
      <w:rPr>
        <w:szCs w:val="22"/>
      </w:rPr>
    </w:pPr>
    <w:sdt>
      <w:sdtPr>
        <w:rPr>
          <w:lang w:val="en-US"/>
        </w:rPr>
        <w:alias w:val="Subject"/>
        <w:tag w:val=""/>
        <w:id w:val="-1793822130"/>
        <w:placeholder>
          <w:docPart w:val="B5BA01E24CDB4220A8B14B40AC29D261"/>
        </w:placeholder>
        <w:dataBinding w:prefixMappings="xmlns:ns0='http://purl.org/dc/elements/1.1/' xmlns:ns1='http://schemas.openxmlformats.org/package/2006/metadata/core-properties' " w:xpath="/ns1:coreProperties[1]/ns0:subject[1]" w:storeItemID="{6C3C8BC8-F283-45AE-878A-BAB7291924A1}"/>
        <w:text/>
      </w:sdtPr>
      <w:sdtEndPr/>
      <w:sdtContent>
        <w:r w:rsidR="004355F8">
          <w:rPr>
            <w:lang w:val="en-US"/>
          </w:rPr>
          <w:t>CBD/COP/15/L.29</w:t>
        </w:r>
      </w:sdtContent>
    </w:sdt>
  </w:p>
  <w:p w14:paraId="5DC3BC77" w14:textId="28D6F608" w:rsidR="00BF6528" w:rsidRPr="00C84587" w:rsidRDefault="00BF6528" w:rsidP="0088357D">
    <w:pPr>
      <w:pStyle w:val="En-tte"/>
      <w:tabs>
        <w:tab w:val="clear" w:pos="4320"/>
        <w:tab w:val="clear" w:pos="8640"/>
      </w:tabs>
      <w:spacing w:after="240"/>
      <w:jc w:val="left"/>
      <w:rPr>
        <w:noProof/>
        <w:lang w:val="fr-FR"/>
      </w:rPr>
    </w:pPr>
    <w:r>
      <w:rPr>
        <w:noProof/>
        <w:lang w:val="fr-FR"/>
      </w:rPr>
      <w:t xml:space="preserve">Page </w:t>
    </w:r>
    <w:r w:rsidRPr="00BF6528">
      <w:rPr>
        <w:noProof/>
        <w:lang w:val="fr-FR"/>
      </w:rPr>
      <w:fldChar w:fldCharType="begin"/>
    </w:r>
    <w:r w:rsidRPr="00BF6528">
      <w:rPr>
        <w:noProof/>
        <w:lang w:val="fr-FR"/>
      </w:rPr>
      <w:instrText xml:space="preserve"> PAGE   \* MERGEFORMAT </w:instrText>
    </w:r>
    <w:r w:rsidRPr="00BF6528">
      <w:rPr>
        <w:noProof/>
        <w:lang w:val="fr-FR"/>
      </w:rPr>
      <w:fldChar w:fldCharType="separate"/>
    </w:r>
    <w:r w:rsidR="00164A16">
      <w:rPr>
        <w:noProof/>
        <w:lang w:val="fr-FR"/>
      </w:rPr>
      <w:t>14</w:t>
    </w:r>
    <w:r w:rsidRPr="00BF6528">
      <w:rPr>
        <w:noProof/>
        <w:lang w:val="fr-F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A04DC" w14:textId="1B8422F8" w:rsidR="00BF6528" w:rsidRPr="00BF6528" w:rsidRDefault="00BF6528" w:rsidP="00BF6528">
    <w:pPr>
      <w:pStyle w:val="En-tte"/>
      <w:spacing w:after="120"/>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88FAE" w14:textId="62E54272" w:rsidR="0088357D" w:rsidRPr="00C9161D" w:rsidRDefault="00B058F5" w:rsidP="0088357D">
    <w:pPr>
      <w:ind w:left="1215"/>
      <w:jc w:val="right"/>
      <w:rPr>
        <w:szCs w:val="22"/>
      </w:rPr>
    </w:pPr>
    <w:sdt>
      <w:sdtPr>
        <w:rPr>
          <w:lang w:val="en-US"/>
        </w:rPr>
        <w:alias w:val="Subject"/>
        <w:tag w:val=""/>
        <w:id w:val="-740550182"/>
        <w:placeholder>
          <w:docPart w:val="DA0A4D73DAE14F8582474465AAA8DF8E"/>
        </w:placeholder>
        <w:dataBinding w:prefixMappings="xmlns:ns0='http://purl.org/dc/elements/1.1/' xmlns:ns1='http://schemas.openxmlformats.org/package/2006/metadata/core-properties' " w:xpath="/ns1:coreProperties[1]/ns0:subject[1]" w:storeItemID="{6C3C8BC8-F283-45AE-878A-BAB7291924A1}"/>
        <w:text/>
      </w:sdtPr>
      <w:sdtEndPr/>
      <w:sdtContent>
        <w:r w:rsidR="004355F8">
          <w:rPr>
            <w:lang w:val="en-US"/>
          </w:rPr>
          <w:t>CBD/COP/15/L.29</w:t>
        </w:r>
      </w:sdtContent>
    </w:sdt>
  </w:p>
  <w:p w14:paraId="1BC14203" w14:textId="1A3EBAC1" w:rsidR="00BF6528" w:rsidRPr="00BF6528" w:rsidRDefault="00BF6528" w:rsidP="00BF6528">
    <w:pPr>
      <w:pStyle w:val="En-tte"/>
      <w:tabs>
        <w:tab w:val="clear" w:pos="4320"/>
        <w:tab w:val="clear" w:pos="8640"/>
      </w:tabs>
      <w:spacing w:after="240"/>
      <w:jc w:val="right"/>
      <w:rPr>
        <w:noProof/>
        <w:lang w:val="fr-FR"/>
      </w:rPr>
    </w:pPr>
    <w:r>
      <w:rPr>
        <w:noProof/>
        <w:lang w:val="fr-FR"/>
      </w:rPr>
      <w:t xml:space="preserve">Page </w:t>
    </w:r>
    <w:r w:rsidRPr="00BF6528">
      <w:rPr>
        <w:noProof/>
        <w:lang w:val="fr-FR"/>
      </w:rPr>
      <w:fldChar w:fldCharType="begin"/>
    </w:r>
    <w:r w:rsidRPr="00BF6528">
      <w:rPr>
        <w:noProof/>
        <w:lang w:val="fr-FR"/>
      </w:rPr>
      <w:instrText xml:space="preserve"> PAGE   \* MERGEFORMAT </w:instrText>
    </w:r>
    <w:r w:rsidRPr="00BF6528">
      <w:rPr>
        <w:noProof/>
        <w:lang w:val="fr-FR"/>
      </w:rPr>
      <w:fldChar w:fldCharType="separate"/>
    </w:r>
    <w:r w:rsidR="00164A16">
      <w:rPr>
        <w:noProof/>
        <w:lang w:val="fr-FR"/>
      </w:rPr>
      <w:t>13</w:t>
    </w:r>
    <w:r w:rsidRPr="00BF6528">
      <w:rPr>
        <w:noProof/>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4E060EA"/>
    <w:multiLevelType w:val="hybridMultilevel"/>
    <w:tmpl w:val="6FB874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D6711"/>
    <w:multiLevelType w:val="hybridMultilevel"/>
    <w:tmpl w:val="6A98CF3A"/>
    <w:lvl w:ilvl="0" w:tplc="FFFFFFFF">
      <w:start w:val="1"/>
      <w:numFmt w:val="decimal"/>
      <w:lvlText w:val="%1."/>
      <w:lvlJc w:val="left"/>
      <w:pPr>
        <w:ind w:left="720" w:hanging="360"/>
      </w:p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F771B"/>
    <w:multiLevelType w:val="hybridMultilevel"/>
    <w:tmpl w:val="340E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0A47"/>
    <w:multiLevelType w:val="hybridMultilevel"/>
    <w:tmpl w:val="EC16B13C"/>
    <w:lvl w:ilvl="0" w:tplc="0AF6E372">
      <w:start w:val="3"/>
      <w:numFmt w:val="decimal"/>
      <w:lvlText w:val="%1."/>
      <w:lvlJc w:val="left"/>
      <w:pPr>
        <w:ind w:left="720" w:hanging="360"/>
      </w:pPr>
      <w:rPr>
        <w:rFonts w:ascii="Times New Roman" w:eastAsiaTheme="minorHAnsi"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417EB"/>
    <w:multiLevelType w:val="hybridMultilevel"/>
    <w:tmpl w:val="F976D572"/>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C0C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674C6E"/>
    <w:multiLevelType w:val="multilevel"/>
    <w:tmpl w:val="6A4C67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572D33"/>
    <w:multiLevelType w:val="hybridMultilevel"/>
    <w:tmpl w:val="5D1C5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452E76"/>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91C4B38"/>
    <w:multiLevelType w:val="hybridMultilevel"/>
    <w:tmpl w:val="12DE2F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C0017">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874A3A"/>
    <w:multiLevelType w:val="hybridMultilevel"/>
    <w:tmpl w:val="FFF29392"/>
    <w:lvl w:ilvl="0" w:tplc="08130005">
      <w:start w:val="1"/>
      <w:numFmt w:val="bullet"/>
      <w:lvlText w:val=""/>
      <w:lvlJc w:val="left"/>
      <w:pPr>
        <w:ind w:left="360" w:hanging="360"/>
      </w:pPr>
      <w:rPr>
        <w:rFonts w:ascii="Wingdings" w:hAnsi="Wingdings" w:hint="default"/>
      </w:rPr>
    </w:lvl>
    <w:lvl w:ilvl="1" w:tplc="0813000D">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C573C51"/>
    <w:multiLevelType w:val="hybridMultilevel"/>
    <w:tmpl w:val="5746A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270276D"/>
    <w:multiLevelType w:val="hybridMultilevel"/>
    <w:tmpl w:val="96E8C0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D7E80"/>
    <w:multiLevelType w:val="hybridMultilevel"/>
    <w:tmpl w:val="3B9EAB28"/>
    <w:lvl w:ilvl="0" w:tplc="D3F04868">
      <w:start w:val="13"/>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A173723"/>
    <w:multiLevelType w:val="hybridMultilevel"/>
    <w:tmpl w:val="02DABC6E"/>
    <w:lvl w:ilvl="0" w:tplc="0813000D">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40024D4F"/>
    <w:multiLevelType w:val="hybridMultilevel"/>
    <w:tmpl w:val="2C9835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C743A48"/>
    <w:multiLevelType w:val="hybridMultilevel"/>
    <w:tmpl w:val="B380DD7C"/>
    <w:lvl w:ilvl="0" w:tplc="7C2C1888">
      <w:start w:val="1"/>
      <w:numFmt w:val="decimal"/>
      <w:lvlText w:val="%1."/>
      <w:lvlJc w:val="left"/>
      <w:pPr>
        <w:ind w:left="1540" w:hanging="360"/>
      </w:pPr>
      <w:rPr>
        <w:i w:val="0"/>
        <w:iCs w:val="0"/>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15:restartNumberingAfterBreak="0">
    <w:nsid w:val="4E0442B4"/>
    <w:multiLevelType w:val="multilevel"/>
    <w:tmpl w:val="ACD27414"/>
    <w:lvl w:ilvl="0">
      <w:start w:val="2"/>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35E05D2"/>
    <w:multiLevelType w:val="hybridMultilevel"/>
    <w:tmpl w:val="1326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227BB"/>
    <w:multiLevelType w:val="hybridMultilevel"/>
    <w:tmpl w:val="D7544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BC6689"/>
    <w:multiLevelType w:val="hybridMultilevel"/>
    <w:tmpl w:val="B886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C08D9"/>
    <w:multiLevelType w:val="hybridMultilevel"/>
    <w:tmpl w:val="214842B8"/>
    <w:lvl w:ilvl="0" w:tplc="0C0C0017">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1030533"/>
    <w:multiLevelType w:val="hybridMultilevel"/>
    <w:tmpl w:val="3ADC61D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6AB20BF7"/>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C64FD5"/>
    <w:multiLevelType w:val="hybridMultilevel"/>
    <w:tmpl w:val="CDA49B1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C363BD"/>
    <w:multiLevelType w:val="multilevel"/>
    <w:tmpl w:val="52AE35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D5E5E13"/>
    <w:multiLevelType w:val="hybridMultilevel"/>
    <w:tmpl w:val="084A7254"/>
    <w:lvl w:ilvl="0" w:tplc="0409000F">
      <w:start w:val="1"/>
      <w:numFmt w:val="decimal"/>
      <w:lvlText w:val="%1."/>
      <w:lvlJc w:val="left"/>
      <w:pPr>
        <w:ind w:left="720" w:hanging="360"/>
      </w:pPr>
    </w:lvl>
    <w:lvl w:ilvl="1" w:tplc="0C0C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17"/>
  </w:num>
  <w:num w:numId="4">
    <w:abstractNumId w:val="26"/>
  </w:num>
  <w:num w:numId="5">
    <w:abstractNumId w:val="0"/>
  </w:num>
  <w:num w:numId="6">
    <w:abstractNumId w:val="10"/>
  </w:num>
  <w:num w:numId="7">
    <w:abstractNumId w:val="15"/>
  </w:num>
  <w:num w:numId="8">
    <w:abstractNumId w:val="7"/>
  </w:num>
  <w:num w:numId="9">
    <w:abstractNumId w:val="16"/>
  </w:num>
  <w:num w:numId="10">
    <w:abstractNumId w:val="7"/>
  </w:num>
  <w:num w:numId="11">
    <w:abstractNumId w:val="29"/>
  </w:num>
  <w:num w:numId="12">
    <w:abstractNumId w:val="2"/>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3"/>
  </w:num>
  <w:num w:numId="15">
    <w:abstractNumId w:val="28"/>
  </w:num>
  <w:num w:numId="16">
    <w:abstractNumId w:val="22"/>
  </w:num>
  <w:num w:numId="17">
    <w:abstractNumId w:val="27"/>
  </w:num>
  <w:num w:numId="18">
    <w:abstractNumId w:val="2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3"/>
  </w:num>
  <w:num w:numId="22">
    <w:abstractNumId w:val="3"/>
  </w:num>
  <w:num w:numId="23">
    <w:abstractNumId w:val="11"/>
  </w:num>
  <w:num w:numId="24">
    <w:abstractNumId w:val="21"/>
  </w:num>
  <w:num w:numId="25">
    <w:abstractNumId w:val="24"/>
  </w:num>
  <w:num w:numId="26">
    <w:abstractNumId w:val="18"/>
  </w:num>
  <w:num w:numId="27">
    <w:abstractNumId w:val="6"/>
  </w:num>
  <w:num w:numId="28">
    <w:abstractNumId w:val="8"/>
  </w:num>
  <w:num w:numId="29">
    <w:abstractNumId w:val="25"/>
  </w:num>
  <w:num w:numId="30">
    <w:abstractNumId w:val="14"/>
  </w:num>
  <w:num w:numId="31">
    <w:abstractNumId w:val="9"/>
  </w:num>
  <w:num w:numId="32">
    <w:abstractNumId w:val="1"/>
  </w:num>
  <w:num w:numId="3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24CA"/>
    <w:rsid w:val="00002E8E"/>
    <w:rsid w:val="000035A5"/>
    <w:rsid w:val="00004856"/>
    <w:rsid w:val="00004984"/>
    <w:rsid w:val="000119BB"/>
    <w:rsid w:val="000122A9"/>
    <w:rsid w:val="00014AA6"/>
    <w:rsid w:val="0001529A"/>
    <w:rsid w:val="00015DAC"/>
    <w:rsid w:val="0001650D"/>
    <w:rsid w:val="00017DCC"/>
    <w:rsid w:val="0002271C"/>
    <w:rsid w:val="0002310C"/>
    <w:rsid w:val="00027EC6"/>
    <w:rsid w:val="000329B4"/>
    <w:rsid w:val="0003307F"/>
    <w:rsid w:val="000339D7"/>
    <w:rsid w:val="00035837"/>
    <w:rsid w:val="000373D7"/>
    <w:rsid w:val="00040E16"/>
    <w:rsid w:val="000416E7"/>
    <w:rsid w:val="000421D3"/>
    <w:rsid w:val="000430CF"/>
    <w:rsid w:val="00043F52"/>
    <w:rsid w:val="000446C8"/>
    <w:rsid w:val="00045E69"/>
    <w:rsid w:val="00047353"/>
    <w:rsid w:val="00047665"/>
    <w:rsid w:val="00047775"/>
    <w:rsid w:val="00051787"/>
    <w:rsid w:val="0005252C"/>
    <w:rsid w:val="0005501B"/>
    <w:rsid w:val="00057CA4"/>
    <w:rsid w:val="00057E10"/>
    <w:rsid w:val="0006029A"/>
    <w:rsid w:val="00062BBB"/>
    <w:rsid w:val="00065086"/>
    <w:rsid w:val="00067F2C"/>
    <w:rsid w:val="00070CA2"/>
    <w:rsid w:val="00070E4C"/>
    <w:rsid w:val="0007171B"/>
    <w:rsid w:val="00074BC8"/>
    <w:rsid w:val="00074CEC"/>
    <w:rsid w:val="00082602"/>
    <w:rsid w:val="00082849"/>
    <w:rsid w:val="00082B02"/>
    <w:rsid w:val="00084581"/>
    <w:rsid w:val="00084783"/>
    <w:rsid w:val="000856B1"/>
    <w:rsid w:val="000857E7"/>
    <w:rsid w:val="000867B5"/>
    <w:rsid w:val="000869A4"/>
    <w:rsid w:val="00086B84"/>
    <w:rsid w:val="00087D5E"/>
    <w:rsid w:val="00087FE1"/>
    <w:rsid w:val="000917CE"/>
    <w:rsid w:val="0009399A"/>
    <w:rsid w:val="00097402"/>
    <w:rsid w:val="00097C2D"/>
    <w:rsid w:val="00097CD0"/>
    <w:rsid w:val="000A0D3C"/>
    <w:rsid w:val="000A0DF0"/>
    <w:rsid w:val="000A2354"/>
    <w:rsid w:val="000A4DB4"/>
    <w:rsid w:val="000A5EEC"/>
    <w:rsid w:val="000A6865"/>
    <w:rsid w:val="000B16A1"/>
    <w:rsid w:val="000B4470"/>
    <w:rsid w:val="000B4BC6"/>
    <w:rsid w:val="000B5188"/>
    <w:rsid w:val="000B54BB"/>
    <w:rsid w:val="000B590E"/>
    <w:rsid w:val="000B6F5F"/>
    <w:rsid w:val="000B7A1F"/>
    <w:rsid w:val="000C053F"/>
    <w:rsid w:val="000C1C92"/>
    <w:rsid w:val="000C2CB3"/>
    <w:rsid w:val="000C2EAF"/>
    <w:rsid w:val="000C35AC"/>
    <w:rsid w:val="000C5324"/>
    <w:rsid w:val="000C55CF"/>
    <w:rsid w:val="000C5EB7"/>
    <w:rsid w:val="000C616E"/>
    <w:rsid w:val="000C6543"/>
    <w:rsid w:val="000C68BB"/>
    <w:rsid w:val="000D0EC5"/>
    <w:rsid w:val="000D29E6"/>
    <w:rsid w:val="000D47BE"/>
    <w:rsid w:val="000D616D"/>
    <w:rsid w:val="000D61F7"/>
    <w:rsid w:val="000E0A30"/>
    <w:rsid w:val="000E1024"/>
    <w:rsid w:val="000E1B53"/>
    <w:rsid w:val="000E4813"/>
    <w:rsid w:val="000E6402"/>
    <w:rsid w:val="000E673A"/>
    <w:rsid w:val="000E7B25"/>
    <w:rsid w:val="000F0E5B"/>
    <w:rsid w:val="000F33E6"/>
    <w:rsid w:val="000F37B8"/>
    <w:rsid w:val="000F3E87"/>
    <w:rsid w:val="000F43A7"/>
    <w:rsid w:val="000F47CE"/>
    <w:rsid w:val="000F4F70"/>
    <w:rsid w:val="000F58AB"/>
    <w:rsid w:val="000F74F5"/>
    <w:rsid w:val="00100392"/>
    <w:rsid w:val="00102DED"/>
    <w:rsid w:val="00105372"/>
    <w:rsid w:val="001055AD"/>
    <w:rsid w:val="0010613F"/>
    <w:rsid w:val="001062F1"/>
    <w:rsid w:val="001065CC"/>
    <w:rsid w:val="001070F0"/>
    <w:rsid w:val="00110442"/>
    <w:rsid w:val="001111E4"/>
    <w:rsid w:val="001124D4"/>
    <w:rsid w:val="00112A79"/>
    <w:rsid w:val="00112ED8"/>
    <w:rsid w:val="00113F39"/>
    <w:rsid w:val="00114A06"/>
    <w:rsid w:val="001150EB"/>
    <w:rsid w:val="00116267"/>
    <w:rsid w:val="001163E3"/>
    <w:rsid w:val="00117165"/>
    <w:rsid w:val="00117F78"/>
    <w:rsid w:val="00123B11"/>
    <w:rsid w:val="00123EAA"/>
    <w:rsid w:val="00124EBA"/>
    <w:rsid w:val="00126734"/>
    <w:rsid w:val="00127D3C"/>
    <w:rsid w:val="0013045A"/>
    <w:rsid w:val="001312AD"/>
    <w:rsid w:val="00131681"/>
    <w:rsid w:val="00131E7A"/>
    <w:rsid w:val="00134846"/>
    <w:rsid w:val="0013495E"/>
    <w:rsid w:val="00135525"/>
    <w:rsid w:val="00136B5A"/>
    <w:rsid w:val="0014022C"/>
    <w:rsid w:val="00140591"/>
    <w:rsid w:val="00140B95"/>
    <w:rsid w:val="00141545"/>
    <w:rsid w:val="00141F88"/>
    <w:rsid w:val="001421D5"/>
    <w:rsid w:val="00142366"/>
    <w:rsid w:val="001439EC"/>
    <w:rsid w:val="00144AF6"/>
    <w:rsid w:val="00144CEC"/>
    <w:rsid w:val="00144FCB"/>
    <w:rsid w:val="00145497"/>
    <w:rsid w:val="001465AD"/>
    <w:rsid w:val="00146FEE"/>
    <w:rsid w:val="00150897"/>
    <w:rsid w:val="00151103"/>
    <w:rsid w:val="001513B5"/>
    <w:rsid w:val="001516E5"/>
    <w:rsid w:val="00151AC8"/>
    <w:rsid w:val="00151C02"/>
    <w:rsid w:val="00151DB8"/>
    <w:rsid w:val="00152621"/>
    <w:rsid w:val="00154BBF"/>
    <w:rsid w:val="001559B8"/>
    <w:rsid w:val="00155D15"/>
    <w:rsid w:val="001579F2"/>
    <w:rsid w:val="00157F9D"/>
    <w:rsid w:val="00162542"/>
    <w:rsid w:val="001629F5"/>
    <w:rsid w:val="00164A16"/>
    <w:rsid w:val="00165076"/>
    <w:rsid w:val="00166305"/>
    <w:rsid w:val="00166F01"/>
    <w:rsid w:val="001678AF"/>
    <w:rsid w:val="00167AFC"/>
    <w:rsid w:val="00167FEA"/>
    <w:rsid w:val="001702DB"/>
    <w:rsid w:val="00171AC2"/>
    <w:rsid w:val="00172665"/>
    <w:rsid w:val="00172AF6"/>
    <w:rsid w:val="00176CEE"/>
    <w:rsid w:val="00176D94"/>
    <w:rsid w:val="00176EA0"/>
    <w:rsid w:val="001820FF"/>
    <w:rsid w:val="001821CE"/>
    <w:rsid w:val="00182761"/>
    <w:rsid w:val="00183883"/>
    <w:rsid w:val="00183F01"/>
    <w:rsid w:val="0018405A"/>
    <w:rsid w:val="001858C4"/>
    <w:rsid w:val="00186D7A"/>
    <w:rsid w:val="00186DD8"/>
    <w:rsid w:val="00190411"/>
    <w:rsid w:val="00190F0C"/>
    <w:rsid w:val="0019243B"/>
    <w:rsid w:val="00192DE6"/>
    <w:rsid w:val="00195420"/>
    <w:rsid w:val="00195630"/>
    <w:rsid w:val="00196D99"/>
    <w:rsid w:val="00197B5F"/>
    <w:rsid w:val="00197CF8"/>
    <w:rsid w:val="001A1C7B"/>
    <w:rsid w:val="001A391A"/>
    <w:rsid w:val="001A6200"/>
    <w:rsid w:val="001A718C"/>
    <w:rsid w:val="001A773B"/>
    <w:rsid w:val="001A7998"/>
    <w:rsid w:val="001B03DC"/>
    <w:rsid w:val="001B06D0"/>
    <w:rsid w:val="001B13FE"/>
    <w:rsid w:val="001B1409"/>
    <w:rsid w:val="001B14EE"/>
    <w:rsid w:val="001B268F"/>
    <w:rsid w:val="001B27A3"/>
    <w:rsid w:val="001B320F"/>
    <w:rsid w:val="001B3DA8"/>
    <w:rsid w:val="001B473A"/>
    <w:rsid w:val="001B49CA"/>
    <w:rsid w:val="001B4AA3"/>
    <w:rsid w:val="001B4EB8"/>
    <w:rsid w:val="001B5890"/>
    <w:rsid w:val="001B58AA"/>
    <w:rsid w:val="001B630B"/>
    <w:rsid w:val="001B7C53"/>
    <w:rsid w:val="001C068A"/>
    <w:rsid w:val="001C0AC5"/>
    <w:rsid w:val="001C0E07"/>
    <w:rsid w:val="001C2139"/>
    <w:rsid w:val="001C338B"/>
    <w:rsid w:val="001C3497"/>
    <w:rsid w:val="001C3F2D"/>
    <w:rsid w:val="001C6927"/>
    <w:rsid w:val="001C6EF3"/>
    <w:rsid w:val="001C7536"/>
    <w:rsid w:val="001D08D6"/>
    <w:rsid w:val="001D135B"/>
    <w:rsid w:val="001D2BC5"/>
    <w:rsid w:val="001D3BAD"/>
    <w:rsid w:val="001D4691"/>
    <w:rsid w:val="001D62ED"/>
    <w:rsid w:val="001D7678"/>
    <w:rsid w:val="001D7B4F"/>
    <w:rsid w:val="001E167C"/>
    <w:rsid w:val="001E1961"/>
    <w:rsid w:val="001E2AB8"/>
    <w:rsid w:val="001E40A3"/>
    <w:rsid w:val="001E46D3"/>
    <w:rsid w:val="001E5E74"/>
    <w:rsid w:val="001E5E85"/>
    <w:rsid w:val="001E666A"/>
    <w:rsid w:val="001E7079"/>
    <w:rsid w:val="001E782E"/>
    <w:rsid w:val="001F1121"/>
    <w:rsid w:val="001F2114"/>
    <w:rsid w:val="001F2D6B"/>
    <w:rsid w:val="001F2F8E"/>
    <w:rsid w:val="001F4300"/>
    <w:rsid w:val="001F54CD"/>
    <w:rsid w:val="001F5E16"/>
    <w:rsid w:val="001F67A9"/>
    <w:rsid w:val="001F730C"/>
    <w:rsid w:val="001F73DE"/>
    <w:rsid w:val="00200817"/>
    <w:rsid w:val="002021F3"/>
    <w:rsid w:val="00202C2A"/>
    <w:rsid w:val="00203349"/>
    <w:rsid w:val="00203ACB"/>
    <w:rsid w:val="00205EED"/>
    <w:rsid w:val="00210EB7"/>
    <w:rsid w:val="002115B9"/>
    <w:rsid w:val="00213640"/>
    <w:rsid w:val="00215FC0"/>
    <w:rsid w:val="00216AA1"/>
    <w:rsid w:val="00216DED"/>
    <w:rsid w:val="002217B3"/>
    <w:rsid w:val="0022417D"/>
    <w:rsid w:val="00224880"/>
    <w:rsid w:val="0022663F"/>
    <w:rsid w:val="002306DC"/>
    <w:rsid w:val="002318BF"/>
    <w:rsid w:val="0023212E"/>
    <w:rsid w:val="00232277"/>
    <w:rsid w:val="00232A07"/>
    <w:rsid w:val="0023454E"/>
    <w:rsid w:val="00234BB3"/>
    <w:rsid w:val="00234C3A"/>
    <w:rsid w:val="002360FE"/>
    <w:rsid w:val="00237CB2"/>
    <w:rsid w:val="00241044"/>
    <w:rsid w:val="0024151E"/>
    <w:rsid w:val="002416C8"/>
    <w:rsid w:val="00241EBB"/>
    <w:rsid w:val="002421CA"/>
    <w:rsid w:val="00242588"/>
    <w:rsid w:val="00242BD7"/>
    <w:rsid w:val="00243EE1"/>
    <w:rsid w:val="00244915"/>
    <w:rsid w:val="00244CA4"/>
    <w:rsid w:val="0024581C"/>
    <w:rsid w:val="00246EBA"/>
    <w:rsid w:val="00247E3B"/>
    <w:rsid w:val="0025096B"/>
    <w:rsid w:val="00251101"/>
    <w:rsid w:val="002512D1"/>
    <w:rsid w:val="00251B2B"/>
    <w:rsid w:val="00251DB7"/>
    <w:rsid w:val="00253107"/>
    <w:rsid w:val="0025326D"/>
    <w:rsid w:val="0025418F"/>
    <w:rsid w:val="00254191"/>
    <w:rsid w:val="002556A9"/>
    <w:rsid w:val="0025623B"/>
    <w:rsid w:val="00256330"/>
    <w:rsid w:val="002565AE"/>
    <w:rsid w:val="002602E7"/>
    <w:rsid w:val="00261199"/>
    <w:rsid w:val="0026157D"/>
    <w:rsid w:val="002635EF"/>
    <w:rsid w:val="002656C3"/>
    <w:rsid w:val="00265FE5"/>
    <w:rsid w:val="00266981"/>
    <w:rsid w:val="00270158"/>
    <w:rsid w:val="00271D7A"/>
    <w:rsid w:val="00273BB7"/>
    <w:rsid w:val="00277386"/>
    <w:rsid w:val="0027758E"/>
    <w:rsid w:val="00280D72"/>
    <w:rsid w:val="00281E7C"/>
    <w:rsid w:val="002864CF"/>
    <w:rsid w:val="00286FC6"/>
    <w:rsid w:val="002902E6"/>
    <w:rsid w:val="002915C2"/>
    <w:rsid w:val="00292909"/>
    <w:rsid w:val="00293364"/>
    <w:rsid w:val="002933B5"/>
    <w:rsid w:val="0029535E"/>
    <w:rsid w:val="002954F5"/>
    <w:rsid w:val="00295563"/>
    <w:rsid w:val="002978BF"/>
    <w:rsid w:val="00297D7C"/>
    <w:rsid w:val="002A0444"/>
    <w:rsid w:val="002A13A7"/>
    <w:rsid w:val="002A14CB"/>
    <w:rsid w:val="002A19FA"/>
    <w:rsid w:val="002A1B6E"/>
    <w:rsid w:val="002A562A"/>
    <w:rsid w:val="002A5B12"/>
    <w:rsid w:val="002A5C50"/>
    <w:rsid w:val="002A77DC"/>
    <w:rsid w:val="002B068B"/>
    <w:rsid w:val="002B0B3C"/>
    <w:rsid w:val="002B0BC6"/>
    <w:rsid w:val="002B0E6F"/>
    <w:rsid w:val="002B2CA8"/>
    <w:rsid w:val="002B33AB"/>
    <w:rsid w:val="002B4979"/>
    <w:rsid w:val="002B4C69"/>
    <w:rsid w:val="002B55D0"/>
    <w:rsid w:val="002B7940"/>
    <w:rsid w:val="002C124B"/>
    <w:rsid w:val="002C133C"/>
    <w:rsid w:val="002C20AB"/>
    <w:rsid w:val="002C25E4"/>
    <w:rsid w:val="002C337D"/>
    <w:rsid w:val="002C57E9"/>
    <w:rsid w:val="002C71E3"/>
    <w:rsid w:val="002C7645"/>
    <w:rsid w:val="002C7DD2"/>
    <w:rsid w:val="002D0014"/>
    <w:rsid w:val="002D37DB"/>
    <w:rsid w:val="002D3F10"/>
    <w:rsid w:val="002D77DA"/>
    <w:rsid w:val="002D7A1A"/>
    <w:rsid w:val="002E1464"/>
    <w:rsid w:val="002E2FF5"/>
    <w:rsid w:val="002E35B5"/>
    <w:rsid w:val="002E3870"/>
    <w:rsid w:val="002E3FC2"/>
    <w:rsid w:val="002E5399"/>
    <w:rsid w:val="002E6105"/>
    <w:rsid w:val="002E71E5"/>
    <w:rsid w:val="002E7A7B"/>
    <w:rsid w:val="002F130C"/>
    <w:rsid w:val="002F17EC"/>
    <w:rsid w:val="002F35B1"/>
    <w:rsid w:val="002F3B9D"/>
    <w:rsid w:val="002F5E76"/>
    <w:rsid w:val="002F711F"/>
    <w:rsid w:val="003004FB"/>
    <w:rsid w:val="0030107E"/>
    <w:rsid w:val="003010E3"/>
    <w:rsid w:val="0030127C"/>
    <w:rsid w:val="0030169D"/>
    <w:rsid w:val="003027C1"/>
    <w:rsid w:val="003053EF"/>
    <w:rsid w:val="003060EB"/>
    <w:rsid w:val="0030676F"/>
    <w:rsid w:val="00306DA1"/>
    <w:rsid w:val="0030707D"/>
    <w:rsid w:val="00307198"/>
    <w:rsid w:val="00310E7B"/>
    <w:rsid w:val="00312422"/>
    <w:rsid w:val="003132B1"/>
    <w:rsid w:val="00313B7F"/>
    <w:rsid w:val="00314117"/>
    <w:rsid w:val="003141A9"/>
    <w:rsid w:val="003143A1"/>
    <w:rsid w:val="003147B7"/>
    <w:rsid w:val="00314993"/>
    <w:rsid w:val="00314CD2"/>
    <w:rsid w:val="003153EB"/>
    <w:rsid w:val="003216AC"/>
    <w:rsid w:val="003216C7"/>
    <w:rsid w:val="0032197A"/>
    <w:rsid w:val="00321985"/>
    <w:rsid w:val="00321B65"/>
    <w:rsid w:val="003248A7"/>
    <w:rsid w:val="00325674"/>
    <w:rsid w:val="003265BB"/>
    <w:rsid w:val="003277B4"/>
    <w:rsid w:val="00327C8B"/>
    <w:rsid w:val="00332E82"/>
    <w:rsid w:val="00335D3B"/>
    <w:rsid w:val="00336B67"/>
    <w:rsid w:val="00336D40"/>
    <w:rsid w:val="00340E15"/>
    <w:rsid w:val="00341186"/>
    <w:rsid w:val="0034223F"/>
    <w:rsid w:val="003423DE"/>
    <w:rsid w:val="00342429"/>
    <w:rsid w:val="003435F3"/>
    <w:rsid w:val="0034397A"/>
    <w:rsid w:val="00343B0B"/>
    <w:rsid w:val="003442D3"/>
    <w:rsid w:val="0034580C"/>
    <w:rsid w:val="0034636B"/>
    <w:rsid w:val="00347C2D"/>
    <w:rsid w:val="00351205"/>
    <w:rsid w:val="003546AC"/>
    <w:rsid w:val="003561D3"/>
    <w:rsid w:val="0036001E"/>
    <w:rsid w:val="00360DD6"/>
    <w:rsid w:val="00360E48"/>
    <w:rsid w:val="0036157C"/>
    <w:rsid w:val="003620ED"/>
    <w:rsid w:val="003625D2"/>
    <w:rsid w:val="00363336"/>
    <w:rsid w:val="003636FB"/>
    <w:rsid w:val="00363867"/>
    <w:rsid w:val="00363F19"/>
    <w:rsid w:val="00365E7F"/>
    <w:rsid w:val="00366FB4"/>
    <w:rsid w:val="0036726B"/>
    <w:rsid w:val="003700A7"/>
    <w:rsid w:val="00370B97"/>
    <w:rsid w:val="00370C59"/>
    <w:rsid w:val="00372584"/>
    <w:rsid w:val="00372CFA"/>
    <w:rsid w:val="00372F74"/>
    <w:rsid w:val="00373743"/>
    <w:rsid w:val="00373C71"/>
    <w:rsid w:val="003745AA"/>
    <w:rsid w:val="00374940"/>
    <w:rsid w:val="00375BE7"/>
    <w:rsid w:val="00376B4D"/>
    <w:rsid w:val="00376F6C"/>
    <w:rsid w:val="003773DF"/>
    <w:rsid w:val="00377BDD"/>
    <w:rsid w:val="00380363"/>
    <w:rsid w:val="003805A6"/>
    <w:rsid w:val="00380C11"/>
    <w:rsid w:val="00382D93"/>
    <w:rsid w:val="00383E9B"/>
    <w:rsid w:val="00385B8E"/>
    <w:rsid w:val="00387787"/>
    <w:rsid w:val="00391340"/>
    <w:rsid w:val="0039144D"/>
    <w:rsid w:val="00391E7A"/>
    <w:rsid w:val="00394413"/>
    <w:rsid w:val="00395A25"/>
    <w:rsid w:val="00396304"/>
    <w:rsid w:val="00396400"/>
    <w:rsid w:val="0039772E"/>
    <w:rsid w:val="00397811"/>
    <w:rsid w:val="00397AE7"/>
    <w:rsid w:val="00397B4E"/>
    <w:rsid w:val="00397DB2"/>
    <w:rsid w:val="003A12AF"/>
    <w:rsid w:val="003A15C7"/>
    <w:rsid w:val="003A1AA5"/>
    <w:rsid w:val="003A367C"/>
    <w:rsid w:val="003A3828"/>
    <w:rsid w:val="003A420C"/>
    <w:rsid w:val="003A46CB"/>
    <w:rsid w:val="003A5305"/>
    <w:rsid w:val="003A5634"/>
    <w:rsid w:val="003A5C8D"/>
    <w:rsid w:val="003B30B2"/>
    <w:rsid w:val="003B7992"/>
    <w:rsid w:val="003C07D7"/>
    <w:rsid w:val="003C0926"/>
    <w:rsid w:val="003C0E57"/>
    <w:rsid w:val="003C1F5B"/>
    <w:rsid w:val="003C2E7D"/>
    <w:rsid w:val="003C3728"/>
    <w:rsid w:val="003C4B0B"/>
    <w:rsid w:val="003C4E2D"/>
    <w:rsid w:val="003C60AD"/>
    <w:rsid w:val="003C691F"/>
    <w:rsid w:val="003C6970"/>
    <w:rsid w:val="003C7CE1"/>
    <w:rsid w:val="003D0975"/>
    <w:rsid w:val="003D110A"/>
    <w:rsid w:val="003D1883"/>
    <w:rsid w:val="003D3081"/>
    <w:rsid w:val="003D3CFF"/>
    <w:rsid w:val="003D4464"/>
    <w:rsid w:val="003D5896"/>
    <w:rsid w:val="003D68D2"/>
    <w:rsid w:val="003E01B5"/>
    <w:rsid w:val="003E0D7D"/>
    <w:rsid w:val="003E23C3"/>
    <w:rsid w:val="003E2837"/>
    <w:rsid w:val="003E50EB"/>
    <w:rsid w:val="003E51E1"/>
    <w:rsid w:val="003E5A1F"/>
    <w:rsid w:val="003E651C"/>
    <w:rsid w:val="003E6C8F"/>
    <w:rsid w:val="003E7A03"/>
    <w:rsid w:val="003E7DBA"/>
    <w:rsid w:val="003F1144"/>
    <w:rsid w:val="003F1318"/>
    <w:rsid w:val="003F165D"/>
    <w:rsid w:val="003F176D"/>
    <w:rsid w:val="003F1904"/>
    <w:rsid w:val="003F1D35"/>
    <w:rsid w:val="003F33BB"/>
    <w:rsid w:val="003F64F1"/>
    <w:rsid w:val="003F7224"/>
    <w:rsid w:val="003F759E"/>
    <w:rsid w:val="003F76B4"/>
    <w:rsid w:val="003F7AA0"/>
    <w:rsid w:val="004005ED"/>
    <w:rsid w:val="00401730"/>
    <w:rsid w:val="004017D6"/>
    <w:rsid w:val="00401A23"/>
    <w:rsid w:val="00401D75"/>
    <w:rsid w:val="0040361C"/>
    <w:rsid w:val="004036EB"/>
    <w:rsid w:val="004039CC"/>
    <w:rsid w:val="00404914"/>
    <w:rsid w:val="004057CA"/>
    <w:rsid w:val="0040684D"/>
    <w:rsid w:val="004109EB"/>
    <w:rsid w:val="00411704"/>
    <w:rsid w:val="00411887"/>
    <w:rsid w:val="004128B8"/>
    <w:rsid w:val="00413F67"/>
    <w:rsid w:val="004157A7"/>
    <w:rsid w:val="0041625E"/>
    <w:rsid w:val="00417C30"/>
    <w:rsid w:val="00424EAC"/>
    <w:rsid w:val="00424F61"/>
    <w:rsid w:val="00427100"/>
    <w:rsid w:val="00427D21"/>
    <w:rsid w:val="00430030"/>
    <w:rsid w:val="00433070"/>
    <w:rsid w:val="00435206"/>
    <w:rsid w:val="0043531A"/>
    <w:rsid w:val="004355AB"/>
    <w:rsid w:val="004355F8"/>
    <w:rsid w:val="004357C7"/>
    <w:rsid w:val="00435C9A"/>
    <w:rsid w:val="00436FD8"/>
    <w:rsid w:val="00437808"/>
    <w:rsid w:val="004379E4"/>
    <w:rsid w:val="00437C4C"/>
    <w:rsid w:val="004401D4"/>
    <w:rsid w:val="0044036F"/>
    <w:rsid w:val="00441297"/>
    <w:rsid w:val="00442D73"/>
    <w:rsid w:val="004443C4"/>
    <w:rsid w:val="00444DB7"/>
    <w:rsid w:val="004459AB"/>
    <w:rsid w:val="0044611D"/>
    <w:rsid w:val="0044657A"/>
    <w:rsid w:val="00447123"/>
    <w:rsid w:val="00447B46"/>
    <w:rsid w:val="00447F9F"/>
    <w:rsid w:val="00450BD3"/>
    <w:rsid w:val="00451F41"/>
    <w:rsid w:val="00452CEC"/>
    <w:rsid w:val="00453284"/>
    <w:rsid w:val="00453EC1"/>
    <w:rsid w:val="00455C42"/>
    <w:rsid w:val="00455D5B"/>
    <w:rsid w:val="00455DAC"/>
    <w:rsid w:val="00455E33"/>
    <w:rsid w:val="00460740"/>
    <w:rsid w:val="00460954"/>
    <w:rsid w:val="0046283F"/>
    <w:rsid w:val="00463856"/>
    <w:rsid w:val="00463ABC"/>
    <w:rsid w:val="004644C2"/>
    <w:rsid w:val="004662C8"/>
    <w:rsid w:val="004665B6"/>
    <w:rsid w:val="00466756"/>
    <w:rsid w:val="00467994"/>
    <w:rsid w:val="00467F9C"/>
    <w:rsid w:val="0047028B"/>
    <w:rsid w:val="00471ADD"/>
    <w:rsid w:val="00471D76"/>
    <w:rsid w:val="00472BBA"/>
    <w:rsid w:val="00472D60"/>
    <w:rsid w:val="00475D74"/>
    <w:rsid w:val="0047623F"/>
    <w:rsid w:val="00476F82"/>
    <w:rsid w:val="00477DE9"/>
    <w:rsid w:val="00480156"/>
    <w:rsid w:val="00480328"/>
    <w:rsid w:val="00481421"/>
    <w:rsid w:val="00481592"/>
    <w:rsid w:val="00482557"/>
    <w:rsid w:val="00482F7E"/>
    <w:rsid w:val="0048350A"/>
    <w:rsid w:val="0048484B"/>
    <w:rsid w:val="00484C47"/>
    <w:rsid w:val="00484FF5"/>
    <w:rsid w:val="00485C1E"/>
    <w:rsid w:val="00486096"/>
    <w:rsid w:val="004861BC"/>
    <w:rsid w:val="00490F74"/>
    <w:rsid w:val="00491D63"/>
    <w:rsid w:val="004952AA"/>
    <w:rsid w:val="004970EC"/>
    <w:rsid w:val="00497A26"/>
    <w:rsid w:val="004A1CDB"/>
    <w:rsid w:val="004A277E"/>
    <w:rsid w:val="004A2A0D"/>
    <w:rsid w:val="004A375D"/>
    <w:rsid w:val="004A4C4C"/>
    <w:rsid w:val="004A5198"/>
    <w:rsid w:val="004A61E4"/>
    <w:rsid w:val="004A6516"/>
    <w:rsid w:val="004B0716"/>
    <w:rsid w:val="004B0E4B"/>
    <w:rsid w:val="004B1B7F"/>
    <w:rsid w:val="004B2966"/>
    <w:rsid w:val="004B2AA1"/>
    <w:rsid w:val="004B3A17"/>
    <w:rsid w:val="004B3A29"/>
    <w:rsid w:val="004B477E"/>
    <w:rsid w:val="004B4EE6"/>
    <w:rsid w:val="004B59A8"/>
    <w:rsid w:val="004B6F02"/>
    <w:rsid w:val="004C3745"/>
    <w:rsid w:val="004C39A2"/>
    <w:rsid w:val="004C64A7"/>
    <w:rsid w:val="004D33EB"/>
    <w:rsid w:val="004D3C59"/>
    <w:rsid w:val="004D4E4B"/>
    <w:rsid w:val="004D5393"/>
    <w:rsid w:val="004D5406"/>
    <w:rsid w:val="004D56E9"/>
    <w:rsid w:val="004D5D61"/>
    <w:rsid w:val="004D6E77"/>
    <w:rsid w:val="004D724D"/>
    <w:rsid w:val="004D7588"/>
    <w:rsid w:val="004E3100"/>
    <w:rsid w:val="004E3790"/>
    <w:rsid w:val="004E6066"/>
    <w:rsid w:val="004E7222"/>
    <w:rsid w:val="004E7694"/>
    <w:rsid w:val="004E7A6D"/>
    <w:rsid w:val="004F08DB"/>
    <w:rsid w:val="004F370E"/>
    <w:rsid w:val="004F4022"/>
    <w:rsid w:val="004F5780"/>
    <w:rsid w:val="004F6295"/>
    <w:rsid w:val="004F7102"/>
    <w:rsid w:val="004F71A7"/>
    <w:rsid w:val="004F7DB6"/>
    <w:rsid w:val="005011BA"/>
    <w:rsid w:val="0050261F"/>
    <w:rsid w:val="005036B1"/>
    <w:rsid w:val="005055C0"/>
    <w:rsid w:val="0050683D"/>
    <w:rsid w:val="00510123"/>
    <w:rsid w:val="00511B76"/>
    <w:rsid w:val="00512108"/>
    <w:rsid w:val="00515022"/>
    <w:rsid w:val="00515DB6"/>
    <w:rsid w:val="00516632"/>
    <w:rsid w:val="00516D0E"/>
    <w:rsid w:val="00517047"/>
    <w:rsid w:val="00517A6E"/>
    <w:rsid w:val="0052145E"/>
    <w:rsid w:val="00522650"/>
    <w:rsid w:val="00522AAE"/>
    <w:rsid w:val="005231DC"/>
    <w:rsid w:val="005249E0"/>
    <w:rsid w:val="00524BD7"/>
    <w:rsid w:val="00526B74"/>
    <w:rsid w:val="00527FB2"/>
    <w:rsid w:val="005301EA"/>
    <w:rsid w:val="00530446"/>
    <w:rsid w:val="005306FC"/>
    <w:rsid w:val="0053104D"/>
    <w:rsid w:val="005310FF"/>
    <w:rsid w:val="0053249F"/>
    <w:rsid w:val="005326D3"/>
    <w:rsid w:val="00532E89"/>
    <w:rsid w:val="00533581"/>
    <w:rsid w:val="00533991"/>
    <w:rsid w:val="00534681"/>
    <w:rsid w:val="00536323"/>
    <w:rsid w:val="00536818"/>
    <w:rsid w:val="00536A7A"/>
    <w:rsid w:val="00537C5B"/>
    <w:rsid w:val="00540623"/>
    <w:rsid w:val="005423CB"/>
    <w:rsid w:val="00542789"/>
    <w:rsid w:val="00542854"/>
    <w:rsid w:val="005447B2"/>
    <w:rsid w:val="00544CB9"/>
    <w:rsid w:val="00544E71"/>
    <w:rsid w:val="00545BA3"/>
    <w:rsid w:val="00545DE7"/>
    <w:rsid w:val="00547CC5"/>
    <w:rsid w:val="00550B3C"/>
    <w:rsid w:val="00552674"/>
    <w:rsid w:val="0055299E"/>
    <w:rsid w:val="00553615"/>
    <w:rsid w:val="005537CA"/>
    <w:rsid w:val="00555674"/>
    <w:rsid w:val="005567D2"/>
    <w:rsid w:val="00556CED"/>
    <w:rsid w:val="00557544"/>
    <w:rsid w:val="00557B4C"/>
    <w:rsid w:val="00561781"/>
    <w:rsid w:val="0056255C"/>
    <w:rsid w:val="0056274F"/>
    <w:rsid w:val="00562EAC"/>
    <w:rsid w:val="00563442"/>
    <w:rsid w:val="00563AC1"/>
    <w:rsid w:val="00564073"/>
    <w:rsid w:val="00564486"/>
    <w:rsid w:val="00564532"/>
    <w:rsid w:val="00564915"/>
    <w:rsid w:val="00565B42"/>
    <w:rsid w:val="005678D9"/>
    <w:rsid w:val="00567DCB"/>
    <w:rsid w:val="00567FA4"/>
    <w:rsid w:val="00571BB9"/>
    <w:rsid w:val="00572448"/>
    <w:rsid w:val="005745FD"/>
    <w:rsid w:val="0057531A"/>
    <w:rsid w:val="005757AE"/>
    <w:rsid w:val="0058223D"/>
    <w:rsid w:val="005829FC"/>
    <w:rsid w:val="00582D00"/>
    <w:rsid w:val="00583896"/>
    <w:rsid w:val="00587643"/>
    <w:rsid w:val="005910F3"/>
    <w:rsid w:val="00592531"/>
    <w:rsid w:val="00594771"/>
    <w:rsid w:val="00594872"/>
    <w:rsid w:val="0059553F"/>
    <w:rsid w:val="00595E48"/>
    <w:rsid w:val="005962F0"/>
    <w:rsid w:val="00597BA8"/>
    <w:rsid w:val="005A0654"/>
    <w:rsid w:val="005A0B52"/>
    <w:rsid w:val="005A11DA"/>
    <w:rsid w:val="005A14D2"/>
    <w:rsid w:val="005A2022"/>
    <w:rsid w:val="005A3561"/>
    <w:rsid w:val="005A428D"/>
    <w:rsid w:val="005A44B4"/>
    <w:rsid w:val="005A44EE"/>
    <w:rsid w:val="005A5BE5"/>
    <w:rsid w:val="005A5C9A"/>
    <w:rsid w:val="005A60F8"/>
    <w:rsid w:val="005A61B3"/>
    <w:rsid w:val="005A763F"/>
    <w:rsid w:val="005A7DBA"/>
    <w:rsid w:val="005B009D"/>
    <w:rsid w:val="005B0E22"/>
    <w:rsid w:val="005B139B"/>
    <w:rsid w:val="005B1B82"/>
    <w:rsid w:val="005B2858"/>
    <w:rsid w:val="005B4CBB"/>
    <w:rsid w:val="005B541C"/>
    <w:rsid w:val="005B5D88"/>
    <w:rsid w:val="005C2927"/>
    <w:rsid w:val="005C484A"/>
    <w:rsid w:val="005C4CE6"/>
    <w:rsid w:val="005C4EB2"/>
    <w:rsid w:val="005C51F7"/>
    <w:rsid w:val="005C7D25"/>
    <w:rsid w:val="005C7F86"/>
    <w:rsid w:val="005D020E"/>
    <w:rsid w:val="005D0AF7"/>
    <w:rsid w:val="005D2892"/>
    <w:rsid w:val="005D2F67"/>
    <w:rsid w:val="005D5B0A"/>
    <w:rsid w:val="005D64A3"/>
    <w:rsid w:val="005D6617"/>
    <w:rsid w:val="005E277A"/>
    <w:rsid w:val="005E55EA"/>
    <w:rsid w:val="005E59AD"/>
    <w:rsid w:val="005E71DB"/>
    <w:rsid w:val="005F1DCA"/>
    <w:rsid w:val="005F20D2"/>
    <w:rsid w:val="005F478A"/>
    <w:rsid w:val="005F5312"/>
    <w:rsid w:val="005F5AB8"/>
    <w:rsid w:val="005F5D21"/>
    <w:rsid w:val="005F65F8"/>
    <w:rsid w:val="00602BEC"/>
    <w:rsid w:val="00603F21"/>
    <w:rsid w:val="006055F9"/>
    <w:rsid w:val="00605953"/>
    <w:rsid w:val="0060629B"/>
    <w:rsid w:val="00606960"/>
    <w:rsid w:val="0060772B"/>
    <w:rsid w:val="00610667"/>
    <w:rsid w:val="00612185"/>
    <w:rsid w:val="006122BA"/>
    <w:rsid w:val="00612DA3"/>
    <w:rsid w:val="00613B73"/>
    <w:rsid w:val="0061409B"/>
    <w:rsid w:val="006153C3"/>
    <w:rsid w:val="00616234"/>
    <w:rsid w:val="006200F4"/>
    <w:rsid w:val="00620C67"/>
    <w:rsid w:val="00623244"/>
    <w:rsid w:val="00625A78"/>
    <w:rsid w:val="00625C09"/>
    <w:rsid w:val="00634629"/>
    <w:rsid w:val="00635700"/>
    <w:rsid w:val="00635FC9"/>
    <w:rsid w:val="006370F6"/>
    <w:rsid w:val="006412DF"/>
    <w:rsid w:val="00641E64"/>
    <w:rsid w:val="0064213A"/>
    <w:rsid w:val="00643061"/>
    <w:rsid w:val="006447FA"/>
    <w:rsid w:val="00644CC2"/>
    <w:rsid w:val="00645F4E"/>
    <w:rsid w:val="0064724C"/>
    <w:rsid w:val="00650331"/>
    <w:rsid w:val="006526C5"/>
    <w:rsid w:val="006613D3"/>
    <w:rsid w:val="00661D8D"/>
    <w:rsid w:val="00661FDE"/>
    <w:rsid w:val="00662B53"/>
    <w:rsid w:val="00664AA5"/>
    <w:rsid w:val="00664AD8"/>
    <w:rsid w:val="00664DA3"/>
    <w:rsid w:val="00664F94"/>
    <w:rsid w:val="00665629"/>
    <w:rsid w:val="006662FA"/>
    <w:rsid w:val="00666CC1"/>
    <w:rsid w:val="00667C61"/>
    <w:rsid w:val="00673C91"/>
    <w:rsid w:val="00673CA5"/>
    <w:rsid w:val="006761A9"/>
    <w:rsid w:val="00676593"/>
    <w:rsid w:val="00676E0D"/>
    <w:rsid w:val="00680D88"/>
    <w:rsid w:val="006815EE"/>
    <w:rsid w:val="0068236F"/>
    <w:rsid w:val="0068382E"/>
    <w:rsid w:val="00685204"/>
    <w:rsid w:val="00690730"/>
    <w:rsid w:val="006910F8"/>
    <w:rsid w:val="0069268F"/>
    <w:rsid w:val="00692D92"/>
    <w:rsid w:val="006960A0"/>
    <w:rsid w:val="006A0BBC"/>
    <w:rsid w:val="006A36DC"/>
    <w:rsid w:val="006A3937"/>
    <w:rsid w:val="006A4E63"/>
    <w:rsid w:val="006A54E0"/>
    <w:rsid w:val="006A5EC2"/>
    <w:rsid w:val="006A5F75"/>
    <w:rsid w:val="006A744F"/>
    <w:rsid w:val="006B0A1A"/>
    <w:rsid w:val="006B224E"/>
    <w:rsid w:val="006B2290"/>
    <w:rsid w:val="006B32B6"/>
    <w:rsid w:val="006B3900"/>
    <w:rsid w:val="006B3935"/>
    <w:rsid w:val="006B467E"/>
    <w:rsid w:val="006B4D2B"/>
    <w:rsid w:val="006B6F2B"/>
    <w:rsid w:val="006C09FA"/>
    <w:rsid w:val="006C31E1"/>
    <w:rsid w:val="006C395C"/>
    <w:rsid w:val="006C3B53"/>
    <w:rsid w:val="006C406C"/>
    <w:rsid w:val="006C4CE7"/>
    <w:rsid w:val="006C56BD"/>
    <w:rsid w:val="006C592A"/>
    <w:rsid w:val="006C6DD3"/>
    <w:rsid w:val="006D0B27"/>
    <w:rsid w:val="006D2463"/>
    <w:rsid w:val="006D3327"/>
    <w:rsid w:val="006D3A68"/>
    <w:rsid w:val="006D55F0"/>
    <w:rsid w:val="006D5E8E"/>
    <w:rsid w:val="006D6901"/>
    <w:rsid w:val="006D7062"/>
    <w:rsid w:val="006D7D18"/>
    <w:rsid w:val="006E0056"/>
    <w:rsid w:val="006E18E4"/>
    <w:rsid w:val="006E38DB"/>
    <w:rsid w:val="006E43CD"/>
    <w:rsid w:val="006E5A73"/>
    <w:rsid w:val="006E678A"/>
    <w:rsid w:val="006F3594"/>
    <w:rsid w:val="006F3832"/>
    <w:rsid w:val="006F55AB"/>
    <w:rsid w:val="006F56B4"/>
    <w:rsid w:val="006F57FA"/>
    <w:rsid w:val="006F5C55"/>
    <w:rsid w:val="006F7B0A"/>
    <w:rsid w:val="0070090B"/>
    <w:rsid w:val="00700FCD"/>
    <w:rsid w:val="00701040"/>
    <w:rsid w:val="00702E8B"/>
    <w:rsid w:val="007030DD"/>
    <w:rsid w:val="00703AE6"/>
    <w:rsid w:val="00703CAB"/>
    <w:rsid w:val="00705F79"/>
    <w:rsid w:val="0070793E"/>
    <w:rsid w:val="0071067E"/>
    <w:rsid w:val="00711C29"/>
    <w:rsid w:val="00712C18"/>
    <w:rsid w:val="00712C42"/>
    <w:rsid w:val="00713A05"/>
    <w:rsid w:val="0071422B"/>
    <w:rsid w:val="0071544E"/>
    <w:rsid w:val="00717BD6"/>
    <w:rsid w:val="00717D88"/>
    <w:rsid w:val="007222FC"/>
    <w:rsid w:val="00724140"/>
    <w:rsid w:val="00725A28"/>
    <w:rsid w:val="00725C56"/>
    <w:rsid w:val="007270FF"/>
    <w:rsid w:val="00727E46"/>
    <w:rsid w:val="00730A96"/>
    <w:rsid w:val="007315A4"/>
    <w:rsid w:val="00732C89"/>
    <w:rsid w:val="00733DB2"/>
    <w:rsid w:val="007341B2"/>
    <w:rsid w:val="0073437D"/>
    <w:rsid w:val="007344C9"/>
    <w:rsid w:val="007352B6"/>
    <w:rsid w:val="00735CBC"/>
    <w:rsid w:val="00735E3C"/>
    <w:rsid w:val="00736374"/>
    <w:rsid w:val="0074127A"/>
    <w:rsid w:val="00741FAE"/>
    <w:rsid w:val="007428A8"/>
    <w:rsid w:val="00743664"/>
    <w:rsid w:val="007444B5"/>
    <w:rsid w:val="0074492D"/>
    <w:rsid w:val="00745220"/>
    <w:rsid w:val="00747856"/>
    <w:rsid w:val="0075105E"/>
    <w:rsid w:val="00751703"/>
    <w:rsid w:val="0075258A"/>
    <w:rsid w:val="0075287F"/>
    <w:rsid w:val="00753680"/>
    <w:rsid w:val="00754049"/>
    <w:rsid w:val="00754524"/>
    <w:rsid w:val="00754568"/>
    <w:rsid w:val="00754B13"/>
    <w:rsid w:val="00755955"/>
    <w:rsid w:val="00755A37"/>
    <w:rsid w:val="00755DC9"/>
    <w:rsid w:val="00760D9E"/>
    <w:rsid w:val="007628E0"/>
    <w:rsid w:val="007658F0"/>
    <w:rsid w:val="007702C6"/>
    <w:rsid w:val="00772516"/>
    <w:rsid w:val="00773341"/>
    <w:rsid w:val="007738DA"/>
    <w:rsid w:val="00773D29"/>
    <w:rsid w:val="00774482"/>
    <w:rsid w:val="007746A0"/>
    <w:rsid w:val="00776AFB"/>
    <w:rsid w:val="0078077D"/>
    <w:rsid w:val="0078144F"/>
    <w:rsid w:val="00781F66"/>
    <w:rsid w:val="007839F7"/>
    <w:rsid w:val="00784D5E"/>
    <w:rsid w:val="00784EB9"/>
    <w:rsid w:val="00786056"/>
    <w:rsid w:val="00787695"/>
    <w:rsid w:val="007921F7"/>
    <w:rsid w:val="00793946"/>
    <w:rsid w:val="007942D3"/>
    <w:rsid w:val="0079581F"/>
    <w:rsid w:val="007A1F68"/>
    <w:rsid w:val="007A2940"/>
    <w:rsid w:val="007A4EEC"/>
    <w:rsid w:val="007A5030"/>
    <w:rsid w:val="007B0FA8"/>
    <w:rsid w:val="007B2099"/>
    <w:rsid w:val="007B2972"/>
    <w:rsid w:val="007B2AA4"/>
    <w:rsid w:val="007B3CED"/>
    <w:rsid w:val="007B4702"/>
    <w:rsid w:val="007B577D"/>
    <w:rsid w:val="007B6607"/>
    <w:rsid w:val="007B67E4"/>
    <w:rsid w:val="007B6C09"/>
    <w:rsid w:val="007B6CE2"/>
    <w:rsid w:val="007B7741"/>
    <w:rsid w:val="007C1321"/>
    <w:rsid w:val="007C23C3"/>
    <w:rsid w:val="007C505C"/>
    <w:rsid w:val="007C6463"/>
    <w:rsid w:val="007C6B20"/>
    <w:rsid w:val="007C725D"/>
    <w:rsid w:val="007C7A71"/>
    <w:rsid w:val="007C7B0E"/>
    <w:rsid w:val="007D0809"/>
    <w:rsid w:val="007D2924"/>
    <w:rsid w:val="007D2967"/>
    <w:rsid w:val="007D2F51"/>
    <w:rsid w:val="007D5793"/>
    <w:rsid w:val="007D5E7A"/>
    <w:rsid w:val="007E09DA"/>
    <w:rsid w:val="007E11C5"/>
    <w:rsid w:val="007E1602"/>
    <w:rsid w:val="007E1801"/>
    <w:rsid w:val="007E2C1C"/>
    <w:rsid w:val="007E2DE9"/>
    <w:rsid w:val="007E4431"/>
    <w:rsid w:val="007E494C"/>
    <w:rsid w:val="007E5A34"/>
    <w:rsid w:val="007E604C"/>
    <w:rsid w:val="007E6880"/>
    <w:rsid w:val="007E74A9"/>
    <w:rsid w:val="007E79AA"/>
    <w:rsid w:val="007F059C"/>
    <w:rsid w:val="007F2F9F"/>
    <w:rsid w:val="007F3DFE"/>
    <w:rsid w:val="007F4F74"/>
    <w:rsid w:val="007F637A"/>
    <w:rsid w:val="007F6680"/>
    <w:rsid w:val="008008B4"/>
    <w:rsid w:val="00800E31"/>
    <w:rsid w:val="00801262"/>
    <w:rsid w:val="00801975"/>
    <w:rsid w:val="0080291C"/>
    <w:rsid w:val="00802D51"/>
    <w:rsid w:val="00803B2C"/>
    <w:rsid w:val="00804E7D"/>
    <w:rsid w:val="0080532C"/>
    <w:rsid w:val="00805D72"/>
    <w:rsid w:val="00806B20"/>
    <w:rsid w:val="0080755A"/>
    <w:rsid w:val="0080760C"/>
    <w:rsid w:val="00807FCA"/>
    <w:rsid w:val="00810F68"/>
    <w:rsid w:val="00811C16"/>
    <w:rsid w:val="00811F46"/>
    <w:rsid w:val="008120B2"/>
    <w:rsid w:val="00812105"/>
    <w:rsid w:val="0081512A"/>
    <w:rsid w:val="008178B6"/>
    <w:rsid w:val="00821C29"/>
    <w:rsid w:val="0082281E"/>
    <w:rsid w:val="00822A9A"/>
    <w:rsid w:val="0082450C"/>
    <w:rsid w:val="00824677"/>
    <w:rsid w:val="00824D53"/>
    <w:rsid w:val="00825082"/>
    <w:rsid w:val="00826C33"/>
    <w:rsid w:val="00826E68"/>
    <w:rsid w:val="00830DFD"/>
    <w:rsid w:val="0083147F"/>
    <w:rsid w:val="00831684"/>
    <w:rsid w:val="00832922"/>
    <w:rsid w:val="00833D52"/>
    <w:rsid w:val="0083411D"/>
    <w:rsid w:val="00835288"/>
    <w:rsid w:val="008353BE"/>
    <w:rsid w:val="00835ED5"/>
    <w:rsid w:val="008362E8"/>
    <w:rsid w:val="00836AF3"/>
    <w:rsid w:val="008373E1"/>
    <w:rsid w:val="0083774B"/>
    <w:rsid w:val="00842858"/>
    <w:rsid w:val="00842D8A"/>
    <w:rsid w:val="00842E67"/>
    <w:rsid w:val="00844B2E"/>
    <w:rsid w:val="00847793"/>
    <w:rsid w:val="008501B4"/>
    <w:rsid w:val="00851906"/>
    <w:rsid w:val="0085256A"/>
    <w:rsid w:val="008529EB"/>
    <w:rsid w:val="008535B7"/>
    <w:rsid w:val="00853A2F"/>
    <w:rsid w:val="008546DC"/>
    <w:rsid w:val="00854EA4"/>
    <w:rsid w:val="008552CC"/>
    <w:rsid w:val="00855A53"/>
    <w:rsid w:val="00855E9C"/>
    <w:rsid w:val="00857DDB"/>
    <w:rsid w:val="008603E3"/>
    <w:rsid w:val="00860D63"/>
    <w:rsid w:val="008626C1"/>
    <w:rsid w:val="00862DDC"/>
    <w:rsid w:val="00864061"/>
    <w:rsid w:val="00864439"/>
    <w:rsid w:val="00865902"/>
    <w:rsid w:val="00865B74"/>
    <w:rsid w:val="008664C5"/>
    <w:rsid w:val="00867E68"/>
    <w:rsid w:val="008712E8"/>
    <w:rsid w:val="00871A88"/>
    <w:rsid w:val="008738BC"/>
    <w:rsid w:val="00874FFE"/>
    <w:rsid w:val="0087561F"/>
    <w:rsid w:val="0087627C"/>
    <w:rsid w:val="00876841"/>
    <w:rsid w:val="00881DAB"/>
    <w:rsid w:val="00882134"/>
    <w:rsid w:val="008826F8"/>
    <w:rsid w:val="008827FC"/>
    <w:rsid w:val="00882E85"/>
    <w:rsid w:val="0088329E"/>
    <w:rsid w:val="0088357D"/>
    <w:rsid w:val="00885769"/>
    <w:rsid w:val="00885FC0"/>
    <w:rsid w:val="00886A96"/>
    <w:rsid w:val="00887C0C"/>
    <w:rsid w:val="008909F6"/>
    <w:rsid w:val="008914D9"/>
    <w:rsid w:val="00891FE9"/>
    <w:rsid w:val="008927C6"/>
    <w:rsid w:val="008937D8"/>
    <w:rsid w:val="00894066"/>
    <w:rsid w:val="008956E6"/>
    <w:rsid w:val="008974F0"/>
    <w:rsid w:val="008A2FD1"/>
    <w:rsid w:val="008A3829"/>
    <w:rsid w:val="008A3DF1"/>
    <w:rsid w:val="008A4609"/>
    <w:rsid w:val="008A4E6E"/>
    <w:rsid w:val="008A5E96"/>
    <w:rsid w:val="008A6104"/>
    <w:rsid w:val="008A6DEB"/>
    <w:rsid w:val="008A76A1"/>
    <w:rsid w:val="008B0064"/>
    <w:rsid w:val="008B012A"/>
    <w:rsid w:val="008B124F"/>
    <w:rsid w:val="008B2751"/>
    <w:rsid w:val="008B3321"/>
    <w:rsid w:val="008B4877"/>
    <w:rsid w:val="008B54C5"/>
    <w:rsid w:val="008B7C1C"/>
    <w:rsid w:val="008C035D"/>
    <w:rsid w:val="008C11A8"/>
    <w:rsid w:val="008C129B"/>
    <w:rsid w:val="008C2E07"/>
    <w:rsid w:val="008C68FF"/>
    <w:rsid w:val="008C6A4F"/>
    <w:rsid w:val="008C7AB6"/>
    <w:rsid w:val="008C7C96"/>
    <w:rsid w:val="008C7F63"/>
    <w:rsid w:val="008D06C3"/>
    <w:rsid w:val="008D16E8"/>
    <w:rsid w:val="008D1BDE"/>
    <w:rsid w:val="008D4591"/>
    <w:rsid w:val="008D5BEB"/>
    <w:rsid w:val="008D635C"/>
    <w:rsid w:val="008D699A"/>
    <w:rsid w:val="008E063A"/>
    <w:rsid w:val="008E25B4"/>
    <w:rsid w:val="008E2A4E"/>
    <w:rsid w:val="008E4379"/>
    <w:rsid w:val="008E46EC"/>
    <w:rsid w:val="008E49D3"/>
    <w:rsid w:val="008E4E09"/>
    <w:rsid w:val="008E574B"/>
    <w:rsid w:val="008E5BE9"/>
    <w:rsid w:val="008E6BF2"/>
    <w:rsid w:val="008F16B5"/>
    <w:rsid w:val="008F18FA"/>
    <w:rsid w:val="008F3035"/>
    <w:rsid w:val="008F3EE6"/>
    <w:rsid w:val="008F45DF"/>
    <w:rsid w:val="008F674F"/>
    <w:rsid w:val="008F732C"/>
    <w:rsid w:val="008F749D"/>
    <w:rsid w:val="009002AD"/>
    <w:rsid w:val="0090144C"/>
    <w:rsid w:val="00901B75"/>
    <w:rsid w:val="009022DB"/>
    <w:rsid w:val="00902F8E"/>
    <w:rsid w:val="009031F3"/>
    <w:rsid w:val="00903480"/>
    <w:rsid w:val="00905110"/>
    <w:rsid w:val="0090551D"/>
    <w:rsid w:val="0090598D"/>
    <w:rsid w:val="00906623"/>
    <w:rsid w:val="00906E17"/>
    <w:rsid w:val="00907DE1"/>
    <w:rsid w:val="009118B3"/>
    <w:rsid w:val="00912A11"/>
    <w:rsid w:val="00914595"/>
    <w:rsid w:val="009147E4"/>
    <w:rsid w:val="0091497C"/>
    <w:rsid w:val="009157A5"/>
    <w:rsid w:val="00916054"/>
    <w:rsid w:val="0091622D"/>
    <w:rsid w:val="00916F0A"/>
    <w:rsid w:val="00916F89"/>
    <w:rsid w:val="0091776F"/>
    <w:rsid w:val="00917952"/>
    <w:rsid w:val="00917F81"/>
    <w:rsid w:val="009202D5"/>
    <w:rsid w:val="00920575"/>
    <w:rsid w:val="00920F27"/>
    <w:rsid w:val="00921168"/>
    <w:rsid w:val="00921D07"/>
    <w:rsid w:val="0092483A"/>
    <w:rsid w:val="00924C7B"/>
    <w:rsid w:val="00927D14"/>
    <w:rsid w:val="0093085A"/>
    <w:rsid w:val="00930BA1"/>
    <w:rsid w:val="0093169E"/>
    <w:rsid w:val="00931BFC"/>
    <w:rsid w:val="00933474"/>
    <w:rsid w:val="00933F7A"/>
    <w:rsid w:val="009345B8"/>
    <w:rsid w:val="00934892"/>
    <w:rsid w:val="00935405"/>
    <w:rsid w:val="00935E7D"/>
    <w:rsid w:val="009363DC"/>
    <w:rsid w:val="009372FE"/>
    <w:rsid w:val="009407F8"/>
    <w:rsid w:val="00940B40"/>
    <w:rsid w:val="0094372C"/>
    <w:rsid w:val="00946114"/>
    <w:rsid w:val="00946498"/>
    <w:rsid w:val="00947BF7"/>
    <w:rsid w:val="0095019A"/>
    <w:rsid w:val="009505C9"/>
    <w:rsid w:val="00950623"/>
    <w:rsid w:val="00950752"/>
    <w:rsid w:val="00950774"/>
    <w:rsid w:val="009529B8"/>
    <w:rsid w:val="00953BC0"/>
    <w:rsid w:val="009562DC"/>
    <w:rsid w:val="00956A61"/>
    <w:rsid w:val="00957C65"/>
    <w:rsid w:val="00960C1E"/>
    <w:rsid w:val="00960F68"/>
    <w:rsid w:val="009633F1"/>
    <w:rsid w:val="009637DA"/>
    <w:rsid w:val="009644AA"/>
    <w:rsid w:val="00964D9F"/>
    <w:rsid w:val="00965709"/>
    <w:rsid w:val="00966424"/>
    <w:rsid w:val="009666CE"/>
    <w:rsid w:val="00966EEB"/>
    <w:rsid w:val="00970050"/>
    <w:rsid w:val="00973364"/>
    <w:rsid w:val="00973EAF"/>
    <w:rsid w:val="0098143A"/>
    <w:rsid w:val="009817D6"/>
    <w:rsid w:val="00981E61"/>
    <w:rsid w:val="009833BF"/>
    <w:rsid w:val="00985228"/>
    <w:rsid w:val="009905E8"/>
    <w:rsid w:val="009926B7"/>
    <w:rsid w:val="009937E0"/>
    <w:rsid w:val="00994DF4"/>
    <w:rsid w:val="00997FEF"/>
    <w:rsid w:val="009A04BA"/>
    <w:rsid w:val="009A0DB2"/>
    <w:rsid w:val="009A14C8"/>
    <w:rsid w:val="009A210C"/>
    <w:rsid w:val="009A2851"/>
    <w:rsid w:val="009A451C"/>
    <w:rsid w:val="009A469F"/>
    <w:rsid w:val="009A512A"/>
    <w:rsid w:val="009A525C"/>
    <w:rsid w:val="009A797A"/>
    <w:rsid w:val="009B0725"/>
    <w:rsid w:val="009B0AB6"/>
    <w:rsid w:val="009B1B91"/>
    <w:rsid w:val="009B1C50"/>
    <w:rsid w:val="009B31D8"/>
    <w:rsid w:val="009B56B7"/>
    <w:rsid w:val="009B6043"/>
    <w:rsid w:val="009B7E0F"/>
    <w:rsid w:val="009C1589"/>
    <w:rsid w:val="009C2DE6"/>
    <w:rsid w:val="009C6511"/>
    <w:rsid w:val="009C6760"/>
    <w:rsid w:val="009C6991"/>
    <w:rsid w:val="009D07B2"/>
    <w:rsid w:val="009D0ADD"/>
    <w:rsid w:val="009D1ADA"/>
    <w:rsid w:val="009D219A"/>
    <w:rsid w:val="009D2CDB"/>
    <w:rsid w:val="009D59B1"/>
    <w:rsid w:val="009D62C3"/>
    <w:rsid w:val="009D7D90"/>
    <w:rsid w:val="009E0B54"/>
    <w:rsid w:val="009E11B1"/>
    <w:rsid w:val="009E2F67"/>
    <w:rsid w:val="009E5952"/>
    <w:rsid w:val="009E5FB3"/>
    <w:rsid w:val="009E7150"/>
    <w:rsid w:val="009F0C20"/>
    <w:rsid w:val="009F1E90"/>
    <w:rsid w:val="009F535A"/>
    <w:rsid w:val="009F553A"/>
    <w:rsid w:val="009F6A8A"/>
    <w:rsid w:val="009F74B3"/>
    <w:rsid w:val="009F7F06"/>
    <w:rsid w:val="00A02696"/>
    <w:rsid w:val="00A03754"/>
    <w:rsid w:val="00A04BBB"/>
    <w:rsid w:val="00A054FB"/>
    <w:rsid w:val="00A06DD0"/>
    <w:rsid w:val="00A110D0"/>
    <w:rsid w:val="00A11A5B"/>
    <w:rsid w:val="00A12E4A"/>
    <w:rsid w:val="00A146A2"/>
    <w:rsid w:val="00A14DBC"/>
    <w:rsid w:val="00A16C00"/>
    <w:rsid w:val="00A16E78"/>
    <w:rsid w:val="00A228A4"/>
    <w:rsid w:val="00A22BC3"/>
    <w:rsid w:val="00A235F2"/>
    <w:rsid w:val="00A2371F"/>
    <w:rsid w:val="00A253A5"/>
    <w:rsid w:val="00A255B9"/>
    <w:rsid w:val="00A25C99"/>
    <w:rsid w:val="00A26252"/>
    <w:rsid w:val="00A26A46"/>
    <w:rsid w:val="00A26BA9"/>
    <w:rsid w:val="00A3035D"/>
    <w:rsid w:val="00A307E1"/>
    <w:rsid w:val="00A307EA"/>
    <w:rsid w:val="00A30A9D"/>
    <w:rsid w:val="00A31EC2"/>
    <w:rsid w:val="00A324F8"/>
    <w:rsid w:val="00A32EE3"/>
    <w:rsid w:val="00A3490B"/>
    <w:rsid w:val="00A37C6D"/>
    <w:rsid w:val="00A403F3"/>
    <w:rsid w:val="00A4157D"/>
    <w:rsid w:val="00A4211F"/>
    <w:rsid w:val="00A42467"/>
    <w:rsid w:val="00A42E10"/>
    <w:rsid w:val="00A43EE6"/>
    <w:rsid w:val="00A4624F"/>
    <w:rsid w:val="00A509AC"/>
    <w:rsid w:val="00A50D8C"/>
    <w:rsid w:val="00A50F98"/>
    <w:rsid w:val="00A53899"/>
    <w:rsid w:val="00A5401C"/>
    <w:rsid w:val="00A54C34"/>
    <w:rsid w:val="00A55D13"/>
    <w:rsid w:val="00A5707F"/>
    <w:rsid w:val="00A577A3"/>
    <w:rsid w:val="00A60CF1"/>
    <w:rsid w:val="00A621FA"/>
    <w:rsid w:val="00A628F2"/>
    <w:rsid w:val="00A63163"/>
    <w:rsid w:val="00A64A3E"/>
    <w:rsid w:val="00A6713A"/>
    <w:rsid w:val="00A675EF"/>
    <w:rsid w:val="00A677AD"/>
    <w:rsid w:val="00A67E6F"/>
    <w:rsid w:val="00A70FCC"/>
    <w:rsid w:val="00A72CA6"/>
    <w:rsid w:val="00A73404"/>
    <w:rsid w:val="00A740B2"/>
    <w:rsid w:val="00A7431B"/>
    <w:rsid w:val="00A74A8E"/>
    <w:rsid w:val="00A74FF8"/>
    <w:rsid w:val="00A753ED"/>
    <w:rsid w:val="00A75624"/>
    <w:rsid w:val="00A75E0B"/>
    <w:rsid w:val="00A77F43"/>
    <w:rsid w:val="00A804C0"/>
    <w:rsid w:val="00A8052A"/>
    <w:rsid w:val="00A8142A"/>
    <w:rsid w:val="00A81C00"/>
    <w:rsid w:val="00A820CA"/>
    <w:rsid w:val="00A8345A"/>
    <w:rsid w:val="00A91558"/>
    <w:rsid w:val="00A91DEF"/>
    <w:rsid w:val="00A92FD5"/>
    <w:rsid w:val="00A93D24"/>
    <w:rsid w:val="00AA0A10"/>
    <w:rsid w:val="00AA0F9C"/>
    <w:rsid w:val="00AA357F"/>
    <w:rsid w:val="00AA4A68"/>
    <w:rsid w:val="00AA5692"/>
    <w:rsid w:val="00AA6F92"/>
    <w:rsid w:val="00AA7589"/>
    <w:rsid w:val="00AA7D2A"/>
    <w:rsid w:val="00AB0F32"/>
    <w:rsid w:val="00AB1931"/>
    <w:rsid w:val="00AB3983"/>
    <w:rsid w:val="00AB3D7D"/>
    <w:rsid w:val="00AB57ED"/>
    <w:rsid w:val="00AB6934"/>
    <w:rsid w:val="00AB7E0A"/>
    <w:rsid w:val="00AC0CBE"/>
    <w:rsid w:val="00AC3B39"/>
    <w:rsid w:val="00AC49FB"/>
    <w:rsid w:val="00AC6774"/>
    <w:rsid w:val="00AC7DA3"/>
    <w:rsid w:val="00AD21A7"/>
    <w:rsid w:val="00AD5407"/>
    <w:rsid w:val="00AD5E43"/>
    <w:rsid w:val="00AD6F33"/>
    <w:rsid w:val="00AD7504"/>
    <w:rsid w:val="00AD7621"/>
    <w:rsid w:val="00AE0075"/>
    <w:rsid w:val="00AE0ABF"/>
    <w:rsid w:val="00AE1323"/>
    <w:rsid w:val="00AE349B"/>
    <w:rsid w:val="00AE3620"/>
    <w:rsid w:val="00AE43CD"/>
    <w:rsid w:val="00AE54D2"/>
    <w:rsid w:val="00AE750C"/>
    <w:rsid w:val="00AE7DD3"/>
    <w:rsid w:val="00AF0C01"/>
    <w:rsid w:val="00AF1CC1"/>
    <w:rsid w:val="00AF34A0"/>
    <w:rsid w:val="00AF3DEE"/>
    <w:rsid w:val="00AF42DE"/>
    <w:rsid w:val="00AF7891"/>
    <w:rsid w:val="00B0352C"/>
    <w:rsid w:val="00B0353D"/>
    <w:rsid w:val="00B047A6"/>
    <w:rsid w:val="00B04DD0"/>
    <w:rsid w:val="00B058F5"/>
    <w:rsid w:val="00B06899"/>
    <w:rsid w:val="00B069E1"/>
    <w:rsid w:val="00B0700D"/>
    <w:rsid w:val="00B12758"/>
    <w:rsid w:val="00B1606C"/>
    <w:rsid w:val="00B16C26"/>
    <w:rsid w:val="00B16F96"/>
    <w:rsid w:val="00B17A7A"/>
    <w:rsid w:val="00B23724"/>
    <w:rsid w:val="00B25611"/>
    <w:rsid w:val="00B25950"/>
    <w:rsid w:val="00B26411"/>
    <w:rsid w:val="00B2641C"/>
    <w:rsid w:val="00B305B4"/>
    <w:rsid w:val="00B311D5"/>
    <w:rsid w:val="00B32B76"/>
    <w:rsid w:val="00B3369F"/>
    <w:rsid w:val="00B33922"/>
    <w:rsid w:val="00B347A2"/>
    <w:rsid w:val="00B34E00"/>
    <w:rsid w:val="00B37A1E"/>
    <w:rsid w:val="00B41FE4"/>
    <w:rsid w:val="00B421BD"/>
    <w:rsid w:val="00B457A6"/>
    <w:rsid w:val="00B47A01"/>
    <w:rsid w:val="00B47DA8"/>
    <w:rsid w:val="00B50B03"/>
    <w:rsid w:val="00B51512"/>
    <w:rsid w:val="00B51DC1"/>
    <w:rsid w:val="00B523BE"/>
    <w:rsid w:val="00B52BE7"/>
    <w:rsid w:val="00B53770"/>
    <w:rsid w:val="00B53C86"/>
    <w:rsid w:val="00B57718"/>
    <w:rsid w:val="00B57D31"/>
    <w:rsid w:val="00B6018F"/>
    <w:rsid w:val="00B6117B"/>
    <w:rsid w:val="00B64195"/>
    <w:rsid w:val="00B64BE1"/>
    <w:rsid w:val="00B66474"/>
    <w:rsid w:val="00B67E3E"/>
    <w:rsid w:val="00B71C3D"/>
    <w:rsid w:val="00B72668"/>
    <w:rsid w:val="00B72E1C"/>
    <w:rsid w:val="00B7343B"/>
    <w:rsid w:val="00B73C3D"/>
    <w:rsid w:val="00B740E3"/>
    <w:rsid w:val="00B74776"/>
    <w:rsid w:val="00B74C2A"/>
    <w:rsid w:val="00B75C0C"/>
    <w:rsid w:val="00B76985"/>
    <w:rsid w:val="00B77133"/>
    <w:rsid w:val="00B80888"/>
    <w:rsid w:val="00B808DC"/>
    <w:rsid w:val="00B809B6"/>
    <w:rsid w:val="00B81106"/>
    <w:rsid w:val="00B828F8"/>
    <w:rsid w:val="00B83A55"/>
    <w:rsid w:val="00B85249"/>
    <w:rsid w:val="00B876D3"/>
    <w:rsid w:val="00B90389"/>
    <w:rsid w:val="00B91DD4"/>
    <w:rsid w:val="00B928FA"/>
    <w:rsid w:val="00B94B7E"/>
    <w:rsid w:val="00B94E6C"/>
    <w:rsid w:val="00B95DB2"/>
    <w:rsid w:val="00B96167"/>
    <w:rsid w:val="00BA26C7"/>
    <w:rsid w:val="00BA3CAE"/>
    <w:rsid w:val="00BA575C"/>
    <w:rsid w:val="00BA6B3A"/>
    <w:rsid w:val="00BB05BA"/>
    <w:rsid w:val="00BB08F8"/>
    <w:rsid w:val="00BB2BBF"/>
    <w:rsid w:val="00BB2F65"/>
    <w:rsid w:val="00BB3204"/>
    <w:rsid w:val="00BB4584"/>
    <w:rsid w:val="00BB4606"/>
    <w:rsid w:val="00BB547F"/>
    <w:rsid w:val="00BC05FB"/>
    <w:rsid w:val="00BC180A"/>
    <w:rsid w:val="00BC3906"/>
    <w:rsid w:val="00BC59E8"/>
    <w:rsid w:val="00BC5C16"/>
    <w:rsid w:val="00BC5E2E"/>
    <w:rsid w:val="00BC622E"/>
    <w:rsid w:val="00BC6D02"/>
    <w:rsid w:val="00BD2532"/>
    <w:rsid w:val="00BD3A9E"/>
    <w:rsid w:val="00BD5D11"/>
    <w:rsid w:val="00BD7DD5"/>
    <w:rsid w:val="00BD7E1F"/>
    <w:rsid w:val="00BE06CC"/>
    <w:rsid w:val="00BE2518"/>
    <w:rsid w:val="00BE4310"/>
    <w:rsid w:val="00BE49D1"/>
    <w:rsid w:val="00BE5791"/>
    <w:rsid w:val="00BE76AC"/>
    <w:rsid w:val="00BF05B8"/>
    <w:rsid w:val="00BF1BF2"/>
    <w:rsid w:val="00BF2E62"/>
    <w:rsid w:val="00BF336C"/>
    <w:rsid w:val="00BF3D19"/>
    <w:rsid w:val="00BF5A29"/>
    <w:rsid w:val="00BF632D"/>
    <w:rsid w:val="00BF6528"/>
    <w:rsid w:val="00BF674A"/>
    <w:rsid w:val="00BF7045"/>
    <w:rsid w:val="00BF7081"/>
    <w:rsid w:val="00BF7D29"/>
    <w:rsid w:val="00BF7D67"/>
    <w:rsid w:val="00C00C8E"/>
    <w:rsid w:val="00C04AA4"/>
    <w:rsid w:val="00C05B5F"/>
    <w:rsid w:val="00C0649A"/>
    <w:rsid w:val="00C103FF"/>
    <w:rsid w:val="00C108E4"/>
    <w:rsid w:val="00C10E0C"/>
    <w:rsid w:val="00C10F98"/>
    <w:rsid w:val="00C117AB"/>
    <w:rsid w:val="00C13372"/>
    <w:rsid w:val="00C13E63"/>
    <w:rsid w:val="00C15290"/>
    <w:rsid w:val="00C1541E"/>
    <w:rsid w:val="00C166E8"/>
    <w:rsid w:val="00C16973"/>
    <w:rsid w:val="00C17536"/>
    <w:rsid w:val="00C17DAD"/>
    <w:rsid w:val="00C203B9"/>
    <w:rsid w:val="00C207D9"/>
    <w:rsid w:val="00C23D2F"/>
    <w:rsid w:val="00C24938"/>
    <w:rsid w:val="00C25350"/>
    <w:rsid w:val="00C26A9A"/>
    <w:rsid w:val="00C3004D"/>
    <w:rsid w:val="00C30615"/>
    <w:rsid w:val="00C316CF"/>
    <w:rsid w:val="00C32CA6"/>
    <w:rsid w:val="00C34CE0"/>
    <w:rsid w:val="00C34D6B"/>
    <w:rsid w:val="00C37FEA"/>
    <w:rsid w:val="00C40E91"/>
    <w:rsid w:val="00C41440"/>
    <w:rsid w:val="00C42177"/>
    <w:rsid w:val="00C443BD"/>
    <w:rsid w:val="00C451C5"/>
    <w:rsid w:val="00C456BA"/>
    <w:rsid w:val="00C47E03"/>
    <w:rsid w:val="00C500D4"/>
    <w:rsid w:val="00C50123"/>
    <w:rsid w:val="00C51097"/>
    <w:rsid w:val="00C519AE"/>
    <w:rsid w:val="00C53BE7"/>
    <w:rsid w:val="00C547E4"/>
    <w:rsid w:val="00C55673"/>
    <w:rsid w:val="00C56862"/>
    <w:rsid w:val="00C56B32"/>
    <w:rsid w:val="00C602F5"/>
    <w:rsid w:val="00C60CC4"/>
    <w:rsid w:val="00C6100C"/>
    <w:rsid w:val="00C629C2"/>
    <w:rsid w:val="00C64542"/>
    <w:rsid w:val="00C67041"/>
    <w:rsid w:val="00C67BFF"/>
    <w:rsid w:val="00C70CF5"/>
    <w:rsid w:val="00C70CFF"/>
    <w:rsid w:val="00C7443C"/>
    <w:rsid w:val="00C75BE4"/>
    <w:rsid w:val="00C771DA"/>
    <w:rsid w:val="00C806DA"/>
    <w:rsid w:val="00C819C7"/>
    <w:rsid w:val="00C833A2"/>
    <w:rsid w:val="00C83734"/>
    <w:rsid w:val="00C838FE"/>
    <w:rsid w:val="00C84587"/>
    <w:rsid w:val="00C851BB"/>
    <w:rsid w:val="00C85FC9"/>
    <w:rsid w:val="00C862D1"/>
    <w:rsid w:val="00C901A6"/>
    <w:rsid w:val="00C901BA"/>
    <w:rsid w:val="00C9033C"/>
    <w:rsid w:val="00C90FDC"/>
    <w:rsid w:val="00C9161D"/>
    <w:rsid w:val="00C9178F"/>
    <w:rsid w:val="00C92B01"/>
    <w:rsid w:val="00C93CEB"/>
    <w:rsid w:val="00C95B81"/>
    <w:rsid w:val="00C95C46"/>
    <w:rsid w:val="00C95D15"/>
    <w:rsid w:val="00C9695A"/>
    <w:rsid w:val="00C97BFE"/>
    <w:rsid w:val="00CA0C1D"/>
    <w:rsid w:val="00CA0E33"/>
    <w:rsid w:val="00CA1539"/>
    <w:rsid w:val="00CA18D9"/>
    <w:rsid w:val="00CA3851"/>
    <w:rsid w:val="00CA3FE0"/>
    <w:rsid w:val="00CA428A"/>
    <w:rsid w:val="00CA470A"/>
    <w:rsid w:val="00CA5049"/>
    <w:rsid w:val="00CA62A5"/>
    <w:rsid w:val="00CA63CB"/>
    <w:rsid w:val="00CA6DA6"/>
    <w:rsid w:val="00CB08B4"/>
    <w:rsid w:val="00CB0FF1"/>
    <w:rsid w:val="00CB13CF"/>
    <w:rsid w:val="00CB15B3"/>
    <w:rsid w:val="00CB3BF8"/>
    <w:rsid w:val="00CB3E43"/>
    <w:rsid w:val="00CB3F8F"/>
    <w:rsid w:val="00CB465C"/>
    <w:rsid w:val="00CB6693"/>
    <w:rsid w:val="00CB722F"/>
    <w:rsid w:val="00CC0BC2"/>
    <w:rsid w:val="00CC0C9C"/>
    <w:rsid w:val="00CC13F3"/>
    <w:rsid w:val="00CC316E"/>
    <w:rsid w:val="00CC47B7"/>
    <w:rsid w:val="00CC5BE7"/>
    <w:rsid w:val="00CC5E05"/>
    <w:rsid w:val="00CD0065"/>
    <w:rsid w:val="00CD0EEF"/>
    <w:rsid w:val="00CD0FFF"/>
    <w:rsid w:val="00CD2157"/>
    <w:rsid w:val="00CD3412"/>
    <w:rsid w:val="00CD67DD"/>
    <w:rsid w:val="00CD6A8E"/>
    <w:rsid w:val="00CD7F13"/>
    <w:rsid w:val="00CE21DA"/>
    <w:rsid w:val="00CE4629"/>
    <w:rsid w:val="00CE518A"/>
    <w:rsid w:val="00CE522E"/>
    <w:rsid w:val="00CE538E"/>
    <w:rsid w:val="00CE5E1B"/>
    <w:rsid w:val="00CE61DA"/>
    <w:rsid w:val="00CE6898"/>
    <w:rsid w:val="00CE75B7"/>
    <w:rsid w:val="00CE7BE1"/>
    <w:rsid w:val="00CE7C0A"/>
    <w:rsid w:val="00CF0769"/>
    <w:rsid w:val="00CF1848"/>
    <w:rsid w:val="00CF2AF5"/>
    <w:rsid w:val="00CF3B63"/>
    <w:rsid w:val="00CF43CB"/>
    <w:rsid w:val="00CF4C01"/>
    <w:rsid w:val="00CF59B0"/>
    <w:rsid w:val="00CF68C5"/>
    <w:rsid w:val="00D007E2"/>
    <w:rsid w:val="00D0129B"/>
    <w:rsid w:val="00D01B1D"/>
    <w:rsid w:val="00D02408"/>
    <w:rsid w:val="00D040F1"/>
    <w:rsid w:val="00D059E9"/>
    <w:rsid w:val="00D0698B"/>
    <w:rsid w:val="00D06B7F"/>
    <w:rsid w:val="00D12044"/>
    <w:rsid w:val="00D1210A"/>
    <w:rsid w:val="00D128C9"/>
    <w:rsid w:val="00D13B8D"/>
    <w:rsid w:val="00D13F7B"/>
    <w:rsid w:val="00D14D8C"/>
    <w:rsid w:val="00D14DF6"/>
    <w:rsid w:val="00D160A0"/>
    <w:rsid w:val="00D205FB"/>
    <w:rsid w:val="00D21DF4"/>
    <w:rsid w:val="00D22C65"/>
    <w:rsid w:val="00D23A39"/>
    <w:rsid w:val="00D24D97"/>
    <w:rsid w:val="00D2578C"/>
    <w:rsid w:val="00D2622D"/>
    <w:rsid w:val="00D274D2"/>
    <w:rsid w:val="00D301AD"/>
    <w:rsid w:val="00D309BD"/>
    <w:rsid w:val="00D31FDC"/>
    <w:rsid w:val="00D33EC0"/>
    <w:rsid w:val="00D33EFC"/>
    <w:rsid w:val="00D34BF9"/>
    <w:rsid w:val="00D3571F"/>
    <w:rsid w:val="00D35CC6"/>
    <w:rsid w:val="00D36832"/>
    <w:rsid w:val="00D36EFF"/>
    <w:rsid w:val="00D40DBC"/>
    <w:rsid w:val="00D41E39"/>
    <w:rsid w:val="00D427A5"/>
    <w:rsid w:val="00D42E2C"/>
    <w:rsid w:val="00D4363E"/>
    <w:rsid w:val="00D43D36"/>
    <w:rsid w:val="00D44216"/>
    <w:rsid w:val="00D45E50"/>
    <w:rsid w:val="00D500F3"/>
    <w:rsid w:val="00D50B47"/>
    <w:rsid w:val="00D50E3B"/>
    <w:rsid w:val="00D5355D"/>
    <w:rsid w:val="00D53730"/>
    <w:rsid w:val="00D54BAC"/>
    <w:rsid w:val="00D54F48"/>
    <w:rsid w:val="00D55F8D"/>
    <w:rsid w:val="00D5648F"/>
    <w:rsid w:val="00D57CC1"/>
    <w:rsid w:val="00D57F7C"/>
    <w:rsid w:val="00D6179A"/>
    <w:rsid w:val="00D61B04"/>
    <w:rsid w:val="00D62449"/>
    <w:rsid w:val="00D63468"/>
    <w:rsid w:val="00D63890"/>
    <w:rsid w:val="00D63BD4"/>
    <w:rsid w:val="00D651DA"/>
    <w:rsid w:val="00D66443"/>
    <w:rsid w:val="00D66D17"/>
    <w:rsid w:val="00D70831"/>
    <w:rsid w:val="00D714DD"/>
    <w:rsid w:val="00D73C3A"/>
    <w:rsid w:val="00D740F7"/>
    <w:rsid w:val="00D74AFF"/>
    <w:rsid w:val="00D74EF5"/>
    <w:rsid w:val="00D76A18"/>
    <w:rsid w:val="00D76FCE"/>
    <w:rsid w:val="00D77900"/>
    <w:rsid w:val="00D800BC"/>
    <w:rsid w:val="00D80849"/>
    <w:rsid w:val="00D82ABD"/>
    <w:rsid w:val="00D82E8F"/>
    <w:rsid w:val="00D849DC"/>
    <w:rsid w:val="00D853E0"/>
    <w:rsid w:val="00D85409"/>
    <w:rsid w:val="00D91C18"/>
    <w:rsid w:val="00D92B0B"/>
    <w:rsid w:val="00D9362A"/>
    <w:rsid w:val="00D93E0E"/>
    <w:rsid w:val="00D951DB"/>
    <w:rsid w:val="00D9718B"/>
    <w:rsid w:val="00D97813"/>
    <w:rsid w:val="00D97D18"/>
    <w:rsid w:val="00D97F5F"/>
    <w:rsid w:val="00DA0244"/>
    <w:rsid w:val="00DA0651"/>
    <w:rsid w:val="00DA090B"/>
    <w:rsid w:val="00DA0A42"/>
    <w:rsid w:val="00DA19BA"/>
    <w:rsid w:val="00DA1F7D"/>
    <w:rsid w:val="00DA4B0D"/>
    <w:rsid w:val="00DA7C3A"/>
    <w:rsid w:val="00DB21E0"/>
    <w:rsid w:val="00DB48A9"/>
    <w:rsid w:val="00DB6403"/>
    <w:rsid w:val="00DB6ECD"/>
    <w:rsid w:val="00DC082A"/>
    <w:rsid w:val="00DC0A00"/>
    <w:rsid w:val="00DC0C50"/>
    <w:rsid w:val="00DC0E2D"/>
    <w:rsid w:val="00DC1A22"/>
    <w:rsid w:val="00DC32FA"/>
    <w:rsid w:val="00DC3BF7"/>
    <w:rsid w:val="00DC5429"/>
    <w:rsid w:val="00DC5CA7"/>
    <w:rsid w:val="00DC6F66"/>
    <w:rsid w:val="00DC7CB3"/>
    <w:rsid w:val="00DC7EA1"/>
    <w:rsid w:val="00DD118C"/>
    <w:rsid w:val="00DD35B1"/>
    <w:rsid w:val="00DD3C6B"/>
    <w:rsid w:val="00DD3D5A"/>
    <w:rsid w:val="00DD3E6C"/>
    <w:rsid w:val="00DD4326"/>
    <w:rsid w:val="00DD561A"/>
    <w:rsid w:val="00DD584D"/>
    <w:rsid w:val="00DE4881"/>
    <w:rsid w:val="00DE502F"/>
    <w:rsid w:val="00DE5457"/>
    <w:rsid w:val="00DE685D"/>
    <w:rsid w:val="00DE6DBA"/>
    <w:rsid w:val="00DE6F2B"/>
    <w:rsid w:val="00DE7FD6"/>
    <w:rsid w:val="00DF15B9"/>
    <w:rsid w:val="00DF2263"/>
    <w:rsid w:val="00DF2DA9"/>
    <w:rsid w:val="00DF62C2"/>
    <w:rsid w:val="00E01961"/>
    <w:rsid w:val="00E0363E"/>
    <w:rsid w:val="00E04315"/>
    <w:rsid w:val="00E052CF"/>
    <w:rsid w:val="00E069BA"/>
    <w:rsid w:val="00E06B36"/>
    <w:rsid w:val="00E06C9E"/>
    <w:rsid w:val="00E104C8"/>
    <w:rsid w:val="00E10FE5"/>
    <w:rsid w:val="00E11CD7"/>
    <w:rsid w:val="00E12474"/>
    <w:rsid w:val="00E127B9"/>
    <w:rsid w:val="00E1639F"/>
    <w:rsid w:val="00E1751B"/>
    <w:rsid w:val="00E1770D"/>
    <w:rsid w:val="00E220B7"/>
    <w:rsid w:val="00E22843"/>
    <w:rsid w:val="00E22918"/>
    <w:rsid w:val="00E22F6F"/>
    <w:rsid w:val="00E23050"/>
    <w:rsid w:val="00E230AE"/>
    <w:rsid w:val="00E23C93"/>
    <w:rsid w:val="00E23D57"/>
    <w:rsid w:val="00E24DD7"/>
    <w:rsid w:val="00E25EF5"/>
    <w:rsid w:val="00E265FF"/>
    <w:rsid w:val="00E269D8"/>
    <w:rsid w:val="00E26A25"/>
    <w:rsid w:val="00E30733"/>
    <w:rsid w:val="00E32F77"/>
    <w:rsid w:val="00E346CF"/>
    <w:rsid w:val="00E347A1"/>
    <w:rsid w:val="00E34913"/>
    <w:rsid w:val="00E42FD6"/>
    <w:rsid w:val="00E44EA7"/>
    <w:rsid w:val="00E5005E"/>
    <w:rsid w:val="00E5028F"/>
    <w:rsid w:val="00E52225"/>
    <w:rsid w:val="00E55C18"/>
    <w:rsid w:val="00E55D31"/>
    <w:rsid w:val="00E56656"/>
    <w:rsid w:val="00E56E9A"/>
    <w:rsid w:val="00E570AC"/>
    <w:rsid w:val="00E606B5"/>
    <w:rsid w:val="00E61BCA"/>
    <w:rsid w:val="00E62339"/>
    <w:rsid w:val="00E6297B"/>
    <w:rsid w:val="00E65A4B"/>
    <w:rsid w:val="00E66235"/>
    <w:rsid w:val="00E6627D"/>
    <w:rsid w:val="00E66349"/>
    <w:rsid w:val="00E66579"/>
    <w:rsid w:val="00E67590"/>
    <w:rsid w:val="00E71688"/>
    <w:rsid w:val="00E72861"/>
    <w:rsid w:val="00E739BD"/>
    <w:rsid w:val="00E769C2"/>
    <w:rsid w:val="00E778CB"/>
    <w:rsid w:val="00E7798B"/>
    <w:rsid w:val="00E77A45"/>
    <w:rsid w:val="00E77CA9"/>
    <w:rsid w:val="00E77DCD"/>
    <w:rsid w:val="00E81077"/>
    <w:rsid w:val="00E82565"/>
    <w:rsid w:val="00E82CA9"/>
    <w:rsid w:val="00E82F9D"/>
    <w:rsid w:val="00E837E7"/>
    <w:rsid w:val="00E83962"/>
    <w:rsid w:val="00E83C24"/>
    <w:rsid w:val="00E83DA0"/>
    <w:rsid w:val="00E840C4"/>
    <w:rsid w:val="00E84485"/>
    <w:rsid w:val="00E855C1"/>
    <w:rsid w:val="00E85D1F"/>
    <w:rsid w:val="00E87A40"/>
    <w:rsid w:val="00E910FB"/>
    <w:rsid w:val="00E91357"/>
    <w:rsid w:val="00E9318D"/>
    <w:rsid w:val="00E93D97"/>
    <w:rsid w:val="00E93ED1"/>
    <w:rsid w:val="00E953D6"/>
    <w:rsid w:val="00EA183D"/>
    <w:rsid w:val="00EA1C05"/>
    <w:rsid w:val="00EA2D45"/>
    <w:rsid w:val="00EA305E"/>
    <w:rsid w:val="00EA347F"/>
    <w:rsid w:val="00EA3632"/>
    <w:rsid w:val="00EA51D9"/>
    <w:rsid w:val="00EA546C"/>
    <w:rsid w:val="00EA562C"/>
    <w:rsid w:val="00EA75C5"/>
    <w:rsid w:val="00EA7BC6"/>
    <w:rsid w:val="00EB0DF1"/>
    <w:rsid w:val="00EB17D2"/>
    <w:rsid w:val="00EB1B82"/>
    <w:rsid w:val="00EB35BB"/>
    <w:rsid w:val="00EB49DC"/>
    <w:rsid w:val="00EB564C"/>
    <w:rsid w:val="00EB5F5C"/>
    <w:rsid w:val="00EB6404"/>
    <w:rsid w:val="00EB7847"/>
    <w:rsid w:val="00EC1DC9"/>
    <w:rsid w:val="00EC37EC"/>
    <w:rsid w:val="00EC412F"/>
    <w:rsid w:val="00EC5227"/>
    <w:rsid w:val="00EC6598"/>
    <w:rsid w:val="00EC7393"/>
    <w:rsid w:val="00ED0450"/>
    <w:rsid w:val="00ED0711"/>
    <w:rsid w:val="00ED09C2"/>
    <w:rsid w:val="00ED0C4C"/>
    <w:rsid w:val="00ED5E17"/>
    <w:rsid w:val="00ED6F3A"/>
    <w:rsid w:val="00EE27C8"/>
    <w:rsid w:val="00EE3109"/>
    <w:rsid w:val="00EE34F0"/>
    <w:rsid w:val="00EE3C96"/>
    <w:rsid w:val="00EE4676"/>
    <w:rsid w:val="00EE536E"/>
    <w:rsid w:val="00EE5CA8"/>
    <w:rsid w:val="00EE763E"/>
    <w:rsid w:val="00EF37C6"/>
    <w:rsid w:val="00EF3A3B"/>
    <w:rsid w:val="00EF45BF"/>
    <w:rsid w:val="00EF47CD"/>
    <w:rsid w:val="00EF5CD8"/>
    <w:rsid w:val="00EF7634"/>
    <w:rsid w:val="00F013A9"/>
    <w:rsid w:val="00F02112"/>
    <w:rsid w:val="00F03273"/>
    <w:rsid w:val="00F03BC7"/>
    <w:rsid w:val="00F04005"/>
    <w:rsid w:val="00F04282"/>
    <w:rsid w:val="00F044AE"/>
    <w:rsid w:val="00F04BBE"/>
    <w:rsid w:val="00F04E3F"/>
    <w:rsid w:val="00F052E5"/>
    <w:rsid w:val="00F057FC"/>
    <w:rsid w:val="00F05BF1"/>
    <w:rsid w:val="00F05C67"/>
    <w:rsid w:val="00F105FE"/>
    <w:rsid w:val="00F10C3B"/>
    <w:rsid w:val="00F114B6"/>
    <w:rsid w:val="00F125FF"/>
    <w:rsid w:val="00F1375A"/>
    <w:rsid w:val="00F14647"/>
    <w:rsid w:val="00F15D68"/>
    <w:rsid w:val="00F16606"/>
    <w:rsid w:val="00F16DFE"/>
    <w:rsid w:val="00F17728"/>
    <w:rsid w:val="00F213E0"/>
    <w:rsid w:val="00F22BEA"/>
    <w:rsid w:val="00F22DBC"/>
    <w:rsid w:val="00F23775"/>
    <w:rsid w:val="00F23E78"/>
    <w:rsid w:val="00F2413D"/>
    <w:rsid w:val="00F244CF"/>
    <w:rsid w:val="00F246B0"/>
    <w:rsid w:val="00F24E3C"/>
    <w:rsid w:val="00F25D8D"/>
    <w:rsid w:val="00F26A3A"/>
    <w:rsid w:val="00F26B6B"/>
    <w:rsid w:val="00F27370"/>
    <w:rsid w:val="00F2779C"/>
    <w:rsid w:val="00F31101"/>
    <w:rsid w:val="00F32122"/>
    <w:rsid w:val="00F33305"/>
    <w:rsid w:val="00F33878"/>
    <w:rsid w:val="00F37EA1"/>
    <w:rsid w:val="00F401F9"/>
    <w:rsid w:val="00F4048A"/>
    <w:rsid w:val="00F408DE"/>
    <w:rsid w:val="00F411E0"/>
    <w:rsid w:val="00F41275"/>
    <w:rsid w:val="00F41468"/>
    <w:rsid w:val="00F4244C"/>
    <w:rsid w:val="00F433E5"/>
    <w:rsid w:val="00F435DB"/>
    <w:rsid w:val="00F454CE"/>
    <w:rsid w:val="00F45985"/>
    <w:rsid w:val="00F4750B"/>
    <w:rsid w:val="00F47699"/>
    <w:rsid w:val="00F4799C"/>
    <w:rsid w:val="00F47B40"/>
    <w:rsid w:val="00F53193"/>
    <w:rsid w:val="00F53ECF"/>
    <w:rsid w:val="00F5738A"/>
    <w:rsid w:val="00F573E3"/>
    <w:rsid w:val="00F60890"/>
    <w:rsid w:val="00F61B9D"/>
    <w:rsid w:val="00F6245E"/>
    <w:rsid w:val="00F6359A"/>
    <w:rsid w:val="00F64697"/>
    <w:rsid w:val="00F65157"/>
    <w:rsid w:val="00F6586C"/>
    <w:rsid w:val="00F6690F"/>
    <w:rsid w:val="00F7011E"/>
    <w:rsid w:val="00F71955"/>
    <w:rsid w:val="00F730AF"/>
    <w:rsid w:val="00F73580"/>
    <w:rsid w:val="00F77D95"/>
    <w:rsid w:val="00F80547"/>
    <w:rsid w:val="00F812E4"/>
    <w:rsid w:val="00F81A21"/>
    <w:rsid w:val="00F824DC"/>
    <w:rsid w:val="00F84856"/>
    <w:rsid w:val="00F84FD8"/>
    <w:rsid w:val="00F90548"/>
    <w:rsid w:val="00F9064F"/>
    <w:rsid w:val="00F91155"/>
    <w:rsid w:val="00F91DCF"/>
    <w:rsid w:val="00F922D6"/>
    <w:rsid w:val="00F932FB"/>
    <w:rsid w:val="00F94774"/>
    <w:rsid w:val="00F95329"/>
    <w:rsid w:val="00F977E9"/>
    <w:rsid w:val="00FA0144"/>
    <w:rsid w:val="00FA205C"/>
    <w:rsid w:val="00FA2288"/>
    <w:rsid w:val="00FA279B"/>
    <w:rsid w:val="00FA663B"/>
    <w:rsid w:val="00FA6CC3"/>
    <w:rsid w:val="00FB22BA"/>
    <w:rsid w:val="00FB3306"/>
    <w:rsid w:val="00FB444D"/>
    <w:rsid w:val="00FB6072"/>
    <w:rsid w:val="00FB6409"/>
    <w:rsid w:val="00FC18AA"/>
    <w:rsid w:val="00FC2882"/>
    <w:rsid w:val="00FC3310"/>
    <w:rsid w:val="00FC3B99"/>
    <w:rsid w:val="00FC4AB0"/>
    <w:rsid w:val="00FC53DB"/>
    <w:rsid w:val="00FC5A17"/>
    <w:rsid w:val="00FC6CC1"/>
    <w:rsid w:val="00FC782F"/>
    <w:rsid w:val="00FC7ACF"/>
    <w:rsid w:val="00FD0169"/>
    <w:rsid w:val="00FD047C"/>
    <w:rsid w:val="00FD3D22"/>
    <w:rsid w:val="00FD5AB7"/>
    <w:rsid w:val="00FD7E17"/>
    <w:rsid w:val="00FE2562"/>
    <w:rsid w:val="00FE2905"/>
    <w:rsid w:val="00FE2A70"/>
    <w:rsid w:val="00FE4643"/>
    <w:rsid w:val="00FE4E6B"/>
    <w:rsid w:val="00FE5A88"/>
    <w:rsid w:val="00FE68A2"/>
    <w:rsid w:val="00FE71DE"/>
    <w:rsid w:val="00FF1164"/>
    <w:rsid w:val="00FF15B8"/>
    <w:rsid w:val="00FF195F"/>
    <w:rsid w:val="00FF1F38"/>
    <w:rsid w:val="00FF20A2"/>
    <w:rsid w:val="00FF2491"/>
    <w:rsid w:val="00FF3C6E"/>
    <w:rsid w:val="00FF3FE2"/>
    <w:rsid w:val="00FF429B"/>
    <w:rsid w:val="00FF5605"/>
    <w:rsid w:val="00FF5F19"/>
    <w:rsid w:val="00FF6C53"/>
    <w:rsid w:val="00FF6EA2"/>
    <w:rsid w:val="00FF74C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EAEEFF82-C427-43EA-A6AD-CA90CB51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6D3"/>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semiHidden/>
    <w:rsid w:val="007E09DA"/>
    <w:rPr>
      <w:sz w:val="16"/>
    </w:rPr>
  </w:style>
  <w:style w:type="paragraph" w:styleId="Commentaire">
    <w:name w:val="annotation text"/>
    <w:basedOn w:val="Normal"/>
    <w:link w:val="CommentaireCar"/>
    <w:uiPriority w:val="99"/>
    <w:semiHidden/>
    <w:rsid w:val="007E09DA"/>
    <w:pPr>
      <w:spacing w:after="120" w:line="240" w:lineRule="exact"/>
    </w:pPr>
  </w:style>
  <w:style w:type="character" w:customStyle="1" w:styleId="CommentaireCar">
    <w:name w:val="Commentaire Car"/>
    <w:basedOn w:val="Policepardfaut"/>
    <w:link w:val="Commentaire"/>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aliases w:val="Ha,titulo 3,HOJA,Bolita,Párrafo de lista4,BOLADEF,Párrafo de lista3,Párrafo de lista21,BOLA,Nivel 1 OS,Bullets,Dot pt,List Paragraph Char Char Char,Indicator Text,List Paragraph1,Numbered Para 1,Colorful List - Accent 11,Bullet 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numbering" w:customStyle="1" w:styleId="NoList1">
    <w:name w:val="No List1"/>
    <w:next w:val="Aucuneliste"/>
    <w:uiPriority w:val="99"/>
    <w:semiHidden/>
    <w:unhideWhenUsed/>
    <w:rsid w:val="00253107"/>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253107"/>
    <w:pPr>
      <w:spacing w:after="160" w:line="240" w:lineRule="exac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53107"/>
    <w:pPr>
      <w:spacing w:after="160" w:line="240" w:lineRule="auto"/>
      <w:jc w:val="left"/>
    </w:pPr>
    <w:rPr>
      <w:rFonts w:ascii="Calibri" w:eastAsia="DengXian" w:hAnsi="Calibri" w:cs="Arial"/>
      <w:b/>
      <w:bCs/>
      <w:sz w:val="20"/>
      <w:szCs w:val="20"/>
      <w:lang w:val="en-US" w:eastAsia="zh-CN"/>
    </w:rPr>
  </w:style>
  <w:style w:type="character" w:customStyle="1" w:styleId="ObjetducommentaireCar">
    <w:name w:val="Objet du commentaire Car"/>
    <w:basedOn w:val="CommentaireCar"/>
    <w:link w:val="Objetducommentaire"/>
    <w:uiPriority w:val="99"/>
    <w:semiHidden/>
    <w:rsid w:val="00253107"/>
    <w:rPr>
      <w:rFonts w:ascii="Calibri" w:eastAsia="DengXian" w:hAnsi="Calibri" w:cs="Arial"/>
      <w:b/>
      <w:bCs/>
      <w:sz w:val="20"/>
      <w:szCs w:val="20"/>
      <w:lang w:val="en-US" w:eastAsia="zh-CN"/>
    </w:rPr>
  </w:style>
  <w:style w:type="paragraph" w:customStyle="1" w:styleId="ListBullet1">
    <w:name w:val="List Bullet1"/>
    <w:basedOn w:val="Normal"/>
    <w:next w:val="Listepuces"/>
    <w:uiPriority w:val="99"/>
    <w:semiHidden/>
    <w:unhideWhenUsed/>
    <w:qFormat/>
    <w:rsid w:val="00253107"/>
    <w:pPr>
      <w:spacing w:after="160" w:line="256" w:lineRule="auto"/>
      <w:contextualSpacing/>
      <w:jc w:val="left"/>
    </w:pPr>
    <w:rPr>
      <w:rFonts w:ascii="Calibri" w:eastAsia="Calibri" w:hAnsi="Calibri" w:cs="Arial"/>
      <w:szCs w:val="22"/>
      <w:lang w:val="en-AU"/>
    </w:rPr>
  </w:style>
  <w:style w:type="character" w:customStyle="1" w:styleId="ParagraphedelisteCar">
    <w:name w:val="Paragraphe de liste Car"/>
    <w:aliases w:val="Ha Car,titulo 3 Car,HOJA Car,Bolita Car,Párrafo de lista4 Car,BOLADEF Car,Párrafo de lista3 Car,Párrafo de lista21 Car,BOLA Car,Nivel 1 OS Car,Bullets Car,Dot pt Car,List Paragraph Char Char Char Car,Indicator Text Car"/>
    <w:link w:val="Paragraphedeliste"/>
    <w:uiPriority w:val="34"/>
    <w:qFormat/>
    <w:locked/>
    <w:rsid w:val="00253107"/>
    <w:rPr>
      <w:rFonts w:ascii="Times New Roman" w:eastAsia="Times New Roman" w:hAnsi="Times New Roman" w:cs="Times New Roman"/>
      <w:sz w:val="22"/>
      <w:lang w:val="en-GB"/>
    </w:rPr>
  </w:style>
  <w:style w:type="paragraph" w:styleId="Rvision">
    <w:name w:val="Revision"/>
    <w:hidden/>
    <w:uiPriority w:val="99"/>
    <w:semiHidden/>
    <w:rsid w:val="00253107"/>
    <w:rPr>
      <w:sz w:val="22"/>
      <w:szCs w:val="22"/>
      <w:lang w:val="en-US" w:eastAsia="zh-CN"/>
    </w:rPr>
  </w:style>
  <w:style w:type="paragraph" w:styleId="PrformatHTML">
    <w:name w:val="HTML Preformatted"/>
    <w:basedOn w:val="Normal"/>
    <w:link w:val="PrformatHTMLCar"/>
    <w:uiPriority w:val="99"/>
    <w:semiHidden/>
    <w:unhideWhenUsed/>
    <w:rsid w:val="00253107"/>
    <w:pPr>
      <w:jc w:val="left"/>
    </w:pPr>
    <w:rPr>
      <w:rFonts w:ascii="Consolas" w:eastAsia="DengXian" w:hAnsi="Consolas" w:cs="Arial"/>
      <w:sz w:val="20"/>
      <w:szCs w:val="20"/>
      <w:lang w:val="en-US" w:eastAsia="zh-CN"/>
    </w:rPr>
  </w:style>
  <w:style w:type="character" w:customStyle="1" w:styleId="PrformatHTMLCar">
    <w:name w:val="Préformaté HTML Car"/>
    <w:basedOn w:val="Policepardfaut"/>
    <w:link w:val="PrformatHTML"/>
    <w:uiPriority w:val="99"/>
    <w:semiHidden/>
    <w:rsid w:val="00253107"/>
    <w:rPr>
      <w:rFonts w:ascii="Consolas" w:eastAsia="DengXian" w:hAnsi="Consolas" w:cs="Arial"/>
      <w:sz w:val="20"/>
      <w:szCs w:val="20"/>
      <w:lang w:val="en-US" w:eastAsia="zh-CN"/>
    </w:rPr>
  </w:style>
  <w:style w:type="paragraph" w:styleId="Listepuces">
    <w:name w:val="List Bullet"/>
    <w:basedOn w:val="Normal"/>
    <w:uiPriority w:val="99"/>
    <w:semiHidden/>
    <w:unhideWhenUsed/>
    <w:rsid w:val="00253107"/>
    <w:pPr>
      <w:tabs>
        <w:tab w:val="num" w:pos="360"/>
      </w:tabs>
      <w:contextualSpacing/>
    </w:pPr>
  </w:style>
  <w:style w:type="paragraph" w:styleId="NormalWeb">
    <w:name w:val="Normal (Web)"/>
    <w:basedOn w:val="Normal"/>
    <w:uiPriority w:val="99"/>
    <w:unhideWhenUsed/>
    <w:rsid w:val="00062BBB"/>
    <w:pPr>
      <w:spacing w:before="100" w:beforeAutospacing="1" w:after="100" w:afterAutospacing="1"/>
      <w:jc w:val="left"/>
    </w:pPr>
    <w:rPr>
      <w:sz w:val="24"/>
      <w:lang w:val="en-CA" w:eastAsia="en-GB"/>
    </w:rPr>
  </w:style>
  <w:style w:type="paragraph" w:customStyle="1" w:styleId="Default">
    <w:name w:val="Default"/>
    <w:uiPriority w:val="99"/>
    <w:rsid w:val="00FC782F"/>
    <w:pPr>
      <w:autoSpaceDE w:val="0"/>
      <w:autoSpaceDN w:val="0"/>
      <w:adjustRightInd w:val="0"/>
    </w:pPr>
    <w:rPr>
      <w:rFonts w:ascii="Times New Roman" w:hAnsi="Times New Roman" w:cs="Times New Roman"/>
      <w:color w:val="000000"/>
      <w:lang w:val="nl-BE"/>
    </w:rPr>
  </w:style>
  <w:style w:type="paragraph" w:customStyle="1" w:styleId="CBD-Para-i">
    <w:name w:val="CBD-Para-i"/>
    <w:basedOn w:val="Normal"/>
    <w:rsid w:val="00E739BD"/>
    <w:pPr>
      <w:tabs>
        <w:tab w:val="num" w:pos="1814"/>
        <w:tab w:val="left" w:pos="2160"/>
        <w:tab w:val="left" w:pos="2880"/>
      </w:tabs>
      <w:spacing w:before="80" w:after="80"/>
      <w:ind w:left="1814" w:hanging="170"/>
    </w:pPr>
    <w:rPr>
      <w:szCs w:val="20"/>
    </w:rPr>
  </w:style>
  <w:style w:type="character" w:customStyle="1" w:styleId="gmail-cf0">
    <w:name w:val="gmail-cf0"/>
    <w:basedOn w:val="Policepardfaut"/>
    <w:rsid w:val="0067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5754">
      <w:bodyDiv w:val="1"/>
      <w:marLeft w:val="0"/>
      <w:marRight w:val="0"/>
      <w:marTop w:val="0"/>
      <w:marBottom w:val="0"/>
      <w:divBdr>
        <w:top w:val="none" w:sz="0" w:space="0" w:color="auto"/>
        <w:left w:val="none" w:sz="0" w:space="0" w:color="auto"/>
        <w:bottom w:val="none" w:sz="0" w:space="0" w:color="auto"/>
        <w:right w:val="none" w:sz="0" w:space="0" w:color="auto"/>
      </w:divBdr>
    </w:div>
    <w:div w:id="195656522">
      <w:bodyDiv w:val="1"/>
      <w:marLeft w:val="0"/>
      <w:marRight w:val="0"/>
      <w:marTop w:val="0"/>
      <w:marBottom w:val="0"/>
      <w:divBdr>
        <w:top w:val="none" w:sz="0" w:space="0" w:color="auto"/>
        <w:left w:val="none" w:sz="0" w:space="0" w:color="auto"/>
        <w:bottom w:val="none" w:sz="0" w:space="0" w:color="auto"/>
        <w:right w:val="none" w:sz="0" w:space="0" w:color="auto"/>
      </w:divBdr>
    </w:div>
    <w:div w:id="226380291">
      <w:bodyDiv w:val="1"/>
      <w:marLeft w:val="0"/>
      <w:marRight w:val="0"/>
      <w:marTop w:val="0"/>
      <w:marBottom w:val="0"/>
      <w:divBdr>
        <w:top w:val="none" w:sz="0" w:space="0" w:color="auto"/>
        <w:left w:val="none" w:sz="0" w:space="0" w:color="auto"/>
        <w:bottom w:val="none" w:sz="0" w:space="0" w:color="auto"/>
        <w:right w:val="none" w:sz="0" w:space="0" w:color="auto"/>
      </w:divBdr>
    </w:div>
    <w:div w:id="554270296">
      <w:bodyDiv w:val="1"/>
      <w:marLeft w:val="0"/>
      <w:marRight w:val="0"/>
      <w:marTop w:val="0"/>
      <w:marBottom w:val="0"/>
      <w:divBdr>
        <w:top w:val="none" w:sz="0" w:space="0" w:color="auto"/>
        <w:left w:val="none" w:sz="0" w:space="0" w:color="auto"/>
        <w:bottom w:val="none" w:sz="0" w:space="0" w:color="auto"/>
        <w:right w:val="none" w:sz="0" w:space="0" w:color="auto"/>
      </w:divBdr>
    </w:div>
    <w:div w:id="1744376813">
      <w:bodyDiv w:val="1"/>
      <w:marLeft w:val="0"/>
      <w:marRight w:val="0"/>
      <w:marTop w:val="0"/>
      <w:marBottom w:val="0"/>
      <w:divBdr>
        <w:top w:val="none" w:sz="0" w:space="0" w:color="auto"/>
        <w:left w:val="none" w:sz="0" w:space="0" w:color="auto"/>
        <w:bottom w:val="none" w:sz="0" w:space="0" w:color="auto"/>
        <w:right w:val="none" w:sz="0" w:space="0" w:color="auto"/>
      </w:divBdr>
    </w:div>
    <w:div w:id="1805347307">
      <w:bodyDiv w:val="1"/>
      <w:marLeft w:val="0"/>
      <w:marRight w:val="0"/>
      <w:marTop w:val="0"/>
      <w:marBottom w:val="0"/>
      <w:divBdr>
        <w:top w:val="none" w:sz="0" w:space="0" w:color="auto"/>
        <w:left w:val="none" w:sz="0" w:space="0" w:color="auto"/>
        <w:bottom w:val="none" w:sz="0" w:space="0" w:color="auto"/>
        <w:right w:val="none" w:sz="0" w:space="0" w:color="auto"/>
      </w:divBdr>
    </w:div>
    <w:div w:id="1922106511">
      <w:bodyDiv w:val="1"/>
      <w:marLeft w:val="0"/>
      <w:marRight w:val="0"/>
      <w:marTop w:val="0"/>
      <w:marBottom w:val="0"/>
      <w:divBdr>
        <w:top w:val="none" w:sz="0" w:space="0" w:color="auto"/>
        <w:left w:val="none" w:sz="0" w:space="0" w:color="auto"/>
        <w:bottom w:val="none" w:sz="0" w:space="0" w:color="auto"/>
        <w:right w:val="none" w:sz="0" w:space="0" w:color="auto"/>
      </w:divBdr>
    </w:div>
    <w:div w:id="1973711010">
      <w:bodyDiv w:val="1"/>
      <w:marLeft w:val="0"/>
      <w:marRight w:val="0"/>
      <w:marTop w:val="0"/>
      <w:marBottom w:val="0"/>
      <w:divBdr>
        <w:top w:val="none" w:sz="0" w:space="0" w:color="auto"/>
        <w:left w:val="none" w:sz="0" w:space="0" w:color="auto"/>
        <w:bottom w:val="none" w:sz="0" w:space="0" w:color="auto"/>
        <w:right w:val="none" w:sz="0" w:space="0" w:color="auto"/>
      </w:divBdr>
      <w:divsChild>
        <w:div w:id="1620212918">
          <w:marLeft w:val="0"/>
          <w:marRight w:val="0"/>
          <w:marTop w:val="0"/>
          <w:marBottom w:val="0"/>
          <w:divBdr>
            <w:top w:val="none" w:sz="0" w:space="0" w:color="auto"/>
            <w:left w:val="none" w:sz="0" w:space="0" w:color="auto"/>
            <w:bottom w:val="none" w:sz="0" w:space="0" w:color="auto"/>
            <w:right w:val="none" w:sz="0" w:space="0" w:color="auto"/>
          </w:divBdr>
        </w:div>
      </w:divsChild>
    </w:div>
    <w:div w:id="2097824156">
      <w:bodyDiv w:val="1"/>
      <w:marLeft w:val="0"/>
      <w:marRight w:val="0"/>
      <w:marTop w:val="0"/>
      <w:marBottom w:val="0"/>
      <w:divBdr>
        <w:top w:val="none" w:sz="0" w:space="0" w:color="auto"/>
        <w:left w:val="none" w:sz="0" w:space="0" w:color="auto"/>
        <w:bottom w:val="none" w:sz="0" w:space="0" w:color="auto"/>
        <w:right w:val="none" w:sz="0" w:space="0" w:color="auto"/>
      </w:divBdr>
    </w:div>
    <w:div w:id="2144348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81A0C7AD174EBCA6964BB7D7C45502"/>
        <w:category>
          <w:name w:val="General"/>
          <w:gallery w:val="placeholder"/>
        </w:category>
        <w:types>
          <w:type w:val="bbPlcHdr"/>
        </w:types>
        <w:behaviors>
          <w:behavior w:val="content"/>
        </w:behaviors>
        <w:guid w:val="{83843782-E1B4-477E-8668-E56A6A4EE1D3}"/>
      </w:docPartPr>
      <w:docPartBody>
        <w:p w:rsidR="00231540" w:rsidRDefault="007A1A61" w:rsidP="007A1A61">
          <w:pPr>
            <w:pStyle w:val="F981A0C7AD174EBCA6964BB7D7C45502"/>
          </w:pPr>
          <w:r w:rsidRPr="007E02EB">
            <w:rPr>
              <w:rStyle w:val="Textedelespacerserv"/>
            </w:rPr>
            <w:t>[Subject]</w:t>
          </w:r>
        </w:p>
      </w:docPartBody>
    </w:docPart>
    <w:docPart>
      <w:docPartPr>
        <w:name w:val="B5BA01E24CDB4220A8B14B40AC29D261"/>
        <w:category>
          <w:name w:val="General"/>
          <w:gallery w:val="placeholder"/>
        </w:category>
        <w:types>
          <w:type w:val="bbPlcHdr"/>
        </w:types>
        <w:behaviors>
          <w:behavior w:val="content"/>
        </w:behaviors>
        <w:guid w:val="{272AC6AA-0125-4AAE-8B1A-9617E8429E78}"/>
      </w:docPartPr>
      <w:docPartBody>
        <w:p w:rsidR="00231540" w:rsidRDefault="007A1A61" w:rsidP="007A1A61">
          <w:pPr>
            <w:pStyle w:val="B5BA01E24CDB4220A8B14B40AC29D261"/>
          </w:pPr>
          <w:r w:rsidRPr="007E02EB">
            <w:rPr>
              <w:rStyle w:val="Textedelespacerserv"/>
            </w:rPr>
            <w:t>[Subject]</w:t>
          </w:r>
        </w:p>
      </w:docPartBody>
    </w:docPart>
    <w:docPart>
      <w:docPartPr>
        <w:name w:val="DA0A4D73DAE14F8582474465AAA8DF8E"/>
        <w:category>
          <w:name w:val="General"/>
          <w:gallery w:val="placeholder"/>
        </w:category>
        <w:types>
          <w:type w:val="bbPlcHdr"/>
        </w:types>
        <w:behaviors>
          <w:behavior w:val="content"/>
        </w:behaviors>
        <w:guid w:val="{E00AD34D-8E5C-45EC-B263-18AA21DDD4F5}"/>
      </w:docPartPr>
      <w:docPartBody>
        <w:p w:rsidR="00231540" w:rsidRDefault="007A1A61" w:rsidP="007A1A61">
          <w:pPr>
            <w:pStyle w:val="DA0A4D73DAE14F8582474465AAA8DF8E"/>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DengXian">
    <w:altName w:val="等线"/>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61"/>
    <w:rsid w:val="000D3CA1"/>
    <w:rsid w:val="00231540"/>
    <w:rsid w:val="002E740D"/>
    <w:rsid w:val="003E772F"/>
    <w:rsid w:val="007A1A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7A1A61"/>
  </w:style>
  <w:style w:type="paragraph" w:customStyle="1" w:styleId="F981A0C7AD174EBCA6964BB7D7C45502">
    <w:name w:val="F981A0C7AD174EBCA6964BB7D7C45502"/>
    <w:rsid w:val="007A1A61"/>
  </w:style>
  <w:style w:type="paragraph" w:customStyle="1" w:styleId="B5BA01E24CDB4220A8B14B40AC29D261">
    <w:name w:val="B5BA01E24CDB4220A8B14B40AC29D261"/>
    <w:rsid w:val="007A1A61"/>
  </w:style>
  <w:style w:type="paragraph" w:customStyle="1" w:styleId="DA0A4D73DAE14F8582474465AAA8DF8E">
    <w:name w:val="DA0A4D73DAE14F8582474465AAA8DF8E"/>
    <w:rsid w:val="007A1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6E1A2ED-A2BA-490C-8EAB-7DBEA3120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40C7D7-D3EB-400A-B7C2-878D6C3F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6681</Words>
  <Characters>36749</Characters>
  <Application>Microsoft Office Word</Application>
  <DocSecurity>0</DocSecurity>
  <Lines>306</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RECOMMENDATION ADOPTED BY THE SUBSIDIARY BODY ON IMPLEMENTATION</vt:lpstr>
      <vt:lpstr>RECOMMENDATION ADOPTED BY THE SUBSIDIARY BODY ON IMPLEMENTATION</vt:lpstr>
    </vt:vector>
  </TitlesOfParts>
  <Company>United Nations</Company>
  <LinksUpToDate>false</LinksUpToDate>
  <CharactersWithSpaces>43344</CharactersWithSpaces>
  <SharedDoc>false</SharedDoc>
  <HyperlinkBase>https://www.cbd.int/sbi/</HyperlinkBase>
  <HLinks>
    <vt:vector size="12" baseType="variant">
      <vt:variant>
        <vt:i4>852040</vt:i4>
      </vt:variant>
      <vt:variant>
        <vt:i4>0</vt:i4>
      </vt:variant>
      <vt:variant>
        <vt:i4>0</vt:i4>
      </vt:variant>
      <vt:variant>
        <vt:i4>5</vt:i4>
      </vt:variant>
      <vt:variant>
        <vt:lpwstr>https://www.cbd.int/doc/decisions/cop-14/cop-14-dec-22-en.pdf</vt:lpwstr>
      </vt:variant>
      <vt:variant>
        <vt:lpwstr/>
      </vt:variant>
      <vt:variant>
        <vt:i4>7340145</vt:i4>
      </vt:variant>
      <vt:variant>
        <vt:i4>0</vt:i4>
      </vt:variant>
      <vt:variant>
        <vt:i4>0</vt:i4>
      </vt:variant>
      <vt:variant>
        <vt:i4>5</vt:i4>
      </vt:variant>
      <vt:variant>
        <vt:lpwstr>https://www.cbd.int/doc/c/15fa/4604/83d577ffba0cc6abeb1a51f0/post2020-ws-2020-03-03-en.pdf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CBD/COP/15/L.29</dc:subject>
  <dc:creator>SBI-3</dc:creator>
  <cp:keywords>Convention on Biological Diversity, Subsidiary Body on Implementation, third meeting</cp:keywords>
  <cp:lastModifiedBy>Louise</cp:lastModifiedBy>
  <cp:revision>6</cp:revision>
  <cp:lastPrinted>2022-12-19T06:42:00Z</cp:lastPrinted>
  <dcterms:created xsi:type="dcterms:W3CDTF">2022-12-19T08:11:00Z</dcterms:created>
  <dcterms:modified xsi:type="dcterms:W3CDTF">2022-12-19T13:36:00Z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