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A96B21" w:rsidRPr="000A4EC4" w:rsidTr="00B60E5F">
        <w:trPr>
          <w:trHeight w:val="851"/>
        </w:trPr>
        <w:tc>
          <w:tcPr>
            <w:tcW w:w="465" w:type="pct"/>
            <w:tcBorders>
              <w:bottom w:val="single" w:sz="8" w:space="0" w:color="auto"/>
            </w:tcBorders>
            <w:vAlign w:val="bottom"/>
          </w:tcPr>
          <w:p w:rsidR="00A96B21" w:rsidRPr="000A4EC4" w:rsidRDefault="00A96B21" w:rsidP="00B60E5F">
            <w:pPr>
              <w:spacing w:after="120"/>
              <w:jc w:val="left"/>
              <w:rPr>
                <w:lang w:val="fr-CA"/>
              </w:rPr>
            </w:pPr>
            <w:bookmarkStart w:id="0" w:name="_Hlk137651738"/>
            <w:r w:rsidRPr="000A4EC4">
              <w:rPr>
                <w:lang w:val="fr-CA" w:eastAsia="fr-CA"/>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0A4EC4" w:rsidRDefault="000667A0" w:rsidP="00B60E5F">
            <w:pPr>
              <w:spacing w:after="120"/>
              <w:jc w:val="left"/>
              <w:rPr>
                <w:lang w:val="fr-CA"/>
              </w:rPr>
            </w:pPr>
            <w:r w:rsidRPr="000A4EC4">
              <w:rPr>
                <w:lang w:val="fr-CA" w:eastAsia="fr-CA"/>
              </w:rPr>
              <w:drawing>
                <wp:inline distT="0" distB="0" distL="0" distR="0">
                  <wp:extent cx="593725" cy="340995"/>
                  <wp:effectExtent l="0" t="0" r="0" b="1905"/>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rsidR="00A96B21" w:rsidRPr="000A4EC4" w:rsidRDefault="00A96B21" w:rsidP="00184909">
            <w:pPr>
              <w:spacing w:after="120"/>
              <w:ind w:left="2021"/>
              <w:jc w:val="right"/>
              <w:rPr>
                <w:szCs w:val="22"/>
                <w:lang w:val="fr-CA"/>
              </w:rPr>
            </w:pPr>
            <w:r w:rsidRPr="000A4EC4">
              <w:rPr>
                <w:sz w:val="40"/>
                <w:szCs w:val="40"/>
                <w:lang w:val="fr-CA"/>
              </w:rPr>
              <w:t>CBD</w:t>
            </w:r>
            <w:r w:rsidR="00A00234" w:rsidRPr="000A4EC4">
              <w:rPr>
                <w:szCs w:val="40"/>
                <w:lang w:val="fr-CA"/>
              </w:rPr>
              <w:t>/COP/16/</w:t>
            </w:r>
            <w:r w:rsidR="00694726" w:rsidRPr="000A4EC4">
              <w:rPr>
                <w:szCs w:val="40"/>
                <w:lang w:val="fr-CA"/>
              </w:rPr>
              <w:t>L.28</w:t>
            </w:r>
          </w:p>
        </w:tc>
      </w:tr>
      <w:tr w:rsidR="00A96B21" w:rsidRPr="000A4EC4" w:rsidTr="00B60E5F">
        <w:tc>
          <w:tcPr>
            <w:tcW w:w="2297" w:type="pct"/>
            <w:gridSpan w:val="2"/>
            <w:tcBorders>
              <w:top w:val="single" w:sz="8" w:space="0" w:color="auto"/>
              <w:bottom w:val="single" w:sz="12" w:space="0" w:color="auto"/>
            </w:tcBorders>
          </w:tcPr>
          <w:p w:rsidR="00A96B21" w:rsidRPr="000A4EC4" w:rsidRDefault="000667A0" w:rsidP="00B60E5F">
            <w:pPr>
              <w:pStyle w:val="Cornernotation"/>
              <w:suppressLineNumbers/>
              <w:suppressAutoHyphens/>
              <w:spacing w:before="120" w:after="120"/>
              <w:ind w:left="0" w:right="0" w:firstLine="0"/>
              <w:rPr>
                <w:lang w:val="fr-CA"/>
              </w:rPr>
            </w:pPr>
            <w:r w:rsidRPr="000A4EC4">
              <w:rPr>
                <w:b w:val="0"/>
                <w:bCs/>
                <w:lang w:val="fr-CA" w:eastAsia="fr-CA"/>
              </w:rPr>
              <w:drawing>
                <wp:inline distT="0" distB="0" distL="0" distR="0">
                  <wp:extent cx="2857500" cy="1076325"/>
                  <wp:effectExtent l="0" t="0" r="0" b="9525"/>
                  <wp:docPr id="6"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A96B21" w:rsidRPr="000A4EC4" w:rsidRDefault="000667A0" w:rsidP="003C6F10">
            <w:pPr>
              <w:ind w:left="2584"/>
              <w:rPr>
                <w:noProof/>
                <w:sz w:val="22"/>
                <w:szCs w:val="22"/>
                <w:lang w:val="fr-CA"/>
              </w:rPr>
            </w:pPr>
            <w:r w:rsidRPr="000A4EC4">
              <w:rPr>
                <w:noProof/>
                <w:sz w:val="22"/>
                <w:szCs w:val="22"/>
                <w:lang w:val="fr-CA"/>
              </w:rPr>
              <w:t>Distr. :</w:t>
            </w:r>
            <w:r w:rsidR="00A96B21" w:rsidRPr="000A4EC4">
              <w:rPr>
                <w:noProof/>
                <w:sz w:val="22"/>
                <w:szCs w:val="22"/>
                <w:lang w:val="fr-CA"/>
              </w:rPr>
              <w:t xml:space="preserve"> </w:t>
            </w:r>
            <w:r w:rsidRPr="000A4EC4">
              <w:rPr>
                <w:noProof/>
                <w:sz w:val="22"/>
                <w:szCs w:val="22"/>
                <w:lang w:val="fr-CA"/>
              </w:rPr>
              <w:t>limitée</w:t>
            </w:r>
          </w:p>
          <w:p w:rsidR="00A96B21" w:rsidRPr="000A4EC4" w:rsidRDefault="00694726" w:rsidP="003C6F10">
            <w:pPr>
              <w:ind w:left="2584"/>
              <w:rPr>
                <w:noProof/>
                <w:sz w:val="22"/>
                <w:szCs w:val="22"/>
                <w:lang w:val="fr-CA"/>
              </w:rPr>
            </w:pPr>
            <w:r w:rsidRPr="000A4EC4">
              <w:rPr>
                <w:noProof/>
                <w:sz w:val="22"/>
                <w:szCs w:val="22"/>
                <w:lang w:val="fr-CA"/>
              </w:rPr>
              <w:t>1</w:t>
            </w:r>
            <w:r w:rsidR="000667A0" w:rsidRPr="000A4EC4">
              <w:rPr>
                <w:noProof/>
                <w:sz w:val="22"/>
                <w:szCs w:val="22"/>
                <w:vertAlign w:val="superscript"/>
                <w:lang w:val="fr-CA"/>
              </w:rPr>
              <w:t>er </w:t>
            </w:r>
            <w:r w:rsidR="000667A0" w:rsidRPr="000A4EC4">
              <w:rPr>
                <w:noProof/>
                <w:sz w:val="22"/>
                <w:szCs w:val="22"/>
                <w:lang w:val="fr-CA"/>
              </w:rPr>
              <w:t>novembre </w:t>
            </w:r>
            <w:r w:rsidR="00A96B21" w:rsidRPr="000A4EC4">
              <w:rPr>
                <w:noProof/>
                <w:sz w:val="22"/>
                <w:szCs w:val="22"/>
                <w:lang w:val="fr-CA"/>
              </w:rPr>
              <w:t>202</w:t>
            </w:r>
            <w:r w:rsidR="00A00234" w:rsidRPr="000A4EC4">
              <w:rPr>
                <w:noProof/>
                <w:sz w:val="22"/>
                <w:szCs w:val="22"/>
                <w:lang w:val="fr-CA"/>
              </w:rPr>
              <w:t>4</w:t>
            </w:r>
          </w:p>
          <w:p w:rsidR="000667A0" w:rsidRPr="000A4EC4" w:rsidRDefault="000667A0" w:rsidP="000667A0">
            <w:pPr>
              <w:ind w:left="2584"/>
              <w:jc w:val="left"/>
              <w:rPr>
                <w:sz w:val="22"/>
                <w:szCs w:val="22"/>
                <w:lang w:val="fr-CA"/>
              </w:rPr>
            </w:pPr>
            <w:r w:rsidRPr="000A4EC4">
              <w:rPr>
                <w:noProof/>
                <w:sz w:val="22"/>
                <w:szCs w:val="22"/>
                <w:lang w:val="fr-CA"/>
              </w:rPr>
              <w:t>Français</w:t>
            </w:r>
          </w:p>
          <w:p w:rsidR="00A96B21" w:rsidRPr="000A4EC4" w:rsidRDefault="000667A0" w:rsidP="000667A0">
            <w:pPr>
              <w:ind w:left="2584"/>
              <w:rPr>
                <w:sz w:val="22"/>
                <w:szCs w:val="22"/>
                <w:lang w:val="fr-CA"/>
              </w:rPr>
            </w:pPr>
            <w:r w:rsidRPr="000A4EC4">
              <w:rPr>
                <w:sz w:val="22"/>
                <w:szCs w:val="22"/>
                <w:lang w:val="fr-CA"/>
              </w:rPr>
              <w:t>Original : anglais</w:t>
            </w:r>
          </w:p>
          <w:p w:rsidR="00A96B21" w:rsidRPr="000A4EC4" w:rsidRDefault="00A96B21" w:rsidP="000667A0">
            <w:pPr>
              <w:ind w:left="2584"/>
              <w:rPr>
                <w:lang w:val="fr-CA"/>
              </w:rPr>
            </w:pPr>
          </w:p>
        </w:tc>
      </w:tr>
    </w:tbl>
    <w:p w:rsidR="000667A0" w:rsidRPr="000A4EC4" w:rsidRDefault="000667A0" w:rsidP="000667A0">
      <w:pPr>
        <w:pStyle w:val="Cornernotation"/>
        <w:ind w:left="0" w:right="5249" w:firstLine="0"/>
        <w:rPr>
          <w:bCs/>
          <w:lang w:val="fr-CA"/>
        </w:rPr>
      </w:pPr>
      <w:r w:rsidRPr="000A4EC4">
        <w:rPr>
          <w:bCs/>
          <w:lang w:val="fr-CA"/>
        </w:rPr>
        <w:t>Conférence des Parties à la Convention sur la diversité biologique</w:t>
      </w:r>
    </w:p>
    <w:p w:rsidR="00A96B21" w:rsidRPr="000A4EC4" w:rsidRDefault="000667A0" w:rsidP="000667A0">
      <w:pPr>
        <w:pStyle w:val="Cornernotation"/>
        <w:rPr>
          <w:bCs/>
          <w:sz w:val="22"/>
          <w:lang w:val="fr-CA"/>
        </w:rPr>
      </w:pPr>
      <w:r w:rsidRPr="000A4EC4">
        <w:rPr>
          <w:bCs/>
          <w:sz w:val="22"/>
          <w:lang w:val="fr-CA"/>
        </w:rPr>
        <w:t>Seizième réunion</w:t>
      </w:r>
      <w:r w:rsidR="00A96B21" w:rsidRPr="000A4EC4">
        <w:rPr>
          <w:bCs/>
          <w:sz w:val="22"/>
          <w:lang w:val="fr-CA"/>
        </w:rPr>
        <w:t xml:space="preserve"> </w:t>
      </w:r>
    </w:p>
    <w:p w:rsidR="00A96B21" w:rsidRPr="000A4EC4" w:rsidRDefault="000667A0" w:rsidP="00A96B21">
      <w:pPr>
        <w:pStyle w:val="Venuedate"/>
        <w:rPr>
          <w:lang w:val="fr-CA"/>
        </w:rPr>
      </w:pPr>
      <w:r w:rsidRPr="000A4EC4">
        <w:rPr>
          <w:lang w:val="fr-CA"/>
        </w:rPr>
        <w:t>Cali</w:t>
      </w:r>
      <w:r w:rsidR="00A00234" w:rsidRPr="000A4EC4">
        <w:rPr>
          <w:lang w:val="fr-CA"/>
        </w:rPr>
        <w:t xml:space="preserve"> </w:t>
      </w:r>
      <w:r w:rsidRPr="000A4EC4">
        <w:rPr>
          <w:lang w:val="fr-CA"/>
        </w:rPr>
        <w:t>(Colombie)</w:t>
      </w:r>
      <w:r w:rsidR="00A00234" w:rsidRPr="000A4EC4">
        <w:rPr>
          <w:lang w:val="fr-CA"/>
        </w:rPr>
        <w:t>, 21</w:t>
      </w:r>
      <w:r w:rsidRPr="000A4EC4">
        <w:rPr>
          <w:lang w:val="fr-CA"/>
        </w:rPr>
        <w:t> octobre</w:t>
      </w:r>
      <w:r w:rsidR="00A00234" w:rsidRPr="000A4EC4">
        <w:rPr>
          <w:lang w:val="fr-CA"/>
        </w:rPr>
        <w:t>–1</w:t>
      </w:r>
      <w:r w:rsidRPr="000A4EC4">
        <w:rPr>
          <w:vertAlign w:val="superscript"/>
          <w:lang w:val="fr-CA"/>
        </w:rPr>
        <w:t>er</w:t>
      </w:r>
      <w:r w:rsidRPr="000A4EC4">
        <w:rPr>
          <w:lang w:val="fr-CA"/>
        </w:rPr>
        <w:t> novembre </w:t>
      </w:r>
      <w:r w:rsidR="00A00234" w:rsidRPr="000A4EC4">
        <w:rPr>
          <w:lang w:val="fr-CA"/>
        </w:rPr>
        <w:t>2024</w:t>
      </w:r>
    </w:p>
    <w:p w:rsidR="00A96B21" w:rsidRPr="000A4EC4" w:rsidRDefault="000667A0" w:rsidP="00A96B21">
      <w:pPr>
        <w:pStyle w:val="Cornernotation-Item"/>
        <w:rPr>
          <w:b w:val="0"/>
          <w:bCs w:val="0"/>
          <w:lang w:val="fr-CA"/>
        </w:rPr>
      </w:pPr>
      <w:r w:rsidRPr="000A4EC4">
        <w:rPr>
          <w:b w:val="0"/>
          <w:bCs w:val="0"/>
          <w:lang w:val="fr-CA"/>
        </w:rPr>
        <w:t>Point </w:t>
      </w:r>
      <w:r w:rsidR="003F49B7" w:rsidRPr="000A4EC4">
        <w:rPr>
          <w:b w:val="0"/>
          <w:bCs w:val="0"/>
          <w:lang w:val="fr-CA"/>
        </w:rPr>
        <w:t>5</w:t>
      </w:r>
      <w:r w:rsidRPr="000A4EC4">
        <w:rPr>
          <w:b w:val="0"/>
          <w:bCs w:val="0"/>
          <w:lang w:val="fr-CA"/>
        </w:rPr>
        <w:t xml:space="preserve"> de l</w:t>
      </w:r>
      <w:r w:rsidR="009250B6">
        <w:rPr>
          <w:b w:val="0"/>
          <w:bCs w:val="0"/>
          <w:lang w:val="fr-CA"/>
        </w:rPr>
        <w:t>’</w:t>
      </w:r>
      <w:r w:rsidRPr="000A4EC4">
        <w:rPr>
          <w:b w:val="0"/>
          <w:bCs w:val="0"/>
          <w:lang w:val="fr-CA"/>
        </w:rPr>
        <w:t>ordre du jour</w:t>
      </w:r>
    </w:p>
    <w:p w:rsidR="000667A0" w:rsidRPr="000A4EC4" w:rsidRDefault="000667A0" w:rsidP="003F49B7">
      <w:pPr>
        <w:pStyle w:val="Cornernotation-Item"/>
        <w:ind w:left="0" w:firstLine="0"/>
        <w:rPr>
          <w:lang w:val="fr-CA"/>
        </w:rPr>
      </w:pPr>
      <w:r w:rsidRPr="000A4EC4">
        <w:rPr>
          <w:lang w:val="fr-CA"/>
        </w:rPr>
        <w:t>Date et lieu des futures réunions</w:t>
      </w:r>
    </w:p>
    <w:p w:rsidR="003F49B7" w:rsidRPr="000A4EC4" w:rsidRDefault="000667A0" w:rsidP="003F49B7">
      <w:pPr>
        <w:pStyle w:val="Cornernotation-Item"/>
        <w:ind w:left="0" w:firstLine="0"/>
        <w:rPr>
          <w:lang w:val="fr-CA"/>
        </w:rPr>
      </w:pPr>
      <w:r w:rsidRPr="000A4EC4">
        <w:rPr>
          <w:lang w:val="fr-CA"/>
        </w:rPr>
        <w:t xml:space="preserve"> de la Conférence des Parties</w:t>
      </w:r>
    </w:p>
    <w:bookmarkEnd w:id="0"/>
    <w:p w:rsidR="00A96B21" w:rsidRPr="000A4EC4" w:rsidRDefault="000667A0" w:rsidP="001454DA">
      <w:pPr>
        <w:pStyle w:val="CBDTitle"/>
        <w:rPr>
          <w:lang w:val="fr-CA"/>
        </w:rPr>
      </w:pPr>
      <w:r w:rsidRPr="000A4EC4">
        <w:rPr>
          <w:lang w:val="fr-CA"/>
        </w:rPr>
        <w:t>Date et lieu des futures réunions de la Conférence des Parties</w:t>
      </w:r>
    </w:p>
    <w:p w:rsidR="00A96B21" w:rsidRPr="000A4EC4" w:rsidRDefault="000667A0" w:rsidP="001454DA">
      <w:pPr>
        <w:pStyle w:val="CBDSubTitle"/>
        <w:rPr>
          <w:lang w:val="fr-CA"/>
        </w:rPr>
      </w:pPr>
      <w:r w:rsidRPr="000A4EC4">
        <w:rPr>
          <w:lang w:val="fr-CA"/>
        </w:rPr>
        <w:t>Projet de décision soumis par le président</w:t>
      </w:r>
    </w:p>
    <w:p w:rsidR="00110ECF" w:rsidRPr="000A4EC4" w:rsidRDefault="000667A0" w:rsidP="00110ECF">
      <w:pPr>
        <w:pStyle w:val="CBDNormalNoNumber"/>
        <w:shd w:val="clear" w:color="auto" w:fill="FFFFFF" w:themeFill="background1"/>
        <w:ind w:left="567"/>
        <w:rPr>
          <w:i/>
          <w:iCs/>
          <w:lang w:val="fr-CA"/>
        </w:rPr>
      </w:pPr>
      <w:r w:rsidRPr="000A4EC4">
        <w:rPr>
          <w:i/>
          <w:iCs/>
          <w:lang w:val="fr-CA"/>
        </w:rPr>
        <w:t>La Conférence des Parties</w:t>
      </w:r>
      <w:r w:rsidR="00110ECF" w:rsidRPr="000A4EC4">
        <w:rPr>
          <w:lang w:val="fr-CA"/>
        </w:rPr>
        <w:t>,</w:t>
      </w:r>
    </w:p>
    <w:p w:rsidR="00110ECF" w:rsidRPr="000A4EC4" w:rsidRDefault="000667A0" w:rsidP="00110ECF">
      <w:pPr>
        <w:pStyle w:val="CBDNormalNoNumber"/>
        <w:shd w:val="clear" w:color="auto" w:fill="FFFFFF" w:themeFill="background1"/>
        <w:ind w:left="567" w:firstLine="567"/>
        <w:rPr>
          <w:lang w:val="fr-CA"/>
        </w:rPr>
      </w:pPr>
      <w:r w:rsidRPr="000A4EC4">
        <w:rPr>
          <w:i/>
          <w:iCs/>
          <w:lang w:val="fr-CA"/>
        </w:rPr>
        <w:t xml:space="preserve">Rappelant </w:t>
      </w:r>
      <w:r w:rsidRPr="000A4EC4">
        <w:rPr>
          <w:lang w:val="fr-CA"/>
        </w:rPr>
        <w:t>sa décision XIII/33 du 17 </w:t>
      </w:r>
      <w:r w:rsidR="009250B6">
        <w:rPr>
          <w:lang w:val="fr-CA"/>
        </w:rPr>
        <w:t>décembre </w:t>
      </w:r>
      <w:r w:rsidRPr="000A4EC4">
        <w:rPr>
          <w:lang w:val="fr-CA"/>
        </w:rPr>
        <w:t>2016, dans laquelle la Conférence des Parties à la Convention sur la diversité biologique</w:t>
      </w:r>
      <w:r w:rsidRPr="000A4EC4">
        <w:rPr>
          <w:rStyle w:val="FootnoteReference"/>
          <w:lang w:val="fr-CA"/>
        </w:rPr>
        <w:footnoteReference w:id="1"/>
      </w:r>
      <w:r w:rsidRPr="000A4EC4">
        <w:rPr>
          <w:lang w:val="fr-CA"/>
        </w:rPr>
        <w:t xml:space="preserve"> a défini, au paragraphe 1 de l</w:t>
      </w:r>
      <w:r w:rsidR="009250B6">
        <w:rPr>
          <w:lang w:val="fr-CA"/>
        </w:rPr>
        <w:t>’</w:t>
      </w:r>
      <w:r w:rsidRPr="000A4EC4">
        <w:rPr>
          <w:lang w:val="fr-CA"/>
        </w:rPr>
        <w:t>article 21 du règlement intérieur</w:t>
      </w:r>
      <w:r w:rsidR="009250B6">
        <w:rPr>
          <w:lang w:val="fr-CA"/>
        </w:rPr>
        <w:t>,</w:t>
      </w:r>
      <w:r w:rsidRPr="000A4EC4">
        <w:rPr>
          <w:rStyle w:val="FootnoteReference"/>
          <w:lang w:val="fr-CA"/>
        </w:rPr>
        <w:footnoteReference w:id="2"/>
      </w:r>
      <w:r w:rsidRPr="000A4EC4">
        <w:rPr>
          <w:lang w:val="fr-CA"/>
        </w:rPr>
        <w:t xml:space="preserve"> la rotation du poste de président entre les cinq régi</w:t>
      </w:r>
      <w:r w:rsidR="009250B6">
        <w:rPr>
          <w:lang w:val="fr-CA"/>
        </w:rPr>
        <w:t>ons des Nations </w:t>
      </w:r>
      <w:r w:rsidRPr="000A4EC4">
        <w:rPr>
          <w:lang w:val="fr-CA"/>
        </w:rPr>
        <w:t xml:space="preserve">Unies, à compter de </w:t>
      </w:r>
      <w:r w:rsidRPr="000A4EC4">
        <w:rPr>
          <w:noProof/>
          <w:lang w:val="fr-CA"/>
        </w:rPr>
        <w:t>sa dix</w:t>
      </w:r>
      <w:r w:rsidR="005B2D67">
        <w:rPr>
          <w:noProof/>
          <w:lang w:val="fr-CA"/>
        </w:rPr>
        <w:noBreakHyphen/>
      </w:r>
      <w:r w:rsidRPr="000A4EC4">
        <w:rPr>
          <w:noProof/>
          <w:lang w:val="fr-CA"/>
        </w:rPr>
        <w:t>septième réunion</w:t>
      </w:r>
      <w:r w:rsidR="00110ECF" w:rsidRPr="000A4EC4">
        <w:rPr>
          <w:lang w:val="fr-CA"/>
        </w:rPr>
        <w:t>,</w:t>
      </w:r>
    </w:p>
    <w:p w:rsidR="00BE49B2" w:rsidRPr="000A4EC4" w:rsidRDefault="000667A0" w:rsidP="00110ECF">
      <w:pPr>
        <w:pStyle w:val="CBDNormalNoNumber"/>
        <w:shd w:val="clear" w:color="auto" w:fill="FFFFFF" w:themeFill="background1"/>
        <w:ind w:left="567" w:firstLine="567"/>
        <w:rPr>
          <w:lang w:val="fr-CA"/>
        </w:rPr>
      </w:pPr>
      <w:r w:rsidRPr="000A4EC4">
        <w:rPr>
          <w:i/>
          <w:iCs/>
          <w:lang w:val="fr-CA"/>
        </w:rPr>
        <w:t xml:space="preserve">Prenant note avec appréciation </w:t>
      </w:r>
      <w:r w:rsidRPr="000A4EC4">
        <w:rPr>
          <w:lang w:val="fr-CA"/>
        </w:rPr>
        <w:t>de l</w:t>
      </w:r>
      <w:r w:rsidR="009250B6">
        <w:rPr>
          <w:lang w:val="fr-CA"/>
        </w:rPr>
        <w:t>’</w:t>
      </w:r>
      <w:r w:rsidRPr="000A4EC4">
        <w:rPr>
          <w:lang w:val="fr-CA"/>
        </w:rPr>
        <w:t>offre que lui a présenté</w:t>
      </w:r>
      <w:r w:rsidR="005B2D67">
        <w:rPr>
          <w:lang w:val="fr-CA"/>
        </w:rPr>
        <w:t>e</w:t>
      </w:r>
      <w:r w:rsidRPr="000A4EC4">
        <w:rPr>
          <w:lang w:val="fr-CA"/>
        </w:rPr>
        <w:t xml:space="preserve"> le gouvernement de l</w:t>
      </w:r>
      <w:r w:rsidR="009250B6">
        <w:rPr>
          <w:lang w:val="fr-CA"/>
        </w:rPr>
        <w:t>’</w:t>
      </w:r>
      <w:r w:rsidRPr="000A4EC4">
        <w:rPr>
          <w:lang w:val="fr-CA"/>
        </w:rPr>
        <w:t>Arménie et le gouvernement de l</w:t>
      </w:r>
      <w:r w:rsidR="009250B6">
        <w:rPr>
          <w:lang w:val="fr-CA"/>
        </w:rPr>
        <w:t>’</w:t>
      </w:r>
      <w:r w:rsidRPr="000A4EC4">
        <w:rPr>
          <w:lang w:val="fr-CA"/>
        </w:rPr>
        <w:t>Azerbaïdjan d</w:t>
      </w:r>
      <w:r w:rsidR="009250B6">
        <w:rPr>
          <w:lang w:val="fr-CA"/>
        </w:rPr>
        <w:t>’</w:t>
      </w:r>
      <w:r w:rsidRPr="000A4EC4">
        <w:rPr>
          <w:lang w:val="fr-CA"/>
        </w:rPr>
        <w:t xml:space="preserve">accueillir </w:t>
      </w:r>
      <w:r w:rsidRPr="000A4EC4">
        <w:rPr>
          <w:noProof/>
          <w:lang w:val="fr-CA"/>
        </w:rPr>
        <w:t>la dix</w:t>
      </w:r>
      <w:r w:rsidR="005B2D67">
        <w:rPr>
          <w:noProof/>
          <w:lang w:val="fr-CA"/>
        </w:rPr>
        <w:noBreakHyphen/>
      </w:r>
      <w:r w:rsidRPr="000A4EC4">
        <w:rPr>
          <w:noProof/>
          <w:lang w:val="fr-CA"/>
        </w:rPr>
        <w:t>septième réunion</w:t>
      </w:r>
      <w:r w:rsidRPr="000A4EC4">
        <w:rPr>
          <w:lang w:val="fr-CA"/>
        </w:rPr>
        <w:t xml:space="preserve"> de la Conférence des Parties à la diversité biologique, la douzième réunion de la Conférence des Parties siégeant en tant que réunion des Parties au Protocole de Cartagena sur la prévention des risques biotechnologiques</w:t>
      </w:r>
      <w:r w:rsidRPr="000A4EC4">
        <w:rPr>
          <w:rStyle w:val="FootnoteReference"/>
          <w:lang w:val="fr-CA"/>
        </w:rPr>
        <w:footnoteReference w:id="3"/>
      </w:r>
      <w:r w:rsidRPr="000A4EC4">
        <w:rPr>
          <w:lang w:val="fr-CA"/>
        </w:rPr>
        <w:t xml:space="preserve"> et la sixième réunion de la Conférence des Parties siégeant en tant que réunion des Parties au Protocole de Nagoya sur l</w:t>
      </w:r>
      <w:r w:rsidR="009250B6">
        <w:rPr>
          <w:lang w:val="fr-CA"/>
        </w:rPr>
        <w:t>’</w:t>
      </w:r>
      <w:r w:rsidRPr="000A4EC4">
        <w:rPr>
          <w:lang w:val="fr-CA"/>
        </w:rPr>
        <w:t>accès aux ressources génétiques et le partage juste et équitable des avantages découlant de leur utilisation</w:t>
      </w:r>
      <w:r w:rsidR="009250B6">
        <w:rPr>
          <w:lang w:val="fr-CA"/>
        </w:rPr>
        <w:t>,</w:t>
      </w:r>
      <w:r w:rsidRPr="000A4EC4">
        <w:rPr>
          <w:rStyle w:val="FootnoteReference"/>
          <w:lang w:val="fr-CA"/>
        </w:rPr>
        <w:footnoteReference w:id="4"/>
      </w:r>
    </w:p>
    <w:p w:rsidR="00110ECF" w:rsidRPr="000A4EC4" w:rsidRDefault="00110ECF" w:rsidP="00110ECF">
      <w:pPr>
        <w:pStyle w:val="CBDNormalNoNumber"/>
        <w:shd w:val="clear" w:color="auto" w:fill="FFFFFF" w:themeFill="background1"/>
        <w:ind w:left="567" w:firstLine="567"/>
        <w:rPr>
          <w:lang w:val="fr-CA"/>
        </w:rPr>
      </w:pPr>
      <w:r w:rsidRPr="000A4EC4">
        <w:rPr>
          <w:lang w:val="fr-CA"/>
        </w:rPr>
        <w:t>1.</w:t>
      </w:r>
      <w:r w:rsidRPr="000A4EC4">
        <w:rPr>
          <w:i/>
          <w:iCs/>
          <w:lang w:val="fr-CA"/>
        </w:rPr>
        <w:tab/>
      </w:r>
      <w:r w:rsidR="000667A0" w:rsidRPr="000A4EC4">
        <w:rPr>
          <w:i/>
          <w:iCs/>
          <w:lang w:val="fr-CA"/>
        </w:rPr>
        <w:t xml:space="preserve">Décide </w:t>
      </w:r>
      <w:r w:rsidR="000667A0" w:rsidRPr="000A4EC4">
        <w:rPr>
          <w:noProof/>
          <w:lang w:val="fr-CA"/>
        </w:rPr>
        <w:t>que la dix</w:t>
      </w:r>
      <w:r w:rsidR="005B2D67">
        <w:rPr>
          <w:noProof/>
          <w:lang w:val="fr-CA"/>
        </w:rPr>
        <w:noBreakHyphen/>
      </w:r>
      <w:r w:rsidR="000667A0" w:rsidRPr="000A4EC4">
        <w:rPr>
          <w:noProof/>
          <w:lang w:val="fr-CA"/>
        </w:rPr>
        <w:t>septième réunion</w:t>
      </w:r>
      <w:r w:rsidR="000667A0" w:rsidRPr="000A4EC4">
        <w:rPr>
          <w:lang w:val="fr-CA"/>
        </w:rPr>
        <w:t xml:space="preserve"> de la Conférence des Parties à la Convention sur la diversité biologique, la douzième réunion de la Conférence des Parties siégeant en tant que réunion des Parties au Protocole de Cartagena sur la prévention des risques biotechnologiques et la sixième réunion de la Conférence des Parties siégeant en tant que réunion des Parties au Protocole de Nagoya sur l</w:t>
      </w:r>
      <w:r w:rsidR="009250B6">
        <w:rPr>
          <w:lang w:val="fr-CA"/>
        </w:rPr>
        <w:t>’</w:t>
      </w:r>
      <w:r w:rsidR="000667A0" w:rsidRPr="000A4EC4">
        <w:rPr>
          <w:lang w:val="fr-CA"/>
        </w:rPr>
        <w:t xml:space="preserve">accès aux ressources génétiques et le partage juste et équitable des avantages découlant de leur utilisation auront lieu à </w:t>
      </w:r>
      <w:r w:rsidR="000A4EC4" w:rsidRPr="000A4EC4">
        <w:rPr>
          <w:lang w:val="fr-CA"/>
        </w:rPr>
        <w:t>Erevan (Arménie),</w:t>
      </w:r>
      <w:r w:rsidR="000667A0" w:rsidRPr="000A4EC4">
        <w:rPr>
          <w:lang w:val="fr-CA"/>
        </w:rPr>
        <w:t xml:space="preserve"> au dernier trimestre de 2026</w:t>
      </w:r>
      <w:r w:rsidR="000A4EC4" w:rsidRPr="000A4EC4">
        <w:rPr>
          <w:lang w:val="fr-CA"/>
        </w:rPr>
        <w:t>;</w:t>
      </w:r>
    </w:p>
    <w:p w:rsidR="00110ECF" w:rsidRPr="000A4EC4" w:rsidRDefault="00110ECF" w:rsidP="00110ECF">
      <w:pPr>
        <w:pStyle w:val="CBDNormalNoNumber"/>
        <w:shd w:val="clear" w:color="auto" w:fill="FFFFFF" w:themeFill="background1"/>
        <w:ind w:left="567" w:firstLine="567"/>
        <w:rPr>
          <w:lang w:val="fr-CA"/>
        </w:rPr>
      </w:pPr>
      <w:r w:rsidRPr="000A4EC4">
        <w:rPr>
          <w:lang w:val="fr-CA"/>
        </w:rPr>
        <w:t>2.</w:t>
      </w:r>
      <w:r w:rsidRPr="000A4EC4">
        <w:rPr>
          <w:i/>
          <w:iCs/>
          <w:lang w:val="fr-CA"/>
        </w:rPr>
        <w:tab/>
      </w:r>
      <w:r w:rsidR="000A4EC4" w:rsidRPr="000A4EC4">
        <w:rPr>
          <w:i/>
          <w:iCs/>
          <w:lang w:val="fr-CA"/>
        </w:rPr>
        <w:t>Prie</w:t>
      </w:r>
      <w:r w:rsidR="000A4EC4" w:rsidRPr="000A4EC4">
        <w:rPr>
          <w:lang w:val="fr-CA"/>
        </w:rPr>
        <w:t xml:space="preserve"> la Secrétaire exécutive de consulter le gouvernement de l</w:t>
      </w:r>
      <w:r w:rsidR="009250B6">
        <w:rPr>
          <w:lang w:val="fr-CA"/>
        </w:rPr>
        <w:t>’</w:t>
      </w:r>
      <w:r w:rsidR="000A4EC4" w:rsidRPr="000A4EC4">
        <w:rPr>
          <w:lang w:val="fr-CA"/>
        </w:rPr>
        <w:t>Arménie, dans le but de négocier des arrangements d</w:t>
      </w:r>
      <w:r w:rsidR="009250B6">
        <w:rPr>
          <w:lang w:val="fr-CA"/>
        </w:rPr>
        <w:t>’</w:t>
      </w:r>
      <w:r w:rsidR="000A4EC4" w:rsidRPr="000A4EC4">
        <w:rPr>
          <w:lang w:val="fr-CA"/>
        </w:rPr>
        <w:t>hôte conformément aux réso</w:t>
      </w:r>
      <w:r w:rsidR="009250B6">
        <w:rPr>
          <w:lang w:val="fr-CA"/>
        </w:rPr>
        <w:t>lutions applicables des Nations </w:t>
      </w:r>
      <w:r w:rsidR="000A4EC4" w:rsidRPr="000A4EC4">
        <w:rPr>
          <w:lang w:val="fr-CA"/>
        </w:rPr>
        <w:t>Unies et aux lignes directrices relatives à la préparation d</w:t>
      </w:r>
      <w:r w:rsidR="009250B6">
        <w:rPr>
          <w:lang w:val="fr-CA"/>
        </w:rPr>
        <w:t>’</w:t>
      </w:r>
      <w:r w:rsidR="000A4EC4" w:rsidRPr="000A4EC4">
        <w:rPr>
          <w:lang w:val="fr-CA"/>
        </w:rPr>
        <w:t xml:space="preserve">accords de gouvernement hôte au titre de la </w:t>
      </w:r>
      <w:r w:rsidR="000A4EC4" w:rsidRPr="000A4EC4">
        <w:rPr>
          <w:lang w:val="fr-CA"/>
        </w:rPr>
        <w:lastRenderedPageBreak/>
        <w:t>résolution 40/243 de l</w:t>
      </w:r>
      <w:r w:rsidR="009250B6">
        <w:rPr>
          <w:lang w:val="fr-CA"/>
        </w:rPr>
        <w:t>’</w:t>
      </w:r>
      <w:r w:rsidR="000A4EC4" w:rsidRPr="000A4EC4">
        <w:rPr>
          <w:lang w:val="fr-CA"/>
        </w:rPr>
        <w:t>Assemblée générale</w:t>
      </w:r>
      <w:r w:rsidR="009250B6">
        <w:rPr>
          <w:lang w:val="fr-CA"/>
        </w:rPr>
        <w:t>,</w:t>
      </w:r>
      <w:r w:rsidR="000A4EC4" w:rsidRPr="000A4EC4">
        <w:rPr>
          <w:rStyle w:val="FootnoteReference"/>
          <w:lang w:val="fr-CA"/>
        </w:rPr>
        <w:footnoteReference w:id="5"/>
      </w:r>
      <w:r w:rsidR="000A4EC4" w:rsidRPr="000A4EC4">
        <w:rPr>
          <w:lang w:val="fr-CA"/>
        </w:rPr>
        <w:t xml:space="preserve"> afin de conclure et signer un accord de gouvernement hôte au moins six mois avant la date de la réunion de la Conférence des Parties</w:t>
      </w:r>
      <w:r w:rsidR="000A4EC4">
        <w:rPr>
          <w:lang w:val="fr-CA"/>
        </w:rPr>
        <w:t>;</w:t>
      </w:r>
    </w:p>
    <w:p w:rsidR="00537248" w:rsidRPr="000A4EC4" w:rsidRDefault="00110ECF" w:rsidP="003F49B7">
      <w:pPr>
        <w:pStyle w:val="CBDNormalNoNumber"/>
        <w:shd w:val="clear" w:color="auto" w:fill="FFFFFF" w:themeFill="background1"/>
        <w:ind w:left="567" w:firstLine="567"/>
        <w:rPr>
          <w:lang w:val="fr-CA"/>
        </w:rPr>
      </w:pPr>
      <w:r w:rsidRPr="000A4EC4">
        <w:rPr>
          <w:lang w:val="fr-CA"/>
        </w:rPr>
        <w:t>3.</w:t>
      </w:r>
      <w:r w:rsidRPr="000A4EC4">
        <w:rPr>
          <w:lang w:val="fr-CA"/>
        </w:rPr>
        <w:tab/>
      </w:r>
      <w:r w:rsidR="000A4EC4" w:rsidRPr="000A4EC4">
        <w:rPr>
          <w:i/>
          <w:iCs/>
          <w:lang w:val="fr-CA"/>
        </w:rPr>
        <w:t xml:space="preserve">Invite </w:t>
      </w:r>
      <w:r w:rsidR="000A4EC4" w:rsidRPr="000A4EC4">
        <w:rPr>
          <w:lang w:val="fr-CA"/>
        </w:rPr>
        <w:t>les Parties des États de l</w:t>
      </w:r>
      <w:r w:rsidR="009250B6">
        <w:rPr>
          <w:lang w:val="fr-CA"/>
        </w:rPr>
        <w:t>’</w:t>
      </w:r>
      <w:r w:rsidR="000A4EC4" w:rsidRPr="000A4EC4">
        <w:rPr>
          <w:lang w:val="fr-CA"/>
        </w:rPr>
        <w:t xml:space="preserve">Amérique latine et des Caraïbes à informer la Secrétaire exécutive, </w:t>
      </w:r>
      <w:r w:rsidR="009250B6">
        <w:rPr>
          <w:lang w:val="fr-CA"/>
        </w:rPr>
        <w:t>en temps utile</w:t>
      </w:r>
      <w:r w:rsidR="000A4EC4" w:rsidRPr="000A4EC4">
        <w:rPr>
          <w:lang w:val="fr-CA"/>
        </w:rPr>
        <w:t>, de leur offre d</w:t>
      </w:r>
      <w:r w:rsidR="009250B6">
        <w:rPr>
          <w:lang w:val="fr-CA"/>
        </w:rPr>
        <w:t>’</w:t>
      </w:r>
      <w:r w:rsidR="000A4EC4" w:rsidRPr="000A4EC4">
        <w:rPr>
          <w:lang w:val="fr-CA"/>
        </w:rPr>
        <w:t xml:space="preserve">accueillir </w:t>
      </w:r>
      <w:r w:rsidR="000A4EC4" w:rsidRPr="000A4EC4">
        <w:rPr>
          <w:noProof/>
          <w:lang w:val="fr-CA"/>
        </w:rPr>
        <w:t>la dix</w:t>
      </w:r>
      <w:r w:rsidR="005B2D67">
        <w:rPr>
          <w:noProof/>
          <w:lang w:val="fr-CA"/>
        </w:rPr>
        <w:noBreakHyphen/>
      </w:r>
      <w:r w:rsidR="000A4EC4" w:rsidRPr="000A4EC4">
        <w:rPr>
          <w:noProof/>
          <w:lang w:val="fr-CA"/>
        </w:rPr>
        <w:t>huitième réunion</w:t>
      </w:r>
      <w:r w:rsidR="000A4EC4" w:rsidRPr="000A4EC4">
        <w:rPr>
          <w:lang w:val="fr-CA"/>
        </w:rPr>
        <w:t xml:space="preserve"> de la Conférence des Parties, la treizième réunion de la Conférence de</w:t>
      </w:r>
      <w:r w:rsidR="009250B6">
        <w:rPr>
          <w:lang w:val="fr-CA"/>
        </w:rPr>
        <w:t>s Parties siégeant en tant que r</w:t>
      </w:r>
      <w:r w:rsidR="000A4EC4" w:rsidRPr="000A4EC4">
        <w:rPr>
          <w:lang w:val="fr-CA"/>
        </w:rPr>
        <w:t>éunion des Parties au Protocole de Cartagena et la septième réunion de la Conférence de</w:t>
      </w:r>
      <w:r w:rsidR="009250B6">
        <w:rPr>
          <w:lang w:val="fr-CA"/>
        </w:rPr>
        <w:t>s Parties siégeant en tant que r</w:t>
      </w:r>
      <w:r w:rsidR="000A4EC4" w:rsidRPr="000A4EC4">
        <w:rPr>
          <w:lang w:val="fr-CA"/>
        </w:rPr>
        <w:t>éunion des Parties au Protocole de Nagoya</w:t>
      </w:r>
      <w:r w:rsidR="0030343E">
        <w:rPr>
          <w:lang w:val="fr-CA"/>
        </w:rPr>
        <w:t>.</w:t>
      </w:r>
    </w:p>
    <w:p w:rsidR="002B559C" w:rsidRPr="000A4EC4" w:rsidRDefault="00ED3849" w:rsidP="003F49B7">
      <w:pPr>
        <w:pStyle w:val="Para1"/>
        <w:numPr>
          <w:ilvl w:val="0"/>
          <w:numId w:val="0"/>
        </w:numPr>
        <w:ind w:left="567"/>
        <w:jc w:val="center"/>
        <w:rPr>
          <w:lang w:val="fr-CA"/>
        </w:rPr>
      </w:pPr>
      <w:r w:rsidRPr="000A4EC4">
        <w:rPr>
          <w:lang w:val="fr-CA"/>
        </w:rPr>
        <w:t>__________</w:t>
      </w:r>
    </w:p>
    <w:sectPr w:rsidR="002B559C" w:rsidRPr="000A4EC4"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5DF3" w:rsidRDefault="00775DF3" w:rsidP="00A96B21">
      <w:r>
        <w:separator/>
      </w:r>
    </w:p>
  </w:endnote>
  <w:endnote w:type="continuationSeparator" w:id="0">
    <w:p w:rsidR="00775DF3" w:rsidRDefault="00775DF3" w:rsidP="00A96B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altName w:val="MS Mincho"/>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2B559C" w:rsidRDefault="00AE142B">
            <w:pPr>
              <w:pStyle w:val="Footer"/>
            </w:pPr>
            <w:r w:rsidRPr="002B559C">
              <w:rPr>
                <w:szCs w:val="20"/>
              </w:rPr>
              <w:fldChar w:fldCharType="begin"/>
            </w:r>
            <w:r w:rsidR="002B559C" w:rsidRPr="002B559C">
              <w:rPr>
                <w:szCs w:val="20"/>
              </w:rPr>
              <w:instrText xml:space="preserve"> PAGE </w:instrText>
            </w:r>
            <w:r w:rsidRPr="002B559C">
              <w:rPr>
                <w:szCs w:val="20"/>
              </w:rPr>
              <w:fldChar w:fldCharType="separate"/>
            </w:r>
            <w:r w:rsidR="0030343E">
              <w:rPr>
                <w:noProof/>
                <w:szCs w:val="20"/>
              </w:rPr>
              <w:t>2</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30343E">
              <w:rPr>
                <w:noProof/>
                <w:szCs w:val="20"/>
              </w:rPr>
              <w:t>2</w:t>
            </w:r>
            <w:r w:rsidRPr="002B559C">
              <w:rPr>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2B559C" w:rsidRDefault="00AE142B" w:rsidP="002B559C">
            <w:pPr>
              <w:pStyle w:val="Footer"/>
              <w:jc w:val="right"/>
            </w:pPr>
            <w:r w:rsidRPr="002B559C">
              <w:rPr>
                <w:szCs w:val="20"/>
              </w:rPr>
              <w:fldChar w:fldCharType="begin"/>
            </w:r>
            <w:r w:rsidR="002B559C" w:rsidRPr="002B559C">
              <w:rPr>
                <w:szCs w:val="20"/>
              </w:rPr>
              <w:instrText xml:space="preserve"> PAGE </w:instrText>
            </w:r>
            <w:r w:rsidRPr="002B559C">
              <w:rPr>
                <w:szCs w:val="20"/>
              </w:rPr>
              <w:fldChar w:fldCharType="separate"/>
            </w:r>
            <w:r w:rsidR="002B559C" w:rsidRPr="002B559C">
              <w:rPr>
                <w:noProof/>
                <w:szCs w:val="20"/>
              </w:rPr>
              <w:t>2</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2B559C" w:rsidRPr="002B559C">
              <w:rPr>
                <w:noProof/>
                <w:szCs w:val="20"/>
              </w:rPr>
              <w:t>2</w:t>
            </w:r>
            <w:r w:rsidRPr="002B559C">
              <w:rPr>
                <w:szCs w:val="20"/>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5DF3" w:rsidRDefault="00775DF3" w:rsidP="00A96B21">
      <w:r>
        <w:separator/>
      </w:r>
    </w:p>
  </w:footnote>
  <w:footnote w:type="continuationSeparator" w:id="0">
    <w:p w:rsidR="00775DF3" w:rsidRDefault="00775DF3" w:rsidP="00A96B21">
      <w:r>
        <w:continuationSeparator/>
      </w:r>
    </w:p>
  </w:footnote>
  <w:footnote w:id="1">
    <w:p w:rsidR="000667A0" w:rsidRPr="000667A0" w:rsidRDefault="000667A0" w:rsidP="000667A0">
      <w:pPr>
        <w:pStyle w:val="FootnoteText"/>
        <w:rPr>
          <w:szCs w:val="18"/>
          <w:lang w:val="fr-CA"/>
        </w:rPr>
      </w:pPr>
      <w:r w:rsidRPr="000667A0">
        <w:rPr>
          <w:rStyle w:val="FootnoteReference"/>
          <w:szCs w:val="18"/>
          <w:lang w:val="fr-CA"/>
        </w:rPr>
        <w:footnoteRef/>
      </w:r>
      <w:r w:rsidRPr="000667A0">
        <w:rPr>
          <w:lang w:val="fr-CA"/>
        </w:rPr>
        <w:t xml:space="preserve"> Nations Unies, </w:t>
      </w:r>
      <w:r w:rsidRPr="000667A0">
        <w:rPr>
          <w:i/>
          <w:lang w:val="fr-CA"/>
        </w:rPr>
        <w:t>Recueil des Traités</w:t>
      </w:r>
      <w:r w:rsidRPr="000667A0">
        <w:rPr>
          <w:lang w:val="fr-CA"/>
        </w:rPr>
        <w:t>, vol. 1760, n</w:t>
      </w:r>
      <w:r w:rsidRPr="000667A0">
        <w:rPr>
          <w:vertAlign w:val="superscript"/>
          <w:lang w:val="fr-CA"/>
        </w:rPr>
        <w:t>o</w:t>
      </w:r>
      <w:r w:rsidRPr="000667A0">
        <w:rPr>
          <w:lang w:val="fr-CA"/>
        </w:rPr>
        <w:t> 30619.</w:t>
      </w:r>
    </w:p>
  </w:footnote>
  <w:footnote w:id="2">
    <w:p w:rsidR="000667A0" w:rsidRPr="000667A0" w:rsidRDefault="000667A0" w:rsidP="000667A0">
      <w:pPr>
        <w:pStyle w:val="FootnoteText"/>
        <w:rPr>
          <w:szCs w:val="18"/>
          <w:lang w:val="fr-CA"/>
        </w:rPr>
      </w:pPr>
      <w:r w:rsidRPr="000667A0">
        <w:rPr>
          <w:rStyle w:val="FootnoteReference"/>
          <w:szCs w:val="18"/>
          <w:lang w:val="fr-CA"/>
        </w:rPr>
        <w:footnoteRef/>
      </w:r>
      <w:r w:rsidRPr="000667A0">
        <w:rPr>
          <w:lang w:val="fr-CA"/>
        </w:rPr>
        <w:t xml:space="preserve"> Décision I/1, comme amendée dans la décision V/20.</w:t>
      </w:r>
    </w:p>
  </w:footnote>
  <w:footnote w:id="3">
    <w:p w:rsidR="000667A0" w:rsidRPr="000667A0" w:rsidRDefault="000667A0" w:rsidP="000667A0">
      <w:pPr>
        <w:pStyle w:val="FootnoteText"/>
        <w:rPr>
          <w:szCs w:val="18"/>
          <w:lang w:val="fr-CA"/>
        </w:rPr>
      </w:pPr>
      <w:r w:rsidRPr="000667A0">
        <w:rPr>
          <w:rStyle w:val="FootnoteReference"/>
          <w:szCs w:val="18"/>
          <w:lang w:val="fr-CA"/>
        </w:rPr>
        <w:footnoteRef/>
      </w:r>
      <w:r w:rsidRPr="000667A0">
        <w:rPr>
          <w:lang w:val="fr-CA"/>
        </w:rPr>
        <w:t xml:space="preserve"> Nations Unies, </w:t>
      </w:r>
      <w:r w:rsidRPr="000667A0">
        <w:rPr>
          <w:i/>
          <w:lang w:val="fr-CA"/>
        </w:rPr>
        <w:t>Recueil des Traités</w:t>
      </w:r>
      <w:r w:rsidRPr="000667A0">
        <w:rPr>
          <w:lang w:val="fr-CA"/>
        </w:rPr>
        <w:t>, vol. 2226, n</w:t>
      </w:r>
      <w:r w:rsidRPr="000667A0">
        <w:rPr>
          <w:vertAlign w:val="superscript"/>
          <w:lang w:val="fr-CA"/>
        </w:rPr>
        <w:t>o</w:t>
      </w:r>
      <w:r w:rsidRPr="000667A0">
        <w:rPr>
          <w:lang w:val="fr-CA"/>
        </w:rPr>
        <w:t> 30619.</w:t>
      </w:r>
    </w:p>
  </w:footnote>
  <w:footnote w:id="4">
    <w:p w:rsidR="000667A0" w:rsidRPr="000667A0" w:rsidRDefault="000667A0" w:rsidP="000667A0">
      <w:pPr>
        <w:pStyle w:val="FootnoteText"/>
        <w:rPr>
          <w:szCs w:val="18"/>
          <w:lang w:val="fr-CA"/>
        </w:rPr>
      </w:pPr>
      <w:r w:rsidRPr="000667A0">
        <w:rPr>
          <w:rStyle w:val="FootnoteReference"/>
          <w:szCs w:val="18"/>
          <w:lang w:val="fr-CA"/>
        </w:rPr>
        <w:footnoteRef/>
      </w:r>
      <w:r w:rsidRPr="000667A0">
        <w:rPr>
          <w:lang w:val="fr-CA"/>
        </w:rPr>
        <w:t xml:space="preserve"> Nations Unies, </w:t>
      </w:r>
      <w:r w:rsidRPr="000667A0">
        <w:rPr>
          <w:i/>
          <w:iCs/>
          <w:szCs w:val="18"/>
          <w:lang w:val="fr-CA"/>
        </w:rPr>
        <w:t>Recueil des Traités</w:t>
      </w:r>
      <w:r w:rsidRPr="000667A0">
        <w:rPr>
          <w:lang w:val="fr-CA"/>
        </w:rPr>
        <w:t>, vol. 3008, n</w:t>
      </w:r>
      <w:r w:rsidRPr="000667A0">
        <w:rPr>
          <w:vertAlign w:val="superscript"/>
          <w:lang w:val="fr-CA"/>
        </w:rPr>
        <w:t>o</w:t>
      </w:r>
      <w:r w:rsidRPr="000667A0">
        <w:rPr>
          <w:lang w:val="fr-CA"/>
        </w:rPr>
        <w:t> 30619.</w:t>
      </w:r>
    </w:p>
  </w:footnote>
  <w:footnote w:id="5">
    <w:p w:rsidR="000A4EC4" w:rsidRDefault="000A4EC4" w:rsidP="000A4EC4">
      <w:pPr>
        <w:pStyle w:val="FootnoteText"/>
      </w:pPr>
      <w:r>
        <w:rPr>
          <w:rStyle w:val="FootnoteReference"/>
        </w:rPr>
        <w:footnoteRef/>
      </w:r>
      <w:r>
        <w:t xml:space="preserve"> ST/AI/342.</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1" w:name="_Hlk137802784"/>
  <w:bookmarkStart w:id="2" w:name="_Hlk137802785"/>
  <w:p w:rsidR="00A00234" w:rsidRPr="003F49B7" w:rsidRDefault="00AE142B" w:rsidP="003F49B7">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694726" w:rsidRPr="00A00234">
          <w:rPr>
            <w:szCs w:val="20"/>
            <w:lang w:val="fr-FR"/>
          </w:rPr>
          <w:t>CBD</w:t>
        </w:r>
        <w:r w:rsidR="00694726">
          <w:rPr>
            <w:szCs w:val="20"/>
            <w:lang w:val="fr-FR"/>
          </w:rPr>
          <w:t>/</w:t>
        </w:r>
        <w:r w:rsidR="00694726" w:rsidRPr="00A00234">
          <w:rPr>
            <w:szCs w:val="20"/>
            <w:lang w:val="fr-FR"/>
          </w:rPr>
          <w:t>COP/16/</w:t>
        </w:r>
        <w:r w:rsidR="00694726">
          <w:rPr>
            <w:szCs w:val="20"/>
            <w:lang w:val="fr-FR"/>
          </w:rPr>
          <w:t>L.</w:t>
        </w:r>
        <w:r w:rsidR="0013031D">
          <w:rPr>
            <w:szCs w:val="20"/>
            <w:lang w:val="fr-FR"/>
          </w:rPr>
          <w:t>28</w:t>
        </w:r>
      </w:sdtContent>
    </w:sdt>
    <w:bookmarkEnd w:id="1"/>
    <w:bookmarkEnd w:id="2"/>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2B559C" w:rsidRPr="002B559C" w:rsidRDefault="0013031D" w:rsidP="002B559C">
        <w:pPr>
          <w:pStyle w:val="Header"/>
          <w:spacing w:after="240"/>
          <w:jc w:val="right"/>
          <w:rPr>
            <w:szCs w:val="20"/>
            <w:lang w:val="fr-FR"/>
          </w:rPr>
        </w:pPr>
        <w:r>
          <w:rPr>
            <w:szCs w:val="20"/>
            <w:lang w:val="fr-FR"/>
          </w:rPr>
          <w:t>CBD/COP/16/L.28</w: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2BF" w:rsidRDefault="001662BF" w:rsidP="001662BF">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2"/>
  </w:num>
  <w:num w:numId="3">
    <w:abstractNumId w:val="15"/>
  </w:num>
  <w:num w:numId="4">
    <w:abstractNumId w:val="0"/>
  </w:num>
  <w:num w:numId="5">
    <w:abstractNumId w:val="1"/>
  </w:num>
  <w:num w:numId="6">
    <w:abstractNumId w:val="1"/>
  </w:num>
  <w:num w:numId="7">
    <w:abstractNumId w:val="3"/>
  </w:num>
  <w:num w:numId="8">
    <w:abstractNumId w:val="7"/>
  </w:num>
  <w:num w:numId="9">
    <w:abstractNumId w:val="11"/>
  </w:num>
  <w:num w:numId="10">
    <w:abstractNumId w:val="10"/>
  </w:num>
  <w:num w:numId="11">
    <w:abstractNumId w:val="6"/>
  </w:num>
  <w:num w:numId="12">
    <w:abstractNumId w:val="2"/>
  </w:num>
  <w:num w:numId="13">
    <w:abstractNumId w:val="2"/>
    <w:lvlOverride w:ilvl="0">
      <w:startOverride w:val="1"/>
    </w:lvlOverride>
  </w:num>
  <w:num w:numId="14">
    <w:abstractNumId w:val="9"/>
  </w:num>
  <w:num w:numId="15">
    <w:abstractNumId w:val="9"/>
    <w:lvlOverride w:ilvl="0">
      <w:startOverride w:val="1"/>
    </w:lvlOverride>
  </w:num>
  <w:num w:numId="16">
    <w:abstractNumId w:val="12"/>
    <w:lvlOverride w:ilvl="0">
      <w:startOverride w:val="1"/>
    </w:lvlOverride>
  </w:num>
  <w:num w:numId="17">
    <w:abstractNumId w:val="9"/>
    <w:lvlOverride w:ilvl="0">
      <w:startOverride w:val="1"/>
    </w:lvlOverride>
  </w:num>
  <w:num w:numId="18">
    <w:abstractNumId w:val="16"/>
  </w:num>
  <w:num w:numId="19">
    <w:abstractNumId w:val="12"/>
    <w:lvlOverride w:ilvl="0">
      <w:startOverride w:val="1"/>
    </w:lvlOverride>
  </w:num>
  <w:num w:numId="20">
    <w:abstractNumId w:val="12"/>
    <w:lvlOverride w:ilvl="0">
      <w:startOverride w:val="1"/>
    </w:lvlOverride>
  </w:num>
  <w:num w:numId="21">
    <w:abstractNumId w:val="8"/>
  </w:num>
  <w:num w:numId="22">
    <w:abstractNumId w:val="5"/>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4"/>
  </w:num>
  <w:num w:numId="30">
    <w:abstractNumId w:val="14"/>
  </w:num>
  <w:num w:numId="31">
    <w:abstractNumId w:val="14"/>
  </w:num>
  <w:num w:numId="32">
    <w:abstractNumId w:val="14"/>
  </w:num>
  <w:num w:numId="33">
    <w:abstractNumId w:val="5"/>
  </w:num>
  <w:num w:numId="34">
    <w:abstractNumId w:val="5"/>
  </w:num>
  <w:num w:numId="35">
    <w:abstractNumId w:val="5"/>
  </w:num>
  <w:num w:numId="36">
    <w:abstractNumId w:val="5"/>
  </w:num>
  <w:num w:numId="37">
    <w:abstractNumId w:val="5"/>
  </w:num>
  <w:num w:numId="38">
    <w:abstractNumId w:val="5"/>
  </w:num>
  <w:num w:numId="39">
    <w:abstractNumId w:val="5"/>
  </w:num>
  <w:num w:numId="4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attachedTemplate r:id="rId1"/>
  <w:defaultTabStop w:val="720"/>
  <w:hyphenationZone w:val="425"/>
  <w:evenAndOddHeaders/>
  <w:characterSpacingControl w:val="doNotCompress"/>
  <w:hdrShapeDefaults>
    <o:shapedefaults v:ext="edit" spidmax="4098"/>
  </w:hdrShapeDefaults>
  <w:footnotePr>
    <w:footnote w:id="-1"/>
    <w:footnote w:id="0"/>
  </w:footnotePr>
  <w:endnotePr>
    <w:endnote w:id="-1"/>
    <w:endnote w:id="0"/>
  </w:endnotePr>
  <w:compat/>
  <w:rsids>
    <w:rsidRoot w:val="000B1E29"/>
    <w:rsid w:val="00040598"/>
    <w:rsid w:val="000667A0"/>
    <w:rsid w:val="0006764E"/>
    <w:rsid w:val="000A4EC4"/>
    <w:rsid w:val="000B1E29"/>
    <w:rsid w:val="000F66FD"/>
    <w:rsid w:val="00110ECF"/>
    <w:rsid w:val="0013031D"/>
    <w:rsid w:val="00132581"/>
    <w:rsid w:val="001454DA"/>
    <w:rsid w:val="001639C8"/>
    <w:rsid w:val="001662BF"/>
    <w:rsid w:val="00184909"/>
    <w:rsid w:val="001A2378"/>
    <w:rsid w:val="001A2527"/>
    <w:rsid w:val="001D7501"/>
    <w:rsid w:val="001E4E16"/>
    <w:rsid w:val="002210D0"/>
    <w:rsid w:val="0023659C"/>
    <w:rsid w:val="002B00CA"/>
    <w:rsid w:val="002B559C"/>
    <w:rsid w:val="002C7190"/>
    <w:rsid w:val="002E622E"/>
    <w:rsid w:val="00300637"/>
    <w:rsid w:val="0030343E"/>
    <w:rsid w:val="00310608"/>
    <w:rsid w:val="00323F22"/>
    <w:rsid w:val="003476A9"/>
    <w:rsid w:val="003B06EA"/>
    <w:rsid w:val="003C111A"/>
    <w:rsid w:val="003C3310"/>
    <w:rsid w:val="003C6F10"/>
    <w:rsid w:val="003F49B7"/>
    <w:rsid w:val="00441498"/>
    <w:rsid w:val="00463B33"/>
    <w:rsid w:val="004701EE"/>
    <w:rsid w:val="00475F6C"/>
    <w:rsid w:val="00480A8D"/>
    <w:rsid w:val="004A2A2D"/>
    <w:rsid w:val="004A7099"/>
    <w:rsid w:val="004C6544"/>
    <w:rsid w:val="004E2085"/>
    <w:rsid w:val="004E7BA2"/>
    <w:rsid w:val="00533B81"/>
    <w:rsid w:val="00537248"/>
    <w:rsid w:val="0055224C"/>
    <w:rsid w:val="00595A79"/>
    <w:rsid w:val="005A206E"/>
    <w:rsid w:val="005B2D67"/>
    <w:rsid w:val="005C0058"/>
    <w:rsid w:val="005E2605"/>
    <w:rsid w:val="00654C38"/>
    <w:rsid w:val="00657ED6"/>
    <w:rsid w:val="00666C6C"/>
    <w:rsid w:val="00680F84"/>
    <w:rsid w:val="006828CA"/>
    <w:rsid w:val="00694726"/>
    <w:rsid w:val="006B293D"/>
    <w:rsid w:val="006F56DF"/>
    <w:rsid w:val="00727755"/>
    <w:rsid w:val="00746EA2"/>
    <w:rsid w:val="0075018F"/>
    <w:rsid w:val="0076622F"/>
    <w:rsid w:val="007710B2"/>
    <w:rsid w:val="00775DF3"/>
    <w:rsid w:val="00783CB8"/>
    <w:rsid w:val="007B0275"/>
    <w:rsid w:val="007C77BC"/>
    <w:rsid w:val="00860D06"/>
    <w:rsid w:val="00864B9B"/>
    <w:rsid w:val="0087262B"/>
    <w:rsid w:val="00874541"/>
    <w:rsid w:val="0087582D"/>
    <w:rsid w:val="00880330"/>
    <w:rsid w:val="008A0236"/>
    <w:rsid w:val="008C0152"/>
    <w:rsid w:val="008C2FF9"/>
    <w:rsid w:val="008D75EC"/>
    <w:rsid w:val="008E0581"/>
    <w:rsid w:val="009250B6"/>
    <w:rsid w:val="00935461"/>
    <w:rsid w:val="009459E3"/>
    <w:rsid w:val="00995DDC"/>
    <w:rsid w:val="009C1114"/>
    <w:rsid w:val="009C188E"/>
    <w:rsid w:val="009F0F06"/>
    <w:rsid w:val="009F343E"/>
    <w:rsid w:val="00A00234"/>
    <w:rsid w:val="00A349E1"/>
    <w:rsid w:val="00A41E92"/>
    <w:rsid w:val="00A54FA0"/>
    <w:rsid w:val="00A96B21"/>
    <w:rsid w:val="00AB6870"/>
    <w:rsid w:val="00AE142B"/>
    <w:rsid w:val="00AE1A95"/>
    <w:rsid w:val="00B317EF"/>
    <w:rsid w:val="00B36EA9"/>
    <w:rsid w:val="00B41BF6"/>
    <w:rsid w:val="00B47BB1"/>
    <w:rsid w:val="00B93533"/>
    <w:rsid w:val="00BA3CD6"/>
    <w:rsid w:val="00BB60F0"/>
    <w:rsid w:val="00BE49B2"/>
    <w:rsid w:val="00BE4A3A"/>
    <w:rsid w:val="00C2354A"/>
    <w:rsid w:val="00C448B5"/>
    <w:rsid w:val="00C54612"/>
    <w:rsid w:val="00C953C6"/>
    <w:rsid w:val="00CB0074"/>
    <w:rsid w:val="00CB0D9D"/>
    <w:rsid w:val="00CF70AB"/>
    <w:rsid w:val="00D07DD5"/>
    <w:rsid w:val="00D20722"/>
    <w:rsid w:val="00D3059B"/>
    <w:rsid w:val="00D543DD"/>
    <w:rsid w:val="00D60046"/>
    <w:rsid w:val="00D64F28"/>
    <w:rsid w:val="00D71FFB"/>
    <w:rsid w:val="00DA3155"/>
    <w:rsid w:val="00DF2682"/>
    <w:rsid w:val="00E1597C"/>
    <w:rsid w:val="00E2778E"/>
    <w:rsid w:val="00E740AC"/>
    <w:rsid w:val="00E85034"/>
    <w:rsid w:val="00E92B19"/>
    <w:rsid w:val="00ED3849"/>
    <w:rsid w:val="00F007C0"/>
    <w:rsid w:val="00F0122F"/>
    <w:rsid w:val="00F16BFB"/>
    <w:rsid w:val="00F258FB"/>
    <w:rsid w:val="00F428B4"/>
    <w:rsid w:val="00F75F90"/>
    <w:rsid w:val="00FA18C9"/>
    <w:rsid w:val="00FA494D"/>
    <w:rsid w:val="00FE0B22"/>
    <w:rsid w:val="00FF78F9"/>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10EC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paragraph" w:styleId="Revision">
    <w:name w:val="Revision"/>
    <w:hidden/>
    <w:uiPriority w:val="99"/>
    <w:semiHidden/>
    <w:rsid w:val="00AB6870"/>
    <w:pPr>
      <w:spacing w:after="0" w:line="240" w:lineRule="auto"/>
    </w:pPr>
    <w:rPr>
      <w:rFonts w:ascii="Times New Roman" w:eastAsia="SimSun" w:hAnsi="Times New Roman" w:cs="Times New Roman"/>
      <w:kern w:val="0"/>
      <w:lang w:val="en-US"/>
    </w:rPr>
  </w:style>
  <w:style w:type="paragraph" w:styleId="BalloonText">
    <w:name w:val="Balloon Text"/>
    <w:basedOn w:val="Normal"/>
    <w:link w:val="BalloonTextChar"/>
    <w:uiPriority w:val="99"/>
    <w:semiHidden/>
    <w:unhideWhenUsed/>
    <w:rsid w:val="000667A0"/>
    <w:rPr>
      <w:rFonts w:ascii="Tahoma" w:hAnsi="Tahoma" w:cs="Tahoma"/>
      <w:sz w:val="16"/>
      <w:szCs w:val="16"/>
    </w:rPr>
  </w:style>
  <w:style w:type="character" w:customStyle="1" w:styleId="BalloonTextChar">
    <w:name w:val="Balloon Text Char"/>
    <w:basedOn w:val="DefaultParagraphFont"/>
    <w:link w:val="BalloonText"/>
    <w:uiPriority w:val="99"/>
    <w:semiHidden/>
    <w:rsid w:val="000667A0"/>
    <w:rPr>
      <w:rFonts w:ascii="Tahoma" w:eastAsia="SimSun" w:hAnsi="Tahoma" w:cs="Tahoma"/>
      <w:kern w:val="0"/>
      <w:sz w:val="16"/>
      <w:szCs w:val="16"/>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altName w:val="MS Mincho"/>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hyphenationZone w:val="425"/>
  <w:characterSpacingControl w:val="doNotCompress"/>
  <w:compat>
    <w:useFELayout/>
  </w:compat>
  <w:rsids>
    <w:rsidRoot w:val="00764DF4"/>
    <w:rsid w:val="00015EA6"/>
    <w:rsid w:val="002C5C75"/>
    <w:rsid w:val="002C7190"/>
    <w:rsid w:val="002D1F36"/>
    <w:rsid w:val="006828CA"/>
    <w:rsid w:val="00764DF4"/>
    <w:rsid w:val="00811444"/>
    <w:rsid w:val="009B0702"/>
    <w:rsid w:val="00A41E92"/>
    <w:rsid w:val="00B317EF"/>
    <w:rsid w:val="00B41BF6"/>
    <w:rsid w:val="00D07DD5"/>
    <w:rsid w:val="00D543DD"/>
    <w:rsid w:val="00E3475E"/>
    <w:rsid w:val="00EB612A"/>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E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15EA6"/>
    <w:rPr>
      <w:color w:val="808080"/>
    </w:rPr>
  </w:style>
  <w:style w:type="paragraph" w:customStyle="1" w:styleId="CE78D6453E1E4F89A1372586409BE006">
    <w:name w:val="CE78D6453E1E4F89A1372586409BE006"/>
    <w:rsid w:val="00015EA6"/>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57A272-529A-4BBC-9575-9E7EB39610BC}">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12</TotalTime>
  <Pages>2</Pages>
  <Words>438</Words>
  <Characters>2413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Date and venue of future meetings of the Conference of the Parties</vt:lpstr>
    </vt:vector>
  </TitlesOfParts>
  <Company/>
  <LinksUpToDate>false</LinksUpToDate>
  <CharactersWithSpaces>2846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and venue of future meetings of the Conference of the Parties</dc:title>
  <dc:subject>CBD/COP/16/L.28</dc:subject>
  <dc:creator>Secretariat of the Convention on Biological Diversity</dc:creator>
  <cp:keywords>Conference of the Parties to the Convention on Biological Diversity</cp:keywords>
  <cp:lastModifiedBy>BUBIC</cp:lastModifiedBy>
  <cp:revision>5</cp:revision>
  <cp:lastPrinted>2024-11-01T21:01:00Z</cp:lastPrinted>
  <dcterms:created xsi:type="dcterms:W3CDTF">2024-11-02T02:35:00Z</dcterms:created>
  <dcterms:modified xsi:type="dcterms:W3CDTF">2024-11-02T02:48:00Z</dcterms:modified>
</cp:coreProperties>
</file>