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426" w:type="dxa"/>
        <w:tblLook w:val="04A0"/>
      </w:tblPr>
      <w:tblGrid>
        <w:gridCol w:w="1135"/>
        <w:gridCol w:w="5160"/>
        <w:gridCol w:w="4054"/>
      </w:tblGrid>
      <w:tr w:rsidR="005D0615" w:rsidRPr="00C901E0" w:rsidTr="00FC31F8">
        <w:trPr>
          <w:trHeight w:val="851"/>
        </w:trPr>
        <w:tc>
          <w:tcPr>
            <w:tcW w:w="1135" w:type="dxa"/>
            <w:shd w:val="clear" w:color="auto" w:fill="auto"/>
          </w:tcPr>
          <w:p w:rsidR="005D0615" w:rsidRPr="00C901E0" w:rsidRDefault="005D0615" w:rsidP="00D3778C">
            <w:pPr>
              <w:rPr>
                <w:rFonts w:ascii="Calibri" w:eastAsia="Calibri" w:hAnsi="Calibri"/>
                <w:snapToGrid w:val="0"/>
                <w:kern w:val="22"/>
                <w:lang w:val="es-ES"/>
              </w:rPr>
            </w:pPr>
            <w:bookmarkStart w:id="0" w:name="_Hlk527726492"/>
            <w:r w:rsidRPr="00C901E0">
              <w:rPr>
                <w:rFonts w:ascii="Calibri" w:eastAsia="Calibri" w:hAnsi="Calibri"/>
                <w:noProof/>
                <w:snapToGrid w:val="0"/>
                <w:kern w:val="22"/>
                <w:lang w:val="es-UY" w:eastAsia="es-UY"/>
              </w:rPr>
              <w:drawing>
                <wp:inline distT="0" distB="0" distL="0" distR="0">
                  <wp:extent cx="476250" cy="400050"/>
                  <wp:effectExtent l="0" t="0" r="0" b="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60" w:type="dxa"/>
            <w:shd w:val="clear" w:color="auto" w:fill="auto"/>
          </w:tcPr>
          <w:p w:rsidR="005D0615" w:rsidRPr="00C901E0" w:rsidRDefault="005D0615" w:rsidP="00D3778C">
            <w:pPr>
              <w:rPr>
                <w:rFonts w:ascii="Calibri" w:eastAsia="Calibri" w:hAnsi="Calibri"/>
                <w:snapToGrid w:val="0"/>
                <w:kern w:val="22"/>
                <w:lang w:val="es-ES"/>
              </w:rPr>
            </w:pPr>
            <w:r w:rsidRPr="00C901E0">
              <w:rPr>
                <w:rFonts w:ascii="Calibri" w:eastAsia="Calibri" w:hAnsi="Calibri"/>
                <w:noProof/>
                <w:snapToGrid w:val="0"/>
                <w:kern w:val="22"/>
                <w:lang w:val="es-UY" w:eastAsia="es-UY"/>
              </w:rPr>
              <w:drawing>
                <wp:inline distT="0" distB="0" distL="0" distR="0">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54" w:type="dxa"/>
            <w:shd w:val="clear" w:color="auto" w:fill="auto"/>
          </w:tcPr>
          <w:p w:rsidR="005D0615" w:rsidRPr="00C901E0" w:rsidRDefault="005D0615" w:rsidP="00D3778C">
            <w:pPr>
              <w:jc w:val="right"/>
              <w:rPr>
                <w:rFonts w:ascii="Arial" w:eastAsia="Calibri" w:hAnsi="Arial" w:cs="Arial"/>
                <w:b/>
                <w:snapToGrid w:val="0"/>
                <w:kern w:val="22"/>
                <w:sz w:val="32"/>
                <w:szCs w:val="32"/>
                <w:lang w:val="es-ES"/>
              </w:rPr>
            </w:pPr>
            <w:r w:rsidRPr="00C901E0">
              <w:rPr>
                <w:rFonts w:ascii="Arial" w:eastAsia="Calibri" w:hAnsi="Arial" w:cs="Arial"/>
                <w:b/>
                <w:snapToGrid w:val="0"/>
                <w:kern w:val="22"/>
                <w:sz w:val="32"/>
                <w:szCs w:val="32"/>
                <w:lang w:val="es-ES"/>
              </w:rPr>
              <w:t>CBD</w:t>
            </w:r>
          </w:p>
        </w:tc>
      </w:tr>
    </w:tbl>
    <w:tbl>
      <w:tblPr>
        <w:tblStyle w:val="TableGrid1"/>
        <w:tblW w:w="541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13"/>
        <w:gridCol w:w="4862"/>
      </w:tblGrid>
      <w:tr w:rsidR="0084107C" w:rsidRPr="00C901E0" w:rsidTr="008A53A2">
        <w:tc>
          <w:tcPr>
            <w:tcW w:w="5613" w:type="dxa"/>
            <w:tcBorders>
              <w:top w:val="single" w:sz="12" w:space="0" w:color="auto"/>
              <w:bottom w:val="single" w:sz="36" w:space="0" w:color="auto"/>
            </w:tcBorders>
            <w:vAlign w:val="center"/>
          </w:tcPr>
          <w:bookmarkEnd w:id="0"/>
          <w:p w:rsidR="0084107C" w:rsidRPr="00C901E0" w:rsidRDefault="008A53A2" w:rsidP="006C3AD6">
            <w:pPr>
              <w:suppressLineNumbers/>
              <w:suppressAutoHyphens/>
              <w:kinsoku w:val="0"/>
              <w:overflowPunct w:val="0"/>
              <w:autoSpaceDE w:val="0"/>
              <w:autoSpaceDN w:val="0"/>
              <w:rPr>
                <w:snapToGrid w:val="0"/>
                <w:kern w:val="22"/>
                <w:lang w:val="es-ES"/>
              </w:rPr>
            </w:pPr>
            <w:r w:rsidRPr="00C901E0">
              <w:rPr>
                <w:noProof/>
                <w:snapToGrid w:val="0"/>
                <w:kern w:val="22"/>
                <w:lang w:val="es-UY" w:eastAsia="es-UY"/>
              </w:rPr>
              <w:drawing>
                <wp:inline distT="0" distB="0" distL="0" distR="0">
                  <wp:extent cx="2901950" cy="104838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2901950" cy="1048385"/>
                          </a:xfrm>
                          <a:prstGeom prst="rect">
                            <a:avLst/>
                          </a:prstGeom>
                          <a:noFill/>
                          <a:ln w="9525">
                            <a:noFill/>
                            <a:miter lim="800000"/>
                            <a:headEnd/>
                            <a:tailEnd/>
                          </a:ln>
                        </pic:spPr>
                      </pic:pic>
                    </a:graphicData>
                  </a:graphic>
                </wp:inline>
              </w:drawing>
            </w:r>
          </w:p>
        </w:tc>
        <w:tc>
          <w:tcPr>
            <w:tcW w:w="4862" w:type="dxa"/>
            <w:tcBorders>
              <w:top w:val="single" w:sz="12" w:space="0" w:color="auto"/>
              <w:bottom w:val="single" w:sz="36" w:space="0" w:color="auto"/>
            </w:tcBorders>
          </w:tcPr>
          <w:p w:rsidR="0084107C" w:rsidRPr="00C901E0" w:rsidRDefault="0084107C"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lang w:val="es-ES"/>
              </w:rPr>
            </w:pPr>
            <w:r w:rsidRPr="00C901E0">
              <w:rPr>
                <w:rFonts w:ascii="Times New Roman" w:hAnsi="Times New Roman" w:cs="Times New Roman"/>
                <w:snapToGrid w:val="0"/>
                <w:kern w:val="22"/>
                <w:sz w:val="22"/>
                <w:szCs w:val="22"/>
                <w:lang w:val="es-ES"/>
              </w:rPr>
              <w:t>Distr.</w:t>
            </w:r>
          </w:p>
          <w:p w:rsidR="0084107C" w:rsidRPr="00C901E0" w:rsidRDefault="009503AA"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lang w:val="es-ES"/>
              </w:rPr>
            </w:pPr>
            <w:sdt>
              <w:sdtPr>
                <w:rPr>
                  <w:snapToGrid w:val="0"/>
                  <w:kern w:val="22"/>
                  <w:sz w:val="22"/>
                  <w:szCs w:val="22"/>
                  <w:lang w:val="es-ES"/>
                </w:rPr>
                <w:alias w:val="Status"/>
                <w:tag w:val=""/>
                <w:id w:val="307985777"/>
                <w:placeholder>
                  <w:docPart w:val="D78D5438D86D4A71BBE6089CEEBFFBDE"/>
                </w:placeholder>
                <w:dataBinding w:prefixMappings="xmlns:ns0='http://purl.org/dc/elements/1.1/' xmlns:ns1='http://schemas.openxmlformats.org/package/2006/metadata/core-properties' " w:xpath="/ns1:coreProperties[1]/ns1:contentStatus[1]" w:storeItemID="{6C3C8BC8-F283-45AE-878A-BAB7291924A1}"/>
                <w:text/>
              </w:sdtPr>
              <w:sdtContent>
                <w:r w:rsidR="00A5506E" w:rsidRPr="00C901E0">
                  <w:rPr>
                    <w:rFonts w:ascii="Times New Roman" w:hAnsi="Times New Roman" w:cs="Times New Roman"/>
                    <w:snapToGrid w:val="0"/>
                    <w:kern w:val="22"/>
                    <w:sz w:val="22"/>
                    <w:szCs w:val="22"/>
                    <w:lang w:val="es-ES"/>
                  </w:rPr>
                  <w:t>GENERAL</w:t>
                </w:r>
              </w:sdtContent>
            </w:sdt>
          </w:p>
          <w:p w:rsidR="0084107C" w:rsidRPr="00C901E0" w:rsidRDefault="0084107C"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lang w:val="es-ES"/>
              </w:rPr>
            </w:pPr>
          </w:p>
          <w:p w:rsidR="0084107C" w:rsidRPr="00C901E0" w:rsidRDefault="009503AA"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lang w:val="es-ES"/>
              </w:rPr>
            </w:pPr>
            <w:sdt>
              <w:sdtPr>
                <w:rPr>
                  <w:snapToGrid w:val="0"/>
                  <w:kern w:val="22"/>
                  <w:sz w:val="22"/>
                  <w:szCs w:val="22"/>
                  <w:lang w:val="es-ES"/>
                </w:rPr>
                <w:alias w:val="Subject"/>
                <w:tag w:val=""/>
                <w:id w:val="2137136483"/>
                <w:placeholder>
                  <w:docPart w:val="44258BF6970D4CC59FE855240C8C7AF3"/>
                </w:placeholder>
                <w:dataBinding w:prefixMappings="xmlns:ns0='http://purl.org/dc/elements/1.1/' xmlns:ns1='http://schemas.openxmlformats.org/package/2006/metadata/core-properties' " w:xpath="/ns1:coreProperties[1]/ns0:subject[1]" w:storeItemID="{6C3C8BC8-F283-45AE-878A-BAB7291924A1}"/>
                <w:text/>
              </w:sdtPr>
              <w:sdtContent>
                <w:r w:rsidR="00A5506E" w:rsidRPr="00C901E0">
                  <w:rPr>
                    <w:rFonts w:ascii="Times New Roman" w:hAnsi="Times New Roman" w:cs="Times New Roman"/>
                    <w:snapToGrid w:val="0"/>
                    <w:kern w:val="22"/>
                    <w:sz w:val="22"/>
                    <w:szCs w:val="22"/>
                    <w:lang w:val="es-ES"/>
                  </w:rPr>
                  <w:t>CBD/CP/MOP/9/13</w:t>
                </w:r>
              </w:sdtContent>
            </w:sdt>
          </w:p>
          <w:p w:rsidR="0084107C" w:rsidRPr="00C901E0" w:rsidRDefault="00AB6F68"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lang w:val="es-ES"/>
              </w:rPr>
            </w:pPr>
            <w:r w:rsidRPr="00C901E0">
              <w:rPr>
                <w:rFonts w:ascii="Times New Roman" w:hAnsi="Times New Roman" w:cs="Times New Roman"/>
                <w:snapToGrid w:val="0"/>
                <w:kern w:val="22"/>
                <w:sz w:val="22"/>
                <w:szCs w:val="22"/>
                <w:lang w:val="es-ES"/>
              </w:rPr>
              <w:t xml:space="preserve">29 </w:t>
            </w:r>
            <w:r w:rsidR="008A53A2" w:rsidRPr="00C901E0">
              <w:rPr>
                <w:rFonts w:ascii="Times New Roman" w:hAnsi="Times New Roman" w:cs="Times New Roman"/>
                <w:snapToGrid w:val="0"/>
                <w:kern w:val="22"/>
                <w:sz w:val="22"/>
                <w:szCs w:val="22"/>
                <w:lang w:val="es-ES"/>
              </w:rPr>
              <w:t>de n</w:t>
            </w:r>
            <w:r w:rsidR="001407F3" w:rsidRPr="00C901E0">
              <w:rPr>
                <w:rFonts w:ascii="Times New Roman" w:hAnsi="Times New Roman" w:cs="Times New Roman"/>
                <w:snapToGrid w:val="0"/>
                <w:kern w:val="22"/>
                <w:sz w:val="22"/>
                <w:szCs w:val="22"/>
                <w:lang w:val="es-ES"/>
              </w:rPr>
              <w:t>ov</w:t>
            </w:r>
            <w:r w:rsidR="008A53A2" w:rsidRPr="00C901E0">
              <w:rPr>
                <w:rFonts w:ascii="Times New Roman" w:hAnsi="Times New Roman" w:cs="Times New Roman"/>
                <w:snapToGrid w:val="0"/>
                <w:kern w:val="22"/>
                <w:sz w:val="22"/>
                <w:szCs w:val="22"/>
                <w:lang w:val="es-ES"/>
              </w:rPr>
              <w:t>i</w:t>
            </w:r>
            <w:r w:rsidR="001407F3" w:rsidRPr="00C901E0">
              <w:rPr>
                <w:rFonts w:ascii="Times New Roman" w:hAnsi="Times New Roman" w:cs="Times New Roman"/>
                <w:snapToGrid w:val="0"/>
                <w:kern w:val="22"/>
                <w:sz w:val="22"/>
                <w:szCs w:val="22"/>
                <w:lang w:val="es-ES"/>
              </w:rPr>
              <w:t>embr</w:t>
            </w:r>
            <w:r w:rsidR="008A53A2" w:rsidRPr="00C901E0">
              <w:rPr>
                <w:rFonts w:ascii="Times New Roman" w:hAnsi="Times New Roman" w:cs="Times New Roman"/>
                <w:snapToGrid w:val="0"/>
                <w:kern w:val="22"/>
                <w:sz w:val="22"/>
                <w:szCs w:val="22"/>
                <w:lang w:val="es-ES"/>
              </w:rPr>
              <w:t>e</w:t>
            </w:r>
            <w:r w:rsidR="00A11E0E" w:rsidRPr="00C901E0">
              <w:rPr>
                <w:rFonts w:ascii="Times New Roman" w:hAnsi="Times New Roman" w:cs="Times New Roman"/>
                <w:snapToGrid w:val="0"/>
                <w:kern w:val="22"/>
                <w:sz w:val="22"/>
                <w:szCs w:val="22"/>
                <w:lang w:val="es-ES"/>
              </w:rPr>
              <w:t xml:space="preserve"> </w:t>
            </w:r>
            <w:r w:rsidR="008A53A2" w:rsidRPr="00C901E0">
              <w:rPr>
                <w:rFonts w:ascii="Times New Roman" w:hAnsi="Times New Roman" w:cs="Times New Roman"/>
                <w:snapToGrid w:val="0"/>
                <w:kern w:val="22"/>
                <w:sz w:val="22"/>
                <w:szCs w:val="22"/>
                <w:lang w:val="es-ES"/>
              </w:rPr>
              <w:t xml:space="preserve">de </w:t>
            </w:r>
            <w:r w:rsidR="00A11E0E" w:rsidRPr="00C901E0">
              <w:rPr>
                <w:rFonts w:ascii="Times New Roman" w:hAnsi="Times New Roman" w:cs="Times New Roman"/>
                <w:snapToGrid w:val="0"/>
                <w:kern w:val="22"/>
                <w:sz w:val="22"/>
                <w:szCs w:val="22"/>
                <w:lang w:val="es-ES"/>
              </w:rPr>
              <w:t>2018</w:t>
            </w:r>
          </w:p>
          <w:p w:rsidR="0084107C" w:rsidRPr="00C901E0" w:rsidRDefault="0084107C"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lang w:val="es-ES"/>
              </w:rPr>
            </w:pPr>
          </w:p>
          <w:p w:rsidR="008A53A2" w:rsidRPr="00C901E0" w:rsidRDefault="008A53A2"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lang w:val="es-ES"/>
              </w:rPr>
            </w:pPr>
            <w:r w:rsidRPr="00C901E0">
              <w:rPr>
                <w:rFonts w:ascii="Times New Roman" w:hAnsi="Times New Roman" w:cs="Times New Roman"/>
                <w:snapToGrid w:val="0"/>
                <w:kern w:val="22"/>
                <w:sz w:val="22"/>
                <w:szCs w:val="22"/>
                <w:lang w:val="es-ES"/>
              </w:rPr>
              <w:t>ESPAÑOL</w:t>
            </w:r>
          </w:p>
          <w:p w:rsidR="0084107C" w:rsidRPr="00C901E0" w:rsidRDefault="00477094" w:rsidP="008A53A2">
            <w:pPr>
              <w:suppressLineNumbers/>
              <w:suppressAutoHyphens/>
              <w:kinsoku w:val="0"/>
              <w:overflowPunct w:val="0"/>
              <w:autoSpaceDE w:val="0"/>
              <w:autoSpaceDN w:val="0"/>
              <w:ind w:left="1241"/>
              <w:rPr>
                <w:rFonts w:ascii="Times New Roman" w:hAnsi="Times New Roman" w:cs="Times New Roman"/>
                <w:snapToGrid w:val="0"/>
                <w:kern w:val="22"/>
                <w:szCs w:val="22"/>
                <w:lang w:val="es-ES"/>
              </w:rPr>
            </w:pPr>
            <w:r w:rsidRPr="00C901E0">
              <w:rPr>
                <w:rFonts w:ascii="Times New Roman" w:hAnsi="Times New Roman" w:cs="Times New Roman"/>
                <w:snapToGrid w:val="0"/>
                <w:kern w:val="22"/>
                <w:sz w:val="22"/>
                <w:szCs w:val="22"/>
                <w:lang w:val="es-ES"/>
              </w:rPr>
              <w:t xml:space="preserve">ORIGINAL: </w:t>
            </w:r>
            <w:r w:rsidR="008A53A2" w:rsidRPr="00C901E0">
              <w:rPr>
                <w:rFonts w:ascii="Times New Roman" w:hAnsi="Times New Roman" w:cs="Times New Roman"/>
                <w:snapToGrid w:val="0"/>
                <w:kern w:val="22"/>
                <w:sz w:val="22"/>
                <w:szCs w:val="22"/>
                <w:lang w:val="es-ES"/>
              </w:rPr>
              <w:t>I</w:t>
            </w:r>
            <w:r w:rsidR="0084107C" w:rsidRPr="00C901E0">
              <w:rPr>
                <w:rFonts w:ascii="Times New Roman" w:hAnsi="Times New Roman" w:cs="Times New Roman"/>
                <w:snapToGrid w:val="0"/>
                <w:kern w:val="22"/>
                <w:sz w:val="22"/>
                <w:szCs w:val="22"/>
                <w:lang w:val="es-ES"/>
              </w:rPr>
              <w:t>NGL</w:t>
            </w:r>
            <w:r w:rsidR="008A53A2" w:rsidRPr="00C901E0">
              <w:rPr>
                <w:rFonts w:ascii="Times New Roman" w:hAnsi="Times New Roman" w:cs="Times New Roman"/>
                <w:snapToGrid w:val="0"/>
                <w:kern w:val="22"/>
                <w:sz w:val="22"/>
                <w:szCs w:val="22"/>
                <w:lang w:val="es-ES"/>
              </w:rPr>
              <w:t>É</w:t>
            </w:r>
            <w:r w:rsidR="0084107C" w:rsidRPr="00C901E0">
              <w:rPr>
                <w:rFonts w:ascii="Times New Roman" w:hAnsi="Times New Roman" w:cs="Times New Roman"/>
                <w:snapToGrid w:val="0"/>
                <w:kern w:val="22"/>
                <w:sz w:val="22"/>
                <w:szCs w:val="22"/>
                <w:lang w:val="es-ES"/>
              </w:rPr>
              <w:t>S</w:t>
            </w:r>
          </w:p>
        </w:tc>
      </w:tr>
    </w:tbl>
    <w:p w:rsidR="00495B7A" w:rsidRPr="00C901E0" w:rsidRDefault="008A53A2" w:rsidP="006C3AD6">
      <w:pPr>
        <w:pStyle w:val="Cornernotation"/>
        <w:suppressLineNumbers/>
        <w:suppressAutoHyphens/>
        <w:kinsoku w:val="0"/>
        <w:overflowPunct w:val="0"/>
        <w:autoSpaceDE w:val="0"/>
        <w:autoSpaceDN w:val="0"/>
        <w:spacing w:before="60"/>
        <w:ind w:left="227" w:right="3780" w:hanging="227"/>
        <w:rPr>
          <w:rFonts w:cs="Times New Roman"/>
          <w:snapToGrid w:val="0"/>
          <w:kern w:val="22"/>
          <w:lang w:val="es-ES"/>
        </w:rPr>
      </w:pPr>
      <w:r w:rsidRPr="00C901E0">
        <w:rPr>
          <w:kern w:val="22"/>
          <w:lang w:val="es-ES"/>
        </w:rPr>
        <w:t>CONFERENCIA DE LAS PARTES EN EL CONVENIO SOBRE LA DIVERSIDAD BIOLÓGICA QUE ACTÚA COMO REUNIÓN DE LAS PARTES EN EL PROTOCOLO DE CARTAGENA SOBRE SEGURIDAD DE LA BIOTECNOLOGÍA</w:t>
      </w:r>
    </w:p>
    <w:p w:rsidR="008A53A2" w:rsidRPr="00C901E0" w:rsidRDefault="008A53A2" w:rsidP="008A53A2">
      <w:pPr>
        <w:pStyle w:val="Cornernotation"/>
        <w:suppressLineNumbers/>
        <w:suppressAutoHyphens/>
        <w:kinsoku w:val="0"/>
        <w:overflowPunct w:val="0"/>
        <w:autoSpaceDE w:val="0"/>
        <w:autoSpaceDN w:val="0"/>
        <w:ind w:left="0" w:right="4512" w:firstLine="0"/>
        <w:rPr>
          <w:kern w:val="22"/>
          <w:lang w:val="es-ES"/>
        </w:rPr>
      </w:pPr>
      <w:r w:rsidRPr="00C901E0">
        <w:rPr>
          <w:kern w:val="22"/>
          <w:lang w:val="es-ES"/>
        </w:rPr>
        <w:t>Novena reunión</w:t>
      </w:r>
    </w:p>
    <w:p w:rsidR="00495B7A" w:rsidRPr="00C901E0" w:rsidRDefault="008A53A2" w:rsidP="008A53A2">
      <w:pPr>
        <w:suppressLineNumbers/>
        <w:suppressAutoHyphens/>
        <w:kinsoku w:val="0"/>
        <w:overflowPunct w:val="0"/>
        <w:autoSpaceDE w:val="0"/>
        <w:autoSpaceDN w:val="0"/>
        <w:rPr>
          <w:snapToGrid w:val="0"/>
          <w:kern w:val="22"/>
          <w:sz w:val="22"/>
          <w:szCs w:val="22"/>
          <w:lang w:val="es-ES" w:eastAsia="nb-NO"/>
        </w:rPr>
      </w:pPr>
      <w:bookmarkStart w:id="1" w:name="_Hlk505863673"/>
      <w:r w:rsidRPr="00C901E0">
        <w:rPr>
          <w:kern w:val="22"/>
          <w:lang w:val="es-ES"/>
        </w:rPr>
        <w:t>Sharm el-Sheikh (Egipto), 17 a 29 de noviembre de 2018</w:t>
      </w:r>
      <w:bookmarkEnd w:id="1"/>
    </w:p>
    <w:bookmarkStart w:id="2" w:name="_Toc879810"/>
    <w:bookmarkStart w:id="3" w:name="_Hlk530374184"/>
    <w:p w:rsidR="006673D6" w:rsidRPr="00C901E0" w:rsidRDefault="009503AA" w:rsidP="006673D6">
      <w:pPr>
        <w:keepNext/>
        <w:spacing w:before="240" w:after="120"/>
        <w:jc w:val="center"/>
        <w:outlineLvl w:val="1"/>
        <w:rPr>
          <w:b/>
          <w:bCs/>
          <w:iCs/>
          <w:caps/>
          <w:snapToGrid w:val="0"/>
          <w:color w:val="000000"/>
          <w:kern w:val="22"/>
          <w:sz w:val="22"/>
          <w:szCs w:val="22"/>
          <w:lang w:val="es-ES"/>
        </w:rPr>
      </w:pPr>
      <w:sdt>
        <w:sdtPr>
          <w:rPr>
            <w:b/>
            <w:bCs/>
            <w:iCs/>
            <w:caps/>
            <w:snapToGrid w:val="0"/>
            <w:color w:val="000000"/>
            <w:kern w:val="22"/>
            <w:sz w:val="22"/>
            <w:szCs w:val="22"/>
            <w:lang w:val="es-ES"/>
          </w:rPr>
          <w:alias w:val="Title"/>
          <w:tag w:val=""/>
          <w:id w:val="448895407"/>
          <w:placeholder>
            <w:docPart w:val="9E8E2A4135FA43898FBCA955F7910517"/>
          </w:placeholder>
          <w:dataBinding w:prefixMappings="xmlns:ns0='http://purl.org/dc/elements/1.1/' xmlns:ns1='http://schemas.openxmlformats.org/package/2006/metadata/core-properties' " w:xpath="/ns1:coreProperties[1]/ns0:title[1]" w:storeItemID="{6C3C8BC8-F283-45AE-878A-BAB7291924A1}"/>
          <w:text/>
        </w:sdtPr>
        <w:sdtContent>
          <w:r w:rsidR="00271A59" w:rsidRPr="00C901E0">
            <w:rPr>
              <w:b/>
              <w:bCs/>
              <w:iCs/>
              <w:caps/>
              <w:snapToGrid w:val="0"/>
              <w:color w:val="000000"/>
              <w:kern w:val="22"/>
              <w:sz w:val="22"/>
              <w:szCs w:val="22"/>
              <w:lang w:val="es-ES"/>
            </w:rPr>
            <w:t xml:space="preserve">INFORMe </w:t>
          </w:r>
          <w:r w:rsidR="00271A59">
            <w:rPr>
              <w:b/>
              <w:bCs/>
              <w:iCs/>
              <w:caps/>
              <w:snapToGrid w:val="0"/>
              <w:color w:val="000000"/>
              <w:kern w:val="22"/>
              <w:sz w:val="22"/>
              <w:szCs w:val="22"/>
              <w:lang w:val="es-ES"/>
            </w:rPr>
            <w:t>D</w:t>
          </w:r>
          <w:r w:rsidR="00271A59" w:rsidRPr="003A04CD">
            <w:rPr>
              <w:b/>
              <w:bCs/>
              <w:iCs/>
              <w:caps/>
              <w:snapToGrid w:val="0"/>
              <w:color w:val="000000"/>
              <w:kern w:val="22"/>
              <w:sz w:val="22"/>
              <w:szCs w:val="22"/>
              <w:lang w:val="es-ES"/>
            </w:rPr>
            <w:t xml:space="preserve">E </w:t>
          </w:r>
          <w:r w:rsidR="00271A59">
            <w:rPr>
              <w:b/>
              <w:bCs/>
              <w:iCs/>
              <w:caps/>
              <w:snapToGrid w:val="0"/>
              <w:color w:val="000000"/>
              <w:kern w:val="22"/>
              <w:sz w:val="22"/>
              <w:szCs w:val="22"/>
              <w:lang w:val="es-ES"/>
            </w:rPr>
            <w:t>LA</w:t>
          </w:r>
          <w:r w:rsidR="00271A59" w:rsidRPr="003A04CD">
            <w:rPr>
              <w:b/>
              <w:bCs/>
              <w:iCs/>
              <w:caps/>
              <w:snapToGrid w:val="0"/>
              <w:color w:val="000000"/>
              <w:kern w:val="22"/>
              <w:sz w:val="22"/>
              <w:szCs w:val="22"/>
              <w:lang w:val="es-ES"/>
            </w:rPr>
            <w:t xml:space="preserve"> NOVENA REUNIÓN</w:t>
          </w:r>
          <w:r w:rsidR="00271A59">
            <w:rPr>
              <w:b/>
              <w:bCs/>
              <w:iCs/>
              <w:caps/>
              <w:snapToGrid w:val="0"/>
              <w:color w:val="000000"/>
              <w:kern w:val="22"/>
              <w:sz w:val="22"/>
              <w:szCs w:val="22"/>
              <w:lang w:val="es-ES"/>
            </w:rPr>
            <w:t xml:space="preserve"> de </w:t>
          </w:r>
          <w:r w:rsidR="00271A59" w:rsidRPr="00C901E0">
            <w:rPr>
              <w:b/>
              <w:bCs/>
              <w:iCs/>
              <w:caps/>
              <w:snapToGrid w:val="0"/>
              <w:color w:val="000000"/>
              <w:kern w:val="22"/>
              <w:sz w:val="22"/>
              <w:szCs w:val="22"/>
              <w:lang w:val="es-ES"/>
            </w:rPr>
            <w:t>LA ConferencIA De LAS Partes QUE ACTÚA</w:t>
          </w:r>
          <w:r w:rsidR="00271A59">
            <w:rPr>
              <w:b/>
              <w:bCs/>
              <w:iCs/>
              <w:caps/>
              <w:snapToGrid w:val="0"/>
              <w:color w:val="000000"/>
              <w:kern w:val="22"/>
              <w:sz w:val="22"/>
              <w:szCs w:val="22"/>
              <w:lang w:val="es-ES"/>
            </w:rPr>
            <w:t> </w:t>
          </w:r>
          <w:r w:rsidR="00271A59" w:rsidRPr="00C901E0">
            <w:rPr>
              <w:b/>
              <w:bCs/>
              <w:iCs/>
              <w:caps/>
              <w:snapToGrid w:val="0"/>
              <w:color w:val="000000"/>
              <w:kern w:val="22"/>
              <w:sz w:val="22"/>
              <w:szCs w:val="22"/>
              <w:lang w:val="es-ES"/>
            </w:rPr>
            <w:t>COMO REUNIÓN DE LAS PARTEs eN EL Protocolo DE CARTAGENA SOBRE</w:t>
          </w:r>
          <w:r w:rsidR="00271A59">
            <w:rPr>
              <w:b/>
              <w:bCs/>
              <w:iCs/>
              <w:caps/>
              <w:snapToGrid w:val="0"/>
              <w:color w:val="000000"/>
              <w:kern w:val="22"/>
              <w:sz w:val="22"/>
              <w:szCs w:val="22"/>
              <w:lang w:val="es-ES"/>
            </w:rPr>
            <w:t> </w:t>
          </w:r>
          <w:r w:rsidR="00271A59" w:rsidRPr="00C901E0">
            <w:rPr>
              <w:b/>
              <w:bCs/>
              <w:iCs/>
              <w:caps/>
              <w:snapToGrid w:val="0"/>
              <w:color w:val="000000"/>
              <w:kern w:val="22"/>
              <w:sz w:val="22"/>
              <w:szCs w:val="22"/>
              <w:lang w:val="es-ES"/>
            </w:rPr>
            <w:t>SEGURIDAD DE LA BioTeCNOLOGÍA</w:t>
          </w:r>
        </w:sdtContent>
      </w:sdt>
      <w:bookmarkEnd w:id="2"/>
    </w:p>
    <w:bookmarkEnd w:id="3"/>
    <w:p w:rsidR="00DE4366" w:rsidRPr="00C901E0" w:rsidRDefault="00DE4366">
      <w:pPr>
        <w:rPr>
          <w:lang w:val="es-ES"/>
        </w:rPr>
      </w:pPr>
    </w:p>
    <w:tbl>
      <w:tblPr>
        <w:tblStyle w:val="TableGrid"/>
        <w:tblW w:w="0" w:type="auto"/>
        <w:tblLook w:val="04A0"/>
      </w:tblPr>
      <w:tblGrid>
        <w:gridCol w:w="9452"/>
      </w:tblGrid>
      <w:tr w:rsidR="00DE4366" w:rsidRPr="00C901E0" w:rsidTr="00DE4366">
        <w:tc>
          <w:tcPr>
            <w:tcW w:w="9452" w:type="dxa"/>
          </w:tcPr>
          <w:p w:rsidR="00DE4366" w:rsidRPr="00C901E0" w:rsidRDefault="004F7FAA" w:rsidP="004F7FAA">
            <w:pPr>
              <w:spacing w:before="120" w:after="120"/>
              <w:ind w:firstLine="567"/>
              <w:jc w:val="both"/>
              <w:rPr>
                <w:rFonts w:ascii="Times New Roman" w:eastAsia="Malgun Gothic" w:hAnsi="Times New Roman"/>
                <w:sz w:val="22"/>
                <w:szCs w:val="22"/>
                <w:lang w:val="es-ES"/>
              </w:rPr>
            </w:pPr>
            <w:r w:rsidRPr="00C901E0">
              <w:rPr>
                <w:rFonts w:ascii="Times New Roman" w:eastAsia="Malgun Gothic" w:hAnsi="Times New Roman"/>
                <w:sz w:val="22"/>
                <w:szCs w:val="22"/>
                <w:lang w:val="es-ES"/>
              </w:rPr>
              <w:t xml:space="preserve">La Conferencia de las Partes en el Convenio sobre la Diversidad Biológica que actúa como reunión de las Partes en el Protocolo de Cartagena sobre Seguridad de la Biotecnología celebró su novena reunión en Sharm el-Sheikh (Egipto), del 17 al 29 de noviembre de 2018. </w:t>
            </w:r>
            <w:r w:rsidR="003D6979">
              <w:rPr>
                <w:rFonts w:ascii="Times New Roman" w:eastAsia="Malgun Gothic" w:hAnsi="Times New Roman"/>
                <w:sz w:val="22"/>
                <w:szCs w:val="22"/>
                <w:lang w:val="es-ES"/>
              </w:rPr>
              <w:t>En la reunión se ad</w:t>
            </w:r>
            <w:r w:rsidRPr="00C901E0">
              <w:rPr>
                <w:rFonts w:ascii="Times New Roman" w:eastAsia="Malgun Gothic" w:hAnsi="Times New Roman"/>
                <w:sz w:val="22"/>
                <w:szCs w:val="22"/>
                <w:lang w:val="es-ES"/>
              </w:rPr>
              <w:t>o</w:t>
            </w:r>
            <w:r w:rsidR="003D6979">
              <w:rPr>
                <w:rFonts w:ascii="Times New Roman" w:eastAsia="Malgun Gothic" w:hAnsi="Times New Roman"/>
                <w:sz w:val="22"/>
                <w:szCs w:val="22"/>
                <w:lang w:val="es-ES"/>
              </w:rPr>
              <w:t>ptaron</w:t>
            </w:r>
            <w:r w:rsidR="006B6104">
              <w:rPr>
                <w:rFonts w:ascii="Times New Roman" w:eastAsia="Malgun Gothic" w:hAnsi="Times New Roman"/>
                <w:sz w:val="22"/>
                <w:szCs w:val="22"/>
                <w:lang w:val="es-ES"/>
              </w:rPr>
              <w:t xml:space="preserve"> 16 decisiones</w:t>
            </w:r>
            <w:r w:rsidRPr="00C901E0">
              <w:rPr>
                <w:rFonts w:ascii="Times New Roman" w:eastAsia="Malgun Gothic" w:hAnsi="Times New Roman"/>
                <w:sz w:val="22"/>
                <w:szCs w:val="22"/>
                <w:lang w:val="es-ES"/>
              </w:rPr>
              <w:t xml:space="preserve"> que se transcriben en el capítulo I del presente informe</w:t>
            </w:r>
            <w:r w:rsidR="00DE4366" w:rsidRPr="00C901E0">
              <w:rPr>
                <w:rFonts w:ascii="Times New Roman" w:eastAsia="Malgun Gothic" w:hAnsi="Times New Roman"/>
                <w:sz w:val="22"/>
                <w:szCs w:val="22"/>
                <w:lang w:val="es-ES"/>
              </w:rPr>
              <w:t>.</w:t>
            </w:r>
          </w:p>
          <w:p w:rsidR="00DE4366" w:rsidRPr="00C901E0" w:rsidRDefault="004F7FAA" w:rsidP="00271A59">
            <w:pPr>
              <w:spacing w:before="120" w:after="120"/>
              <w:ind w:firstLine="567"/>
              <w:jc w:val="both"/>
              <w:rPr>
                <w:rFonts w:ascii="Times New Roman" w:hAnsi="Times New Roman"/>
                <w:sz w:val="22"/>
                <w:szCs w:val="22"/>
                <w:lang w:val="es-ES"/>
              </w:rPr>
            </w:pPr>
            <w:r w:rsidRPr="00C901E0">
              <w:rPr>
                <w:rFonts w:ascii="Times New Roman" w:eastAsia="Malgun Gothic" w:hAnsi="Times New Roman"/>
                <w:sz w:val="22"/>
                <w:szCs w:val="22"/>
                <w:lang w:val="es-ES"/>
              </w:rPr>
              <w:t>E</w:t>
            </w:r>
            <w:r w:rsidR="00271A59" w:rsidRPr="00C901E0">
              <w:rPr>
                <w:rFonts w:ascii="Times New Roman" w:eastAsia="Malgun Gothic" w:hAnsi="Times New Roman"/>
                <w:sz w:val="22"/>
                <w:szCs w:val="22"/>
                <w:lang w:val="es-ES"/>
              </w:rPr>
              <w:t xml:space="preserve">n el capítulo II del informe </w:t>
            </w:r>
            <w:r w:rsidR="00271A59">
              <w:rPr>
                <w:rFonts w:ascii="Times New Roman" w:eastAsia="Malgun Gothic" w:hAnsi="Times New Roman"/>
                <w:sz w:val="22"/>
                <w:szCs w:val="22"/>
                <w:lang w:val="es-ES"/>
              </w:rPr>
              <w:t xml:space="preserve">se brinda un </w:t>
            </w:r>
            <w:r w:rsidRPr="00C901E0">
              <w:rPr>
                <w:rFonts w:ascii="Times New Roman" w:eastAsia="Malgun Gothic" w:hAnsi="Times New Roman"/>
                <w:sz w:val="22"/>
                <w:szCs w:val="22"/>
                <w:lang w:val="es-ES"/>
              </w:rPr>
              <w:t>resumen de las deliberaciones de la reunión</w:t>
            </w:r>
            <w:r w:rsidR="00DE4366" w:rsidRPr="00C901E0">
              <w:rPr>
                <w:rFonts w:ascii="Times New Roman" w:eastAsia="Malgun Gothic" w:hAnsi="Times New Roman"/>
                <w:sz w:val="22"/>
                <w:szCs w:val="22"/>
                <w:lang w:val="es-ES"/>
              </w:rPr>
              <w:t>.</w:t>
            </w:r>
          </w:p>
        </w:tc>
      </w:tr>
    </w:tbl>
    <w:p w:rsidR="00DE4366" w:rsidRPr="00C901E0" w:rsidRDefault="00DE4366">
      <w:pPr>
        <w:rPr>
          <w:sz w:val="22"/>
          <w:szCs w:val="22"/>
          <w:lang w:val="es-ES"/>
        </w:rPr>
      </w:pPr>
    </w:p>
    <w:p w:rsidR="00376CED" w:rsidRPr="00C901E0" w:rsidRDefault="00376CED">
      <w:pPr>
        <w:rPr>
          <w:b/>
          <w:caps/>
          <w:lang w:val="es-ES"/>
        </w:rPr>
      </w:pPr>
      <w:r w:rsidRPr="00C901E0">
        <w:rPr>
          <w:lang w:val="es-ES"/>
        </w:rPr>
        <w:br w:type="page"/>
      </w:r>
    </w:p>
    <w:p w:rsidR="00B614A3" w:rsidRPr="00C901E0" w:rsidRDefault="000B1C16">
      <w:pPr>
        <w:rPr>
          <w:i/>
          <w:sz w:val="22"/>
          <w:szCs w:val="22"/>
          <w:lang w:val="es-ES"/>
        </w:rPr>
      </w:pPr>
      <w:r w:rsidRPr="00C901E0">
        <w:rPr>
          <w:i/>
          <w:sz w:val="22"/>
          <w:szCs w:val="22"/>
          <w:lang w:val="es-ES"/>
        </w:rPr>
        <w:lastRenderedPageBreak/>
        <w:t>Índice</w:t>
      </w:r>
    </w:p>
    <w:p w:rsidR="002C39AF" w:rsidRDefault="009503AA" w:rsidP="00916DF6">
      <w:pPr>
        <w:pStyle w:val="TOC1"/>
        <w:rPr>
          <w:rFonts w:asciiTheme="minorHAnsi" w:eastAsiaTheme="minorEastAsia" w:hAnsiTheme="minorHAnsi" w:cstheme="minorBidi"/>
          <w:lang w:val="es-UY" w:eastAsia="es-UY"/>
        </w:rPr>
      </w:pPr>
      <w:r w:rsidRPr="009503AA">
        <w:fldChar w:fldCharType="begin"/>
      </w:r>
      <w:r w:rsidR="00B614A3" w:rsidRPr="00C901E0">
        <w:instrText xml:space="preserve"> TOC \h \z \t "heading 2 - item,2,Dec-title one line,2,Heading I report,1,Heading 1 report,1,heading2-item,2" </w:instrText>
      </w:r>
      <w:r w:rsidRPr="009503AA">
        <w:fldChar w:fldCharType="separate"/>
      </w:r>
      <w:hyperlink w:anchor="_Toc5922073" w:history="1">
        <w:r w:rsidR="002C39AF" w:rsidRPr="008770F1">
          <w:rPr>
            <w:rStyle w:val="Hyperlink"/>
            <w:rFonts w:cs="Times New Roman"/>
            <w:lang w:val="es-ES"/>
          </w:rPr>
          <w:t>I.</w:t>
        </w:r>
        <w:r w:rsidR="002C39AF">
          <w:rPr>
            <w:rFonts w:asciiTheme="minorHAnsi" w:eastAsiaTheme="minorEastAsia" w:hAnsiTheme="minorHAnsi" w:cstheme="minorBidi"/>
            <w:lang w:val="es-UY" w:eastAsia="es-UY"/>
          </w:rPr>
          <w:tab/>
        </w:r>
        <w:r w:rsidR="00D716EE" w:rsidRPr="008770F1">
          <w:rPr>
            <w:rStyle w:val="Hyperlink"/>
            <w:rFonts w:cs="Times New Roman"/>
            <w:lang w:val="es-ES"/>
          </w:rPr>
          <w:t>DECISIONES</w:t>
        </w:r>
        <w:r w:rsidR="002C39AF">
          <w:rPr>
            <w:webHidden/>
          </w:rPr>
          <w:tab/>
        </w:r>
        <w:r>
          <w:rPr>
            <w:webHidden/>
          </w:rPr>
          <w:fldChar w:fldCharType="begin"/>
        </w:r>
        <w:r w:rsidR="002C39AF">
          <w:rPr>
            <w:webHidden/>
          </w:rPr>
          <w:instrText xml:space="preserve"> PAGEREF _Toc5922073 \h </w:instrText>
        </w:r>
        <w:r>
          <w:rPr>
            <w:webHidden/>
          </w:rPr>
        </w:r>
        <w:r>
          <w:rPr>
            <w:webHidden/>
          </w:rPr>
          <w:fldChar w:fldCharType="separate"/>
        </w:r>
        <w:r w:rsidR="00B6400C">
          <w:rPr>
            <w:webHidden/>
          </w:rPr>
          <w:t>4</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74" w:history="1">
        <w:r w:rsidR="002C39AF" w:rsidRPr="008770F1">
          <w:rPr>
            <w:rStyle w:val="Hyperlink"/>
            <w:snapToGrid w:val="0"/>
            <w:lang w:val="es-ES"/>
          </w:rPr>
          <w:t>9/1.</w:t>
        </w:r>
        <w:r w:rsidR="002C39AF">
          <w:rPr>
            <w:rFonts w:asciiTheme="minorHAnsi" w:eastAsiaTheme="minorEastAsia" w:hAnsiTheme="minorHAnsi" w:cstheme="minorBidi"/>
            <w:lang w:val="es-UY" w:eastAsia="es-UY"/>
          </w:rPr>
          <w:tab/>
        </w:r>
        <w:r w:rsidR="002C39AF" w:rsidRPr="008770F1">
          <w:rPr>
            <w:rStyle w:val="Hyperlink"/>
            <w:snapToGrid w:val="0"/>
            <w:lang w:val="es-ES"/>
          </w:rPr>
          <w:t>Cumplimiento</w:t>
        </w:r>
        <w:r w:rsidR="002C39AF">
          <w:rPr>
            <w:webHidden/>
          </w:rPr>
          <w:tab/>
        </w:r>
        <w:r>
          <w:rPr>
            <w:webHidden/>
          </w:rPr>
          <w:fldChar w:fldCharType="begin"/>
        </w:r>
        <w:r w:rsidR="002C39AF">
          <w:rPr>
            <w:webHidden/>
          </w:rPr>
          <w:instrText xml:space="preserve"> PAGEREF _Toc5922074 \h </w:instrText>
        </w:r>
        <w:r>
          <w:rPr>
            <w:webHidden/>
          </w:rPr>
        </w:r>
        <w:r>
          <w:rPr>
            <w:webHidden/>
          </w:rPr>
          <w:fldChar w:fldCharType="separate"/>
        </w:r>
        <w:r w:rsidR="00B6400C">
          <w:rPr>
            <w:webHidden/>
          </w:rPr>
          <w:t>4</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75" w:history="1">
        <w:r w:rsidR="002C39AF" w:rsidRPr="008770F1">
          <w:rPr>
            <w:rStyle w:val="Hyperlink"/>
            <w:lang w:val="es-ES"/>
          </w:rPr>
          <w:t>9/2.</w:t>
        </w:r>
        <w:r w:rsidR="002C39AF">
          <w:rPr>
            <w:rFonts w:asciiTheme="minorHAnsi" w:eastAsiaTheme="minorEastAsia" w:hAnsiTheme="minorHAnsi" w:cstheme="minorBidi"/>
            <w:lang w:val="es-UY" w:eastAsia="es-UY"/>
          </w:rPr>
          <w:tab/>
        </w:r>
        <w:r w:rsidR="002C39AF" w:rsidRPr="008770F1">
          <w:rPr>
            <w:rStyle w:val="Hyperlink"/>
            <w:lang w:val="es-ES"/>
          </w:rPr>
          <w:t xml:space="preserve">Funcionamiento y actividades del </w:t>
        </w:r>
        <w:r w:rsidR="000F338F">
          <w:rPr>
            <w:rStyle w:val="Hyperlink"/>
            <w:lang w:val="es-ES"/>
          </w:rPr>
          <w:t>C</w:t>
        </w:r>
        <w:r w:rsidR="002C39AF" w:rsidRPr="008770F1">
          <w:rPr>
            <w:rStyle w:val="Hyperlink"/>
            <w:lang w:val="es-ES"/>
          </w:rPr>
          <w:t xml:space="preserve">entro de </w:t>
        </w:r>
        <w:r w:rsidR="000F338F">
          <w:rPr>
            <w:rStyle w:val="Hyperlink"/>
            <w:lang w:val="es-ES"/>
          </w:rPr>
          <w:t>I</w:t>
        </w:r>
        <w:r w:rsidR="002C39AF" w:rsidRPr="008770F1">
          <w:rPr>
            <w:rStyle w:val="Hyperlink"/>
            <w:lang w:val="es-ES"/>
          </w:rPr>
          <w:t xml:space="preserve">ntercambio de </w:t>
        </w:r>
        <w:r w:rsidR="000F338F">
          <w:rPr>
            <w:rStyle w:val="Hyperlink"/>
            <w:lang w:val="es-ES"/>
          </w:rPr>
          <w:t>I</w:t>
        </w:r>
        <w:r w:rsidR="002C39AF" w:rsidRPr="008770F1">
          <w:rPr>
            <w:rStyle w:val="Hyperlink"/>
            <w:lang w:val="es-ES"/>
          </w:rPr>
          <w:t>nformación sobre</w:t>
        </w:r>
        <w:r w:rsidR="003D6979">
          <w:rPr>
            <w:rStyle w:val="Hyperlink"/>
            <w:lang w:val="es-ES"/>
          </w:rPr>
          <w:br w:type="textWrapping" w:clear="all"/>
        </w:r>
        <w:r w:rsidR="000F338F">
          <w:rPr>
            <w:rStyle w:val="Hyperlink"/>
            <w:lang w:val="es-ES"/>
          </w:rPr>
          <w:t>S</w:t>
        </w:r>
        <w:r w:rsidR="002C39AF" w:rsidRPr="008770F1">
          <w:rPr>
            <w:rStyle w:val="Hyperlink"/>
            <w:lang w:val="es-ES"/>
          </w:rPr>
          <w:t xml:space="preserve">eguridad de la </w:t>
        </w:r>
        <w:r w:rsidR="000F338F">
          <w:rPr>
            <w:rStyle w:val="Hyperlink"/>
            <w:lang w:val="es-ES"/>
          </w:rPr>
          <w:t>B</w:t>
        </w:r>
        <w:r w:rsidR="002C39AF" w:rsidRPr="008770F1">
          <w:rPr>
            <w:rStyle w:val="Hyperlink"/>
            <w:lang w:val="es-ES"/>
          </w:rPr>
          <w:t>iotecnología (artículo 20)</w:t>
        </w:r>
        <w:r w:rsidR="002C39AF">
          <w:rPr>
            <w:webHidden/>
          </w:rPr>
          <w:tab/>
        </w:r>
        <w:r>
          <w:rPr>
            <w:webHidden/>
          </w:rPr>
          <w:fldChar w:fldCharType="begin"/>
        </w:r>
        <w:r w:rsidR="002C39AF">
          <w:rPr>
            <w:webHidden/>
          </w:rPr>
          <w:instrText xml:space="preserve"> PAGEREF _Toc5922075 \h </w:instrText>
        </w:r>
        <w:r>
          <w:rPr>
            <w:webHidden/>
          </w:rPr>
        </w:r>
        <w:r>
          <w:rPr>
            <w:webHidden/>
          </w:rPr>
          <w:fldChar w:fldCharType="separate"/>
        </w:r>
        <w:r w:rsidR="00B6400C">
          <w:rPr>
            <w:webHidden/>
          </w:rPr>
          <w:t>6</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76" w:history="1">
        <w:r w:rsidR="002C39AF" w:rsidRPr="008770F1">
          <w:rPr>
            <w:rStyle w:val="Hyperlink"/>
            <w:lang w:val="es-ES"/>
          </w:rPr>
          <w:t>9/3.</w:t>
        </w:r>
        <w:r w:rsidR="002C39AF">
          <w:rPr>
            <w:rFonts w:asciiTheme="minorHAnsi" w:eastAsiaTheme="minorEastAsia" w:hAnsiTheme="minorHAnsi" w:cstheme="minorBidi"/>
            <w:lang w:val="es-UY" w:eastAsia="es-UY"/>
          </w:rPr>
          <w:tab/>
        </w:r>
        <w:r w:rsidR="002C39AF" w:rsidRPr="008770F1">
          <w:rPr>
            <w:rStyle w:val="Hyperlink"/>
            <w:lang w:val="es-ES"/>
          </w:rPr>
          <w:t>Creación de capacidad (artículo 22)</w:t>
        </w:r>
        <w:r w:rsidR="002C39AF">
          <w:rPr>
            <w:webHidden/>
          </w:rPr>
          <w:tab/>
        </w:r>
        <w:r>
          <w:rPr>
            <w:webHidden/>
          </w:rPr>
          <w:fldChar w:fldCharType="begin"/>
        </w:r>
        <w:r w:rsidR="002C39AF">
          <w:rPr>
            <w:webHidden/>
          </w:rPr>
          <w:instrText xml:space="preserve"> PAGEREF _Toc5922076 \h </w:instrText>
        </w:r>
        <w:r>
          <w:rPr>
            <w:webHidden/>
          </w:rPr>
        </w:r>
        <w:r>
          <w:rPr>
            <w:webHidden/>
          </w:rPr>
          <w:fldChar w:fldCharType="separate"/>
        </w:r>
        <w:r w:rsidR="00B6400C">
          <w:rPr>
            <w:webHidden/>
          </w:rPr>
          <w:t>8</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77" w:history="1">
        <w:r w:rsidR="002C39AF" w:rsidRPr="008770F1">
          <w:rPr>
            <w:rStyle w:val="Hyperlink"/>
            <w:lang w:val="es-ES"/>
          </w:rPr>
          <w:t>9/4.</w:t>
        </w:r>
        <w:r w:rsidR="002C39AF">
          <w:rPr>
            <w:rFonts w:asciiTheme="minorHAnsi" w:eastAsiaTheme="minorEastAsia" w:hAnsiTheme="minorHAnsi" w:cstheme="minorBidi"/>
            <w:lang w:val="es-UY" w:eastAsia="es-UY"/>
          </w:rPr>
          <w:tab/>
        </w:r>
        <w:r w:rsidR="002C39AF" w:rsidRPr="008770F1">
          <w:rPr>
            <w:rStyle w:val="Hyperlink"/>
            <w:lang w:val="es-ES"/>
          </w:rPr>
          <w:t>Asuntos relacionados con el mecanismo financiero y los recursos financieros</w:t>
        </w:r>
        <w:r w:rsidR="003D6979">
          <w:rPr>
            <w:rStyle w:val="Hyperlink"/>
            <w:lang w:val="es-ES"/>
          </w:rPr>
          <w:br w:type="textWrapping" w:clear="all"/>
        </w:r>
        <w:r w:rsidR="002C39AF" w:rsidRPr="008770F1">
          <w:rPr>
            <w:rStyle w:val="Hyperlink"/>
            <w:caps/>
            <w:lang w:val="es-ES"/>
          </w:rPr>
          <w:t>(</w:t>
        </w:r>
        <w:r w:rsidR="002C39AF" w:rsidRPr="008770F1">
          <w:rPr>
            <w:rStyle w:val="Hyperlink"/>
            <w:lang w:val="es-ES"/>
          </w:rPr>
          <w:t>artículo</w:t>
        </w:r>
        <w:r w:rsidR="002C39AF" w:rsidRPr="008770F1">
          <w:rPr>
            <w:rStyle w:val="Hyperlink"/>
            <w:caps/>
            <w:lang w:val="es-ES"/>
          </w:rPr>
          <w:t xml:space="preserve"> 28)</w:t>
        </w:r>
        <w:r w:rsidR="002C39AF">
          <w:rPr>
            <w:webHidden/>
          </w:rPr>
          <w:tab/>
        </w:r>
        <w:r>
          <w:rPr>
            <w:webHidden/>
          </w:rPr>
          <w:fldChar w:fldCharType="begin"/>
        </w:r>
        <w:r w:rsidR="002C39AF">
          <w:rPr>
            <w:webHidden/>
          </w:rPr>
          <w:instrText xml:space="preserve"> PAGEREF _Toc5922077 \h </w:instrText>
        </w:r>
        <w:r>
          <w:rPr>
            <w:webHidden/>
          </w:rPr>
        </w:r>
        <w:r>
          <w:rPr>
            <w:webHidden/>
          </w:rPr>
          <w:fldChar w:fldCharType="separate"/>
        </w:r>
        <w:r w:rsidR="00B6400C">
          <w:rPr>
            <w:webHidden/>
          </w:rPr>
          <w:t>11</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78" w:history="1">
        <w:r w:rsidR="002C39AF" w:rsidRPr="008770F1">
          <w:rPr>
            <w:rStyle w:val="Hyperlink"/>
            <w:lang w:val="es-ES"/>
          </w:rPr>
          <w:t>9/5.</w:t>
        </w:r>
        <w:r w:rsidR="002C39AF">
          <w:rPr>
            <w:rFonts w:asciiTheme="minorHAnsi" w:eastAsiaTheme="minorEastAsia" w:hAnsiTheme="minorHAnsi" w:cstheme="minorBidi"/>
            <w:lang w:val="es-UY" w:eastAsia="es-UY"/>
          </w:rPr>
          <w:tab/>
        </w:r>
        <w:r w:rsidR="002C39AF" w:rsidRPr="008770F1">
          <w:rPr>
            <w:rStyle w:val="Hyperlink"/>
            <w:lang w:val="es-ES"/>
          </w:rPr>
          <w:t>Vigilancia y presentación de informes (artículo 33)</w:t>
        </w:r>
        <w:r w:rsidR="002C39AF">
          <w:rPr>
            <w:webHidden/>
          </w:rPr>
          <w:tab/>
        </w:r>
        <w:r>
          <w:rPr>
            <w:webHidden/>
          </w:rPr>
          <w:fldChar w:fldCharType="begin"/>
        </w:r>
        <w:r w:rsidR="002C39AF">
          <w:rPr>
            <w:webHidden/>
          </w:rPr>
          <w:instrText xml:space="preserve"> PAGEREF _Toc5922078 \h </w:instrText>
        </w:r>
        <w:r>
          <w:rPr>
            <w:webHidden/>
          </w:rPr>
        </w:r>
        <w:r>
          <w:rPr>
            <w:webHidden/>
          </w:rPr>
          <w:fldChar w:fldCharType="separate"/>
        </w:r>
        <w:r w:rsidR="00B6400C">
          <w:rPr>
            <w:webHidden/>
          </w:rPr>
          <w:t>12</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79" w:history="1">
        <w:r w:rsidR="002C39AF" w:rsidRPr="008770F1">
          <w:rPr>
            <w:rStyle w:val="Hyperlink"/>
            <w:lang w:val="es-ES"/>
          </w:rPr>
          <w:t>9/6.</w:t>
        </w:r>
        <w:r w:rsidR="002C39AF">
          <w:rPr>
            <w:rFonts w:asciiTheme="minorHAnsi" w:eastAsiaTheme="minorEastAsia" w:hAnsiTheme="minorHAnsi" w:cstheme="minorBidi"/>
            <w:lang w:val="es-UY" w:eastAsia="es-UY"/>
          </w:rPr>
          <w:tab/>
        </w:r>
        <w:r w:rsidR="002C39AF" w:rsidRPr="008770F1">
          <w:rPr>
            <w:rStyle w:val="Hyperlink"/>
            <w:lang w:val="es-ES"/>
          </w:rPr>
          <w:t xml:space="preserve">Evaluación y revisión del </w:t>
        </w:r>
        <w:r w:rsidR="000F338F">
          <w:rPr>
            <w:rStyle w:val="Hyperlink"/>
            <w:lang w:val="es-ES"/>
          </w:rPr>
          <w:t>P</w:t>
        </w:r>
        <w:r w:rsidR="002C39AF" w:rsidRPr="008770F1">
          <w:rPr>
            <w:rStyle w:val="Hyperlink"/>
            <w:lang w:val="es-ES"/>
          </w:rPr>
          <w:t xml:space="preserve">rotocolo de </w:t>
        </w:r>
        <w:r w:rsidR="000F338F">
          <w:rPr>
            <w:rStyle w:val="Hyperlink"/>
            <w:lang w:val="es-ES"/>
          </w:rPr>
          <w:t>C</w:t>
        </w:r>
        <w:r w:rsidR="002C39AF" w:rsidRPr="008770F1">
          <w:rPr>
            <w:rStyle w:val="Hyperlink"/>
            <w:lang w:val="es-ES"/>
          </w:rPr>
          <w:t xml:space="preserve">artagena sobre </w:t>
        </w:r>
        <w:r w:rsidR="000F338F">
          <w:rPr>
            <w:rStyle w:val="Hyperlink"/>
            <w:lang w:val="es-ES"/>
          </w:rPr>
          <w:t>S</w:t>
        </w:r>
        <w:r w:rsidR="002C39AF" w:rsidRPr="008770F1">
          <w:rPr>
            <w:rStyle w:val="Hyperlink"/>
            <w:lang w:val="es-ES"/>
          </w:rPr>
          <w:t xml:space="preserve">eguridad de la </w:t>
        </w:r>
        <w:r w:rsidR="000F338F">
          <w:rPr>
            <w:rStyle w:val="Hyperlink"/>
            <w:lang w:val="es-ES"/>
          </w:rPr>
          <w:t>B</w:t>
        </w:r>
        <w:r w:rsidR="002C39AF" w:rsidRPr="008770F1">
          <w:rPr>
            <w:rStyle w:val="Hyperlink"/>
            <w:lang w:val="es-ES"/>
          </w:rPr>
          <w:t>iotecnología (artículo 35)</w:t>
        </w:r>
        <w:r w:rsidR="002C39AF">
          <w:rPr>
            <w:webHidden/>
          </w:rPr>
          <w:tab/>
        </w:r>
        <w:r>
          <w:rPr>
            <w:webHidden/>
          </w:rPr>
          <w:fldChar w:fldCharType="begin"/>
        </w:r>
        <w:r w:rsidR="002C39AF">
          <w:rPr>
            <w:webHidden/>
          </w:rPr>
          <w:instrText xml:space="preserve"> PAGEREF _Toc5922079 \h </w:instrText>
        </w:r>
        <w:r>
          <w:rPr>
            <w:webHidden/>
          </w:rPr>
        </w:r>
        <w:r>
          <w:rPr>
            <w:webHidden/>
          </w:rPr>
          <w:fldChar w:fldCharType="separate"/>
        </w:r>
        <w:r w:rsidR="00B6400C">
          <w:rPr>
            <w:webHidden/>
          </w:rPr>
          <w:t>43</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0" w:history="1">
        <w:r w:rsidR="002C39AF" w:rsidRPr="008770F1">
          <w:rPr>
            <w:rStyle w:val="Hyperlink"/>
            <w:lang w:val="es-ES"/>
          </w:rPr>
          <w:t>9/7.</w:t>
        </w:r>
        <w:r w:rsidR="002C39AF">
          <w:rPr>
            <w:rFonts w:asciiTheme="minorHAnsi" w:eastAsiaTheme="minorEastAsia" w:hAnsiTheme="minorHAnsi" w:cstheme="minorBidi"/>
            <w:lang w:val="es-UY" w:eastAsia="es-UY"/>
          </w:rPr>
          <w:tab/>
        </w:r>
        <w:r w:rsidR="002C39AF" w:rsidRPr="008770F1">
          <w:rPr>
            <w:rStyle w:val="Hyperlink"/>
            <w:lang w:val="es-ES"/>
          </w:rPr>
          <w:t xml:space="preserve">Preparación para los instrumentos que sucederán al </w:t>
        </w:r>
        <w:r w:rsidR="000F338F">
          <w:rPr>
            <w:rStyle w:val="Hyperlink"/>
            <w:lang w:val="es-ES"/>
          </w:rPr>
          <w:t>P</w:t>
        </w:r>
        <w:r w:rsidR="002C39AF" w:rsidRPr="008770F1">
          <w:rPr>
            <w:rStyle w:val="Hyperlink"/>
            <w:lang w:val="es-ES"/>
          </w:rPr>
          <w:t xml:space="preserve">lan </w:t>
        </w:r>
        <w:r w:rsidR="000F338F">
          <w:rPr>
            <w:rStyle w:val="Hyperlink"/>
            <w:lang w:val="es-ES"/>
          </w:rPr>
          <w:t>E</w:t>
        </w:r>
        <w:r w:rsidR="002C39AF" w:rsidRPr="008770F1">
          <w:rPr>
            <w:rStyle w:val="Hyperlink"/>
            <w:lang w:val="es-ES"/>
          </w:rPr>
          <w:t xml:space="preserve">stratégico para la </w:t>
        </w:r>
        <w:r w:rsidR="000F338F">
          <w:rPr>
            <w:rStyle w:val="Hyperlink"/>
            <w:lang w:val="es-ES"/>
          </w:rPr>
          <w:t>D</w:t>
        </w:r>
        <w:r w:rsidR="002C39AF" w:rsidRPr="008770F1">
          <w:rPr>
            <w:rStyle w:val="Hyperlink"/>
            <w:lang w:val="es-ES"/>
          </w:rPr>
          <w:t xml:space="preserve">iversidad </w:t>
        </w:r>
        <w:r w:rsidR="000F338F">
          <w:rPr>
            <w:rStyle w:val="Hyperlink"/>
            <w:lang w:val="es-ES"/>
          </w:rPr>
          <w:t>B</w:t>
        </w:r>
        <w:r w:rsidR="002C39AF" w:rsidRPr="008770F1">
          <w:rPr>
            <w:rStyle w:val="Hyperlink"/>
            <w:lang w:val="es-ES"/>
          </w:rPr>
          <w:t xml:space="preserve">iológica 2011-2020 y al </w:t>
        </w:r>
        <w:r w:rsidR="000F338F">
          <w:rPr>
            <w:rStyle w:val="Hyperlink"/>
            <w:lang w:val="es-ES"/>
          </w:rPr>
          <w:t>P</w:t>
        </w:r>
        <w:r w:rsidR="002C39AF" w:rsidRPr="008770F1">
          <w:rPr>
            <w:rStyle w:val="Hyperlink"/>
            <w:lang w:val="es-ES"/>
          </w:rPr>
          <w:t xml:space="preserve">lan </w:t>
        </w:r>
        <w:r w:rsidR="000F338F">
          <w:rPr>
            <w:rStyle w:val="Hyperlink"/>
            <w:lang w:val="es-ES"/>
          </w:rPr>
          <w:t>E</w:t>
        </w:r>
        <w:r w:rsidR="002C39AF" w:rsidRPr="008770F1">
          <w:rPr>
            <w:rStyle w:val="Hyperlink"/>
            <w:lang w:val="es-ES"/>
          </w:rPr>
          <w:t xml:space="preserve">stratégico para el </w:t>
        </w:r>
        <w:r w:rsidR="000F338F">
          <w:rPr>
            <w:rStyle w:val="Hyperlink"/>
            <w:lang w:val="es-ES"/>
          </w:rPr>
          <w:t>P</w:t>
        </w:r>
        <w:r w:rsidR="002C39AF" w:rsidRPr="008770F1">
          <w:rPr>
            <w:rStyle w:val="Hyperlink"/>
            <w:lang w:val="es-ES"/>
          </w:rPr>
          <w:t xml:space="preserve">rotocolo de </w:t>
        </w:r>
        <w:r w:rsidR="000F338F">
          <w:rPr>
            <w:rStyle w:val="Hyperlink"/>
            <w:lang w:val="es-ES"/>
          </w:rPr>
          <w:t>C</w:t>
        </w:r>
        <w:r w:rsidR="002C39AF" w:rsidRPr="008770F1">
          <w:rPr>
            <w:rStyle w:val="Hyperlink"/>
            <w:lang w:val="es-ES"/>
          </w:rPr>
          <w:t xml:space="preserve">artagena sobre </w:t>
        </w:r>
        <w:r w:rsidR="000F338F">
          <w:rPr>
            <w:rStyle w:val="Hyperlink"/>
            <w:lang w:val="es-ES"/>
          </w:rPr>
          <w:t>S</w:t>
        </w:r>
        <w:r w:rsidR="002C39AF" w:rsidRPr="008770F1">
          <w:rPr>
            <w:rStyle w:val="Hyperlink"/>
            <w:lang w:val="es-ES"/>
          </w:rPr>
          <w:t>eguridad de</w:t>
        </w:r>
        <w:r w:rsidR="000F338F">
          <w:t> </w:t>
        </w:r>
        <w:r w:rsidR="002C39AF" w:rsidRPr="008770F1">
          <w:rPr>
            <w:rStyle w:val="Hyperlink"/>
            <w:lang w:val="es-ES"/>
          </w:rPr>
          <w:t xml:space="preserve">la </w:t>
        </w:r>
        <w:r w:rsidR="000F338F">
          <w:rPr>
            <w:rStyle w:val="Hyperlink"/>
            <w:lang w:val="es-ES"/>
          </w:rPr>
          <w:t>B</w:t>
        </w:r>
        <w:r w:rsidR="002C39AF" w:rsidRPr="008770F1">
          <w:rPr>
            <w:rStyle w:val="Hyperlink"/>
            <w:lang w:val="es-ES"/>
          </w:rPr>
          <w:t>iotecnología en el período 2011-2020</w:t>
        </w:r>
        <w:r w:rsidR="002C39AF">
          <w:rPr>
            <w:webHidden/>
          </w:rPr>
          <w:tab/>
        </w:r>
        <w:r>
          <w:rPr>
            <w:webHidden/>
          </w:rPr>
          <w:fldChar w:fldCharType="begin"/>
        </w:r>
        <w:r w:rsidR="002C39AF">
          <w:rPr>
            <w:webHidden/>
          </w:rPr>
          <w:instrText xml:space="preserve"> PAGEREF _Toc5922080 \h </w:instrText>
        </w:r>
        <w:r>
          <w:rPr>
            <w:webHidden/>
          </w:rPr>
        </w:r>
        <w:r>
          <w:rPr>
            <w:webHidden/>
          </w:rPr>
          <w:fldChar w:fldCharType="separate"/>
        </w:r>
        <w:r w:rsidR="00B6400C">
          <w:rPr>
            <w:webHidden/>
          </w:rPr>
          <w:t>44</w:t>
        </w:r>
        <w:r>
          <w:rPr>
            <w:webHidden/>
          </w:rPr>
          <w:fldChar w:fldCharType="end"/>
        </w:r>
      </w:hyperlink>
    </w:p>
    <w:p w:rsidR="002C39AF" w:rsidRDefault="009503AA" w:rsidP="00B6400C">
      <w:pPr>
        <w:pStyle w:val="TOC2"/>
        <w:tabs>
          <w:tab w:val="clear" w:pos="993"/>
          <w:tab w:val="clear" w:pos="9360"/>
          <w:tab w:val="left" w:pos="709"/>
          <w:tab w:val="left" w:pos="1276"/>
          <w:tab w:val="right" w:leader="dot" w:pos="9356"/>
        </w:tabs>
        <w:ind w:left="1276" w:hanging="567"/>
        <w:rPr>
          <w:rFonts w:asciiTheme="minorHAnsi" w:eastAsiaTheme="minorEastAsia" w:hAnsiTheme="minorHAnsi" w:cstheme="minorBidi"/>
          <w:lang w:val="es-UY" w:eastAsia="es-UY"/>
        </w:rPr>
      </w:pPr>
      <w:hyperlink w:anchor="_Toc5922081" w:history="1">
        <w:r w:rsidR="002C39AF" w:rsidRPr="008770F1">
          <w:rPr>
            <w:rStyle w:val="Hyperlink"/>
            <w:lang w:val="es-ES"/>
          </w:rPr>
          <w:t>9/8.</w:t>
        </w:r>
        <w:r w:rsidR="002C39AF">
          <w:rPr>
            <w:rFonts w:asciiTheme="minorHAnsi" w:eastAsiaTheme="minorEastAsia" w:hAnsiTheme="minorHAnsi" w:cstheme="minorBidi"/>
            <w:lang w:val="es-UY" w:eastAsia="es-UY"/>
          </w:rPr>
          <w:tab/>
        </w:r>
        <w:r w:rsidR="002C39AF" w:rsidRPr="008770F1">
          <w:rPr>
            <w:rStyle w:val="Hyperlink"/>
            <w:lang w:val="es-ES"/>
          </w:rPr>
          <w:t>Examen de la experiencia en la celebración de reuniones concurrentes de la</w:t>
        </w:r>
        <w:r w:rsidR="000F338F">
          <w:rPr>
            <w:rStyle w:val="Hyperlink"/>
            <w:lang w:val="es-ES"/>
          </w:rPr>
          <w:t xml:space="preserve"> C</w:t>
        </w:r>
        <w:r w:rsidR="002C39AF" w:rsidRPr="008770F1">
          <w:rPr>
            <w:rStyle w:val="Hyperlink"/>
            <w:lang w:val="es-ES"/>
          </w:rPr>
          <w:t>onferencia de las</w:t>
        </w:r>
        <w:r w:rsidR="000F338F">
          <w:t> </w:t>
        </w:r>
        <w:r w:rsidR="000F338F">
          <w:rPr>
            <w:rStyle w:val="Hyperlink"/>
            <w:lang w:val="es-ES"/>
          </w:rPr>
          <w:t>P</w:t>
        </w:r>
        <w:r w:rsidR="002C39AF" w:rsidRPr="008770F1">
          <w:rPr>
            <w:rStyle w:val="Hyperlink"/>
            <w:lang w:val="es-ES"/>
          </w:rPr>
          <w:t xml:space="preserve">artes en el </w:t>
        </w:r>
        <w:r w:rsidR="000F338F">
          <w:rPr>
            <w:rStyle w:val="Hyperlink"/>
            <w:lang w:val="es-ES"/>
          </w:rPr>
          <w:t>C</w:t>
        </w:r>
        <w:r w:rsidR="002C39AF" w:rsidRPr="008770F1">
          <w:rPr>
            <w:rStyle w:val="Hyperlink"/>
            <w:lang w:val="es-ES"/>
          </w:rPr>
          <w:t xml:space="preserve">onvenio, la </w:t>
        </w:r>
        <w:r w:rsidR="000F338F">
          <w:rPr>
            <w:rStyle w:val="Hyperlink"/>
            <w:lang w:val="es-ES"/>
          </w:rPr>
          <w:t>C</w:t>
        </w:r>
        <w:r w:rsidR="002C39AF" w:rsidRPr="008770F1">
          <w:rPr>
            <w:rStyle w:val="Hyperlink"/>
            <w:lang w:val="es-ES"/>
          </w:rPr>
          <w:t xml:space="preserve">onferencia de las </w:t>
        </w:r>
        <w:r w:rsidR="000F338F">
          <w:rPr>
            <w:rStyle w:val="Hyperlink"/>
            <w:lang w:val="es-ES"/>
          </w:rPr>
          <w:t>P</w:t>
        </w:r>
        <w:r w:rsidR="002C39AF" w:rsidRPr="008770F1">
          <w:rPr>
            <w:rStyle w:val="Hyperlink"/>
            <w:lang w:val="es-ES"/>
          </w:rPr>
          <w:t xml:space="preserve">artes que actúa como reunión de las </w:t>
        </w:r>
        <w:r w:rsidR="000F338F">
          <w:rPr>
            <w:rStyle w:val="Hyperlink"/>
            <w:lang w:val="es-ES"/>
          </w:rPr>
          <w:t>P</w:t>
        </w:r>
        <w:r w:rsidR="002C39AF" w:rsidRPr="008770F1">
          <w:rPr>
            <w:rStyle w:val="Hyperlink"/>
            <w:lang w:val="es-ES"/>
          </w:rPr>
          <w:t>artes en</w:t>
        </w:r>
        <w:r w:rsidR="000F338F">
          <w:rPr>
            <w:rStyle w:val="Hyperlink"/>
            <w:lang w:val="es-ES"/>
          </w:rPr>
          <w:t> </w:t>
        </w:r>
        <w:r w:rsidR="002C39AF" w:rsidRPr="008770F1">
          <w:rPr>
            <w:rStyle w:val="Hyperlink"/>
            <w:lang w:val="es-ES"/>
          </w:rPr>
          <w:t xml:space="preserve">el </w:t>
        </w:r>
        <w:r w:rsidR="000F338F">
          <w:rPr>
            <w:rStyle w:val="Hyperlink"/>
            <w:lang w:val="es-ES"/>
          </w:rPr>
          <w:t>P</w:t>
        </w:r>
        <w:r w:rsidR="002C39AF" w:rsidRPr="008770F1">
          <w:rPr>
            <w:rStyle w:val="Hyperlink"/>
            <w:lang w:val="es-ES"/>
          </w:rPr>
          <w:t xml:space="preserve">rotocolo de </w:t>
        </w:r>
        <w:r w:rsidR="000F338F">
          <w:rPr>
            <w:rStyle w:val="Hyperlink"/>
            <w:lang w:val="es-ES"/>
          </w:rPr>
          <w:t>C</w:t>
        </w:r>
        <w:r w:rsidR="002C39AF" w:rsidRPr="008770F1">
          <w:rPr>
            <w:rStyle w:val="Hyperlink"/>
            <w:lang w:val="es-ES"/>
          </w:rPr>
          <w:t xml:space="preserve">artagena y la </w:t>
        </w:r>
        <w:r w:rsidR="000F338F">
          <w:rPr>
            <w:rStyle w:val="Hyperlink"/>
            <w:lang w:val="es-ES"/>
          </w:rPr>
          <w:t>C</w:t>
        </w:r>
        <w:r w:rsidR="002C39AF" w:rsidRPr="008770F1">
          <w:rPr>
            <w:rStyle w:val="Hyperlink"/>
            <w:lang w:val="es-ES"/>
          </w:rPr>
          <w:t xml:space="preserve">onferencia de las </w:t>
        </w:r>
        <w:r w:rsidR="000F338F">
          <w:rPr>
            <w:rStyle w:val="Hyperlink"/>
            <w:lang w:val="es-ES"/>
          </w:rPr>
          <w:t>P</w:t>
        </w:r>
        <w:r w:rsidR="002C39AF" w:rsidRPr="008770F1">
          <w:rPr>
            <w:rStyle w:val="Hyperlink"/>
            <w:lang w:val="es-ES"/>
          </w:rPr>
          <w:t xml:space="preserve">artes que actúa como reunión de las </w:t>
        </w:r>
        <w:r w:rsidR="000F338F">
          <w:rPr>
            <w:rStyle w:val="Hyperlink"/>
            <w:lang w:val="es-ES"/>
          </w:rPr>
          <w:t>P</w:t>
        </w:r>
        <w:r w:rsidR="002C39AF" w:rsidRPr="008770F1">
          <w:rPr>
            <w:rStyle w:val="Hyperlink"/>
            <w:lang w:val="es-ES"/>
          </w:rPr>
          <w:t xml:space="preserve">artes en el </w:t>
        </w:r>
        <w:r w:rsidR="000F338F">
          <w:rPr>
            <w:rStyle w:val="Hyperlink"/>
            <w:lang w:val="es-ES"/>
          </w:rPr>
          <w:t>P</w:t>
        </w:r>
        <w:r w:rsidR="002C39AF" w:rsidRPr="008770F1">
          <w:rPr>
            <w:rStyle w:val="Hyperlink"/>
            <w:lang w:val="es-ES"/>
          </w:rPr>
          <w:t xml:space="preserve">rotocolo de </w:t>
        </w:r>
        <w:r w:rsidR="000F338F">
          <w:rPr>
            <w:rStyle w:val="Hyperlink"/>
            <w:lang w:val="es-ES"/>
          </w:rPr>
          <w:t>N</w:t>
        </w:r>
        <w:r w:rsidR="002C39AF" w:rsidRPr="008770F1">
          <w:rPr>
            <w:rStyle w:val="Hyperlink"/>
            <w:lang w:val="es-ES"/>
          </w:rPr>
          <w:t>agoya</w:t>
        </w:r>
        <w:r w:rsidR="002C39AF">
          <w:rPr>
            <w:webHidden/>
          </w:rPr>
          <w:tab/>
        </w:r>
        <w:r>
          <w:rPr>
            <w:webHidden/>
          </w:rPr>
          <w:fldChar w:fldCharType="begin"/>
        </w:r>
        <w:r w:rsidR="002C39AF">
          <w:rPr>
            <w:webHidden/>
          </w:rPr>
          <w:instrText xml:space="preserve"> PAGEREF _Toc5922081 \h </w:instrText>
        </w:r>
        <w:r>
          <w:rPr>
            <w:webHidden/>
          </w:rPr>
        </w:r>
        <w:r>
          <w:rPr>
            <w:webHidden/>
          </w:rPr>
          <w:fldChar w:fldCharType="separate"/>
        </w:r>
        <w:r w:rsidR="00B6400C">
          <w:rPr>
            <w:webHidden/>
          </w:rPr>
          <w:t>47</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2" w:history="1">
        <w:r w:rsidR="002C39AF" w:rsidRPr="008770F1">
          <w:rPr>
            <w:rStyle w:val="Hyperlink"/>
            <w:lang w:val="es-ES"/>
          </w:rPr>
          <w:t>9/9.</w:t>
        </w:r>
        <w:r w:rsidR="002C39AF">
          <w:rPr>
            <w:rFonts w:asciiTheme="minorHAnsi" w:eastAsiaTheme="minorEastAsia" w:hAnsiTheme="minorHAnsi" w:cstheme="minorBidi"/>
            <w:lang w:val="es-UY" w:eastAsia="es-UY"/>
          </w:rPr>
          <w:tab/>
        </w:r>
        <w:r w:rsidR="002C39AF" w:rsidRPr="008770F1">
          <w:rPr>
            <w:rStyle w:val="Hyperlink"/>
            <w:lang w:val="es-ES"/>
          </w:rPr>
          <w:t xml:space="preserve">Mayor integración en el marco del </w:t>
        </w:r>
        <w:r w:rsidR="000F338F">
          <w:rPr>
            <w:rStyle w:val="Hyperlink"/>
            <w:lang w:val="es-ES"/>
          </w:rPr>
          <w:t>C</w:t>
        </w:r>
        <w:r w:rsidR="002C39AF" w:rsidRPr="008770F1">
          <w:rPr>
            <w:rStyle w:val="Hyperlink"/>
            <w:lang w:val="es-ES"/>
          </w:rPr>
          <w:t xml:space="preserve">onvenio y sus </w:t>
        </w:r>
        <w:r w:rsidR="000F338F">
          <w:rPr>
            <w:rStyle w:val="Hyperlink"/>
            <w:lang w:val="es-ES"/>
          </w:rPr>
          <w:t>P</w:t>
        </w:r>
        <w:r w:rsidR="002C39AF" w:rsidRPr="008770F1">
          <w:rPr>
            <w:rStyle w:val="Hyperlink"/>
            <w:lang w:val="es-ES"/>
          </w:rPr>
          <w:t>rotocolos con respecto a disposiciones relacionadas con la seguridad de la biotecnología</w:t>
        </w:r>
        <w:r w:rsidR="002C39AF">
          <w:rPr>
            <w:webHidden/>
          </w:rPr>
          <w:tab/>
        </w:r>
        <w:r>
          <w:rPr>
            <w:webHidden/>
          </w:rPr>
          <w:fldChar w:fldCharType="begin"/>
        </w:r>
        <w:r w:rsidR="002C39AF">
          <w:rPr>
            <w:webHidden/>
          </w:rPr>
          <w:instrText xml:space="preserve"> PAGEREF _Toc5922082 \h </w:instrText>
        </w:r>
        <w:r>
          <w:rPr>
            <w:webHidden/>
          </w:rPr>
        </w:r>
        <w:r>
          <w:rPr>
            <w:webHidden/>
          </w:rPr>
          <w:fldChar w:fldCharType="separate"/>
        </w:r>
        <w:r w:rsidR="00B6400C">
          <w:rPr>
            <w:webHidden/>
          </w:rPr>
          <w:t>49</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3" w:history="1">
        <w:r w:rsidR="002C39AF" w:rsidRPr="008770F1">
          <w:rPr>
            <w:rStyle w:val="Hyperlink"/>
            <w:lang w:val="es-ES"/>
          </w:rPr>
          <w:t>9/10.</w:t>
        </w:r>
        <w:r w:rsidR="002C39AF">
          <w:rPr>
            <w:rFonts w:asciiTheme="minorHAnsi" w:eastAsiaTheme="minorEastAsia" w:hAnsiTheme="minorHAnsi" w:cstheme="minorBidi"/>
            <w:lang w:val="es-UY" w:eastAsia="es-UY"/>
          </w:rPr>
          <w:tab/>
        </w:r>
        <w:r w:rsidR="002C39AF" w:rsidRPr="008770F1">
          <w:rPr>
            <w:rStyle w:val="Hyperlink"/>
            <w:lang w:val="es-ES"/>
          </w:rPr>
          <w:t>Procedimiento para evitar o tratar conflictos de intereses en los grupos de expertos</w:t>
        </w:r>
        <w:r w:rsidR="002C39AF">
          <w:rPr>
            <w:webHidden/>
          </w:rPr>
          <w:tab/>
        </w:r>
        <w:r>
          <w:rPr>
            <w:webHidden/>
          </w:rPr>
          <w:fldChar w:fldCharType="begin"/>
        </w:r>
        <w:r w:rsidR="002C39AF">
          <w:rPr>
            <w:webHidden/>
          </w:rPr>
          <w:instrText xml:space="preserve"> PAGEREF _Toc5922083 \h </w:instrText>
        </w:r>
        <w:r>
          <w:rPr>
            <w:webHidden/>
          </w:rPr>
        </w:r>
        <w:r>
          <w:rPr>
            <w:webHidden/>
          </w:rPr>
          <w:fldChar w:fldCharType="separate"/>
        </w:r>
        <w:r w:rsidR="00B6400C">
          <w:rPr>
            <w:webHidden/>
          </w:rPr>
          <w:t>50</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4" w:history="1">
        <w:r w:rsidR="002C39AF" w:rsidRPr="008770F1">
          <w:rPr>
            <w:rStyle w:val="Hyperlink"/>
            <w:lang w:val="es-ES"/>
          </w:rPr>
          <w:t>9/11.</w:t>
        </w:r>
        <w:r w:rsidR="002C39AF">
          <w:rPr>
            <w:rFonts w:asciiTheme="minorHAnsi" w:eastAsiaTheme="minorEastAsia" w:hAnsiTheme="minorHAnsi" w:cstheme="minorBidi"/>
            <w:lang w:val="es-UY" w:eastAsia="es-UY"/>
          </w:rPr>
          <w:tab/>
        </w:r>
        <w:r w:rsidR="002C39AF" w:rsidRPr="008770F1">
          <w:rPr>
            <w:rStyle w:val="Hyperlink"/>
            <w:lang w:val="es-ES"/>
          </w:rPr>
          <w:t>Movimientos transfronterizos involuntarios y medidas de emergencia (artículo 17)</w:t>
        </w:r>
        <w:r w:rsidR="002C39AF">
          <w:rPr>
            <w:webHidden/>
          </w:rPr>
          <w:tab/>
        </w:r>
        <w:r>
          <w:rPr>
            <w:webHidden/>
          </w:rPr>
          <w:fldChar w:fldCharType="begin"/>
        </w:r>
        <w:r w:rsidR="002C39AF">
          <w:rPr>
            <w:webHidden/>
          </w:rPr>
          <w:instrText xml:space="preserve"> PAGEREF _Toc5922084 \h </w:instrText>
        </w:r>
        <w:r>
          <w:rPr>
            <w:webHidden/>
          </w:rPr>
        </w:r>
        <w:r>
          <w:rPr>
            <w:webHidden/>
          </w:rPr>
          <w:fldChar w:fldCharType="separate"/>
        </w:r>
        <w:r w:rsidR="00B6400C">
          <w:rPr>
            <w:webHidden/>
          </w:rPr>
          <w:t>51</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5" w:history="1">
        <w:r w:rsidR="002C39AF" w:rsidRPr="008770F1">
          <w:rPr>
            <w:rStyle w:val="Hyperlink"/>
            <w:lang w:val="es-ES"/>
          </w:rPr>
          <w:t>9/12.</w:t>
        </w:r>
        <w:r w:rsidR="002C39AF">
          <w:rPr>
            <w:rFonts w:asciiTheme="minorHAnsi" w:eastAsiaTheme="minorEastAsia" w:hAnsiTheme="minorHAnsi" w:cstheme="minorBidi"/>
            <w:lang w:val="es-UY" w:eastAsia="es-UY"/>
          </w:rPr>
          <w:tab/>
        </w:r>
        <w:r w:rsidR="002C39AF" w:rsidRPr="008770F1">
          <w:rPr>
            <w:rStyle w:val="Hyperlink"/>
            <w:lang w:val="es-ES"/>
          </w:rPr>
          <w:t>Tránsito y uso confinado de organismos vivos modificados (artículo 6)</w:t>
        </w:r>
        <w:r w:rsidR="002C39AF">
          <w:rPr>
            <w:webHidden/>
          </w:rPr>
          <w:tab/>
        </w:r>
        <w:r>
          <w:rPr>
            <w:webHidden/>
          </w:rPr>
          <w:fldChar w:fldCharType="begin"/>
        </w:r>
        <w:r w:rsidR="002C39AF">
          <w:rPr>
            <w:webHidden/>
          </w:rPr>
          <w:instrText xml:space="preserve"> PAGEREF _Toc5922085 \h </w:instrText>
        </w:r>
        <w:r>
          <w:rPr>
            <w:webHidden/>
          </w:rPr>
        </w:r>
        <w:r>
          <w:rPr>
            <w:webHidden/>
          </w:rPr>
          <w:fldChar w:fldCharType="separate"/>
        </w:r>
        <w:r w:rsidR="00B6400C">
          <w:rPr>
            <w:webHidden/>
          </w:rPr>
          <w:t>53</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6" w:history="1">
        <w:r w:rsidR="002C39AF" w:rsidRPr="008770F1">
          <w:rPr>
            <w:rStyle w:val="Hyperlink"/>
            <w:lang w:val="es-ES"/>
          </w:rPr>
          <w:t>9/13.</w:t>
        </w:r>
        <w:r w:rsidR="002C39AF">
          <w:rPr>
            <w:rFonts w:asciiTheme="minorHAnsi" w:eastAsiaTheme="minorEastAsia" w:hAnsiTheme="minorHAnsi" w:cstheme="minorBidi"/>
            <w:lang w:val="es-UY" w:eastAsia="es-UY"/>
          </w:rPr>
          <w:tab/>
        </w:r>
        <w:r w:rsidR="002C39AF" w:rsidRPr="008770F1">
          <w:rPr>
            <w:rStyle w:val="Hyperlink"/>
            <w:lang w:val="es-ES"/>
          </w:rPr>
          <w:t>Evaluación del riesgo y gestión del riesgo (artículos 15 y 16)</w:t>
        </w:r>
        <w:r w:rsidR="002C39AF">
          <w:rPr>
            <w:webHidden/>
          </w:rPr>
          <w:tab/>
        </w:r>
        <w:r>
          <w:rPr>
            <w:webHidden/>
          </w:rPr>
          <w:fldChar w:fldCharType="begin"/>
        </w:r>
        <w:r w:rsidR="002C39AF">
          <w:rPr>
            <w:webHidden/>
          </w:rPr>
          <w:instrText xml:space="preserve"> PAGEREF _Toc5922086 \h </w:instrText>
        </w:r>
        <w:r>
          <w:rPr>
            <w:webHidden/>
          </w:rPr>
        </w:r>
        <w:r>
          <w:rPr>
            <w:webHidden/>
          </w:rPr>
          <w:fldChar w:fldCharType="separate"/>
        </w:r>
        <w:r w:rsidR="00B6400C">
          <w:rPr>
            <w:webHidden/>
          </w:rPr>
          <w:t>54</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7" w:history="1">
        <w:r w:rsidR="002C39AF" w:rsidRPr="008770F1">
          <w:rPr>
            <w:rStyle w:val="Hyperlink"/>
            <w:lang w:val="es-ES"/>
          </w:rPr>
          <w:t>9/14.</w:t>
        </w:r>
        <w:r w:rsidR="002C39AF">
          <w:rPr>
            <w:rFonts w:asciiTheme="minorHAnsi" w:eastAsiaTheme="minorEastAsia" w:hAnsiTheme="minorHAnsi" w:cstheme="minorBidi"/>
            <w:lang w:val="es-UY" w:eastAsia="es-UY"/>
          </w:rPr>
          <w:tab/>
        </w:r>
        <w:r w:rsidR="002C39AF" w:rsidRPr="008770F1">
          <w:rPr>
            <w:rStyle w:val="Hyperlink"/>
            <w:lang w:val="es-ES"/>
          </w:rPr>
          <w:t>Consideraciones socioeconómicas (artículo 26)</w:t>
        </w:r>
        <w:r w:rsidR="002C39AF">
          <w:rPr>
            <w:webHidden/>
          </w:rPr>
          <w:tab/>
        </w:r>
        <w:r>
          <w:rPr>
            <w:webHidden/>
          </w:rPr>
          <w:fldChar w:fldCharType="begin"/>
        </w:r>
        <w:r w:rsidR="002C39AF">
          <w:rPr>
            <w:webHidden/>
          </w:rPr>
          <w:instrText xml:space="preserve"> PAGEREF _Toc5922087 \h </w:instrText>
        </w:r>
        <w:r>
          <w:rPr>
            <w:webHidden/>
          </w:rPr>
        </w:r>
        <w:r>
          <w:rPr>
            <w:webHidden/>
          </w:rPr>
          <w:fldChar w:fldCharType="separate"/>
        </w:r>
        <w:r w:rsidR="00B6400C">
          <w:rPr>
            <w:webHidden/>
          </w:rPr>
          <w:t>57</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8" w:history="1">
        <w:r w:rsidR="002C39AF" w:rsidRPr="008770F1">
          <w:rPr>
            <w:rStyle w:val="Hyperlink"/>
            <w:snapToGrid w:val="0"/>
            <w:lang w:val="es-ES"/>
          </w:rPr>
          <w:t>9/15.</w:t>
        </w:r>
        <w:r w:rsidR="002C39AF">
          <w:rPr>
            <w:rFonts w:asciiTheme="minorHAnsi" w:eastAsiaTheme="minorEastAsia" w:hAnsiTheme="minorHAnsi" w:cstheme="minorBidi"/>
            <w:lang w:val="es-UY" w:eastAsia="es-UY"/>
          </w:rPr>
          <w:tab/>
        </w:r>
        <w:r w:rsidR="002C39AF" w:rsidRPr="008770F1">
          <w:rPr>
            <w:rStyle w:val="Hyperlink"/>
            <w:snapToGrid w:val="0"/>
            <w:lang w:val="es-ES"/>
          </w:rPr>
          <w:t xml:space="preserve">Protocolo </w:t>
        </w:r>
        <w:r w:rsidR="000F338F">
          <w:rPr>
            <w:rStyle w:val="Hyperlink"/>
            <w:snapToGrid w:val="0"/>
            <w:lang w:val="es-ES"/>
          </w:rPr>
          <w:t>S</w:t>
        </w:r>
        <w:r w:rsidR="002C39AF" w:rsidRPr="008770F1">
          <w:rPr>
            <w:rStyle w:val="Hyperlink"/>
            <w:snapToGrid w:val="0"/>
            <w:lang w:val="es-ES"/>
          </w:rPr>
          <w:t xml:space="preserve">uplementario de </w:t>
        </w:r>
        <w:r w:rsidR="000F338F">
          <w:rPr>
            <w:rStyle w:val="Hyperlink"/>
            <w:snapToGrid w:val="0"/>
            <w:lang w:val="es-ES"/>
          </w:rPr>
          <w:t>Nagoya</w:t>
        </w:r>
        <w:r w:rsidR="002C39AF" w:rsidRPr="008770F1">
          <w:rPr>
            <w:rStyle w:val="Hyperlink"/>
            <w:snapToGrid w:val="0"/>
            <w:lang w:val="es-ES"/>
          </w:rPr>
          <w:t>–</w:t>
        </w:r>
        <w:r w:rsidR="000F338F">
          <w:rPr>
            <w:rStyle w:val="Hyperlink"/>
            <w:snapToGrid w:val="0"/>
            <w:lang w:val="es-ES"/>
          </w:rPr>
          <w:t>K</w:t>
        </w:r>
        <w:r w:rsidR="002C39AF" w:rsidRPr="008770F1">
          <w:rPr>
            <w:rStyle w:val="Hyperlink"/>
            <w:snapToGrid w:val="0"/>
            <w:lang w:val="es-ES"/>
          </w:rPr>
          <w:t xml:space="preserve">uala </w:t>
        </w:r>
        <w:r w:rsidR="000F338F">
          <w:rPr>
            <w:rStyle w:val="Hyperlink"/>
            <w:snapToGrid w:val="0"/>
            <w:lang w:val="es-ES"/>
          </w:rPr>
          <w:t>L</w:t>
        </w:r>
        <w:r w:rsidR="002C39AF" w:rsidRPr="008770F1">
          <w:rPr>
            <w:rStyle w:val="Hyperlink"/>
            <w:snapToGrid w:val="0"/>
            <w:lang w:val="es-ES"/>
          </w:rPr>
          <w:t xml:space="preserve">umpur sobre </w:t>
        </w:r>
        <w:r w:rsidR="000F338F">
          <w:rPr>
            <w:rStyle w:val="Hyperlink"/>
            <w:snapToGrid w:val="0"/>
            <w:lang w:val="es-ES"/>
          </w:rPr>
          <w:t>R</w:t>
        </w:r>
        <w:r w:rsidR="002C39AF" w:rsidRPr="008770F1">
          <w:rPr>
            <w:rStyle w:val="Hyperlink"/>
            <w:snapToGrid w:val="0"/>
            <w:lang w:val="es-ES"/>
          </w:rPr>
          <w:t xml:space="preserve">esponsabilidad y </w:t>
        </w:r>
        <w:r w:rsidR="000F338F">
          <w:rPr>
            <w:rStyle w:val="Hyperlink"/>
            <w:snapToGrid w:val="0"/>
            <w:lang w:val="es-ES"/>
          </w:rPr>
          <w:t>C</w:t>
        </w:r>
        <w:r w:rsidR="002C39AF" w:rsidRPr="008770F1">
          <w:rPr>
            <w:rStyle w:val="Hyperlink"/>
            <w:snapToGrid w:val="0"/>
            <w:lang w:val="es-ES"/>
          </w:rPr>
          <w:t>ompensación</w:t>
        </w:r>
        <w:r w:rsidR="002C39AF">
          <w:rPr>
            <w:webHidden/>
          </w:rPr>
          <w:tab/>
        </w:r>
        <w:r>
          <w:rPr>
            <w:webHidden/>
          </w:rPr>
          <w:fldChar w:fldCharType="begin"/>
        </w:r>
        <w:r w:rsidR="002C39AF">
          <w:rPr>
            <w:webHidden/>
          </w:rPr>
          <w:instrText xml:space="preserve"> PAGEREF _Toc5922088 \h </w:instrText>
        </w:r>
        <w:r>
          <w:rPr>
            <w:webHidden/>
          </w:rPr>
        </w:r>
        <w:r>
          <w:rPr>
            <w:webHidden/>
          </w:rPr>
          <w:fldChar w:fldCharType="separate"/>
        </w:r>
        <w:r w:rsidR="00B6400C">
          <w:rPr>
            <w:webHidden/>
          </w:rPr>
          <w:t>59</w:t>
        </w:r>
        <w:r>
          <w:rPr>
            <w:webHidden/>
          </w:rPr>
          <w:fldChar w:fldCharType="end"/>
        </w:r>
      </w:hyperlink>
    </w:p>
    <w:p w:rsidR="002C39AF" w:rsidRDefault="009503AA" w:rsidP="00FC7D0D">
      <w:pPr>
        <w:pStyle w:val="TOC2"/>
        <w:tabs>
          <w:tab w:val="clear" w:pos="993"/>
          <w:tab w:val="left" w:pos="709"/>
          <w:tab w:val="left" w:pos="1276"/>
        </w:tabs>
        <w:ind w:left="1276" w:hanging="567"/>
        <w:rPr>
          <w:rFonts w:asciiTheme="minorHAnsi" w:eastAsiaTheme="minorEastAsia" w:hAnsiTheme="minorHAnsi" w:cstheme="minorBidi"/>
          <w:lang w:val="es-UY" w:eastAsia="es-UY"/>
        </w:rPr>
      </w:pPr>
      <w:hyperlink w:anchor="_Toc5922089" w:history="1">
        <w:r w:rsidR="002C39AF" w:rsidRPr="008770F1">
          <w:rPr>
            <w:rStyle w:val="Hyperlink"/>
            <w:snapToGrid w:val="0"/>
            <w:lang w:val="es-ES"/>
          </w:rPr>
          <w:t>9/16.</w:t>
        </w:r>
        <w:r w:rsidR="002C39AF">
          <w:rPr>
            <w:rFonts w:asciiTheme="minorHAnsi" w:eastAsiaTheme="minorEastAsia" w:hAnsiTheme="minorHAnsi" w:cstheme="minorBidi"/>
            <w:lang w:val="es-UY" w:eastAsia="es-UY"/>
          </w:rPr>
          <w:tab/>
        </w:r>
        <w:r w:rsidR="002C39AF" w:rsidRPr="008770F1">
          <w:rPr>
            <w:rStyle w:val="Hyperlink"/>
            <w:snapToGrid w:val="0"/>
            <w:lang w:val="es-ES"/>
          </w:rPr>
          <w:t>Programa de trabajo y presupuesto (</w:t>
        </w:r>
        <w:r w:rsidR="000F338F">
          <w:rPr>
            <w:rStyle w:val="Hyperlink"/>
            <w:snapToGrid w:val="0"/>
            <w:lang w:val="es-ES"/>
          </w:rPr>
          <w:t>P</w:t>
        </w:r>
        <w:r w:rsidR="002C39AF" w:rsidRPr="008770F1">
          <w:rPr>
            <w:rStyle w:val="Hyperlink"/>
            <w:snapToGrid w:val="0"/>
            <w:lang w:val="es-ES"/>
          </w:rPr>
          <w:t xml:space="preserve">rotocolo de </w:t>
        </w:r>
        <w:r w:rsidR="000F338F">
          <w:rPr>
            <w:rStyle w:val="Hyperlink"/>
            <w:snapToGrid w:val="0"/>
            <w:lang w:val="es-ES"/>
          </w:rPr>
          <w:t>C</w:t>
        </w:r>
        <w:r w:rsidR="002C39AF" w:rsidRPr="008770F1">
          <w:rPr>
            <w:rStyle w:val="Hyperlink"/>
            <w:snapToGrid w:val="0"/>
            <w:lang w:val="es-ES"/>
          </w:rPr>
          <w:t>artagena)</w:t>
        </w:r>
        <w:r w:rsidR="002C39AF">
          <w:rPr>
            <w:webHidden/>
          </w:rPr>
          <w:tab/>
        </w:r>
        <w:r>
          <w:rPr>
            <w:webHidden/>
          </w:rPr>
          <w:fldChar w:fldCharType="begin"/>
        </w:r>
        <w:r w:rsidR="002C39AF">
          <w:rPr>
            <w:webHidden/>
          </w:rPr>
          <w:instrText xml:space="preserve"> PAGEREF _Toc5922089 \h </w:instrText>
        </w:r>
        <w:r>
          <w:rPr>
            <w:webHidden/>
          </w:rPr>
        </w:r>
        <w:r>
          <w:rPr>
            <w:webHidden/>
          </w:rPr>
          <w:fldChar w:fldCharType="separate"/>
        </w:r>
        <w:r w:rsidR="00B6400C">
          <w:rPr>
            <w:webHidden/>
          </w:rPr>
          <w:t>60</w:t>
        </w:r>
        <w:r>
          <w:rPr>
            <w:webHidden/>
          </w:rPr>
          <w:fldChar w:fldCharType="end"/>
        </w:r>
      </w:hyperlink>
    </w:p>
    <w:p w:rsidR="002C39AF" w:rsidRPr="00D716EE" w:rsidRDefault="009503AA" w:rsidP="00916DF6">
      <w:pPr>
        <w:pStyle w:val="TOC1"/>
        <w:rPr>
          <w:rStyle w:val="Hyperlink"/>
          <w:rFonts w:asciiTheme="minorHAnsi" w:eastAsiaTheme="minorEastAsia" w:hAnsiTheme="minorHAnsi" w:cstheme="minorBidi"/>
          <w:color w:val="auto"/>
          <w:u w:val="none"/>
          <w:lang w:val="es-UY" w:eastAsia="es-UY"/>
        </w:rPr>
      </w:pPr>
      <w:hyperlink w:anchor="_Toc5922090" w:history="1">
        <w:r w:rsidR="002C39AF" w:rsidRPr="008770F1">
          <w:rPr>
            <w:rStyle w:val="Hyperlink"/>
            <w:lang w:val="es-ES"/>
          </w:rPr>
          <w:t>I</w:t>
        </w:r>
        <w:r w:rsidR="00D716EE">
          <w:rPr>
            <w:rStyle w:val="Hyperlink"/>
            <w:lang w:val="es-ES"/>
          </w:rPr>
          <w:t>I</w:t>
        </w:r>
        <w:r w:rsidR="002C39AF" w:rsidRPr="008770F1">
          <w:rPr>
            <w:rStyle w:val="Hyperlink"/>
            <w:lang w:val="es-ES"/>
          </w:rPr>
          <w:t>.</w:t>
        </w:r>
        <w:r w:rsidR="00D716EE">
          <w:rPr>
            <w:rStyle w:val="Hyperlink"/>
            <w:lang w:val="es-ES"/>
          </w:rPr>
          <w:tab/>
        </w:r>
        <w:r w:rsidR="00D716EE" w:rsidRPr="008770F1">
          <w:rPr>
            <w:rStyle w:val="Hyperlink"/>
            <w:lang w:val="es-ES"/>
          </w:rPr>
          <w:t>RESUMEN DE LAS DELIBERACIONES DE LA REUNIÓN</w:t>
        </w:r>
        <w:r w:rsidR="002C39AF">
          <w:rPr>
            <w:webHidden/>
          </w:rPr>
          <w:tab/>
        </w:r>
        <w:r>
          <w:rPr>
            <w:webHidden/>
          </w:rPr>
          <w:fldChar w:fldCharType="begin"/>
        </w:r>
        <w:r w:rsidR="002C39AF">
          <w:rPr>
            <w:webHidden/>
          </w:rPr>
          <w:instrText xml:space="preserve"> PAGEREF _Toc5922090 \h </w:instrText>
        </w:r>
        <w:r>
          <w:rPr>
            <w:webHidden/>
          </w:rPr>
        </w:r>
        <w:r>
          <w:rPr>
            <w:webHidden/>
          </w:rPr>
          <w:fldChar w:fldCharType="separate"/>
        </w:r>
        <w:r w:rsidR="00B6400C">
          <w:rPr>
            <w:webHidden/>
          </w:rPr>
          <w:t>69</w:t>
        </w:r>
        <w:r>
          <w:rPr>
            <w:webHidden/>
          </w:rPr>
          <w:fldChar w:fldCharType="end"/>
        </w:r>
      </w:hyperlink>
      <w:r w:rsidRPr="008770F1">
        <w:rPr>
          <w:rStyle w:val="Hyperlink"/>
        </w:rPr>
        <w:fldChar w:fldCharType="begin"/>
      </w:r>
      <w:r w:rsidR="002C39AF" w:rsidRPr="008770F1">
        <w:rPr>
          <w:rStyle w:val="Hyperlink"/>
        </w:rPr>
        <w:instrText xml:space="preserve"> </w:instrText>
      </w:r>
      <w:r w:rsidR="002C39AF">
        <w:instrText>HYPERLINK \l "_Toc5922091"</w:instrText>
      </w:r>
      <w:r w:rsidR="002C39AF" w:rsidRPr="008770F1">
        <w:rPr>
          <w:rStyle w:val="Hyperlink"/>
        </w:rPr>
        <w:instrText xml:space="preserve"> </w:instrText>
      </w:r>
      <w:r w:rsidRPr="008770F1">
        <w:rPr>
          <w:rStyle w:val="Hyperlink"/>
        </w:rPr>
        <w:fldChar w:fldCharType="separate"/>
      </w:r>
    </w:p>
    <w:p w:rsidR="002C39AF" w:rsidRDefault="00A42A79" w:rsidP="00FC7D0D">
      <w:pPr>
        <w:pStyle w:val="TOC2"/>
        <w:tabs>
          <w:tab w:val="clear" w:pos="993"/>
          <w:tab w:val="left" w:pos="709"/>
          <w:tab w:val="left" w:pos="1701"/>
        </w:tabs>
        <w:ind w:left="1560" w:hanging="1276"/>
        <w:rPr>
          <w:rFonts w:asciiTheme="minorHAnsi" w:eastAsiaTheme="minorEastAsia" w:hAnsiTheme="minorHAnsi" w:cstheme="minorBidi"/>
          <w:lang w:val="es-UY" w:eastAsia="es-UY"/>
        </w:rPr>
      </w:pPr>
      <w:r>
        <w:rPr>
          <w:rStyle w:val="Hyperlink"/>
          <w:lang w:val="es-ES"/>
        </w:rPr>
        <w:tab/>
      </w:r>
      <w:r w:rsidR="002C39AF">
        <w:rPr>
          <w:rStyle w:val="Hyperlink"/>
          <w:lang w:val="es-ES"/>
        </w:rPr>
        <w:t>T</w:t>
      </w:r>
      <w:r w:rsidR="002C39AF" w:rsidRPr="008770F1">
        <w:rPr>
          <w:rStyle w:val="Hyperlink"/>
          <w:lang w:val="es-ES"/>
        </w:rPr>
        <w:t>ema 1.</w:t>
      </w:r>
      <w:r w:rsidR="002C39AF">
        <w:rPr>
          <w:rFonts w:asciiTheme="minorHAnsi" w:eastAsiaTheme="minorEastAsia" w:hAnsiTheme="minorHAnsi" w:cstheme="minorBidi"/>
          <w:lang w:val="es-UY" w:eastAsia="es-UY"/>
        </w:rPr>
        <w:tab/>
      </w:r>
      <w:r w:rsidR="00FC7D0D">
        <w:rPr>
          <w:rFonts w:asciiTheme="minorHAnsi" w:eastAsiaTheme="minorEastAsia" w:hAnsiTheme="minorHAnsi" w:cstheme="minorBidi"/>
          <w:lang w:val="es-UY" w:eastAsia="es-UY"/>
        </w:rPr>
        <w:tab/>
      </w:r>
      <w:r w:rsidR="002C39AF" w:rsidRPr="008770F1">
        <w:rPr>
          <w:rStyle w:val="Hyperlink"/>
          <w:lang w:val="es-ES"/>
        </w:rPr>
        <w:t>Apertura de la reunión</w:t>
      </w:r>
      <w:r w:rsidR="002C39AF">
        <w:rPr>
          <w:webHidden/>
        </w:rPr>
        <w:tab/>
      </w:r>
      <w:r w:rsidR="009503AA">
        <w:rPr>
          <w:webHidden/>
        </w:rPr>
        <w:fldChar w:fldCharType="begin"/>
      </w:r>
      <w:r w:rsidR="002C39AF">
        <w:rPr>
          <w:webHidden/>
        </w:rPr>
        <w:instrText xml:space="preserve"> PAGEREF _Toc5922091 \h </w:instrText>
      </w:r>
      <w:r w:rsidR="009503AA">
        <w:rPr>
          <w:webHidden/>
        </w:rPr>
      </w:r>
      <w:r w:rsidR="009503AA">
        <w:rPr>
          <w:webHidden/>
        </w:rPr>
        <w:fldChar w:fldCharType="separate"/>
      </w:r>
      <w:r w:rsidR="00B6400C">
        <w:rPr>
          <w:webHidden/>
        </w:rPr>
        <w:t>70</w:t>
      </w:r>
      <w:r w:rsidR="009503AA">
        <w:rPr>
          <w:webHidden/>
        </w:rPr>
        <w:fldChar w:fldCharType="end"/>
      </w:r>
      <w:r w:rsidR="009503AA" w:rsidRPr="008770F1">
        <w:rPr>
          <w:rStyle w:val="Hyperlink"/>
        </w:rPr>
        <w:fldChar w:fldCharType="end"/>
      </w:r>
    </w:p>
    <w:p w:rsidR="002C39AF" w:rsidRDefault="009503AA" w:rsidP="00A42A79">
      <w:pPr>
        <w:pStyle w:val="TOC2"/>
        <w:ind w:left="1701" w:hanging="992"/>
        <w:rPr>
          <w:rFonts w:asciiTheme="minorHAnsi" w:eastAsiaTheme="minorEastAsia" w:hAnsiTheme="minorHAnsi" w:cstheme="minorBidi"/>
          <w:lang w:val="es-UY" w:eastAsia="es-UY"/>
        </w:rPr>
      </w:pPr>
      <w:hyperlink w:anchor="_Toc5922092" w:history="1">
        <w:r w:rsidR="002C39AF">
          <w:rPr>
            <w:rStyle w:val="Hyperlink"/>
            <w:lang w:val="es-ES"/>
          </w:rPr>
          <w:t>T</w:t>
        </w:r>
        <w:r w:rsidR="002C39AF" w:rsidRPr="008770F1">
          <w:rPr>
            <w:rStyle w:val="Hyperlink"/>
            <w:lang w:val="es-ES"/>
          </w:rPr>
          <w:t>ema 2.</w:t>
        </w:r>
        <w:r w:rsidR="002C39AF">
          <w:rPr>
            <w:rFonts w:asciiTheme="minorHAnsi" w:eastAsiaTheme="minorEastAsia" w:hAnsiTheme="minorHAnsi" w:cstheme="minorBidi"/>
            <w:lang w:val="es-UY" w:eastAsia="es-UY"/>
          </w:rPr>
          <w:tab/>
        </w:r>
        <w:r w:rsidR="002C39AF" w:rsidRPr="008770F1">
          <w:rPr>
            <w:rStyle w:val="Hyperlink"/>
            <w:lang w:val="es-ES"/>
          </w:rPr>
          <w:t>Cuestiones de organización</w:t>
        </w:r>
        <w:r w:rsidR="002C39AF">
          <w:rPr>
            <w:webHidden/>
          </w:rPr>
          <w:tab/>
        </w:r>
        <w:r>
          <w:rPr>
            <w:webHidden/>
          </w:rPr>
          <w:fldChar w:fldCharType="begin"/>
        </w:r>
        <w:r w:rsidR="002C39AF">
          <w:rPr>
            <w:webHidden/>
          </w:rPr>
          <w:instrText xml:space="preserve"> PAGEREF _Toc5922092 \h </w:instrText>
        </w:r>
        <w:r>
          <w:rPr>
            <w:webHidden/>
          </w:rPr>
        </w:r>
        <w:r>
          <w:rPr>
            <w:webHidden/>
          </w:rPr>
          <w:fldChar w:fldCharType="separate"/>
        </w:r>
        <w:r w:rsidR="00B6400C">
          <w:rPr>
            <w:webHidden/>
          </w:rPr>
          <w:t>71</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093" w:history="1">
        <w:r w:rsidR="002C39AF">
          <w:rPr>
            <w:rStyle w:val="Hyperlink"/>
            <w:lang w:val="es-ES"/>
          </w:rPr>
          <w:t>T</w:t>
        </w:r>
        <w:r w:rsidR="002C39AF" w:rsidRPr="008770F1">
          <w:rPr>
            <w:rStyle w:val="Hyperlink"/>
            <w:lang w:val="es-ES"/>
          </w:rPr>
          <w:t>ema 3.</w:t>
        </w:r>
        <w:r w:rsidR="002C39AF">
          <w:rPr>
            <w:rFonts w:asciiTheme="minorHAnsi" w:eastAsiaTheme="minorEastAsia" w:hAnsiTheme="minorHAnsi" w:cstheme="minorBidi"/>
            <w:lang w:val="es-UY" w:eastAsia="es-UY"/>
          </w:rPr>
          <w:tab/>
        </w:r>
        <w:r w:rsidR="002C39AF" w:rsidRPr="008770F1">
          <w:rPr>
            <w:rStyle w:val="Hyperlink"/>
            <w:rFonts w:eastAsia="Times New Roman" w:cs="Times New Roman"/>
            <w:lang w:val="es-ES"/>
          </w:rPr>
          <w:t xml:space="preserve">Informe sobre las credenciales de los representantes que participan en la novena reunión de la </w:t>
        </w:r>
        <w:r w:rsidR="000F338F">
          <w:rPr>
            <w:rStyle w:val="Hyperlink"/>
            <w:rFonts w:eastAsia="Times New Roman" w:cs="Times New Roman"/>
            <w:lang w:val="es-ES"/>
          </w:rPr>
          <w:t>C</w:t>
        </w:r>
        <w:r w:rsidR="002C39AF" w:rsidRPr="008770F1">
          <w:rPr>
            <w:rStyle w:val="Hyperlink"/>
            <w:rFonts w:eastAsia="Times New Roman" w:cs="Times New Roman"/>
            <w:lang w:val="es-ES"/>
          </w:rPr>
          <w:t xml:space="preserve">onferencia de las </w:t>
        </w:r>
        <w:r w:rsidR="000F338F">
          <w:rPr>
            <w:rStyle w:val="Hyperlink"/>
            <w:rFonts w:eastAsia="Times New Roman" w:cs="Times New Roman"/>
            <w:lang w:val="es-ES"/>
          </w:rPr>
          <w:t>P</w:t>
        </w:r>
        <w:r w:rsidR="002C39AF" w:rsidRPr="008770F1">
          <w:rPr>
            <w:rStyle w:val="Hyperlink"/>
            <w:rFonts w:eastAsia="Times New Roman" w:cs="Times New Roman"/>
            <w:lang w:val="es-ES"/>
          </w:rPr>
          <w:t xml:space="preserve">artes que actúa como reunión de las </w:t>
        </w:r>
        <w:r w:rsidR="000F338F">
          <w:rPr>
            <w:rStyle w:val="Hyperlink"/>
            <w:rFonts w:eastAsia="Times New Roman" w:cs="Times New Roman"/>
            <w:lang w:val="es-ES"/>
          </w:rPr>
          <w:t>P</w:t>
        </w:r>
        <w:r w:rsidR="002C39AF" w:rsidRPr="008770F1">
          <w:rPr>
            <w:rStyle w:val="Hyperlink"/>
            <w:rFonts w:eastAsia="Times New Roman" w:cs="Times New Roman"/>
            <w:lang w:val="es-ES"/>
          </w:rPr>
          <w:t xml:space="preserve">artes en el </w:t>
        </w:r>
        <w:r w:rsidR="000F338F">
          <w:rPr>
            <w:rStyle w:val="Hyperlink"/>
            <w:rFonts w:eastAsia="Times New Roman" w:cs="Times New Roman"/>
            <w:lang w:val="es-ES"/>
          </w:rPr>
          <w:t>P</w:t>
        </w:r>
        <w:r w:rsidR="002C39AF" w:rsidRPr="008770F1">
          <w:rPr>
            <w:rStyle w:val="Hyperlink"/>
            <w:rFonts w:eastAsia="Times New Roman" w:cs="Times New Roman"/>
            <w:lang w:val="es-ES"/>
          </w:rPr>
          <w:t>rotocolo de</w:t>
        </w:r>
        <w:r w:rsidR="000F338F">
          <w:rPr>
            <w:rStyle w:val="Hyperlink"/>
            <w:rFonts w:eastAsia="Times New Roman" w:cs="Times New Roman"/>
            <w:lang w:val="es-ES"/>
          </w:rPr>
          <w:t xml:space="preserve"> C</w:t>
        </w:r>
        <w:r w:rsidR="002C39AF" w:rsidRPr="008770F1">
          <w:rPr>
            <w:rStyle w:val="Hyperlink"/>
            <w:rFonts w:eastAsia="Times New Roman" w:cs="Times New Roman"/>
            <w:lang w:val="es-ES"/>
          </w:rPr>
          <w:t>artagena</w:t>
        </w:r>
        <w:r w:rsidR="002C39AF">
          <w:rPr>
            <w:webHidden/>
          </w:rPr>
          <w:tab/>
        </w:r>
        <w:r>
          <w:rPr>
            <w:webHidden/>
          </w:rPr>
          <w:fldChar w:fldCharType="begin"/>
        </w:r>
        <w:r w:rsidR="002C39AF">
          <w:rPr>
            <w:webHidden/>
          </w:rPr>
          <w:instrText xml:space="preserve"> PAGEREF _Toc5922093 \h </w:instrText>
        </w:r>
        <w:r>
          <w:rPr>
            <w:webHidden/>
          </w:rPr>
        </w:r>
        <w:r>
          <w:rPr>
            <w:webHidden/>
          </w:rPr>
          <w:fldChar w:fldCharType="separate"/>
        </w:r>
        <w:r w:rsidR="00B6400C">
          <w:rPr>
            <w:webHidden/>
          </w:rPr>
          <w:t>73</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094" w:history="1">
        <w:r w:rsidR="002C39AF">
          <w:rPr>
            <w:rStyle w:val="Hyperlink"/>
            <w:lang w:val="es-ES"/>
          </w:rPr>
          <w:t>T</w:t>
        </w:r>
        <w:r w:rsidR="002C39AF" w:rsidRPr="008770F1">
          <w:rPr>
            <w:rStyle w:val="Hyperlink"/>
            <w:lang w:val="es-ES"/>
          </w:rPr>
          <w:t>ema 4.</w:t>
        </w:r>
        <w:r w:rsidR="002C39AF">
          <w:rPr>
            <w:rFonts w:asciiTheme="minorHAnsi" w:eastAsiaTheme="minorEastAsia" w:hAnsiTheme="minorHAnsi" w:cstheme="minorBidi"/>
            <w:lang w:val="es-UY" w:eastAsia="es-UY"/>
          </w:rPr>
          <w:tab/>
        </w:r>
        <w:r w:rsidR="002C39AF" w:rsidRPr="008770F1">
          <w:rPr>
            <w:rStyle w:val="Hyperlink"/>
            <w:lang w:val="es-ES"/>
          </w:rPr>
          <w:t>Informes de los órganos subsidiarios</w:t>
        </w:r>
        <w:r w:rsidR="002C39AF">
          <w:rPr>
            <w:webHidden/>
          </w:rPr>
          <w:tab/>
        </w:r>
        <w:r>
          <w:rPr>
            <w:webHidden/>
          </w:rPr>
          <w:fldChar w:fldCharType="begin"/>
        </w:r>
        <w:r w:rsidR="002C39AF">
          <w:rPr>
            <w:webHidden/>
          </w:rPr>
          <w:instrText xml:space="preserve"> PAGEREF _Toc5922094 \h </w:instrText>
        </w:r>
        <w:r>
          <w:rPr>
            <w:webHidden/>
          </w:rPr>
        </w:r>
        <w:r>
          <w:rPr>
            <w:webHidden/>
          </w:rPr>
          <w:fldChar w:fldCharType="separate"/>
        </w:r>
        <w:r w:rsidR="00B6400C">
          <w:rPr>
            <w:webHidden/>
          </w:rPr>
          <w:t>74</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095" w:history="1">
        <w:r w:rsidR="002C39AF">
          <w:rPr>
            <w:rStyle w:val="Hyperlink"/>
            <w:lang w:val="es-ES"/>
          </w:rPr>
          <w:t>T</w:t>
        </w:r>
        <w:r w:rsidR="002C39AF" w:rsidRPr="008770F1">
          <w:rPr>
            <w:rStyle w:val="Hyperlink"/>
            <w:lang w:val="es-ES"/>
          </w:rPr>
          <w:t>ema 5.</w:t>
        </w:r>
        <w:r w:rsidR="002C39AF">
          <w:rPr>
            <w:rFonts w:asciiTheme="minorHAnsi" w:eastAsiaTheme="minorEastAsia" w:hAnsiTheme="minorHAnsi" w:cstheme="minorBidi"/>
            <w:lang w:val="es-UY" w:eastAsia="es-UY"/>
          </w:rPr>
          <w:tab/>
        </w:r>
        <w:r w:rsidR="002C39AF" w:rsidRPr="008770F1">
          <w:rPr>
            <w:rStyle w:val="Hyperlink"/>
            <w:lang w:val="es-ES"/>
          </w:rPr>
          <w:t xml:space="preserve">Informe del </w:t>
        </w:r>
        <w:r w:rsidR="000F338F">
          <w:rPr>
            <w:rStyle w:val="Hyperlink"/>
            <w:lang w:val="es-ES"/>
          </w:rPr>
          <w:t>C</w:t>
        </w:r>
        <w:r w:rsidR="002C39AF" w:rsidRPr="008770F1">
          <w:rPr>
            <w:rStyle w:val="Hyperlink"/>
            <w:lang w:val="es-ES"/>
          </w:rPr>
          <w:t xml:space="preserve">omité de </w:t>
        </w:r>
        <w:r w:rsidR="000F338F">
          <w:rPr>
            <w:rStyle w:val="Hyperlink"/>
            <w:lang w:val="es-ES"/>
          </w:rPr>
          <w:t>C</w:t>
        </w:r>
        <w:r w:rsidR="002C39AF" w:rsidRPr="008770F1">
          <w:rPr>
            <w:rStyle w:val="Hyperlink"/>
            <w:lang w:val="es-ES"/>
          </w:rPr>
          <w:t>umplimiento</w:t>
        </w:r>
        <w:r w:rsidR="002C39AF">
          <w:rPr>
            <w:webHidden/>
          </w:rPr>
          <w:tab/>
        </w:r>
        <w:r>
          <w:rPr>
            <w:webHidden/>
          </w:rPr>
          <w:fldChar w:fldCharType="begin"/>
        </w:r>
        <w:r w:rsidR="002C39AF">
          <w:rPr>
            <w:webHidden/>
          </w:rPr>
          <w:instrText xml:space="preserve"> PAGEREF _Toc5922095 \h </w:instrText>
        </w:r>
        <w:r>
          <w:rPr>
            <w:webHidden/>
          </w:rPr>
        </w:r>
        <w:r>
          <w:rPr>
            <w:webHidden/>
          </w:rPr>
          <w:fldChar w:fldCharType="separate"/>
        </w:r>
        <w:r w:rsidR="00B6400C">
          <w:rPr>
            <w:webHidden/>
          </w:rPr>
          <w:t>74</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096" w:history="1">
        <w:r w:rsidR="002C39AF">
          <w:rPr>
            <w:rStyle w:val="Hyperlink"/>
            <w:lang w:val="es-ES"/>
          </w:rPr>
          <w:t>T</w:t>
        </w:r>
        <w:r w:rsidR="002C39AF" w:rsidRPr="008770F1">
          <w:rPr>
            <w:rStyle w:val="Hyperlink"/>
            <w:lang w:val="es-ES"/>
          </w:rPr>
          <w:t xml:space="preserve">ema 6. </w:t>
        </w:r>
        <w:r w:rsidR="002C39AF">
          <w:rPr>
            <w:rFonts w:asciiTheme="minorHAnsi" w:eastAsiaTheme="minorEastAsia" w:hAnsiTheme="minorHAnsi" w:cstheme="minorBidi"/>
            <w:lang w:val="es-UY" w:eastAsia="es-UY"/>
          </w:rPr>
          <w:tab/>
        </w:r>
        <w:r w:rsidR="002C39AF" w:rsidRPr="008770F1">
          <w:rPr>
            <w:rStyle w:val="Hyperlink"/>
            <w:lang w:val="es-ES"/>
          </w:rPr>
          <w:t xml:space="preserve">Administración del </w:t>
        </w:r>
        <w:r w:rsidR="000F338F">
          <w:rPr>
            <w:rStyle w:val="Hyperlink"/>
            <w:lang w:val="es-ES"/>
          </w:rPr>
          <w:t>P</w:t>
        </w:r>
        <w:r w:rsidR="002C39AF" w:rsidRPr="008770F1">
          <w:rPr>
            <w:rStyle w:val="Hyperlink"/>
            <w:lang w:val="es-ES"/>
          </w:rPr>
          <w:t>rotocolo y el presupuesto para los fondos fiduciarios</w:t>
        </w:r>
        <w:r w:rsidR="002C39AF">
          <w:rPr>
            <w:webHidden/>
          </w:rPr>
          <w:tab/>
        </w:r>
        <w:r>
          <w:rPr>
            <w:webHidden/>
          </w:rPr>
          <w:fldChar w:fldCharType="begin"/>
        </w:r>
        <w:r w:rsidR="002C39AF">
          <w:rPr>
            <w:webHidden/>
          </w:rPr>
          <w:instrText xml:space="preserve"> PAGEREF _Toc5922096 \h </w:instrText>
        </w:r>
        <w:r>
          <w:rPr>
            <w:webHidden/>
          </w:rPr>
        </w:r>
        <w:r>
          <w:rPr>
            <w:webHidden/>
          </w:rPr>
          <w:fldChar w:fldCharType="separate"/>
        </w:r>
        <w:r w:rsidR="00B6400C">
          <w:rPr>
            <w:webHidden/>
          </w:rPr>
          <w:t>76</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097" w:history="1">
        <w:r w:rsidR="002C39AF">
          <w:rPr>
            <w:rStyle w:val="Hyperlink"/>
            <w:lang w:val="es-ES"/>
          </w:rPr>
          <w:t>T</w:t>
        </w:r>
        <w:r w:rsidR="002C39AF" w:rsidRPr="008770F1">
          <w:rPr>
            <w:rStyle w:val="Hyperlink"/>
            <w:lang w:val="es-ES"/>
          </w:rPr>
          <w:t xml:space="preserve">ema 7. </w:t>
        </w:r>
        <w:r w:rsidR="002C39AF">
          <w:rPr>
            <w:rFonts w:asciiTheme="minorHAnsi" w:eastAsiaTheme="minorEastAsia" w:hAnsiTheme="minorHAnsi" w:cstheme="minorBidi"/>
            <w:lang w:val="es-UY" w:eastAsia="es-UY"/>
          </w:rPr>
          <w:tab/>
        </w:r>
        <w:r w:rsidR="002C39AF" w:rsidRPr="00460F90">
          <w:rPr>
            <w:rStyle w:val="Hyperlink"/>
            <w:spacing w:val="-4"/>
            <w:kern w:val="22"/>
            <w:lang w:val="es-ES"/>
          </w:rPr>
          <w:t>Asuntos relacionados con el mecanismo financiero y los recursos financieros (artículo</w:t>
        </w:r>
        <w:r w:rsidR="008378A8">
          <w:rPr>
            <w:rStyle w:val="Hyperlink"/>
            <w:spacing w:val="-4"/>
            <w:kern w:val="22"/>
            <w:lang w:val="es-ES"/>
          </w:rPr>
          <w:t> </w:t>
        </w:r>
        <w:r w:rsidR="002C39AF" w:rsidRPr="00460F90">
          <w:rPr>
            <w:rStyle w:val="Hyperlink"/>
            <w:spacing w:val="-4"/>
            <w:kern w:val="22"/>
            <w:lang w:val="es-ES"/>
          </w:rPr>
          <w:t>28)</w:t>
        </w:r>
        <w:r w:rsidR="002C39AF">
          <w:rPr>
            <w:webHidden/>
          </w:rPr>
          <w:tab/>
        </w:r>
        <w:r>
          <w:rPr>
            <w:webHidden/>
          </w:rPr>
          <w:fldChar w:fldCharType="begin"/>
        </w:r>
        <w:r w:rsidR="002C39AF">
          <w:rPr>
            <w:webHidden/>
          </w:rPr>
          <w:instrText xml:space="preserve"> PAGEREF _Toc5922097 \h </w:instrText>
        </w:r>
        <w:r>
          <w:rPr>
            <w:webHidden/>
          </w:rPr>
        </w:r>
        <w:r>
          <w:rPr>
            <w:webHidden/>
          </w:rPr>
          <w:fldChar w:fldCharType="separate"/>
        </w:r>
        <w:r w:rsidR="00B6400C">
          <w:rPr>
            <w:webHidden/>
          </w:rPr>
          <w:t>76</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098" w:history="1">
        <w:r w:rsidR="002C39AF">
          <w:rPr>
            <w:rStyle w:val="Hyperlink"/>
            <w:lang w:val="es-ES"/>
          </w:rPr>
          <w:t>T</w:t>
        </w:r>
        <w:r w:rsidR="002C39AF" w:rsidRPr="008770F1">
          <w:rPr>
            <w:rStyle w:val="Hyperlink"/>
            <w:lang w:val="es-ES"/>
          </w:rPr>
          <w:t xml:space="preserve">ema 8. </w:t>
        </w:r>
        <w:r w:rsidR="002C39AF">
          <w:rPr>
            <w:rFonts w:asciiTheme="minorHAnsi" w:eastAsiaTheme="minorEastAsia" w:hAnsiTheme="minorHAnsi" w:cstheme="minorBidi"/>
            <w:lang w:val="es-UY" w:eastAsia="es-UY"/>
          </w:rPr>
          <w:tab/>
        </w:r>
        <w:r w:rsidR="002C39AF" w:rsidRPr="008770F1">
          <w:rPr>
            <w:rStyle w:val="Hyperlink"/>
            <w:kern w:val="22"/>
            <w:lang w:val="es-ES"/>
          </w:rPr>
          <w:t>Creación de capacidad (artículo 22)</w:t>
        </w:r>
        <w:r w:rsidR="002C39AF">
          <w:rPr>
            <w:webHidden/>
          </w:rPr>
          <w:tab/>
        </w:r>
        <w:r>
          <w:rPr>
            <w:webHidden/>
          </w:rPr>
          <w:fldChar w:fldCharType="begin"/>
        </w:r>
        <w:r w:rsidR="002C39AF">
          <w:rPr>
            <w:webHidden/>
          </w:rPr>
          <w:instrText xml:space="preserve"> PAGEREF _Toc5922098 \h </w:instrText>
        </w:r>
        <w:r>
          <w:rPr>
            <w:webHidden/>
          </w:rPr>
        </w:r>
        <w:r>
          <w:rPr>
            <w:webHidden/>
          </w:rPr>
          <w:fldChar w:fldCharType="separate"/>
        </w:r>
        <w:r w:rsidR="00B6400C">
          <w:rPr>
            <w:webHidden/>
          </w:rPr>
          <w:t>77</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099" w:history="1">
        <w:r w:rsidR="002C39AF">
          <w:rPr>
            <w:rStyle w:val="Hyperlink"/>
            <w:lang w:val="es-ES"/>
          </w:rPr>
          <w:t>T</w:t>
        </w:r>
        <w:r w:rsidR="002C39AF" w:rsidRPr="008770F1">
          <w:rPr>
            <w:rStyle w:val="Hyperlink"/>
            <w:lang w:val="es-ES"/>
          </w:rPr>
          <w:t>ema 9.</w:t>
        </w:r>
        <w:r w:rsidR="002C39AF">
          <w:rPr>
            <w:rFonts w:asciiTheme="minorHAnsi" w:eastAsiaTheme="minorEastAsia" w:hAnsiTheme="minorHAnsi" w:cstheme="minorBidi"/>
            <w:lang w:val="es-UY" w:eastAsia="es-UY"/>
          </w:rPr>
          <w:tab/>
        </w:r>
        <w:r w:rsidR="002C39AF" w:rsidRPr="008770F1">
          <w:rPr>
            <w:rStyle w:val="Hyperlink"/>
            <w:kern w:val="22"/>
            <w:lang w:val="es-ES"/>
          </w:rPr>
          <w:t xml:space="preserve">Funcionamiento y actividades del </w:t>
        </w:r>
        <w:r w:rsidR="000F338F">
          <w:rPr>
            <w:rStyle w:val="Hyperlink"/>
            <w:kern w:val="22"/>
            <w:lang w:val="es-ES"/>
          </w:rPr>
          <w:t>C</w:t>
        </w:r>
        <w:r w:rsidR="002C39AF" w:rsidRPr="008770F1">
          <w:rPr>
            <w:rStyle w:val="Hyperlink"/>
            <w:kern w:val="22"/>
            <w:lang w:val="es-ES"/>
          </w:rPr>
          <w:t xml:space="preserve">entro de </w:t>
        </w:r>
        <w:r w:rsidR="000F338F">
          <w:rPr>
            <w:rStyle w:val="Hyperlink"/>
            <w:kern w:val="22"/>
            <w:lang w:val="es-ES"/>
          </w:rPr>
          <w:t>I</w:t>
        </w:r>
        <w:r w:rsidR="002C39AF" w:rsidRPr="008770F1">
          <w:rPr>
            <w:rStyle w:val="Hyperlink"/>
            <w:kern w:val="22"/>
            <w:lang w:val="es-ES"/>
          </w:rPr>
          <w:t xml:space="preserve">ntercambio de </w:t>
        </w:r>
        <w:r w:rsidR="000F338F">
          <w:rPr>
            <w:rStyle w:val="Hyperlink"/>
            <w:kern w:val="22"/>
            <w:lang w:val="es-ES"/>
          </w:rPr>
          <w:t>I</w:t>
        </w:r>
        <w:r w:rsidR="002C39AF" w:rsidRPr="008770F1">
          <w:rPr>
            <w:rStyle w:val="Hyperlink"/>
            <w:kern w:val="22"/>
            <w:lang w:val="es-ES"/>
          </w:rPr>
          <w:t xml:space="preserve">nformación sobre </w:t>
        </w:r>
        <w:r w:rsidR="000F338F">
          <w:rPr>
            <w:rStyle w:val="Hyperlink"/>
            <w:kern w:val="22"/>
            <w:lang w:val="es-ES"/>
          </w:rPr>
          <w:t>S</w:t>
        </w:r>
        <w:r w:rsidR="002C39AF" w:rsidRPr="008770F1">
          <w:rPr>
            <w:rStyle w:val="Hyperlink"/>
            <w:kern w:val="22"/>
            <w:lang w:val="es-ES"/>
          </w:rPr>
          <w:t>eguridad</w:t>
        </w:r>
        <w:r w:rsidR="00460F90">
          <w:rPr>
            <w:rStyle w:val="Hyperlink"/>
            <w:kern w:val="22"/>
            <w:lang w:val="es-ES"/>
          </w:rPr>
          <w:t> </w:t>
        </w:r>
        <w:r w:rsidR="002C39AF" w:rsidRPr="008770F1">
          <w:rPr>
            <w:rStyle w:val="Hyperlink"/>
            <w:kern w:val="22"/>
            <w:lang w:val="es-ES"/>
          </w:rPr>
          <w:t>de</w:t>
        </w:r>
        <w:r w:rsidR="000F338F">
          <w:rPr>
            <w:rStyle w:val="Hyperlink"/>
            <w:kern w:val="22"/>
            <w:lang w:val="es-ES"/>
          </w:rPr>
          <w:t> </w:t>
        </w:r>
        <w:r w:rsidR="002C39AF" w:rsidRPr="008770F1">
          <w:rPr>
            <w:rStyle w:val="Hyperlink"/>
            <w:kern w:val="22"/>
            <w:lang w:val="es-ES"/>
          </w:rPr>
          <w:t xml:space="preserve">la </w:t>
        </w:r>
        <w:r w:rsidR="000F338F">
          <w:rPr>
            <w:rStyle w:val="Hyperlink"/>
            <w:kern w:val="22"/>
            <w:lang w:val="es-ES"/>
          </w:rPr>
          <w:t>B</w:t>
        </w:r>
        <w:r w:rsidR="002C39AF" w:rsidRPr="008770F1">
          <w:rPr>
            <w:rStyle w:val="Hyperlink"/>
            <w:kern w:val="22"/>
            <w:lang w:val="es-ES"/>
          </w:rPr>
          <w:t>iotecnología (artículo 20)</w:t>
        </w:r>
        <w:r w:rsidR="002C39AF">
          <w:rPr>
            <w:webHidden/>
          </w:rPr>
          <w:tab/>
        </w:r>
        <w:r>
          <w:rPr>
            <w:webHidden/>
          </w:rPr>
          <w:fldChar w:fldCharType="begin"/>
        </w:r>
        <w:r w:rsidR="002C39AF">
          <w:rPr>
            <w:webHidden/>
          </w:rPr>
          <w:instrText xml:space="preserve"> PAGEREF _Toc5922099 \h </w:instrText>
        </w:r>
        <w:r>
          <w:rPr>
            <w:webHidden/>
          </w:rPr>
        </w:r>
        <w:r>
          <w:rPr>
            <w:webHidden/>
          </w:rPr>
          <w:fldChar w:fldCharType="separate"/>
        </w:r>
        <w:r w:rsidR="00B6400C">
          <w:rPr>
            <w:webHidden/>
          </w:rPr>
          <w:t>77</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0" w:history="1">
        <w:r w:rsidR="002C39AF">
          <w:rPr>
            <w:rStyle w:val="Hyperlink"/>
            <w:lang w:val="es-ES"/>
          </w:rPr>
          <w:t>T</w:t>
        </w:r>
        <w:r w:rsidR="002C39AF" w:rsidRPr="008770F1">
          <w:rPr>
            <w:rStyle w:val="Hyperlink"/>
            <w:lang w:val="es-ES"/>
          </w:rPr>
          <w:t>ema 10.</w:t>
        </w:r>
        <w:r w:rsidR="002C39AF">
          <w:rPr>
            <w:rFonts w:asciiTheme="minorHAnsi" w:eastAsiaTheme="minorEastAsia" w:hAnsiTheme="minorHAnsi" w:cstheme="minorBidi"/>
            <w:lang w:val="es-UY" w:eastAsia="es-UY"/>
          </w:rPr>
          <w:tab/>
        </w:r>
        <w:r w:rsidR="002C39AF" w:rsidRPr="008770F1">
          <w:rPr>
            <w:rStyle w:val="Hyperlink"/>
            <w:lang w:val="es-ES"/>
          </w:rPr>
          <w:t>Vigilancia y presentación de informes (artículo 33) y evaluación y revisión de la eficacia</w:t>
        </w:r>
        <w:r w:rsidR="00460F90">
          <w:rPr>
            <w:rStyle w:val="Hyperlink"/>
            <w:lang w:val="es-ES"/>
          </w:rPr>
          <w:t> </w:t>
        </w:r>
        <w:r w:rsidR="002C39AF" w:rsidRPr="008770F1">
          <w:rPr>
            <w:rStyle w:val="Hyperlink"/>
            <w:lang w:val="es-ES"/>
          </w:rPr>
          <w:t>del</w:t>
        </w:r>
        <w:r w:rsidR="000F338F">
          <w:rPr>
            <w:rStyle w:val="Hyperlink"/>
            <w:lang w:val="es-ES"/>
          </w:rPr>
          <w:t> P</w:t>
        </w:r>
        <w:r w:rsidR="002C39AF" w:rsidRPr="008770F1">
          <w:rPr>
            <w:rStyle w:val="Hyperlink"/>
            <w:lang w:val="es-ES"/>
          </w:rPr>
          <w:t>rotocolo (artículo 35)</w:t>
        </w:r>
        <w:r w:rsidR="002C39AF">
          <w:rPr>
            <w:webHidden/>
          </w:rPr>
          <w:tab/>
        </w:r>
        <w:r>
          <w:rPr>
            <w:webHidden/>
          </w:rPr>
          <w:fldChar w:fldCharType="begin"/>
        </w:r>
        <w:r w:rsidR="002C39AF">
          <w:rPr>
            <w:webHidden/>
          </w:rPr>
          <w:instrText xml:space="preserve"> PAGEREF _Toc5922100 \h </w:instrText>
        </w:r>
        <w:r>
          <w:rPr>
            <w:webHidden/>
          </w:rPr>
        </w:r>
        <w:r>
          <w:rPr>
            <w:webHidden/>
          </w:rPr>
          <w:fldChar w:fldCharType="separate"/>
        </w:r>
        <w:r w:rsidR="00B6400C">
          <w:rPr>
            <w:webHidden/>
          </w:rPr>
          <w:t>78</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1" w:history="1">
        <w:r w:rsidR="002C39AF">
          <w:rPr>
            <w:rStyle w:val="Hyperlink"/>
            <w:lang w:val="es-ES"/>
          </w:rPr>
          <w:t>T</w:t>
        </w:r>
        <w:r w:rsidR="002C39AF" w:rsidRPr="008770F1">
          <w:rPr>
            <w:rStyle w:val="Hyperlink"/>
            <w:lang w:val="es-ES"/>
          </w:rPr>
          <w:t xml:space="preserve">ema 11. </w:t>
        </w:r>
        <w:r w:rsidR="002C39AF">
          <w:rPr>
            <w:rFonts w:asciiTheme="minorHAnsi" w:eastAsiaTheme="minorEastAsia" w:hAnsiTheme="minorHAnsi" w:cstheme="minorBidi"/>
            <w:lang w:val="es-UY" w:eastAsia="es-UY"/>
          </w:rPr>
          <w:tab/>
        </w:r>
        <w:r w:rsidR="002C39AF" w:rsidRPr="008770F1">
          <w:rPr>
            <w:rStyle w:val="Hyperlink"/>
            <w:lang w:val="es-ES"/>
          </w:rPr>
          <w:t xml:space="preserve">Mayor integración en el marco del </w:t>
        </w:r>
        <w:r w:rsidR="000F338F">
          <w:rPr>
            <w:rStyle w:val="Hyperlink"/>
            <w:lang w:val="es-ES"/>
          </w:rPr>
          <w:t>C</w:t>
        </w:r>
        <w:r w:rsidR="002C39AF" w:rsidRPr="008770F1">
          <w:rPr>
            <w:rStyle w:val="Hyperlink"/>
            <w:lang w:val="es-ES"/>
          </w:rPr>
          <w:t xml:space="preserve">onvenio y sus </w:t>
        </w:r>
        <w:r w:rsidR="000F338F">
          <w:rPr>
            <w:rStyle w:val="Hyperlink"/>
            <w:lang w:val="es-ES"/>
          </w:rPr>
          <w:t>P</w:t>
        </w:r>
        <w:r w:rsidR="002C39AF" w:rsidRPr="008770F1">
          <w:rPr>
            <w:rStyle w:val="Hyperlink"/>
            <w:lang w:val="es-ES"/>
          </w:rPr>
          <w:t>rotocolos con respecto a disposiciones relacionadas con la seguridad de la biotecnología</w:t>
        </w:r>
        <w:r w:rsidR="002C39AF">
          <w:rPr>
            <w:webHidden/>
          </w:rPr>
          <w:tab/>
        </w:r>
        <w:r>
          <w:rPr>
            <w:webHidden/>
          </w:rPr>
          <w:fldChar w:fldCharType="begin"/>
        </w:r>
        <w:r w:rsidR="002C39AF">
          <w:rPr>
            <w:webHidden/>
          </w:rPr>
          <w:instrText xml:space="preserve"> PAGEREF _Toc5922101 \h </w:instrText>
        </w:r>
        <w:r>
          <w:rPr>
            <w:webHidden/>
          </w:rPr>
        </w:r>
        <w:r>
          <w:rPr>
            <w:webHidden/>
          </w:rPr>
          <w:fldChar w:fldCharType="separate"/>
        </w:r>
        <w:r w:rsidR="00B6400C">
          <w:rPr>
            <w:webHidden/>
          </w:rPr>
          <w:t>79</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2" w:history="1">
        <w:r w:rsidR="002C39AF">
          <w:rPr>
            <w:rStyle w:val="Hyperlink"/>
            <w:lang w:val="es-ES"/>
          </w:rPr>
          <w:t>T</w:t>
        </w:r>
        <w:r w:rsidR="002C39AF" w:rsidRPr="008770F1">
          <w:rPr>
            <w:rStyle w:val="Hyperlink"/>
            <w:lang w:val="es-ES"/>
          </w:rPr>
          <w:t>ema 12.</w:t>
        </w:r>
        <w:r w:rsidR="002C39AF">
          <w:rPr>
            <w:rFonts w:asciiTheme="minorHAnsi" w:eastAsiaTheme="minorEastAsia" w:hAnsiTheme="minorHAnsi" w:cstheme="minorBidi"/>
            <w:lang w:val="es-UY" w:eastAsia="es-UY"/>
          </w:rPr>
          <w:tab/>
        </w:r>
        <w:r w:rsidR="002C39AF" w:rsidRPr="008770F1">
          <w:rPr>
            <w:rStyle w:val="Hyperlink"/>
            <w:lang w:val="es-ES"/>
          </w:rPr>
          <w:t>Cooperación con otras organizaciones, convenios e iniciativas</w:t>
        </w:r>
        <w:r w:rsidR="002C39AF">
          <w:rPr>
            <w:webHidden/>
          </w:rPr>
          <w:tab/>
        </w:r>
        <w:r>
          <w:rPr>
            <w:webHidden/>
          </w:rPr>
          <w:fldChar w:fldCharType="begin"/>
        </w:r>
        <w:r w:rsidR="002C39AF">
          <w:rPr>
            <w:webHidden/>
          </w:rPr>
          <w:instrText xml:space="preserve"> PAGEREF _Toc5922102 \h </w:instrText>
        </w:r>
        <w:r>
          <w:rPr>
            <w:webHidden/>
          </w:rPr>
        </w:r>
        <w:r>
          <w:rPr>
            <w:webHidden/>
          </w:rPr>
          <w:fldChar w:fldCharType="separate"/>
        </w:r>
        <w:r w:rsidR="00B6400C">
          <w:rPr>
            <w:webHidden/>
          </w:rPr>
          <w:t>80</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3" w:history="1">
        <w:r w:rsidR="002C39AF">
          <w:rPr>
            <w:rStyle w:val="Hyperlink"/>
            <w:lang w:val="es-ES"/>
          </w:rPr>
          <w:t>T</w:t>
        </w:r>
        <w:r w:rsidR="002C39AF" w:rsidRPr="008770F1">
          <w:rPr>
            <w:rStyle w:val="Hyperlink"/>
            <w:lang w:val="es-ES"/>
          </w:rPr>
          <w:t>ema 13.</w:t>
        </w:r>
        <w:r w:rsidR="002C39AF">
          <w:rPr>
            <w:rFonts w:asciiTheme="minorHAnsi" w:eastAsiaTheme="minorEastAsia" w:hAnsiTheme="minorHAnsi" w:cstheme="minorBidi"/>
            <w:lang w:val="es-UY" w:eastAsia="es-UY"/>
          </w:rPr>
          <w:tab/>
        </w:r>
        <w:r w:rsidR="002C39AF" w:rsidRPr="008770F1">
          <w:rPr>
            <w:rStyle w:val="Hyperlink"/>
            <w:lang w:val="es-ES"/>
          </w:rPr>
          <w:t xml:space="preserve">Revisión de la eficacia de las estructuras y los procesos en el marco del </w:t>
        </w:r>
        <w:r w:rsidR="000F338F">
          <w:rPr>
            <w:rStyle w:val="Hyperlink"/>
            <w:lang w:val="es-ES"/>
          </w:rPr>
          <w:t>C</w:t>
        </w:r>
        <w:r w:rsidR="002C39AF" w:rsidRPr="008770F1">
          <w:rPr>
            <w:rStyle w:val="Hyperlink"/>
            <w:lang w:val="es-ES"/>
          </w:rPr>
          <w:t>onvenio</w:t>
        </w:r>
        <w:r w:rsidR="00916DF6">
          <w:rPr>
            <w:rStyle w:val="Hyperlink"/>
            <w:lang w:val="es-ES"/>
          </w:rPr>
          <w:t> </w:t>
        </w:r>
        <w:r w:rsidR="002C39AF" w:rsidRPr="008770F1">
          <w:rPr>
            <w:rStyle w:val="Hyperlink"/>
            <w:lang w:val="es-ES"/>
          </w:rPr>
          <w:t>y</w:t>
        </w:r>
        <w:r w:rsidR="00916DF6">
          <w:rPr>
            <w:rStyle w:val="Hyperlink"/>
            <w:lang w:val="es-ES"/>
          </w:rPr>
          <w:t> </w:t>
        </w:r>
        <w:r w:rsidR="002C39AF" w:rsidRPr="008770F1">
          <w:rPr>
            <w:rStyle w:val="Hyperlink"/>
            <w:lang w:val="es-ES"/>
          </w:rPr>
          <w:t>sus</w:t>
        </w:r>
        <w:r w:rsidR="00460F90">
          <w:rPr>
            <w:rStyle w:val="Hyperlink"/>
            <w:lang w:val="es-ES"/>
          </w:rPr>
          <w:t> </w:t>
        </w:r>
        <w:r w:rsidR="000F338F">
          <w:rPr>
            <w:rStyle w:val="Hyperlink"/>
            <w:lang w:val="es-ES"/>
          </w:rPr>
          <w:t>P</w:t>
        </w:r>
        <w:r w:rsidR="002C39AF" w:rsidRPr="008770F1">
          <w:rPr>
            <w:rStyle w:val="Hyperlink"/>
            <w:lang w:val="es-ES"/>
          </w:rPr>
          <w:t>rotocolos</w:t>
        </w:r>
        <w:r w:rsidR="002C39AF">
          <w:rPr>
            <w:webHidden/>
          </w:rPr>
          <w:tab/>
        </w:r>
        <w:r>
          <w:rPr>
            <w:webHidden/>
          </w:rPr>
          <w:fldChar w:fldCharType="begin"/>
        </w:r>
        <w:r w:rsidR="002C39AF">
          <w:rPr>
            <w:webHidden/>
          </w:rPr>
          <w:instrText xml:space="preserve"> PAGEREF _Toc5922103 \h </w:instrText>
        </w:r>
        <w:r>
          <w:rPr>
            <w:webHidden/>
          </w:rPr>
        </w:r>
        <w:r>
          <w:rPr>
            <w:webHidden/>
          </w:rPr>
          <w:fldChar w:fldCharType="separate"/>
        </w:r>
        <w:r w:rsidR="00B6400C">
          <w:rPr>
            <w:webHidden/>
          </w:rPr>
          <w:t>80</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4" w:history="1">
        <w:r w:rsidR="002C39AF">
          <w:rPr>
            <w:rStyle w:val="Hyperlink"/>
            <w:lang w:val="es-ES"/>
          </w:rPr>
          <w:t>T</w:t>
        </w:r>
        <w:r w:rsidR="002C39AF" w:rsidRPr="008770F1">
          <w:rPr>
            <w:rStyle w:val="Hyperlink"/>
            <w:lang w:val="es-ES"/>
          </w:rPr>
          <w:t>ema 14.</w:t>
        </w:r>
        <w:r w:rsidR="002C39AF">
          <w:rPr>
            <w:rFonts w:asciiTheme="minorHAnsi" w:eastAsiaTheme="minorEastAsia" w:hAnsiTheme="minorHAnsi" w:cstheme="minorBidi"/>
            <w:lang w:val="es-UY" w:eastAsia="es-UY"/>
          </w:rPr>
          <w:tab/>
        </w:r>
        <w:r w:rsidR="002C39AF" w:rsidRPr="008770F1">
          <w:rPr>
            <w:rStyle w:val="Hyperlink"/>
            <w:lang w:val="es-ES"/>
          </w:rPr>
          <w:t xml:space="preserve">Preparación para los instrumentos que sucederán al </w:t>
        </w:r>
        <w:r w:rsidR="000F338F">
          <w:rPr>
            <w:rStyle w:val="Hyperlink"/>
            <w:lang w:val="es-ES"/>
          </w:rPr>
          <w:t>P</w:t>
        </w:r>
        <w:r w:rsidR="002C39AF" w:rsidRPr="008770F1">
          <w:rPr>
            <w:rStyle w:val="Hyperlink"/>
            <w:lang w:val="es-ES"/>
          </w:rPr>
          <w:t xml:space="preserve">lan </w:t>
        </w:r>
        <w:r w:rsidR="000F338F">
          <w:rPr>
            <w:rStyle w:val="Hyperlink"/>
            <w:lang w:val="es-ES"/>
          </w:rPr>
          <w:t>E</w:t>
        </w:r>
        <w:r w:rsidR="002C39AF" w:rsidRPr="008770F1">
          <w:rPr>
            <w:rStyle w:val="Hyperlink"/>
            <w:lang w:val="es-ES"/>
          </w:rPr>
          <w:t xml:space="preserve">stratégico para la </w:t>
        </w:r>
        <w:r w:rsidR="000F338F">
          <w:rPr>
            <w:rStyle w:val="Hyperlink"/>
            <w:lang w:val="es-ES"/>
          </w:rPr>
          <w:t>D</w:t>
        </w:r>
        <w:r w:rsidR="002C39AF" w:rsidRPr="008770F1">
          <w:rPr>
            <w:rStyle w:val="Hyperlink"/>
            <w:lang w:val="es-ES"/>
          </w:rPr>
          <w:t xml:space="preserve">iversidad </w:t>
        </w:r>
        <w:r w:rsidR="000F338F">
          <w:rPr>
            <w:rStyle w:val="Hyperlink"/>
            <w:lang w:val="es-ES"/>
          </w:rPr>
          <w:t>B</w:t>
        </w:r>
        <w:r w:rsidR="002C39AF" w:rsidRPr="008770F1">
          <w:rPr>
            <w:rStyle w:val="Hyperlink"/>
            <w:lang w:val="es-ES"/>
          </w:rPr>
          <w:t xml:space="preserve">iológica 2011-2020 y al </w:t>
        </w:r>
        <w:r w:rsidR="000F338F">
          <w:rPr>
            <w:rStyle w:val="Hyperlink"/>
            <w:lang w:val="es-ES"/>
          </w:rPr>
          <w:t>P</w:t>
        </w:r>
        <w:r w:rsidR="002C39AF" w:rsidRPr="008770F1">
          <w:rPr>
            <w:rStyle w:val="Hyperlink"/>
            <w:lang w:val="es-ES"/>
          </w:rPr>
          <w:t xml:space="preserve">lan </w:t>
        </w:r>
        <w:r w:rsidR="000F338F">
          <w:rPr>
            <w:rStyle w:val="Hyperlink"/>
            <w:lang w:val="es-ES"/>
          </w:rPr>
          <w:t>E</w:t>
        </w:r>
        <w:r w:rsidR="002C39AF" w:rsidRPr="008770F1">
          <w:rPr>
            <w:rStyle w:val="Hyperlink"/>
            <w:lang w:val="es-ES"/>
          </w:rPr>
          <w:t xml:space="preserve">stratégico para el </w:t>
        </w:r>
        <w:r w:rsidR="000F338F">
          <w:rPr>
            <w:rStyle w:val="Hyperlink"/>
            <w:lang w:val="es-ES"/>
          </w:rPr>
          <w:t>P</w:t>
        </w:r>
        <w:r w:rsidR="002C39AF" w:rsidRPr="008770F1">
          <w:rPr>
            <w:rStyle w:val="Hyperlink"/>
            <w:lang w:val="es-ES"/>
          </w:rPr>
          <w:t xml:space="preserve">rotocolo de </w:t>
        </w:r>
        <w:r w:rsidR="000F338F">
          <w:rPr>
            <w:rStyle w:val="Hyperlink"/>
            <w:lang w:val="es-ES"/>
          </w:rPr>
          <w:t>C</w:t>
        </w:r>
        <w:r w:rsidR="002C39AF" w:rsidRPr="008770F1">
          <w:rPr>
            <w:rStyle w:val="Hyperlink"/>
            <w:lang w:val="es-ES"/>
          </w:rPr>
          <w:t xml:space="preserve">artagena sobre </w:t>
        </w:r>
        <w:r w:rsidR="000F338F">
          <w:rPr>
            <w:rStyle w:val="Hyperlink"/>
            <w:lang w:val="es-ES"/>
          </w:rPr>
          <w:t>S</w:t>
        </w:r>
        <w:r w:rsidR="002C39AF" w:rsidRPr="008770F1">
          <w:rPr>
            <w:rStyle w:val="Hyperlink"/>
            <w:lang w:val="es-ES"/>
          </w:rPr>
          <w:t>eguridad de</w:t>
        </w:r>
        <w:r w:rsidR="000F338F">
          <w:rPr>
            <w:rStyle w:val="Hyperlink"/>
            <w:sz w:val="20"/>
            <w:lang w:val="es-ES"/>
          </w:rPr>
          <w:t> </w:t>
        </w:r>
        <w:r w:rsidR="002C39AF" w:rsidRPr="008770F1">
          <w:rPr>
            <w:rStyle w:val="Hyperlink"/>
            <w:lang w:val="es-ES"/>
          </w:rPr>
          <w:t xml:space="preserve">la </w:t>
        </w:r>
        <w:r w:rsidR="000F338F">
          <w:rPr>
            <w:rStyle w:val="Hyperlink"/>
            <w:lang w:val="es-ES"/>
          </w:rPr>
          <w:t>B</w:t>
        </w:r>
        <w:r w:rsidR="002C39AF" w:rsidRPr="008770F1">
          <w:rPr>
            <w:rStyle w:val="Hyperlink"/>
            <w:lang w:val="es-ES"/>
          </w:rPr>
          <w:t>iotecnología 2011-2020</w:t>
        </w:r>
        <w:r w:rsidR="002C39AF">
          <w:rPr>
            <w:webHidden/>
          </w:rPr>
          <w:tab/>
        </w:r>
        <w:r>
          <w:rPr>
            <w:webHidden/>
          </w:rPr>
          <w:fldChar w:fldCharType="begin"/>
        </w:r>
        <w:r w:rsidR="002C39AF">
          <w:rPr>
            <w:webHidden/>
          </w:rPr>
          <w:instrText xml:space="preserve"> PAGEREF _Toc5922104 \h </w:instrText>
        </w:r>
        <w:r>
          <w:rPr>
            <w:webHidden/>
          </w:rPr>
        </w:r>
        <w:r>
          <w:rPr>
            <w:webHidden/>
          </w:rPr>
          <w:fldChar w:fldCharType="separate"/>
        </w:r>
        <w:r w:rsidR="00B6400C">
          <w:rPr>
            <w:webHidden/>
          </w:rPr>
          <w:t>81</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5" w:history="1">
        <w:r w:rsidR="002C39AF">
          <w:rPr>
            <w:rStyle w:val="Hyperlink"/>
            <w:lang w:val="es-ES"/>
          </w:rPr>
          <w:t>T</w:t>
        </w:r>
        <w:r w:rsidR="002C39AF" w:rsidRPr="008770F1">
          <w:rPr>
            <w:rStyle w:val="Hyperlink"/>
            <w:lang w:val="es-ES"/>
          </w:rPr>
          <w:t>ema 15.</w:t>
        </w:r>
        <w:r w:rsidR="002C39AF">
          <w:rPr>
            <w:rFonts w:asciiTheme="minorHAnsi" w:eastAsiaTheme="minorEastAsia" w:hAnsiTheme="minorHAnsi" w:cstheme="minorBidi"/>
            <w:lang w:val="es-UY" w:eastAsia="es-UY"/>
          </w:rPr>
          <w:tab/>
        </w:r>
        <w:r w:rsidR="002C39AF" w:rsidRPr="008770F1">
          <w:rPr>
            <w:rStyle w:val="Hyperlink"/>
            <w:lang w:val="es-ES"/>
          </w:rPr>
          <w:t>Evaluación del riesgo y gestión del riesgo (artículos 15 y 16)</w:t>
        </w:r>
        <w:r w:rsidR="002C39AF">
          <w:rPr>
            <w:webHidden/>
          </w:rPr>
          <w:tab/>
        </w:r>
        <w:r>
          <w:rPr>
            <w:webHidden/>
          </w:rPr>
          <w:fldChar w:fldCharType="begin"/>
        </w:r>
        <w:r w:rsidR="002C39AF">
          <w:rPr>
            <w:webHidden/>
          </w:rPr>
          <w:instrText xml:space="preserve"> PAGEREF _Toc5922105 \h </w:instrText>
        </w:r>
        <w:r>
          <w:rPr>
            <w:webHidden/>
          </w:rPr>
        </w:r>
        <w:r>
          <w:rPr>
            <w:webHidden/>
          </w:rPr>
          <w:fldChar w:fldCharType="separate"/>
        </w:r>
        <w:r w:rsidR="00B6400C">
          <w:rPr>
            <w:webHidden/>
          </w:rPr>
          <w:t>83</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6" w:history="1">
        <w:r w:rsidR="002C39AF">
          <w:rPr>
            <w:rStyle w:val="Hyperlink"/>
            <w:lang w:val="es-ES"/>
          </w:rPr>
          <w:t>T</w:t>
        </w:r>
        <w:r w:rsidR="002C39AF" w:rsidRPr="008770F1">
          <w:rPr>
            <w:rStyle w:val="Hyperlink"/>
            <w:lang w:val="es-ES"/>
          </w:rPr>
          <w:t>ema 16.</w:t>
        </w:r>
        <w:r w:rsidR="002C39AF">
          <w:rPr>
            <w:rFonts w:asciiTheme="minorHAnsi" w:eastAsiaTheme="minorEastAsia" w:hAnsiTheme="minorHAnsi" w:cstheme="minorBidi"/>
            <w:lang w:val="es-UY" w:eastAsia="es-UY"/>
          </w:rPr>
          <w:tab/>
        </w:r>
        <w:r w:rsidR="002C39AF" w:rsidRPr="008770F1">
          <w:rPr>
            <w:rStyle w:val="Hyperlink"/>
            <w:lang w:val="es-ES"/>
          </w:rPr>
          <w:t>Movimientos transfronterizos involuntarios y medidas de emergencia</w:t>
        </w:r>
        <w:r w:rsidR="008378A8">
          <w:rPr>
            <w:rStyle w:val="Hyperlink"/>
            <w:lang w:val="es-ES"/>
          </w:rPr>
          <w:br w:type="textWrapping" w:clear="all"/>
        </w:r>
        <w:r w:rsidR="002C39AF" w:rsidRPr="008770F1">
          <w:rPr>
            <w:rStyle w:val="Hyperlink"/>
            <w:lang w:val="es-ES"/>
          </w:rPr>
          <w:t>(artículo 17)</w:t>
        </w:r>
        <w:r w:rsidR="002C39AF">
          <w:rPr>
            <w:webHidden/>
          </w:rPr>
          <w:tab/>
        </w:r>
        <w:r>
          <w:rPr>
            <w:webHidden/>
          </w:rPr>
          <w:fldChar w:fldCharType="begin"/>
        </w:r>
        <w:r w:rsidR="002C39AF">
          <w:rPr>
            <w:webHidden/>
          </w:rPr>
          <w:instrText xml:space="preserve"> PAGEREF _Toc5922106 \h </w:instrText>
        </w:r>
        <w:r>
          <w:rPr>
            <w:webHidden/>
          </w:rPr>
        </w:r>
        <w:r>
          <w:rPr>
            <w:webHidden/>
          </w:rPr>
          <w:fldChar w:fldCharType="separate"/>
        </w:r>
        <w:r w:rsidR="00B6400C">
          <w:rPr>
            <w:webHidden/>
          </w:rPr>
          <w:t>83</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7" w:history="1">
        <w:r w:rsidR="002C39AF">
          <w:rPr>
            <w:rStyle w:val="Hyperlink"/>
            <w:lang w:val="es-ES"/>
          </w:rPr>
          <w:t>T</w:t>
        </w:r>
        <w:r w:rsidR="002C39AF" w:rsidRPr="008770F1">
          <w:rPr>
            <w:rStyle w:val="Hyperlink"/>
            <w:lang w:val="es-ES"/>
          </w:rPr>
          <w:t>ema 17.</w:t>
        </w:r>
        <w:r w:rsidR="002C39AF">
          <w:rPr>
            <w:rFonts w:asciiTheme="minorHAnsi" w:eastAsiaTheme="minorEastAsia" w:hAnsiTheme="minorHAnsi" w:cstheme="minorBidi"/>
            <w:lang w:val="es-UY" w:eastAsia="es-UY"/>
          </w:rPr>
          <w:tab/>
        </w:r>
        <w:r w:rsidR="002C39AF" w:rsidRPr="008770F1">
          <w:rPr>
            <w:rStyle w:val="Hyperlink"/>
            <w:lang w:val="es-ES"/>
          </w:rPr>
          <w:t>Tránsito y uso confinado de organismos vivos modificados (artículo 6)</w:t>
        </w:r>
        <w:r w:rsidR="002C39AF">
          <w:rPr>
            <w:webHidden/>
          </w:rPr>
          <w:tab/>
        </w:r>
        <w:r>
          <w:rPr>
            <w:webHidden/>
          </w:rPr>
          <w:fldChar w:fldCharType="begin"/>
        </w:r>
        <w:r w:rsidR="002C39AF">
          <w:rPr>
            <w:webHidden/>
          </w:rPr>
          <w:instrText xml:space="preserve"> PAGEREF _Toc5922107 \h </w:instrText>
        </w:r>
        <w:r>
          <w:rPr>
            <w:webHidden/>
          </w:rPr>
        </w:r>
        <w:r>
          <w:rPr>
            <w:webHidden/>
          </w:rPr>
          <w:fldChar w:fldCharType="separate"/>
        </w:r>
        <w:r w:rsidR="00B6400C">
          <w:rPr>
            <w:webHidden/>
          </w:rPr>
          <w:t>84</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8" w:history="1">
        <w:r w:rsidR="002C39AF">
          <w:rPr>
            <w:rStyle w:val="Hyperlink"/>
            <w:lang w:val="es-ES"/>
          </w:rPr>
          <w:t>T</w:t>
        </w:r>
        <w:r w:rsidR="002C39AF" w:rsidRPr="008770F1">
          <w:rPr>
            <w:rStyle w:val="Hyperlink"/>
            <w:lang w:val="es-ES"/>
          </w:rPr>
          <w:t>ema 18.</w:t>
        </w:r>
        <w:r w:rsidR="002C39AF">
          <w:rPr>
            <w:rFonts w:asciiTheme="minorHAnsi" w:eastAsiaTheme="minorEastAsia" w:hAnsiTheme="minorHAnsi" w:cstheme="minorBidi"/>
            <w:lang w:val="es-UY" w:eastAsia="es-UY"/>
          </w:rPr>
          <w:tab/>
        </w:r>
        <w:r w:rsidR="002C39AF" w:rsidRPr="008770F1">
          <w:rPr>
            <w:rStyle w:val="Hyperlink"/>
            <w:lang w:val="es-ES"/>
          </w:rPr>
          <w:t>Consideraciones socioeconómicas (artículo 26)</w:t>
        </w:r>
        <w:r w:rsidR="002C39AF">
          <w:rPr>
            <w:webHidden/>
          </w:rPr>
          <w:tab/>
        </w:r>
        <w:r>
          <w:rPr>
            <w:webHidden/>
          </w:rPr>
          <w:fldChar w:fldCharType="begin"/>
        </w:r>
        <w:r w:rsidR="002C39AF">
          <w:rPr>
            <w:webHidden/>
          </w:rPr>
          <w:instrText xml:space="preserve"> PAGEREF _Toc5922108 \h </w:instrText>
        </w:r>
        <w:r>
          <w:rPr>
            <w:webHidden/>
          </w:rPr>
        </w:r>
        <w:r>
          <w:rPr>
            <w:webHidden/>
          </w:rPr>
          <w:fldChar w:fldCharType="separate"/>
        </w:r>
        <w:r w:rsidR="00B6400C">
          <w:rPr>
            <w:webHidden/>
          </w:rPr>
          <w:t>85</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09" w:history="1">
        <w:r w:rsidR="002C39AF">
          <w:rPr>
            <w:rStyle w:val="Hyperlink"/>
            <w:lang w:val="es-ES"/>
          </w:rPr>
          <w:t>T</w:t>
        </w:r>
        <w:r w:rsidR="002C39AF" w:rsidRPr="008770F1">
          <w:rPr>
            <w:rStyle w:val="Hyperlink"/>
            <w:lang w:val="es-ES"/>
          </w:rPr>
          <w:t>ema 19.</w:t>
        </w:r>
        <w:r w:rsidR="002C39AF">
          <w:rPr>
            <w:rFonts w:asciiTheme="minorHAnsi" w:eastAsiaTheme="minorEastAsia" w:hAnsiTheme="minorHAnsi" w:cstheme="minorBidi"/>
            <w:lang w:val="es-UY" w:eastAsia="es-UY"/>
          </w:rPr>
          <w:tab/>
        </w:r>
        <w:r w:rsidR="002C39AF" w:rsidRPr="000F338F">
          <w:rPr>
            <w:rStyle w:val="Hyperlink"/>
            <w:spacing w:val="-2"/>
            <w:lang w:val="es-ES"/>
          </w:rPr>
          <w:t xml:space="preserve">Protocolo </w:t>
        </w:r>
        <w:r w:rsidR="000F338F" w:rsidRPr="000F338F">
          <w:rPr>
            <w:rStyle w:val="Hyperlink"/>
            <w:spacing w:val="-2"/>
            <w:lang w:val="es-ES"/>
          </w:rPr>
          <w:t>S</w:t>
        </w:r>
        <w:r w:rsidR="002C39AF" w:rsidRPr="000F338F">
          <w:rPr>
            <w:rStyle w:val="Hyperlink"/>
            <w:spacing w:val="-2"/>
            <w:lang w:val="es-ES"/>
          </w:rPr>
          <w:t xml:space="preserve">uplementario de </w:t>
        </w:r>
        <w:r w:rsidR="000F338F" w:rsidRPr="000F338F">
          <w:rPr>
            <w:rStyle w:val="Hyperlink"/>
            <w:spacing w:val="-2"/>
            <w:lang w:val="es-ES"/>
          </w:rPr>
          <w:t>N</w:t>
        </w:r>
        <w:r w:rsidR="002C39AF" w:rsidRPr="000F338F">
          <w:rPr>
            <w:rStyle w:val="Hyperlink"/>
            <w:spacing w:val="-2"/>
            <w:lang w:val="es-ES"/>
          </w:rPr>
          <w:t>agoya–</w:t>
        </w:r>
        <w:r w:rsidR="000F338F" w:rsidRPr="000F338F">
          <w:rPr>
            <w:rStyle w:val="Hyperlink"/>
            <w:spacing w:val="-2"/>
            <w:lang w:val="es-ES"/>
          </w:rPr>
          <w:t>K</w:t>
        </w:r>
        <w:r w:rsidR="002C39AF" w:rsidRPr="000F338F">
          <w:rPr>
            <w:rStyle w:val="Hyperlink"/>
            <w:spacing w:val="-2"/>
            <w:lang w:val="es-ES"/>
          </w:rPr>
          <w:t xml:space="preserve">uala </w:t>
        </w:r>
        <w:r w:rsidR="000F338F" w:rsidRPr="000F338F">
          <w:rPr>
            <w:rStyle w:val="Hyperlink"/>
            <w:spacing w:val="-2"/>
            <w:lang w:val="es-ES"/>
          </w:rPr>
          <w:t>L</w:t>
        </w:r>
        <w:r w:rsidR="002C39AF" w:rsidRPr="000F338F">
          <w:rPr>
            <w:rStyle w:val="Hyperlink"/>
            <w:spacing w:val="-2"/>
            <w:lang w:val="es-ES"/>
          </w:rPr>
          <w:t xml:space="preserve">umpur sobre </w:t>
        </w:r>
        <w:r w:rsidR="000F338F" w:rsidRPr="000F338F">
          <w:rPr>
            <w:rStyle w:val="Hyperlink"/>
            <w:spacing w:val="-2"/>
            <w:lang w:val="es-ES"/>
          </w:rPr>
          <w:t>R</w:t>
        </w:r>
        <w:r w:rsidR="002C39AF" w:rsidRPr="000F338F">
          <w:rPr>
            <w:rStyle w:val="Hyperlink"/>
            <w:spacing w:val="-2"/>
            <w:lang w:val="es-ES"/>
          </w:rPr>
          <w:t xml:space="preserve">esponsabilidad y </w:t>
        </w:r>
        <w:r w:rsidR="000F338F" w:rsidRPr="000F338F">
          <w:rPr>
            <w:rStyle w:val="Hyperlink"/>
            <w:spacing w:val="-2"/>
            <w:lang w:val="es-ES"/>
          </w:rPr>
          <w:t>C</w:t>
        </w:r>
        <w:r w:rsidR="002C39AF" w:rsidRPr="000F338F">
          <w:rPr>
            <w:rStyle w:val="Hyperlink"/>
            <w:spacing w:val="-2"/>
            <w:lang w:val="es-ES"/>
          </w:rPr>
          <w:t>ompensación</w:t>
        </w:r>
        <w:r w:rsidR="002C39AF">
          <w:rPr>
            <w:webHidden/>
          </w:rPr>
          <w:tab/>
        </w:r>
        <w:r>
          <w:rPr>
            <w:webHidden/>
          </w:rPr>
          <w:fldChar w:fldCharType="begin"/>
        </w:r>
        <w:r w:rsidR="002C39AF">
          <w:rPr>
            <w:webHidden/>
          </w:rPr>
          <w:instrText xml:space="preserve"> PAGEREF _Toc5922109 \h </w:instrText>
        </w:r>
        <w:r>
          <w:rPr>
            <w:webHidden/>
          </w:rPr>
        </w:r>
        <w:r>
          <w:rPr>
            <w:webHidden/>
          </w:rPr>
          <w:fldChar w:fldCharType="separate"/>
        </w:r>
        <w:r w:rsidR="00B6400C">
          <w:rPr>
            <w:webHidden/>
          </w:rPr>
          <w:t>86</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10" w:history="1">
        <w:r w:rsidR="002C39AF">
          <w:rPr>
            <w:rStyle w:val="Hyperlink"/>
            <w:lang w:val="es-ES"/>
          </w:rPr>
          <w:t>T</w:t>
        </w:r>
        <w:r w:rsidR="002C39AF" w:rsidRPr="008770F1">
          <w:rPr>
            <w:rStyle w:val="Hyperlink"/>
            <w:lang w:val="es-ES"/>
          </w:rPr>
          <w:t>ema 20.</w:t>
        </w:r>
        <w:r w:rsidR="002C39AF">
          <w:rPr>
            <w:rFonts w:asciiTheme="minorHAnsi" w:eastAsiaTheme="minorEastAsia" w:hAnsiTheme="minorHAnsi" w:cstheme="minorBidi"/>
            <w:lang w:val="es-UY" w:eastAsia="es-UY"/>
          </w:rPr>
          <w:tab/>
        </w:r>
        <w:r w:rsidR="002C39AF" w:rsidRPr="008770F1">
          <w:rPr>
            <w:rStyle w:val="Hyperlink"/>
            <w:rFonts w:eastAsia="Times New Roman" w:cs="Times New Roman"/>
            <w:lang w:val="es-ES"/>
          </w:rPr>
          <w:t>Otros asuntos</w:t>
        </w:r>
        <w:r w:rsidR="002C39AF">
          <w:rPr>
            <w:webHidden/>
          </w:rPr>
          <w:tab/>
        </w:r>
        <w:r>
          <w:rPr>
            <w:webHidden/>
          </w:rPr>
          <w:fldChar w:fldCharType="begin"/>
        </w:r>
        <w:r w:rsidR="002C39AF">
          <w:rPr>
            <w:webHidden/>
          </w:rPr>
          <w:instrText xml:space="preserve"> PAGEREF _Toc5922110 \h </w:instrText>
        </w:r>
        <w:r>
          <w:rPr>
            <w:webHidden/>
          </w:rPr>
        </w:r>
        <w:r>
          <w:rPr>
            <w:webHidden/>
          </w:rPr>
          <w:fldChar w:fldCharType="separate"/>
        </w:r>
        <w:r w:rsidR="00B6400C">
          <w:rPr>
            <w:webHidden/>
          </w:rPr>
          <w:t>86</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11" w:history="1">
        <w:r w:rsidR="002C39AF">
          <w:rPr>
            <w:rStyle w:val="Hyperlink"/>
            <w:lang w:val="es-ES"/>
          </w:rPr>
          <w:t>T</w:t>
        </w:r>
        <w:r w:rsidR="002C39AF" w:rsidRPr="008770F1">
          <w:rPr>
            <w:rStyle w:val="Hyperlink"/>
            <w:lang w:val="es-ES"/>
          </w:rPr>
          <w:t>ema 21.</w:t>
        </w:r>
        <w:r w:rsidR="002C39AF">
          <w:rPr>
            <w:rFonts w:asciiTheme="minorHAnsi" w:eastAsiaTheme="minorEastAsia" w:hAnsiTheme="minorHAnsi" w:cstheme="minorBidi"/>
            <w:lang w:val="es-UY" w:eastAsia="es-UY"/>
          </w:rPr>
          <w:tab/>
        </w:r>
        <w:r w:rsidR="002C39AF" w:rsidRPr="008770F1">
          <w:rPr>
            <w:rStyle w:val="Hyperlink"/>
            <w:lang w:val="es-ES"/>
          </w:rPr>
          <w:t>Adopción del informe</w:t>
        </w:r>
        <w:r w:rsidR="002C39AF">
          <w:rPr>
            <w:webHidden/>
          </w:rPr>
          <w:tab/>
        </w:r>
        <w:r>
          <w:rPr>
            <w:webHidden/>
          </w:rPr>
          <w:fldChar w:fldCharType="begin"/>
        </w:r>
        <w:r w:rsidR="002C39AF">
          <w:rPr>
            <w:webHidden/>
          </w:rPr>
          <w:instrText xml:space="preserve"> PAGEREF _Toc5922111 \h </w:instrText>
        </w:r>
        <w:r>
          <w:rPr>
            <w:webHidden/>
          </w:rPr>
        </w:r>
        <w:r>
          <w:rPr>
            <w:webHidden/>
          </w:rPr>
          <w:fldChar w:fldCharType="separate"/>
        </w:r>
        <w:r w:rsidR="00B6400C">
          <w:rPr>
            <w:webHidden/>
          </w:rPr>
          <w:t>86</w:t>
        </w:r>
        <w:r>
          <w:rPr>
            <w:webHidden/>
          </w:rPr>
          <w:fldChar w:fldCharType="end"/>
        </w:r>
      </w:hyperlink>
    </w:p>
    <w:p w:rsidR="002C39AF" w:rsidRDefault="009503AA" w:rsidP="00A42A79">
      <w:pPr>
        <w:pStyle w:val="TOC2"/>
        <w:ind w:left="1701" w:hanging="992"/>
        <w:rPr>
          <w:rFonts w:asciiTheme="minorHAnsi" w:eastAsiaTheme="minorEastAsia" w:hAnsiTheme="minorHAnsi" w:cstheme="minorBidi"/>
          <w:lang w:val="es-UY" w:eastAsia="es-UY"/>
        </w:rPr>
      </w:pPr>
      <w:hyperlink w:anchor="_Toc5922112" w:history="1">
        <w:r w:rsidR="002C39AF">
          <w:rPr>
            <w:rStyle w:val="Hyperlink"/>
            <w:lang w:val="es-ES"/>
          </w:rPr>
          <w:t>T</w:t>
        </w:r>
        <w:r w:rsidR="002C39AF" w:rsidRPr="008770F1">
          <w:rPr>
            <w:rStyle w:val="Hyperlink"/>
            <w:lang w:val="es-ES"/>
          </w:rPr>
          <w:t>ema 22.</w:t>
        </w:r>
        <w:r w:rsidR="002C39AF">
          <w:rPr>
            <w:rFonts w:asciiTheme="minorHAnsi" w:eastAsiaTheme="minorEastAsia" w:hAnsiTheme="minorHAnsi" w:cstheme="minorBidi"/>
            <w:lang w:val="es-UY" w:eastAsia="es-UY"/>
          </w:rPr>
          <w:tab/>
        </w:r>
        <w:r w:rsidR="002C39AF" w:rsidRPr="008770F1">
          <w:rPr>
            <w:rStyle w:val="Hyperlink"/>
            <w:lang w:val="es-ES"/>
          </w:rPr>
          <w:t>Clausura de la reunión</w:t>
        </w:r>
        <w:r w:rsidR="002C39AF">
          <w:rPr>
            <w:webHidden/>
          </w:rPr>
          <w:tab/>
        </w:r>
        <w:r>
          <w:rPr>
            <w:webHidden/>
          </w:rPr>
          <w:fldChar w:fldCharType="begin"/>
        </w:r>
        <w:r w:rsidR="002C39AF">
          <w:rPr>
            <w:webHidden/>
          </w:rPr>
          <w:instrText xml:space="preserve"> PAGEREF _Toc5922112 \h </w:instrText>
        </w:r>
        <w:r>
          <w:rPr>
            <w:webHidden/>
          </w:rPr>
        </w:r>
        <w:r>
          <w:rPr>
            <w:webHidden/>
          </w:rPr>
          <w:fldChar w:fldCharType="separate"/>
        </w:r>
        <w:r w:rsidR="00B6400C">
          <w:rPr>
            <w:webHidden/>
          </w:rPr>
          <w:t>86</w:t>
        </w:r>
        <w:r>
          <w:rPr>
            <w:webHidden/>
          </w:rPr>
          <w:fldChar w:fldCharType="end"/>
        </w:r>
      </w:hyperlink>
    </w:p>
    <w:p w:rsidR="00376CED" w:rsidRPr="00C901E0" w:rsidRDefault="009503AA" w:rsidP="002C39AF">
      <w:pPr>
        <w:tabs>
          <w:tab w:val="left" w:pos="851"/>
        </w:tabs>
        <w:ind w:left="851" w:hanging="851"/>
        <w:rPr>
          <w:szCs w:val="22"/>
          <w:lang w:val="es-ES"/>
        </w:rPr>
      </w:pPr>
      <w:r w:rsidRPr="00C901E0">
        <w:rPr>
          <w:szCs w:val="22"/>
          <w:lang w:val="es-ES"/>
        </w:rPr>
        <w:fldChar w:fldCharType="end"/>
      </w:r>
      <w:r w:rsidR="00376CED" w:rsidRPr="00C901E0">
        <w:rPr>
          <w:szCs w:val="22"/>
          <w:lang w:val="es-ES"/>
        </w:rPr>
        <w:br w:type="page"/>
      </w:r>
    </w:p>
    <w:p w:rsidR="00376CED" w:rsidRPr="00C901E0" w:rsidRDefault="00EF0503" w:rsidP="00EF0503">
      <w:pPr>
        <w:pStyle w:val="HeadingIreport"/>
        <w:rPr>
          <w:rFonts w:cs="Times New Roman"/>
          <w:szCs w:val="22"/>
          <w:lang w:val="es-ES"/>
        </w:rPr>
      </w:pPr>
      <w:bookmarkStart w:id="4" w:name="_Toc879811"/>
      <w:bookmarkStart w:id="5" w:name="_Toc5922073"/>
      <w:r w:rsidRPr="00C901E0">
        <w:rPr>
          <w:rFonts w:cs="Times New Roman"/>
          <w:szCs w:val="22"/>
          <w:lang w:val="es-ES"/>
        </w:rPr>
        <w:lastRenderedPageBreak/>
        <w:t>I.</w:t>
      </w:r>
      <w:r w:rsidRPr="00C901E0">
        <w:rPr>
          <w:rFonts w:cs="Times New Roman"/>
          <w:szCs w:val="22"/>
          <w:lang w:val="es-ES"/>
        </w:rPr>
        <w:tab/>
      </w:r>
      <w:r w:rsidR="00376CED" w:rsidRPr="00C901E0">
        <w:rPr>
          <w:rFonts w:cs="Times New Roman"/>
          <w:szCs w:val="22"/>
          <w:lang w:val="es-ES"/>
        </w:rPr>
        <w:t>Decision</w:t>
      </w:r>
      <w:r w:rsidR="002C39AF">
        <w:rPr>
          <w:rFonts w:cs="Times New Roman"/>
          <w:szCs w:val="22"/>
          <w:lang w:val="es-ES"/>
        </w:rPr>
        <w:t>e</w:t>
      </w:r>
      <w:r w:rsidR="00376CED" w:rsidRPr="00C901E0">
        <w:rPr>
          <w:rFonts w:cs="Times New Roman"/>
          <w:szCs w:val="22"/>
          <w:lang w:val="es-ES"/>
        </w:rPr>
        <w:t>s</w:t>
      </w:r>
      <w:bookmarkEnd w:id="4"/>
      <w:bookmarkEnd w:id="5"/>
    </w:p>
    <w:p w:rsidR="00376CED" w:rsidRPr="00C901E0" w:rsidRDefault="00376CED" w:rsidP="00C31366">
      <w:pPr>
        <w:pStyle w:val="heading2-item"/>
        <w:rPr>
          <w:snapToGrid w:val="0"/>
          <w:lang w:val="es-ES"/>
        </w:rPr>
      </w:pPr>
      <w:bookmarkStart w:id="6" w:name="_Toc879812"/>
      <w:bookmarkStart w:id="7" w:name="_Toc5922074"/>
      <w:r w:rsidRPr="00C901E0">
        <w:rPr>
          <w:snapToGrid w:val="0"/>
          <w:lang w:val="es-ES"/>
        </w:rPr>
        <w:t>9/1.</w:t>
      </w:r>
      <w:r w:rsidRPr="00C901E0">
        <w:rPr>
          <w:snapToGrid w:val="0"/>
          <w:lang w:val="es-ES"/>
        </w:rPr>
        <w:tab/>
        <w:t>C</w:t>
      </w:r>
      <w:r w:rsidR="000B1C16" w:rsidRPr="00C901E0">
        <w:rPr>
          <w:snapToGrid w:val="0"/>
          <w:lang w:val="es-ES"/>
        </w:rPr>
        <w:t>u</w:t>
      </w:r>
      <w:r w:rsidRPr="00C901E0">
        <w:rPr>
          <w:snapToGrid w:val="0"/>
          <w:lang w:val="es-ES"/>
        </w:rPr>
        <w:t>mpli</w:t>
      </w:r>
      <w:r w:rsidR="000B1C16" w:rsidRPr="00C901E0">
        <w:rPr>
          <w:snapToGrid w:val="0"/>
          <w:lang w:val="es-ES"/>
        </w:rPr>
        <w:t>mie</w:t>
      </w:r>
      <w:r w:rsidRPr="00C901E0">
        <w:rPr>
          <w:snapToGrid w:val="0"/>
          <w:lang w:val="es-ES"/>
        </w:rPr>
        <w:t>n</w:t>
      </w:r>
      <w:bookmarkEnd w:id="6"/>
      <w:r w:rsidR="000B1C16" w:rsidRPr="00C901E0">
        <w:rPr>
          <w:snapToGrid w:val="0"/>
          <w:lang w:val="es-ES"/>
        </w:rPr>
        <w:t>to</w:t>
      </w:r>
      <w:bookmarkEnd w:id="7"/>
    </w:p>
    <w:p w:rsidR="000B1C16" w:rsidRPr="008378A8" w:rsidRDefault="000B1C16" w:rsidP="000B1C16">
      <w:pPr>
        <w:shd w:val="clear" w:color="auto" w:fill="FFFFFF"/>
        <w:spacing w:before="120" w:after="120"/>
        <w:ind w:firstLine="720"/>
        <w:rPr>
          <w:i/>
          <w:kern w:val="22"/>
          <w:sz w:val="22"/>
          <w:szCs w:val="22"/>
          <w:lang w:val="es-ES"/>
        </w:rPr>
      </w:pPr>
      <w:r w:rsidRPr="008378A8">
        <w:rPr>
          <w:i/>
          <w:kern w:val="22"/>
          <w:sz w:val="22"/>
          <w:szCs w:val="22"/>
          <w:lang w:val="es-ES"/>
        </w:rPr>
        <w:t>La Conferencia de las Partes que actúa como reunión de las Partes en el Protocolo de Cartagena sobre Seguridad de la Biotecnología,</w:t>
      </w:r>
    </w:p>
    <w:p w:rsidR="000B1C16" w:rsidRPr="008378A8" w:rsidRDefault="000B1C16" w:rsidP="000B1C16">
      <w:pPr>
        <w:spacing w:after="120"/>
        <w:ind w:firstLine="720"/>
        <w:rPr>
          <w:kern w:val="22"/>
          <w:sz w:val="22"/>
          <w:szCs w:val="22"/>
          <w:lang w:val="es-ES"/>
        </w:rPr>
      </w:pPr>
      <w:r w:rsidRPr="008378A8">
        <w:rPr>
          <w:i/>
          <w:kern w:val="22"/>
          <w:sz w:val="22"/>
          <w:szCs w:val="22"/>
          <w:lang w:val="es-ES"/>
        </w:rPr>
        <w:t xml:space="preserve">Acogiendo con satisfacción </w:t>
      </w:r>
      <w:r w:rsidRPr="008378A8">
        <w:rPr>
          <w:kern w:val="22"/>
          <w:sz w:val="22"/>
          <w:szCs w:val="22"/>
          <w:lang w:val="es-ES"/>
        </w:rPr>
        <w:t xml:space="preserve">las actividades emprendidas por el Comité de Cumplimiento en el último bienio, en consonancia con su función de apoyo para la aplicación del Protocolo de Cartagena sobre Seguridad de la Biotecnología, y </w:t>
      </w:r>
      <w:r w:rsidRPr="008378A8">
        <w:rPr>
          <w:i/>
          <w:kern w:val="22"/>
          <w:sz w:val="22"/>
          <w:szCs w:val="22"/>
          <w:lang w:val="es-ES"/>
        </w:rPr>
        <w:t xml:space="preserve">tomando nota </w:t>
      </w:r>
      <w:r w:rsidRPr="008378A8">
        <w:rPr>
          <w:kern w:val="22"/>
          <w:sz w:val="22"/>
          <w:szCs w:val="22"/>
          <w:lang w:val="es-ES"/>
        </w:rPr>
        <w:t>de sus recomendaciones, que figuran en el anexo de su informe</w:t>
      </w:r>
      <w:r w:rsidRPr="008378A8">
        <w:rPr>
          <w:rStyle w:val="FootnoteReference"/>
          <w:kern w:val="22"/>
          <w:sz w:val="22"/>
          <w:szCs w:val="22"/>
          <w:u w:val="none"/>
          <w:vertAlign w:val="superscript"/>
          <w:lang w:val="es-ES"/>
        </w:rPr>
        <w:footnoteReference w:id="2"/>
      </w:r>
      <w:r w:rsidRPr="008378A8">
        <w:rPr>
          <w:kern w:val="22"/>
          <w:sz w:val="22"/>
          <w:szCs w:val="22"/>
          <w:lang w:val="es-ES"/>
        </w:rPr>
        <w:t>,</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Recuerda</w:t>
      </w:r>
      <w:r w:rsidRPr="00C901E0">
        <w:rPr>
          <w:szCs w:val="24"/>
          <w:lang w:val="es-ES"/>
        </w:rPr>
        <w:t xml:space="preserve"> a las Partes su responsabilidad y obligación de adoptar las medidas jurídicas, administrativas y de otra índole que sean necesarias y adecuadas para aplicar el Protocolo;</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Recuerda también</w:t>
      </w:r>
      <w:r w:rsidRPr="00C901E0">
        <w:rPr>
          <w:szCs w:val="24"/>
          <w:lang w:val="es-ES"/>
        </w:rPr>
        <w:t xml:space="preserve"> a las Partes su obligación de vigilar el cumplimiento de las obligaciones con arreglo al Protocolo, de conformidad con el artículo 33;</w:t>
      </w:r>
    </w:p>
    <w:p w:rsidR="000B1C16" w:rsidRPr="00C901E0" w:rsidRDefault="000B1C16" w:rsidP="000B1C16">
      <w:pPr>
        <w:pStyle w:val="Para1"/>
        <w:numPr>
          <w:ilvl w:val="0"/>
          <w:numId w:val="13"/>
        </w:numPr>
        <w:snapToGrid w:val="0"/>
        <w:spacing w:before="0" w:after="0"/>
        <w:ind w:firstLine="720"/>
        <w:rPr>
          <w:szCs w:val="24"/>
          <w:lang w:val="es-ES"/>
        </w:rPr>
      </w:pPr>
      <w:r w:rsidRPr="00C901E0">
        <w:rPr>
          <w:i/>
          <w:szCs w:val="24"/>
          <w:lang w:val="es-ES"/>
        </w:rPr>
        <w:t>Recuerda</w:t>
      </w:r>
      <w:r w:rsidRPr="00C901E0">
        <w:rPr>
          <w:szCs w:val="24"/>
          <w:lang w:val="es-ES"/>
        </w:rPr>
        <w:t xml:space="preserve"> que se alienta a las Partes que tengan dificultades para cumplir una o más de sus obligaciones contraídas en virtud del Protocolo a solicitar asistencia al Comité de Cumplimiento;</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Pide</w:t>
      </w:r>
      <w:r w:rsidRPr="00C901E0">
        <w:rPr>
          <w:szCs w:val="24"/>
          <w:lang w:val="es-ES"/>
        </w:rPr>
        <w:t xml:space="preserve"> a las Partes que colaboren plenamente cuando se les solicite información respecto al cumplimiento de sus obligaciones contraídas en virtud del Protocolo;</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Invita</w:t>
      </w:r>
      <w:r w:rsidRPr="00C901E0">
        <w:rPr>
          <w:szCs w:val="24"/>
          <w:lang w:val="es-ES"/>
        </w:rPr>
        <w:t xml:space="preserve"> a las Partes que han logrado progresos en el cumplimiento de ciertas obligaciones a compartir información pertinente ingresándola en los campos de texto libre del formato de presentación de informes para el cuarto informe nacional o mediante cooperación bilateral o regional sobre las circunstancias que puedan haber contribuido a esos progresos;</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Alienta</w:t>
      </w:r>
      <w:r w:rsidRPr="00C901E0">
        <w:rPr>
          <w:szCs w:val="24"/>
          <w:lang w:val="es-ES"/>
        </w:rPr>
        <w:t xml:space="preserve"> a las Partes a utilizar los campos de texto libre en el formato de presentación de informes para el cuarto informe nacional para explicar las respuestas brindadas e </w:t>
      </w:r>
      <w:r w:rsidRPr="00C901E0">
        <w:rPr>
          <w:i/>
          <w:szCs w:val="24"/>
          <w:lang w:val="es-ES"/>
        </w:rPr>
        <w:t>invita</w:t>
      </w:r>
      <w:r w:rsidRPr="00C901E0">
        <w:rPr>
          <w:szCs w:val="24"/>
          <w:lang w:val="es-ES"/>
        </w:rPr>
        <w:t xml:space="preserve"> a las Partes que enfrentan dificultades en el cumplimiento de ciertas obligaciones a compartir información sobre esas dificultades ingresándola en los campos de texto libre del formato de presentación de informes para el cuarto informe nacional;</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Observa</w:t>
      </w:r>
      <w:r w:rsidRPr="00C901E0">
        <w:rPr>
          <w:szCs w:val="24"/>
          <w:lang w:val="es-ES"/>
        </w:rPr>
        <w:t xml:space="preserve"> con reconocimiento los esfuerzos realizados por las Partes para cumplir con sus obligaciones contraídas en virtud del Protocolo de poner información a disposición del Centro de Intercambio de Información sobre Seguridad de la Biotecnología;</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Insta</w:t>
      </w:r>
      <w:r w:rsidRPr="00C901E0">
        <w:rPr>
          <w:szCs w:val="24"/>
          <w:lang w:val="es-ES"/>
        </w:rPr>
        <w:t xml:space="preserve"> a las Partes a publicar sin retraso en el Centro de Intercambio de Información sobre Seguridad de la Biotecnología toda la información requerida, en particular evaluaciones del riesgo y decisiones finales relativas al primer movimiento transfronterizo intencional de organismos vivos modificados destinados a la introducción deliberada en el medio ambiente, incluidos los organismos vivos modificados destinados a ensayos prácticos;</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Recuerda</w:t>
      </w:r>
      <w:r w:rsidRPr="00C901E0">
        <w:rPr>
          <w:szCs w:val="24"/>
          <w:lang w:val="es-ES"/>
        </w:rPr>
        <w:t xml:space="preserve"> a las Partes la necesidad de mantener actualizados los datos de sus puntos focales nacionales en el Centro de Intercambio de Información sobre Seguridad de la Biotecnología;</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t>Insta</w:t>
      </w:r>
      <w:r w:rsidRPr="00C901E0">
        <w:rPr>
          <w:szCs w:val="24"/>
          <w:lang w:val="es-ES"/>
        </w:rPr>
        <w:t xml:space="preserve"> a las Partes a coordinar a nivel nacional para evitar incongruencias entre la información brindada en los informes nacionales y la publicada en el Centro de Intercambio de Información sobre Seguridad de la Biotecnología, y </w:t>
      </w:r>
      <w:r w:rsidRPr="00C901E0">
        <w:rPr>
          <w:i/>
          <w:szCs w:val="24"/>
          <w:lang w:val="es-ES"/>
        </w:rPr>
        <w:t>alienta</w:t>
      </w:r>
      <w:r w:rsidRPr="00C901E0">
        <w:rPr>
          <w:szCs w:val="24"/>
          <w:lang w:val="es-ES"/>
        </w:rPr>
        <w:t xml:space="preserve"> la comunicación entre los puntos focales nacionales y las autoridades nacionales competentes;</w:t>
      </w:r>
    </w:p>
    <w:p w:rsidR="000B1C16" w:rsidRPr="00C901E0" w:rsidRDefault="000B1C16" w:rsidP="000B1C16">
      <w:pPr>
        <w:pStyle w:val="Para1"/>
        <w:numPr>
          <w:ilvl w:val="0"/>
          <w:numId w:val="13"/>
        </w:numPr>
        <w:snapToGrid w:val="0"/>
        <w:spacing w:before="0" w:after="0"/>
        <w:ind w:firstLine="720"/>
        <w:rPr>
          <w:szCs w:val="24"/>
          <w:lang w:val="es-ES"/>
        </w:rPr>
      </w:pPr>
      <w:r w:rsidRPr="00C901E0">
        <w:rPr>
          <w:i/>
          <w:szCs w:val="24"/>
          <w:lang w:val="es-ES"/>
        </w:rPr>
        <w:t>Recuerda</w:t>
      </w:r>
      <w:r w:rsidRPr="00C901E0">
        <w:rPr>
          <w:szCs w:val="24"/>
          <w:lang w:val="es-ES"/>
        </w:rPr>
        <w:t xml:space="preserve"> a las Partes la importancia de colaborar en forma constructiva con todos los interesados directos, incluidos la industria, el público, los pueblos indígenas y las comunidades locales y las mujeres, para la aplicación efectiva del Protocolo;</w:t>
      </w:r>
    </w:p>
    <w:p w:rsidR="000B1C16" w:rsidRPr="00C901E0" w:rsidRDefault="000B1C16" w:rsidP="000B1C16">
      <w:pPr>
        <w:pStyle w:val="Para1"/>
        <w:numPr>
          <w:ilvl w:val="0"/>
          <w:numId w:val="13"/>
        </w:numPr>
        <w:snapToGrid w:val="0"/>
        <w:ind w:firstLine="720"/>
        <w:rPr>
          <w:szCs w:val="24"/>
          <w:lang w:val="es-ES"/>
        </w:rPr>
      </w:pPr>
      <w:r w:rsidRPr="00C901E0">
        <w:rPr>
          <w:i/>
          <w:szCs w:val="24"/>
          <w:lang w:val="es-ES"/>
        </w:rPr>
        <w:lastRenderedPageBreak/>
        <w:t>Alienta</w:t>
      </w:r>
      <w:r w:rsidRPr="00C901E0">
        <w:rPr>
          <w:szCs w:val="24"/>
          <w:lang w:val="es-ES"/>
        </w:rPr>
        <w:t xml:space="preserve"> a las Partes a integrar la seguridad de la biotecnología en sus sistemas educativos;</w:t>
      </w:r>
    </w:p>
    <w:p w:rsidR="000B1C16" w:rsidRPr="00C901E0" w:rsidRDefault="000B1C16" w:rsidP="000B1C16">
      <w:pPr>
        <w:pStyle w:val="Para1"/>
        <w:numPr>
          <w:ilvl w:val="0"/>
          <w:numId w:val="13"/>
        </w:numPr>
        <w:tabs>
          <w:tab w:val="clear" w:pos="360"/>
        </w:tabs>
        <w:snapToGrid w:val="0"/>
        <w:ind w:firstLine="720"/>
        <w:rPr>
          <w:szCs w:val="24"/>
          <w:lang w:val="es-ES"/>
        </w:rPr>
      </w:pPr>
      <w:r w:rsidRPr="00C901E0">
        <w:rPr>
          <w:i/>
          <w:szCs w:val="24"/>
          <w:lang w:val="es-ES"/>
        </w:rPr>
        <w:t>Insta</w:t>
      </w:r>
      <w:r w:rsidRPr="00C901E0">
        <w:rPr>
          <w:szCs w:val="24"/>
          <w:lang w:val="es-ES"/>
        </w:rPr>
        <w:t xml:space="preserve"> a las Partes e </w:t>
      </w:r>
      <w:r w:rsidRPr="00C901E0">
        <w:rPr>
          <w:i/>
          <w:szCs w:val="24"/>
          <w:lang w:val="es-ES"/>
        </w:rPr>
        <w:t>invita</w:t>
      </w:r>
      <w:r w:rsidRPr="00C901E0">
        <w:rPr>
          <w:szCs w:val="24"/>
          <w:lang w:val="es-ES"/>
        </w:rPr>
        <w:t xml:space="preserve"> a otros Gobiernos a proporcionar fondos voluntarios para apoyar a aquellas Partes a las que el Comité les haya pedido que elaboren e implementen planes de acción para el cumplimiento;</w:t>
      </w:r>
    </w:p>
    <w:p w:rsidR="000B1C16" w:rsidRPr="00C901E0" w:rsidRDefault="000B1C16" w:rsidP="000B1C16">
      <w:pPr>
        <w:pStyle w:val="Para1"/>
        <w:numPr>
          <w:ilvl w:val="0"/>
          <w:numId w:val="13"/>
        </w:numPr>
        <w:tabs>
          <w:tab w:val="clear" w:pos="360"/>
        </w:tabs>
        <w:snapToGrid w:val="0"/>
        <w:ind w:firstLine="720"/>
        <w:rPr>
          <w:szCs w:val="24"/>
          <w:lang w:val="es-ES"/>
        </w:rPr>
      </w:pPr>
      <w:r w:rsidRPr="00C901E0">
        <w:rPr>
          <w:i/>
          <w:szCs w:val="24"/>
          <w:lang w:val="es-ES"/>
        </w:rPr>
        <w:t>Alienta</w:t>
      </w:r>
      <w:r w:rsidRPr="00C901E0">
        <w:rPr>
          <w:szCs w:val="24"/>
          <w:lang w:val="es-ES"/>
        </w:rPr>
        <w:t xml:space="preserve"> a las Partes a que, en la medida de lo posible, asignen fondos para la seguridad de la biotecnología en los presupuestos nacionales;</w:t>
      </w:r>
    </w:p>
    <w:p w:rsidR="000B1C16" w:rsidRPr="00C901E0" w:rsidRDefault="000B1C16" w:rsidP="000B1C16">
      <w:pPr>
        <w:pStyle w:val="Para1"/>
        <w:numPr>
          <w:ilvl w:val="0"/>
          <w:numId w:val="13"/>
        </w:numPr>
        <w:tabs>
          <w:tab w:val="clear" w:pos="360"/>
        </w:tabs>
        <w:snapToGrid w:val="0"/>
        <w:spacing w:before="0" w:after="0"/>
        <w:ind w:firstLine="720"/>
        <w:rPr>
          <w:i/>
          <w:szCs w:val="24"/>
          <w:lang w:val="es-ES"/>
        </w:rPr>
      </w:pPr>
      <w:r w:rsidRPr="00C901E0">
        <w:rPr>
          <w:i/>
          <w:szCs w:val="24"/>
          <w:lang w:val="es-ES"/>
        </w:rPr>
        <w:t>Observa</w:t>
      </w:r>
      <w:r w:rsidRPr="00C901E0">
        <w:rPr>
          <w:szCs w:val="24"/>
          <w:lang w:val="es-ES"/>
        </w:rPr>
        <w:t xml:space="preserve"> con pesar que una Parte no ha presentado su informe nacional en varios ciclos de presentación de informes;</w:t>
      </w:r>
    </w:p>
    <w:p w:rsidR="000B1C16" w:rsidRPr="00C901E0" w:rsidRDefault="000B1C16" w:rsidP="000B1C16">
      <w:pPr>
        <w:pStyle w:val="Para1"/>
        <w:numPr>
          <w:ilvl w:val="0"/>
          <w:numId w:val="13"/>
        </w:numPr>
        <w:tabs>
          <w:tab w:val="clear" w:pos="360"/>
        </w:tabs>
        <w:snapToGrid w:val="0"/>
        <w:ind w:firstLine="720"/>
        <w:rPr>
          <w:i/>
          <w:szCs w:val="24"/>
          <w:lang w:val="es-ES"/>
        </w:rPr>
      </w:pPr>
      <w:r w:rsidRPr="00C901E0">
        <w:rPr>
          <w:i/>
          <w:szCs w:val="24"/>
          <w:lang w:val="es-ES"/>
        </w:rPr>
        <w:t>También observa</w:t>
      </w:r>
      <w:r w:rsidRPr="00C901E0">
        <w:rPr>
          <w:szCs w:val="24"/>
          <w:lang w:val="es-ES"/>
        </w:rPr>
        <w:t xml:space="preserve"> que el Comité de Cumplimiento y la Secretaria Ejecutiva se han puesto en contacto en numerosas ocasiones con la Parte a la que se hace referencia en el párrafo 15 anterior, de conformidad con la decisión BS-V/1, entre otras cosas con el fin de ofrecerle apoyo para la preparación de sus informes;</w:t>
      </w:r>
    </w:p>
    <w:p w:rsidR="000B1C16" w:rsidRPr="00C901E0" w:rsidRDefault="000B1C16" w:rsidP="000B1C16">
      <w:pPr>
        <w:pStyle w:val="Para1"/>
        <w:numPr>
          <w:ilvl w:val="0"/>
          <w:numId w:val="13"/>
        </w:numPr>
        <w:tabs>
          <w:tab w:val="clear" w:pos="360"/>
        </w:tabs>
        <w:snapToGrid w:val="0"/>
        <w:ind w:firstLine="720"/>
        <w:rPr>
          <w:i/>
          <w:szCs w:val="24"/>
          <w:lang w:val="es-ES"/>
        </w:rPr>
      </w:pPr>
      <w:r w:rsidRPr="00C901E0">
        <w:rPr>
          <w:i/>
          <w:szCs w:val="24"/>
          <w:lang w:val="es-ES"/>
        </w:rPr>
        <w:t xml:space="preserve">Pide </w:t>
      </w:r>
      <w:r w:rsidRPr="00C901E0">
        <w:rPr>
          <w:szCs w:val="24"/>
          <w:lang w:val="es-ES"/>
        </w:rPr>
        <w:t>a la Parte a la que se hace referencia en el párrafo 15 anterior que, con carácter urgente, presente su tercer informe nacional;</w:t>
      </w:r>
    </w:p>
    <w:p w:rsidR="00376CED" w:rsidRPr="00C901E0" w:rsidRDefault="000B1C16" w:rsidP="000B1C16">
      <w:pPr>
        <w:pStyle w:val="Para1"/>
        <w:numPr>
          <w:ilvl w:val="0"/>
          <w:numId w:val="13"/>
        </w:numPr>
        <w:tabs>
          <w:tab w:val="clear" w:pos="360"/>
        </w:tabs>
        <w:snapToGrid w:val="0"/>
        <w:ind w:firstLine="720"/>
        <w:rPr>
          <w:i/>
          <w:lang w:val="es-ES"/>
        </w:rPr>
      </w:pPr>
      <w:r w:rsidRPr="00C901E0">
        <w:rPr>
          <w:i/>
          <w:szCs w:val="24"/>
          <w:lang w:val="es-ES"/>
        </w:rPr>
        <w:t xml:space="preserve">Alienta </w:t>
      </w:r>
      <w:r w:rsidRPr="00C901E0">
        <w:rPr>
          <w:szCs w:val="24"/>
          <w:lang w:val="es-ES"/>
        </w:rPr>
        <w:t>a la Parte a la que se hace referencia en el párrafo 15 anterior a solicitar la asistencia del Comité de Cumplimiento de conformidad con la decisión BS-V/1, en el caso de que necesite apoyo para preparar sus informes.</w:t>
      </w:r>
    </w:p>
    <w:p w:rsidR="00376CED" w:rsidRPr="00C901E0" w:rsidRDefault="00376CED">
      <w:pPr>
        <w:rPr>
          <w:b/>
          <w:caps/>
          <w:sz w:val="22"/>
          <w:szCs w:val="22"/>
          <w:lang w:val="es-ES"/>
        </w:rPr>
      </w:pPr>
      <w:r w:rsidRPr="00C901E0">
        <w:rPr>
          <w:sz w:val="22"/>
          <w:szCs w:val="22"/>
          <w:lang w:val="es-ES"/>
        </w:rPr>
        <w:br w:type="page"/>
      </w:r>
    </w:p>
    <w:p w:rsidR="00376CED" w:rsidRPr="00C901E0" w:rsidRDefault="00376CED" w:rsidP="00376CED">
      <w:pPr>
        <w:pStyle w:val="heading2-item"/>
        <w:rPr>
          <w:lang w:val="es-ES"/>
        </w:rPr>
      </w:pPr>
      <w:bookmarkStart w:id="8" w:name="_Toc879813"/>
      <w:bookmarkStart w:id="9" w:name="_Toc5922075"/>
      <w:r w:rsidRPr="00C901E0">
        <w:rPr>
          <w:lang w:val="es-ES"/>
        </w:rPr>
        <w:lastRenderedPageBreak/>
        <w:t>9/2.</w:t>
      </w:r>
      <w:r w:rsidRPr="00C901E0">
        <w:rPr>
          <w:lang w:val="es-ES"/>
        </w:rPr>
        <w:tab/>
      </w:r>
      <w:bookmarkEnd w:id="8"/>
      <w:r w:rsidR="009167C6" w:rsidRPr="00C901E0">
        <w:rPr>
          <w:lang w:val="es-ES"/>
        </w:rPr>
        <w:t>Funcionamiento y actividades del Centro de Intercambio de Información sobre Seguridad de la Biotecnología (artículo 20)</w:t>
      </w:r>
      <w:bookmarkEnd w:id="9"/>
    </w:p>
    <w:p w:rsidR="009167C6" w:rsidRPr="00C901E0" w:rsidRDefault="009167C6" w:rsidP="009167C6">
      <w:pPr>
        <w:pStyle w:val="Para1"/>
        <w:numPr>
          <w:ilvl w:val="0"/>
          <w:numId w:val="0"/>
        </w:numPr>
        <w:suppressLineNumbers/>
        <w:suppressAutoHyphens/>
        <w:ind w:firstLine="720"/>
        <w:rPr>
          <w:rStyle w:val="None"/>
          <w:i/>
          <w:szCs w:val="24"/>
          <w:lang w:val="es-ES"/>
        </w:rPr>
      </w:pPr>
      <w:r w:rsidRPr="00C901E0">
        <w:rPr>
          <w:rStyle w:val="None"/>
          <w:i/>
          <w:szCs w:val="24"/>
          <w:lang w:val="es-ES"/>
        </w:rPr>
        <w:t>La Conferencia de las Partes que actúa como reunión de las Partes en el Protocolo de Cartagena sobre Seguridad de la Biotecnología,</w:t>
      </w:r>
    </w:p>
    <w:p w:rsidR="00376CED" w:rsidRPr="00C901E0" w:rsidRDefault="009167C6" w:rsidP="009167C6">
      <w:pPr>
        <w:pStyle w:val="Para1"/>
        <w:numPr>
          <w:ilvl w:val="0"/>
          <w:numId w:val="0"/>
        </w:numPr>
        <w:suppressLineNumbers/>
        <w:suppressAutoHyphens/>
        <w:ind w:firstLine="720"/>
        <w:rPr>
          <w:rStyle w:val="None"/>
          <w:i/>
          <w:iCs/>
          <w:lang w:val="es-ES"/>
        </w:rPr>
      </w:pPr>
      <w:r w:rsidRPr="00C901E0">
        <w:rPr>
          <w:rStyle w:val="None"/>
          <w:i/>
          <w:szCs w:val="24"/>
          <w:lang w:val="es-ES"/>
        </w:rPr>
        <w:t xml:space="preserve">Observando con preocupación </w:t>
      </w:r>
      <w:r w:rsidRPr="00C901E0">
        <w:rPr>
          <w:szCs w:val="24"/>
          <w:lang w:val="es-ES"/>
        </w:rPr>
        <w:t xml:space="preserve">que hay importantes actividades solicitadas en la </w:t>
      </w:r>
      <w:r w:rsidRPr="00C901E0">
        <w:rPr>
          <w:lang w:val="es-ES"/>
        </w:rPr>
        <w:t xml:space="preserve">decisión </w:t>
      </w:r>
      <w:hyperlink r:id="rId12" w:history="1">
        <w:r w:rsidRPr="00C901E0">
          <w:rPr>
            <w:rStyle w:val="Hyperlink"/>
            <w:lang w:val="es-ES"/>
          </w:rPr>
          <w:t>CP-VIII/2</w:t>
        </w:r>
      </w:hyperlink>
      <w:r w:rsidRPr="00C901E0">
        <w:rPr>
          <w:szCs w:val="24"/>
          <w:lang w:val="es-ES"/>
        </w:rPr>
        <w:t xml:space="preserve"> que no se han emprendido</w:t>
      </w:r>
      <w:r w:rsidR="00376CED" w:rsidRPr="00C901E0">
        <w:rPr>
          <w:lang w:val="es-ES"/>
        </w:rPr>
        <w:t>,</w:t>
      </w:r>
    </w:p>
    <w:p w:rsidR="009167C6" w:rsidRPr="00C901E0" w:rsidRDefault="009167C6" w:rsidP="00465C6E">
      <w:pPr>
        <w:pStyle w:val="Para1"/>
        <w:numPr>
          <w:ilvl w:val="0"/>
          <w:numId w:val="34"/>
        </w:numPr>
        <w:suppressLineNumbers/>
        <w:tabs>
          <w:tab w:val="clear" w:pos="360"/>
        </w:tabs>
        <w:suppressAutoHyphens/>
        <w:snapToGrid w:val="0"/>
        <w:ind w:firstLine="709"/>
        <w:rPr>
          <w:szCs w:val="24"/>
          <w:lang w:val="es-ES"/>
        </w:rPr>
      </w:pPr>
      <w:r w:rsidRPr="00C901E0">
        <w:rPr>
          <w:rStyle w:val="None"/>
          <w:i/>
          <w:szCs w:val="24"/>
          <w:lang w:val="es-ES"/>
        </w:rPr>
        <w:t>Acoge con satisfacción</w:t>
      </w:r>
      <w:r w:rsidRPr="00C901E0">
        <w:rPr>
          <w:szCs w:val="24"/>
          <w:lang w:val="es-ES"/>
        </w:rPr>
        <w:t xml:space="preserve"> los esfuerzos constantes de las Partes, otros Gobiernos y organizaciones pertinentes para apoyar la puesta en marcha del Centro de Intercambio de Información sobre Seguridad de la Biotecnología y llevar a cabo actividades de creación de capacidad relacionadas, y los </w:t>
      </w:r>
      <w:r w:rsidRPr="00C901E0">
        <w:rPr>
          <w:rStyle w:val="None"/>
          <w:i/>
          <w:szCs w:val="24"/>
          <w:lang w:val="es-ES"/>
        </w:rPr>
        <w:t>invita</w:t>
      </w:r>
      <w:r w:rsidRPr="00C901E0">
        <w:rPr>
          <w:szCs w:val="24"/>
          <w:lang w:val="es-ES"/>
        </w:rPr>
        <w:t xml:space="preserve"> a continuar haciéndolo con miras a seguir fortaleciendo el papel que cumple el Centro de Intercambio de Información sobre Seguridad de la Biotecnología en la aplicación del Protocolo de Cartagena sobre Seguridad de la Biotecnología;</w:t>
      </w:r>
    </w:p>
    <w:p w:rsidR="009167C6" w:rsidRPr="00C901E0" w:rsidRDefault="009167C6" w:rsidP="009167C6">
      <w:pPr>
        <w:pStyle w:val="Para1"/>
        <w:numPr>
          <w:ilvl w:val="0"/>
          <w:numId w:val="13"/>
        </w:numPr>
        <w:suppressLineNumbers/>
        <w:suppressAutoHyphens/>
        <w:snapToGrid w:val="0"/>
        <w:ind w:firstLine="720"/>
        <w:rPr>
          <w:rStyle w:val="None"/>
          <w:szCs w:val="24"/>
          <w:lang w:val="es-ES"/>
        </w:rPr>
      </w:pPr>
      <w:r w:rsidRPr="00C901E0">
        <w:rPr>
          <w:rStyle w:val="None"/>
          <w:i/>
          <w:szCs w:val="24"/>
          <w:lang w:val="es-ES"/>
        </w:rPr>
        <w:t xml:space="preserve">Acoge con satisfacción </w:t>
      </w:r>
      <w:r w:rsidRPr="00C901E0">
        <w:rPr>
          <w:rStyle w:val="None"/>
          <w:szCs w:val="24"/>
          <w:lang w:val="es-ES"/>
        </w:rPr>
        <w:t xml:space="preserve">la implementación del “Proyecto para la Creación de Capacidad Sostenible para una Efectiva Participación en el Centro de Intercambio de Información sobre Seguridad de la Biotecnología” del Programa de las Naciones Unidas para el Medio Ambiente–Fondo para el Medio Ambiente Mundial (Proyecto CIISB-III), e </w:t>
      </w:r>
      <w:r w:rsidRPr="00C901E0">
        <w:rPr>
          <w:rStyle w:val="None"/>
          <w:i/>
          <w:szCs w:val="24"/>
          <w:lang w:val="es-ES"/>
        </w:rPr>
        <w:t xml:space="preserve">invita </w:t>
      </w:r>
      <w:r w:rsidRPr="00C901E0">
        <w:rPr>
          <w:rStyle w:val="None"/>
          <w:szCs w:val="24"/>
          <w:lang w:val="es-ES"/>
        </w:rPr>
        <w:t>al Programa de las Naciones Unidas para el Medio Ambiente a continuar facilitando la colaboración regional y la creación de capacidad en el uso del Centro de Intercambio de Información sobre Seguridad de la Biotecnología;</w:t>
      </w:r>
    </w:p>
    <w:p w:rsidR="009167C6" w:rsidRPr="00C901E0" w:rsidRDefault="009167C6" w:rsidP="009167C6">
      <w:pPr>
        <w:pStyle w:val="Para1"/>
        <w:numPr>
          <w:ilvl w:val="0"/>
          <w:numId w:val="13"/>
        </w:numPr>
        <w:suppressLineNumbers/>
        <w:suppressAutoHyphens/>
        <w:snapToGrid w:val="0"/>
        <w:ind w:firstLine="720"/>
        <w:rPr>
          <w:szCs w:val="24"/>
          <w:lang w:val="es-ES"/>
        </w:rPr>
      </w:pPr>
      <w:r w:rsidRPr="00C901E0">
        <w:rPr>
          <w:rStyle w:val="None"/>
          <w:i/>
          <w:szCs w:val="24"/>
          <w:lang w:val="es-ES"/>
        </w:rPr>
        <w:t>Decide</w:t>
      </w:r>
      <w:r w:rsidRPr="00C901E0">
        <w:rPr>
          <w:szCs w:val="24"/>
          <w:lang w:val="es-ES"/>
        </w:rPr>
        <w:t xml:space="preserve"> que el Comité Asesor Oficioso sobre el Centro de Intercambio de Información sobre Seguridad de la Biotecnología celebre por lo menos una reunión, y las discusiones oficiosas en línea que sean necesarias, e informe sobre los resultados de su labor a la Conferencia de las Partes que actúa como reunión de las Partes en el Protocolo de Cartagena en su décima reunión;</w:t>
      </w:r>
    </w:p>
    <w:p w:rsidR="009167C6" w:rsidRPr="00C901E0" w:rsidRDefault="009167C6" w:rsidP="009167C6">
      <w:pPr>
        <w:pStyle w:val="Para1"/>
        <w:numPr>
          <w:ilvl w:val="0"/>
          <w:numId w:val="13"/>
        </w:numPr>
        <w:suppressLineNumbers/>
        <w:suppressAutoHyphens/>
        <w:snapToGrid w:val="0"/>
        <w:ind w:firstLine="720"/>
        <w:rPr>
          <w:szCs w:val="24"/>
          <w:lang w:val="es-ES"/>
        </w:rPr>
      </w:pPr>
      <w:r w:rsidRPr="00C901E0">
        <w:rPr>
          <w:rStyle w:val="None"/>
          <w:i/>
          <w:szCs w:val="24"/>
          <w:lang w:val="es-ES"/>
        </w:rPr>
        <w:t>Hace suyas</w:t>
      </w:r>
      <w:r w:rsidRPr="00C901E0">
        <w:rPr>
          <w:szCs w:val="24"/>
          <w:lang w:val="es-ES"/>
        </w:rPr>
        <w:t xml:space="preserve"> las modalidades conjuntas de funcionamiento para el mecanismo de facilitación del Convenio, el Centro de Intercambio de Información sobre Seguridad de la Biotecnología y el Centro de Intercambio de Información sobre Acceso y Participación en los Beneficios, que figuran en el anexo de la decisión 14/25 de la Conferencia de las Partes, las cuales son complementarias de las </w:t>
      </w:r>
      <w:r w:rsidRPr="00C901E0">
        <w:rPr>
          <w:rStyle w:val="Hyperlink1"/>
          <w:szCs w:val="24"/>
          <w:lang w:val="es-ES"/>
        </w:rPr>
        <w:t xml:space="preserve">modalidades de funcionamiento del </w:t>
      </w:r>
      <w:r w:rsidRPr="00C901E0">
        <w:rPr>
          <w:szCs w:val="24"/>
          <w:lang w:val="es-ES"/>
        </w:rPr>
        <w:t xml:space="preserve">Centro de Intercambio de Información sobre Seguridad de la Biotecnología </w:t>
      </w:r>
      <w:r w:rsidRPr="00C901E0">
        <w:rPr>
          <w:rStyle w:val="Hyperlink1"/>
          <w:szCs w:val="24"/>
          <w:lang w:val="es-ES"/>
        </w:rPr>
        <w:t xml:space="preserve">adoptadas en la decisión </w:t>
      </w:r>
      <w:hyperlink r:id="rId13" w:history="1">
        <w:r w:rsidRPr="00C901E0">
          <w:rPr>
            <w:rStyle w:val="Hyperlink0"/>
            <w:szCs w:val="24"/>
            <w:lang w:val="es-ES"/>
          </w:rPr>
          <w:t>BS-I/3</w:t>
        </w:r>
      </w:hyperlink>
      <w:r w:rsidRPr="00C901E0">
        <w:rPr>
          <w:szCs w:val="24"/>
          <w:lang w:val="es-ES"/>
        </w:rPr>
        <w:t>;</w:t>
      </w:r>
    </w:p>
    <w:p w:rsidR="00376CED" w:rsidRPr="00C901E0" w:rsidRDefault="009167C6" w:rsidP="009167C6">
      <w:pPr>
        <w:pStyle w:val="Para1"/>
        <w:numPr>
          <w:ilvl w:val="0"/>
          <w:numId w:val="13"/>
        </w:numPr>
        <w:suppressLineNumbers/>
        <w:suppressAutoHyphens/>
        <w:snapToGrid w:val="0"/>
        <w:ind w:firstLine="720"/>
        <w:rPr>
          <w:lang w:val="es-ES"/>
        </w:rPr>
      </w:pPr>
      <w:r w:rsidRPr="00C901E0">
        <w:rPr>
          <w:rStyle w:val="None"/>
          <w:i/>
          <w:szCs w:val="24"/>
          <w:lang w:val="es-ES"/>
        </w:rPr>
        <w:t xml:space="preserve">Recuerda </w:t>
      </w:r>
      <w:r w:rsidRPr="00C901E0">
        <w:rPr>
          <w:szCs w:val="24"/>
          <w:lang w:val="es-ES"/>
        </w:rPr>
        <w:t xml:space="preserve">la decisión CP-VIII/2 y </w:t>
      </w:r>
      <w:r w:rsidRPr="00C901E0">
        <w:rPr>
          <w:rStyle w:val="None"/>
          <w:i/>
          <w:szCs w:val="24"/>
          <w:lang w:val="es-ES"/>
        </w:rPr>
        <w:t xml:space="preserve">pide </w:t>
      </w:r>
      <w:r w:rsidRPr="00C901E0">
        <w:rPr>
          <w:szCs w:val="24"/>
          <w:lang w:val="es-ES"/>
        </w:rPr>
        <w:t>a la Secretaria Ejecutiva que, con carácter prioritario, dé curso a lo solicitado en la decisión CP-VIII/2 y, en particular</w:t>
      </w:r>
      <w:r w:rsidR="00376CED" w:rsidRPr="00C901E0">
        <w:rPr>
          <w:lang w:val="es-ES"/>
        </w:rPr>
        <w:t>:</w:t>
      </w:r>
    </w:p>
    <w:p w:rsidR="009167C6" w:rsidRPr="00C901E0" w:rsidRDefault="009167C6" w:rsidP="009167C6">
      <w:pPr>
        <w:pStyle w:val="ListParagraph"/>
        <w:suppressLineNumbers/>
        <w:suppressAutoHyphens/>
        <w:spacing w:before="120" w:after="120"/>
        <w:ind w:left="0" w:firstLine="720"/>
        <w:rPr>
          <w:lang w:val="es-ES"/>
        </w:rPr>
      </w:pPr>
      <w:r w:rsidRPr="00C901E0">
        <w:rPr>
          <w:kern w:val="22"/>
          <w:lang w:val="es-ES"/>
        </w:rPr>
        <w:t>a)</w:t>
      </w:r>
      <w:r w:rsidRPr="00C901E0">
        <w:rPr>
          <w:kern w:val="22"/>
          <w:lang w:val="es-ES"/>
        </w:rPr>
        <w:tab/>
        <w:t>Asigne recursos específicos y suficientes, tanto humanos como financieros, para la gestión, mejora y mantenimiento del Centro de Intercambio de Información sobre Seguridad de la Biotecnología;</w:t>
      </w:r>
    </w:p>
    <w:p w:rsidR="009167C6" w:rsidRPr="00C901E0" w:rsidRDefault="009167C6" w:rsidP="009167C6">
      <w:pPr>
        <w:pStyle w:val="ListParagraph"/>
        <w:suppressLineNumbers/>
        <w:suppressAutoHyphens/>
        <w:spacing w:before="120" w:after="120"/>
        <w:ind w:left="0" w:firstLine="720"/>
        <w:rPr>
          <w:lang w:val="es-ES"/>
        </w:rPr>
      </w:pPr>
      <w:r w:rsidRPr="00C901E0">
        <w:rPr>
          <w:kern w:val="22"/>
          <w:lang w:val="es-ES"/>
        </w:rPr>
        <w:t>b)</w:t>
      </w:r>
      <w:r w:rsidRPr="00C901E0">
        <w:rPr>
          <w:kern w:val="22"/>
          <w:lang w:val="es-ES"/>
        </w:rPr>
        <w:tab/>
        <w:t>Complete la migración del Centro de Intercambio de Información sobre Seguridad de la Biotecnología a su nueva plataforma y siga colaborando con otras bases de datos y plataformas sobre seguridad de la biotecnología;</w:t>
      </w:r>
    </w:p>
    <w:p w:rsidR="009167C6" w:rsidRPr="00C901E0" w:rsidRDefault="009167C6" w:rsidP="009167C6">
      <w:pPr>
        <w:pStyle w:val="Body"/>
        <w:suppressLineNumbers/>
        <w:suppressAutoHyphens/>
        <w:spacing w:before="120" w:after="120"/>
        <w:ind w:firstLine="720"/>
        <w:rPr>
          <w:szCs w:val="24"/>
          <w:lang w:val="es-ES"/>
        </w:rPr>
      </w:pPr>
      <w:r w:rsidRPr="00C901E0">
        <w:rPr>
          <w:kern w:val="22"/>
          <w:szCs w:val="24"/>
          <w:lang w:val="es-ES"/>
        </w:rPr>
        <w:t>c)</w:t>
      </w:r>
      <w:r w:rsidRPr="00C901E0">
        <w:rPr>
          <w:kern w:val="22"/>
          <w:szCs w:val="24"/>
          <w:lang w:val="es-ES"/>
        </w:rPr>
        <w:tab/>
        <w:t>Continúe mejorando el portal central del Centro de Intercambio de Información sobre Seguridad de la Biotecnología y dando seguimiento a las recomendaciones del Comité Asesor Oficioso sobre el Centro de Intercambio de Información sobre Seguridad de la Biotecnología en su décima reunión;</w:t>
      </w:r>
    </w:p>
    <w:p w:rsidR="009167C6" w:rsidRPr="00C901E0" w:rsidRDefault="009167C6" w:rsidP="009167C6">
      <w:pPr>
        <w:pStyle w:val="Body"/>
        <w:suppressLineNumbers/>
        <w:suppressAutoHyphens/>
        <w:spacing w:before="120" w:after="120"/>
        <w:ind w:firstLine="720"/>
        <w:rPr>
          <w:szCs w:val="24"/>
          <w:lang w:val="es-ES"/>
        </w:rPr>
      </w:pPr>
      <w:r w:rsidRPr="00C901E0">
        <w:rPr>
          <w:kern w:val="22"/>
          <w:szCs w:val="24"/>
          <w:lang w:val="es-ES"/>
        </w:rPr>
        <w:t>d)</w:t>
      </w:r>
      <w:r w:rsidRPr="00C901E0">
        <w:rPr>
          <w:kern w:val="22"/>
          <w:szCs w:val="24"/>
          <w:lang w:val="es-ES"/>
        </w:rPr>
        <w:tab/>
        <w:t>Facilite la elaboración, en colaboración con el Programa de las Naciones Unidas para el Medio Ambiente a través del Proyecto CIISB III, de materiales de capacitación, incluida la capacitación en línea, con base en la nueva plataforma e interfaz de usuario;</w:t>
      </w:r>
    </w:p>
    <w:p w:rsidR="009167C6" w:rsidRPr="00C901E0" w:rsidRDefault="009167C6" w:rsidP="009167C6">
      <w:pPr>
        <w:pStyle w:val="Para1"/>
        <w:numPr>
          <w:ilvl w:val="0"/>
          <w:numId w:val="13"/>
        </w:numPr>
        <w:suppressLineNumbers/>
        <w:tabs>
          <w:tab w:val="clear" w:pos="360"/>
        </w:tabs>
        <w:suppressAutoHyphens/>
        <w:snapToGrid w:val="0"/>
        <w:spacing w:before="0" w:after="0"/>
        <w:ind w:firstLine="720"/>
        <w:rPr>
          <w:rStyle w:val="None"/>
          <w:szCs w:val="24"/>
          <w:lang w:val="es-ES"/>
        </w:rPr>
      </w:pPr>
      <w:r w:rsidRPr="00C901E0">
        <w:rPr>
          <w:rStyle w:val="None"/>
          <w:i/>
          <w:szCs w:val="24"/>
          <w:lang w:val="es-ES"/>
        </w:rPr>
        <w:t xml:space="preserve">Invita </w:t>
      </w:r>
      <w:r w:rsidRPr="00C901E0">
        <w:rPr>
          <w:rStyle w:val="None"/>
          <w:szCs w:val="24"/>
          <w:lang w:val="es-ES"/>
        </w:rPr>
        <w:t xml:space="preserve">a las Partes, otros Gobiernos y organizaciones pertinentes a presentar a la Secretaria Ejecutiva sus opiniones sobre los cambios producidos como resultado de la migración y las mejoras señaladas en el párrafo 5 anterior, en particular en lo que respecta al procedimiento para registrar información, las herramientas para el análisis de los resultados de búsqueda y las representaciones gráficas </w:t>
      </w:r>
      <w:r w:rsidRPr="00C901E0">
        <w:rPr>
          <w:rStyle w:val="None"/>
          <w:szCs w:val="24"/>
          <w:lang w:val="es-ES"/>
        </w:rPr>
        <w:lastRenderedPageBreak/>
        <w:t xml:space="preserve">de los datos, y </w:t>
      </w:r>
      <w:r w:rsidRPr="00C901E0">
        <w:rPr>
          <w:rStyle w:val="None"/>
          <w:i/>
          <w:szCs w:val="24"/>
          <w:lang w:val="es-ES"/>
        </w:rPr>
        <w:t>pide</w:t>
      </w:r>
      <w:r w:rsidRPr="00C901E0">
        <w:rPr>
          <w:rStyle w:val="None"/>
          <w:szCs w:val="24"/>
          <w:lang w:val="es-ES"/>
        </w:rPr>
        <w:t xml:space="preserve"> a la Secretaria Ejecutiva que tenga en cuenta esas opiniones para seguir mejorando el Centro de Intercambio de Información sobre Seguridad de la Biotecnología y que presente un informe para consideración de la Conferencia de las Partes que actúa como reunión de las Partes en el Protocolo en su décima reunión;</w:t>
      </w:r>
    </w:p>
    <w:p w:rsidR="00376CED" w:rsidRPr="00C901E0" w:rsidRDefault="009167C6" w:rsidP="009167C6">
      <w:pPr>
        <w:pStyle w:val="Para1"/>
        <w:numPr>
          <w:ilvl w:val="0"/>
          <w:numId w:val="13"/>
        </w:numPr>
        <w:tabs>
          <w:tab w:val="clear" w:pos="360"/>
        </w:tabs>
        <w:ind w:firstLine="720"/>
        <w:rPr>
          <w:lang w:val="es-ES"/>
        </w:rPr>
      </w:pPr>
      <w:r w:rsidRPr="00C901E0">
        <w:rPr>
          <w:i/>
          <w:szCs w:val="24"/>
          <w:lang w:val="es-ES"/>
        </w:rPr>
        <w:t xml:space="preserve">Pide </w:t>
      </w:r>
      <w:r w:rsidRPr="00C901E0">
        <w:rPr>
          <w:szCs w:val="24"/>
          <w:lang w:val="es-ES"/>
        </w:rPr>
        <w:t>a la Secretaria Ejecutiva que estudie cómo se puede utilizar la Herramienta Bioland para Mecanismos de Facilitación Nacionales con el fin de facilitar el intercambio de información relacionada con seguridad de la biotecnología.</w:t>
      </w:r>
    </w:p>
    <w:p w:rsidR="00376CED" w:rsidRPr="00C901E0" w:rsidRDefault="00376CED" w:rsidP="00725967">
      <w:pPr>
        <w:rPr>
          <w:kern w:val="22"/>
          <w:lang w:val="es-ES"/>
        </w:rPr>
      </w:pPr>
    </w:p>
    <w:p w:rsidR="00376CED" w:rsidRPr="00C901E0" w:rsidRDefault="00376CED">
      <w:pPr>
        <w:rPr>
          <w:b/>
          <w:caps/>
          <w:lang w:val="es-ES"/>
        </w:rPr>
      </w:pPr>
      <w:r w:rsidRPr="00C901E0">
        <w:rPr>
          <w:lang w:val="es-ES"/>
        </w:rPr>
        <w:br w:type="page"/>
      </w:r>
    </w:p>
    <w:p w:rsidR="00376CED" w:rsidRPr="00C901E0" w:rsidRDefault="00376CED" w:rsidP="00376CED">
      <w:pPr>
        <w:pStyle w:val="heading2-item"/>
        <w:rPr>
          <w:lang w:val="es-ES"/>
        </w:rPr>
      </w:pPr>
      <w:bookmarkStart w:id="10" w:name="_Toc879814"/>
      <w:bookmarkStart w:id="11" w:name="_Toc5922076"/>
      <w:r w:rsidRPr="00C901E0">
        <w:rPr>
          <w:lang w:val="es-ES"/>
        </w:rPr>
        <w:lastRenderedPageBreak/>
        <w:t>9/3.</w:t>
      </w:r>
      <w:r w:rsidRPr="00C901E0">
        <w:rPr>
          <w:lang w:val="es-ES"/>
        </w:rPr>
        <w:tab/>
      </w:r>
      <w:bookmarkEnd w:id="10"/>
      <w:r w:rsidR="001B1C78" w:rsidRPr="00C901E0">
        <w:rPr>
          <w:lang w:val="es-ES"/>
        </w:rPr>
        <w:t>Creación de capacidad (artículo 22)</w:t>
      </w:r>
      <w:bookmarkEnd w:id="11"/>
    </w:p>
    <w:p w:rsidR="001B1C78" w:rsidRPr="00C901E0" w:rsidRDefault="001B1C78" w:rsidP="001B1C78">
      <w:pPr>
        <w:pStyle w:val="Para1"/>
        <w:numPr>
          <w:ilvl w:val="0"/>
          <w:numId w:val="0"/>
        </w:numPr>
        <w:suppressLineNumbers/>
        <w:suppressAutoHyphens/>
        <w:kinsoku w:val="0"/>
        <w:overflowPunct w:val="0"/>
        <w:autoSpaceDE w:val="0"/>
        <w:autoSpaceDN w:val="0"/>
        <w:adjustRightInd w:val="0"/>
        <w:snapToGrid w:val="0"/>
        <w:ind w:firstLine="720"/>
        <w:rPr>
          <w:i/>
          <w:lang w:val="es-ES"/>
        </w:rPr>
      </w:pPr>
      <w:r w:rsidRPr="00C901E0">
        <w:rPr>
          <w:i/>
          <w:lang w:val="es-ES"/>
        </w:rPr>
        <w:t>La Conferencia de las Partes que actúa como reunión de las Partes en el Protocolo de Cartagena sobre Seguridad de la Biotecnología,</w:t>
      </w:r>
    </w:p>
    <w:p w:rsidR="001B1C78" w:rsidRPr="00C901E0" w:rsidRDefault="001B1C78" w:rsidP="001B1C78">
      <w:pPr>
        <w:pStyle w:val="Para1"/>
        <w:numPr>
          <w:ilvl w:val="0"/>
          <w:numId w:val="0"/>
        </w:numPr>
        <w:suppressLineNumbers/>
        <w:suppressAutoHyphens/>
        <w:kinsoku w:val="0"/>
        <w:overflowPunct w:val="0"/>
        <w:autoSpaceDE w:val="0"/>
        <w:autoSpaceDN w:val="0"/>
        <w:adjustRightInd w:val="0"/>
        <w:snapToGrid w:val="0"/>
        <w:ind w:firstLine="720"/>
        <w:rPr>
          <w:lang w:val="es-ES"/>
        </w:rPr>
      </w:pPr>
      <w:r w:rsidRPr="00C901E0">
        <w:rPr>
          <w:i/>
          <w:lang w:val="es-ES"/>
        </w:rPr>
        <w:t>Recordando</w:t>
      </w:r>
      <w:r w:rsidRPr="00C901E0">
        <w:rPr>
          <w:lang w:val="es-ES"/>
        </w:rPr>
        <w:t xml:space="preserve"> las decisiones </w:t>
      </w:r>
      <w:hyperlink r:id="rId14" w:history="1">
        <w:r w:rsidRPr="00C901E0">
          <w:rPr>
            <w:rStyle w:val="Hyperlink"/>
            <w:lang w:val="es-ES"/>
          </w:rPr>
          <w:t>BS-VI/3</w:t>
        </w:r>
      </w:hyperlink>
      <w:r w:rsidRPr="00C901E0">
        <w:rPr>
          <w:lang w:val="es-ES"/>
        </w:rPr>
        <w:t xml:space="preserve"> y </w:t>
      </w:r>
      <w:hyperlink r:id="rId15" w:history="1">
        <w:r w:rsidRPr="00C901E0">
          <w:rPr>
            <w:rStyle w:val="Hyperlink"/>
            <w:lang w:val="es-ES"/>
          </w:rPr>
          <w:t>CP-VIII/3</w:t>
        </w:r>
      </w:hyperlink>
      <w:r w:rsidRPr="00C901E0">
        <w:rPr>
          <w:lang w:val="es-ES"/>
        </w:rPr>
        <w:t>,</w:t>
      </w:r>
    </w:p>
    <w:p w:rsidR="001B1C78" w:rsidRPr="00C901E0" w:rsidRDefault="001B1C78" w:rsidP="00465C6E">
      <w:pPr>
        <w:pStyle w:val="Para1"/>
        <w:numPr>
          <w:ilvl w:val="0"/>
          <w:numId w:val="18"/>
        </w:numPr>
        <w:suppressLineNumbers/>
        <w:tabs>
          <w:tab w:val="clear" w:pos="360"/>
          <w:tab w:val="num" w:pos="1276"/>
        </w:tabs>
        <w:suppressAutoHyphens/>
        <w:kinsoku w:val="0"/>
        <w:overflowPunct w:val="0"/>
        <w:autoSpaceDE w:val="0"/>
        <w:autoSpaceDN w:val="0"/>
        <w:adjustRightInd w:val="0"/>
        <w:snapToGrid w:val="0"/>
        <w:ind w:firstLine="720"/>
        <w:rPr>
          <w:szCs w:val="24"/>
          <w:lang w:val="es-ES"/>
        </w:rPr>
      </w:pPr>
      <w:r w:rsidRPr="00C901E0">
        <w:rPr>
          <w:i/>
          <w:szCs w:val="24"/>
          <w:lang w:val="es-ES"/>
        </w:rPr>
        <w:t>Toma nota</w:t>
      </w:r>
      <w:r w:rsidRPr="00C901E0">
        <w:rPr>
          <w:szCs w:val="24"/>
          <w:lang w:val="es-ES"/>
        </w:rPr>
        <w:t xml:space="preserve"> del informe sobre los progresos alcanzados en la implementación del plan de acción a corto plazo (2017-2020) para mejorar y apoyar la creación de capacidad para la aplicación del Convenio y sus Protocolos</w:t>
      </w:r>
      <w:r w:rsidRPr="002800A5">
        <w:rPr>
          <w:rStyle w:val="StyleFootnoteReferencenumberFootnoteReferenceSuperscript-EF"/>
          <w:sz w:val="22"/>
          <w:lang w:val="es-ES"/>
        </w:rPr>
        <w:footnoteReference w:id="3"/>
      </w:r>
      <w:r w:rsidRPr="002800A5">
        <w:rPr>
          <w:lang w:val="es-ES"/>
        </w:rPr>
        <w:t>;</w:t>
      </w:r>
    </w:p>
    <w:p w:rsidR="001B1C78" w:rsidRPr="00C901E0" w:rsidRDefault="001B1C78" w:rsidP="001B1C78">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zCs w:val="24"/>
          <w:lang w:val="es-ES"/>
        </w:rPr>
      </w:pPr>
      <w:r w:rsidRPr="00C901E0">
        <w:rPr>
          <w:i/>
          <w:szCs w:val="24"/>
          <w:lang w:val="es-ES"/>
        </w:rPr>
        <w:t xml:space="preserve">Toma nota también </w:t>
      </w:r>
      <w:r w:rsidRPr="00C901E0">
        <w:rPr>
          <w:szCs w:val="24"/>
          <w:lang w:val="es-ES"/>
        </w:rPr>
        <w:t>de la situación de aplicación del Marco y Plan de Acción para la Creación de Capacidad para la Aplicación Efectiva del Protocolo de Cartagena sobre Seguridad de la Biotecnología (2012-2020)</w:t>
      </w:r>
      <w:r w:rsidRPr="002800A5">
        <w:rPr>
          <w:rStyle w:val="FootnoteReference"/>
          <w:sz w:val="22"/>
          <w:u w:val="none"/>
          <w:vertAlign w:val="superscript"/>
          <w:lang w:val="es-ES"/>
        </w:rPr>
        <w:footnoteReference w:id="4"/>
      </w:r>
      <w:r w:rsidRPr="00C901E0">
        <w:rPr>
          <w:szCs w:val="24"/>
          <w:lang w:val="es-ES"/>
        </w:rPr>
        <w:t>;</w:t>
      </w:r>
    </w:p>
    <w:p w:rsidR="001B1C78" w:rsidRPr="00C901E0" w:rsidRDefault="001B1C78" w:rsidP="001B1C78">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zCs w:val="24"/>
          <w:lang w:val="es-ES"/>
        </w:rPr>
      </w:pPr>
      <w:r w:rsidRPr="00C901E0">
        <w:rPr>
          <w:i/>
          <w:szCs w:val="24"/>
          <w:lang w:val="es-ES"/>
        </w:rPr>
        <w:t>Insta</w:t>
      </w:r>
      <w:r w:rsidRPr="00C901E0">
        <w:rPr>
          <w:szCs w:val="24"/>
          <w:lang w:val="es-ES"/>
        </w:rPr>
        <w:t xml:space="preserve"> a las Partes a que, en el período que resta del Marco y Plan de Acción, den prioridad y se concentren, según proceda, en los objetivos operativos relacionados con la formulación de legislación nacional en materia de seguridad de la biotecnología, la evaluación del riesgo, la detección e identificación de organismos vivos modificados y la concienciación, educación y participación del público, y </w:t>
      </w:r>
      <w:r w:rsidRPr="00C901E0">
        <w:rPr>
          <w:i/>
          <w:szCs w:val="24"/>
          <w:lang w:val="es-ES"/>
        </w:rPr>
        <w:t>toma nota</w:t>
      </w:r>
      <w:r w:rsidRPr="00C901E0">
        <w:rPr>
          <w:szCs w:val="24"/>
          <w:lang w:val="es-ES"/>
        </w:rPr>
        <w:t xml:space="preserve"> de la importancia de la integración de la seguridad de la biotecnología y del intercambio de información y experiencias para continuar fortaleciendo los marcos nacionales de seguridad de la biotecnología en el período que resta del Marco y Plan de Acción y después;</w:t>
      </w:r>
    </w:p>
    <w:p w:rsidR="001B1C78" w:rsidRPr="00C901E0" w:rsidRDefault="001B1C78" w:rsidP="001B1C78">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zCs w:val="24"/>
          <w:lang w:val="es-ES"/>
        </w:rPr>
      </w:pPr>
      <w:r w:rsidRPr="00C901E0">
        <w:rPr>
          <w:i/>
          <w:szCs w:val="24"/>
          <w:lang w:val="es-ES"/>
        </w:rPr>
        <w:t xml:space="preserve">Insta también </w:t>
      </w:r>
      <w:r w:rsidRPr="00C901E0">
        <w:rPr>
          <w:szCs w:val="24"/>
          <w:lang w:val="es-ES"/>
        </w:rPr>
        <w:t>a las Partes a que den prioridad, según proceda, a las actividades de creación de capacidad sobre responsabilidad y compensación planteadas en el área de atención 4 del Marco y Plan de Acción, durante el período que resta del Marco y Plan de Acción, en vista de la reciente entrada en vigor del Protocolo Suplementario de Nagoya – Kuala Lumpur sobre Responsabilidad y Compensación;</w:t>
      </w:r>
    </w:p>
    <w:p w:rsidR="001B1C78" w:rsidRPr="00C901E0" w:rsidRDefault="001B1C78" w:rsidP="001B1C78">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zCs w:val="24"/>
          <w:lang w:val="es-ES"/>
        </w:rPr>
      </w:pPr>
      <w:r w:rsidRPr="00C901E0">
        <w:rPr>
          <w:i/>
          <w:szCs w:val="24"/>
          <w:lang w:val="es-ES"/>
        </w:rPr>
        <w:t>Invita</w:t>
      </w:r>
      <w:r w:rsidRPr="00C901E0">
        <w:rPr>
          <w:szCs w:val="24"/>
          <w:lang w:val="es-ES"/>
        </w:rPr>
        <w:t xml:space="preserve"> a las Partes, otros Gobiernos y organizaciones pertinentes que estén en condiciones de hacerlo a proporcionar apoyo financiero y técnico adicional para que las Partes que son países en desarrollo, en particular los países menos adelantados y los pequeños Estados insulares en desarrollo entre ellos, y las Partes con economías en transición, puedan continuar aplicando el Marco y Plan de Acción;</w:t>
      </w:r>
    </w:p>
    <w:p w:rsidR="001B1C78" w:rsidRPr="00C901E0" w:rsidRDefault="001B1C78" w:rsidP="001B1C78">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zCs w:val="24"/>
          <w:lang w:val="es-ES"/>
        </w:rPr>
      </w:pPr>
      <w:r w:rsidRPr="00C901E0">
        <w:rPr>
          <w:i/>
          <w:szCs w:val="24"/>
          <w:lang w:val="es-ES"/>
        </w:rPr>
        <w:t>Toma nota</w:t>
      </w:r>
      <w:r w:rsidRPr="00C901E0">
        <w:rPr>
          <w:szCs w:val="24"/>
          <w:lang w:val="es-ES"/>
        </w:rPr>
        <w:t xml:space="preserve"> de los resultados de la 12ª reunión del Grupo de Enlace sobre Creación de Capacidad para la Seguridad de la Biotecnología, </w:t>
      </w:r>
      <w:r w:rsidRPr="00C901E0">
        <w:rPr>
          <w:i/>
          <w:szCs w:val="24"/>
          <w:lang w:val="es-ES"/>
        </w:rPr>
        <w:t>reconoce</w:t>
      </w:r>
      <w:r w:rsidRPr="00C901E0">
        <w:rPr>
          <w:szCs w:val="24"/>
          <w:lang w:val="es-ES"/>
        </w:rPr>
        <w:t xml:space="preserve"> la necesidad de un plan de acción específico para la creación de capacidad para la aplicación del Protocolo de Cartagena y su Protocolo Suplementario que esté en armonía con el instrumento específico que sucederá al Plan Estratégico para el Protocolo de Cartagena sobre Seguridad de la Biotecnología y sea complementario al marco estratégico a largo plazo para la creación de capacidad después de 2020 y </w:t>
      </w:r>
      <w:r w:rsidRPr="00C901E0">
        <w:rPr>
          <w:i/>
          <w:szCs w:val="24"/>
          <w:lang w:val="es-ES"/>
        </w:rPr>
        <w:t>acoge con satisfacción</w:t>
      </w:r>
      <w:r w:rsidRPr="00C901E0">
        <w:rPr>
          <w:szCs w:val="24"/>
          <w:lang w:val="es-ES"/>
        </w:rPr>
        <w:t xml:space="preserve"> el calendario indicativo de actividades para la elaboración del plan de acción específico, que figura en el anexo de la presente decisión;</w:t>
      </w:r>
    </w:p>
    <w:p w:rsidR="001B1C78" w:rsidRPr="00C901E0" w:rsidRDefault="001B1C78" w:rsidP="001B1C78">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zCs w:val="24"/>
          <w:lang w:val="es-ES"/>
        </w:rPr>
      </w:pPr>
      <w:r w:rsidRPr="00C901E0">
        <w:rPr>
          <w:i/>
          <w:szCs w:val="24"/>
          <w:lang w:val="es-ES"/>
        </w:rPr>
        <w:t>Toma nota</w:t>
      </w:r>
      <w:r w:rsidRPr="00C901E0">
        <w:rPr>
          <w:szCs w:val="24"/>
          <w:lang w:val="es-ES"/>
        </w:rPr>
        <w:t xml:space="preserve"> de la decisión 14/24, en la que la Conferencia de las Partes pide a la Secretaria Ejecutiva que encargue un estudio, con sujeción a la disponibilidad de recursos, para proporcionar una base de información para la preparación de un marco estratégico a largo plazo para la creación de capacidad después de 2020, </w:t>
      </w:r>
      <w:r w:rsidRPr="00C901E0">
        <w:rPr>
          <w:i/>
          <w:szCs w:val="24"/>
          <w:lang w:val="es-ES"/>
        </w:rPr>
        <w:t>acoge con satisfacción</w:t>
      </w:r>
      <w:r w:rsidRPr="00C901E0">
        <w:rPr>
          <w:szCs w:val="24"/>
          <w:lang w:val="es-ES"/>
        </w:rPr>
        <w:t xml:space="preserve"> el mandato para el estudio, que figura en el anexo de esa decisión, y </w:t>
      </w:r>
      <w:r w:rsidRPr="00C901E0">
        <w:rPr>
          <w:i/>
          <w:szCs w:val="24"/>
          <w:lang w:val="es-ES"/>
        </w:rPr>
        <w:t>pide</w:t>
      </w:r>
      <w:r w:rsidRPr="00C901E0">
        <w:rPr>
          <w:szCs w:val="24"/>
          <w:lang w:val="es-ES"/>
        </w:rPr>
        <w:t xml:space="preserve"> que en el estudio se tengan en cuenta aspectos pertinentes al Protocolo de Cartagena;</w:t>
      </w:r>
    </w:p>
    <w:p w:rsidR="001B1C78" w:rsidRPr="00C901E0" w:rsidRDefault="001B1C78" w:rsidP="001B1C78">
      <w:pPr>
        <w:pStyle w:val="Para1"/>
        <w:numPr>
          <w:ilvl w:val="0"/>
          <w:numId w:val="13"/>
        </w:numPr>
        <w:suppressLineNumbers/>
        <w:tabs>
          <w:tab w:val="clear" w:pos="360"/>
          <w:tab w:val="num" w:pos="1418"/>
        </w:tabs>
        <w:suppressAutoHyphens/>
        <w:kinsoku w:val="0"/>
        <w:overflowPunct w:val="0"/>
        <w:autoSpaceDE w:val="0"/>
        <w:autoSpaceDN w:val="0"/>
        <w:adjustRightInd w:val="0"/>
        <w:snapToGrid w:val="0"/>
        <w:spacing w:before="0" w:after="0"/>
        <w:ind w:firstLine="720"/>
        <w:rPr>
          <w:szCs w:val="24"/>
          <w:lang w:val="es-ES"/>
        </w:rPr>
      </w:pPr>
      <w:r w:rsidRPr="00C901E0">
        <w:rPr>
          <w:i/>
          <w:szCs w:val="24"/>
          <w:lang w:val="es-ES"/>
        </w:rPr>
        <w:t>Invita</w:t>
      </w:r>
      <w:r w:rsidRPr="00C901E0">
        <w:rPr>
          <w:szCs w:val="24"/>
          <w:lang w:val="es-ES"/>
        </w:rPr>
        <w:t xml:space="preserve"> a las Partes, pueblos indígenas y comunidades locales y organizaciones pertinentes a presentar a la Secretaria Ejecutiva opiniones y sugerencias sobre los posibles elementos del marco estratégico a largo plazo para la creación de capacidad después de 2020 así como posibles elementos de un plan de acción específico para la creación de capacidad sobre seguridad de la biotecnología, que abarque el Protocolo de Cartagena y su Protocolo Suplementario;</w:t>
      </w:r>
    </w:p>
    <w:p w:rsidR="001B1C78" w:rsidRPr="00C901E0" w:rsidRDefault="001B1C78" w:rsidP="001B1C78">
      <w:pPr>
        <w:pStyle w:val="Para1"/>
        <w:numPr>
          <w:ilvl w:val="0"/>
          <w:numId w:val="13"/>
        </w:numPr>
        <w:suppressLineNumbers/>
        <w:tabs>
          <w:tab w:val="clear" w:pos="360"/>
          <w:tab w:val="num" w:pos="1418"/>
        </w:tabs>
        <w:suppressAutoHyphens/>
        <w:kinsoku w:val="0"/>
        <w:overflowPunct w:val="0"/>
        <w:autoSpaceDE w:val="0"/>
        <w:autoSpaceDN w:val="0"/>
        <w:adjustRightInd w:val="0"/>
        <w:snapToGrid w:val="0"/>
        <w:ind w:firstLine="720"/>
        <w:rPr>
          <w:szCs w:val="24"/>
          <w:lang w:val="es-ES"/>
        </w:rPr>
      </w:pPr>
      <w:r w:rsidRPr="00C901E0">
        <w:rPr>
          <w:i/>
          <w:szCs w:val="24"/>
          <w:lang w:val="es-ES"/>
        </w:rPr>
        <w:lastRenderedPageBreak/>
        <w:t>Invita</w:t>
      </w:r>
      <w:r w:rsidRPr="00C901E0">
        <w:rPr>
          <w:szCs w:val="24"/>
          <w:lang w:val="es-ES"/>
        </w:rPr>
        <w:t xml:space="preserve"> </w:t>
      </w:r>
      <w:r w:rsidRPr="00C901E0">
        <w:rPr>
          <w:i/>
          <w:szCs w:val="24"/>
          <w:lang w:val="es-ES"/>
        </w:rPr>
        <w:t>también</w:t>
      </w:r>
      <w:r w:rsidRPr="00C901E0">
        <w:rPr>
          <w:szCs w:val="24"/>
          <w:lang w:val="es-ES"/>
        </w:rPr>
        <w:t xml:space="preserve"> a las Partes, así como a pueblos indígenas y comunidades locales y organizaciones pertinentes, a participar en los talleres consultivos y foros de discusión en línea sobre el proyecto de marco estratégico a largo plazo para la creación de capacidad después de 2020, conjuntamente con el proceso de preparación para el marco mundial de la diversidad biológica posterior a 2020;</w:t>
      </w:r>
    </w:p>
    <w:p w:rsidR="001B1C78" w:rsidRPr="00C901E0" w:rsidRDefault="001B1C78" w:rsidP="001B1C78">
      <w:pPr>
        <w:pStyle w:val="Para1"/>
        <w:numPr>
          <w:ilvl w:val="0"/>
          <w:numId w:val="13"/>
        </w:numPr>
        <w:suppressLineNumbers/>
        <w:tabs>
          <w:tab w:val="clear" w:pos="360"/>
          <w:tab w:val="num" w:pos="1418"/>
        </w:tabs>
        <w:suppressAutoHyphens/>
        <w:kinsoku w:val="0"/>
        <w:overflowPunct w:val="0"/>
        <w:autoSpaceDE w:val="0"/>
        <w:autoSpaceDN w:val="0"/>
        <w:adjustRightInd w:val="0"/>
        <w:snapToGrid w:val="0"/>
        <w:ind w:firstLine="720"/>
        <w:rPr>
          <w:szCs w:val="24"/>
          <w:lang w:val="es-ES"/>
        </w:rPr>
      </w:pPr>
      <w:r w:rsidRPr="00C901E0">
        <w:rPr>
          <w:i/>
          <w:color w:val="000000"/>
          <w:szCs w:val="24"/>
          <w:lang w:val="es-ES"/>
        </w:rPr>
        <w:t>Pide</w:t>
      </w:r>
      <w:r w:rsidRPr="00C901E0">
        <w:rPr>
          <w:color w:val="000000"/>
          <w:szCs w:val="24"/>
          <w:lang w:val="es-ES"/>
        </w:rPr>
        <w:t xml:space="preserve"> al Grupo de Enlace del Protocolo de Cartagena sobre Seguridad de la Biotecnología</w:t>
      </w:r>
      <w:r w:rsidRPr="004167C2">
        <w:rPr>
          <w:rStyle w:val="FootnoteReference"/>
          <w:color w:val="000000"/>
          <w:sz w:val="22"/>
          <w:u w:val="none"/>
          <w:vertAlign w:val="superscript"/>
          <w:lang w:val="es-ES"/>
        </w:rPr>
        <w:footnoteReference w:id="5"/>
      </w:r>
      <w:r w:rsidRPr="004167C2">
        <w:rPr>
          <w:color w:val="000000"/>
          <w:lang w:val="es-ES"/>
        </w:rPr>
        <w:t xml:space="preserve"> </w:t>
      </w:r>
      <w:r w:rsidRPr="00C901E0">
        <w:rPr>
          <w:color w:val="000000"/>
          <w:szCs w:val="24"/>
          <w:lang w:val="es-ES"/>
        </w:rPr>
        <w:t xml:space="preserve">que en su 13ª reunión contribuya a la elaboración de </w:t>
      </w:r>
      <w:r w:rsidRPr="00C901E0">
        <w:rPr>
          <w:szCs w:val="24"/>
          <w:lang w:val="es-ES"/>
        </w:rPr>
        <w:t xml:space="preserve">a) el proyecto de plan de acción para la creación de capacidad para la aplicación del Protocolo de Cartagena y su Protocolo Suplementario y b) el proyecto de marco estratégico a largo plazo para la creación de capacidad después de </w:t>
      </w:r>
      <w:r w:rsidRPr="00C901E0">
        <w:rPr>
          <w:color w:val="000000"/>
          <w:szCs w:val="24"/>
          <w:lang w:val="es-ES"/>
        </w:rPr>
        <w:t xml:space="preserve">2020, según proceda, y que, en su 14ª reunión, </w:t>
      </w:r>
      <w:r w:rsidRPr="00C901E0">
        <w:rPr>
          <w:szCs w:val="24"/>
          <w:lang w:val="es-ES"/>
        </w:rPr>
        <w:t>revise el proyecto final del plan de acción para la creación de capacidad sobre seguridad de la biotecnología, teniendo en cuenta la información proporcionada en los cuartos informes nacionales presentados en el marco del Protocolo de Cartagena</w:t>
      </w:r>
      <w:r w:rsidRPr="00C901E0">
        <w:rPr>
          <w:color w:val="000000"/>
          <w:szCs w:val="24"/>
          <w:lang w:val="es-ES"/>
        </w:rPr>
        <w:t>;</w:t>
      </w:r>
    </w:p>
    <w:p w:rsidR="001B1C78" w:rsidRPr="00C901E0" w:rsidRDefault="001B1C78" w:rsidP="001B1C78">
      <w:pPr>
        <w:pStyle w:val="Para1"/>
        <w:numPr>
          <w:ilvl w:val="0"/>
          <w:numId w:val="13"/>
        </w:numPr>
        <w:suppressLineNumbers/>
        <w:tabs>
          <w:tab w:val="clear" w:pos="360"/>
        </w:tabs>
        <w:suppressAutoHyphens/>
        <w:kinsoku w:val="0"/>
        <w:overflowPunct w:val="0"/>
        <w:autoSpaceDE w:val="0"/>
        <w:autoSpaceDN w:val="0"/>
        <w:adjustRightInd w:val="0"/>
        <w:snapToGrid w:val="0"/>
        <w:ind w:firstLine="720"/>
        <w:rPr>
          <w:szCs w:val="24"/>
          <w:lang w:val="es-ES"/>
        </w:rPr>
      </w:pPr>
      <w:r w:rsidRPr="00C901E0">
        <w:rPr>
          <w:i/>
          <w:szCs w:val="24"/>
          <w:lang w:val="es-ES"/>
        </w:rPr>
        <w:t>Pide</w:t>
      </w:r>
      <w:r w:rsidRPr="00C901E0">
        <w:rPr>
          <w:szCs w:val="24"/>
          <w:lang w:val="es-ES"/>
        </w:rPr>
        <w:t xml:space="preserve"> a la Secretaria Ejecutiva que:</w:t>
      </w:r>
    </w:p>
    <w:p w:rsidR="001B1C78" w:rsidRPr="00C901E0" w:rsidRDefault="001B1C78" w:rsidP="001B1C78">
      <w:pPr>
        <w:pStyle w:val="Para1"/>
        <w:numPr>
          <w:ilvl w:val="0"/>
          <w:numId w:val="0"/>
        </w:numPr>
        <w:suppressLineNumbers/>
        <w:suppressAutoHyphens/>
        <w:kinsoku w:val="0"/>
        <w:overflowPunct w:val="0"/>
        <w:autoSpaceDE w:val="0"/>
        <w:autoSpaceDN w:val="0"/>
        <w:adjustRightInd w:val="0"/>
        <w:snapToGrid w:val="0"/>
        <w:ind w:firstLine="720"/>
        <w:rPr>
          <w:szCs w:val="24"/>
          <w:lang w:val="es-ES"/>
        </w:rPr>
      </w:pPr>
      <w:r w:rsidRPr="00C901E0">
        <w:rPr>
          <w:szCs w:val="24"/>
          <w:lang w:val="es-ES"/>
        </w:rPr>
        <w:t>a)</w:t>
      </w:r>
      <w:r w:rsidRPr="00C901E0">
        <w:rPr>
          <w:szCs w:val="24"/>
          <w:lang w:val="es-ES"/>
        </w:rPr>
        <w:tab/>
        <w:t>Recopile las opiniones y sugerencias de las Partes, pueblos indígenas y comunidades locales y organizaciones pertinentes que se mencionan en el párrafo 8 de la presente decisión;</w:t>
      </w:r>
    </w:p>
    <w:p w:rsidR="001B1C78" w:rsidRPr="00C901E0" w:rsidRDefault="001B1C78" w:rsidP="001B1C78">
      <w:pPr>
        <w:pStyle w:val="Para1"/>
        <w:numPr>
          <w:ilvl w:val="0"/>
          <w:numId w:val="0"/>
        </w:numPr>
        <w:suppressLineNumbers/>
        <w:suppressAutoHyphens/>
        <w:kinsoku w:val="0"/>
        <w:overflowPunct w:val="0"/>
        <w:autoSpaceDE w:val="0"/>
        <w:autoSpaceDN w:val="0"/>
        <w:adjustRightInd w:val="0"/>
        <w:snapToGrid w:val="0"/>
        <w:ind w:firstLine="720"/>
        <w:rPr>
          <w:szCs w:val="24"/>
          <w:lang w:val="es-ES"/>
        </w:rPr>
      </w:pPr>
      <w:r w:rsidRPr="00C901E0">
        <w:rPr>
          <w:szCs w:val="24"/>
          <w:lang w:val="es-ES"/>
        </w:rPr>
        <w:t>b)</w:t>
      </w:r>
      <w:r w:rsidRPr="00C901E0">
        <w:rPr>
          <w:szCs w:val="24"/>
          <w:lang w:val="es-ES"/>
        </w:rPr>
        <w:tab/>
        <w:t>Garantice un nivel adecuado de participación de expertos en seguridad de la biotecnología, incluidos quienes tengan experiencia en el Protocolo Suplementario, en las consultas que se mantengan a lo largo de la elaboración del marco estratégico para la creación de capacidad después de 2020;</w:t>
      </w:r>
    </w:p>
    <w:p w:rsidR="001B1C78" w:rsidRPr="00C901E0" w:rsidRDefault="001B1C78" w:rsidP="001B1C78">
      <w:pPr>
        <w:pStyle w:val="Para1"/>
        <w:numPr>
          <w:ilvl w:val="0"/>
          <w:numId w:val="0"/>
        </w:numPr>
        <w:suppressLineNumbers/>
        <w:suppressAutoHyphens/>
        <w:kinsoku w:val="0"/>
        <w:overflowPunct w:val="0"/>
        <w:autoSpaceDE w:val="0"/>
        <w:autoSpaceDN w:val="0"/>
        <w:adjustRightInd w:val="0"/>
        <w:snapToGrid w:val="0"/>
        <w:ind w:firstLine="720"/>
        <w:rPr>
          <w:szCs w:val="24"/>
          <w:lang w:val="es-ES"/>
        </w:rPr>
      </w:pPr>
      <w:r w:rsidRPr="00C901E0">
        <w:rPr>
          <w:szCs w:val="24"/>
          <w:lang w:val="es-ES"/>
        </w:rPr>
        <w:t>c)</w:t>
      </w:r>
      <w:r w:rsidRPr="00C901E0">
        <w:rPr>
          <w:szCs w:val="24"/>
          <w:lang w:val="es-ES"/>
        </w:rPr>
        <w:tab/>
        <w:t>Presente i) un proyecto de plan de acción para la creación de capacidad para la aplicación del Protocolo de Cartagena y su Protocolo Suplementario y ii) un proyecto de marco estratégico a largo plazo para la creación de capacidad después de 2020</w:t>
      </w:r>
      <w:r w:rsidRPr="004167C2">
        <w:rPr>
          <w:rStyle w:val="FootnoteReference"/>
          <w:sz w:val="22"/>
          <w:u w:val="none"/>
          <w:vertAlign w:val="superscript"/>
          <w:lang w:val="es-ES"/>
        </w:rPr>
        <w:footnoteReference w:id="6"/>
      </w:r>
      <w:r w:rsidRPr="00C901E0">
        <w:rPr>
          <w:szCs w:val="24"/>
          <w:lang w:val="es-ES"/>
        </w:rPr>
        <w:t>, para consideración del Órgano Subsidiario sobre la Aplicación en su tercera reunión y para posterior consideración de la Conferencia de las Partes que actúa como reunión de las Partes en el Protocolo de Cartagena sobre Seguridad de la Biotecnología en su décima reunión;</w:t>
      </w:r>
    </w:p>
    <w:p w:rsidR="001B1C78" w:rsidRPr="00C901E0" w:rsidRDefault="001B1C78" w:rsidP="001B1C78">
      <w:pPr>
        <w:pStyle w:val="Para1"/>
        <w:numPr>
          <w:ilvl w:val="0"/>
          <w:numId w:val="13"/>
        </w:numPr>
        <w:suppressLineNumbers/>
        <w:tabs>
          <w:tab w:val="clear" w:pos="360"/>
        </w:tabs>
        <w:suppressAutoHyphens/>
        <w:ind w:firstLine="720"/>
        <w:rPr>
          <w:szCs w:val="24"/>
          <w:lang w:val="es-ES"/>
        </w:rPr>
      </w:pPr>
      <w:r w:rsidRPr="00C901E0">
        <w:rPr>
          <w:i/>
          <w:szCs w:val="24"/>
          <w:lang w:val="es-ES"/>
        </w:rPr>
        <w:t xml:space="preserve">Pide también </w:t>
      </w:r>
      <w:r w:rsidRPr="00C901E0">
        <w:rPr>
          <w:szCs w:val="24"/>
          <w:lang w:val="es-ES"/>
        </w:rPr>
        <w:t>a la Secretaria Ejecutiva que, con sujeción a la disponibilidad de recursos y en colaboración con organizaciones pertinentes, facilite y apoye la realización de las actividades prioritarias de creación de capacidad en apoyo a la aplicación del Protocolo incluidas en el Marco y Plan de Acción para la Creación de Capacidad para la Aplicación Efectiva del Protocolo de Cartagena sobre Seguridad de la Biotecnología (2012-2020), que figuran en el anexo I de la decisión BS-VI/3, y de conformidad con el Plan de Acción a Corto Plazo (2017-2020) para Mejorar y Apoyar la Creación de Capacidad para la Aplicación del Convenio y sus Protocolos, que figura en el anexo de la decisión XIII/23 de la Conferencia de las Partes.</w:t>
      </w:r>
    </w:p>
    <w:p w:rsidR="001B1C78" w:rsidRPr="004167C2" w:rsidRDefault="001B1C78" w:rsidP="001B1C78">
      <w:pPr>
        <w:keepNext/>
        <w:suppressLineNumbers/>
        <w:suppressAutoHyphens/>
        <w:kinsoku w:val="0"/>
        <w:overflowPunct w:val="0"/>
        <w:autoSpaceDE w:val="0"/>
        <w:autoSpaceDN w:val="0"/>
        <w:snapToGrid w:val="0"/>
        <w:spacing w:before="240" w:after="120"/>
        <w:jc w:val="center"/>
        <w:rPr>
          <w:i/>
          <w:kern w:val="22"/>
          <w:sz w:val="22"/>
          <w:szCs w:val="22"/>
          <w:lang w:val="es-ES"/>
        </w:rPr>
      </w:pPr>
      <w:r w:rsidRPr="004167C2">
        <w:rPr>
          <w:i/>
          <w:kern w:val="22"/>
          <w:sz w:val="22"/>
          <w:szCs w:val="22"/>
          <w:lang w:val="es-ES"/>
        </w:rPr>
        <w:t>Anexo</w:t>
      </w:r>
    </w:p>
    <w:p w:rsidR="001B1C78" w:rsidRPr="004167C2" w:rsidRDefault="001B1C78" w:rsidP="001B1C78">
      <w:pPr>
        <w:keepNext/>
        <w:suppressLineNumbers/>
        <w:suppressAutoHyphens/>
        <w:spacing w:before="120" w:after="120"/>
        <w:jc w:val="center"/>
        <w:rPr>
          <w:rFonts w:ascii="Calibri" w:hAnsi="Calibri"/>
          <w:color w:val="000000"/>
          <w:kern w:val="22"/>
          <w:sz w:val="22"/>
          <w:szCs w:val="22"/>
          <w:lang w:val="es-ES"/>
        </w:rPr>
      </w:pPr>
      <w:r w:rsidRPr="004167C2">
        <w:rPr>
          <w:b/>
          <w:color w:val="000000"/>
          <w:kern w:val="22"/>
          <w:sz w:val="22"/>
          <w:szCs w:val="22"/>
          <w:lang w:val="es-ES"/>
        </w:rPr>
        <w:t>CALENDARIO INDICATIVO DE ACTIVIDADES</w:t>
      </w:r>
    </w:p>
    <w:p w:rsidR="00376CED" w:rsidRDefault="001B1C78" w:rsidP="001B1C78">
      <w:pPr>
        <w:pStyle w:val="Para1"/>
        <w:numPr>
          <w:ilvl w:val="0"/>
          <w:numId w:val="0"/>
        </w:numPr>
        <w:suppressLineNumbers/>
        <w:suppressAutoHyphens/>
        <w:kinsoku w:val="0"/>
        <w:overflowPunct w:val="0"/>
        <w:autoSpaceDE w:val="0"/>
        <w:autoSpaceDN w:val="0"/>
        <w:adjustRightInd w:val="0"/>
        <w:snapToGrid w:val="0"/>
        <w:rPr>
          <w:szCs w:val="24"/>
          <w:lang w:val="es-ES"/>
        </w:rPr>
      </w:pPr>
      <w:r w:rsidRPr="00C901E0">
        <w:rPr>
          <w:szCs w:val="24"/>
          <w:lang w:val="es-ES"/>
        </w:rPr>
        <w:tab/>
        <w:t>El proceso para la elaboración de un plan de acción específico para la creación de capacidad para la aplicación del Protocolo de Cartagena y su Protocolo Suplementario que esté en armonía con el instrumento específico que sucederá al Plan Estratégico para el Protocolo de Cartagena sobre Seguridad de la Biotecnología y sea complementario al marco estratégico a largo plazo para la creación de capacidad después de 2020 incluirá las siguientes actividades, que se articularán con el calendario para la elaboración del instrumento que sucederá al Plan Estratégico para la Diversidad Biológica 2011-2020:</w:t>
      </w:r>
    </w:p>
    <w:tbl>
      <w:tblPr>
        <w:tblW w:w="9598" w:type="dxa"/>
        <w:jc w:val="center"/>
        <w:tblLook w:val="01E0"/>
      </w:tblPr>
      <w:tblGrid>
        <w:gridCol w:w="5238"/>
        <w:gridCol w:w="1667"/>
        <w:gridCol w:w="2693"/>
      </w:tblGrid>
      <w:tr w:rsidR="00E75C14" w:rsidRPr="00C901E0" w:rsidTr="00725967">
        <w:trPr>
          <w:cantSplit/>
          <w:tblHeader/>
          <w:jc w:val="center"/>
        </w:trPr>
        <w:tc>
          <w:tcPr>
            <w:tcW w:w="5238" w:type="dxa"/>
          </w:tcPr>
          <w:p w:rsidR="00E75C14" w:rsidRPr="00C901E0" w:rsidRDefault="00E75C14" w:rsidP="004167C2">
            <w:pPr>
              <w:pStyle w:val="Para1"/>
              <w:keepNext/>
              <w:keepLines/>
              <w:numPr>
                <w:ilvl w:val="0"/>
                <w:numId w:val="0"/>
              </w:numPr>
              <w:suppressLineNumbers/>
              <w:suppressAutoHyphens/>
              <w:kinsoku w:val="0"/>
              <w:overflowPunct w:val="0"/>
              <w:autoSpaceDE w:val="0"/>
              <w:autoSpaceDN w:val="0"/>
              <w:adjustRightInd w:val="0"/>
              <w:snapToGrid w:val="0"/>
              <w:spacing w:before="60" w:after="60"/>
              <w:rPr>
                <w:szCs w:val="24"/>
                <w:lang w:val="es-ES"/>
              </w:rPr>
            </w:pPr>
            <w:r w:rsidRPr="00C901E0">
              <w:rPr>
                <w:i/>
                <w:szCs w:val="24"/>
                <w:lang w:val="es-ES"/>
              </w:rPr>
              <w:lastRenderedPageBreak/>
              <w:t>Actividad/Tarea</w:t>
            </w:r>
          </w:p>
        </w:tc>
        <w:tc>
          <w:tcPr>
            <w:tcW w:w="1667" w:type="dxa"/>
          </w:tcPr>
          <w:p w:rsidR="00E75C14" w:rsidRPr="00C901E0" w:rsidRDefault="00E75C14" w:rsidP="004167C2">
            <w:pPr>
              <w:pStyle w:val="Para1"/>
              <w:keepNext/>
              <w:keepLines/>
              <w:numPr>
                <w:ilvl w:val="0"/>
                <w:numId w:val="0"/>
              </w:numPr>
              <w:suppressLineNumbers/>
              <w:suppressAutoHyphens/>
              <w:kinsoku w:val="0"/>
              <w:overflowPunct w:val="0"/>
              <w:autoSpaceDE w:val="0"/>
              <w:autoSpaceDN w:val="0"/>
              <w:adjustRightInd w:val="0"/>
              <w:snapToGrid w:val="0"/>
              <w:spacing w:before="60" w:after="60"/>
              <w:rPr>
                <w:szCs w:val="24"/>
                <w:lang w:val="es-ES"/>
              </w:rPr>
            </w:pPr>
            <w:r w:rsidRPr="00C901E0">
              <w:rPr>
                <w:i/>
                <w:szCs w:val="24"/>
                <w:lang w:val="es-ES"/>
              </w:rPr>
              <w:t>Marco temporal</w:t>
            </w:r>
          </w:p>
        </w:tc>
        <w:tc>
          <w:tcPr>
            <w:tcW w:w="2693" w:type="dxa"/>
          </w:tcPr>
          <w:p w:rsidR="00E75C14" w:rsidRPr="00C901E0" w:rsidRDefault="00E75C14" w:rsidP="004167C2">
            <w:pPr>
              <w:pStyle w:val="Para1"/>
              <w:keepNext/>
              <w:keepLines/>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i/>
                <w:szCs w:val="24"/>
                <w:lang w:val="es-ES"/>
              </w:rPr>
              <w:t>Responsabilidad</w:t>
            </w:r>
          </w:p>
        </w:tc>
      </w:tr>
      <w:tr w:rsidR="00E75C14" w:rsidRPr="00C901E0" w:rsidTr="00725967">
        <w:trPr>
          <w:cantSplit/>
          <w:jc w:val="center"/>
        </w:trPr>
        <w:tc>
          <w:tcPr>
            <w:tcW w:w="5238" w:type="dxa"/>
          </w:tcPr>
          <w:p w:rsidR="00E75C14" w:rsidRPr="00C901E0" w:rsidRDefault="00E75C14" w:rsidP="004167C2">
            <w:pPr>
              <w:pStyle w:val="Para1"/>
              <w:keepNext/>
              <w:keepLines/>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lang w:val="es-ES"/>
              </w:rPr>
            </w:pPr>
            <w:r w:rsidRPr="00C901E0">
              <w:rPr>
                <w:szCs w:val="24"/>
                <w:lang w:val="es-ES"/>
              </w:rPr>
              <w:t>1.</w:t>
            </w:r>
            <w:r w:rsidRPr="00C901E0">
              <w:rPr>
                <w:szCs w:val="24"/>
                <w:lang w:val="es-ES"/>
              </w:rPr>
              <w:tab/>
              <w:t>Invitación a las Partes en el Protocolo de Cartagena, pueblos indígenas y comunidades locales y organizaciones pertinentes a brindar opiniones y sugerencias sobre los posibles elementos de un plan de acción específico para la creación de capacidad sobre seguridad de la biotecnología, que abarque el Protocolo de Cartagena y su Protocolo Suplementario, y recopilación de esa información por la Secretaría</w:t>
            </w:r>
          </w:p>
        </w:tc>
        <w:tc>
          <w:tcPr>
            <w:tcW w:w="1667" w:type="dxa"/>
          </w:tcPr>
          <w:p w:rsidR="00E75C14" w:rsidRPr="00C901E0" w:rsidRDefault="00E75C14" w:rsidP="00802C23">
            <w:pPr>
              <w:pStyle w:val="Para1"/>
              <w:keepNext/>
              <w:keepLines/>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pacing w:val="-4"/>
                <w:szCs w:val="24"/>
                <w:lang w:val="es-ES"/>
              </w:rPr>
              <w:t>diciembre de 2018 -</w:t>
            </w:r>
            <w:r w:rsidR="004167C2">
              <w:rPr>
                <w:spacing w:val="-4"/>
                <w:szCs w:val="24"/>
                <w:lang w:val="es-ES"/>
              </w:rPr>
              <w:t xml:space="preserve"> </w:t>
            </w:r>
            <w:r w:rsidRPr="00C901E0">
              <w:rPr>
                <w:spacing w:val="-4"/>
                <w:szCs w:val="24"/>
                <w:lang w:val="es-ES"/>
              </w:rPr>
              <w:t>febrero de 2019</w:t>
            </w:r>
          </w:p>
        </w:tc>
        <w:tc>
          <w:tcPr>
            <w:tcW w:w="2693" w:type="dxa"/>
          </w:tcPr>
          <w:p w:rsidR="00E75C14" w:rsidRPr="00C901E0" w:rsidRDefault="00E75C14" w:rsidP="004167C2">
            <w:pPr>
              <w:pStyle w:val="Para1"/>
              <w:keepNext/>
              <w:keepLines/>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Secretaría; Partes, pueblos indígenas y comunidades locales y organizaciones pertinentes</w:t>
            </w:r>
          </w:p>
        </w:tc>
      </w:tr>
      <w:tr w:rsidR="00E75C14" w:rsidRPr="00C901E0" w:rsidTr="00725967">
        <w:trPr>
          <w:cantSplit/>
          <w:jc w:val="center"/>
        </w:trPr>
        <w:tc>
          <w:tcPr>
            <w:tcW w:w="5238" w:type="dxa"/>
          </w:tcPr>
          <w:p w:rsidR="00E75C14" w:rsidRPr="00C901E0" w:rsidRDefault="00E75C14" w:rsidP="0052214A">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lang w:val="es-ES"/>
              </w:rPr>
            </w:pPr>
            <w:r w:rsidRPr="00C901E0">
              <w:rPr>
                <w:szCs w:val="24"/>
                <w:lang w:val="es-ES"/>
              </w:rPr>
              <w:t>2.</w:t>
            </w:r>
            <w:r w:rsidRPr="00C901E0">
              <w:rPr>
                <w:szCs w:val="24"/>
                <w:lang w:val="es-ES"/>
              </w:rPr>
              <w:tab/>
              <w:t>Contribución del Grupo de Enlace a la elaboración del proyecto de plan de acción para la creación de capacidad para la aplicación del Protocolo de Cartagena y su Protocolo Suplementario, teniendo en cuenta las opiniones y sugerencias brindadas por las Partes</w:t>
            </w:r>
          </w:p>
        </w:tc>
        <w:tc>
          <w:tcPr>
            <w:tcW w:w="1667" w:type="dxa"/>
          </w:tcPr>
          <w:p w:rsidR="00E75C14" w:rsidRPr="00C901E0" w:rsidRDefault="00E75C14" w:rsidP="00802C23">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marzo - septiembre de</w:t>
            </w:r>
            <w:r w:rsidR="004167C2">
              <w:rPr>
                <w:szCs w:val="24"/>
                <w:lang w:val="es-ES"/>
              </w:rPr>
              <w:t> </w:t>
            </w:r>
            <w:r w:rsidRPr="00C901E0">
              <w:rPr>
                <w:szCs w:val="24"/>
                <w:lang w:val="es-ES"/>
              </w:rPr>
              <w:t>2019</w:t>
            </w:r>
          </w:p>
        </w:tc>
        <w:tc>
          <w:tcPr>
            <w:tcW w:w="2693" w:type="dxa"/>
          </w:tcPr>
          <w:p w:rsidR="00E75C14" w:rsidRPr="00C901E0" w:rsidRDefault="00E75C14" w:rsidP="0052214A">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Grupo de enlace; Secretaría</w:t>
            </w:r>
          </w:p>
        </w:tc>
      </w:tr>
      <w:tr w:rsidR="00E75C14" w:rsidRPr="00C901E0" w:rsidTr="00725967">
        <w:trPr>
          <w:cantSplit/>
          <w:jc w:val="center"/>
        </w:trPr>
        <w:tc>
          <w:tcPr>
            <w:tcW w:w="5238" w:type="dxa"/>
          </w:tcPr>
          <w:p w:rsidR="00E75C14" w:rsidRPr="00C901E0" w:rsidRDefault="00E75C14" w:rsidP="0052214A">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lang w:val="es-ES"/>
              </w:rPr>
            </w:pPr>
            <w:r w:rsidRPr="00C901E0">
              <w:rPr>
                <w:szCs w:val="24"/>
                <w:lang w:val="es-ES"/>
              </w:rPr>
              <w:t>3.</w:t>
            </w:r>
            <w:r w:rsidRPr="00C901E0">
              <w:rPr>
                <w:szCs w:val="24"/>
                <w:lang w:val="es-ES"/>
              </w:rPr>
              <w:tab/>
              <w:t>Preparación de un proyecto de plan de acción para la creación de capacidad para la aplicación del Protocolo de Cartagena y su Protocolo Suplementario</w:t>
            </w:r>
          </w:p>
        </w:tc>
        <w:tc>
          <w:tcPr>
            <w:tcW w:w="1667" w:type="dxa"/>
          </w:tcPr>
          <w:p w:rsidR="00E75C14" w:rsidRPr="00C901E0" w:rsidRDefault="00E75C14" w:rsidP="00802C23">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octubre - diciembre de 2019</w:t>
            </w:r>
          </w:p>
        </w:tc>
        <w:tc>
          <w:tcPr>
            <w:tcW w:w="2693" w:type="dxa"/>
          </w:tcPr>
          <w:p w:rsidR="00E75C14" w:rsidRPr="00C901E0" w:rsidRDefault="00E75C14" w:rsidP="0052214A">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Secretaría</w:t>
            </w:r>
          </w:p>
        </w:tc>
      </w:tr>
      <w:tr w:rsidR="00E75C14" w:rsidRPr="00C901E0" w:rsidTr="00725967">
        <w:trPr>
          <w:cantSplit/>
          <w:jc w:val="center"/>
        </w:trPr>
        <w:tc>
          <w:tcPr>
            <w:tcW w:w="5238" w:type="dxa"/>
          </w:tcPr>
          <w:p w:rsidR="00E75C14" w:rsidRPr="00C901E0" w:rsidRDefault="00E75C14" w:rsidP="0052214A">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lang w:val="es-ES"/>
              </w:rPr>
            </w:pPr>
            <w:r w:rsidRPr="00C901E0">
              <w:rPr>
                <w:szCs w:val="24"/>
                <w:lang w:val="es-ES"/>
              </w:rPr>
              <w:t>4.</w:t>
            </w:r>
            <w:r w:rsidRPr="00C901E0">
              <w:rPr>
                <w:szCs w:val="24"/>
                <w:lang w:val="es-ES"/>
              </w:rPr>
              <w:tab/>
              <w:t>Revisión del proyecto de plan de acción para la creación de capacidad sobre seguridad de la biotecnología por el Grupo de Enlace, teniendo en cuenta la información proporcionada en los cuartos informes nacionales presentados en el marco del Protocolo de Cartagena</w:t>
            </w:r>
          </w:p>
        </w:tc>
        <w:tc>
          <w:tcPr>
            <w:tcW w:w="1667" w:type="dxa"/>
          </w:tcPr>
          <w:p w:rsidR="00E75C14" w:rsidRPr="00C901E0" w:rsidRDefault="00E75C14" w:rsidP="00802C23">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febrero - marzo de 2020</w:t>
            </w:r>
          </w:p>
        </w:tc>
        <w:tc>
          <w:tcPr>
            <w:tcW w:w="2693" w:type="dxa"/>
          </w:tcPr>
          <w:p w:rsidR="00E75C14" w:rsidRPr="00C901E0" w:rsidRDefault="00E75C14" w:rsidP="0052214A">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Grupo de Enlace</w:t>
            </w:r>
          </w:p>
        </w:tc>
      </w:tr>
      <w:tr w:rsidR="00E75C14" w:rsidRPr="00C901E0" w:rsidTr="00725967">
        <w:trPr>
          <w:cantSplit/>
          <w:trHeight w:val="1222"/>
          <w:jc w:val="center"/>
        </w:trPr>
        <w:tc>
          <w:tcPr>
            <w:tcW w:w="5238" w:type="dxa"/>
          </w:tcPr>
          <w:p w:rsidR="00E75C14" w:rsidRPr="00C901E0" w:rsidRDefault="00E75C14" w:rsidP="0052214A">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lang w:val="es-ES"/>
              </w:rPr>
            </w:pPr>
            <w:r w:rsidRPr="00C901E0">
              <w:rPr>
                <w:szCs w:val="24"/>
                <w:lang w:val="es-ES"/>
              </w:rPr>
              <w:t>5.</w:t>
            </w:r>
            <w:r w:rsidRPr="00C901E0">
              <w:rPr>
                <w:szCs w:val="24"/>
                <w:lang w:val="es-ES"/>
              </w:rPr>
              <w:tab/>
              <w:t>Notificación invitando a presentar opiniones sobre la versión final del proyecto de plan de acción para la creación de capacidad para la aplicación del Protocolo de Cartagena y su Protocolo Suplementario y recopilación de opiniones por la Secretaría</w:t>
            </w:r>
          </w:p>
        </w:tc>
        <w:tc>
          <w:tcPr>
            <w:tcW w:w="1667" w:type="dxa"/>
          </w:tcPr>
          <w:p w:rsidR="00E75C14" w:rsidRPr="00C901E0" w:rsidRDefault="00E75C14" w:rsidP="00802C23">
            <w:pPr>
              <w:pStyle w:val="Para1"/>
              <w:numPr>
                <w:ilvl w:val="0"/>
                <w:numId w:val="0"/>
              </w:numPr>
              <w:suppressLineNumbers/>
              <w:suppressAutoHyphens/>
              <w:kinsoku w:val="0"/>
              <w:overflowPunct w:val="0"/>
              <w:autoSpaceDE w:val="0"/>
              <w:autoSpaceDN w:val="0"/>
              <w:adjustRightInd w:val="0"/>
              <w:snapToGrid w:val="0"/>
              <w:spacing w:before="60" w:after="60"/>
              <w:jc w:val="left"/>
              <w:rPr>
                <w:spacing w:val="-4"/>
                <w:szCs w:val="24"/>
                <w:lang w:val="es-ES"/>
              </w:rPr>
            </w:pPr>
            <w:r w:rsidRPr="00C901E0">
              <w:rPr>
                <w:spacing w:val="-4"/>
                <w:szCs w:val="24"/>
                <w:lang w:val="es-ES"/>
              </w:rPr>
              <w:t>abril - mayo de</w:t>
            </w:r>
            <w:r w:rsidR="00802C23">
              <w:rPr>
                <w:spacing w:val="-4"/>
                <w:szCs w:val="24"/>
                <w:lang w:val="es-ES"/>
              </w:rPr>
              <w:t> </w:t>
            </w:r>
            <w:r w:rsidRPr="00C901E0">
              <w:rPr>
                <w:spacing w:val="-4"/>
                <w:szCs w:val="24"/>
                <w:lang w:val="es-ES"/>
              </w:rPr>
              <w:t>2020</w:t>
            </w:r>
          </w:p>
          <w:p w:rsidR="00E75C14" w:rsidRPr="00C901E0" w:rsidRDefault="00E75C14" w:rsidP="00802C23">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p>
        </w:tc>
        <w:tc>
          <w:tcPr>
            <w:tcW w:w="2693" w:type="dxa"/>
          </w:tcPr>
          <w:p w:rsidR="00E75C14" w:rsidRPr="00C901E0" w:rsidRDefault="00E75C14" w:rsidP="0052214A">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Secretaría; Partes, pueblos indígenas y comunidades locales y organizaciones pertinentes</w:t>
            </w:r>
          </w:p>
        </w:tc>
      </w:tr>
      <w:tr w:rsidR="00E75C14" w:rsidRPr="00C901E0" w:rsidTr="00725967">
        <w:trPr>
          <w:cantSplit/>
          <w:jc w:val="center"/>
        </w:trPr>
        <w:tc>
          <w:tcPr>
            <w:tcW w:w="5238" w:type="dxa"/>
          </w:tcPr>
          <w:p w:rsidR="00E75C14" w:rsidRPr="00C901E0" w:rsidRDefault="00E75C14" w:rsidP="0052214A">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ind w:left="357" w:hanging="357"/>
              <w:rPr>
                <w:szCs w:val="24"/>
                <w:lang w:val="es-ES"/>
              </w:rPr>
            </w:pPr>
            <w:r w:rsidRPr="00C901E0">
              <w:rPr>
                <w:szCs w:val="24"/>
                <w:lang w:val="es-ES"/>
              </w:rPr>
              <w:t>6.</w:t>
            </w:r>
            <w:r w:rsidRPr="00C901E0">
              <w:rPr>
                <w:szCs w:val="24"/>
                <w:lang w:val="es-ES"/>
              </w:rPr>
              <w:tab/>
              <w:t>Examen de la versión final del proyecto de plan de acción para la creación de capacidad para la aplicación del Protocolo de Cartagena y su Protocolo Suplementario por el Órgano Subsidiario sobre la Aplicación en su tercera reunión</w:t>
            </w:r>
          </w:p>
          <w:p w:rsidR="00E75C14" w:rsidRPr="00C901E0" w:rsidRDefault="00E75C14" w:rsidP="0052214A">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ind w:left="357" w:hanging="357"/>
              <w:rPr>
                <w:szCs w:val="24"/>
                <w:lang w:val="es-ES"/>
              </w:rPr>
            </w:pPr>
          </w:p>
        </w:tc>
        <w:tc>
          <w:tcPr>
            <w:tcW w:w="1667" w:type="dxa"/>
          </w:tcPr>
          <w:p w:rsidR="00E75C14" w:rsidRPr="00C901E0" w:rsidRDefault="00E75C14" w:rsidP="00802C23">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junio de 2020</w:t>
            </w:r>
          </w:p>
        </w:tc>
        <w:tc>
          <w:tcPr>
            <w:tcW w:w="2693" w:type="dxa"/>
          </w:tcPr>
          <w:p w:rsidR="00E75C14" w:rsidRPr="00C901E0" w:rsidRDefault="00E75C14" w:rsidP="0052214A">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Órgano Subsidiario sobre la Aplicación, tercera reunión</w:t>
            </w:r>
          </w:p>
        </w:tc>
      </w:tr>
      <w:tr w:rsidR="00E75C14" w:rsidRPr="00C901E0" w:rsidTr="00725967">
        <w:trPr>
          <w:cantSplit/>
          <w:jc w:val="center"/>
        </w:trPr>
        <w:tc>
          <w:tcPr>
            <w:tcW w:w="5238" w:type="dxa"/>
          </w:tcPr>
          <w:p w:rsidR="00E75C14" w:rsidRPr="00C901E0" w:rsidRDefault="00E75C14" w:rsidP="0052214A">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zCs w:val="24"/>
                <w:lang w:val="es-ES"/>
              </w:rPr>
            </w:pPr>
            <w:r w:rsidRPr="00C901E0">
              <w:rPr>
                <w:szCs w:val="24"/>
                <w:lang w:val="es-ES"/>
              </w:rPr>
              <w:t>7.</w:t>
            </w:r>
            <w:r w:rsidRPr="00C901E0">
              <w:rPr>
                <w:szCs w:val="24"/>
                <w:lang w:val="es-ES"/>
              </w:rPr>
              <w:tab/>
              <w:t>Consideración del proyecto de plan de acción por la Conferencia de las Partes que actúa como reunión de las Partes en el Protocolo de Cartagena sobre Seguridad de la Biotecnología con miras a su posible adopción, teniendo en cuenta la recomendación del Órgano Subsidiario sobre la Aplicación</w:t>
            </w:r>
          </w:p>
        </w:tc>
        <w:tc>
          <w:tcPr>
            <w:tcW w:w="1667" w:type="dxa"/>
          </w:tcPr>
          <w:p w:rsidR="00E75C14" w:rsidRPr="00C901E0" w:rsidRDefault="00E75C14" w:rsidP="00802C23">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octubre de 2020</w:t>
            </w:r>
          </w:p>
        </w:tc>
        <w:tc>
          <w:tcPr>
            <w:tcW w:w="2693" w:type="dxa"/>
          </w:tcPr>
          <w:p w:rsidR="00E75C14" w:rsidRPr="00C901E0" w:rsidRDefault="00E75C14" w:rsidP="0052214A">
            <w:pPr>
              <w:pStyle w:val="Para1"/>
              <w:numPr>
                <w:ilvl w:val="0"/>
                <w:numId w:val="0"/>
              </w:numPr>
              <w:suppressLineNumbers/>
              <w:suppressAutoHyphens/>
              <w:kinsoku w:val="0"/>
              <w:overflowPunct w:val="0"/>
              <w:autoSpaceDE w:val="0"/>
              <w:autoSpaceDN w:val="0"/>
              <w:adjustRightInd w:val="0"/>
              <w:snapToGrid w:val="0"/>
              <w:spacing w:before="60" w:after="60"/>
              <w:jc w:val="left"/>
              <w:rPr>
                <w:szCs w:val="24"/>
                <w:lang w:val="es-ES"/>
              </w:rPr>
            </w:pPr>
            <w:r w:rsidRPr="00C901E0">
              <w:rPr>
                <w:szCs w:val="24"/>
                <w:lang w:val="es-ES"/>
              </w:rPr>
              <w:t>Conferencia de las Partes que actúa como reunión de las Partes en el Protocolo de Cartagena sobre Seguridad de la Biotecnología, décima reunión</w:t>
            </w:r>
          </w:p>
        </w:tc>
      </w:tr>
    </w:tbl>
    <w:p w:rsidR="00376CED" w:rsidRPr="00C901E0" w:rsidRDefault="00376CED" w:rsidP="00725967">
      <w:pPr>
        <w:suppressLineNumbers/>
        <w:suppressAutoHyphens/>
        <w:rPr>
          <w:kern w:val="22"/>
          <w:lang w:val="es-ES"/>
        </w:rPr>
      </w:pPr>
    </w:p>
    <w:p w:rsidR="00376CED" w:rsidRPr="00C901E0" w:rsidRDefault="00376CED">
      <w:pPr>
        <w:rPr>
          <w:b/>
          <w:caps/>
          <w:lang w:val="es-ES"/>
        </w:rPr>
      </w:pPr>
      <w:r w:rsidRPr="00C901E0">
        <w:rPr>
          <w:lang w:val="es-ES"/>
        </w:rPr>
        <w:br w:type="page"/>
      </w:r>
    </w:p>
    <w:p w:rsidR="00376CED" w:rsidRPr="00C901E0" w:rsidRDefault="00376CED" w:rsidP="00376CED">
      <w:pPr>
        <w:pStyle w:val="heading2-item"/>
        <w:rPr>
          <w:lang w:val="es-ES"/>
        </w:rPr>
      </w:pPr>
      <w:bookmarkStart w:id="12" w:name="_Toc879815"/>
      <w:bookmarkStart w:id="13" w:name="_Toc5922077"/>
      <w:r w:rsidRPr="00C901E0">
        <w:rPr>
          <w:lang w:val="es-ES"/>
        </w:rPr>
        <w:lastRenderedPageBreak/>
        <w:t>9/4.</w:t>
      </w:r>
      <w:r w:rsidRPr="00C901E0">
        <w:rPr>
          <w:lang w:val="es-ES"/>
        </w:rPr>
        <w:tab/>
      </w:r>
      <w:bookmarkEnd w:id="12"/>
      <w:r w:rsidR="003A27FC" w:rsidRPr="00C901E0">
        <w:rPr>
          <w:lang w:val="es-ES"/>
        </w:rPr>
        <w:t xml:space="preserve">Asuntos relacionados con el mecanismo financiero y los recursos financieros </w:t>
      </w:r>
      <w:r w:rsidR="003A27FC" w:rsidRPr="00C901E0">
        <w:rPr>
          <w:caps/>
          <w:lang w:val="es-ES"/>
        </w:rPr>
        <w:t>(</w:t>
      </w:r>
      <w:r w:rsidR="003A27FC" w:rsidRPr="00C901E0">
        <w:rPr>
          <w:lang w:val="es-ES"/>
        </w:rPr>
        <w:t>artículo</w:t>
      </w:r>
      <w:r w:rsidR="003A27FC" w:rsidRPr="00C901E0">
        <w:rPr>
          <w:caps/>
          <w:lang w:val="es-ES"/>
        </w:rPr>
        <w:t xml:space="preserve"> 28)</w:t>
      </w:r>
      <w:bookmarkEnd w:id="13"/>
    </w:p>
    <w:p w:rsidR="003A27FC" w:rsidRPr="00802C23" w:rsidRDefault="003A27FC" w:rsidP="003A27FC">
      <w:pPr>
        <w:shd w:val="clear" w:color="auto" w:fill="FFFFFF"/>
        <w:spacing w:before="120" w:after="120" w:line="220" w:lineRule="auto"/>
        <w:ind w:firstLine="720"/>
        <w:rPr>
          <w:i/>
          <w:kern w:val="22"/>
          <w:sz w:val="22"/>
          <w:szCs w:val="22"/>
          <w:lang w:val="es-ES"/>
        </w:rPr>
      </w:pPr>
      <w:r w:rsidRPr="00802C23">
        <w:rPr>
          <w:i/>
          <w:kern w:val="22"/>
          <w:sz w:val="22"/>
          <w:szCs w:val="22"/>
          <w:lang w:val="es-ES"/>
        </w:rPr>
        <w:t>La Conferencia de las Partes que actúa como reunión de las Partes en el Protocolo de Cartagena sobre Seguridad de la Biotecnología,</w:t>
      </w:r>
    </w:p>
    <w:p w:rsidR="003A27FC" w:rsidRPr="00C901E0" w:rsidRDefault="003A27FC" w:rsidP="00465C6E">
      <w:pPr>
        <w:pStyle w:val="Para1"/>
        <w:numPr>
          <w:ilvl w:val="0"/>
          <w:numId w:val="19"/>
        </w:numPr>
        <w:autoSpaceDE w:val="0"/>
        <w:autoSpaceDN w:val="0"/>
        <w:adjustRightInd w:val="0"/>
        <w:snapToGrid w:val="0"/>
        <w:spacing w:line="220" w:lineRule="auto"/>
        <w:ind w:firstLine="720"/>
        <w:rPr>
          <w:szCs w:val="24"/>
          <w:lang w:val="es-ES"/>
        </w:rPr>
      </w:pPr>
      <w:r w:rsidRPr="00C901E0">
        <w:rPr>
          <w:i/>
          <w:szCs w:val="24"/>
          <w:lang w:val="es-ES"/>
        </w:rPr>
        <w:t>Insta</w:t>
      </w:r>
      <w:r w:rsidRPr="00C901E0">
        <w:rPr>
          <w:szCs w:val="24"/>
          <w:lang w:val="es-ES"/>
        </w:rPr>
        <w:t xml:space="preserve"> a las Partes que reúnan las condiciones a dar prioridad a proyectos de seguridad de la biotecnología en la programación de sus asignaciones nacionales del Sistema para la Asignación Transparente de Recursos (SATR) en el marco del séptimo período de reposición del Fondo Fiduciario del Fondo para el Medio Ambiente Mundial, teniendo en cuenta sus obligaciones contraídas en virtud del Protocolo de Cartagena sobre Seguridad de la Biotecnología, el Plan Estratégico para el Protocolo de Cartagena sobre Seguridad de la Biotecnología para el período 2011-2020</w:t>
      </w:r>
      <w:r w:rsidRPr="00802C23">
        <w:rPr>
          <w:rStyle w:val="FootnoteReference"/>
          <w:szCs w:val="24"/>
          <w:u w:val="none"/>
          <w:vertAlign w:val="superscript"/>
          <w:lang w:val="es-ES"/>
        </w:rPr>
        <w:footnoteReference w:id="7"/>
      </w:r>
      <w:r w:rsidRPr="00C901E0">
        <w:rPr>
          <w:szCs w:val="24"/>
          <w:lang w:val="es-ES"/>
        </w:rPr>
        <w:t xml:space="preserve"> y la orientación de la Conferencia de las Partes para el mecanismo financiero;</w:t>
      </w:r>
    </w:p>
    <w:p w:rsidR="003A27FC" w:rsidRPr="00C901E0" w:rsidRDefault="003A27FC" w:rsidP="00465C6E">
      <w:pPr>
        <w:pStyle w:val="Para1"/>
        <w:numPr>
          <w:ilvl w:val="0"/>
          <w:numId w:val="19"/>
        </w:numPr>
        <w:snapToGrid w:val="0"/>
        <w:spacing w:line="220" w:lineRule="auto"/>
        <w:ind w:firstLine="720"/>
        <w:rPr>
          <w:szCs w:val="24"/>
          <w:lang w:val="es-ES"/>
        </w:rPr>
      </w:pPr>
      <w:r w:rsidRPr="00C901E0">
        <w:rPr>
          <w:i/>
          <w:szCs w:val="24"/>
          <w:lang w:val="es-ES"/>
        </w:rPr>
        <w:t>Recomienda</w:t>
      </w:r>
      <w:r w:rsidRPr="00C901E0">
        <w:rPr>
          <w:szCs w:val="24"/>
          <w:lang w:val="es-ES"/>
        </w:rPr>
        <w:t xml:space="preserve"> a la Conferencia de las Partes que, cuando adopte su orientación para el mecanismo financiero con respecto al apoyo para la aplicación del Protocolo y teniendo en cuenta las recomendaciones del Comité de Cumplimiento</w:t>
      </w:r>
      <w:r w:rsidRPr="00802C23">
        <w:rPr>
          <w:rStyle w:val="FootnoteReference"/>
          <w:sz w:val="22"/>
          <w:u w:val="none"/>
          <w:vertAlign w:val="superscript"/>
          <w:lang w:val="es-ES"/>
        </w:rPr>
        <w:footnoteReference w:id="8"/>
      </w:r>
      <w:r w:rsidRPr="00C901E0">
        <w:rPr>
          <w:szCs w:val="24"/>
          <w:lang w:val="es-ES"/>
        </w:rPr>
        <w:t>, invite al Fondo para el Medio Ambiente Mundial a seguir proporcionando fondos para:</w:t>
      </w:r>
    </w:p>
    <w:p w:rsidR="003A27FC" w:rsidRPr="00C901E0" w:rsidRDefault="003A27FC" w:rsidP="00465C6E">
      <w:pPr>
        <w:pStyle w:val="Para3"/>
        <w:numPr>
          <w:ilvl w:val="1"/>
          <w:numId w:val="35"/>
        </w:numPr>
        <w:tabs>
          <w:tab w:val="clear" w:pos="1980"/>
        </w:tabs>
        <w:spacing w:before="120" w:after="120" w:line="220" w:lineRule="auto"/>
        <w:ind w:left="0" w:firstLine="720"/>
        <w:rPr>
          <w:kern w:val="22"/>
          <w:szCs w:val="24"/>
          <w:lang w:val="es-ES"/>
        </w:rPr>
      </w:pPr>
      <w:r w:rsidRPr="00C901E0">
        <w:rPr>
          <w:kern w:val="22"/>
          <w:szCs w:val="24"/>
          <w:lang w:val="es-ES"/>
        </w:rPr>
        <w:t>Ayudar a aquellas Partes que reúnan las condiciones y que aún no lo hayan hecho a instrumentar plenamente medidas para aplicar el Protocolo;</w:t>
      </w:r>
    </w:p>
    <w:p w:rsidR="003A27FC" w:rsidRPr="00C901E0" w:rsidRDefault="003A27FC" w:rsidP="00465C6E">
      <w:pPr>
        <w:pStyle w:val="Para3"/>
        <w:numPr>
          <w:ilvl w:val="1"/>
          <w:numId w:val="35"/>
        </w:numPr>
        <w:tabs>
          <w:tab w:val="clear" w:pos="1980"/>
        </w:tabs>
        <w:spacing w:before="120" w:after="120" w:line="220" w:lineRule="auto"/>
        <w:ind w:left="0" w:firstLine="720"/>
        <w:rPr>
          <w:kern w:val="22"/>
          <w:szCs w:val="24"/>
          <w:lang w:val="es-ES"/>
        </w:rPr>
      </w:pPr>
      <w:r w:rsidRPr="00C901E0">
        <w:rPr>
          <w:kern w:val="22"/>
          <w:szCs w:val="24"/>
          <w:lang w:val="es-ES"/>
        </w:rPr>
        <w:t>Apoyar a las Partes que reúnan las condiciones a cumplir sus obligaciones de presentación de informes contraídas en virtud del Protocolo, incluida la presentación de sus cuartos informes nacionales;</w:t>
      </w:r>
    </w:p>
    <w:p w:rsidR="003A27FC" w:rsidRPr="00C901E0" w:rsidRDefault="003A27FC" w:rsidP="00465C6E">
      <w:pPr>
        <w:pStyle w:val="Para3"/>
        <w:numPr>
          <w:ilvl w:val="1"/>
          <w:numId w:val="35"/>
        </w:numPr>
        <w:tabs>
          <w:tab w:val="clear" w:pos="1980"/>
        </w:tabs>
        <w:spacing w:before="120" w:after="120" w:line="220" w:lineRule="auto"/>
        <w:ind w:left="0" w:firstLine="720"/>
        <w:rPr>
          <w:kern w:val="22"/>
          <w:szCs w:val="24"/>
          <w:lang w:val="es-ES"/>
        </w:rPr>
      </w:pPr>
      <w:r w:rsidRPr="00C901E0">
        <w:rPr>
          <w:kern w:val="22"/>
          <w:szCs w:val="24"/>
          <w:lang w:val="es-ES"/>
        </w:rPr>
        <w:t>Apoyar a las Partes en la implementación de planes de acción para el cumplimiento del Protocolo;</w:t>
      </w:r>
    </w:p>
    <w:p w:rsidR="003A27FC" w:rsidRPr="00C901E0" w:rsidRDefault="003A27FC" w:rsidP="00465C6E">
      <w:pPr>
        <w:pStyle w:val="Para1"/>
        <w:numPr>
          <w:ilvl w:val="0"/>
          <w:numId w:val="19"/>
        </w:numPr>
        <w:snapToGrid w:val="0"/>
        <w:ind w:firstLine="720"/>
        <w:rPr>
          <w:szCs w:val="24"/>
          <w:lang w:val="es-ES"/>
        </w:rPr>
      </w:pPr>
      <w:r w:rsidRPr="00C901E0">
        <w:rPr>
          <w:i/>
          <w:szCs w:val="24"/>
          <w:lang w:val="es-ES"/>
        </w:rPr>
        <w:t>Insta</w:t>
      </w:r>
      <w:r w:rsidRPr="00C901E0">
        <w:rPr>
          <w:szCs w:val="24"/>
          <w:lang w:val="es-ES"/>
        </w:rPr>
        <w:t xml:space="preserve"> a las Partes que reúnan las condiciones a colaborar activamente con el Fondo para el Medio Ambiente Mundial, incluido coordinando con el punto focal operacional del Fondo para el Medio Ambiente Mundial, con el fin de garantizar que puedan acceder a fondos disponibles para la seguridad de la biotecnología;</w:t>
      </w:r>
    </w:p>
    <w:p w:rsidR="003A27FC" w:rsidRPr="00C901E0" w:rsidRDefault="003A27FC" w:rsidP="003A27FC">
      <w:pPr>
        <w:pStyle w:val="ListParagraph"/>
        <w:shd w:val="clear" w:color="auto" w:fill="FFFFFF"/>
        <w:spacing w:before="120" w:after="120"/>
        <w:ind w:left="0" w:firstLine="720"/>
        <w:rPr>
          <w:kern w:val="22"/>
          <w:lang w:val="es-ES"/>
        </w:rPr>
      </w:pPr>
      <w:r w:rsidRPr="00C901E0">
        <w:rPr>
          <w:kern w:val="22"/>
          <w:lang w:val="es-ES"/>
        </w:rPr>
        <w:t>4.</w:t>
      </w:r>
      <w:r w:rsidRPr="00C901E0">
        <w:rPr>
          <w:kern w:val="22"/>
          <w:lang w:val="es-ES"/>
        </w:rPr>
        <w:tab/>
      </w:r>
      <w:r w:rsidRPr="00C901E0">
        <w:rPr>
          <w:i/>
          <w:kern w:val="22"/>
          <w:lang w:val="es-ES"/>
        </w:rPr>
        <w:t>Acoge con satisfacción</w:t>
      </w:r>
      <w:r w:rsidRPr="00C901E0">
        <w:rPr>
          <w:kern w:val="22"/>
          <w:lang w:val="es-ES"/>
        </w:rPr>
        <w:t xml:space="preserve"> la séptima reposición del Fondo Fiduciario del Fondo para el Medio Ambiente Mundial y </w:t>
      </w:r>
      <w:r w:rsidRPr="00C901E0">
        <w:rPr>
          <w:i/>
          <w:kern w:val="22"/>
          <w:lang w:val="es-ES"/>
        </w:rPr>
        <w:t>expresa su agradecimiento</w:t>
      </w:r>
      <w:r w:rsidRPr="00C901E0">
        <w:rPr>
          <w:kern w:val="22"/>
          <w:lang w:val="es-ES"/>
        </w:rPr>
        <w:t xml:space="preserve"> a los países que contribuyeron a la séptima reposición;</w:t>
      </w:r>
    </w:p>
    <w:p w:rsidR="00376CED" w:rsidRPr="00C901E0" w:rsidRDefault="003A27FC" w:rsidP="003A27FC">
      <w:pPr>
        <w:pStyle w:val="ListParagraph"/>
        <w:shd w:val="clear" w:color="auto" w:fill="FFFFFF" w:themeFill="background1"/>
        <w:spacing w:before="120" w:after="120" w:line="226" w:lineRule="auto"/>
        <w:ind w:left="0" w:firstLine="720"/>
        <w:rPr>
          <w:kern w:val="22"/>
          <w:szCs w:val="22"/>
          <w:lang w:val="es-ES"/>
        </w:rPr>
      </w:pPr>
      <w:r w:rsidRPr="00C901E0">
        <w:rPr>
          <w:kern w:val="22"/>
          <w:lang w:val="es-ES"/>
        </w:rPr>
        <w:t>5.</w:t>
      </w:r>
      <w:r w:rsidRPr="00C901E0">
        <w:rPr>
          <w:kern w:val="22"/>
          <w:lang w:val="es-ES"/>
        </w:rPr>
        <w:tab/>
      </w:r>
      <w:r w:rsidRPr="00C901E0">
        <w:rPr>
          <w:i/>
          <w:kern w:val="22"/>
          <w:lang w:val="es-ES"/>
        </w:rPr>
        <w:t>Alienta</w:t>
      </w:r>
      <w:r w:rsidRPr="00C901E0">
        <w:rPr>
          <w:kern w:val="22"/>
          <w:lang w:val="es-ES"/>
        </w:rPr>
        <w:t xml:space="preserve"> a las Partes a cooperar a nivel regional y subregional, así como a pedir apoyo al Fondo para el Medio Ambiente Mundial para llevar a cabo proyectos conjuntos, a fin de maximizar sinergias y oportunidades para compartir recursos, información, experiencias y conocimientos especializados de una manera que sea eficaz en función de los costos.</w:t>
      </w:r>
    </w:p>
    <w:p w:rsidR="00376CED" w:rsidRPr="00C901E0" w:rsidRDefault="00376CED">
      <w:pPr>
        <w:rPr>
          <w:b/>
          <w:caps/>
          <w:lang w:val="es-ES"/>
        </w:rPr>
      </w:pPr>
      <w:r w:rsidRPr="00C901E0">
        <w:rPr>
          <w:lang w:val="es-ES"/>
        </w:rPr>
        <w:br w:type="page"/>
      </w:r>
    </w:p>
    <w:p w:rsidR="00376CED" w:rsidRPr="00C901E0" w:rsidRDefault="00376CED" w:rsidP="00376CED">
      <w:pPr>
        <w:pStyle w:val="heading2-item"/>
        <w:rPr>
          <w:lang w:val="es-ES"/>
        </w:rPr>
      </w:pPr>
      <w:bookmarkStart w:id="14" w:name="_Toc879816"/>
      <w:bookmarkStart w:id="15" w:name="_Toc5922078"/>
      <w:r w:rsidRPr="00C901E0">
        <w:rPr>
          <w:lang w:val="es-ES"/>
        </w:rPr>
        <w:lastRenderedPageBreak/>
        <w:t>9/5.</w:t>
      </w:r>
      <w:r w:rsidRPr="00C901E0">
        <w:rPr>
          <w:lang w:val="es-ES"/>
        </w:rPr>
        <w:tab/>
      </w:r>
      <w:bookmarkEnd w:id="14"/>
      <w:r w:rsidR="0052214A" w:rsidRPr="00C901E0">
        <w:rPr>
          <w:lang w:val="es-ES"/>
        </w:rPr>
        <w:t>Vigilancia y presentación de informes (artículo 33)</w:t>
      </w:r>
      <w:bookmarkEnd w:id="15"/>
    </w:p>
    <w:p w:rsidR="0052214A" w:rsidRPr="00C901E0" w:rsidRDefault="0052214A" w:rsidP="0052214A">
      <w:pPr>
        <w:pStyle w:val="Para1"/>
        <w:numPr>
          <w:ilvl w:val="0"/>
          <w:numId w:val="0"/>
        </w:numPr>
        <w:kinsoku w:val="0"/>
        <w:overflowPunct w:val="0"/>
        <w:autoSpaceDE w:val="0"/>
        <w:autoSpaceDN w:val="0"/>
        <w:ind w:firstLine="720"/>
        <w:rPr>
          <w:i/>
          <w:szCs w:val="24"/>
          <w:lang w:val="es-ES"/>
        </w:rPr>
      </w:pPr>
      <w:r w:rsidRPr="00C901E0">
        <w:rPr>
          <w:i/>
          <w:szCs w:val="24"/>
          <w:lang w:val="es-ES"/>
        </w:rPr>
        <w:t>La Conferencia de las Partes que actúa como reunión de las Partes en el Protocolo de Cartagena sobre Seguridad de la Biotecnología,</w:t>
      </w:r>
    </w:p>
    <w:p w:rsidR="0052214A" w:rsidRPr="00C901E0" w:rsidRDefault="0052214A" w:rsidP="0052214A">
      <w:pPr>
        <w:pStyle w:val="Para1"/>
        <w:numPr>
          <w:ilvl w:val="0"/>
          <w:numId w:val="0"/>
        </w:numPr>
        <w:kinsoku w:val="0"/>
        <w:overflowPunct w:val="0"/>
        <w:autoSpaceDE w:val="0"/>
        <w:autoSpaceDN w:val="0"/>
        <w:ind w:firstLine="720"/>
        <w:rPr>
          <w:lang w:val="es-ES"/>
        </w:rPr>
      </w:pPr>
      <w:r w:rsidRPr="00C901E0">
        <w:rPr>
          <w:i/>
          <w:lang w:val="es-ES"/>
        </w:rPr>
        <w:t>Recordando</w:t>
      </w:r>
      <w:r w:rsidRPr="00C901E0">
        <w:rPr>
          <w:lang w:val="es-ES"/>
        </w:rPr>
        <w:t xml:space="preserve"> la decisión </w:t>
      </w:r>
      <w:hyperlink r:id="rId16" w:history="1">
        <w:r w:rsidRPr="00C901E0">
          <w:rPr>
            <w:rStyle w:val="Hyperlink"/>
            <w:lang w:val="es-ES"/>
          </w:rPr>
          <w:t>CP-VIII/14</w:t>
        </w:r>
      </w:hyperlink>
      <w:r w:rsidRPr="00C901E0">
        <w:rPr>
          <w:lang w:val="es-ES"/>
        </w:rPr>
        <w:t xml:space="preserve">, en la que se pidió al Secretario Ejecutivo que desarrollara un formato revisado para los cuartos informes nacionales con miras a asegurar que se captara información completa y precisa, buscando a la vez asegurar la utilidad de los datos de referencia, según lo previsto en la decisión </w:t>
      </w:r>
      <w:hyperlink r:id="rId17" w:history="1">
        <w:r w:rsidRPr="00C901E0">
          <w:rPr>
            <w:rStyle w:val="Hyperlink"/>
            <w:lang w:val="es-ES"/>
          </w:rPr>
          <w:t>BS</w:t>
        </w:r>
        <w:r w:rsidRPr="00C901E0">
          <w:rPr>
            <w:rStyle w:val="Hyperlink"/>
            <w:lang w:val="es-ES"/>
          </w:rPr>
          <w:noBreakHyphen/>
          <w:t>VI/15</w:t>
        </w:r>
      </w:hyperlink>
      <w:r w:rsidRPr="00C901E0">
        <w:rPr>
          <w:lang w:val="es-ES"/>
        </w:rPr>
        <w:t>,</w:t>
      </w:r>
    </w:p>
    <w:p w:rsidR="0052214A" w:rsidRPr="00C901E0" w:rsidRDefault="0052214A" w:rsidP="0052214A">
      <w:pPr>
        <w:pStyle w:val="Para1"/>
        <w:numPr>
          <w:ilvl w:val="0"/>
          <w:numId w:val="0"/>
        </w:numPr>
        <w:kinsoku w:val="0"/>
        <w:overflowPunct w:val="0"/>
        <w:autoSpaceDE w:val="0"/>
        <w:autoSpaceDN w:val="0"/>
        <w:ind w:firstLine="720"/>
        <w:rPr>
          <w:szCs w:val="24"/>
          <w:lang w:val="es-ES"/>
        </w:rPr>
      </w:pPr>
      <w:r w:rsidRPr="00C901E0">
        <w:rPr>
          <w:i/>
          <w:szCs w:val="24"/>
          <w:lang w:val="es-ES"/>
        </w:rPr>
        <w:t>Acogiendo con satisfacción</w:t>
      </w:r>
      <w:r w:rsidRPr="00C901E0">
        <w:rPr>
          <w:szCs w:val="24"/>
          <w:lang w:val="es-ES"/>
        </w:rPr>
        <w:t xml:space="preserve"> el examen del proyecto revisado de formato para el cuarto informe nacional realizado por el Órgano Subsidiario sobre la Aplicación en su segunda reunión, según lo propuesto por la Secretaria Ejecutiva</w:t>
      </w:r>
      <w:r w:rsidRPr="00802C23">
        <w:rPr>
          <w:rStyle w:val="FootnoteReference"/>
          <w:sz w:val="22"/>
          <w:u w:val="none"/>
          <w:vertAlign w:val="superscript"/>
          <w:lang w:val="es-ES"/>
        </w:rPr>
        <w:footnoteReference w:id="9"/>
      </w:r>
      <w:r w:rsidRPr="00C901E0">
        <w:rPr>
          <w:szCs w:val="24"/>
          <w:lang w:val="es-ES"/>
        </w:rPr>
        <w:t>,</w:t>
      </w:r>
    </w:p>
    <w:p w:rsidR="0052214A" w:rsidRPr="00C901E0" w:rsidRDefault="0052214A" w:rsidP="0052214A">
      <w:pPr>
        <w:pStyle w:val="Para1"/>
        <w:numPr>
          <w:ilvl w:val="0"/>
          <w:numId w:val="0"/>
        </w:numPr>
        <w:kinsoku w:val="0"/>
        <w:overflowPunct w:val="0"/>
        <w:autoSpaceDE w:val="0"/>
        <w:autoSpaceDN w:val="0"/>
        <w:ind w:firstLine="720"/>
        <w:rPr>
          <w:szCs w:val="24"/>
          <w:lang w:val="es-ES"/>
        </w:rPr>
      </w:pPr>
      <w:r w:rsidRPr="00C901E0">
        <w:rPr>
          <w:i/>
          <w:szCs w:val="24"/>
          <w:lang w:val="es-ES"/>
        </w:rPr>
        <w:t>Reconociendo</w:t>
      </w:r>
      <w:r w:rsidRPr="00C901E0">
        <w:rPr>
          <w:szCs w:val="24"/>
          <w:lang w:val="es-ES"/>
        </w:rPr>
        <w:t xml:space="preserve"> la importancia de lograr una mayor armonización en la presentación de informes nacionales en el marco del Convenio y sus Protocolos y de profundizar las sinergias entre los convenios relacionados con la diversidad biológica y los convenios de Río, así como la Agenda 2030 para el Desarrollo Sostenible</w:t>
      </w:r>
      <w:r w:rsidRPr="00D9479D">
        <w:rPr>
          <w:rStyle w:val="FootnoteReference"/>
          <w:sz w:val="22"/>
          <w:u w:val="none"/>
          <w:vertAlign w:val="superscript"/>
          <w:lang w:val="es-ES"/>
        </w:rPr>
        <w:footnoteReference w:id="10"/>
      </w:r>
      <w:r w:rsidRPr="00C901E0">
        <w:rPr>
          <w:szCs w:val="24"/>
          <w:lang w:val="es-ES"/>
        </w:rPr>
        <w:t xml:space="preserve"> y las herramientas de presentación de informes para los Objetivos de Desarrollo Sostenible, y </w:t>
      </w:r>
      <w:r w:rsidRPr="00C901E0">
        <w:rPr>
          <w:i/>
          <w:szCs w:val="24"/>
          <w:lang w:val="es-ES"/>
        </w:rPr>
        <w:t>observando</w:t>
      </w:r>
      <w:r w:rsidRPr="00C901E0">
        <w:rPr>
          <w:szCs w:val="24"/>
          <w:lang w:val="es-ES"/>
        </w:rPr>
        <w:t xml:space="preserve"> los progresos realizados al respecto hasta ahora,</w:t>
      </w:r>
    </w:p>
    <w:p w:rsidR="0052214A" w:rsidRPr="00C901E0" w:rsidRDefault="0052214A" w:rsidP="00465C6E">
      <w:pPr>
        <w:pStyle w:val="Para1"/>
        <w:numPr>
          <w:ilvl w:val="0"/>
          <w:numId w:val="36"/>
        </w:numPr>
        <w:kinsoku w:val="0"/>
        <w:overflowPunct w:val="0"/>
        <w:autoSpaceDE w:val="0"/>
        <w:autoSpaceDN w:val="0"/>
        <w:ind w:firstLine="709"/>
        <w:rPr>
          <w:szCs w:val="24"/>
          <w:lang w:val="es-ES"/>
        </w:rPr>
      </w:pPr>
      <w:r w:rsidRPr="00C901E0">
        <w:rPr>
          <w:i/>
          <w:szCs w:val="24"/>
          <w:lang w:val="es-ES"/>
        </w:rPr>
        <w:t>Acoge con satisfacción</w:t>
      </w:r>
      <w:r w:rsidRPr="00C901E0">
        <w:rPr>
          <w:szCs w:val="24"/>
          <w:lang w:val="es-ES"/>
        </w:rPr>
        <w:t xml:space="preserve"> los terceros informes nacionales adicionales presentados e </w:t>
      </w:r>
      <w:r w:rsidRPr="00C901E0">
        <w:rPr>
          <w:i/>
          <w:szCs w:val="24"/>
          <w:lang w:val="es-ES"/>
        </w:rPr>
        <w:t>insta</w:t>
      </w:r>
      <w:r w:rsidRPr="00C901E0">
        <w:rPr>
          <w:szCs w:val="24"/>
          <w:lang w:val="es-ES"/>
        </w:rPr>
        <w:t xml:space="preserve"> a las Partes que aún no han presentado su tercer informe nacional a que lo hagan a la mayor brevedad posible</w:t>
      </w:r>
      <w:r w:rsidRPr="00D9479D">
        <w:rPr>
          <w:rStyle w:val="FootnoteReference"/>
          <w:sz w:val="22"/>
          <w:u w:val="none"/>
          <w:vertAlign w:val="superscript"/>
          <w:lang w:val="es-ES"/>
        </w:rPr>
        <w:footnoteReference w:id="11"/>
      </w:r>
      <w:r w:rsidRPr="00C901E0">
        <w:rPr>
          <w:szCs w:val="24"/>
          <w:lang w:val="es-ES"/>
        </w:rPr>
        <w:t>;</w:t>
      </w:r>
    </w:p>
    <w:p w:rsidR="0052214A" w:rsidRPr="00C901E0" w:rsidRDefault="0052214A" w:rsidP="0052214A">
      <w:pPr>
        <w:pStyle w:val="Para1"/>
        <w:numPr>
          <w:ilvl w:val="0"/>
          <w:numId w:val="13"/>
        </w:numPr>
        <w:tabs>
          <w:tab w:val="clear" w:pos="360"/>
        </w:tabs>
        <w:kinsoku w:val="0"/>
        <w:overflowPunct w:val="0"/>
        <w:autoSpaceDE w:val="0"/>
        <w:autoSpaceDN w:val="0"/>
        <w:ind w:firstLine="720"/>
        <w:rPr>
          <w:szCs w:val="24"/>
          <w:lang w:val="es-ES"/>
        </w:rPr>
      </w:pPr>
      <w:r w:rsidRPr="00C901E0">
        <w:rPr>
          <w:i/>
          <w:szCs w:val="24"/>
          <w:lang w:val="es-ES"/>
        </w:rPr>
        <w:t>Adopta</w:t>
      </w:r>
      <w:r w:rsidRPr="00C901E0">
        <w:rPr>
          <w:szCs w:val="24"/>
          <w:lang w:val="es-ES"/>
        </w:rPr>
        <w:t xml:space="preserve"> el formato de presentación de informes que figura en el anexo de la presente decisión y </w:t>
      </w:r>
      <w:r w:rsidRPr="00C901E0">
        <w:rPr>
          <w:i/>
          <w:szCs w:val="24"/>
          <w:lang w:val="es-ES"/>
        </w:rPr>
        <w:t>pide</w:t>
      </w:r>
      <w:r w:rsidRPr="00C901E0">
        <w:rPr>
          <w:szCs w:val="24"/>
          <w:lang w:val="es-ES"/>
        </w:rPr>
        <w:t xml:space="preserve"> a las Partes que lo utilicen para el cuarto informe nacional sobre la aplicación del Protocolo de Cartagena sobre Seguridad de la Biotecnología;</w:t>
      </w:r>
    </w:p>
    <w:p w:rsidR="0052214A" w:rsidRPr="00C901E0" w:rsidRDefault="0052214A" w:rsidP="0052214A">
      <w:pPr>
        <w:pStyle w:val="Para1"/>
        <w:numPr>
          <w:ilvl w:val="0"/>
          <w:numId w:val="13"/>
        </w:numPr>
        <w:tabs>
          <w:tab w:val="clear" w:pos="360"/>
        </w:tabs>
        <w:kinsoku w:val="0"/>
        <w:overflowPunct w:val="0"/>
        <w:autoSpaceDE w:val="0"/>
        <w:autoSpaceDN w:val="0"/>
        <w:ind w:firstLine="720"/>
        <w:rPr>
          <w:szCs w:val="24"/>
          <w:lang w:val="es-ES"/>
        </w:rPr>
      </w:pPr>
      <w:r w:rsidRPr="00C901E0">
        <w:rPr>
          <w:i/>
          <w:szCs w:val="24"/>
          <w:lang w:val="es-ES"/>
        </w:rPr>
        <w:t>Invita</w:t>
      </w:r>
      <w:r w:rsidRPr="00C901E0">
        <w:rPr>
          <w:szCs w:val="24"/>
          <w:lang w:val="es-ES"/>
        </w:rPr>
        <w:t xml:space="preserve"> a las Partes a preparar sus informes mediante un proceso de consultas en el que se dé participación a todos los interesados directos del país, en particular los pueblos indígenas y las comunidades locales, según proceda;</w:t>
      </w:r>
    </w:p>
    <w:p w:rsidR="0052214A" w:rsidRPr="00C901E0" w:rsidRDefault="0052214A" w:rsidP="0052214A">
      <w:pPr>
        <w:pStyle w:val="Para1"/>
        <w:numPr>
          <w:ilvl w:val="0"/>
          <w:numId w:val="13"/>
        </w:numPr>
        <w:tabs>
          <w:tab w:val="clear" w:pos="360"/>
        </w:tabs>
        <w:kinsoku w:val="0"/>
        <w:overflowPunct w:val="0"/>
        <w:autoSpaceDE w:val="0"/>
        <w:autoSpaceDN w:val="0"/>
        <w:ind w:firstLine="720"/>
        <w:rPr>
          <w:spacing w:val="-1"/>
          <w:szCs w:val="24"/>
          <w:lang w:val="es-ES"/>
        </w:rPr>
      </w:pPr>
      <w:r w:rsidRPr="00C901E0">
        <w:rPr>
          <w:i/>
          <w:spacing w:val="-1"/>
          <w:szCs w:val="24"/>
          <w:lang w:val="es-ES"/>
        </w:rPr>
        <w:t>Alienta</w:t>
      </w:r>
      <w:r w:rsidRPr="00C901E0">
        <w:rPr>
          <w:spacing w:val="-1"/>
          <w:szCs w:val="24"/>
          <w:lang w:val="es-ES"/>
        </w:rPr>
        <w:t xml:space="preserve"> a las Partes a responder todas las preguntas incluidas en el formato de presentación de informes y subraya la importancia de presentar los cuartos informes nacionales dentro del plazo a fin de facilitar la cuarta evaluación y revisión de la eficacia del Protocolo de Cartagena y la evaluación final del Plan Estratégico para el Protocolo de Cartagena sobre Seguridad de la Biotecnología en el periodo 2011-2020</w:t>
      </w:r>
      <w:r w:rsidRPr="00D9479D">
        <w:rPr>
          <w:rStyle w:val="FootnoteReference"/>
          <w:rFonts w:eastAsia="MS Gothic"/>
          <w:spacing w:val="-1"/>
          <w:sz w:val="22"/>
          <w:u w:val="none"/>
          <w:vertAlign w:val="superscript"/>
          <w:lang w:val="es-ES"/>
        </w:rPr>
        <w:footnoteReference w:id="12"/>
      </w:r>
      <w:r w:rsidRPr="00C901E0">
        <w:rPr>
          <w:spacing w:val="-1"/>
          <w:szCs w:val="24"/>
          <w:lang w:val="es-ES"/>
        </w:rPr>
        <w:t>;</w:t>
      </w:r>
    </w:p>
    <w:p w:rsidR="0052214A" w:rsidRPr="00C901E0" w:rsidRDefault="0052214A" w:rsidP="0052214A">
      <w:pPr>
        <w:pStyle w:val="Para1"/>
        <w:numPr>
          <w:ilvl w:val="0"/>
          <w:numId w:val="13"/>
        </w:numPr>
        <w:tabs>
          <w:tab w:val="clear" w:pos="360"/>
        </w:tabs>
        <w:kinsoku w:val="0"/>
        <w:overflowPunct w:val="0"/>
        <w:autoSpaceDE w:val="0"/>
        <w:autoSpaceDN w:val="0"/>
        <w:ind w:firstLine="720"/>
        <w:rPr>
          <w:szCs w:val="24"/>
          <w:lang w:val="es-ES"/>
        </w:rPr>
      </w:pPr>
      <w:r w:rsidRPr="00C901E0">
        <w:rPr>
          <w:i/>
          <w:szCs w:val="24"/>
          <w:lang w:val="es-ES"/>
        </w:rPr>
        <w:t>Pide</w:t>
      </w:r>
      <w:r w:rsidRPr="00C901E0">
        <w:rPr>
          <w:szCs w:val="24"/>
          <w:lang w:val="es-ES"/>
        </w:rPr>
        <w:t xml:space="preserve"> a las Partes que presenten e </w:t>
      </w:r>
      <w:r w:rsidRPr="00C901E0">
        <w:rPr>
          <w:i/>
          <w:szCs w:val="24"/>
          <w:lang w:val="es-ES"/>
        </w:rPr>
        <w:t>invita</w:t>
      </w:r>
      <w:r w:rsidRPr="00C901E0">
        <w:rPr>
          <w:szCs w:val="24"/>
          <w:lang w:val="es-ES"/>
        </w:rPr>
        <w:t xml:space="preserve"> a otros Gobiernos a presentar a la Secretaría sus cuartos informes nacionales sobre la aplicación del Protocolo de Cartagena sobre Seguridad de la Biotecnología:</w:t>
      </w:r>
    </w:p>
    <w:p w:rsidR="0052214A" w:rsidRPr="00C901E0" w:rsidRDefault="0052214A" w:rsidP="0052214A">
      <w:pPr>
        <w:pStyle w:val="Para1"/>
        <w:numPr>
          <w:ilvl w:val="0"/>
          <w:numId w:val="0"/>
        </w:numPr>
        <w:kinsoku w:val="0"/>
        <w:overflowPunct w:val="0"/>
        <w:autoSpaceDE w:val="0"/>
        <w:autoSpaceDN w:val="0"/>
        <w:ind w:firstLine="720"/>
        <w:rPr>
          <w:szCs w:val="24"/>
          <w:lang w:val="es-ES"/>
        </w:rPr>
      </w:pPr>
      <w:r w:rsidRPr="00C901E0">
        <w:rPr>
          <w:szCs w:val="24"/>
          <w:lang w:val="es-ES"/>
        </w:rPr>
        <w:t>a)</w:t>
      </w:r>
      <w:r w:rsidRPr="00C901E0">
        <w:rPr>
          <w:szCs w:val="24"/>
          <w:lang w:val="es-ES"/>
        </w:rPr>
        <w:tab/>
        <w:t>En uno de los idiomas oficiales de las Naciones Unidas;</w:t>
      </w:r>
    </w:p>
    <w:p w:rsidR="0052214A" w:rsidRPr="00C901E0" w:rsidRDefault="0052214A" w:rsidP="0052214A">
      <w:pPr>
        <w:pStyle w:val="Para1"/>
        <w:numPr>
          <w:ilvl w:val="0"/>
          <w:numId w:val="0"/>
        </w:numPr>
        <w:kinsoku w:val="0"/>
        <w:overflowPunct w:val="0"/>
        <w:autoSpaceDE w:val="0"/>
        <w:autoSpaceDN w:val="0"/>
        <w:spacing w:before="0" w:after="0"/>
        <w:ind w:firstLine="720"/>
        <w:rPr>
          <w:szCs w:val="24"/>
          <w:lang w:val="es-ES"/>
        </w:rPr>
      </w:pPr>
      <w:r w:rsidRPr="00C901E0">
        <w:rPr>
          <w:szCs w:val="24"/>
          <w:lang w:val="es-ES"/>
        </w:rPr>
        <w:t>b)</w:t>
      </w:r>
      <w:r w:rsidRPr="00C901E0">
        <w:rPr>
          <w:szCs w:val="24"/>
          <w:lang w:val="es-ES"/>
        </w:rPr>
        <w:tab/>
        <w:t>Doce meses antes de la décima reunión de la Conferencia de las Partes que actúa como reunión de las Partes en el Protocolo, en la cual se considerará el informe;</w:t>
      </w:r>
    </w:p>
    <w:p w:rsidR="0052214A" w:rsidRPr="00C901E0" w:rsidRDefault="0052214A" w:rsidP="0052214A">
      <w:pPr>
        <w:pStyle w:val="Para1"/>
        <w:numPr>
          <w:ilvl w:val="0"/>
          <w:numId w:val="0"/>
        </w:numPr>
        <w:kinsoku w:val="0"/>
        <w:overflowPunct w:val="0"/>
        <w:autoSpaceDE w:val="0"/>
        <w:autoSpaceDN w:val="0"/>
        <w:ind w:firstLine="720"/>
        <w:rPr>
          <w:szCs w:val="24"/>
          <w:lang w:val="es-ES"/>
        </w:rPr>
      </w:pPr>
      <w:r w:rsidRPr="00C901E0">
        <w:rPr>
          <w:szCs w:val="24"/>
          <w:lang w:val="es-ES"/>
        </w:rPr>
        <w:t>c)</w:t>
      </w:r>
      <w:r w:rsidRPr="00C901E0">
        <w:rPr>
          <w:szCs w:val="24"/>
          <w:lang w:val="es-ES"/>
        </w:rPr>
        <w:tab/>
        <w:t>Preferiblemente en línea, a través del Centro de Intercambio de Información sobre Seguridad de la Biotecnología, o fuera de línea utilizando el correspondiente formulario que la Secretaría proporcionará a tales efectos, debidamente firmado por el punto focal nacional para el Protocolo de Cartagena;</w:t>
      </w:r>
    </w:p>
    <w:p w:rsidR="0052214A" w:rsidRPr="00C901E0" w:rsidRDefault="0052214A" w:rsidP="0052214A">
      <w:pPr>
        <w:pStyle w:val="Para1"/>
        <w:numPr>
          <w:ilvl w:val="0"/>
          <w:numId w:val="13"/>
        </w:numPr>
        <w:tabs>
          <w:tab w:val="clear" w:pos="360"/>
        </w:tabs>
        <w:kinsoku w:val="0"/>
        <w:overflowPunct w:val="0"/>
        <w:autoSpaceDE w:val="0"/>
        <w:autoSpaceDN w:val="0"/>
        <w:ind w:firstLine="720"/>
        <w:rPr>
          <w:szCs w:val="24"/>
          <w:lang w:val="es-ES"/>
        </w:rPr>
      </w:pPr>
      <w:r w:rsidRPr="00C901E0">
        <w:rPr>
          <w:i/>
          <w:szCs w:val="24"/>
          <w:lang w:val="es-ES"/>
        </w:rPr>
        <w:lastRenderedPageBreak/>
        <w:t xml:space="preserve">Pide </w:t>
      </w:r>
      <w:r w:rsidRPr="00C901E0">
        <w:rPr>
          <w:szCs w:val="24"/>
          <w:lang w:val="es-ES"/>
        </w:rPr>
        <w:t>a la Secretaria Ejecutiva que mantenga como opción en la herramienta de presentación de informes en línea la posibilidad de visualizar y seleccionar las respuestas brindadas en el informe nacional anterior ingresado por la Parte que presenta el informe;</w:t>
      </w:r>
    </w:p>
    <w:p w:rsidR="0052214A" w:rsidRPr="00C901E0" w:rsidRDefault="0052214A" w:rsidP="0052214A">
      <w:pPr>
        <w:pStyle w:val="Para1"/>
        <w:numPr>
          <w:ilvl w:val="0"/>
          <w:numId w:val="13"/>
        </w:numPr>
        <w:tabs>
          <w:tab w:val="clear" w:pos="360"/>
        </w:tabs>
        <w:kinsoku w:val="0"/>
        <w:overflowPunct w:val="0"/>
        <w:autoSpaceDE w:val="0"/>
        <w:autoSpaceDN w:val="0"/>
        <w:ind w:firstLine="720"/>
        <w:rPr>
          <w:i/>
          <w:szCs w:val="24"/>
          <w:lang w:val="es-ES"/>
        </w:rPr>
      </w:pPr>
      <w:r w:rsidRPr="00C901E0">
        <w:rPr>
          <w:i/>
          <w:szCs w:val="24"/>
          <w:lang w:val="es-ES"/>
        </w:rPr>
        <w:t xml:space="preserve">Pide también </w:t>
      </w:r>
      <w:r w:rsidRPr="00C901E0">
        <w:rPr>
          <w:szCs w:val="24"/>
          <w:lang w:val="es-ES"/>
        </w:rPr>
        <w:t>a la Secretaria Ejecutiva que siga facilitando la presentación de los informes nacionales fuera de línea;</w:t>
      </w:r>
    </w:p>
    <w:p w:rsidR="0052214A" w:rsidRPr="00C901E0" w:rsidRDefault="0052214A" w:rsidP="0052214A">
      <w:pPr>
        <w:pStyle w:val="Para1"/>
        <w:numPr>
          <w:ilvl w:val="0"/>
          <w:numId w:val="13"/>
        </w:numPr>
        <w:tabs>
          <w:tab w:val="clear" w:pos="360"/>
        </w:tabs>
        <w:kinsoku w:val="0"/>
        <w:overflowPunct w:val="0"/>
        <w:autoSpaceDE w:val="0"/>
        <w:autoSpaceDN w:val="0"/>
        <w:ind w:firstLine="720"/>
        <w:rPr>
          <w:szCs w:val="24"/>
          <w:lang w:val="es-ES"/>
        </w:rPr>
      </w:pPr>
      <w:r w:rsidRPr="00C901E0">
        <w:rPr>
          <w:i/>
          <w:szCs w:val="24"/>
          <w:lang w:val="es-ES"/>
        </w:rPr>
        <w:t>Recomienda</w:t>
      </w:r>
      <w:r w:rsidRPr="00C901E0">
        <w:rPr>
          <w:szCs w:val="24"/>
          <w:lang w:val="es-ES"/>
        </w:rPr>
        <w:t xml:space="preserve"> a la Conferencia de las Partes que, al adoptar orientaciones para el mecanismo financiero, invite al Fondo para el Medio Ambiente Mundial a proporcionar, de manera oportuna, recursos financieros a las Partes que reúnan las condiciones, a fin de facilitar la preparación y presentación de sus cuartos informes nacionales en el marco del Protocolo;</w:t>
      </w:r>
    </w:p>
    <w:p w:rsidR="005A19BD" w:rsidRPr="00C901E0" w:rsidRDefault="0052214A" w:rsidP="0052214A">
      <w:pPr>
        <w:pStyle w:val="Para1"/>
        <w:numPr>
          <w:ilvl w:val="0"/>
          <w:numId w:val="13"/>
        </w:numPr>
        <w:tabs>
          <w:tab w:val="clear" w:pos="360"/>
        </w:tabs>
        <w:kinsoku w:val="0"/>
        <w:overflowPunct w:val="0"/>
        <w:autoSpaceDE w:val="0"/>
        <w:autoSpaceDN w:val="0"/>
        <w:ind w:firstLine="720"/>
        <w:rPr>
          <w:szCs w:val="18"/>
          <w:lang w:val="es-ES"/>
        </w:rPr>
      </w:pPr>
      <w:r w:rsidRPr="00C901E0">
        <w:rPr>
          <w:i/>
          <w:szCs w:val="24"/>
          <w:lang w:val="es-ES"/>
        </w:rPr>
        <w:t>Acepta</w:t>
      </w:r>
      <w:r w:rsidRPr="00C901E0">
        <w:rPr>
          <w:szCs w:val="24"/>
          <w:lang w:val="es-ES"/>
        </w:rPr>
        <w:t xml:space="preserve"> la invitación de la Conferencia de las Partes en el Convenio cursada en la decisión 14/27 y </w:t>
      </w:r>
      <w:r w:rsidRPr="00C901E0">
        <w:rPr>
          <w:i/>
          <w:szCs w:val="24"/>
          <w:lang w:val="es-ES"/>
        </w:rPr>
        <w:t>decide</w:t>
      </w:r>
      <w:r w:rsidRPr="00C901E0">
        <w:rPr>
          <w:szCs w:val="24"/>
          <w:lang w:val="es-ES"/>
        </w:rPr>
        <w:t xml:space="preserve"> tener un ciclo sincronizado de presentación de informes nacionales a partir de 2023.</w:t>
      </w:r>
    </w:p>
    <w:p w:rsidR="000B7E35" w:rsidRPr="00C901E0" w:rsidRDefault="000B7E35">
      <w:pPr>
        <w:rPr>
          <w:rFonts w:eastAsia="MS Mincho"/>
          <w:snapToGrid w:val="0"/>
          <w:kern w:val="22"/>
          <w:sz w:val="22"/>
          <w:szCs w:val="18"/>
          <w:lang w:val="es-ES"/>
        </w:rPr>
      </w:pPr>
      <w:r w:rsidRPr="00C901E0">
        <w:rPr>
          <w:szCs w:val="18"/>
          <w:lang w:val="es-ES"/>
        </w:rPr>
        <w:br w:type="page"/>
      </w:r>
    </w:p>
    <w:p w:rsidR="00376CED" w:rsidRPr="00C901E0"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i/>
          <w:kern w:val="22"/>
          <w:sz w:val="20"/>
          <w:szCs w:val="20"/>
          <w:lang w:val="es-ES"/>
        </w:rPr>
      </w:pPr>
      <w:bookmarkStart w:id="16" w:name="_Toc879817"/>
      <w:r w:rsidRPr="00C901E0">
        <w:rPr>
          <w:i/>
          <w:kern w:val="22"/>
          <w:sz w:val="20"/>
          <w:szCs w:val="20"/>
          <w:lang w:val="es-ES"/>
        </w:rPr>
        <w:lastRenderedPageBreak/>
        <w:t>Anex</w:t>
      </w:r>
      <w:bookmarkEnd w:id="16"/>
      <w:r w:rsidR="0052214A" w:rsidRPr="00C901E0">
        <w:rPr>
          <w:i/>
          <w:kern w:val="22"/>
          <w:sz w:val="20"/>
          <w:szCs w:val="20"/>
          <w:lang w:val="es-ES"/>
        </w:rPr>
        <w:t>o</w:t>
      </w:r>
    </w:p>
    <w:p w:rsidR="00376CED" w:rsidRPr="00C901E0" w:rsidRDefault="0052214A"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0"/>
        <w:rPr>
          <w:b/>
          <w:bCs/>
          <w:iCs/>
          <w:caps/>
          <w:color w:val="000000"/>
          <w:kern w:val="22"/>
          <w:sz w:val="20"/>
          <w:szCs w:val="20"/>
          <w:lang w:val="es-ES"/>
        </w:rPr>
      </w:pPr>
      <w:r w:rsidRPr="00C901E0">
        <w:rPr>
          <w:b/>
          <w:bCs/>
          <w:iCs/>
          <w:caps/>
          <w:color w:val="000000"/>
          <w:kern w:val="22"/>
          <w:sz w:val="20"/>
          <w:szCs w:val="20"/>
          <w:lang w:val="es-ES"/>
        </w:rPr>
        <w:t>PROYECTO ACTUALIZADO DE FORMATO PARA EL CUARTO INFORME NACIONAL EN EL MARCO DEL PROTOCOLO DE CARTAGENA SOBRE SEGURIDAD DE LA BIOTECNOLOGÍA</w:t>
      </w:r>
    </w:p>
    <w:p w:rsidR="00376CED" w:rsidRPr="00C901E0" w:rsidRDefault="0052214A"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rFonts w:eastAsia="Arial Unicode MS"/>
          <w:b/>
          <w:bCs/>
          <w:iCs/>
          <w:kern w:val="22"/>
          <w:sz w:val="20"/>
          <w:szCs w:val="20"/>
          <w:lang w:val="es-ES"/>
        </w:rPr>
      </w:pPr>
      <w:r w:rsidRPr="00C901E0">
        <w:rPr>
          <w:rFonts w:eastAsia="Arial Unicode MS"/>
          <w:b/>
          <w:bCs/>
          <w:iCs/>
          <w:kern w:val="22"/>
          <w:sz w:val="20"/>
          <w:szCs w:val="20"/>
          <w:lang w:val="es-ES"/>
        </w:rPr>
        <w:t>Origen del informe</w:t>
      </w:r>
    </w:p>
    <w:tbl>
      <w:tblPr>
        <w:tblW w:w="5038" w:type="pct"/>
        <w:tblLayout w:type="fixed"/>
        <w:tblLook w:val="01E0"/>
      </w:tblPr>
      <w:tblGrid>
        <w:gridCol w:w="4658"/>
        <w:gridCol w:w="5094"/>
      </w:tblGrid>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suppressAutoHyphens/>
              <w:kinsoku w:val="0"/>
              <w:overflowPunct w:val="0"/>
              <w:autoSpaceDE w:val="0"/>
              <w:autoSpaceDN w:val="0"/>
              <w:adjustRightInd w:val="0"/>
              <w:snapToGrid w:val="0"/>
              <w:spacing w:before="120" w:after="120"/>
              <w:ind w:left="540" w:hanging="540"/>
              <w:rPr>
                <w:lang w:val="es-ES"/>
              </w:rPr>
            </w:pPr>
            <w:r w:rsidRPr="00C901E0">
              <w:rPr>
                <w:b/>
                <w:kern w:val="22"/>
                <w:sz w:val="20"/>
                <w:lang w:val="es-ES"/>
              </w:rPr>
              <w:t>País:</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40" w:hanging="540"/>
              <w:rPr>
                <w:lang w:val="es-ES"/>
              </w:rPr>
            </w:pPr>
            <w:r w:rsidRPr="00C901E0">
              <w:rPr>
                <w:i/>
                <w:kern w:val="22"/>
                <w:sz w:val="20"/>
                <w:lang w:val="es-ES"/>
              </w:rPr>
              <w:t>Persona de contacto que presenta el informe</w:t>
            </w:r>
          </w:p>
        </w:tc>
        <w:tc>
          <w:tcPr>
            <w:tcW w:w="2612" w:type="pct"/>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b/>
                <w:i/>
                <w:kern w:val="22"/>
                <w:sz w:val="20"/>
                <w:lang w:val="es-ES"/>
              </w:rPr>
            </w:pP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Nombre:</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b/>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Título:</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Organización:</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Dirección postal:</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Teléfono:</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 xml:space="preserve">Fax: </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Correo electrónico:</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Organizaciones/interesados directos a los que se consultó o que participaron en la preparación de este informe:</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Escriba aquí su texto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Escriba aquí su texto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52214A">
            <w:pPr>
              <w:suppressLineNumbers/>
              <w:shd w:val="clear" w:color="auto" w:fill="FFFFFF"/>
              <w:tabs>
                <w:tab w:val="num" w:pos="450"/>
              </w:tabs>
              <w:suppressAutoHyphens/>
              <w:kinsoku w:val="0"/>
              <w:overflowPunct w:val="0"/>
              <w:autoSpaceDE w:val="0"/>
              <w:autoSpaceDN w:val="0"/>
              <w:adjustRightInd w:val="0"/>
              <w:snapToGrid w:val="0"/>
              <w:spacing w:before="120" w:after="120"/>
              <w:ind w:left="450" w:hanging="450"/>
              <w:rPr>
                <w:lang w:val="es-ES"/>
              </w:rPr>
            </w:pPr>
            <w:r w:rsidRPr="00C901E0">
              <w:rPr>
                <w:i/>
                <w:kern w:val="22"/>
                <w:sz w:val="20"/>
                <w:lang w:val="es-ES"/>
              </w:rPr>
              <w:t>Presentación</w:t>
            </w:r>
          </w:p>
        </w:tc>
        <w:tc>
          <w:tcPr>
            <w:tcW w:w="2612" w:type="pct"/>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b/>
                <w:i/>
                <w:kern w:val="22"/>
                <w:sz w:val="20"/>
                <w:lang w:val="es-ES"/>
              </w:rPr>
            </w:pP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Fecha de presentación:</w:t>
            </w:r>
          </w:p>
        </w:tc>
        <w:tc>
          <w:tcPr>
            <w:tcW w:w="2612" w:type="pct"/>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fldChar w:fldCharType="begin">
                <w:ffData>
                  <w:name w:val=""/>
                  <w:enabled/>
                  <w:calcOnExit w:val="0"/>
                  <w:textInput>
                    <w:default w:val="[                  d僘 / mes / a                  ]"/>
                  </w:textInput>
                </w:ffData>
              </w:fldChar>
            </w:r>
            <w:r w:rsidR="0052214A" w:rsidRPr="00C901E0">
              <w:rPr>
                <w:b/>
                <w:kern w:val="22"/>
                <w:sz w:val="20"/>
                <w:lang w:val="es-ES"/>
              </w:rPr>
              <w:instrText xml:space="preserve"> FORMTEXT </w:instrText>
            </w:r>
            <w:r w:rsidRPr="00C901E0">
              <w:rPr>
                <w:b/>
                <w:kern w:val="22"/>
                <w:sz w:val="20"/>
                <w:lang w:val="es-ES"/>
              </w:rPr>
            </w:r>
            <w:r w:rsidRPr="00C901E0">
              <w:rPr>
                <w:b/>
                <w:kern w:val="22"/>
                <w:sz w:val="20"/>
                <w:lang w:val="es-ES"/>
              </w:rPr>
              <w:fldChar w:fldCharType="separate"/>
            </w:r>
            <w:r w:rsidR="0052214A" w:rsidRPr="00C901E0">
              <w:rPr>
                <w:b/>
                <w:kern w:val="22"/>
                <w:sz w:val="20"/>
                <w:lang w:val="es-ES"/>
              </w:rPr>
              <w:t>[                  día / mes / año                  ]</w:t>
            </w:r>
            <w:r w:rsidRPr="00C901E0">
              <w:rPr>
                <w:b/>
                <w:kern w:val="22"/>
                <w:sz w:val="20"/>
                <w:lang w:val="es-ES"/>
              </w:rPr>
              <w:fldChar w:fldCharType="end"/>
            </w:r>
          </w:p>
        </w:tc>
      </w:tr>
      <w:tr w:rsidR="0052214A" w:rsidRPr="00C901E0" w:rsidTr="0052214A">
        <w:trPr>
          <w:cantSplit/>
        </w:trPr>
        <w:tc>
          <w:tcPr>
            <w:tcW w:w="2388" w:type="pct"/>
            <w:vAlign w:val="center"/>
          </w:tcPr>
          <w:p w:rsidR="0052214A" w:rsidRPr="00C901E0" w:rsidRDefault="0052214A" w:rsidP="00465C6E">
            <w:pPr>
              <w:numPr>
                <w:ilvl w:val="0"/>
                <w:numId w:val="27"/>
              </w:numPr>
              <w:suppressLineNumbers/>
              <w:shd w:val="clear" w:color="auto" w:fill="FFFFFF"/>
              <w:tabs>
                <w:tab w:val="clear" w:pos="360"/>
                <w:tab w:val="num" w:pos="450"/>
              </w:tabs>
              <w:suppressAutoHyphens/>
              <w:kinsoku w:val="0"/>
              <w:overflowPunct w:val="0"/>
              <w:autoSpaceDE w:val="0"/>
              <w:autoSpaceDN w:val="0"/>
              <w:adjustRightInd w:val="0"/>
              <w:snapToGrid w:val="0"/>
              <w:spacing w:before="120" w:after="120"/>
              <w:ind w:left="450" w:hanging="450"/>
              <w:rPr>
                <w:lang w:val="es-ES"/>
              </w:rPr>
            </w:pPr>
            <w:r w:rsidRPr="00C901E0">
              <w:rPr>
                <w:kern w:val="22"/>
                <w:sz w:val="20"/>
                <w:lang w:val="es-ES"/>
              </w:rPr>
              <w:t>Período cubierto por este informe:</w:t>
            </w:r>
          </w:p>
        </w:tc>
        <w:tc>
          <w:tcPr>
            <w:tcW w:w="2612" w:type="pct"/>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outlineLvl w:val="3"/>
              <w:rPr>
                <w:rFonts w:ascii="Arial Unicode MS" w:eastAsia="Arial Unicode MS"/>
                <w:lang w:val="es-ES"/>
              </w:rPr>
            </w:pPr>
            <w:r w:rsidRPr="00C901E0">
              <w:rPr>
                <w:b/>
                <w:kern w:val="22"/>
                <w:sz w:val="20"/>
                <w:lang w:val="es-ES"/>
              </w:rPr>
              <w:t xml:space="preserve">De </w:t>
            </w:r>
            <w:r w:rsidR="009503AA" w:rsidRPr="00C901E0">
              <w:rPr>
                <w:b/>
                <w:kern w:val="22"/>
                <w:sz w:val="20"/>
                <w:lang w:val="es-ES"/>
              </w:rPr>
              <w:fldChar w:fldCharType="begin">
                <w:ffData>
                  <w:name w:val=""/>
                  <w:enabled/>
                  <w:calcOnExit w:val="0"/>
                  <w:textInput>
                    <w:default w:val="[mes / año] "/>
                  </w:textInput>
                </w:ffData>
              </w:fldChar>
            </w:r>
            <w:r w:rsidRPr="00C901E0">
              <w:rPr>
                <w:b/>
                <w:kern w:val="22"/>
                <w:sz w:val="20"/>
                <w:lang w:val="es-ES"/>
              </w:rPr>
              <w:instrText xml:space="preserve"> FORMTEXT </w:instrText>
            </w:r>
            <w:r w:rsidR="009503AA" w:rsidRPr="00C901E0">
              <w:rPr>
                <w:b/>
                <w:kern w:val="22"/>
                <w:sz w:val="20"/>
                <w:lang w:val="es-ES"/>
              </w:rPr>
            </w:r>
            <w:r w:rsidR="009503AA" w:rsidRPr="00C901E0">
              <w:rPr>
                <w:b/>
                <w:kern w:val="22"/>
                <w:sz w:val="20"/>
                <w:lang w:val="es-ES"/>
              </w:rPr>
              <w:fldChar w:fldCharType="separate"/>
            </w:r>
            <w:r w:rsidRPr="00C901E0">
              <w:rPr>
                <w:b/>
                <w:kern w:val="22"/>
                <w:sz w:val="20"/>
                <w:lang w:val="es-ES"/>
              </w:rPr>
              <w:t xml:space="preserve">[mes / año] </w:t>
            </w:r>
            <w:r w:rsidR="009503AA" w:rsidRPr="00C901E0">
              <w:rPr>
                <w:b/>
                <w:kern w:val="22"/>
                <w:sz w:val="20"/>
                <w:lang w:val="es-ES"/>
              </w:rPr>
              <w:fldChar w:fldCharType="end"/>
            </w:r>
            <w:r w:rsidRPr="00C901E0">
              <w:rPr>
                <w:b/>
                <w:kern w:val="22"/>
                <w:sz w:val="20"/>
                <w:lang w:val="es-ES"/>
              </w:rPr>
              <w:t xml:space="preserve"> a </w:t>
            </w:r>
            <w:r w:rsidR="009503AA" w:rsidRPr="00C901E0">
              <w:rPr>
                <w:b/>
                <w:kern w:val="22"/>
                <w:sz w:val="20"/>
                <w:lang w:val="es-ES"/>
              </w:rPr>
              <w:fldChar w:fldCharType="begin">
                <w:ffData>
                  <w:name w:val=""/>
                  <w:enabled/>
                  <w:calcOnExit w:val="0"/>
                  <w:textInput>
                    <w:default w:val="[mes / año]"/>
                  </w:textInput>
                </w:ffData>
              </w:fldChar>
            </w:r>
            <w:r w:rsidRPr="00C901E0">
              <w:rPr>
                <w:b/>
                <w:kern w:val="22"/>
                <w:sz w:val="20"/>
                <w:lang w:val="es-ES"/>
              </w:rPr>
              <w:instrText xml:space="preserve"> FORMTEXT </w:instrText>
            </w:r>
            <w:r w:rsidR="009503AA" w:rsidRPr="00C901E0">
              <w:rPr>
                <w:b/>
                <w:kern w:val="22"/>
                <w:sz w:val="20"/>
                <w:lang w:val="es-ES"/>
              </w:rPr>
            </w:r>
            <w:r w:rsidR="009503AA" w:rsidRPr="00C901E0">
              <w:rPr>
                <w:b/>
                <w:kern w:val="22"/>
                <w:sz w:val="20"/>
                <w:lang w:val="es-ES"/>
              </w:rPr>
              <w:fldChar w:fldCharType="separate"/>
            </w:r>
            <w:r w:rsidRPr="00C901E0">
              <w:rPr>
                <w:b/>
                <w:kern w:val="22"/>
                <w:sz w:val="20"/>
                <w:lang w:val="es-ES"/>
              </w:rPr>
              <w:t>[mes / año]</w:t>
            </w:r>
            <w:r w:rsidR="009503AA" w:rsidRPr="00C901E0">
              <w:rPr>
                <w:b/>
                <w:kern w:val="22"/>
                <w:sz w:val="20"/>
                <w:lang w:val="es-ES"/>
              </w:rPr>
              <w:fldChar w:fldCharType="end"/>
            </w:r>
          </w:p>
        </w:tc>
      </w:tr>
    </w:tbl>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rPr>
          <w:rFonts w:ascii="Arial Unicode MS" w:eastAsia="Arial Unicode MS"/>
          <w:b/>
          <w:i/>
          <w:kern w:val="22"/>
          <w:sz w:val="20"/>
          <w:lang w:val="es-ES"/>
        </w:rPr>
      </w:pP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r w:rsidRPr="00C901E0">
        <w:rPr>
          <w:kern w:val="22"/>
          <w:sz w:val="20"/>
          <w:lang w:val="es-ES"/>
        </w:rPr>
        <w:t>Firma del funcionario que presenta el informe</w:t>
      </w:r>
      <w:r w:rsidRPr="00C901E0">
        <w:rPr>
          <w:rFonts w:eastAsia="Arial Unicode MS"/>
          <w:kern w:val="22"/>
          <w:sz w:val="20"/>
          <w:vertAlign w:val="superscript"/>
          <w:lang w:val="es-ES"/>
        </w:rPr>
        <w:footnoteReference w:id="13"/>
      </w:r>
      <w:r w:rsidRPr="00C901E0">
        <w:rPr>
          <w:rFonts w:eastAsia="Arial Unicode MS"/>
          <w:kern w:val="22"/>
          <w:sz w:val="20"/>
          <w:lang w:val="es-ES"/>
        </w:rPr>
        <w:tab/>
      </w:r>
      <w:r w:rsidRPr="00C901E0">
        <w:rPr>
          <w:rFonts w:eastAsia="Arial Unicode MS"/>
          <w:kern w:val="22"/>
          <w:sz w:val="20"/>
          <w:lang w:val="es-ES"/>
        </w:rPr>
        <w:tab/>
      </w:r>
      <w:r w:rsidRPr="00C901E0">
        <w:rPr>
          <w:kern w:val="22"/>
          <w:sz w:val="20"/>
          <w:lang w:val="es-ES"/>
        </w:rPr>
        <w:t xml:space="preserve">     _____________________________________</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p>
    <w:p w:rsidR="000B7E35" w:rsidRPr="00C901E0" w:rsidRDefault="000B7E35" w:rsidP="0052214A">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5012"/>
        <w:gridCol w:w="4690"/>
      </w:tblGrid>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67" w:right="490" w:hanging="567"/>
              <w:rPr>
                <w:lang w:val="es-ES"/>
              </w:rPr>
            </w:pPr>
            <w:r w:rsidRPr="00C901E0">
              <w:rPr>
                <w:rFonts w:ascii="Arial Unicode MS" w:eastAsia="Arial Unicode MS"/>
                <w:b/>
                <w:i/>
                <w:kern w:val="22"/>
                <w:sz w:val="20"/>
                <w:lang w:val="es-ES"/>
              </w:rPr>
              <w:lastRenderedPageBreak/>
              <w:br w:type="page"/>
            </w:r>
            <w:r w:rsidRPr="00C901E0">
              <w:rPr>
                <w:kern w:val="22"/>
                <w:sz w:val="20"/>
                <w:lang w:val="es-ES"/>
              </w:rPr>
              <w:t>Si su país no es Parte en el Protocolo de Cartagena sobre Seguridad de la Biotecnología, ¿se ha establecido algún proceso nacional para convertirse en Parte?</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52214A">
        <w:tc>
          <w:tcPr>
            <w:tcW w:w="9702"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67" w:right="490" w:hanging="567"/>
              <w:jc w:val="both"/>
              <w:rPr>
                <w:lang w:val="es-ES"/>
              </w:rPr>
            </w:pPr>
            <w:r w:rsidRPr="00C901E0">
              <w:rPr>
                <w:kern w:val="22"/>
                <w:sz w:val="20"/>
                <w:lang w:val="es-ES"/>
              </w:rPr>
              <w:t xml:space="preserve">Puede proporcionar más detalles a continuación: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ight="2"/>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702" w:type="dxa"/>
            <w:gridSpan w:val="2"/>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b/>
                <w:kern w:val="22"/>
                <w:sz w:val="20"/>
                <w:lang w:val="es-ES"/>
              </w:rPr>
            </w:pPr>
            <w:r w:rsidRPr="00C901E0">
              <w:rPr>
                <w:b/>
                <w:kern w:val="22"/>
                <w:sz w:val="20"/>
                <w:lang w:val="es-ES"/>
              </w:rPr>
              <w:t>Artículo 2 – Disposiciones generales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i/>
                <w:kern w:val="22"/>
                <w:sz w:val="20"/>
                <w:lang w:val="es-ES"/>
              </w:rPr>
              <w:t>El artículo 2 establece que cada Parte tomará las medidas legislativas, administrativas y de otro tipo necesarias y convenientes para cumplir sus obligaciones dimanantes del Protocolo.</w:t>
            </w:r>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¿Ha adoptado su País las medidas nacionales necesarias para la aplicación del Protocolo? </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Medidas nacionales plenamente establecidas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Medidas nacionales parcialmente establecidas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se han introducido medidas temporales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existen proyectos de medidas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Todavía no se han adoptado medidas</w:t>
            </w:r>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¿Cuáles son los instrumentos jurídicos establecidos para la aplicación de medidas nacionales de seguridad de la biotecnología? </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right="490"/>
              <w:rPr>
                <w:kern w:val="22"/>
                <w:sz w:val="20"/>
                <w:lang w:val="es-ES"/>
              </w:rPr>
            </w:pP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Una o más leyes nacionales sobre seguridad de la biotecnología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Una o más reglamentaciones nacionales sobre seguridad de la biotecnología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Uno o más conjuntos de directrices sobre seguridad de la biotecnología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Otras leyes, reglamentos o directrices que se aplican indirectamente a la seguridad de la biotecnología</w:t>
            </w:r>
          </w:p>
          <w:bookmarkStart w:id="17" w:name="_Hlk514336710"/>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 hay instrumentos establecidos</w:t>
            </w:r>
            <w:bookmarkEnd w:id="17"/>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¿Se han adoptado en su país iniciativas para la integración de la diversidad biológica en las estrategias y planes de acción nacionales en materia de diversidad biológica y en otras políticas o leyes?</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Otras: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un mecanismo de asignaciones presupuestarias para la aplicación de sus medidas nacionales de seguridad de la biotecnología?</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39" w:right="488" w:hanging="539"/>
              <w:rPr>
                <w:kern w:val="22"/>
                <w:sz w:val="20"/>
                <w:lang w:val="es-ES"/>
              </w:rPr>
            </w:pPr>
            <w:r w:rsidRPr="00C901E0">
              <w:rPr>
                <w:kern w:val="22"/>
                <w:sz w:val="20"/>
                <w:lang w:val="es-ES"/>
              </w:rPr>
              <w:t>¿Dispone su país de personal permanente para administrar las funciones directamente relacionadas con la seguridad de la biotecnología?</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cantSplit/>
        </w:trPr>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 xml:space="preserve">Si su respuesta a la pregunta 18 es </w:t>
            </w:r>
            <w:r w:rsidRPr="00C901E0">
              <w:rPr>
                <w:i/>
                <w:kern w:val="22"/>
                <w:sz w:val="20"/>
                <w:lang w:val="es-ES"/>
              </w:rPr>
              <w:t>Sí</w:t>
            </w:r>
            <w:r w:rsidRPr="00C901E0">
              <w:rPr>
                <w:kern w:val="22"/>
                <w:sz w:val="20"/>
                <w:lang w:val="es-ES"/>
              </w:rPr>
              <w:t xml:space="preserve">, ¿cuántos miembros de personal permanente cumplen funciones directamente relacionadas con la seguridad de la biotecnología? </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1" w:hanging="731"/>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240" w:after="120"/>
              <w:ind w:left="734" w:hanging="734"/>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52214A">
        <w:tc>
          <w:tcPr>
            <w:tcW w:w="9702"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7" w:right="490" w:hanging="547"/>
              <w:rPr>
                <w:lang w:val="es-ES"/>
              </w:rPr>
            </w:pPr>
            <w:r w:rsidRPr="00C901E0">
              <w:rPr>
                <w:kern w:val="22"/>
                <w:sz w:val="20"/>
                <w:lang w:val="es-ES"/>
              </w:rPr>
              <w:t>En este espacio puede proporcionar más detalles sobre la aplicación del artículo 2 en su país:</w:t>
            </w:r>
          </w:p>
          <w:p w:rsidR="0052214A" w:rsidRPr="00C901E0" w:rsidRDefault="009503AA" w:rsidP="0052214A">
            <w:pPr>
              <w:suppressLineNumbers/>
              <w:shd w:val="clear" w:color="auto" w:fill="FFFFFF"/>
              <w:tabs>
                <w:tab w:val="left" w:pos="9362"/>
              </w:tabs>
              <w:suppressAutoHyphens/>
              <w:kinsoku w:val="0"/>
              <w:overflowPunct w:val="0"/>
              <w:autoSpaceDE w:val="0"/>
              <w:autoSpaceDN w:val="0"/>
              <w:adjustRightInd w:val="0"/>
              <w:snapToGrid w:val="0"/>
              <w:spacing w:before="120" w:after="120"/>
              <w:ind w:left="54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702" w:type="dxa"/>
            <w:gridSpan w:val="2"/>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lang w:val="es-ES"/>
              </w:rPr>
            </w:pPr>
            <w:r w:rsidRPr="00C901E0">
              <w:rPr>
                <w:b/>
                <w:kern w:val="22"/>
                <w:sz w:val="20"/>
                <w:lang w:val="es-ES"/>
              </w:rPr>
              <w:t>Artículo 5 – Productos farmacéuticos</w:t>
            </w:r>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¿Regula su país el movimiento transfronterizo, la manipulación o el uso de organismos vivos modificados (OVM) que son productos farmacéuticos para seres humanos?</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702"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En este espacio puede proporcionar más detalles sobre la aplicación del artículo 5 en su país: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40" w:right="2"/>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702" w:type="dxa"/>
            <w:gridSpan w:val="2"/>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t>Artículo 6 – Tránsito y uso confinado</w:t>
            </w:r>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¿Regula su país el tránsito de OVM? </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outlineLvl w:val="3"/>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¿Regula su país el uso confinado de OVM?</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outlineLvl w:val="3"/>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5012"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tomado su país alguna decisión con respecto a la importación de OVM para uso confinado?</w:t>
            </w:r>
          </w:p>
        </w:tc>
        <w:tc>
          <w:tcPr>
            <w:tcW w:w="4690"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702"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39" w:right="488" w:hanging="539"/>
              <w:rPr>
                <w:lang w:val="es-ES"/>
              </w:rPr>
            </w:pPr>
            <w:r w:rsidRPr="00C901E0">
              <w:rPr>
                <w:kern w:val="22"/>
                <w:sz w:val="20"/>
                <w:lang w:val="es-ES"/>
              </w:rPr>
              <w:t xml:space="preserve">En este espacio puede proporcionar más detalles sobre la aplicación del artículo 6 en su país: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33"/>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bl>
    <w:p w:rsidR="0052214A" w:rsidRPr="00C901E0" w:rsidRDefault="0052214A" w:rsidP="0052214A">
      <w:pPr>
        <w:shd w:val="clear" w:color="auto" w:fill="FFFFFF"/>
        <w:rPr>
          <w:kern w:val="22"/>
          <w:sz w:val="20"/>
          <w:lang w:val="es-E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5006"/>
        <w:gridCol w:w="17"/>
        <w:gridCol w:w="38"/>
        <w:gridCol w:w="4641"/>
      </w:tblGrid>
      <w:tr w:rsidR="0052214A" w:rsidRPr="00C901E0" w:rsidTr="0052214A">
        <w:tc>
          <w:tcPr>
            <w:tcW w:w="9352" w:type="dxa"/>
            <w:gridSpan w:val="4"/>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t xml:space="preserve">Artículos 7 a 10: Acuerdo fundamentado previo (AFP) e </w:t>
            </w:r>
            <w:r w:rsidRPr="00C901E0">
              <w:rPr>
                <w:b/>
                <w:kern w:val="22"/>
                <w:sz w:val="20"/>
                <w:lang w:val="es-ES"/>
              </w:rPr>
              <w:br/>
              <w:t>introducción deliberada de OVM en el medio ambiente</w:t>
            </w:r>
          </w:p>
        </w:tc>
      </w:tr>
      <w:tr w:rsidR="0052214A" w:rsidRPr="00C901E0" w:rsidTr="0052214A">
        <w:tc>
          <w:tcPr>
            <w:tcW w:w="4878"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br w:type="page"/>
              <w:t>¿Ha establecido su país requisitos legales para que los exportadores que estén bajo su jurisdicción notifiquen por escrito a la autoridad nacional competente de la Parte de importación antes del movimiento transfronterizo intencional de un OVM que esté dentro del ámbito de aplicación del procedimiento de acuerdo fundamentado previo?</w:t>
            </w:r>
          </w:p>
        </w:tc>
        <w:tc>
          <w:tcPr>
            <w:tcW w:w="4474"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78" w:type="dxa"/>
            <w:gridSpan w:val="3"/>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Como Parte de exportación, ¿ha establecido su país requisitos legales respecto a la exactitud de la información que figura en la notificación proporcionada por el exportador?</w:t>
            </w:r>
          </w:p>
        </w:tc>
        <w:tc>
          <w:tcPr>
            <w:tcW w:w="4474"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p w:rsidR="0052214A" w:rsidRPr="00C901E0" w:rsidRDefault="009503AA" w:rsidP="0052214A">
            <w:pPr>
              <w:suppressLineNumbers/>
              <w:shd w:val="clear" w:color="auto" w:fill="FFFFFF"/>
              <w:tabs>
                <w:tab w:val="left" w:pos="747"/>
              </w:tabs>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 se aplica (la Parte no exporta OVM actualmente)</w:t>
            </w:r>
          </w:p>
        </w:tc>
      </w:tr>
      <w:tr w:rsidR="0052214A" w:rsidRPr="00C901E0" w:rsidTr="0052214A">
        <w:tc>
          <w:tcPr>
            <w:tcW w:w="4878"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¿ha recibido su país alguna notificación relativa a movimientos transfronterizos intencionales de OVM para su introducción deliberada en el medio ambiente?</w:t>
            </w:r>
          </w:p>
        </w:tc>
        <w:tc>
          <w:tcPr>
            <w:tcW w:w="4474"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78"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29 es </w:t>
            </w:r>
            <w:r w:rsidRPr="00C901E0">
              <w:rPr>
                <w:i/>
                <w:kern w:val="22"/>
                <w:sz w:val="20"/>
                <w:lang w:val="es-ES"/>
              </w:rPr>
              <w:t>Sí</w:t>
            </w:r>
            <w:r w:rsidRPr="00C901E0">
              <w:rPr>
                <w:kern w:val="22"/>
                <w:sz w:val="20"/>
                <w:lang w:val="es-ES"/>
              </w:rPr>
              <w:t>, ¿tenían información completa esas notificaciones (como mínimo la información indicada en el anexo I del Protocolo de Cartagena sobre Seguridad de la Biotecnología)?</w:t>
            </w:r>
          </w:p>
        </w:tc>
        <w:tc>
          <w:tcPr>
            <w:tcW w:w="4474"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78"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29 es </w:t>
            </w:r>
            <w:r w:rsidRPr="00C901E0">
              <w:rPr>
                <w:i/>
                <w:kern w:val="22"/>
                <w:sz w:val="20"/>
                <w:lang w:val="es-ES"/>
              </w:rPr>
              <w:t>Sí</w:t>
            </w:r>
            <w:r w:rsidRPr="00C901E0">
              <w:rPr>
                <w:kern w:val="22"/>
                <w:sz w:val="20"/>
                <w:lang w:val="es-ES"/>
              </w:rPr>
              <w:t>,</w:t>
            </w:r>
            <w:r w:rsidRPr="00C901E0">
              <w:rPr>
                <w:i/>
                <w:kern w:val="22"/>
                <w:sz w:val="20"/>
                <w:lang w:val="es-ES"/>
              </w:rPr>
              <w:t xml:space="preserve"> </w:t>
            </w:r>
            <w:r w:rsidRPr="00C901E0">
              <w:rPr>
                <w:kern w:val="22"/>
                <w:sz w:val="20"/>
                <w:lang w:val="es-ES"/>
              </w:rPr>
              <w:t>¿ha enviado su país acuse de recibo de las notificaciones al notificador dentro de los 90 días posteriores a su recibo?</w:t>
            </w:r>
          </w:p>
        </w:tc>
        <w:tc>
          <w:tcPr>
            <w:tcW w:w="4474"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trHeight w:val="723"/>
        </w:trPr>
        <w:tc>
          <w:tcPr>
            <w:tcW w:w="9352" w:type="dxa"/>
            <w:gridSpan w:val="4"/>
            <w:tcBorders>
              <w:bottom w:val="nil"/>
            </w:tcBorders>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29 es </w:t>
            </w:r>
            <w:r w:rsidRPr="00C901E0">
              <w:rPr>
                <w:i/>
                <w:kern w:val="22"/>
                <w:sz w:val="20"/>
                <w:lang w:val="es-ES"/>
              </w:rPr>
              <w:t>Sí</w:t>
            </w:r>
            <w:r w:rsidRPr="00C901E0">
              <w:rPr>
                <w:kern w:val="22"/>
                <w:sz w:val="20"/>
                <w:lang w:val="es-ES"/>
              </w:rPr>
              <w:t>, ¿su país ha comunicado la decisión o decisiones a los siguientes?:</w:t>
            </w:r>
          </w:p>
        </w:tc>
      </w:tr>
      <w:tr w:rsidR="0052214A" w:rsidRPr="00C901E0" w:rsidTr="0052214A">
        <w:trPr>
          <w:trHeight w:val="1075"/>
        </w:trPr>
        <w:tc>
          <w:tcPr>
            <w:tcW w:w="4825" w:type="dxa"/>
            <w:tcBorders>
              <w:top w:val="nil"/>
              <w:bottom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 xml:space="preserve">a. ¿Al notificador? </w:t>
            </w:r>
          </w:p>
        </w:tc>
        <w:tc>
          <w:tcPr>
            <w:tcW w:w="4527" w:type="dxa"/>
            <w:gridSpan w:val="3"/>
            <w:tcBorders>
              <w:top w:val="nil"/>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trHeight w:val="1128"/>
        </w:trPr>
        <w:tc>
          <w:tcPr>
            <w:tcW w:w="4825" w:type="dxa"/>
            <w:tcBorders>
              <w:top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b. ¿Al Centro de Intercambio de Información sobre Seguridad de la Biotecnología (CIISB)?</w:t>
            </w:r>
          </w:p>
        </w:tc>
        <w:tc>
          <w:tcPr>
            <w:tcW w:w="4527" w:type="dxa"/>
            <w:gridSpan w:val="3"/>
            <w:tcBorders>
              <w:top w:val="nil"/>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78" w:type="dxa"/>
            <w:gridSpan w:val="3"/>
            <w:shd w:val="clear" w:color="auto" w:fill="FFFFFF"/>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¿ha tomado su país alguna decisión en respuesta a la o las notificaciones relativas a movimientos transfronterizos intencionales de OVM para su introducción deliberada en el medio ambiente?</w:t>
            </w:r>
          </w:p>
        </w:tc>
        <w:tc>
          <w:tcPr>
            <w:tcW w:w="4474"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78" w:type="dxa"/>
            <w:gridSpan w:val="3"/>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33 es </w:t>
            </w:r>
            <w:r w:rsidRPr="00C901E0">
              <w:rPr>
                <w:i/>
                <w:kern w:val="22"/>
                <w:sz w:val="20"/>
                <w:lang w:val="es-ES"/>
              </w:rPr>
              <w:t>Sí</w:t>
            </w:r>
            <w:r w:rsidRPr="00C901E0">
              <w:rPr>
                <w:kern w:val="22"/>
                <w:sz w:val="20"/>
                <w:lang w:val="es-ES"/>
              </w:rPr>
              <w:t>, ¿para cuántos OVM ha autorizado su país la importación para introducción deliberada en el medio ambiente?</w:t>
            </w:r>
          </w:p>
        </w:tc>
        <w:tc>
          <w:tcPr>
            <w:tcW w:w="4474"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tc>
      </w:tr>
      <w:tr w:rsidR="0052214A" w:rsidRPr="00C901E0" w:rsidTr="0052214A">
        <w:tc>
          <w:tcPr>
            <w:tcW w:w="4878" w:type="dxa"/>
            <w:gridSpan w:val="3"/>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w:t>
            </w:r>
            <w:r w:rsidRPr="00C901E0">
              <w:rPr>
                <w:i/>
                <w:kern w:val="22"/>
                <w:sz w:val="20"/>
                <w:lang w:val="es-ES"/>
              </w:rPr>
              <w:t>en la pregunta 34</w:t>
            </w:r>
            <w:r w:rsidRPr="00C901E0">
              <w:rPr>
                <w:kern w:val="22"/>
                <w:sz w:val="20"/>
                <w:lang w:val="es-ES"/>
              </w:rPr>
              <w:t xml:space="preserve"> respondió que </w:t>
            </w:r>
            <w:r w:rsidRPr="00C901E0">
              <w:rPr>
                <w:i/>
                <w:kern w:val="22"/>
                <w:sz w:val="20"/>
                <w:lang w:val="es-ES"/>
              </w:rPr>
              <w:t>se autorizaron OVM</w:t>
            </w:r>
            <w:r w:rsidRPr="00C901E0">
              <w:rPr>
                <w:kern w:val="22"/>
                <w:sz w:val="20"/>
                <w:lang w:val="es-ES"/>
              </w:rPr>
              <w:t>, ¿se han importado efectivamente todos esos OVM a su país?</w:t>
            </w:r>
          </w:p>
        </w:tc>
        <w:tc>
          <w:tcPr>
            <w:tcW w:w="4474"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78"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 xml:space="preserve">Si su respuesta a la pregunta 33 es </w:t>
            </w:r>
            <w:r w:rsidRPr="00C901E0">
              <w:rPr>
                <w:i/>
                <w:kern w:val="22"/>
                <w:sz w:val="20"/>
                <w:lang w:val="es-ES"/>
              </w:rPr>
              <w:t>Sí</w:t>
            </w:r>
            <w:r w:rsidRPr="00C901E0">
              <w:rPr>
                <w:kern w:val="22"/>
                <w:sz w:val="20"/>
                <w:lang w:val="es-ES"/>
              </w:rPr>
              <w:t>, ¿qué porcentaje de las decisiones de su país se encuentran en las siguientes categorías?</w:t>
            </w:r>
          </w:p>
        </w:tc>
        <w:tc>
          <w:tcPr>
            <w:tcW w:w="4474"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Text4"/>
                  <w:enabled/>
                  <w:calcOnExit w:val="0"/>
                  <w:textInput>
                    <w:default w:val="[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w:t>
            </w:r>
            <w:r w:rsidRPr="00C901E0">
              <w:rPr>
                <w:kern w:val="22"/>
                <w:sz w:val="20"/>
                <w:lang w:val="es-ES"/>
              </w:rPr>
              <w:fldChar w:fldCharType="end"/>
            </w:r>
            <w:r w:rsidR="0052214A" w:rsidRPr="00C901E0">
              <w:rPr>
                <w:kern w:val="22"/>
                <w:sz w:val="20"/>
                <w:lang w:val="es-ES"/>
              </w:rPr>
              <w:tab/>
              <w:t>Autorización de la importación/uso de OVM sin condiciones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Text4"/>
                  <w:enabled/>
                  <w:calcOnExit w:val="0"/>
                  <w:textInput>
                    <w:default w:val="[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w:t>
            </w:r>
            <w:r w:rsidRPr="00C901E0">
              <w:rPr>
                <w:kern w:val="22"/>
                <w:sz w:val="20"/>
                <w:lang w:val="es-ES"/>
              </w:rPr>
              <w:fldChar w:fldCharType="end"/>
            </w:r>
            <w:r w:rsidR="0052214A" w:rsidRPr="00C901E0">
              <w:rPr>
                <w:kern w:val="22"/>
                <w:sz w:val="20"/>
                <w:lang w:val="es-ES"/>
              </w:rPr>
              <w:tab/>
              <w:t>Autorización de la importación/uso de OVM con condiciones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Text4"/>
                  <w:enabled/>
                  <w:calcOnExit w:val="0"/>
                  <w:textInput>
                    <w:default w:val="[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w:t>
            </w:r>
            <w:r w:rsidRPr="00C901E0">
              <w:rPr>
                <w:kern w:val="22"/>
                <w:sz w:val="20"/>
                <w:lang w:val="es-ES"/>
              </w:rPr>
              <w:fldChar w:fldCharType="end"/>
            </w:r>
            <w:r w:rsidR="0052214A" w:rsidRPr="00C901E0">
              <w:rPr>
                <w:kern w:val="22"/>
                <w:sz w:val="20"/>
                <w:lang w:val="es-ES"/>
              </w:rPr>
              <w:tab/>
              <w:t>Prohibición de la importación/uso de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Text4"/>
                  <w:enabled/>
                  <w:calcOnExit w:val="0"/>
                  <w:textInput>
                    <w:default w:val="[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w:t>
            </w:r>
            <w:r w:rsidRPr="00C901E0">
              <w:rPr>
                <w:kern w:val="22"/>
                <w:sz w:val="20"/>
                <w:lang w:val="es-ES"/>
              </w:rPr>
              <w:fldChar w:fldCharType="end"/>
            </w:r>
            <w:r w:rsidR="0052214A" w:rsidRPr="00C901E0">
              <w:rPr>
                <w:kern w:val="22"/>
                <w:sz w:val="20"/>
                <w:lang w:val="es-ES"/>
              </w:rPr>
              <w:tab/>
              <w:t>Pedido de información adicional pertinente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Text4"/>
                  <w:enabled/>
                  <w:calcOnExit w:val="0"/>
                  <w:textInput>
                    <w:default w:val="[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w:t>
            </w:r>
            <w:r w:rsidRPr="00C901E0">
              <w:rPr>
                <w:kern w:val="22"/>
                <w:sz w:val="20"/>
                <w:lang w:val="es-ES"/>
              </w:rPr>
              <w:fldChar w:fldCharType="end"/>
            </w:r>
            <w:r w:rsidR="0052214A" w:rsidRPr="00C901E0">
              <w:rPr>
                <w:kern w:val="22"/>
                <w:sz w:val="20"/>
                <w:lang w:val="es-ES"/>
              </w:rPr>
              <w:tab/>
              <w:t>Informar al notificador que se ha extendido el período para comunicar la decisión</w:t>
            </w:r>
          </w:p>
        </w:tc>
      </w:tr>
      <w:tr w:rsidR="0052214A" w:rsidRPr="00C901E0" w:rsidTr="0052214A">
        <w:tc>
          <w:tcPr>
            <w:tcW w:w="4878"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w:t>
            </w:r>
            <w:r w:rsidRPr="00C901E0">
              <w:rPr>
                <w:i/>
                <w:kern w:val="22"/>
                <w:sz w:val="20"/>
                <w:lang w:val="es-ES"/>
              </w:rPr>
              <w:t>en la pregunta 36</w:t>
            </w:r>
            <w:r w:rsidRPr="00C901E0">
              <w:rPr>
                <w:kern w:val="22"/>
                <w:sz w:val="20"/>
                <w:lang w:val="es-ES"/>
              </w:rPr>
              <w:t xml:space="preserve"> respondió que su país ha tomado una decisión de</w:t>
            </w:r>
            <w:r w:rsidRPr="00C901E0">
              <w:rPr>
                <w:i/>
                <w:kern w:val="22"/>
                <w:sz w:val="20"/>
                <w:lang w:val="es-ES"/>
              </w:rPr>
              <w:t xml:space="preserve"> autorizar la importación con condiciones o de prohibir la importación</w:t>
            </w:r>
            <w:r w:rsidRPr="00C901E0">
              <w:rPr>
                <w:kern w:val="22"/>
                <w:sz w:val="20"/>
                <w:lang w:val="es-ES"/>
              </w:rPr>
              <w:t>, ¿se comunicaron las razones?</w:t>
            </w:r>
          </w:p>
        </w:tc>
        <w:tc>
          <w:tcPr>
            <w:tcW w:w="4474"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352" w:type="dxa"/>
            <w:gridSpan w:val="4"/>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t>En este espacio puede proporcionar más detalles sobre la aplicación de los artículos 7 a 10 en su país, incluidas medidas en el caso de que no hubiese certidumbre científica acerca de los posibles efectos adversos de los OVM para introducción deliberada en el medio ambiente: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40" w:right="2"/>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352" w:type="dxa"/>
            <w:gridSpan w:val="4"/>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b/>
                <w:lang w:val="es-ES"/>
              </w:rPr>
            </w:pPr>
            <w:r w:rsidRPr="00C901E0">
              <w:rPr>
                <w:b/>
                <w:kern w:val="22"/>
                <w:sz w:val="20"/>
                <w:lang w:val="es-ES"/>
              </w:rPr>
              <w:br w:type="page"/>
              <w:t xml:space="preserve">Artículo 11 – Procedimiento para organismos vivos modificados </w:t>
            </w:r>
            <w:r w:rsidRPr="00C901E0">
              <w:rPr>
                <w:b/>
                <w:kern w:val="22"/>
                <w:sz w:val="20"/>
                <w:lang w:val="es-ES"/>
              </w:rPr>
              <w:br/>
              <w:t>destinados a uso directo como alimento humano o animal o para procesamiento (OVM-AHAP)</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su país una o más leyes, reglamentaciones o medidas administrativas para la toma de decisiones en relación con el uso nacional, incluida la colocación en el mercado, de OVM que pueden ser objeto de movimientos transfronterizos para uso directo como alimento humano o animal o para procesamiento?</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requisitos legales respecto a la exactitud de la información que debe proporcionar el solicitante sobre el uso nacional, incluida la colocación en el mercado, de OVM que pueden ser objeto de movimientos transfronterizos para uso directo como alimento humano o animal o para procesamiento?</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En el período que abarca el presente informe, ¿cuántas decisiones ha tomado su país </w:t>
            </w:r>
            <w:r w:rsidRPr="00C901E0">
              <w:rPr>
                <w:kern w:val="22"/>
                <w:sz w:val="20"/>
                <w:u w:val="single"/>
                <w:lang w:val="es-ES"/>
              </w:rPr>
              <w:t>con respecto al uso nacional</w:t>
            </w:r>
            <w:r w:rsidRPr="00C901E0">
              <w:rPr>
                <w:kern w:val="22"/>
                <w:sz w:val="20"/>
                <w:lang w:val="es-ES"/>
              </w:rPr>
              <w:t>, incluida la colocación en el mercado, de OVM que pueden ser objeto de movimientos transfronterizos para uso directo como alimento humano o animal o para procesamiento?</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tc>
      </w:tr>
      <w:tr w:rsidR="0052214A" w:rsidRPr="00C901E0" w:rsidTr="0052214A">
        <w:trPr>
          <w:cantSplit/>
        </w:trPr>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¿Tiene su país una o más leyes, reglamentaciones o medidas administrativas para la toma de decisiones relativas a la importación de OVM para uso directo como alimento humano o animal o para procesamiento?</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En el período que abarca el presente informe, ¿cuántas decisiones ha tomado su país </w:t>
            </w:r>
            <w:r w:rsidRPr="00C901E0">
              <w:rPr>
                <w:kern w:val="22"/>
                <w:sz w:val="20"/>
                <w:u w:val="single"/>
                <w:lang w:val="es-ES"/>
              </w:rPr>
              <w:t>con respecto a la importación</w:t>
            </w:r>
            <w:r w:rsidRPr="00C901E0">
              <w:rPr>
                <w:kern w:val="22"/>
                <w:sz w:val="20"/>
                <w:lang w:val="es-ES"/>
              </w:rPr>
              <w:t xml:space="preserve"> de OVM para uso directo como alimento humano o animal o para procesamiento?</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tc>
      </w:tr>
      <w:tr w:rsidR="0052214A" w:rsidRPr="00C901E0" w:rsidTr="0052214A">
        <w:tc>
          <w:tcPr>
            <w:tcW w:w="9352" w:type="dxa"/>
            <w:gridSpan w:val="4"/>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spacing w:val="-2"/>
                <w:kern w:val="22"/>
                <w:sz w:val="20"/>
                <w:lang w:val="es-ES"/>
              </w:rPr>
            </w:pPr>
            <w:r w:rsidRPr="00C901E0">
              <w:rPr>
                <w:spacing w:val="-2"/>
                <w:kern w:val="22"/>
                <w:sz w:val="20"/>
                <w:lang w:val="es-ES"/>
              </w:rPr>
              <w:t>En este espacio puede proporcionar más detalles sobre la aplicación del artículo 11 en su país, incluidas medidas en el caso de falta de certidumbre científica sobre los posibles efectos adversos de OVM que pueden ser objeto de un movimiento transfronterizo para uso directo como alimento humano o animal o para procesamiento: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40" w:right="2"/>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352" w:type="dxa"/>
            <w:gridSpan w:val="4"/>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kern w:val="22"/>
                <w:sz w:val="20"/>
                <w:lang w:val="es-ES"/>
              </w:rPr>
              <w:br w:type="page"/>
            </w:r>
            <w:r w:rsidRPr="00C901E0">
              <w:rPr>
                <w:b/>
                <w:kern w:val="22"/>
                <w:sz w:val="20"/>
                <w:lang w:val="es-ES"/>
              </w:rPr>
              <w:t>Artículo 12 – Revisión de las decisiones</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un mecanismo para revisar y modificar una decisión referida a un movimiento transfronterizo intencional de OVM?</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¿su país ha revisado o modificado alguna decisión referida al movimiento transfronterizo intencional de un OVM?</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46 es </w:t>
            </w:r>
            <w:r w:rsidRPr="00C901E0">
              <w:rPr>
                <w:i/>
                <w:kern w:val="22"/>
                <w:sz w:val="20"/>
                <w:lang w:val="es-ES"/>
              </w:rPr>
              <w:t>Sí</w:t>
            </w:r>
            <w:r w:rsidRPr="00C901E0">
              <w:rPr>
                <w:kern w:val="22"/>
                <w:sz w:val="20"/>
                <w:lang w:val="es-ES"/>
              </w:rPr>
              <w:t>, ¿cuántas decisiones fueron revisadas o modificadas?</w:t>
            </w:r>
          </w:p>
        </w:tc>
        <w:tc>
          <w:tcPr>
            <w:tcW w:w="4527" w:type="dxa"/>
            <w:gridSpan w:val="3"/>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46 es </w:t>
            </w:r>
            <w:r w:rsidRPr="00C901E0">
              <w:rPr>
                <w:i/>
                <w:kern w:val="22"/>
                <w:sz w:val="20"/>
                <w:lang w:val="es-ES"/>
              </w:rPr>
              <w:t>Sí</w:t>
            </w:r>
            <w:r w:rsidRPr="00C901E0">
              <w:rPr>
                <w:kern w:val="22"/>
                <w:sz w:val="20"/>
                <w:lang w:val="es-ES"/>
              </w:rPr>
              <w:t>,</w:t>
            </w:r>
            <w:r w:rsidRPr="00C901E0">
              <w:rPr>
                <w:i/>
                <w:kern w:val="22"/>
                <w:sz w:val="20"/>
                <w:lang w:val="es-ES"/>
              </w:rPr>
              <w:t xml:space="preserve"> </w:t>
            </w:r>
            <w:r w:rsidRPr="00C901E0">
              <w:rPr>
                <w:kern w:val="22"/>
                <w:sz w:val="20"/>
                <w:lang w:val="es-ES"/>
              </w:rPr>
              <w:t>¿alguna de esas revisiones fue motivada por una solicitud de la Parte de exportación o el notificador?</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ind w:left="540" w:right="490" w:hanging="540"/>
              <w:rPr>
                <w:lang w:val="es-ES"/>
              </w:rPr>
            </w:pPr>
            <w:r w:rsidRPr="00C901E0">
              <w:rPr>
                <w:kern w:val="22"/>
                <w:sz w:val="20"/>
                <w:lang w:val="es-ES"/>
              </w:rPr>
              <w:t xml:space="preserve">Si su respuesta a la pregunta 48 es </w:t>
            </w:r>
            <w:r w:rsidRPr="00C901E0">
              <w:rPr>
                <w:i/>
                <w:kern w:val="22"/>
                <w:sz w:val="20"/>
                <w:lang w:val="es-ES"/>
              </w:rPr>
              <w:t>Sí</w:t>
            </w:r>
            <w:r w:rsidRPr="00C901E0">
              <w:rPr>
                <w:kern w:val="22"/>
                <w:sz w:val="20"/>
                <w:lang w:val="es-ES"/>
              </w:rPr>
              <w:t>, ¿envió su país una respuesta dentro de un plazo de 90 días exponiendo las razones de su decisión?</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ind w:right="490"/>
              <w:rPr>
                <w:lang w:val="es-ES"/>
              </w:rPr>
            </w:pP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46 es </w:t>
            </w:r>
            <w:r w:rsidRPr="00C901E0">
              <w:rPr>
                <w:i/>
                <w:kern w:val="22"/>
                <w:sz w:val="20"/>
                <w:lang w:val="es-ES"/>
              </w:rPr>
              <w:t>Sí</w:t>
            </w:r>
            <w:r w:rsidRPr="00C901E0">
              <w:rPr>
                <w:kern w:val="22"/>
                <w:sz w:val="20"/>
                <w:lang w:val="es-ES"/>
              </w:rPr>
              <w:t>, ¿alguna de esas revisiones fue iniciada por su país como Parte de importación?</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trHeight w:val="750"/>
        </w:trPr>
        <w:tc>
          <w:tcPr>
            <w:tcW w:w="9352" w:type="dxa"/>
            <w:gridSpan w:val="4"/>
            <w:tcBorders>
              <w:bottom w:val="nil"/>
            </w:tcBorders>
            <w:vAlign w:val="center"/>
          </w:tcPr>
          <w:p w:rsidR="0052214A" w:rsidRPr="00C901E0" w:rsidRDefault="0052214A" w:rsidP="00465C6E">
            <w:pPr>
              <w:keepNext/>
              <w:numPr>
                <w:ilvl w:val="0"/>
                <w:numId w:val="27"/>
              </w:numPr>
              <w:suppressLineNumbers/>
              <w:shd w:val="clear" w:color="auto" w:fill="FFFFFF"/>
              <w:tabs>
                <w:tab w:val="clear" w:pos="360"/>
                <w:tab w:val="num" w:pos="537"/>
              </w:tabs>
              <w:suppressAutoHyphens/>
              <w:kinsoku w:val="0"/>
              <w:overflowPunct w:val="0"/>
              <w:autoSpaceDE w:val="0"/>
              <w:autoSpaceDN w:val="0"/>
              <w:adjustRightInd w:val="0"/>
              <w:snapToGrid w:val="0"/>
              <w:spacing w:before="120" w:after="120"/>
              <w:ind w:left="547" w:right="490" w:hanging="547"/>
              <w:rPr>
                <w:lang w:val="es-ES"/>
              </w:rPr>
            </w:pPr>
            <w:r w:rsidRPr="00C901E0">
              <w:rPr>
                <w:kern w:val="22"/>
                <w:sz w:val="20"/>
                <w:lang w:val="es-ES"/>
              </w:rPr>
              <w:lastRenderedPageBreak/>
              <w:t xml:space="preserve">Si su respuesta a la pregunta 50 es </w:t>
            </w:r>
            <w:r w:rsidRPr="00C901E0">
              <w:rPr>
                <w:i/>
                <w:kern w:val="22"/>
                <w:sz w:val="20"/>
                <w:lang w:val="es-ES"/>
              </w:rPr>
              <w:t>Sí</w:t>
            </w:r>
            <w:r w:rsidRPr="00C901E0">
              <w:rPr>
                <w:kern w:val="22"/>
                <w:sz w:val="20"/>
                <w:lang w:val="es-ES"/>
              </w:rPr>
              <w:t>, ¿expuso su país las razones de la decisión e informó a los siguientes dentro de un plazo de 30 días?:</w:t>
            </w:r>
          </w:p>
        </w:tc>
      </w:tr>
      <w:tr w:rsidR="0052214A" w:rsidRPr="00C901E0" w:rsidTr="0052214A">
        <w:trPr>
          <w:trHeight w:val="1075"/>
        </w:trPr>
        <w:tc>
          <w:tcPr>
            <w:tcW w:w="4825" w:type="dxa"/>
            <w:tcBorders>
              <w:top w:val="nil"/>
              <w:bottom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 xml:space="preserve">a. ¿Al notificador? </w:t>
            </w:r>
          </w:p>
        </w:tc>
        <w:tc>
          <w:tcPr>
            <w:tcW w:w="4527" w:type="dxa"/>
            <w:gridSpan w:val="3"/>
            <w:tcBorders>
              <w:top w:val="nil"/>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trHeight w:val="1128"/>
        </w:trPr>
        <w:tc>
          <w:tcPr>
            <w:tcW w:w="4825" w:type="dxa"/>
            <w:tcBorders>
              <w:top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b. ¿Al CIISB?</w:t>
            </w:r>
          </w:p>
        </w:tc>
        <w:tc>
          <w:tcPr>
            <w:tcW w:w="4527" w:type="dxa"/>
            <w:gridSpan w:val="3"/>
            <w:tcBorders>
              <w:top w:val="nil"/>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352" w:type="dxa"/>
            <w:gridSpan w:val="4"/>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t>En este espacio puede proporcionar más detalles sobre la aplicación del artículo 12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352" w:type="dxa"/>
            <w:gridSpan w:val="4"/>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t>Artículo 13 –Procedimiento simplificado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un mecanismo para la aplicación del procedimiento simplificado para movimientos transfronterizos intencionales de OVM?</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¿ha aplicado su país el procedimiento simplificado?</w:t>
            </w:r>
          </w:p>
        </w:tc>
        <w:tc>
          <w:tcPr>
            <w:tcW w:w="4527" w:type="dxa"/>
            <w:gridSpan w:val="3"/>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54 es </w:t>
            </w:r>
            <w:r w:rsidRPr="00C901E0">
              <w:rPr>
                <w:i/>
                <w:kern w:val="22"/>
                <w:sz w:val="20"/>
                <w:lang w:val="es-ES"/>
              </w:rPr>
              <w:t>Sí</w:t>
            </w:r>
            <w:r w:rsidRPr="00C901E0">
              <w:rPr>
                <w:kern w:val="22"/>
                <w:sz w:val="20"/>
                <w:lang w:val="es-ES"/>
              </w:rPr>
              <w:t>,</w:t>
            </w:r>
            <w:r w:rsidRPr="00C901E0">
              <w:rPr>
                <w:i/>
                <w:kern w:val="22"/>
                <w:sz w:val="20"/>
                <w:lang w:val="es-ES"/>
              </w:rPr>
              <w:t xml:space="preserve"> </w:t>
            </w:r>
            <w:r w:rsidRPr="00C901E0">
              <w:rPr>
                <w:kern w:val="22"/>
                <w:sz w:val="20"/>
                <w:lang w:val="es-ES"/>
              </w:rPr>
              <w:t>¿a cuántos OVM ha aplicado su país el procedimiento simplificado?</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5</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o más</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54 es </w:t>
            </w:r>
            <w:r w:rsidRPr="00C901E0">
              <w:rPr>
                <w:i/>
                <w:kern w:val="22"/>
                <w:sz w:val="20"/>
                <w:lang w:val="es-ES"/>
              </w:rPr>
              <w:t>Sí</w:t>
            </w:r>
            <w:r w:rsidRPr="00C901E0">
              <w:rPr>
                <w:kern w:val="22"/>
                <w:sz w:val="20"/>
                <w:lang w:val="es-ES"/>
              </w:rPr>
              <w:t>, ¿ha informado su país a las Partes a través del CIISB sobre los casos en los que se aplicó el procedimiento simplificado?</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352" w:type="dxa"/>
            <w:gridSpan w:val="4"/>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t>En este espacio puede proporcionar más detalles sobre la aplicación del artículo 13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352" w:type="dxa"/>
            <w:gridSpan w:val="4"/>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t>Artículo 14 – Acuerdos y arreglos bilaterales, regionales y multilaterales</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¿Cuántos acuerdos o arreglos bilaterales, regionales o multilaterales relacionados con la seguridad de la biotecnología ha establecido su país con otras Partes o países que no son Partes?</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tc>
      </w:tr>
      <w:tr w:rsidR="0052214A" w:rsidRPr="00C901E0" w:rsidTr="0052214A">
        <w:tc>
          <w:tcPr>
            <w:tcW w:w="9352" w:type="dxa"/>
            <w:gridSpan w:val="4"/>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t xml:space="preserve">Si en la </w:t>
            </w:r>
            <w:r w:rsidRPr="00C901E0">
              <w:rPr>
                <w:i/>
                <w:kern w:val="22"/>
                <w:sz w:val="20"/>
                <w:lang w:val="es-ES"/>
              </w:rPr>
              <w:t>pregunta 58</w:t>
            </w:r>
            <w:r w:rsidRPr="00C901E0">
              <w:rPr>
                <w:kern w:val="22"/>
                <w:sz w:val="20"/>
                <w:lang w:val="es-ES"/>
              </w:rPr>
              <w:t xml:space="preserve"> respondió que </w:t>
            </w:r>
            <w:r w:rsidRPr="00C901E0">
              <w:rPr>
                <w:i/>
                <w:kern w:val="22"/>
                <w:sz w:val="20"/>
                <w:lang w:val="es-ES"/>
              </w:rPr>
              <w:t>se establecieron acuerdos o arreglos</w:t>
            </w:r>
            <w:r w:rsidRPr="00C901E0">
              <w:rPr>
                <w:kern w:val="22"/>
                <w:sz w:val="20"/>
                <w:lang w:val="es-ES"/>
              </w:rPr>
              <w:t>, describa brevemente su alcance y objetivo: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352" w:type="dxa"/>
            <w:gridSpan w:val="4"/>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lastRenderedPageBreak/>
              <w:t>En este espacio puede proporcionar más detalles sobre la aplicación del artículo 14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ight="6"/>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352" w:type="dxa"/>
            <w:gridSpan w:val="4"/>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t>Artículos 15 y 16 – Evaluación del riesgo y gestión del riesgo</w:t>
            </w:r>
          </w:p>
        </w:tc>
      </w:tr>
      <w:tr w:rsidR="0052214A" w:rsidRPr="00C901E0" w:rsidTr="0052214A">
        <w:tc>
          <w:tcPr>
            <w:tcW w:w="4825" w:type="dxa"/>
            <w:vAlign w:val="center"/>
          </w:tcPr>
          <w:p w:rsidR="0052214A" w:rsidRPr="00C901E0" w:rsidRDefault="0052214A" w:rsidP="00465C6E">
            <w:pPr>
              <w:keepNext/>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¿El marco reglamentario de su país requiere la realización de análisis del riesgo de OVM?</w:t>
            </w:r>
          </w:p>
        </w:tc>
        <w:tc>
          <w:tcPr>
            <w:tcW w:w="4527" w:type="dxa"/>
            <w:gridSpan w:val="3"/>
            <w:vAlign w:val="center"/>
          </w:tcPr>
          <w:p w:rsidR="0052214A" w:rsidRPr="00C901E0" w:rsidRDefault="009503AA" w:rsidP="0052214A">
            <w:pPr>
              <w:keepNext/>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keepNext/>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61 es </w:t>
            </w:r>
            <w:r w:rsidRPr="00C901E0">
              <w:rPr>
                <w:i/>
                <w:kern w:val="22"/>
                <w:sz w:val="20"/>
                <w:lang w:val="es-ES"/>
              </w:rPr>
              <w:t>Sí</w:t>
            </w:r>
            <w:r w:rsidRPr="00C901E0">
              <w:rPr>
                <w:kern w:val="22"/>
                <w:sz w:val="20"/>
                <w:lang w:val="es-ES"/>
              </w:rPr>
              <w:t>, ¿con respecto a qué OVM se aplica el requisito? (Seleccione todas las respuestas que correspondan.)</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Para la importación de OVM destinados a la introducción deliberada en el medio ambiente.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Para la importación de OVM destinados para uso directo como alimento humano o animal o para procesamiento.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Para decisiones referidas al uso nacional, incluida la colocación en el mercado, de OVM que pueden ser objeto de movimientos transfronterizos para uso directo como alimento humano o animal o para procesamiento.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Para la importación de OVM para uso confinado.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715" w:hanging="703"/>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Otras: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un mecanismo para realizar evaluaciones del riesgo antes de adoptar decisiones relativas a los OVM?</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25"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63 es </w:t>
            </w:r>
            <w:r w:rsidRPr="00C901E0">
              <w:rPr>
                <w:i/>
                <w:kern w:val="22"/>
                <w:sz w:val="20"/>
                <w:lang w:val="es-ES"/>
              </w:rPr>
              <w:t>Sí</w:t>
            </w:r>
            <w:r w:rsidRPr="00C901E0">
              <w:rPr>
                <w:kern w:val="22"/>
                <w:sz w:val="20"/>
                <w:lang w:val="es-ES"/>
              </w:rPr>
              <w:t>, ¿se incluyen en este mecanismo procedimientos para encontrar o capacitar a expertos nacionales para que realicen evaluaciones del riesgo?</w:t>
            </w:r>
          </w:p>
        </w:tc>
        <w:tc>
          <w:tcPr>
            <w:tcW w:w="4527" w:type="dxa"/>
            <w:gridSpan w:val="3"/>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352" w:type="dxa"/>
            <w:gridSpan w:val="4"/>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ind w:right="490"/>
              <w:rPr>
                <w:lang w:val="es-ES"/>
              </w:rPr>
            </w:pPr>
            <w:r w:rsidRPr="00C901E0">
              <w:rPr>
                <w:i/>
                <w:kern w:val="22"/>
                <w:sz w:val="20"/>
                <w:lang w:val="es-ES"/>
              </w:rPr>
              <w:t>Creación de capacidad para la evaluación del riesgo o la gestión del riesgo</w:t>
            </w:r>
          </w:p>
        </w:tc>
      </w:tr>
      <w:tr w:rsidR="0052214A" w:rsidRPr="00C901E0" w:rsidTr="0052214A">
        <w:tc>
          <w:tcPr>
            <w:tcW w:w="9352" w:type="dxa"/>
            <w:gridSpan w:val="4"/>
            <w:tcBorders>
              <w:bottom w:val="nil"/>
            </w:tcBorders>
            <w:vAlign w:val="center"/>
          </w:tcPr>
          <w:p w:rsidR="0052214A" w:rsidRPr="00C901E0" w:rsidRDefault="0052214A" w:rsidP="00465C6E">
            <w:pPr>
              <w:keepNext/>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¿Cuántas personas en su país han recibido capacitación en evaluación del riesgo, gestión de riesgo y vigilancia de OVM?</w:t>
            </w:r>
          </w:p>
        </w:tc>
      </w:tr>
      <w:tr w:rsidR="0052214A" w:rsidRPr="00C901E0" w:rsidTr="0052214A">
        <w:tc>
          <w:tcPr>
            <w:tcW w:w="4841" w:type="dxa"/>
            <w:gridSpan w:val="2"/>
            <w:tcBorders>
              <w:top w:val="nil"/>
              <w:bottom w:val="single" w:sz="4" w:space="0" w:color="auto"/>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3" w:right="490"/>
              <w:rPr>
                <w:lang w:val="es-ES"/>
              </w:rPr>
            </w:pPr>
            <w:r w:rsidRPr="00C901E0">
              <w:rPr>
                <w:kern w:val="22"/>
                <w:sz w:val="20"/>
                <w:lang w:val="es-ES"/>
              </w:rPr>
              <w:t>a. Evaluación del riesgo:</w:t>
            </w:r>
          </w:p>
        </w:tc>
        <w:tc>
          <w:tcPr>
            <w:tcW w:w="4511" w:type="dxa"/>
            <w:gridSpan w:val="2"/>
            <w:tcBorders>
              <w:top w:val="nil"/>
              <w:left w:val="nil"/>
              <w:bottom w:val="single" w:sz="4" w:space="0" w:color="auto"/>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a 99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240" w:after="120"/>
              <w:ind w:left="734" w:hanging="734"/>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52214A">
        <w:trPr>
          <w:cantSplit/>
        </w:trPr>
        <w:tc>
          <w:tcPr>
            <w:tcW w:w="4841" w:type="dxa"/>
            <w:gridSpan w:val="2"/>
            <w:tcBorders>
              <w:top w:val="single" w:sz="4" w:space="0" w:color="auto"/>
              <w:bottom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lastRenderedPageBreak/>
              <w:t>b. Gestión del riesgo:</w:t>
            </w:r>
          </w:p>
        </w:tc>
        <w:tc>
          <w:tcPr>
            <w:tcW w:w="4511" w:type="dxa"/>
            <w:gridSpan w:val="2"/>
            <w:tcBorders>
              <w:top w:val="single" w:sz="4" w:space="0" w:color="auto"/>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a 99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52214A">
        <w:tc>
          <w:tcPr>
            <w:tcW w:w="4841" w:type="dxa"/>
            <w:gridSpan w:val="2"/>
            <w:tcBorders>
              <w:top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c. Vigilancia:</w:t>
            </w:r>
          </w:p>
        </w:tc>
        <w:tc>
          <w:tcPr>
            <w:tcW w:w="4511" w:type="dxa"/>
            <w:gridSpan w:val="2"/>
            <w:tcBorders>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a 99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¿Utiliza su país material de capacitación u orientación técnica para la capacitación en evaluación del riesgo y gestión del riesgo de los OVM?</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66 es </w:t>
            </w:r>
            <w:r w:rsidRPr="00C901E0">
              <w:rPr>
                <w:i/>
                <w:kern w:val="22"/>
                <w:sz w:val="20"/>
                <w:lang w:val="es-ES"/>
              </w:rPr>
              <w:t>Sí</w:t>
            </w:r>
            <w:r w:rsidRPr="00C901E0">
              <w:rPr>
                <w:kern w:val="22"/>
                <w:sz w:val="20"/>
                <w:lang w:val="es-ES"/>
              </w:rPr>
              <w:t>, ¿está utilizando su país el “Manual de capacitación sobre evaluación del riesgo de los organismos vivos modificados” (elaborado por la Secretaría del CDB) para la capacitación en evaluación del riesgo?</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66 es </w:t>
            </w:r>
            <w:r w:rsidRPr="00C901E0">
              <w:rPr>
                <w:i/>
                <w:kern w:val="22"/>
                <w:sz w:val="20"/>
                <w:lang w:val="es-ES"/>
              </w:rPr>
              <w:t>Sí</w:t>
            </w:r>
            <w:r w:rsidRPr="00C901E0">
              <w:rPr>
                <w:kern w:val="22"/>
                <w:sz w:val="20"/>
                <w:lang w:val="es-ES"/>
              </w:rPr>
              <w:t>, ¿está utilizando su país la “Orientación para la evaluación del riesgo de los organismos vivos modificados” (elaborada por el Foro en línea y el Grupo Especial de Expertos Técnicos en Evaluación del Riesgo y Gestión del Riesgo) para la capacitación en evaluación del riesgo?</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su país necesidades específicas de mayor orientación sobre temas específicos de evaluación del riesgo de los OVM?</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352" w:type="dxa"/>
            <w:gridSpan w:val="4"/>
            <w:tcBorders>
              <w:bottom w:val="nil"/>
            </w:tcBorders>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su país la capacidad de detectar, identificar, evaluar o vigilar OVM o rasgos específicos que puedan tener efectos adversos para la conservación y utilización sostenible de la diversidad biológica, teniendo también en cuenta los riesgos para la salud humana?</w:t>
            </w:r>
          </w:p>
        </w:tc>
      </w:tr>
      <w:tr w:rsidR="0052214A" w:rsidRPr="00C901E0" w:rsidTr="0052214A">
        <w:tc>
          <w:tcPr>
            <w:tcW w:w="4841" w:type="dxa"/>
            <w:gridSpan w:val="2"/>
            <w:tcBorders>
              <w:top w:val="nil"/>
              <w:bottom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a. Detectar:</w:t>
            </w:r>
          </w:p>
        </w:tc>
        <w:tc>
          <w:tcPr>
            <w:tcW w:w="4511" w:type="dxa"/>
            <w:gridSpan w:val="2"/>
            <w:tcBorders>
              <w:top w:val="nil"/>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tcBorders>
              <w:top w:val="nil"/>
              <w:bottom w:val="single" w:sz="4" w:space="0" w:color="auto"/>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b. Identificar:</w:t>
            </w:r>
          </w:p>
        </w:tc>
        <w:tc>
          <w:tcPr>
            <w:tcW w:w="4511" w:type="dxa"/>
            <w:gridSpan w:val="2"/>
            <w:tcBorders>
              <w:left w:val="nil"/>
              <w:bottom w:val="single" w:sz="4" w:space="0" w:color="auto"/>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cantSplit/>
        </w:trPr>
        <w:tc>
          <w:tcPr>
            <w:tcW w:w="4841" w:type="dxa"/>
            <w:gridSpan w:val="2"/>
            <w:tcBorders>
              <w:top w:val="single" w:sz="4" w:space="0" w:color="auto"/>
              <w:bottom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lastRenderedPageBreak/>
              <w:t>c. Evaluar el riesgo:</w:t>
            </w:r>
          </w:p>
        </w:tc>
        <w:tc>
          <w:tcPr>
            <w:tcW w:w="4511" w:type="dxa"/>
            <w:gridSpan w:val="2"/>
            <w:tcBorders>
              <w:top w:val="single" w:sz="4" w:space="0" w:color="auto"/>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tcBorders>
              <w:top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d. Vigilar:</w:t>
            </w:r>
          </w:p>
        </w:tc>
        <w:tc>
          <w:tcPr>
            <w:tcW w:w="4511" w:type="dxa"/>
            <w:gridSpan w:val="2"/>
            <w:tcBorders>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352" w:type="dxa"/>
            <w:gridSpan w:val="4"/>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ind w:right="490"/>
              <w:rPr>
                <w:lang w:val="es-ES"/>
              </w:rPr>
            </w:pPr>
            <w:r w:rsidRPr="00C901E0">
              <w:rPr>
                <w:i/>
                <w:kern w:val="22"/>
                <w:sz w:val="20"/>
                <w:lang w:val="es-ES"/>
              </w:rPr>
              <w:t>Realización de evaluaciones del riesgo o gestión del riesgo</w:t>
            </w:r>
          </w:p>
        </w:tc>
      </w:tr>
      <w:tr w:rsidR="0052214A" w:rsidRPr="00C901E0" w:rsidTr="0052214A">
        <w:tc>
          <w:tcPr>
            <w:tcW w:w="9352" w:type="dxa"/>
            <w:gridSpan w:val="4"/>
            <w:tcBorders>
              <w:bottom w:val="nil"/>
            </w:tcBorders>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adoptado o usado su país algún documento de orientación con el fin de llevar a cabo evaluaciones del riesgo o gestionar el riesgo, o para evaluar informes sobre evaluaciones del riesgo presentados por notificadores?</w:t>
            </w:r>
          </w:p>
        </w:tc>
      </w:tr>
      <w:tr w:rsidR="0052214A" w:rsidRPr="00C901E0" w:rsidTr="0052214A">
        <w:tc>
          <w:tcPr>
            <w:tcW w:w="4841" w:type="dxa"/>
            <w:gridSpan w:val="2"/>
            <w:tcBorders>
              <w:top w:val="nil"/>
              <w:bottom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a. Evaluación del riesgo:</w:t>
            </w:r>
          </w:p>
        </w:tc>
        <w:tc>
          <w:tcPr>
            <w:tcW w:w="4511" w:type="dxa"/>
            <w:gridSpan w:val="2"/>
            <w:tcBorders>
              <w:top w:val="nil"/>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tcBorders>
              <w:top w:val="nil"/>
              <w:right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37" w:right="490"/>
              <w:rPr>
                <w:lang w:val="es-ES"/>
              </w:rPr>
            </w:pPr>
            <w:r w:rsidRPr="00C901E0">
              <w:rPr>
                <w:kern w:val="22"/>
                <w:sz w:val="20"/>
                <w:lang w:val="es-ES"/>
              </w:rPr>
              <w:t>b. Gestión del riesgo:</w:t>
            </w:r>
          </w:p>
        </w:tc>
        <w:tc>
          <w:tcPr>
            <w:tcW w:w="4511" w:type="dxa"/>
            <w:gridSpan w:val="2"/>
            <w:tcBorders>
              <w:top w:val="nil"/>
              <w:left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71 es </w:t>
            </w:r>
            <w:r w:rsidRPr="00C901E0">
              <w:rPr>
                <w:i/>
                <w:kern w:val="22"/>
                <w:sz w:val="20"/>
                <w:lang w:val="es-ES"/>
              </w:rPr>
              <w:t>Sí</w:t>
            </w:r>
            <w:r w:rsidRPr="00C901E0">
              <w:rPr>
                <w:kern w:val="22"/>
                <w:sz w:val="20"/>
                <w:lang w:val="es-ES"/>
              </w:rPr>
              <w:t>, ¿está utilizando su país la “Orientación para la evaluación del riesgo de los organismos vivos modificados” (elaborada por el Foro en línea y el Grupo Especial de Expertos Técnicos en Evaluación del Riesgo y Gestión del Riesgo) para llevar a cabo evaluaciones del riesgo o gestionar el riesgo, o para evaluar informes sobre evaluaciones del riesgo presentados por notificadores?</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adoptado su país enfoques o metodologías comunes para la evaluación del riesgo en coordinación con otros países?</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¿Ha cooperado su país con otras Partes con miras a identificar OVM o rasgos específicos que pudieran tener efectos adversos para la conservación y la utilización sostenible de la diversidad biológica? </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¿ha realizado su país algún tipo de evaluación del riesgo de OVM, destinados por ejemplo para uso confinado, ensayos prácticos, fines comerciales o uso directo como alimento humano o animal o para procesamiento?</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75 es </w:t>
            </w:r>
            <w:r w:rsidRPr="00C901E0">
              <w:rPr>
                <w:i/>
                <w:kern w:val="22"/>
                <w:sz w:val="20"/>
                <w:lang w:val="es-ES"/>
              </w:rPr>
              <w:t>Sí</w:t>
            </w:r>
            <w:r w:rsidRPr="00C901E0">
              <w:rPr>
                <w:kern w:val="22"/>
                <w:sz w:val="20"/>
                <w:lang w:val="es-ES"/>
              </w:rPr>
              <w:t>, ¿cuántas evaluaciones del riesgo se realizaron?</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a 99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Más de 100</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 xml:space="preserve">Si su respuesta a la pregunta 75 es </w:t>
            </w:r>
            <w:r w:rsidRPr="00C901E0">
              <w:rPr>
                <w:i/>
                <w:kern w:val="22"/>
                <w:sz w:val="20"/>
                <w:lang w:val="es-ES"/>
              </w:rPr>
              <w:t>Sí</w:t>
            </w:r>
            <w:r w:rsidRPr="00C901E0">
              <w:rPr>
                <w:kern w:val="22"/>
                <w:sz w:val="20"/>
                <w:lang w:val="es-ES"/>
              </w:rPr>
              <w:t>, indique el alcance de las evaluaciones del riesgo (seleccione todas las respuestas que correspondan):</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OVM para uso confinado (de conformidad con el artículo 3).</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OVM para introducción deliberada en el medio ambiente para pruebas experimentales o ensayos prácticos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OVM para introducción deliberada en el medio ambiente con fines comerciales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OVM para uso directo como alimento humano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OVM para uso directo como alimento animal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OVM para procesamiento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715" w:hanging="703"/>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Otras: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52214A">
        <w:tc>
          <w:tcPr>
            <w:tcW w:w="4841" w:type="dxa"/>
            <w:gridSpan w:val="2"/>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75 es </w:t>
            </w:r>
            <w:r w:rsidRPr="00C901E0">
              <w:rPr>
                <w:i/>
                <w:kern w:val="22"/>
                <w:sz w:val="20"/>
                <w:lang w:val="es-ES"/>
              </w:rPr>
              <w:t>Sí</w:t>
            </w:r>
            <w:r w:rsidRPr="00C901E0">
              <w:rPr>
                <w:kern w:val="22"/>
                <w:sz w:val="20"/>
                <w:lang w:val="es-ES"/>
              </w:rPr>
              <w:t>, ¿se realizaron evaluaciones del riesgo para todas las decisiones sobre OVM destinados a su introducción deliberada en el medio ambiente, o sobre el uso nacional de OVM que pueden ser objeto de movimientos transfronterizos para uso directo como alimento humano o animal o para procesamiento?</w:t>
            </w:r>
          </w:p>
        </w:tc>
        <w:tc>
          <w:tcPr>
            <w:tcW w:w="4511" w:type="dxa"/>
            <w:gridSpan w:val="2"/>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medidas, estrategias y mecanismos adecuados para regular y gestionar los riesgos identificados en las evaluaciones del riesgo de OVM?</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adoptado su país medidas adecuadas para prevenir los movimientos transfronterizos involuntarios de OVM, incluido medidas tales como la exigencia de que se realice una evaluación del riesgo antes de la primera liberación de un OVM?</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adoptado su país medidas para asegurar que cualquier OVM, ya sea importado o desarrollado en el país, haya pasado por un período apropiado de observación que sea proporcional a su ciclo vital o a su tiempo de generación antes de que se le dé su uso previsto?</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un mecanismo para vigilar los efectos potenciales de los OVM liberados en el medio ambiente?</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¿Cuenta su país con la infraestructura necesaria (por ejemplo, laboratorios) para vigilar o gestionar OVM?</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cantSplit/>
        </w:trPr>
        <w:tc>
          <w:tcPr>
            <w:tcW w:w="9352" w:type="dxa"/>
            <w:gridSpan w:val="4"/>
            <w:tcBorders>
              <w:bottom w:val="nil"/>
            </w:tcBorders>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lastRenderedPageBreak/>
              <w:t>En este espacio puede proporcionar otros detalles sobre la aplicación de los artículos 15 y 16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40"/>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352" w:type="dxa"/>
            <w:gridSpan w:val="4"/>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lang w:val="es-ES"/>
              </w:rPr>
            </w:pPr>
            <w:r w:rsidRPr="00C901E0">
              <w:rPr>
                <w:b/>
                <w:kern w:val="22"/>
                <w:sz w:val="20"/>
                <w:lang w:val="es-ES"/>
              </w:rPr>
              <w:t>Artículo 17 – Movimientos transfronterizos involuntarios</w:t>
            </w:r>
            <w:r w:rsidRPr="00D9479D">
              <w:rPr>
                <w:rStyle w:val="FootnoteReference"/>
                <w:rFonts w:eastAsia="Arial Unicode MS"/>
                <w:b/>
                <w:kern w:val="22"/>
                <w:sz w:val="20"/>
                <w:u w:val="none"/>
                <w:vertAlign w:val="superscript"/>
                <w:lang w:val="es-ES"/>
              </w:rPr>
              <w:footnoteReference w:id="14"/>
            </w:r>
            <w:r w:rsidRPr="00C901E0">
              <w:rPr>
                <w:b/>
                <w:kern w:val="22"/>
                <w:sz w:val="20"/>
                <w:lang w:val="es-ES"/>
              </w:rPr>
              <w:t xml:space="preserve"> y medidas de emergencia</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medidas para notificar a los Estados afectados o que puedan resultar afectados, al Centro de Intercambio de Información sobre Seguridad de la Biotecnología y, cuando proceda, a organizaciones internacionales pertinentes, de una liberación producida dentro de su jurisdicción que dé lugar, o pudiera dar lugar, a un movimiento transfronterizo involuntario?</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car]"/>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¿cuántas liberaciones de OVM ocurrieron dentro de la jurisdicción de su país que hayan dado lugar o pudieran haber dado lugar a un movimiento transfronterizo involuntario?</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w:t>
            </w:r>
            <w:r w:rsidRPr="00C901E0">
              <w:rPr>
                <w:i/>
                <w:kern w:val="22"/>
                <w:sz w:val="20"/>
                <w:lang w:val="es-ES"/>
              </w:rPr>
              <w:t>en la pregunta 86</w:t>
            </w:r>
            <w:r w:rsidRPr="00C901E0">
              <w:rPr>
                <w:kern w:val="22"/>
                <w:sz w:val="20"/>
                <w:lang w:val="es-ES"/>
              </w:rPr>
              <w:t xml:space="preserve"> respondió que </w:t>
            </w:r>
            <w:r w:rsidRPr="00C901E0">
              <w:rPr>
                <w:i/>
                <w:kern w:val="22"/>
                <w:sz w:val="20"/>
                <w:lang w:val="es-ES"/>
              </w:rPr>
              <w:t>se produjo una liberación</w:t>
            </w:r>
            <w:r w:rsidRPr="00C901E0">
              <w:rPr>
                <w:kern w:val="22"/>
                <w:sz w:val="20"/>
                <w:lang w:val="es-ES"/>
              </w:rPr>
              <w:t>, ¿ha notificado su país a los Estados afectados o que pudieran resultar afectados, al Centro de Intercambio de Información sobre Seguridad de la Biotecnología y, si procediera, a organizaciones internacionales pertinentes?</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su país la capacidad de tomar medidas de respuesta apropiadas en caso de movimientos transfronterizos involuntarios?</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1"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¿cuántas veces ha tomado conocimiento su país de un movimiento transfronterizo involuntario hacia su territorio?</w:t>
            </w:r>
          </w:p>
        </w:tc>
        <w:tc>
          <w:tcPr>
            <w:tcW w:w="4511"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tc>
      </w:tr>
      <w:tr w:rsidR="0052214A" w:rsidRPr="00C901E0" w:rsidTr="0052214A">
        <w:tc>
          <w:tcPr>
            <w:tcW w:w="9352" w:type="dxa"/>
            <w:gridSpan w:val="4"/>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t>En este espacio puede proporcionar más detalles sobre la aplicación del artículo 17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ight="6"/>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bl>
    <w:p w:rsidR="0052214A" w:rsidRPr="00C901E0" w:rsidRDefault="0052214A" w:rsidP="0052214A">
      <w:pPr>
        <w:shd w:val="clear" w:color="auto" w:fill="FFFFFF"/>
        <w:rPr>
          <w:kern w:val="22"/>
          <w:sz w:val="20"/>
          <w:lang w:val="es-E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4967"/>
        <w:gridCol w:w="64"/>
        <w:gridCol w:w="4770"/>
      </w:tblGrid>
      <w:tr w:rsidR="0052214A" w:rsidRPr="00C901E0" w:rsidTr="0052214A">
        <w:tc>
          <w:tcPr>
            <w:tcW w:w="9445" w:type="dxa"/>
            <w:gridSpan w:val="3"/>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lastRenderedPageBreak/>
              <w:t>Artículo 18 – Manipulación, trasporte, envasado e identificación</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¿Ha adoptado su país medidas para requerir que </w:t>
            </w:r>
            <w:r w:rsidRPr="00C901E0">
              <w:rPr>
                <w:i/>
                <w:kern w:val="22"/>
                <w:sz w:val="20"/>
                <w:lang w:val="es-ES"/>
              </w:rPr>
              <w:t>los OVM objeto de movimientos transfronterizos</w:t>
            </w:r>
            <w:r w:rsidRPr="00C901E0">
              <w:rPr>
                <w:kern w:val="22"/>
                <w:sz w:val="20"/>
                <w:lang w:val="es-ES"/>
              </w:rPr>
              <w:t xml:space="preserve"> sean manipulados, envasados y transportados en condiciones de seguridad, teniendo en cuenta las normas y los estándares internacionales pertinentes?</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¿Ha adoptado su país medidas para requerir que la documentación que acompaña a los OVM-AHAP, </w:t>
            </w:r>
            <w:r w:rsidRPr="00C901E0">
              <w:rPr>
                <w:i/>
                <w:kern w:val="22"/>
                <w:sz w:val="20"/>
                <w:lang w:val="es-ES"/>
              </w:rPr>
              <w:t>en casos en los que</w:t>
            </w:r>
            <w:r w:rsidRPr="00C901E0">
              <w:rPr>
                <w:kern w:val="22"/>
                <w:sz w:val="20"/>
                <w:lang w:val="es-ES"/>
              </w:rPr>
              <w:t xml:space="preserve"> </w:t>
            </w:r>
            <w:r w:rsidRPr="00C901E0">
              <w:rPr>
                <w:i/>
                <w:kern w:val="22"/>
                <w:sz w:val="20"/>
                <w:lang w:val="es-ES"/>
              </w:rPr>
              <w:t xml:space="preserve">la identidad de los OVM </w:t>
            </w:r>
            <w:r w:rsidRPr="00C901E0">
              <w:rPr>
                <w:i/>
                <w:kern w:val="22"/>
                <w:sz w:val="20"/>
                <w:u w:val="single"/>
                <w:lang w:val="es-ES"/>
              </w:rPr>
              <w:t>no es conocida</w:t>
            </w:r>
            <w:r w:rsidRPr="00C901E0">
              <w:rPr>
                <w:kern w:val="22"/>
                <w:sz w:val="20"/>
                <w:lang w:val="es-ES"/>
              </w:rPr>
              <w:t xml:space="preserve">, identifique claramente que </w:t>
            </w:r>
            <w:r w:rsidRPr="00C901E0">
              <w:rPr>
                <w:i/>
                <w:kern w:val="22"/>
                <w:sz w:val="20"/>
                <w:lang w:val="es-ES"/>
              </w:rPr>
              <w:t>pueden llegar a contener OVM</w:t>
            </w:r>
            <w:r w:rsidRPr="00C901E0">
              <w:rPr>
                <w:kern w:val="22"/>
                <w:sz w:val="20"/>
                <w:lang w:val="es-ES"/>
              </w:rPr>
              <w:t xml:space="preserve"> y que no están destinados a su introducción deliberada en el medio ambiente, e indique también un punto de contacto para solicitar información adicional?</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¿Ha adoptado su país medidas para requerir que la documentación que acompaña a los OVM-AHAP, </w:t>
            </w:r>
            <w:r w:rsidRPr="00C901E0">
              <w:rPr>
                <w:i/>
                <w:kern w:val="22"/>
                <w:sz w:val="20"/>
                <w:lang w:val="es-ES"/>
              </w:rPr>
              <w:t xml:space="preserve">en casos en los que la identidad de los OVM </w:t>
            </w:r>
            <w:r w:rsidRPr="00C901E0">
              <w:rPr>
                <w:i/>
                <w:kern w:val="22"/>
                <w:sz w:val="20"/>
                <w:u w:val="single"/>
                <w:lang w:val="es-ES"/>
              </w:rPr>
              <w:t>es conocida</w:t>
            </w:r>
            <w:r w:rsidRPr="00C901E0">
              <w:rPr>
                <w:kern w:val="22"/>
                <w:sz w:val="20"/>
                <w:lang w:val="es-ES"/>
              </w:rPr>
              <w:t xml:space="preserve">, identifique claramente que </w:t>
            </w:r>
            <w:r w:rsidRPr="00C901E0">
              <w:rPr>
                <w:i/>
                <w:kern w:val="22"/>
                <w:sz w:val="20"/>
                <w:lang w:val="es-ES"/>
              </w:rPr>
              <w:t>contienen OVM</w:t>
            </w:r>
            <w:r w:rsidRPr="00C901E0">
              <w:rPr>
                <w:kern w:val="22"/>
                <w:sz w:val="20"/>
                <w:lang w:val="es-ES"/>
              </w:rPr>
              <w:t xml:space="preserve"> y que no están destinados a su introducción deliberada en el medio ambiente, e indique además un punto de contacto para solicitar información adicional?</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las preguntas 91, 92 o 93 es </w:t>
            </w:r>
            <w:r w:rsidRPr="00C901E0">
              <w:rPr>
                <w:i/>
                <w:kern w:val="22"/>
                <w:sz w:val="20"/>
                <w:lang w:val="es-ES"/>
              </w:rPr>
              <w:t>Sí</w:t>
            </w:r>
            <w:r w:rsidRPr="00C901E0">
              <w:rPr>
                <w:kern w:val="22"/>
                <w:sz w:val="20"/>
                <w:lang w:val="es-ES"/>
              </w:rPr>
              <w:t>, ¿qué tipo de documentación requiere su país que acompañe a los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Documentación específica para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Como parte de otra documentación (no específica para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¿Ha adoptado su país medidas para requerir que la documentación que acompaña a </w:t>
            </w:r>
            <w:r w:rsidRPr="00C901E0">
              <w:rPr>
                <w:i/>
                <w:kern w:val="22"/>
                <w:sz w:val="20"/>
                <w:lang w:val="es-ES"/>
              </w:rPr>
              <w:t>OVM destinados para uso confinado</w:t>
            </w:r>
            <w:r w:rsidRPr="00C901E0">
              <w:rPr>
                <w:kern w:val="22"/>
                <w:sz w:val="20"/>
                <w:lang w:val="es-ES"/>
              </w:rPr>
              <w:t xml:space="preserve"> los identifique claramente como </w:t>
            </w:r>
            <w:r w:rsidRPr="00C901E0">
              <w:rPr>
                <w:i/>
                <w:kern w:val="22"/>
                <w:sz w:val="20"/>
                <w:lang w:val="es-ES"/>
              </w:rPr>
              <w:t>OVM</w:t>
            </w:r>
            <w:r w:rsidRPr="00C901E0">
              <w:rPr>
                <w:kern w:val="22"/>
                <w:sz w:val="20"/>
                <w:lang w:val="es-ES"/>
              </w:rPr>
              <w:t xml:space="preserve"> y especifique los requisitos para su manipulación, almacenamiento, transporte y uso seguros, el punto de contacto para obtener información adicional, incluido el nombre y las señas de la persona y la institución a quienes se envían los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95 es </w:t>
            </w:r>
            <w:r w:rsidRPr="00C901E0">
              <w:rPr>
                <w:i/>
                <w:kern w:val="22"/>
                <w:sz w:val="20"/>
                <w:lang w:val="es-ES"/>
              </w:rPr>
              <w:t>Sí</w:t>
            </w:r>
            <w:r w:rsidRPr="00C901E0">
              <w:rPr>
                <w:kern w:val="22"/>
                <w:sz w:val="20"/>
                <w:lang w:val="es-ES"/>
              </w:rPr>
              <w:t>, ¿qué tipo de documentación exige su país para la identificación de OVM destinados para uso confinado?</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Documentación específica para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Como parte de otra documentación (no específica para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tc>
      </w:tr>
      <w:tr w:rsidR="0052214A" w:rsidRPr="00C901E0" w:rsidTr="0052214A">
        <w:trPr>
          <w:cantSplit/>
        </w:trPr>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 xml:space="preserve">¿Ha adoptado su país medidas para requerir que la documentación que acompaña a </w:t>
            </w:r>
            <w:r w:rsidRPr="00C901E0">
              <w:rPr>
                <w:i/>
                <w:kern w:val="22"/>
                <w:sz w:val="20"/>
                <w:lang w:val="es-ES"/>
              </w:rPr>
              <w:t>OVM destinados a su introducción deliberada en el medio ambiente de la Parte de importación</w:t>
            </w:r>
            <w:r w:rsidRPr="00C901E0">
              <w:rPr>
                <w:kern w:val="22"/>
                <w:sz w:val="20"/>
                <w:lang w:val="es-ES"/>
              </w:rPr>
              <w:t xml:space="preserve"> los identifique claramente como </w:t>
            </w:r>
            <w:r w:rsidRPr="00C901E0">
              <w:rPr>
                <w:i/>
                <w:kern w:val="22"/>
                <w:sz w:val="20"/>
                <w:lang w:val="es-ES"/>
              </w:rPr>
              <w:t>organismos vivos modificados</w:t>
            </w:r>
            <w:r w:rsidRPr="00C901E0">
              <w:rPr>
                <w:kern w:val="22"/>
                <w:sz w:val="20"/>
                <w:lang w:val="es-ES"/>
              </w:rPr>
              <w:t>, especifique la identidad y los rasgos o características pertinentes, los requisitos para su manipulación, almacenamiento, transporte y uso seguros, el punto de contacto para obtener información adicional y, según proceda, el nombre y la dirección del importador y del exportador y contenga una declaración de que el movimiento se efectúa de conformidad con las disposiciones del Protocolo aplicables al exportador?</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97 es </w:t>
            </w:r>
            <w:r w:rsidRPr="00C901E0">
              <w:rPr>
                <w:i/>
                <w:kern w:val="22"/>
                <w:sz w:val="20"/>
                <w:lang w:val="es-ES"/>
              </w:rPr>
              <w:t>Sí</w:t>
            </w:r>
            <w:r w:rsidRPr="00C901E0">
              <w:rPr>
                <w:kern w:val="22"/>
                <w:sz w:val="20"/>
                <w:lang w:val="es-ES"/>
              </w:rPr>
              <w:t>, ¿qué tipo de documentación exige su país para la identificación de OVM destinados a su introducción deliberada en el medio ambiente?</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Documentación específica para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Como parte de otra documentación (no específica para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¿Cuenta su país con algún tipo de orientación para asegurar que la manipulación, el transporte y el envasado de organismos vivos modificados sean seguros?</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su país capacidad para hacer cumplir los requisitos de identificación y documentación de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¿Cuántos funcionarios de aduanas de su país han recibido capacitación en la identificación de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a 99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240" w:after="120"/>
              <w:ind w:left="734" w:hanging="734"/>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procedimientos para muestreo y detección de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cantSplit/>
        </w:trPr>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¿Cuántos empleados de laboratorio de su país han recibido capacitación en la detección de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a 99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240" w:after="120"/>
              <w:ind w:left="734" w:hanging="734"/>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¿Cuenta su país con acceso fiable a laboratorios para la detección de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color w:val="000000"/>
                <w:kern w:val="22"/>
                <w:sz w:val="20"/>
                <w:lang w:val="es-ES"/>
              </w:rPr>
              <w:t>¿Cuántos laboratorios de su país están certificados para la detección de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o más</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w:t>
            </w:r>
            <w:r w:rsidRPr="00C901E0">
              <w:rPr>
                <w:i/>
                <w:kern w:val="22"/>
                <w:sz w:val="20"/>
                <w:lang w:val="es-ES"/>
              </w:rPr>
              <w:t>en la pregunta 105</w:t>
            </w:r>
            <w:r w:rsidRPr="00C901E0">
              <w:rPr>
                <w:kern w:val="22"/>
                <w:sz w:val="20"/>
                <w:lang w:val="es-ES"/>
              </w:rPr>
              <w:t xml:space="preserve"> respondió que </w:t>
            </w:r>
            <w:r w:rsidRPr="00C901E0">
              <w:rPr>
                <w:i/>
                <w:kern w:val="22"/>
                <w:sz w:val="20"/>
                <w:lang w:val="es-ES"/>
              </w:rPr>
              <w:t>en su país existen laboratorios certificados</w:t>
            </w:r>
            <w:r w:rsidRPr="00C901E0">
              <w:rPr>
                <w:kern w:val="22"/>
                <w:sz w:val="20"/>
                <w:lang w:val="es-ES"/>
              </w:rPr>
              <w:t>, ¿cuántos de esos laboratorios trabajan actualmente en la detección de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o más</w:t>
            </w:r>
          </w:p>
        </w:tc>
      </w:tr>
      <w:tr w:rsidR="0052214A" w:rsidRPr="00C901E0" w:rsidTr="0052214A">
        <w:tc>
          <w:tcPr>
            <w:tcW w:w="9445"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t>En este espacio puede proporcionar más detalles sobre la aplicación del artículo 18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ight="6"/>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445" w:type="dxa"/>
            <w:gridSpan w:val="3"/>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br w:type="page"/>
            </w:r>
            <w:r w:rsidRPr="00C901E0">
              <w:rPr>
                <w:b/>
                <w:kern w:val="22"/>
                <w:sz w:val="20"/>
                <w:lang w:val="es-ES"/>
              </w:rPr>
              <w:br w:type="page"/>
              <w:t>Artículo 19 – Autoridades nacionales competentes y centros focales nacionales</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En el caso de que su país haya designado a más de una </w:t>
            </w:r>
            <w:r w:rsidRPr="00C901E0">
              <w:rPr>
                <w:i/>
                <w:kern w:val="22"/>
                <w:sz w:val="20"/>
                <w:lang w:val="es-ES"/>
              </w:rPr>
              <w:t>autoridad nacional competente</w:t>
            </w:r>
            <w:r w:rsidRPr="00C901E0">
              <w:rPr>
                <w:kern w:val="22"/>
                <w:sz w:val="20"/>
                <w:lang w:val="es-ES"/>
              </w:rPr>
              <w:t>, ¿ha establecido su país un mecanismo para que coordinen entre sí antes de adoptar decisiones relativas a los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 se aplica (no se ha designado ninguna autoridad nacional competente)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 se aplica (solo se designó una autoridad nacional competente)</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capacidad institucional suficiente para que la autoridad o autoridades nacionales competentes puedan desempeñar las funciones administrativas requeridas por el Protocolo de Cartagena sobre Seguridad de la Biotecnología?</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cantSplit/>
        </w:trPr>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¿Ha emprendido su país iniciativas para fortalecer la colaboración entre los puntos focales nacionales, las autoridades nacionales competentes y otras instituciones en cuestiones relativas a la diversidad biológica?</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445"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t>En este espacio puede proporcionar más detalles sobre la aplicación del artículo 19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445" w:type="dxa"/>
            <w:gridSpan w:val="3"/>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kern w:val="22"/>
                <w:sz w:val="20"/>
                <w:lang w:val="es-ES"/>
              </w:rPr>
              <w:br w:type="page"/>
            </w:r>
            <w:r w:rsidRPr="00C901E0">
              <w:rPr>
                <w:b/>
                <w:kern w:val="22"/>
                <w:sz w:val="20"/>
                <w:lang w:val="es-ES"/>
              </w:rPr>
              <w:t>Artículo 20 – Intercambio de información y el Centro de Intercambio de Información sobre Seguridad de la Biotecnología (CIISB)</w:t>
            </w:r>
          </w:p>
        </w:tc>
      </w:tr>
      <w:tr w:rsidR="0052214A" w:rsidRPr="00C901E0" w:rsidTr="0052214A">
        <w:tc>
          <w:tcPr>
            <w:tcW w:w="9445" w:type="dxa"/>
            <w:gridSpan w:val="3"/>
            <w:tcBorders>
              <w:bottom w:val="nil"/>
            </w:tcBorders>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Brinde una visión general de la situación de la información obligatoria proporcionada por su país al CIISB, especificando para cada categoría de información si está disponible y si se ha presentado al CIISB.</w:t>
            </w:r>
          </w:p>
        </w:tc>
      </w:tr>
      <w:tr w:rsidR="0052214A" w:rsidRPr="00C901E0" w:rsidTr="0052214A">
        <w:tc>
          <w:tcPr>
            <w:tcW w:w="4786" w:type="dxa"/>
            <w:tcBorders>
              <w:top w:val="nil"/>
            </w:tcBorders>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Leyes, reglamentos y directrices existentes para la aplicación del Protocolo, así como la información requerida por las Partes para el procedimiento de acuerdo fundamentado previo (artículo 20, párrafo 3 a))</w:t>
            </w:r>
          </w:p>
        </w:tc>
        <w:tc>
          <w:tcPr>
            <w:tcW w:w="4659" w:type="dxa"/>
            <w:gridSpan w:val="2"/>
            <w:tcBorders>
              <w:top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Leyes, reglamentaciones y directrices aplicables a la importación de OVM destinados a uso directo como alimento humano o animal o para procesamiento (artículo 11, párrafo 5)</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Acuerdos y arreglos bilaterales, regionales y multilaterales (artículo 14, párrafo 2, y artículo 20, párrafo 3 b))</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Datos de contacto de las autoridades nacionales competentes (artículo 19, párrafos 2 y 3), puntos focales nacionales (artículo 19, párrafos 1 y 3) y puntos de contacto para casos de emergencia (artículo 17, párrafo 3 e))</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Decisiones de una Parte relativas al tránsito de OVM (artículo 6, párrafo 1)</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lastRenderedPageBreak/>
              <w:t>Decisiones de una Parte relativas a la importación de OVM para uso confinado (artículo 6, párrafo 2)</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Notificaciones relativas a liberaciones dentro de la jurisdicción de su país que conduzcan, o pudieran conducir, a un movimiento transfronterizo involuntario de OVM que sea probable que tenga efectos adversos para la diversidad biológica (artículo 17, párrafo 1)</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Información sobre casos de movimientos transfronterizos ilícitos de OVM (artículo 25, párrafo 3)</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Decisiones relativas a la importación de OVM para su introducción deliberada en el medio ambiente (artículo 10, párrafo 3)</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Información sobre la aplicación de sus reglamentos nacionales a importaciones concretas de OVM (artículo 14, párrafo 4)</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Decisiones referidas al uso nacional de OVM que pueden ser objeto de un movimiento transfronterizo para uso directo como alimento humano o animal o para procesamiento (artículo 11, párrafo 1)</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Decisiones relativas a la importación de OVM destinados a uso directo como alimento humano o animal o para procesamiento, adoptadas con arreglo al marco reglamentario nacional (artículo 11, párrafo 4) o de conformidad con el anexo III del Protocolo (artículo 11, párrafo 6)</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lastRenderedPageBreak/>
              <w:t>Declaraciones relativas al marco que ha de aplicarse a los OVM destinados a uso directo como alimento humano o animal o para procesamiento (artículo 11, párrafo 6)</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Revisión y modificación de las decisiones relativas a movimientos transfronterizos intencionales de OVM (artículo 12, párrafo 1)</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Casos en los que el movimiento transfronterizo intencional puede efectuarse al mismo tiempo que se notifica el movimiento a la Parte de importación (artículo 13, párrafo 1 a))</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Situación de exenciones concedidas a OVM por cada Parte (artículo 13, párrafo 1 b))</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4786" w:type="dxa"/>
            <w:vAlign w:val="center"/>
          </w:tcPr>
          <w:p w:rsidR="0052214A" w:rsidRPr="00C901E0" w:rsidRDefault="0052214A" w:rsidP="00465C6E">
            <w:pPr>
              <w:numPr>
                <w:ilvl w:val="0"/>
                <w:numId w:val="28"/>
              </w:numPr>
              <w:suppressLineNumbers/>
              <w:shd w:val="clear" w:color="auto" w:fill="FFFFFF"/>
              <w:tabs>
                <w:tab w:val="clear" w:pos="720"/>
                <w:tab w:val="num" w:pos="540"/>
              </w:tabs>
              <w:suppressAutoHyphens/>
              <w:kinsoku w:val="0"/>
              <w:overflowPunct w:val="0"/>
              <w:autoSpaceDE w:val="0"/>
              <w:autoSpaceDN w:val="0"/>
              <w:adjustRightInd w:val="0"/>
              <w:snapToGrid w:val="0"/>
              <w:spacing w:before="120" w:after="120"/>
              <w:ind w:left="540" w:right="491" w:hanging="540"/>
              <w:rPr>
                <w:lang w:val="es-ES"/>
              </w:rPr>
            </w:pPr>
            <w:r w:rsidRPr="00C901E0">
              <w:rPr>
                <w:kern w:val="22"/>
                <w:sz w:val="20"/>
                <w:lang w:val="es-ES"/>
              </w:rPr>
              <w:t>Resúmenes de evaluaciones del riesgo o exámenes ambientales de OVM que se hayan realizado como consecuencia de procesos reglamentarios e información pertinente sobre productos derivados de esos OVM (artículo 20, párrafo 3 c))</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24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y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no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disponible pero solo parcialmente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9"/>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Información no disponible</w:t>
            </w:r>
          </w:p>
        </w:tc>
      </w:tr>
      <w:tr w:rsidR="0052214A" w:rsidRPr="00C901E0" w:rsidTr="0052214A">
        <w:tc>
          <w:tcPr>
            <w:tcW w:w="9445"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kern w:val="22"/>
                <w:sz w:val="20"/>
                <w:lang w:val="es-ES"/>
              </w:rPr>
            </w:pPr>
            <w:r w:rsidRPr="00C901E0">
              <w:rPr>
                <w:kern w:val="22"/>
                <w:sz w:val="20"/>
                <w:lang w:val="es-ES"/>
              </w:rPr>
              <w:t xml:space="preserve">Si en algún ítem de la pregunta 112 respondió que la información se encuentra disponible </w:t>
            </w:r>
            <w:r w:rsidRPr="00C901E0">
              <w:rPr>
                <w:i/>
                <w:kern w:val="22"/>
                <w:sz w:val="20"/>
                <w:lang w:val="es-ES"/>
              </w:rPr>
              <w:t>pero no en el CIISB</w:t>
            </w:r>
            <w:r w:rsidRPr="00C901E0">
              <w:rPr>
                <w:kern w:val="22"/>
                <w:sz w:val="20"/>
                <w:lang w:val="es-ES"/>
              </w:rPr>
              <w:t xml:space="preserve"> o </w:t>
            </w:r>
            <w:r w:rsidRPr="00C901E0">
              <w:rPr>
                <w:i/>
                <w:kern w:val="22"/>
                <w:sz w:val="20"/>
                <w:lang w:val="es-ES"/>
              </w:rPr>
              <w:t>solo parcialmente disponible en el CIISB</w:t>
            </w:r>
            <w:r w:rsidRPr="00C901E0">
              <w:rPr>
                <w:kern w:val="22"/>
                <w:sz w:val="20"/>
                <w:lang w:val="es-ES"/>
              </w:rPr>
              <w:t>, proporcione una breve explicación:</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un mecanismo para fortalecer la capacidad del punto focal nacional para el CIISB de desempeñar sus funciones administrativas?</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cantSplit/>
        </w:trPr>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spacing w:val="-2"/>
                <w:kern w:val="22"/>
                <w:sz w:val="20"/>
                <w:lang w:val="es-ES"/>
              </w:rPr>
              <w:lastRenderedPageBreak/>
              <w:t>¿Ha establecido su país un mecanismo de coordinación entre el punto focal nacional para el CIISB, el punto focal del Protocolo de Cartagena y la o las autoridades nacionales competentes para poner la información a disposición del CIISB?</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jc w:val="both"/>
              <w:rPr>
                <w:lang w:val="es-ES"/>
              </w:rPr>
            </w:pPr>
            <w:r w:rsidRPr="00C901E0">
              <w:rPr>
                <w:kern w:val="22"/>
                <w:sz w:val="20"/>
                <w:lang w:val="es-ES"/>
              </w:rPr>
              <w:t>¿Utiliza su país la información disponible en el CIISB en sus procesos de adopción de decisiones sobre OVM?</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 se aplica (no se ha adoptado ninguna decisión)</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experimentado su país dificultades para acceder al CIISB o utilizarlo?</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715" w:hanging="703"/>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¿cuántos actividades relacionadas con la seguridad de la biotecnología (p. ej. seminarios, talleres, conferencias de prensa, eventos educativos, etc.) organizó su país?</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24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25 o más</w:t>
            </w:r>
          </w:p>
        </w:tc>
      </w:tr>
      <w:tr w:rsidR="0052214A" w:rsidRPr="00C901E0" w:rsidTr="0052214A">
        <w:tc>
          <w:tcPr>
            <w:tcW w:w="4786" w:type="dxa"/>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¿cuántas publicaciones relacionadas con la seguridad de la biotecnología se realizaron en su país?</w:t>
            </w:r>
          </w:p>
        </w:tc>
        <w:tc>
          <w:tcPr>
            <w:tcW w:w="4659"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a 99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100 o más</w:t>
            </w:r>
          </w:p>
        </w:tc>
      </w:tr>
      <w:tr w:rsidR="0052214A" w:rsidRPr="00C901E0" w:rsidTr="0052214A">
        <w:tc>
          <w:tcPr>
            <w:tcW w:w="9445"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i/>
                <w:kern w:val="22"/>
                <w:sz w:val="20"/>
                <w:lang w:val="es-ES"/>
              </w:rPr>
            </w:pPr>
            <w:r w:rsidRPr="00C901E0">
              <w:rPr>
                <w:kern w:val="22"/>
                <w:sz w:val="20"/>
                <w:lang w:val="es-ES"/>
              </w:rPr>
              <w:t>En este espacio puede proporcionar más detalles sobre la aplicación del artículo 20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445" w:type="dxa"/>
            <w:gridSpan w:val="3"/>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lang w:val="es-ES"/>
              </w:rPr>
            </w:pPr>
            <w:r w:rsidRPr="00C901E0">
              <w:rPr>
                <w:b/>
                <w:kern w:val="22"/>
                <w:sz w:val="20"/>
                <w:lang w:val="es-ES"/>
              </w:rPr>
              <w:t>Artículo 21 – Información confidencial</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procedimientos para proteger la información confidencial recibida en el marco del Protocolo?</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8" w:type="dxa"/>
            <w:gridSpan w:val="2"/>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¿Su país permite al notificador determinar qué información debe considerarse confidencial?</w:t>
            </w:r>
          </w:p>
        </w:tc>
        <w:tc>
          <w:tcPr>
            <w:tcW w:w="4597"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445"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kern w:val="22"/>
                <w:sz w:val="20"/>
                <w:lang w:val="es-ES"/>
              </w:rPr>
            </w:pPr>
            <w:r w:rsidRPr="00C901E0">
              <w:rPr>
                <w:kern w:val="22"/>
                <w:sz w:val="20"/>
                <w:lang w:val="es-ES"/>
              </w:rPr>
              <w:t>En este espacio puede proporcionar más detalles sobre la aplicación del artículo 21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ight="6"/>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52214A">
        <w:tc>
          <w:tcPr>
            <w:tcW w:w="9445" w:type="dxa"/>
            <w:gridSpan w:val="3"/>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lang w:val="es-ES"/>
              </w:rPr>
            </w:pPr>
            <w:r w:rsidRPr="00C901E0">
              <w:rPr>
                <w:b/>
                <w:kern w:val="22"/>
                <w:sz w:val="20"/>
                <w:lang w:val="es-ES"/>
              </w:rPr>
              <w:lastRenderedPageBreak/>
              <w:t>Artículo 22 – Creación de capacidad</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spacing w:val="-2"/>
                <w:kern w:val="22"/>
                <w:sz w:val="20"/>
                <w:lang w:val="es-ES"/>
              </w:rPr>
              <w:t>¿Cuenta su país con financiación previsible y fiable para crear capacidad para la aplicación efectiva del Protocolo?</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recibido su país apoyo externo o se ha beneficiado de actividades de colaboración con otras Partes para el desarrollo o fortalecimiento de los recursos humanos y la capacidad institucional en materia de seguridad de la biotecnología?</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125 es </w:t>
            </w:r>
            <w:r w:rsidRPr="00C901E0">
              <w:rPr>
                <w:i/>
                <w:kern w:val="22"/>
                <w:sz w:val="20"/>
                <w:lang w:val="es-ES"/>
              </w:rPr>
              <w:t>Sí</w:t>
            </w:r>
            <w:r w:rsidRPr="00C901E0">
              <w:rPr>
                <w:kern w:val="22"/>
                <w:sz w:val="20"/>
                <w:lang w:val="es-ES"/>
              </w:rPr>
              <w:t>, ¿cómo accedió a esos recursos?</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Por canales bilaterales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Por canales regionales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Por canales multilaterales</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proporcionado su país apoyo a otras Partes para el desarrollo o fortalecimiento de los recursos humanos y la capacidad institucional en materia de seguridad de la biotecnología?</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hanging="540"/>
              <w:rPr>
                <w:lang w:val="es-ES"/>
              </w:rPr>
            </w:pPr>
            <w:r w:rsidRPr="00C901E0">
              <w:rPr>
                <w:kern w:val="22"/>
                <w:sz w:val="20"/>
                <w:lang w:val="es-ES"/>
              </w:rPr>
              <w:t xml:space="preserve">Si su respuesta a la pregunta 127 es </w:t>
            </w:r>
            <w:r w:rsidRPr="00C901E0">
              <w:rPr>
                <w:i/>
                <w:kern w:val="22"/>
                <w:sz w:val="20"/>
                <w:lang w:val="es-ES"/>
              </w:rPr>
              <w:t>Sí</w:t>
            </w:r>
            <w:r w:rsidRPr="00C901E0">
              <w:rPr>
                <w:kern w:val="22"/>
                <w:sz w:val="20"/>
                <w:lang w:val="es-ES"/>
              </w:rPr>
              <w:t>, ¿cómo se proporcionaron esos recursos?</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Por canales bilaterales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Por canales regionales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Por canales multilaterales</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¿ha iniciado su país un proceso para obtener fondos del Fondo para el Medio Ambiente Mundial (FMAM) destinados a la creación de capacidad en materia de seguridad de la biotecnología?</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715" w:hanging="703"/>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su respuesta a la pregunta 129 es </w:t>
            </w:r>
            <w:r w:rsidRPr="00C901E0">
              <w:rPr>
                <w:i/>
                <w:kern w:val="22"/>
                <w:sz w:val="20"/>
                <w:lang w:val="es-ES"/>
              </w:rPr>
              <w:t>Sí</w:t>
            </w:r>
            <w:r w:rsidRPr="00C901E0">
              <w:rPr>
                <w:kern w:val="22"/>
                <w:sz w:val="20"/>
                <w:lang w:val="es-ES"/>
              </w:rPr>
              <w:t>, ¿cómo calificaría ese proceso?</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Muy fácil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Fácil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Promedio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Difícil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Muy difícil</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¿ha emprendido su país actividades de desarrollo o fortalecimiento de los recursos humanos y la capacidad institucional en materia de seguridad de la biotecnología?</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cantSplit/>
        </w:trPr>
        <w:tc>
          <w:tcPr>
            <w:tcW w:w="4848" w:type="dxa"/>
            <w:gridSpan w:val="2"/>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spacing w:val="-2"/>
                <w:kern w:val="22"/>
                <w:sz w:val="20"/>
                <w:lang w:val="es-ES"/>
              </w:rPr>
              <w:lastRenderedPageBreak/>
              <w:t xml:space="preserve">Si su respuesta a la pregunta 131 es </w:t>
            </w:r>
            <w:r w:rsidRPr="00C901E0">
              <w:rPr>
                <w:i/>
                <w:spacing w:val="-2"/>
                <w:kern w:val="22"/>
                <w:sz w:val="20"/>
                <w:lang w:val="es-ES"/>
              </w:rPr>
              <w:t>Sí</w:t>
            </w:r>
            <w:r w:rsidRPr="00C901E0">
              <w:rPr>
                <w:spacing w:val="-2"/>
                <w:kern w:val="22"/>
                <w:sz w:val="20"/>
                <w:lang w:val="es-ES"/>
              </w:rPr>
              <w:t>, ¿en cuáles de las siguientes áreas se emprendieron estas actividades? (Seleccione todas las respuestas que correspondan.)</w:t>
            </w:r>
          </w:p>
        </w:tc>
        <w:tc>
          <w:tcPr>
            <w:tcW w:w="4597"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Capacidad institucional y recursos humanos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Incorporación de la seguridad de la biotecnología en legislación, políticas e instituciones intersectoriales y sectoriales (integración de la seguridad de la biotecnología)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Evaluación del riesgo y otros conocimientos científicos y técnicos especializados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Gestión del riesgo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Concienciación, participación y educación del público en materia de seguridad de la biotecnología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Intercambio de información y gestión de datos, incluida la participación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Colaboración científica, técnica e institucional a nivel subregional, regional e internacional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Transferencia de 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Identificación de OVM, incluida su detección</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Consideraciones socioeconómicas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Cumplimiento de los requisitos de documentación con arreglo al artículo 18.2 del Protocolo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Tratamiento de la información confidencial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Medidas para hacer frente a los movimientos transfronterizos involuntarios o ilícitos de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Investigación científica en seguridad de la biotecnología relativa a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Consideración de los riesgos para la salud humana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Responsabilidad y compensación</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00" w:after="100"/>
              <w:ind w:left="613" w:hanging="601"/>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¿ha realizado su país una evaluación de sus necesidades de creación de capacidad?</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todavía su país necesidades de creación de capacidad?</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rPr>
          <w:cantSplit/>
        </w:trPr>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40" w:after="40"/>
              <w:ind w:left="540" w:right="490" w:hanging="540"/>
              <w:rPr>
                <w:kern w:val="22"/>
                <w:sz w:val="20"/>
                <w:lang w:val="es-ES"/>
              </w:rPr>
            </w:pPr>
            <w:r w:rsidRPr="00C901E0">
              <w:rPr>
                <w:kern w:val="22"/>
                <w:sz w:val="20"/>
                <w:lang w:val="es-ES"/>
              </w:rPr>
              <w:lastRenderedPageBreak/>
              <w:t xml:space="preserve">Si su respuesta a la pregunta 134 es </w:t>
            </w:r>
            <w:r w:rsidRPr="00C901E0">
              <w:rPr>
                <w:i/>
                <w:kern w:val="22"/>
                <w:sz w:val="20"/>
                <w:lang w:val="es-ES"/>
              </w:rPr>
              <w:t>Sí</w:t>
            </w:r>
            <w:r w:rsidRPr="00C901E0">
              <w:rPr>
                <w:kern w:val="22"/>
                <w:sz w:val="20"/>
                <w:lang w:val="es-ES"/>
              </w:rPr>
              <w:t>, ¿en cuáles de las siguientes áreas todavía necesita creación de capacidad? (Seleccione todas las respuestas que correspondan.)</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40" w:right="490"/>
              <w:rPr>
                <w:i/>
                <w:kern w:val="22"/>
                <w:sz w:val="20"/>
                <w:lang w:val="es-ES"/>
              </w:rPr>
            </w:pP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Capacidad institucional y recursos humanos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Incorporación de la seguridad de la biotecnología en legislación, políticas e instituciones intersectoriales y sectoriales (integración de la seguridad de la biotecnología)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Evaluación del riesgo y otros conocimientos científicos y técnicos especializados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Gestión del riesgo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Concienciación, participación y educación del público en materia de seguridad de la biotecnología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Intercambio de información y gestión de datos, incluida la participación en el CIISB</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Colaboración científica, técnica e institucional a nivel subregional, regional e internacional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Transferencia de tecnología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Muestreo, detección e identificación de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Consideraciones socioeconómicas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Aplicación de los requisitos de documentación para la manipulación, transporte, envasado e identificación</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Tratamiento de la información confidencial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Medidas para hacer frente a los movimientos transfronterizos involuntarios o ilícitos de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Investigación científica en seguridad de la biotecnología relativa a OVM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Consideración de los riesgos para la salud humana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kern w:val="22"/>
                <w:sz w:val="20"/>
                <w:lang w:val="es-ES"/>
              </w:rPr>
            </w:pPr>
            <w:r w:rsidRPr="00C901E0">
              <w:rPr>
                <w:kern w:val="22"/>
                <w:sz w:val="20"/>
                <w:lang w:val="es-ES"/>
              </w:rPr>
              <w:fldChar w:fldCharType="begin">
                <w:ffData>
                  <w:name w:val=""/>
                  <w:enabled/>
                  <w:calcOnExit/>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Responsabilidad y compensación</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612" w:hanging="601"/>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52214A">
        <w:tc>
          <w:tcPr>
            <w:tcW w:w="4848" w:type="dxa"/>
            <w:gridSpan w:val="2"/>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elaborado su país una estrategia o plan de acción para la creación de capacidad?</w:t>
            </w:r>
          </w:p>
        </w:tc>
        <w:tc>
          <w:tcPr>
            <w:tcW w:w="4597"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right="490"/>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right="490"/>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4848"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¿Cuenta su país con un mecanismo nacional funcional para coordinar iniciativas de creación de capacidad en seguridad de la biotecnología?</w:t>
            </w:r>
          </w:p>
        </w:tc>
        <w:tc>
          <w:tcPr>
            <w:tcW w:w="4597"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52214A">
        <w:tc>
          <w:tcPr>
            <w:tcW w:w="9445"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kern w:val="22"/>
                <w:sz w:val="20"/>
                <w:lang w:val="es-ES"/>
              </w:rPr>
            </w:pPr>
            <w:r w:rsidRPr="00C901E0">
              <w:rPr>
                <w:kern w:val="22"/>
                <w:sz w:val="20"/>
                <w:lang w:val="es-ES"/>
              </w:rPr>
              <w:t>En este espacio puede proporcionar más detalles sobre la aplicación del artículo 22 en su país, incluidos más detalles sobre su experiencia relativa a la obtención de fondos del FMAM:</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ight="6"/>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bl>
    <w:p w:rsidR="0052214A" w:rsidRPr="00C901E0" w:rsidRDefault="0052214A" w:rsidP="0052214A">
      <w:pPr>
        <w:shd w:val="clear" w:color="auto" w:fill="FFFFFF"/>
        <w:rPr>
          <w:kern w:val="22"/>
          <w:sz w:val="20"/>
          <w:lang w:val="es-ES"/>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tblPr>
      <w:tblGrid>
        <w:gridCol w:w="4824"/>
        <w:gridCol w:w="65"/>
        <w:gridCol w:w="4869"/>
      </w:tblGrid>
      <w:tr w:rsidR="0052214A" w:rsidRPr="00C901E0" w:rsidTr="00D9479D">
        <w:trPr>
          <w:cantSplit/>
        </w:trPr>
        <w:tc>
          <w:tcPr>
            <w:tcW w:w="9759" w:type="dxa"/>
            <w:gridSpan w:val="3"/>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t>Artículo 23 – Concienciación y participación del público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¿Está contemplada la concienciación, educación o participación del público en la legislación o la política de su país?</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En el período que abarca el presente informe, ¿ha cooperado su país con otros Estados y organismos internacionales en relación con la concienciación, educación y participación del público?</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715" w:hanging="703"/>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establecido su país un mecanismo para asegurar el acceso del público a la información sobre OVM?</w:t>
            </w:r>
            <w:r w:rsidRPr="00C901E0">
              <w:rPr>
                <w:kern w:val="22"/>
                <w:sz w:val="20"/>
                <w:lang w:val="es-ES"/>
              </w:rPr>
              <w:br w:type="page"/>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su país una estrategia nacional de comunicación sobre seguridad de la biotecnología?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su país programas de concienciación y divulgación sobre seguridad de la biotecnología?</w:t>
            </w:r>
          </w:p>
        </w:tc>
        <w:tc>
          <w:tcPr>
            <w:tcW w:w="4869"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715" w:hanging="703"/>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¿Tiene actualmente su país un sitio web nacional sobre seguridad de la biotecnología?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¿Cuántas instituciones académicas de su país ofrecen cursos y programas de educación y capacitación en seguridad de la biotecnología?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240" w:after="120"/>
              <w:ind w:left="734" w:hanging="734"/>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suppressAutoHyphens/>
              <w:kinsoku w:val="0"/>
              <w:overflowPunct w:val="0"/>
              <w:autoSpaceDE w:val="0"/>
              <w:autoSpaceDN w:val="0"/>
              <w:adjustRightInd w:val="0"/>
              <w:snapToGrid w:val="0"/>
              <w:spacing w:before="120" w:after="120"/>
              <w:ind w:left="540" w:right="490" w:hanging="540"/>
              <w:rPr>
                <w:lang w:val="es-ES"/>
              </w:rPr>
            </w:pPr>
            <w:r w:rsidRPr="00C901E0">
              <w:rPr>
                <w:spacing w:val="-4"/>
                <w:kern w:val="22"/>
                <w:sz w:val="20"/>
                <w:lang w:val="es-ES"/>
              </w:rPr>
              <w:t>¿Cuántos materiales educativos o módulos en línea sobre seguridad de la biotecnología están disponibles y accesibles para el público en su país?</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24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25 a 99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240" w:after="120"/>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D9479D">
        <w:trPr>
          <w:cantSplit/>
        </w:trPr>
        <w:tc>
          <w:tcPr>
            <w:tcW w:w="4890" w:type="dxa"/>
            <w:gridSpan w:val="2"/>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spacing w:val="-2"/>
                <w:kern w:val="22"/>
                <w:sz w:val="20"/>
                <w:lang w:val="es-ES"/>
              </w:rPr>
              <w:t>¿Ha establecido su país un mecanismo para consultar al público en el proceso de toma de decisiones relativas a OVM?</w:t>
            </w:r>
          </w:p>
        </w:tc>
        <w:tc>
          <w:tcPr>
            <w:tcW w:w="4869"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informado su país al público sobre las modalidades existentes de participación pública en el proceso de toma de decisiones sobre OVM?</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 xml:space="preserve">Si su respuesta a la pregunta 148 es </w:t>
            </w:r>
            <w:r w:rsidRPr="00C901E0">
              <w:rPr>
                <w:i/>
                <w:kern w:val="22"/>
                <w:sz w:val="20"/>
                <w:lang w:val="es-ES"/>
              </w:rPr>
              <w:t>Sí</w:t>
            </w:r>
            <w:r w:rsidRPr="00C901E0">
              <w:rPr>
                <w:kern w:val="22"/>
                <w:sz w:val="20"/>
                <w:lang w:val="es-ES"/>
              </w:rPr>
              <w:t>, indique las modalidades utilizadas para informar al público:</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15" w:hanging="699"/>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Sitios web nacionales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15" w:hanging="699"/>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Periódicos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15" w:hanging="699"/>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Foros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15" w:hanging="699"/>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Listas de correo electrónico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15" w:hanging="699"/>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Audiencias públicas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15" w:hanging="699"/>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Redes sociales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40" w:after="40"/>
              <w:ind w:left="715" w:hanging="699"/>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¿cuántas veces ha consultado su país al público en el proceso de toma de decisiones relativas a OVM?</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 (las decisiones se toman sin consultas)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o más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 se aplica (no se ha adoptado ninguna decisión)</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informado su país al público sobre la forma de acceder al Centro de Intercambio de Información sobre Seguridad de la Biotecnología?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9759" w:type="dxa"/>
            <w:gridSpan w:val="3"/>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kern w:val="22"/>
                <w:sz w:val="20"/>
                <w:lang w:val="es-ES"/>
              </w:rPr>
            </w:pPr>
            <w:r w:rsidRPr="00C901E0">
              <w:rPr>
                <w:kern w:val="22"/>
                <w:sz w:val="20"/>
                <w:lang w:val="es-ES"/>
              </w:rPr>
              <w:t>En este espacio puede proporcionar más detalles sobre la aplicación del artículo 23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ight="6"/>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D9479D">
        <w:trPr>
          <w:cantSplit/>
        </w:trPr>
        <w:tc>
          <w:tcPr>
            <w:tcW w:w="9759" w:type="dxa"/>
            <w:gridSpan w:val="3"/>
            <w:vAlign w:val="center"/>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t>Artículo 24 – Estados que no son Partes</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suscrito su país algún acuerdo bilateral, regional o multilateral con Estados que no son Partes en materia de movimientos transfronterizos de OVM?</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spacing w:val="-2"/>
                <w:kern w:val="22"/>
                <w:sz w:val="20"/>
                <w:lang w:val="es-ES"/>
              </w:rPr>
              <w:t>En el período que abarca el presente informe, ¿ha importado su país OVM de Estados que no son Partes?</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¿ha exportado su país OVM a Estados que no son Partes?</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spacing w:val="-2"/>
                <w:kern w:val="22"/>
                <w:sz w:val="20"/>
                <w:lang w:val="es-ES"/>
              </w:rPr>
              <w:t xml:space="preserve">Si su respuesta a la pregunta 154 o 155 es </w:t>
            </w:r>
            <w:r w:rsidRPr="00C901E0">
              <w:rPr>
                <w:i/>
                <w:spacing w:val="-2"/>
                <w:kern w:val="22"/>
                <w:sz w:val="20"/>
                <w:lang w:val="es-ES"/>
              </w:rPr>
              <w:t>Sí</w:t>
            </w:r>
            <w:r w:rsidRPr="00C901E0">
              <w:rPr>
                <w:spacing w:val="-2"/>
                <w:kern w:val="22"/>
                <w:sz w:val="20"/>
                <w:lang w:val="es-ES"/>
              </w:rPr>
              <w:t>, ¿los movimientos transfronterizos de OVM se realizaron en consonancia con el objetivo del Protocolo de Cartagena sobre Seguridad de la Biotecnología?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9759" w:type="dxa"/>
            <w:gridSpan w:val="3"/>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kern w:val="22"/>
                <w:sz w:val="20"/>
                <w:lang w:val="es-ES"/>
              </w:rPr>
            </w:pPr>
            <w:r w:rsidRPr="00C901E0">
              <w:rPr>
                <w:kern w:val="22"/>
                <w:sz w:val="20"/>
                <w:lang w:val="es-ES"/>
              </w:rPr>
              <w:t>En este espacio puede proporcionar más detalles sobre la aplicación del artículo 24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D9479D">
        <w:trPr>
          <w:cantSplit/>
        </w:trPr>
        <w:tc>
          <w:tcPr>
            <w:tcW w:w="9759" w:type="dxa"/>
            <w:gridSpan w:val="3"/>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lastRenderedPageBreak/>
              <w:t>Artículo 25 – Movimientos transfronterizos ilícitos</w:t>
            </w:r>
            <w:r w:rsidRPr="00D9479D">
              <w:rPr>
                <w:rStyle w:val="FootnoteReference"/>
                <w:b/>
                <w:kern w:val="22"/>
                <w:sz w:val="20"/>
                <w:u w:val="none"/>
                <w:vertAlign w:val="superscript"/>
                <w:lang w:val="es-ES"/>
              </w:rPr>
              <w:footnoteReference w:id="15"/>
            </w:r>
          </w:p>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jc w:val="center"/>
              <w:rPr>
                <w:b/>
                <w:kern w:val="22"/>
                <w:sz w:val="20"/>
                <w:lang w:val="es-ES"/>
              </w:rPr>
            </w:pP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¿Ha adoptado su país medidas nacionales encaminadas a prevenir o penalizar los movimientos transfronterizos de OVM realizados en contravención de las medidas nacionales que rigen la aplicación del Protocolo de Cartagena?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cierta medida: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r w:rsidR="0052214A" w:rsidRPr="00C901E0">
              <w:rPr>
                <w:kern w:val="22"/>
                <w:sz w:val="20"/>
                <w:lang w:val="es-ES"/>
              </w:rPr>
              <w:t xml:space="preserve"> </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spacing w:val="-4"/>
                <w:kern w:val="22"/>
                <w:sz w:val="20"/>
                <w:lang w:val="es-ES"/>
              </w:rPr>
              <w:t>En el período que abarca el presente informe, ¿de cuántos casos de movimientos transfronterizos ilícitos de OVM ha tomado conocimiento su país?</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o más</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 xml:space="preserve">Si </w:t>
            </w:r>
            <w:r w:rsidRPr="00C901E0">
              <w:rPr>
                <w:i/>
                <w:kern w:val="22"/>
                <w:sz w:val="20"/>
                <w:lang w:val="es-ES"/>
              </w:rPr>
              <w:t>en la pregunta 159</w:t>
            </w:r>
            <w:r w:rsidRPr="00C901E0">
              <w:rPr>
                <w:kern w:val="22"/>
                <w:sz w:val="20"/>
                <w:lang w:val="es-ES"/>
              </w:rPr>
              <w:t xml:space="preserve"> respondió que </w:t>
            </w:r>
            <w:r w:rsidRPr="00C901E0">
              <w:rPr>
                <w:i/>
                <w:kern w:val="22"/>
                <w:sz w:val="20"/>
                <w:lang w:val="es-ES"/>
              </w:rPr>
              <w:t>su país tomó conocimiento de casos de movimientos transfronterizos ilícitos</w:t>
            </w:r>
            <w:r w:rsidRPr="00C901E0">
              <w:rPr>
                <w:kern w:val="22"/>
                <w:sz w:val="20"/>
                <w:lang w:val="es-ES"/>
              </w:rPr>
              <w:t>, ¿se ha determinado el origen de los OVM?</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9759" w:type="dxa"/>
            <w:gridSpan w:val="3"/>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kern w:val="22"/>
                <w:sz w:val="20"/>
                <w:lang w:val="es-ES"/>
              </w:rPr>
            </w:pPr>
            <w:r w:rsidRPr="00C901E0">
              <w:rPr>
                <w:kern w:val="22"/>
                <w:sz w:val="20"/>
                <w:lang w:val="es-ES"/>
              </w:rPr>
              <w:t>En este espacio puede proporcionar más detalles sobre la aplicación del artículo 25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ight="6"/>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D9479D">
        <w:trPr>
          <w:cantSplit/>
        </w:trPr>
        <w:tc>
          <w:tcPr>
            <w:tcW w:w="9759" w:type="dxa"/>
            <w:gridSpan w:val="3"/>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b/>
                <w:kern w:val="22"/>
                <w:sz w:val="20"/>
                <w:lang w:val="es-ES"/>
              </w:rPr>
              <w:t>Artículo 26 – Consideraciones socioeconómicas</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spacing w:val="-2"/>
                <w:kern w:val="22"/>
                <w:sz w:val="20"/>
                <w:lang w:val="es-ES"/>
              </w:rPr>
              <w:t>¿Tiene su país algún enfoque o requisito específico que facilite la forma en que deben tenerse en cuenta consideraciones socioeconómicas en la toma de decisiones sobre los OVM?</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En el período que abarca el presente informe, ¿en la toma de decisiones se han tenido en cuenta consideraciones socioeconómicas resultantes de los efectos de los OVM?</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siempre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r>
            <w:r w:rsidR="0052214A" w:rsidRPr="00C901E0">
              <w:rPr>
                <w:color w:val="000000"/>
                <w:kern w:val="22"/>
                <w:sz w:val="20"/>
                <w:lang w:val="es-ES"/>
              </w:rPr>
              <w:t>Solo en algunos casos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 se aplica (no se ha adoptado ninguna decisión)</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t>¿Cuántas publicaciones sometidas a revisión por pares ha utilizado su país para planificar o determinar acciones nacionales relacionadas con consideraciones socioeconómicas?</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 a 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 a 49</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 o más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240" w:after="120"/>
              <w:ind w:left="734" w:hanging="734"/>
              <w:rPr>
                <w:lang w:val="es-ES"/>
              </w:rPr>
            </w:pPr>
            <w:r w:rsidRPr="00C901E0">
              <w:rPr>
                <w:i/>
                <w:kern w:val="22"/>
                <w:sz w:val="20"/>
                <w:lang w:val="es-ES"/>
              </w:rPr>
              <w:t xml:space="preserve">¿Es suficiente este número?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Sí     </w:t>
            </w:r>
            <w:r w:rsidR="009503AA" w:rsidRPr="00C901E0">
              <w:rPr>
                <w:i/>
                <w:kern w:val="22"/>
                <w:sz w:val="20"/>
                <w:lang w:val="es-ES"/>
              </w:rPr>
              <w:fldChar w:fldCharType="begin">
                <w:ffData>
                  <w:name w:val="Check48"/>
                  <w:enabled/>
                  <w:calcOnExit w:val="0"/>
                  <w:checkBox>
                    <w:sizeAuto/>
                    <w:default w:val="0"/>
                  </w:checkBox>
                </w:ffData>
              </w:fldChar>
            </w:r>
            <w:r w:rsidRPr="00C901E0">
              <w:rPr>
                <w:i/>
                <w:kern w:val="22"/>
                <w:sz w:val="20"/>
                <w:lang w:val="es-ES"/>
              </w:rPr>
              <w:instrText xml:space="preserve"> FORMCHECKBOX </w:instrText>
            </w:r>
            <w:r w:rsidR="009503AA">
              <w:rPr>
                <w:i/>
                <w:kern w:val="22"/>
                <w:sz w:val="20"/>
                <w:lang w:val="es-ES"/>
              </w:rPr>
            </w:r>
            <w:r w:rsidR="009503AA">
              <w:rPr>
                <w:i/>
                <w:kern w:val="22"/>
                <w:sz w:val="20"/>
                <w:lang w:val="es-ES"/>
              </w:rPr>
              <w:fldChar w:fldCharType="separate"/>
            </w:r>
            <w:r w:rsidR="009503AA" w:rsidRPr="00C901E0">
              <w:rPr>
                <w:i/>
                <w:kern w:val="22"/>
                <w:sz w:val="20"/>
                <w:lang w:val="es-ES"/>
              </w:rPr>
              <w:fldChar w:fldCharType="end"/>
            </w:r>
            <w:r w:rsidRPr="00C901E0">
              <w:rPr>
                <w:i/>
                <w:kern w:val="22"/>
                <w:sz w:val="20"/>
                <w:lang w:val="es-ES"/>
              </w:rPr>
              <w:t xml:space="preserve"> 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490" w:hanging="540"/>
              <w:rPr>
                <w:lang w:val="es-ES"/>
              </w:rPr>
            </w:pPr>
            <w:r w:rsidRPr="00C901E0">
              <w:rPr>
                <w:kern w:val="22"/>
                <w:sz w:val="20"/>
                <w:lang w:val="es-ES"/>
              </w:rPr>
              <w:lastRenderedPageBreak/>
              <w:t>¿Ha cooperado su país con otras Partes en investigación e intercambio de información sobre cualesquiera efectos socioeconómicos de los OVM?</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9759" w:type="dxa"/>
            <w:gridSpan w:val="3"/>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kern w:val="22"/>
                <w:sz w:val="20"/>
                <w:lang w:val="es-ES"/>
              </w:rPr>
            </w:pPr>
            <w:r w:rsidRPr="00C901E0">
              <w:rPr>
                <w:kern w:val="22"/>
                <w:sz w:val="20"/>
                <w:lang w:val="es-ES"/>
              </w:rPr>
              <w:t>En este espacio puede proporcionar más detalles sobre la aplicación del artículo 26 en su país: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D9479D">
        <w:trPr>
          <w:cantSplit/>
        </w:trPr>
        <w:tc>
          <w:tcPr>
            <w:tcW w:w="9759" w:type="dxa"/>
            <w:gridSpan w:val="3"/>
          </w:tcPr>
          <w:tbl>
            <w:tblPr>
              <w:tblW w:w="9731" w:type="dxa"/>
              <w:tblLayout w:type="fixed"/>
              <w:tblCellMar>
                <w:left w:w="120" w:type="dxa"/>
                <w:right w:w="120" w:type="dxa"/>
              </w:tblCellMar>
              <w:tblLook w:val="01E0"/>
            </w:tblPr>
            <w:tblGrid>
              <w:gridCol w:w="9731"/>
            </w:tblGrid>
            <w:tr w:rsidR="0052214A" w:rsidRPr="00C901E0" w:rsidTr="0052214A">
              <w:trPr>
                <w:cantSplit/>
              </w:trPr>
              <w:tc>
                <w:tcPr>
                  <w:tcW w:w="9731" w:type="dxa"/>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lang w:val="es-ES"/>
                    </w:rPr>
                  </w:pPr>
                  <w:r w:rsidRPr="00C901E0">
                    <w:rPr>
                      <w:b/>
                      <w:kern w:val="22"/>
                      <w:sz w:val="20"/>
                      <w:lang w:val="es-ES"/>
                    </w:rPr>
                    <w:t>Artículo 28 – Mecanismo financiero y recursos financieros</w:t>
                  </w:r>
                </w:p>
              </w:tc>
            </w:tr>
          </w:tbl>
          <w:p w:rsidR="0052214A" w:rsidRPr="00C901E0" w:rsidRDefault="0052214A" w:rsidP="0052214A">
            <w:pPr>
              <w:suppressLineNumbers/>
              <w:shd w:val="clear" w:color="auto" w:fill="FFFFFF"/>
              <w:suppressAutoHyphens/>
              <w:kinsoku w:val="0"/>
              <w:overflowPunct w:val="0"/>
              <w:autoSpaceDE w:val="0"/>
              <w:autoSpaceDN w:val="0"/>
              <w:adjustRightInd w:val="0"/>
              <w:snapToGrid w:val="0"/>
              <w:rPr>
                <w:kern w:val="22"/>
                <w:sz w:val="20"/>
                <w:lang w:val="es-ES"/>
              </w:rPr>
            </w:pP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En el período que abarca el presente informe, ¿cuánta financiación (en el equivalente en dólares estadounidenses) ha movilizado su país en apoyo a la aplicación del Protocolo de Cartagena además de la asignación presupuestaria nacional ordinaria?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Ninguna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 a 4.999 dólares estadounidenses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5.000 a 49.999 dólares estadounidenses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50.000 a 99.999 dólares estadounidenses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100.000 a 499.000 dólares estadounidenses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500.000 dólares estadounidenses o más</w:t>
            </w:r>
          </w:p>
        </w:tc>
      </w:tr>
      <w:tr w:rsidR="0052214A" w:rsidRPr="00C901E0" w:rsidTr="00D9479D">
        <w:trPr>
          <w:cantSplit/>
        </w:trPr>
        <w:tc>
          <w:tcPr>
            <w:tcW w:w="9759" w:type="dxa"/>
            <w:gridSpan w:val="3"/>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outlineLvl w:val="3"/>
              <w:rPr>
                <w:b/>
                <w:i/>
                <w:kern w:val="22"/>
                <w:sz w:val="20"/>
                <w:lang w:val="es-ES"/>
              </w:rPr>
            </w:pPr>
            <w:r w:rsidRPr="00C901E0">
              <w:rPr>
                <w:b/>
                <w:kern w:val="22"/>
                <w:sz w:val="20"/>
                <w:lang w:val="es-ES"/>
              </w:rPr>
              <w:t>Artículo 33 – Vigilancia y presentación de informes</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jc w:val="center"/>
              <w:outlineLvl w:val="3"/>
              <w:rPr>
                <w:rFonts w:ascii="Arial Unicode MS" w:eastAsia="Arial Unicode MS"/>
                <w:i/>
                <w:lang w:val="es-ES"/>
              </w:rPr>
            </w:pPr>
            <w:r w:rsidRPr="00C901E0">
              <w:rPr>
                <w:i/>
                <w:kern w:val="22"/>
                <w:sz w:val="20"/>
                <w:lang w:val="es-ES"/>
              </w:rPr>
              <w:t xml:space="preserve">El artículo 33 establece que las Partes vigilarán </w:t>
            </w:r>
            <w:r w:rsidRPr="00C901E0">
              <w:rPr>
                <w:i/>
                <w:kern w:val="22"/>
                <w:sz w:val="20"/>
                <w:u w:val="single"/>
                <w:lang w:val="es-ES"/>
              </w:rPr>
              <w:t>el cumplimiento de sus obligaciones</w:t>
            </w:r>
            <w:r w:rsidRPr="00C901E0">
              <w:rPr>
                <w:i/>
                <w:kern w:val="22"/>
                <w:sz w:val="20"/>
                <w:lang w:val="es-ES"/>
              </w:rPr>
              <w:t xml:space="preserve"> con arreglo al Protocolo de Cartagena e informarán a la Conferencia de las Partes que actúa como reunión de las Partes en el Protocolo de Cartagena acerca de las medidas que hubieran adoptado para la aplicación del Protocolo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suppressAutoHyphens/>
              <w:kinsoku w:val="0"/>
              <w:overflowPunct w:val="0"/>
              <w:autoSpaceDE w:val="0"/>
              <w:autoSpaceDN w:val="0"/>
              <w:adjustRightInd w:val="0"/>
              <w:snapToGrid w:val="0"/>
              <w:spacing w:before="120" w:after="120"/>
              <w:ind w:left="547" w:right="360" w:hanging="547"/>
              <w:rPr>
                <w:lang w:val="es-ES"/>
              </w:rPr>
            </w:pPr>
            <w:r w:rsidRPr="00C901E0">
              <w:rPr>
                <w:kern w:val="22"/>
                <w:sz w:val="20"/>
                <w:lang w:val="es-ES"/>
              </w:rPr>
              <w:t>¿Cuenta su país con un sistema establecido para vigilar y hacer cumplir la aplicación del Protocolo de Cartagena?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9759" w:type="dxa"/>
            <w:gridSpan w:val="3"/>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jc w:val="center"/>
              <w:rPr>
                <w:b/>
                <w:kern w:val="22"/>
                <w:sz w:val="20"/>
                <w:lang w:val="es-ES"/>
              </w:rPr>
            </w:pPr>
            <w:r w:rsidRPr="00C901E0">
              <w:rPr>
                <w:b/>
                <w:kern w:val="22"/>
                <w:sz w:val="20"/>
                <w:lang w:val="es-ES"/>
              </w:rPr>
              <w:t>Protocolo Suplementario de Nagoya–Kuala Lumpur sobre Responsabilidad y Compensación</w:t>
            </w:r>
          </w:p>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jc w:val="center"/>
              <w:rPr>
                <w:lang w:val="es-ES"/>
              </w:rPr>
            </w:pPr>
            <w:r w:rsidRPr="00C901E0">
              <w:rPr>
                <w:i/>
                <w:color w:val="000000"/>
                <w:kern w:val="22"/>
                <w:sz w:val="20"/>
                <w:lang w:val="es-ES"/>
              </w:rPr>
              <w:t>Se invita también a las Partes en el Protocolo de Cartagena que todavía no son Partes en el Protocolo Suplementario a responder las siguientes preguntas</w:t>
            </w:r>
          </w:p>
        </w:tc>
      </w:tr>
      <w:tr w:rsidR="0052214A" w:rsidRPr="00C901E0" w:rsidTr="00D9479D">
        <w:trPr>
          <w:cantSplit/>
        </w:trPr>
        <w:tc>
          <w:tcPr>
            <w:tcW w:w="4890" w:type="dxa"/>
            <w:gridSpan w:val="2"/>
            <w:shd w:val="clear" w:color="auto" w:fill="FFFFFF"/>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¿Es su país Parte en el Protocolo Suplementario de Nagoya-Kuala Lumpur sobre Responsabilidad y Compensación?</w:t>
            </w:r>
          </w:p>
        </w:tc>
        <w:tc>
          <w:tcPr>
            <w:tcW w:w="4869" w:type="dxa"/>
            <w:shd w:val="clear" w:color="auto" w:fill="FFFFFF"/>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ed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 xml:space="preserve">Si su respuesta a la pregunta 169 es </w:t>
            </w:r>
            <w:r w:rsidRPr="00C901E0">
              <w:rPr>
                <w:i/>
                <w:kern w:val="22"/>
                <w:sz w:val="20"/>
                <w:lang w:val="es-ES"/>
              </w:rPr>
              <w:t>No</w:t>
            </w:r>
            <w:r w:rsidRPr="00C901E0">
              <w:rPr>
                <w:kern w:val="22"/>
                <w:sz w:val="20"/>
                <w:lang w:val="es-ES"/>
              </w:rPr>
              <w:t>, ¿se ha establecido algún proceso nacional para convertirse en Parte en el Protocolo Suplementario?</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¿Ha introducido su país las medidas necesarias para la aplicación del Protocolo Suplementario?</w:t>
            </w:r>
          </w:p>
        </w:tc>
        <w:tc>
          <w:tcPr>
            <w:tcW w:w="4869" w:type="dxa"/>
            <w:vAlign w:val="center"/>
          </w:tcPr>
          <w:p w:rsidR="0052214A" w:rsidRPr="00C901E0" w:rsidRDefault="009503AA" w:rsidP="0052214A">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sidRPr="00C901E0">
              <w:rPr>
                <w:kern w:val="22"/>
                <w:sz w:val="20"/>
                <w:lang w:val="es-ES"/>
              </w:rPr>
              <w:fldChar w:fldCharType="begin">
                <w:ffData>
                  <w:name w:val="Check48"/>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Medidas nacionales plenamente establecidas</w:t>
            </w:r>
          </w:p>
          <w:p w:rsidR="0052214A" w:rsidRPr="00C901E0" w:rsidRDefault="009503AA" w:rsidP="0052214A">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sidRPr="00C901E0">
              <w:rPr>
                <w:kern w:val="22"/>
                <w:sz w:val="20"/>
                <w:lang w:val="es-ES"/>
              </w:rPr>
              <w:fldChar w:fldCharType="begin">
                <w:ffData>
                  <w:name w:val="Check48"/>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Medidas nacionales parcialmente establecidas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20" w:hanging="720"/>
              <w:rPr>
                <w:kern w:val="22"/>
                <w:sz w:val="20"/>
                <w:lang w:val="es-ES"/>
              </w:rPr>
            </w:pPr>
            <w:r w:rsidRPr="00C901E0">
              <w:rPr>
                <w:kern w:val="22"/>
                <w:sz w:val="20"/>
                <w:lang w:val="es-ES"/>
              </w:rPr>
              <w:fldChar w:fldCharType="begin">
                <w:ffData>
                  <w:name w:val="Check48"/>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se han introducido medidas temporales</w:t>
            </w:r>
          </w:p>
          <w:p w:rsidR="0052214A" w:rsidRPr="00C901E0" w:rsidRDefault="009503AA" w:rsidP="0052214A">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kern w:val="22"/>
                <w:sz w:val="20"/>
                <w:lang w:val="es-ES"/>
              </w:rPr>
            </w:pPr>
            <w:r w:rsidRPr="00C901E0">
              <w:rPr>
                <w:kern w:val="22"/>
                <w:sz w:val="20"/>
                <w:lang w:val="es-ES"/>
              </w:rPr>
              <w:fldChar w:fldCharType="begin">
                <w:ffData>
                  <w:name w:val="Check48"/>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Solo existen proyectos de medidas</w:t>
            </w:r>
          </w:p>
          <w:p w:rsidR="0052214A" w:rsidRPr="00C901E0" w:rsidRDefault="009503AA" w:rsidP="0052214A">
            <w:pPr>
              <w:suppressLineNumbers/>
              <w:shd w:val="clear" w:color="auto" w:fill="FFFFFF"/>
              <w:tabs>
                <w:tab w:val="left" w:pos="702"/>
              </w:tabs>
              <w:suppressAutoHyphens/>
              <w:kinsoku w:val="0"/>
              <w:overflowPunct w:val="0"/>
              <w:autoSpaceDE w:val="0"/>
              <w:autoSpaceDN w:val="0"/>
              <w:adjustRightInd w:val="0"/>
              <w:snapToGrid w:val="0"/>
              <w:spacing w:before="120" w:after="120"/>
              <w:ind w:left="6" w:hanging="6"/>
              <w:rPr>
                <w:lang w:val="es-ES"/>
              </w:rPr>
            </w:pPr>
            <w:r w:rsidRPr="00C901E0">
              <w:rPr>
                <w:kern w:val="22"/>
                <w:sz w:val="20"/>
                <w:lang w:val="es-ES"/>
              </w:rPr>
              <w:fldChar w:fldCharType="begin">
                <w:ffData>
                  <w:name w:val="Check48"/>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Todavía no se han adoptado medidas</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lastRenderedPageBreak/>
              <w:t>¿Qué instrumentos están establecidos para la aplicación del Protocolo Suplementario?</w:t>
            </w:r>
          </w:p>
        </w:tc>
        <w:tc>
          <w:tcPr>
            <w:tcW w:w="4869" w:type="dxa"/>
            <w:vAlign w:val="center"/>
          </w:tcPr>
          <w:p w:rsidR="0052214A" w:rsidRPr="00C901E0" w:rsidRDefault="009503AA" w:rsidP="0052214A">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sidRPr="00C901E0">
              <w:rPr>
                <w:b/>
                <w:i/>
                <w:kern w:val="22"/>
                <w:sz w:val="20"/>
                <w:lang w:val="es-ES"/>
              </w:rPr>
              <w:fldChar w:fldCharType="begin">
                <w:ffData>
                  <w:name w:val="Check48"/>
                  <w:enabled/>
                  <w:calcOnExit w:val="0"/>
                  <w:checkBox>
                    <w:sizeAuto/>
                    <w:default w:val="0"/>
                    <w:checked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Una o más leyes nacionales:</w:t>
            </w:r>
            <w:r w:rsidR="0052214A" w:rsidRPr="00C901E0">
              <w:rPr>
                <w:b/>
                <w:i/>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sidRPr="00C901E0">
              <w:rPr>
                <w:b/>
                <w:i/>
                <w:kern w:val="22"/>
                <w:sz w:val="20"/>
                <w:lang w:val="es-ES"/>
              </w:rPr>
              <w:fldChar w:fldCharType="begin">
                <w:ffData>
                  <w:name w:val="Check48"/>
                  <w:enabled/>
                  <w:calcOnExit w:val="0"/>
                  <w:checkBox>
                    <w:sizeAuto/>
                    <w:default w:val="0"/>
                    <w:checked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spacing w:val="-4"/>
                <w:kern w:val="22"/>
                <w:sz w:val="20"/>
                <w:lang w:val="es-ES"/>
              </w:rPr>
              <w:t>Una o más normativas nacionales:</w:t>
            </w:r>
            <w:r w:rsidR="0052214A" w:rsidRPr="00C901E0">
              <w:rPr>
                <w:b/>
                <w:i/>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b/>
                <w:i/>
                <w:kern w:val="22"/>
                <w:sz w:val="20"/>
                <w:lang w:val="es-ES"/>
              </w:rPr>
            </w:pPr>
            <w:r w:rsidRPr="00C901E0">
              <w:rPr>
                <w:b/>
                <w:i/>
                <w:kern w:val="22"/>
                <w:sz w:val="20"/>
                <w:lang w:val="es-ES"/>
              </w:rPr>
              <w:fldChar w:fldCharType="begin">
                <w:ffData>
                  <w:name w:val="Check48"/>
                  <w:enabled/>
                  <w:calcOnExit w:val="0"/>
                  <w:checkBox>
                    <w:sizeAuto/>
                    <w:default w:val="0"/>
                    <w:checked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spacing w:val="-6"/>
                <w:kern w:val="22"/>
                <w:sz w:val="20"/>
                <w:lang w:val="es-ES"/>
              </w:rPr>
              <w:t>Uno o más conjuntos de directrices:</w:t>
            </w:r>
            <w:r w:rsidR="0052214A" w:rsidRPr="00C901E0">
              <w:rPr>
                <w:b/>
                <w:i/>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tabs>
                <w:tab w:val="left" w:pos="3023"/>
              </w:tabs>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ed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 hay instrumentos en vigor</w:t>
            </w:r>
          </w:p>
        </w:tc>
      </w:tr>
      <w:tr w:rsidR="0052214A" w:rsidRPr="00C901E0" w:rsidTr="00D9479D">
        <w:trPr>
          <w:cantSplit/>
          <w:trHeight w:val="728"/>
        </w:trPr>
        <w:tc>
          <w:tcPr>
            <w:tcW w:w="4890" w:type="dxa"/>
            <w:gridSpan w:val="2"/>
            <w:tcBorders>
              <w:bottom w:val="nil"/>
            </w:tcBorders>
            <w:vAlign w:val="center"/>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¿Cuenta su país con algún instrumento administrativo o jurídico por el cual se requiera adoptar medidas de respuesta en los siguientes casos?</w:t>
            </w:r>
          </w:p>
        </w:tc>
        <w:tc>
          <w:tcPr>
            <w:tcW w:w="4869" w:type="dxa"/>
            <w:tcBorders>
              <w:bottom w:val="nil"/>
            </w:tcBorders>
            <w:vAlign w:val="center"/>
          </w:tcPr>
          <w:p w:rsidR="0052214A" w:rsidRPr="00C901E0" w:rsidRDefault="0052214A" w:rsidP="0052214A">
            <w:pPr>
              <w:suppressLineNumbers/>
              <w:shd w:val="clear" w:color="auto" w:fill="FFFFFF"/>
              <w:suppressAutoHyphens/>
              <w:kinsoku w:val="0"/>
              <w:overflowPunct w:val="0"/>
              <w:autoSpaceDE w:val="0"/>
              <w:autoSpaceDN w:val="0"/>
              <w:adjustRightInd w:val="0"/>
              <w:snapToGrid w:val="0"/>
              <w:spacing w:before="120" w:after="120"/>
              <w:ind w:left="540" w:right="362"/>
              <w:rPr>
                <w:kern w:val="22"/>
                <w:sz w:val="20"/>
                <w:lang w:val="es-ES"/>
              </w:rPr>
            </w:pPr>
          </w:p>
        </w:tc>
      </w:tr>
      <w:tr w:rsidR="0052214A" w:rsidRPr="00C901E0" w:rsidTr="00D9479D">
        <w:trPr>
          <w:cantSplit/>
        </w:trPr>
        <w:tc>
          <w:tcPr>
            <w:tcW w:w="4890" w:type="dxa"/>
            <w:gridSpan w:val="2"/>
            <w:tcBorders>
              <w:top w:val="nil"/>
              <w:bottom w:val="nil"/>
            </w:tcBorders>
            <w:vAlign w:val="center"/>
          </w:tcPr>
          <w:p w:rsidR="0052214A" w:rsidRPr="00C901E0" w:rsidRDefault="0052214A" w:rsidP="0052214A">
            <w:pPr>
              <w:suppressLineNumbers/>
              <w:shd w:val="clear" w:color="auto" w:fill="FFFFFF"/>
              <w:tabs>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 xml:space="preserve">a. </w:t>
            </w:r>
            <w:r w:rsidRPr="00C901E0">
              <w:rPr>
                <w:kern w:val="22"/>
                <w:sz w:val="20"/>
                <w:lang w:val="es-ES"/>
              </w:rPr>
              <w:tab/>
              <w:t>¿En caso de daños provocados por OVM?</w:t>
            </w:r>
          </w:p>
        </w:tc>
        <w:tc>
          <w:tcPr>
            <w:tcW w:w="4869" w:type="dxa"/>
            <w:tcBorders>
              <w:top w:val="nil"/>
            </w:tcBorders>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90" w:type="dxa"/>
            <w:gridSpan w:val="2"/>
            <w:tcBorders>
              <w:top w:val="nil"/>
            </w:tcBorders>
            <w:vAlign w:val="center"/>
          </w:tcPr>
          <w:p w:rsidR="0052214A" w:rsidRPr="00C901E0" w:rsidRDefault="0052214A" w:rsidP="0052214A">
            <w:pPr>
              <w:suppressLineNumbers/>
              <w:shd w:val="clear" w:color="auto" w:fill="FFFFFF"/>
              <w:tabs>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 xml:space="preserve">b. </w:t>
            </w:r>
            <w:r w:rsidRPr="00C901E0">
              <w:rPr>
                <w:kern w:val="22"/>
                <w:sz w:val="20"/>
                <w:lang w:val="es-ES"/>
              </w:rPr>
              <w:tab/>
              <w:t>¿En caso de que haya probabilidad suficiente de que se produzcan daños si no se adoptan medidas de respuesta?</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 w:val="num" w:pos="630"/>
              </w:tabs>
              <w:suppressAutoHyphens/>
              <w:kinsoku w:val="0"/>
              <w:overflowPunct w:val="0"/>
              <w:autoSpaceDE w:val="0"/>
              <w:autoSpaceDN w:val="0"/>
              <w:adjustRightInd w:val="0"/>
              <w:snapToGrid w:val="0"/>
              <w:spacing w:before="120" w:after="120"/>
              <w:ind w:left="630" w:right="362" w:hanging="630"/>
              <w:rPr>
                <w:lang w:val="es-ES"/>
              </w:rPr>
            </w:pPr>
            <w:r w:rsidRPr="00C901E0">
              <w:rPr>
                <w:kern w:val="22"/>
                <w:sz w:val="20"/>
                <w:lang w:val="es-ES"/>
              </w:rPr>
              <w:t xml:space="preserve">Si su respuesta a la pregunta 173a es </w:t>
            </w:r>
            <w:r w:rsidRPr="00C901E0">
              <w:rPr>
                <w:i/>
                <w:kern w:val="22"/>
                <w:sz w:val="20"/>
                <w:lang w:val="es-ES"/>
              </w:rPr>
              <w:t>Sí</w:t>
            </w:r>
            <w:r w:rsidRPr="00C901E0">
              <w:rPr>
                <w:kern w:val="22"/>
                <w:sz w:val="20"/>
                <w:lang w:val="es-ES"/>
              </w:rPr>
              <w:t>, ¿esos instrumentos le imponen algún requisito al operador? (Seleccione todas las opciones que correspondan.)</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Sí, el operador debe informar a la autoridad competente sobre los daños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Sí, el operador debe evaluar los daños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Sí, el operador debe tomar medidas de respuesta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b/>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otros requisitos: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kern w:val="22"/>
                <w:sz w:val="20"/>
                <w:lang w:val="es-ES"/>
              </w:rPr>
              <w:fldChar w:fldCharType="begin">
                <w:ffData>
                  <w:name w:val="Check48"/>
                  <w:enabled/>
                  <w:calcOnExit w:val="0"/>
                  <w:checkBox>
                    <w:sizeAuto/>
                    <w:default w:val="0"/>
                  </w:checkBox>
                </w:ffData>
              </w:fldChar>
            </w:r>
            <w:r w:rsidR="0052214A" w:rsidRPr="00C901E0">
              <w:rPr>
                <w:b/>
                <w:kern w:val="22"/>
                <w:sz w:val="20"/>
                <w:lang w:val="es-ES"/>
              </w:rPr>
              <w:instrText xml:space="preserve"> FORMCHECKBOX </w:instrText>
            </w:r>
            <w:r>
              <w:rPr>
                <w:b/>
                <w:kern w:val="22"/>
                <w:sz w:val="20"/>
                <w:lang w:val="es-ES"/>
              </w:rPr>
            </w:r>
            <w:r>
              <w:rPr>
                <w:b/>
                <w:kern w:val="22"/>
                <w:sz w:val="20"/>
                <w:lang w:val="es-ES"/>
              </w:rPr>
              <w:fldChar w:fldCharType="separate"/>
            </w:r>
            <w:r w:rsidRPr="00C901E0">
              <w:rPr>
                <w:b/>
                <w:kern w:val="22"/>
                <w:sz w:val="20"/>
                <w:lang w:val="es-ES"/>
              </w:rPr>
              <w:fldChar w:fldCharType="end"/>
            </w:r>
            <w:r w:rsidR="0052214A" w:rsidRPr="00C901E0">
              <w:rPr>
                <w:b/>
                <w:kern w:val="22"/>
                <w:sz w:val="20"/>
                <w:lang w:val="es-ES"/>
              </w:rPr>
              <w:tab/>
            </w:r>
            <w:r w:rsidR="0052214A" w:rsidRPr="00C901E0">
              <w:rPr>
                <w:kern w:val="22"/>
                <w:sz w:val="20"/>
                <w:lang w:val="es-ES"/>
              </w:rPr>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 xml:space="preserve">Si su respuesta a la pregunta 173a es </w:t>
            </w:r>
            <w:r w:rsidRPr="00C901E0">
              <w:rPr>
                <w:i/>
                <w:kern w:val="22"/>
                <w:sz w:val="20"/>
                <w:lang w:val="es-ES"/>
              </w:rPr>
              <w:t>Sí</w:t>
            </w:r>
            <w:r w:rsidRPr="00C901E0">
              <w:rPr>
                <w:kern w:val="22"/>
                <w:sz w:val="20"/>
                <w:lang w:val="es-ES"/>
              </w:rPr>
              <w:t>, ¿exigen estos instrumentos que el operador tome medidas de respuesta para evitar daños?</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 xml:space="preserve">Si su respuesta a la pregunta 173a o 173b es </w:t>
            </w:r>
            <w:r w:rsidRPr="00C901E0">
              <w:rPr>
                <w:i/>
                <w:kern w:val="22"/>
                <w:sz w:val="20"/>
                <w:lang w:val="es-ES"/>
              </w:rPr>
              <w:t>Sí</w:t>
            </w:r>
            <w:r w:rsidRPr="00C901E0">
              <w:rPr>
                <w:kern w:val="22"/>
                <w:sz w:val="20"/>
                <w:lang w:val="es-ES"/>
              </w:rPr>
              <w:t>, ¿dan estos instrumentos una definición de “operador”?</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90" w:type="dxa"/>
            <w:gridSpan w:val="2"/>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 xml:space="preserve">Si su respuesta a la pregunta 176 es </w:t>
            </w:r>
            <w:r w:rsidRPr="00C901E0">
              <w:rPr>
                <w:i/>
                <w:kern w:val="22"/>
                <w:sz w:val="20"/>
                <w:lang w:val="es-ES"/>
              </w:rPr>
              <w:t>Sí</w:t>
            </w:r>
            <w:r w:rsidRPr="00C901E0">
              <w:rPr>
                <w:kern w:val="22"/>
                <w:sz w:val="20"/>
                <w:lang w:val="es-ES"/>
              </w:rPr>
              <w:t>, ¿cuáles de los siguientes podría ser un “operador”? (Seleccione todas las opciones que correspondan.)</w:t>
            </w:r>
          </w:p>
        </w:tc>
        <w:tc>
          <w:tcPr>
            <w:tcW w:w="4869" w:type="dxa"/>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Titular de un permiso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Persona que colocó el OVM en el mercado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Desarrollador</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Productor</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Notificador</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Exportador</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Importador</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1" w:hanging="731"/>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Transportista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1" w:hanging="731"/>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Proveedor</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1" w:hanging="731"/>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Otro: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D9479D">
        <w:trPr>
          <w:cantSplit/>
        </w:trPr>
        <w:tc>
          <w:tcPr>
            <w:tcW w:w="4825" w:type="dxa"/>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¿Se ha designado una autoridad competente para desempeñar las funciones establecidas en el Protocolo Suplementario?</w:t>
            </w:r>
          </w:p>
        </w:tc>
        <w:tc>
          <w:tcPr>
            <w:tcW w:w="4934"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25" w:type="dxa"/>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630"/>
              <w:rPr>
                <w:lang w:val="es-ES"/>
              </w:rPr>
            </w:pPr>
            <w:r w:rsidRPr="00C901E0">
              <w:rPr>
                <w:kern w:val="22"/>
                <w:sz w:val="20"/>
                <w:lang w:val="es-ES"/>
              </w:rPr>
              <w:lastRenderedPageBreak/>
              <w:t xml:space="preserve">Si su respuesta a la pregunta 178 es </w:t>
            </w:r>
            <w:r w:rsidRPr="00C901E0">
              <w:rPr>
                <w:i/>
                <w:kern w:val="22"/>
                <w:sz w:val="20"/>
                <w:lang w:val="es-ES"/>
              </w:rPr>
              <w:t>Sí</w:t>
            </w:r>
            <w:r w:rsidRPr="00C901E0">
              <w:rPr>
                <w:kern w:val="22"/>
                <w:sz w:val="20"/>
                <w:lang w:val="es-ES"/>
              </w:rPr>
              <w:t>, ¿qué medidas podría adoptar la autoridad nacional competente? (Seleccione todas las opciones que correspondan.)</w:t>
            </w:r>
          </w:p>
        </w:tc>
        <w:tc>
          <w:tcPr>
            <w:tcW w:w="4934"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Identificar al operador que causó los daños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Evaluar los daños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Determinar las medidas de respuesta que debe tomar el operador</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Implementar las medidas de respuesta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Cobrar al operador los costos y gastos de la evaluación de los daños y de la implementación de las medidas de respuesta</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D9479D">
        <w:trPr>
          <w:cantSplit/>
        </w:trPr>
        <w:tc>
          <w:tcPr>
            <w:tcW w:w="4825" w:type="dxa"/>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¿Cuenta su país con medidas establecidas para brindar garantías financieras en casos de daños provocados por OVM?</w:t>
            </w:r>
          </w:p>
        </w:tc>
        <w:tc>
          <w:tcPr>
            <w:tcW w:w="4934"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25" w:type="dxa"/>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 xml:space="preserve">Si su respuesta a la pregunta 180 es </w:t>
            </w:r>
            <w:r w:rsidRPr="00C901E0">
              <w:rPr>
                <w:i/>
                <w:kern w:val="22"/>
                <w:sz w:val="20"/>
                <w:lang w:val="es-ES"/>
              </w:rPr>
              <w:t>Sí</w:t>
            </w:r>
            <w:r w:rsidRPr="00C901E0">
              <w:rPr>
                <w:kern w:val="22"/>
                <w:sz w:val="20"/>
                <w:lang w:val="es-ES"/>
              </w:rPr>
              <w:t>, ¿qué tipo de medidas de garantías financieras se han establecido? (Seleccione todas las opciones que correspondan.)</w:t>
            </w:r>
          </w:p>
        </w:tc>
        <w:tc>
          <w:tcPr>
            <w:tcW w:w="4934"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Requisito de presentar pruebas de la solvencia de la fuente de financiación</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Seguro obligatorio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Planes gubernamentales, incluidos fondos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Otra: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tc>
      </w:tr>
      <w:tr w:rsidR="0052214A" w:rsidRPr="00C901E0" w:rsidTr="00D9479D">
        <w:trPr>
          <w:cantSplit/>
        </w:trPr>
        <w:tc>
          <w:tcPr>
            <w:tcW w:w="4825" w:type="dxa"/>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¿Tiene su país normas y procedimientos sobre responsabilidad civil que aborden los daños resultantes de OVM o han sido esos daños reconocidos en fallos judiciales? (Seleccione todas las opciones que correspondan.)</w:t>
            </w:r>
          </w:p>
        </w:tc>
        <w:tc>
          <w:tcPr>
            <w:tcW w:w="4934"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en un instrumento de responsabilidad civil</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 en fallos judiciales</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 xml:space="preserve">Sí, en otros instrumentos: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kern w:val="22"/>
                <w:sz w:val="20"/>
                <w:lang w:val="es-ES"/>
              </w:rPr>
              <w:fldChar w:fldCharType="begin">
                <w:ffData>
                  <w:name w:val="Check48"/>
                  <w:enabled/>
                  <w:calcOnExit w:val="0"/>
                  <w:checkBox>
                    <w:sizeAuto/>
                    <w:default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No</w:t>
            </w:r>
          </w:p>
        </w:tc>
      </w:tr>
      <w:tr w:rsidR="0052214A" w:rsidRPr="00C901E0" w:rsidTr="00D9479D">
        <w:trPr>
          <w:cantSplit/>
        </w:trPr>
        <w:tc>
          <w:tcPr>
            <w:tcW w:w="4825" w:type="dxa"/>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¿Se han producido daños como consecuencia de OVM en su país?</w:t>
            </w:r>
          </w:p>
        </w:tc>
        <w:tc>
          <w:tcPr>
            <w:tcW w:w="4934"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4825" w:type="dxa"/>
            <w:vAlign w:val="center"/>
          </w:tcPr>
          <w:p w:rsidR="0052214A" w:rsidRPr="00C901E0" w:rsidRDefault="0052214A" w:rsidP="00465C6E">
            <w:pPr>
              <w:numPr>
                <w:ilvl w:val="0"/>
                <w:numId w:val="27"/>
              </w:numPr>
              <w:suppressLineNumbers/>
              <w:shd w:val="clear" w:color="auto" w:fill="FFFFFF"/>
              <w:tabs>
                <w:tab w:val="clear" w:pos="360"/>
                <w:tab w:val="num" w:pos="540"/>
              </w:tabs>
              <w:suppressAutoHyphens/>
              <w:kinsoku w:val="0"/>
              <w:overflowPunct w:val="0"/>
              <w:autoSpaceDE w:val="0"/>
              <w:autoSpaceDN w:val="0"/>
              <w:adjustRightInd w:val="0"/>
              <w:snapToGrid w:val="0"/>
              <w:spacing w:before="120" w:after="120"/>
              <w:ind w:left="540" w:right="362" w:hanging="540"/>
              <w:rPr>
                <w:lang w:val="es-ES"/>
              </w:rPr>
            </w:pPr>
            <w:r w:rsidRPr="00C901E0">
              <w:rPr>
                <w:kern w:val="22"/>
                <w:sz w:val="20"/>
                <w:lang w:val="es-ES"/>
              </w:rPr>
              <w:t xml:space="preserve">Si su respuesta a la pregunta 183 es </w:t>
            </w:r>
            <w:r w:rsidRPr="00C901E0">
              <w:rPr>
                <w:i/>
                <w:kern w:val="22"/>
                <w:sz w:val="20"/>
                <w:lang w:val="es-ES"/>
              </w:rPr>
              <w:t>Sí</w:t>
            </w:r>
            <w:r w:rsidRPr="00C901E0">
              <w:rPr>
                <w:kern w:val="22"/>
                <w:sz w:val="20"/>
                <w:lang w:val="es-ES"/>
              </w:rPr>
              <w:t>, ¿se tomaron medidas de respuesta?</w:t>
            </w:r>
          </w:p>
        </w:tc>
        <w:tc>
          <w:tcPr>
            <w:tcW w:w="4934" w:type="dxa"/>
            <w:gridSpan w:val="2"/>
            <w:vAlign w:val="center"/>
          </w:tcPr>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kern w:val="22"/>
                <w:sz w:val="20"/>
                <w:lang w:val="es-ES"/>
              </w:rPr>
            </w:pPr>
            <w:r w:rsidRPr="00C901E0">
              <w:rPr>
                <w:kern w:val="22"/>
                <w:sz w:val="20"/>
                <w:lang w:val="es-ES"/>
              </w:rPr>
              <w:fldChar w:fldCharType="begin">
                <w:ffData>
                  <w:name w:val=""/>
                  <w:enabled/>
                  <w:calcOnExit w:val="0"/>
                  <w:checkBox>
                    <w:sizeAuto/>
                    <w:default w:val="0"/>
                    <w:checked w:val="0"/>
                  </w:checkBox>
                </w:ffData>
              </w:fldChar>
            </w:r>
            <w:r w:rsidR="0052214A" w:rsidRPr="00C901E0">
              <w:rPr>
                <w:kern w:val="22"/>
                <w:sz w:val="20"/>
                <w:lang w:val="es-ES"/>
              </w:rPr>
              <w:instrText xml:space="preserve"> FORMCHECKBOX </w:instrText>
            </w:r>
            <w:r>
              <w:rPr>
                <w:kern w:val="22"/>
                <w:sz w:val="20"/>
                <w:lang w:val="es-ES"/>
              </w:rPr>
            </w:r>
            <w:r>
              <w:rPr>
                <w:kern w:val="22"/>
                <w:sz w:val="20"/>
                <w:lang w:val="es-ES"/>
              </w:rPr>
              <w:fldChar w:fldCharType="separate"/>
            </w:r>
            <w:r w:rsidRPr="00C901E0">
              <w:rPr>
                <w:kern w:val="22"/>
                <w:sz w:val="20"/>
                <w:lang w:val="es-ES"/>
              </w:rPr>
              <w:fldChar w:fldCharType="end"/>
            </w:r>
            <w:r w:rsidR="0052214A" w:rsidRPr="00C901E0">
              <w:rPr>
                <w:kern w:val="22"/>
                <w:sz w:val="20"/>
                <w:lang w:val="es-ES"/>
              </w:rPr>
              <w:tab/>
              <w:t>Sí:</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r>
            <w:r w:rsidR="0052214A" w:rsidRPr="00C901E0">
              <w:rPr>
                <w:kern w:val="22"/>
                <w:sz w:val="20"/>
                <w:lang w:val="es-ES"/>
              </w:rPr>
              <w:instrText>FORMTEXT</w:instrText>
            </w:r>
            <w:r>
              <w:rPr>
                <w:kern w:val="22"/>
                <w:sz w:val="20"/>
                <w:lang w:val="es-ES"/>
              </w:rPr>
              <w:fldChar w:fldCharType="separate"/>
            </w:r>
            <w:r w:rsidRPr="00C901E0">
              <w:rPr>
                <w:kern w:val="22"/>
                <w:sz w:val="20"/>
                <w:lang w:val="es-ES"/>
              </w:rPr>
              <w:fldChar w:fldCharType="end"/>
            </w:r>
            <w:r w:rsidR="0052214A" w:rsidRPr="00C901E0">
              <w:rPr>
                <w:kern w:val="22"/>
                <w:sz w:val="20"/>
                <w:lang w:val="es-ES"/>
              </w:rPr>
              <w:t xml:space="preserve"> </w:t>
            </w:r>
            <w:r w:rsidRPr="00C901E0">
              <w:rPr>
                <w:kern w:val="22"/>
                <w:sz w:val="20"/>
                <w:lang w:val="es-ES"/>
              </w:rPr>
              <w:fldChar w:fldCharType="begin">
                <w:ffData>
                  <w:name w:val=""/>
                  <w:enabled/>
                  <w:calcOnExit w:val="0"/>
                  <w:textInput>
                    <w:default w:val="[Especifique]"/>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[Especifique]</w:t>
            </w:r>
            <w:r w:rsidRPr="00C901E0">
              <w:rPr>
                <w:kern w:val="22"/>
                <w:sz w:val="20"/>
                <w:lang w:val="es-ES"/>
              </w:rPr>
              <w:fldChar w:fldCharType="end"/>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734" w:hanging="734"/>
              <w:rPr>
                <w:lang w:val="es-ES"/>
              </w:rPr>
            </w:pPr>
            <w:r w:rsidRPr="00C901E0">
              <w:rPr>
                <w:b/>
                <w:i/>
                <w:kern w:val="22"/>
                <w:sz w:val="20"/>
                <w:lang w:val="es-ES"/>
              </w:rPr>
              <w:fldChar w:fldCharType="begin">
                <w:ffData>
                  <w:name w:val="Check48"/>
                  <w:enabled/>
                  <w:calcOnExit w:val="0"/>
                  <w:checkBox>
                    <w:sizeAuto/>
                    <w:default w:val="0"/>
                  </w:checkBox>
                </w:ffData>
              </w:fldChar>
            </w:r>
            <w:r w:rsidR="0052214A" w:rsidRPr="00C901E0">
              <w:rPr>
                <w:b/>
                <w:i/>
                <w:kern w:val="22"/>
                <w:sz w:val="20"/>
                <w:lang w:val="es-ES"/>
              </w:rPr>
              <w:instrText xml:space="preserve"> FORMCHECKBOX </w:instrText>
            </w:r>
            <w:r>
              <w:rPr>
                <w:b/>
                <w:i/>
                <w:kern w:val="22"/>
                <w:sz w:val="20"/>
                <w:lang w:val="es-ES"/>
              </w:rPr>
            </w:r>
            <w:r>
              <w:rPr>
                <w:b/>
                <w:i/>
                <w:kern w:val="22"/>
                <w:sz w:val="20"/>
                <w:lang w:val="es-ES"/>
              </w:rPr>
              <w:fldChar w:fldCharType="separate"/>
            </w:r>
            <w:r w:rsidRPr="00C901E0">
              <w:rPr>
                <w:b/>
                <w:i/>
                <w:kern w:val="22"/>
                <w:sz w:val="20"/>
                <w:lang w:val="es-ES"/>
              </w:rPr>
              <w:fldChar w:fldCharType="end"/>
            </w:r>
            <w:r w:rsidR="0052214A" w:rsidRPr="00C901E0">
              <w:rPr>
                <w:b/>
                <w:i/>
                <w:kern w:val="22"/>
                <w:sz w:val="20"/>
                <w:lang w:val="es-ES"/>
              </w:rPr>
              <w:tab/>
            </w:r>
            <w:r w:rsidR="0052214A" w:rsidRPr="00C901E0">
              <w:rPr>
                <w:kern w:val="22"/>
                <w:sz w:val="20"/>
                <w:lang w:val="es-ES"/>
              </w:rPr>
              <w:t>No</w:t>
            </w:r>
          </w:p>
        </w:tc>
      </w:tr>
      <w:tr w:rsidR="0052214A" w:rsidRPr="00C901E0" w:rsidTr="00D9479D">
        <w:trPr>
          <w:cantSplit/>
        </w:trPr>
        <w:tc>
          <w:tcPr>
            <w:tcW w:w="9759" w:type="dxa"/>
            <w:gridSpan w:val="3"/>
          </w:tcPr>
          <w:p w:rsidR="0052214A" w:rsidRPr="00C901E0" w:rsidRDefault="0052214A" w:rsidP="00465C6E">
            <w:pPr>
              <w:numPr>
                <w:ilvl w:val="0"/>
                <w:numId w:val="27"/>
              </w:numPr>
              <w:suppressLineNumbers/>
              <w:shd w:val="clear" w:color="auto" w:fill="FFFFFF"/>
              <w:tabs>
                <w:tab w:val="clear" w:pos="360"/>
              </w:tabs>
              <w:suppressAutoHyphens/>
              <w:kinsoku w:val="0"/>
              <w:overflowPunct w:val="0"/>
              <w:autoSpaceDE w:val="0"/>
              <w:autoSpaceDN w:val="0"/>
              <w:adjustRightInd w:val="0"/>
              <w:snapToGrid w:val="0"/>
              <w:spacing w:before="120" w:after="120"/>
              <w:ind w:left="540" w:right="362" w:hanging="540"/>
              <w:rPr>
                <w:kern w:val="22"/>
                <w:sz w:val="20"/>
                <w:lang w:val="es-ES"/>
              </w:rPr>
            </w:pPr>
            <w:r w:rsidRPr="00C901E0">
              <w:rPr>
                <w:kern w:val="22"/>
                <w:sz w:val="20"/>
                <w:lang w:val="es-ES"/>
              </w:rPr>
              <w:t>En este espacio puede proporcionar más detalles sobre cualesquiera actividades emprendidas en su país con respecto a la aplicación del Protocolo Suplementario de Nagoya-Kuala Lumpur sobre Responsabilidad y Compensación:</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67"/>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D9479D">
        <w:trPr>
          <w:cantSplit/>
        </w:trPr>
        <w:tc>
          <w:tcPr>
            <w:tcW w:w="9759" w:type="dxa"/>
            <w:gridSpan w:val="3"/>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ind w:left="547" w:right="360" w:hanging="547"/>
              <w:jc w:val="center"/>
              <w:rPr>
                <w:lang w:val="es-ES"/>
              </w:rPr>
            </w:pPr>
            <w:r w:rsidRPr="00C901E0">
              <w:rPr>
                <w:b/>
                <w:kern w:val="22"/>
                <w:sz w:val="20"/>
                <w:lang w:val="es-ES"/>
              </w:rPr>
              <w:t>Información adicional</w:t>
            </w:r>
          </w:p>
        </w:tc>
      </w:tr>
      <w:tr w:rsidR="0052214A" w:rsidRPr="00C901E0" w:rsidTr="00D9479D">
        <w:trPr>
          <w:cantSplit/>
        </w:trPr>
        <w:tc>
          <w:tcPr>
            <w:tcW w:w="9759" w:type="dxa"/>
            <w:gridSpan w:val="3"/>
          </w:tcPr>
          <w:p w:rsidR="0052214A" w:rsidRPr="00C901E0" w:rsidRDefault="0052214A" w:rsidP="00465C6E">
            <w:pPr>
              <w:numPr>
                <w:ilvl w:val="0"/>
                <w:numId w:val="27"/>
              </w:numPr>
              <w:suppressLineNumbers/>
              <w:shd w:val="clear" w:color="auto" w:fill="FFFFFF"/>
              <w:suppressAutoHyphens/>
              <w:kinsoku w:val="0"/>
              <w:overflowPunct w:val="0"/>
              <w:autoSpaceDE w:val="0"/>
              <w:autoSpaceDN w:val="0"/>
              <w:adjustRightInd w:val="0"/>
              <w:snapToGrid w:val="0"/>
              <w:spacing w:before="120" w:after="120"/>
              <w:ind w:left="547" w:right="360" w:hanging="547"/>
              <w:rPr>
                <w:kern w:val="22"/>
                <w:sz w:val="20"/>
                <w:lang w:val="es-ES"/>
              </w:rPr>
            </w:pPr>
            <w:r w:rsidRPr="00C901E0">
              <w:rPr>
                <w:kern w:val="22"/>
                <w:sz w:val="20"/>
                <w:lang w:val="es-ES"/>
              </w:rPr>
              <w:t>Utilice este campo para proporcionar cualquier otra información sobre cuestiones relacionadas con la aplicación nacional del Protocolo de Cartagena y del Protocolo Suplementario, incluidos obstáculos o impedimentos que se hayan enfrentado.</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40" w:right="362" w:hanging="540"/>
              <w:jc w:val="center"/>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r w:rsidR="0052214A" w:rsidRPr="00C901E0" w:rsidTr="00D9479D">
        <w:trPr>
          <w:cantSplit/>
        </w:trPr>
        <w:tc>
          <w:tcPr>
            <w:tcW w:w="9759" w:type="dxa"/>
            <w:gridSpan w:val="3"/>
          </w:tcPr>
          <w:p w:rsidR="0052214A" w:rsidRPr="00C901E0" w:rsidRDefault="0052214A" w:rsidP="0052214A">
            <w:pPr>
              <w:keepNext/>
              <w:suppressLineNumbers/>
              <w:shd w:val="clear" w:color="auto" w:fill="FFFFFF"/>
              <w:suppressAutoHyphens/>
              <w:kinsoku w:val="0"/>
              <w:overflowPunct w:val="0"/>
              <w:autoSpaceDE w:val="0"/>
              <w:autoSpaceDN w:val="0"/>
              <w:adjustRightInd w:val="0"/>
              <w:snapToGrid w:val="0"/>
              <w:spacing w:before="120" w:after="120"/>
              <w:ind w:left="547" w:right="360" w:hanging="547"/>
              <w:jc w:val="center"/>
              <w:rPr>
                <w:lang w:val="es-ES"/>
              </w:rPr>
            </w:pPr>
            <w:r w:rsidRPr="00C901E0">
              <w:rPr>
                <w:b/>
                <w:kern w:val="22"/>
                <w:sz w:val="20"/>
                <w:lang w:val="es-ES"/>
              </w:rPr>
              <w:lastRenderedPageBreak/>
              <w:t>Comentarios sobre el formato de presentación de informes</w:t>
            </w:r>
          </w:p>
        </w:tc>
      </w:tr>
      <w:tr w:rsidR="0052214A" w:rsidRPr="00C901E0" w:rsidTr="00D9479D">
        <w:trPr>
          <w:cantSplit/>
        </w:trPr>
        <w:tc>
          <w:tcPr>
            <w:tcW w:w="9759" w:type="dxa"/>
            <w:gridSpan w:val="3"/>
          </w:tcPr>
          <w:p w:rsidR="0052214A" w:rsidRPr="00C901E0" w:rsidRDefault="0052214A" w:rsidP="00465C6E">
            <w:pPr>
              <w:numPr>
                <w:ilvl w:val="0"/>
                <w:numId w:val="27"/>
              </w:numPr>
              <w:suppressLineNumbers/>
              <w:shd w:val="clear" w:color="auto" w:fill="FFFFFF"/>
              <w:suppressAutoHyphens/>
              <w:kinsoku w:val="0"/>
              <w:overflowPunct w:val="0"/>
              <w:autoSpaceDE w:val="0"/>
              <w:autoSpaceDN w:val="0"/>
              <w:adjustRightInd w:val="0"/>
              <w:snapToGrid w:val="0"/>
              <w:spacing w:before="120" w:after="120"/>
              <w:ind w:left="540" w:right="362" w:hanging="540"/>
              <w:rPr>
                <w:kern w:val="22"/>
                <w:sz w:val="20"/>
                <w:lang w:val="es-ES"/>
              </w:rPr>
            </w:pPr>
            <w:r w:rsidRPr="00C901E0">
              <w:rPr>
                <w:kern w:val="22"/>
                <w:sz w:val="20"/>
                <w:lang w:val="es-ES"/>
              </w:rPr>
              <w:t>Utilice este campo para proporcionar cualquier otra información sobre dificultades que haya enfrentado para completar este informe.</w:t>
            </w:r>
          </w:p>
          <w:p w:rsidR="0052214A" w:rsidRPr="00C901E0" w:rsidRDefault="009503AA" w:rsidP="0052214A">
            <w:pPr>
              <w:suppressLineNumbers/>
              <w:shd w:val="clear" w:color="auto" w:fill="FFFFFF"/>
              <w:suppressAutoHyphens/>
              <w:kinsoku w:val="0"/>
              <w:overflowPunct w:val="0"/>
              <w:autoSpaceDE w:val="0"/>
              <w:autoSpaceDN w:val="0"/>
              <w:adjustRightInd w:val="0"/>
              <w:snapToGrid w:val="0"/>
              <w:spacing w:before="120" w:after="120"/>
              <w:ind w:left="540" w:right="362" w:hanging="540"/>
              <w:jc w:val="center"/>
              <w:rPr>
                <w:lang w:val="es-ES"/>
              </w:rPr>
            </w:pPr>
            <w:r w:rsidRPr="00C901E0">
              <w:rPr>
                <w:kern w:val="22"/>
                <w:sz w:val="20"/>
                <w:lang w:val="es-ES"/>
              </w:rPr>
              <w:fldChar w:fldCharType="begin">
                <w:ffData>
                  <w:name w:val=""/>
                  <w:enabled/>
                  <w:calcOnExit w:val="0"/>
                  <w:textInput>
                    <w:default w:val="[                                                       Escriba aquí su texto                                                       ]"/>
                  </w:textInput>
                </w:ffData>
              </w:fldChar>
            </w:r>
            <w:r w:rsidR="0052214A" w:rsidRPr="00C901E0">
              <w:rPr>
                <w:kern w:val="22"/>
                <w:sz w:val="20"/>
                <w:lang w:val="es-ES"/>
              </w:rPr>
              <w:instrText xml:space="preserve"> FORMTEXT </w:instrText>
            </w:r>
            <w:r w:rsidRPr="00C901E0">
              <w:rPr>
                <w:kern w:val="22"/>
                <w:sz w:val="20"/>
                <w:lang w:val="es-ES"/>
              </w:rPr>
            </w:r>
            <w:r w:rsidRPr="00C901E0">
              <w:rPr>
                <w:kern w:val="22"/>
                <w:sz w:val="20"/>
                <w:lang w:val="es-ES"/>
              </w:rPr>
              <w:fldChar w:fldCharType="separate"/>
            </w:r>
            <w:r w:rsidR="0052214A" w:rsidRPr="00C901E0">
              <w:rPr>
                <w:kern w:val="22"/>
                <w:sz w:val="20"/>
                <w:lang w:val="es-ES"/>
              </w:rPr>
              <w:t>[                                                       Escriba aquí su texto                                                       ]</w:t>
            </w:r>
            <w:r w:rsidRPr="00C901E0">
              <w:rPr>
                <w:kern w:val="22"/>
                <w:sz w:val="20"/>
                <w:lang w:val="es-ES"/>
              </w:rPr>
              <w:fldChar w:fldCharType="end"/>
            </w:r>
          </w:p>
        </w:tc>
      </w:tr>
    </w:tbl>
    <w:p w:rsidR="0052214A" w:rsidRPr="00C901E0" w:rsidRDefault="0052214A" w:rsidP="0052214A">
      <w:pPr>
        <w:spacing w:before="120" w:after="240"/>
        <w:jc w:val="center"/>
        <w:rPr>
          <w:caps/>
          <w:lang w:val="es-ES"/>
        </w:rPr>
      </w:pPr>
    </w:p>
    <w:p w:rsidR="00376CED" w:rsidRPr="00C901E0" w:rsidRDefault="00376CED">
      <w:pPr>
        <w:rPr>
          <w:b/>
          <w:caps/>
          <w:lang w:val="es-ES"/>
        </w:rPr>
      </w:pPr>
      <w:r w:rsidRPr="00C901E0">
        <w:rPr>
          <w:lang w:val="es-ES"/>
        </w:rPr>
        <w:br w:type="page"/>
      </w:r>
    </w:p>
    <w:p w:rsidR="00376CED" w:rsidRPr="00C901E0" w:rsidRDefault="00376CED" w:rsidP="00376CED">
      <w:pPr>
        <w:pStyle w:val="heading2-item"/>
        <w:rPr>
          <w:lang w:val="es-ES"/>
        </w:rPr>
      </w:pPr>
      <w:bookmarkStart w:id="18" w:name="_Toc879819"/>
      <w:bookmarkStart w:id="19" w:name="_Toc5922079"/>
      <w:r w:rsidRPr="00C901E0">
        <w:rPr>
          <w:lang w:val="es-ES"/>
        </w:rPr>
        <w:lastRenderedPageBreak/>
        <w:t>9/6.</w:t>
      </w:r>
      <w:r w:rsidRPr="00C901E0">
        <w:rPr>
          <w:lang w:val="es-ES"/>
        </w:rPr>
        <w:tab/>
      </w:r>
      <w:bookmarkEnd w:id="18"/>
      <w:r w:rsidR="00983363" w:rsidRPr="00C901E0">
        <w:rPr>
          <w:lang w:val="es-ES"/>
        </w:rPr>
        <w:t>Evaluación y revisión del Protocolo de Cartagena sobre Seguridad de la Biotecnología (artículo 35)</w:t>
      </w:r>
      <w:bookmarkEnd w:id="19"/>
    </w:p>
    <w:p w:rsidR="00983363" w:rsidRPr="00C901E0" w:rsidRDefault="00983363" w:rsidP="00983363">
      <w:pPr>
        <w:pStyle w:val="Para1"/>
        <w:numPr>
          <w:ilvl w:val="0"/>
          <w:numId w:val="0"/>
        </w:numPr>
        <w:kinsoku w:val="0"/>
        <w:overflowPunct w:val="0"/>
        <w:autoSpaceDE w:val="0"/>
        <w:autoSpaceDN w:val="0"/>
        <w:ind w:firstLine="720"/>
        <w:rPr>
          <w:szCs w:val="24"/>
          <w:lang w:val="es-ES"/>
        </w:rPr>
      </w:pPr>
      <w:r w:rsidRPr="00C901E0">
        <w:rPr>
          <w:i/>
          <w:szCs w:val="24"/>
          <w:lang w:val="es-ES"/>
        </w:rPr>
        <w:t>La Conferencia de las Partes que actúa como reunión de las Partes en el Protocolo de Cartagena sobre Seguridad de la Biotecnología,</w:t>
      </w:r>
    </w:p>
    <w:p w:rsidR="00983363" w:rsidRPr="00C901E0" w:rsidRDefault="00983363" w:rsidP="00983363">
      <w:pPr>
        <w:pStyle w:val="Para1"/>
        <w:numPr>
          <w:ilvl w:val="0"/>
          <w:numId w:val="0"/>
        </w:numPr>
        <w:kinsoku w:val="0"/>
        <w:overflowPunct w:val="0"/>
        <w:autoSpaceDE w:val="0"/>
        <w:autoSpaceDN w:val="0"/>
        <w:ind w:firstLine="720"/>
        <w:rPr>
          <w:szCs w:val="24"/>
          <w:lang w:val="es-ES"/>
        </w:rPr>
      </w:pPr>
      <w:r w:rsidRPr="00C901E0">
        <w:rPr>
          <w:i/>
          <w:szCs w:val="24"/>
          <w:lang w:val="es-ES"/>
        </w:rPr>
        <w:t>Recordando</w:t>
      </w:r>
      <w:r w:rsidRPr="00C901E0">
        <w:rPr>
          <w:szCs w:val="24"/>
          <w:lang w:val="es-ES"/>
        </w:rPr>
        <w:t xml:space="preserve"> la </w:t>
      </w:r>
      <w:r w:rsidRPr="00C901E0">
        <w:rPr>
          <w:lang w:val="es-ES"/>
        </w:rPr>
        <w:t xml:space="preserve">decisión </w:t>
      </w:r>
      <w:hyperlink r:id="rId18" w:history="1">
        <w:r w:rsidRPr="00C901E0">
          <w:rPr>
            <w:rStyle w:val="Hyperlink"/>
            <w:lang w:val="es-ES"/>
          </w:rPr>
          <w:t>BS-V/16</w:t>
        </w:r>
      </w:hyperlink>
      <w:r w:rsidRPr="00C901E0">
        <w:rPr>
          <w:lang w:val="es-ES"/>
        </w:rPr>
        <w:t>, por</w:t>
      </w:r>
      <w:r w:rsidRPr="00C901E0">
        <w:rPr>
          <w:szCs w:val="24"/>
          <w:lang w:val="es-ES"/>
        </w:rPr>
        <w:t xml:space="preserve"> la cual se adoptó el Plan Estratégico para el Protocolo de Cartagena sobre Seguridad de la Biotecnología en el período 2011-2020,</w:t>
      </w:r>
    </w:p>
    <w:p w:rsidR="00983363" w:rsidRPr="00C901E0" w:rsidRDefault="00983363" w:rsidP="00465C6E">
      <w:pPr>
        <w:pStyle w:val="Para1"/>
        <w:numPr>
          <w:ilvl w:val="0"/>
          <w:numId w:val="37"/>
        </w:numPr>
        <w:kinsoku w:val="0"/>
        <w:overflowPunct w:val="0"/>
        <w:autoSpaceDE w:val="0"/>
        <w:autoSpaceDN w:val="0"/>
        <w:ind w:firstLine="709"/>
        <w:rPr>
          <w:szCs w:val="24"/>
          <w:lang w:val="es-ES"/>
        </w:rPr>
      </w:pPr>
      <w:r w:rsidRPr="00C901E0">
        <w:rPr>
          <w:i/>
          <w:szCs w:val="24"/>
          <w:lang w:val="es-ES"/>
        </w:rPr>
        <w:t>Reitera</w:t>
      </w:r>
      <w:r w:rsidRPr="00C901E0">
        <w:rPr>
          <w:szCs w:val="24"/>
          <w:lang w:val="es-ES"/>
        </w:rPr>
        <w:t xml:space="preserve"> su invitación a las Partes a que, en el tiempo que resta del Plan Estratégico para el Protocolo de Cartagena sobre Seguridad de la Biotecnología en el período 2011-2020, consideren dar prioridad a los objetivos operacionales relacionados con la formulación de legislación sobre seguridad de la biotecnología, la evaluación del riesgo, la detección e identificación de organismos vivos modificados y la concienciación del público, en vista de su importancia fundamental para facilitar la aplicación del Protocolo;</w:t>
      </w:r>
    </w:p>
    <w:p w:rsidR="00983363" w:rsidRPr="00C901E0" w:rsidRDefault="00983363" w:rsidP="00983363">
      <w:pPr>
        <w:pStyle w:val="Para1"/>
        <w:numPr>
          <w:ilvl w:val="0"/>
          <w:numId w:val="13"/>
        </w:numPr>
        <w:tabs>
          <w:tab w:val="clear" w:pos="360"/>
        </w:tabs>
        <w:kinsoku w:val="0"/>
        <w:overflowPunct w:val="0"/>
        <w:autoSpaceDE w:val="0"/>
        <w:autoSpaceDN w:val="0"/>
        <w:ind w:firstLine="720"/>
        <w:rPr>
          <w:szCs w:val="24"/>
          <w:lang w:val="es-ES"/>
        </w:rPr>
      </w:pPr>
      <w:r w:rsidRPr="00C901E0">
        <w:rPr>
          <w:i/>
          <w:szCs w:val="24"/>
          <w:lang w:val="es-ES"/>
        </w:rPr>
        <w:t>Decide</w:t>
      </w:r>
      <w:r w:rsidRPr="00C901E0">
        <w:rPr>
          <w:szCs w:val="24"/>
          <w:lang w:val="es-ES"/>
        </w:rPr>
        <w:t xml:space="preserve"> que la cuarta evaluación y revisión del Protocolo de Cartagena se combinará con la evaluación final del Plan Estratégico para el Protocolo de Cartagena en el período 2011-2020;</w:t>
      </w:r>
    </w:p>
    <w:p w:rsidR="00983363" w:rsidRPr="00C901E0" w:rsidRDefault="00983363" w:rsidP="00983363">
      <w:pPr>
        <w:pStyle w:val="Para1"/>
        <w:numPr>
          <w:ilvl w:val="0"/>
          <w:numId w:val="13"/>
        </w:numPr>
        <w:tabs>
          <w:tab w:val="clear" w:pos="360"/>
        </w:tabs>
        <w:kinsoku w:val="0"/>
        <w:overflowPunct w:val="0"/>
        <w:autoSpaceDE w:val="0"/>
        <w:autoSpaceDN w:val="0"/>
        <w:ind w:firstLine="720"/>
        <w:rPr>
          <w:i/>
          <w:szCs w:val="24"/>
          <w:lang w:val="es-ES"/>
        </w:rPr>
      </w:pPr>
      <w:r w:rsidRPr="00C901E0">
        <w:rPr>
          <w:i/>
          <w:color w:val="000000"/>
          <w:szCs w:val="24"/>
          <w:lang w:val="es-ES"/>
        </w:rPr>
        <w:t>Pide</w:t>
      </w:r>
      <w:r w:rsidRPr="00C901E0">
        <w:rPr>
          <w:szCs w:val="24"/>
          <w:lang w:val="es-ES"/>
        </w:rPr>
        <w:t xml:space="preserve"> a la Secretaria Ejecutiva que:</w:t>
      </w:r>
    </w:p>
    <w:p w:rsidR="00983363" w:rsidRPr="00C901E0" w:rsidRDefault="00983363" w:rsidP="00983363">
      <w:pPr>
        <w:pStyle w:val="Para1"/>
        <w:numPr>
          <w:ilvl w:val="0"/>
          <w:numId w:val="0"/>
        </w:numPr>
        <w:kinsoku w:val="0"/>
        <w:overflowPunct w:val="0"/>
        <w:autoSpaceDE w:val="0"/>
        <w:autoSpaceDN w:val="0"/>
        <w:ind w:firstLine="720"/>
        <w:rPr>
          <w:szCs w:val="24"/>
          <w:lang w:val="es-ES"/>
        </w:rPr>
      </w:pPr>
      <w:r w:rsidRPr="00C901E0">
        <w:rPr>
          <w:szCs w:val="24"/>
          <w:lang w:val="es-ES"/>
        </w:rPr>
        <w:t>a)</w:t>
      </w:r>
      <w:r w:rsidRPr="00C901E0">
        <w:rPr>
          <w:szCs w:val="24"/>
          <w:lang w:val="es-ES"/>
        </w:rPr>
        <w:tab/>
        <w:t>Continúe mejorando la herramienta de análisis en línea de los informes nacionales para facilitar la recopilación, agregación y análisis de los datos de los cuartos informes nacionales y de otras fuentes y su comparación con los correspondientes datos de referencia obtenidos en el segundo ciclo de presentación de informes nacionales;</w:t>
      </w:r>
    </w:p>
    <w:p w:rsidR="00983363" w:rsidRPr="00C901E0" w:rsidRDefault="00983363" w:rsidP="00983363">
      <w:pPr>
        <w:pStyle w:val="Para1"/>
        <w:numPr>
          <w:ilvl w:val="0"/>
          <w:numId w:val="0"/>
        </w:numPr>
        <w:kinsoku w:val="0"/>
        <w:overflowPunct w:val="0"/>
        <w:autoSpaceDE w:val="0"/>
        <w:autoSpaceDN w:val="0"/>
        <w:ind w:firstLine="720"/>
        <w:rPr>
          <w:szCs w:val="24"/>
          <w:lang w:val="es-ES"/>
        </w:rPr>
      </w:pPr>
      <w:r w:rsidRPr="00C901E0">
        <w:rPr>
          <w:szCs w:val="24"/>
          <w:lang w:val="es-ES"/>
        </w:rPr>
        <w:t>b)</w:t>
      </w:r>
      <w:r w:rsidRPr="00C901E0">
        <w:rPr>
          <w:szCs w:val="24"/>
          <w:lang w:val="es-ES"/>
        </w:rPr>
        <w:tab/>
        <w:t>Analice y sintetice información sobre la aplicación del Protocolo utilizando, entre otras cosas, los cuartos informes nacionales como fuente principal, el Centro de Intercambio de Información sobre Seguridad de la Biotecnología y experiencia adquirida en proyectos de creación de capacidad y el Comité de Cumplimento, según proceda, a fin de facilitar la cuarta evaluación y revisión del Protocolo conjuntamente con la evaluación final del Plan Estratégico para el Protocolo de Cartagena sobre Seguridad de la Biotecnología en el período 2011-2020, y que ponga esa información a disposición del Grupo de Enlace y, según proceda, del Comité de Cumplimiento;</w:t>
      </w:r>
    </w:p>
    <w:p w:rsidR="00983363" w:rsidRPr="00C901E0" w:rsidRDefault="00983363" w:rsidP="00983363">
      <w:pPr>
        <w:pStyle w:val="Para1"/>
        <w:numPr>
          <w:ilvl w:val="0"/>
          <w:numId w:val="13"/>
        </w:numPr>
        <w:tabs>
          <w:tab w:val="clear" w:pos="360"/>
        </w:tabs>
        <w:kinsoku w:val="0"/>
        <w:overflowPunct w:val="0"/>
        <w:autoSpaceDE w:val="0"/>
        <w:autoSpaceDN w:val="0"/>
        <w:ind w:firstLine="720"/>
        <w:rPr>
          <w:szCs w:val="24"/>
          <w:lang w:val="es-ES"/>
        </w:rPr>
      </w:pPr>
      <w:r w:rsidRPr="00C901E0">
        <w:rPr>
          <w:i/>
          <w:szCs w:val="24"/>
          <w:lang w:val="es-ES"/>
        </w:rPr>
        <w:t>Pide</w:t>
      </w:r>
      <w:r w:rsidRPr="00C901E0">
        <w:rPr>
          <w:szCs w:val="24"/>
          <w:lang w:val="es-ES"/>
        </w:rPr>
        <w:t xml:space="preserve"> al Grupo de Enlace del Protocolo de Cartagena sobre Seguridad de la Biotecnología y al Comité de Cumplimiento que, trabajando de manera complementaria y sin duplicar esfuerzos, contribuyan a la cuarta evaluación y revisión del Protocolo de Cartagena y la evaluación final del Plan Estratégico para el Protocolo de Cartagena sobre Seguridad de la Biotecnología en el período 2011-2020, y que presenten sus conclusiones al Órgano Subsidiario sobre la Aplicación para su examen;</w:t>
      </w:r>
    </w:p>
    <w:p w:rsidR="00376CED" w:rsidRPr="00C901E0" w:rsidRDefault="00983363" w:rsidP="00983363">
      <w:pPr>
        <w:pStyle w:val="Para1"/>
        <w:numPr>
          <w:ilvl w:val="0"/>
          <w:numId w:val="13"/>
        </w:numPr>
        <w:tabs>
          <w:tab w:val="clear" w:pos="360"/>
        </w:tabs>
        <w:kinsoku w:val="0"/>
        <w:overflowPunct w:val="0"/>
        <w:autoSpaceDE w:val="0"/>
        <w:autoSpaceDN w:val="0"/>
        <w:ind w:firstLine="720"/>
        <w:rPr>
          <w:lang w:val="es-ES"/>
        </w:rPr>
      </w:pPr>
      <w:r w:rsidRPr="00C901E0">
        <w:rPr>
          <w:i/>
          <w:szCs w:val="24"/>
          <w:lang w:val="es-ES"/>
        </w:rPr>
        <w:t>Pide</w:t>
      </w:r>
      <w:r w:rsidRPr="00C901E0">
        <w:rPr>
          <w:szCs w:val="24"/>
          <w:lang w:val="es-ES"/>
        </w:rPr>
        <w:t xml:space="preserve"> al Órgano Subsidiario sobre la Aplicación que en su tercera reunión examine la información proporcionada por el Grupo de Enlace y el Comité de Cumplimiento y las conclusiones a las que estos arribaron, y que presente sus propias conclusiones y recomendaciones a la Conferencia de las Partes que actúa como reunión de las Partes en el Protocolo de Cartagena en su décima reunión con miras a facilitar la cuarta evaluación y revisión del Protocolo de Cartagena y la evaluación final del Plan Estratégico para el Protocolo de Cartagena sobre Seguridad de la Biotecnología en el período 2011-2020</w:t>
      </w:r>
    </w:p>
    <w:p w:rsidR="00376CED" w:rsidRPr="00C901E0" w:rsidRDefault="00376CED">
      <w:pPr>
        <w:rPr>
          <w:b/>
          <w:caps/>
          <w:lang w:val="es-ES"/>
        </w:rPr>
      </w:pPr>
      <w:r w:rsidRPr="00C901E0">
        <w:rPr>
          <w:lang w:val="es-ES"/>
        </w:rPr>
        <w:br w:type="page"/>
      </w:r>
    </w:p>
    <w:p w:rsidR="00376CED" w:rsidRPr="00C901E0" w:rsidRDefault="00376CED" w:rsidP="0008472F">
      <w:pPr>
        <w:pStyle w:val="heading2-item"/>
        <w:ind w:left="1701" w:right="146" w:hanging="850"/>
        <w:jc w:val="left"/>
        <w:rPr>
          <w:lang w:val="es-ES"/>
        </w:rPr>
      </w:pPr>
      <w:bookmarkStart w:id="20" w:name="_Toc879820"/>
      <w:bookmarkStart w:id="21" w:name="_Toc5922080"/>
      <w:r w:rsidRPr="00C901E0">
        <w:rPr>
          <w:lang w:val="es-ES"/>
        </w:rPr>
        <w:lastRenderedPageBreak/>
        <w:t>9/7.</w:t>
      </w:r>
      <w:r w:rsidRPr="00C901E0">
        <w:rPr>
          <w:lang w:val="es-ES"/>
        </w:rPr>
        <w:tab/>
      </w:r>
      <w:bookmarkEnd w:id="20"/>
      <w:r w:rsidR="0064207A" w:rsidRPr="00C901E0">
        <w:rPr>
          <w:lang w:val="es-ES"/>
        </w:rPr>
        <w:t>Preparación para los instrumentos que sucederán al Plan Estratégico para la Diversidad Biológica 2011-2020 y al Plan Estratégico para el Protocolo de Cartagena sobre Seguridad de la Biotecnología en el período 2011-2020</w:t>
      </w:r>
      <w:bookmarkEnd w:id="21"/>
    </w:p>
    <w:p w:rsidR="0064207A" w:rsidRPr="00E50E56" w:rsidRDefault="0064207A" w:rsidP="0064207A">
      <w:pPr>
        <w:adjustRightInd w:val="0"/>
        <w:snapToGrid w:val="0"/>
        <w:spacing w:before="120" w:after="120"/>
        <w:ind w:firstLine="720"/>
        <w:rPr>
          <w:i/>
          <w:color w:val="000000"/>
          <w:kern w:val="22"/>
          <w:sz w:val="22"/>
          <w:szCs w:val="22"/>
          <w:lang w:val="es-ES"/>
        </w:rPr>
      </w:pPr>
      <w:r w:rsidRPr="00E50E56">
        <w:rPr>
          <w:i/>
          <w:kern w:val="22"/>
          <w:sz w:val="22"/>
          <w:szCs w:val="22"/>
          <w:lang w:val="es-ES"/>
        </w:rPr>
        <w:t>La Conferencia de las Partes que actúa como reunión de las Partes en el Protocolo de Cartagena sobre Seguridad de la Biotecnología</w:t>
      </w:r>
    </w:p>
    <w:p w:rsidR="0064207A" w:rsidRPr="00C901E0" w:rsidRDefault="0064207A" w:rsidP="00465C6E">
      <w:pPr>
        <w:pStyle w:val="ListParagraph"/>
        <w:numPr>
          <w:ilvl w:val="0"/>
          <w:numId w:val="31"/>
        </w:numPr>
        <w:adjustRightInd w:val="0"/>
        <w:snapToGrid w:val="0"/>
        <w:spacing w:before="120" w:after="120"/>
        <w:ind w:left="0" w:firstLine="720"/>
        <w:rPr>
          <w:color w:val="000000"/>
          <w:kern w:val="22"/>
          <w:lang w:val="es-ES"/>
        </w:rPr>
      </w:pPr>
      <w:r w:rsidRPr="00C901E0">
        <w:rPr>
          <w:i/>
          <w:color w:val="000000"/>
          <w:kern w:val="22"/>
          <w:lang w:val="es-ES"/>
        </w:rPr>
        <w:t>Toma nota</w:t>
      </w:r>
      <w:r w:rsidRPr="00C901E0">
        <w:rPr>
          <w:color w:val="000000"/>
          <w:kern w:val="22"/>
          <w:lang w:val="es-ES"/>
        </w:rPr>
        <w:t xml:space="preserve"> del proceso preparatorio propuesto para el marco mundial de la diversidad biológica posterior a 2020 como instrumento que sucederá al Plan Estratégico para la Diversidad Biológica 2011-2020, y </w:t>
      </w:r>
      <w:r w:rsidRPr="00C901E0">
        <w:rPr>
          <w:i/>
          <w:color w:val="000000"/>
          <w:kern w:val="22"/>
          <w:lang w:val="es-ES"/>
        </w:rPr>
        <w:t>acoge con satisfacción</w:t>
      </w:r>
      <w:r w:rsidRPr="00C901E0">
        <w:rPr>
          <w:color w:val="000000"/>
          <w:kern w:val="22"/>
          <w:lang w:val="es-ES"/>
        </w:rPr>
        <w:t xml:space="preserve"> la decisión 14/34 de la Conferencia de las Partes;</w:t>
      </w:r>
    </w:p>
    <w:p w:rsidR="0064207A" w:rsidRPr="00C901E0" w:rsidRDefault="0064207A" w:rsidP="00465C6E">
      <w:pPr>
        <w:pStyle w:val="ListParagraph"/>
        <w:numPr>
          <w:ilvl w:val="0"/>
          <w:numId w:val="31"/>
        </w:numPr>
        <w:adjustRightInd w:val="0"/>
        <w:snapToGrid w:val="0"/>
        <w:spacing w:before="120" w:after="120"/>
        <w:ind w:left="0" w:firstLine="720"/>
        <w:rPr>
          <w:color w:val="000000"/>
          <w:kern w:val="22"/>
          <w:lang w:val="es-ES"/>
        </w:rPr>
      </w:pPr>
      <w:r w:rsidRPr="00C901E0">
        <w:rPr>
          <w:i/>
          <w:color w:val="000000"/>
          <w:kern w:val="22"/>
          <w:lang w:val="es-ES"/>
        </w:rPr>
        <w:t>Destaca</w:t>
      </w:r>
      <w:r w:rsidRPr="00C901E0">
        <w:rPr>
          <w:color w:val="000000"/>
          <w:kern w:val="22"/>
          <w:lang w:val="es-ES"/>
        </w:rPr>
        <w:t xml:space="preserve"> la importancia de incluir la seguridad de la biotecnología en el marco mundial de la diversidad biológica posterior a 2020, así como la necesidad de elaborar un Plan de Aplicación específico para el Protocolo de Cartagena sobre Seguridad de la Biotecnología como instrumento que suceda al Plan Estratégico para el Protocolo de Cartagena sobre Seguridad de la Biotecnología en el período 2011-2020;</w:t>
      </w:r>
    </w:p>
    <w:p w:rsidR="0064207A" w:rsidRPr="00C901E0" w:rsidRDefault="0064207A" w:rsidP="00465C6E">
      <w:pPr>
        <w:pStyle w:val="ListParagraph"/>
        <w:numPr>
          <w:ilvl w:val="0"/>
          <w:numId w:val="31"/>
        </w:numPr>
        <w:suppressLineNumbers/>
        <w:suppressAutoHyphens/>
        <w:kinsoku w:val="0"/>
        <w:overflowPunct w:val="0"/>
        <w:autoSpaceDE w:val="0"/>
        <w:autoSpaceDN w:val="0"/>
        <w:adjustRightInd w:val="0"/>
        <w:snapToGrid w:val="0"/>
        <w:spacing w:before="120" w:after="120"/>
        <w:ind w:left="0" w:firstLine="720"/>
        <w:rPr>
          <w:color w:val="000000"/>
          <w:kern w:val="22"/>
          <w:lang w:val="es-ES"/>
        </w:rPr>
      </w:pPr>
      <w:r w:rsidRPr="00C901E0">
        <w:rPr>
          <w:i/>
          <w:kern w:val="22"/>
          <w:lang w:val="es-ES"/>
        </w:rPr>
        <w:t>Observa también</w:t>
      </w:r>
      <w:r w:rsidRPr="00C901E0">
        <w:rPr>
          <w:kern w:val="22"/>
          <w:lang w:val="es-ES"/>
        </w:rPr>
        <w:t xml:space="preserve"> la importancia de la participación activa de expertos en seguridad de la biotecnología, incluidos expertos en el Protocolo Suplementario de Nagoya – Kuala Lumpur sobre Responsabilidad y Compensación, en la elaboración del marco mundial de la diversidad biológica posterior a </w:t>
      </w:r>
      <w:r w:rsidRPr="00C901E0">
        <w:rPr>
          <w:color w:val="000000"/>
          <w:kern w:val="22"/>
          <w:lang w:val="es-ES"/>
        </w:rPr>
        <w:t>2020;</w:t>
      </w:r>
    </w:p>
    <w:p w:rsidR="0064207A" w:rsidRPr="00C901E0" w:rsidRDefault="0064207A" w:rsidP="00465C6E">
      <w:pPr>
        <w:pStyle w:val="ListParagraph"/>
        <w:numPr>
          <w:ilvl w:val="0"/>
          <w:numId w:val="31"/>
        </w:numPr>
        <w:suppressLineNumbers/>
        <w:suppressAutoHyphens/>
        <w:kinsoku w:val="0"/>
        <w:overflowPunct w:val="0"/>
        <w:autoSpaceDE w:val="0"/>
        <w:autoSpaceDN w:val="0"/>
        <w:adjustRightInd w:val="0"/>
        <w:snapToGrid w:val="0"/>
        <w:spacing w:before="120" w:after="120"/>
        <w:ind w:left="0" w:firstLine="720"/>
        <w:rPr>
          <w:color w:val="000000"/>
          <w:kern w:val="22"/>
          <w:lang w:val="es-ES"/>
        </w:rPr>
      </w:pPr>
      <w:r w:rsidRPr="00C901E0">
        <w:rPr>
          <w:i/>
          <w:color w:val="000000"/>
          <w:kern w:val="22"/>
          <w:lang w:val="es-ES"/>
        </w:rPr>
        <w:t>Invita</w:t>
      </w:r>
      <w:r w:rsidRPr="00C901E0">
        <w:rPr>
          <w:color w:val="000000"/>
          <w:kern w:val="22"/>
          <w:lang w:val="es-ES"/>
        </w:rPr>
        <w:t xml:space="preserve"> a las Partes a participar en el proceso de elaboración del marco mundial de la diversidad biológica posterior a 2020;</w:t>
      </w:r>
    </w:p>
    <w:p w:rsidR="0064207A" w:rsidRPr="00C901E0" w:rsidRDefault="0064207A" w:rsidP="00465C6E">
      <w:pPr>
        <w:pStyle w:val="ListParagraph"/>
        <w:numPr>
          <w:ilvl w:val="0"/>
          <w:numId w:val="31"/>
        </w:numPr>
        <w:suppressLineNumbers/>
        <w:suppressAutoHyphens/>
        <w:adjustRightInd w:val="0"/>
        <w:snapToGrid w:val="0"/>
        <w:spacing w:before="120" w:after="120"/>
        <w:ind w:left="0" w:firstLine="720"/>
        <w:rPr>
          <w:color w:val="000000"/>
          <w:kern w:val="22"/>
          <w:lang w:val="es-ES"/>
        </w:rPr>
      </w:pPr>
      <w:r w:rsidRPr="00C901E0">
        <w:rPr>
          <w:i/>
          <w:color w:val="000000"/>
          <w:kern w:val="22"/>
          <w:lang w:val="es-ES"/>
        </w:rPr>
        <w:t>Decide</w:t>
      </w:r>
      <w:r w:rsidRPr="00C901E0">
        <w:rPr>
          <w:color w:val="000000"/>
          <w:kern w:val="22"/>
          <w:lang w:val="es-ES"/>
        </w:rPr>
        <w:t xml:space="preserve"> elaborar un Plan de Aplicación específico para el Protocolo de Cartagena sobre Seguridad de la Biotecnología posterior a 2020 que se base en el marco mundial de la diversidad biológica posterior a 2020 y lo complemente, y </w:t>
      </w:r>
      <w:r w:rsidRPr="00C901E0">
        <w:rPr>
          <w:i/>
          <w:color w:val="000000"/>
          <w:kern w:val="22"/>
          <w:lang w:val="es-ES"/>
        </w:rPr>
        <w:t>pide</w:t>
      </w:r>
      <w:r w:rsidRPr="00C901E0">
        <w:rPr>
          <w:color w:val="000000"/>
          <w:kern w:val="22"/>
          <w:lang w:val="es-ES"/>
        </w:rPr>
        <w:t xml:space="preserve"> a la Secretaria Ejecutiva que facilite la elaboración de sus elementos;</w:t>
      </w:r>
    </w:p>
    <w:p w:rsidR="0064207A" w:rsidRPr="00C901E0" w:rsidRDefault="0064207A" w:rsidP="00465C6E">
      <w:pPr>
        <w:pStyle w:val="Para1"/>
        <w:numPr>
          <w:ilvl w:val="0"/>
          <w:numId w:val="31"/>
        </w:numPr>
        <w:suppressLineNumbers/>
        <w:suppressAutoHyphens/>
        <w:ind w:left="0" w:firstLine="720"/>
        <w:rPr>
          <w:szCs w:val="24"/>
          <w:lang w:val="es-ES"/>
        </w:rPr>
      </w:pPr>
      <w:r w:rsidRPr="00C901E0">
        <w:rPr>
          <w:i/>
          <w:color w:val="000000"/>
          <w:szCs w:val="24"/>
          <w:lang w:val="es-ES"/>
        </w:rPr>
        <w:t>Decide</w:t>
      </w:r>
      <w:r w:rsidRPr="00C901E0">
        <w:rPr>
          <w:color w:val="000000"/>
          <w:szCs w:val="24"/>
          <w:lang w:val="es-ES"/>
        </w:rPr>
        <w:t xml:space="preserve"> </w:t>
      </w:r>
      <w:r w:rsidRPr="00C901E0">
        <w:rPr>
          <w:i/>
          <w:color w:val="000000"/>
          <w:szCs w:val="24"/>
          <w:lang w:val="es-ES"/>
        </w:rPr>
        <w:t xml:space="preserve">también </w:t>
      </w:r>
      <w:r w:rsidRPr="00C901E0">
        <w:rPr>
          <w:color w:val="000000"/>
          <w:szCs w:val="24"/>
          <w:lang w:val="es-ES"/>
        </w:rPr>
        <w:t>que el Plan de Aplicación específico para el Protocolo de Cartagena sobre Seguridad de la Biotecnología posterior a 2020: a) se desarrollará como una herramienta para la aplicación; b) reflejará los elementos del Plan Estratégico para el Protocolo de Cartagena sobre Seguridad de la Biotecnología en el período 2011-2020 que sigan siendo pertinentes; c) incluirá nuevos elementos que reflejen las lecciones aprendidas y las novedades pertinentes para la seguridad de la biotecnología; d) será lo suficientemente flexible como para tener en cuenta las novedades que surjan en el período de aplicación; y d) comprenderá indicadores simples y fácilmente mensurables para facilitar el examen de los progresos en la aplicación del Protocolo;</w:t>
      </w:r>
    </w:p>
    <w:p w:rsidR="0064207A" w:rsidRPr="00C901E0" w:rsidRDefault="0064207A" w:rsidP="0064207A">
      <w:pPr>
        <w:pStyle w:val="Para1"/>
        <w:numPr>
          <w:ilvl w:val="0"/>
          <w:numId w:val="0"/>
        </w:numPr>
        <w:suppressLineNumbers/>
        <w:suppressAutoHyphens/>
        <w:ind w:firstLine="720"/>
        <w:rPr>
          <w:szCs w:val="24"/>
          <w:lang w:val="es-ES"/>
        </w:rPr>
      </w:pPr>
      <w:r w:rsidRPr="00C901E0">
        <w:rPr>
          <w:szCs w:val="24"/>
          <w:lang w:val="es-ES"/>
        </w:rPr>
        <w:t>7.</w:t>
      </w:r>
      <w:r w:rsidRPr="00C901E0">
        <w:rPr>
          <w:szCs w:val="24"/>
          <w:lang w:val="es-ES"/>
        </w:rPr>
        <w:tab/>
      </w:r>
      <w:r w:rsidRPr="00C901E0">
        <w:rPr>
          <w:i/>
          <w:szCs w:val="24"/>
          <w:lang w:val="es-ES"/>
        </w:rPr>
        <w:t xml:space="preserve">Decide además </w:t>
      </w:r>
      <w:r w:rsidRPr="00C901E0">
        <w:rPr>
          <w:szCs w:val="24"/>
          <w:lang w:val="es-ES"/>
        </w:rPr>
        <w:t>ampliar el mandato y el alcance del Grupo de Enlace sobre Creación de Capacidad para Seguridad de la Biotecnología, según lo expuesto en el anexo, incluir conocimientos especializados específicos sobre la experiencia práctica en la aplicación del Protocolo y sobre cuestiones de seguridad de la biotecnología, teniendo en cuenta la representación geográfica y las opiniones divergentes, y cambiarle el nombre a “Grupo de Enlace del Protocolo de Cartagena sobre Seguridad de la Biotecnología”;</w:t>
      </w:r>
    </w:p>
    <w:p w:rsidR="0064207A" w:rsidRPr="00C901E0" w:rsidRDefault="0064207A" w:rsidP="00465C6E">
      <w:pPr>
        <w:pStyle w:val="Para1"/>
        <w:numPr>
          <w:ilvl w:val="0"/>
          <w:numId w:val="32"/>
        </w:numPr>
        <w:suppressLineNumbers/>
        <w:suppressAutoHyphens/>
        <w:ind w:left="0" w:firstLine="720"/>
        <w:rPr>
          <w:szCs w:val="24"/>
          <w:lang w:val="es-ES"/>
        </w:rPr>
      </w:pPr>
      <w:r w:rsidRPr="00C901E0">
        <w:rPr>
          <w:i/>
          <w:color w:val="000000"/>
          <w:szCs w:val="24"/>
          <w:lang w:val="es-ES"/>
        </w:rPr>
        <w:t xml:space="preserve">Pide </w:t>
      </w:r>
      <w:r w:rsidRPr="00C901E0">
        <w:rPr>
          <w:color w:val="000000"/>
          <w:szCs w:val="24"/>
          <w:lang w:val="es-ES"/>
        </w:rPr>
        <w:t>al Grupo de Enlace que contribuya a la elaboración de los elementos pertinentes del componente de seguridad de la biotecnología en el marco mundial de la diversidad biológica posterior a 2020, en consulta con los copresidentes del Grupo de Trabajo de Composición Abierta</w:t>
      </w:r>
      <w:r w:rsidRPr="00E50E56">
        <w:rPr>
          <w:rStyle w:val="FootnoteReference"/>
          <w:color w:val="000000"/>
          <w:sz w:val="22"/>
          <w:u w:val="none"/>
          <w:vertAlign w:val="superscript"/>
          <w:lang w:val="es-ES"/>
        </w:rPr>
        <w:footnoteReference w:id="16"/>
      </w:r>
      <w:r w:rsidRPr="00C901E0">
        <w:rPr>
          <w:color w:val="000000"/>
          <w:szCs w:val="24"/>
          <w:lang w:val="es-ES"/>
        </w:rPr>
        <w:t>, y del instrumento específico que suceda al Plan Estratégico para el Protocolo de Cartagena sobre Seguridad de la Biotecnología en el período 2011-2020 basado en el marco mundial de la diversidad biológica posterior a 2020 y complementario a él</w:t>
      </w:r>
      <w:r w:rsidRPr="00C901E0">
        <w:rPr>
          <w:szCs w:val="24"/>
          <w:lang w:val="es-ES"/>
        </w:rPr>
        <w:t>;</w:t>
      </w:r>
    </w:p>
    <w:p w:rsidR="0064207A" w:rsidRPr="00C901E0" w:rsidRDefault="0064207A" w:rsidP="00E50E56">
      <w:pPr>
        <w:pStyle w:val="Para1"/>
        <w:keepNext/>
        <w:keepLines/>
        <w:numPr>
          <w:ilvl w:val="0"/>
          <w:numId w:val="32"/>
        </w:numPr>
        <w:suppressLineNumbers/>
        <w:suppressAutoHyphens/>
        <w:spacing w:before="0" w:after="0"/>
        <w:ind w:left="0" w:firstLine="720"/>
        <w:rPr>
          <w:szCs w:val="24"/>
          <w:lang w:val="es-ES"/>
        </w:rPr>
      </w:pPr>
      <w:r w:rsidRPr="00C901E0">
        <w:rPr>
          <w:i/>
          <w:szCs w:val="24"/>
          <w:lang w:val="es-ES"/>
        </w:rPr>
        <w:lastRenderedPageBreak/>
        <w:t>Pide</w:t>
      </w:r>
      <w:r w:rsidRPr="00C901E0">
        <w:rPr>
          <w:szCs w:val="24"/>
          <w:lang w:val="es-ES"/>
        </w:rPr>
        <w:t xml:space="preserve"> a la Secretaria Ejecutiva que:</w:t>
      </w:r>
    </w:p>
    <w:p w:rsidR="0064207A" w:rsidRPr="00C901E0" w:rsidRDefault="0064207A" w:rsidP="00E50E56">
      <w:pPr>
        <w:pStyle w:val="Para1"/>
        <w:keepNext/>
        <w:keepLines/>
        <w:numPr>
          <w:ilvl w:val="1"/>
          <w:numId w:val="38"/>
        </w:numPr>
        <w:suppressLineNumbers/>
        <w:suppressAutoHyphens/>
        <w:ind w:left="0" w:firstLine="709"/>
        <w:rPr>
          <w:szCs w:val="24"/>
          <w:lang w:val="es-ES"/>
        </w:rPr>
      </w:pPr>
      <w:r w:rsidRPr="00C901E0">
        <w:rPr>
          <w:szCs w:val="24"/>
          <w:lang w:val="es-ES"/>
        </w:rPr>
        <w:t>Facilite y apoye la inclusión del componente de seguridad de la biotecnología en el marco mundial de la diversidad biológica posterior a 2020;</w:t>
      </w:r>
    </w:p>
    <w:p w:rsidR="0064207A" w:rsidRPr="00C901E0" w:rsidRDefault="0064207A" w:rsidP="00465C6E">
      <w:pPr>
        <w:pStyle w:val="Para1"/>
        <w:numPr>
          <w:ilvl w:val="1"/>
          <w:numId w:val="38"/>
        </w:numPr>
        <w:suppressLineNumbers/>
        <w:suppressAutoHyphens/>
        <w:ind w:left="0" w:firstLine="709"/>
        <w:rPr>
          <w:szCs w:val="24"/>
          <w:lang w:val="es-ES"/>
        </w:rPr>
      </w:pPr>
      <w:r w:rsidRPr="00C901E0">
        <w:rPr>
          <w:szCs w:val="24"/>
          <w:lang w:val="es-ES"/>
        </w:rPr>
        <w:t>Trabaje con los copresidentes del Grupo de Enlace y del Grupo de Trabajo de Composición Abierta para establecer plazos complementarios claros para la contribución de las Partes en el Protocolo, con respecto a los elementos pertinentes de seguridad de la biotecnología para el marco mundial de la diversidad biológica posterior a 2020;</w:t>
      </w:r>
    </w:p>
    <w:p w:rsidR="0064207A" w:rsidRPr="00C901E0" w:rsidRDefault="0064207A" w:rsidP="00465C6E">
      <w:pPr>
        <w:pStyle w:val="Para1"/>
        <w:numPr>
          <w:ilvl w:val="1"/>
          <w:numId w:val="38"/>
        </w:numPr>
        <w:suppressLineNumbers/>
        <w:suppressAutoHyphens/>
        <w:ind w:left="0" w:firstLine="709"/>
        <w:rPr>
          <w:szCs w:val="24"/>
          <w:lang w:val="es-ES"/>
        </w:rPr>
      </w:pPr>
      <w:r w:rsidRPr="00C901E0">
        <w:rPr>
          <w:szCs w:val="24"/>
          <w:lang w:val="es-ES"/>
        </w:rPr>
        <w:t>Convoque sesiones dedicadas a tratar asuntos relacionados con la seguridad de la biotecnología durante los talleres mundiales y regionales de consulta a los que se hace referencia en la decisión 14/34;</w:t>
      </w:r>
    </w:p>
    <w:p w:rsidR="0064207A" w:rsidRPr="00E50E56" w:rsidRDefault="0064207A" w:rsidP="00465C6E">
      <w:pPr>
        <w:numPr>
          <w:ilvl w:val="1"/>
          <w:numId w:val="38"/>
        </w:numPr>
        <w:suppressLineNumbers/>
        <w:tabs>
          <w:tab w:val="left" w:pos="1418"/>
        </w:tabs>
        <w:suppressAutoHyphens/>
        <w:spacing w:before="120" w:after="120"/>
        <w:ind w:left="0" w:firstLine="709"/>
        <w:jc w:val="both"/>
        <w:rPr>
          <w:kern w:val="22"/>
          <w:sz w:val="22"/>
          <w:szCs w:val="22"/>
          <w:lang w:val="es-ES"/>
        </w:rPr>
      </w:pPr>
      <w:r w:rsidRPr="00E50E56">
        <w:rPr>
          <w:kern w:val="22"/>
          <w:sz w:val="22"/>
          <w:szCs w:val="22"/>
          <w:lang w:val="es-ES"/>
        </w:rPr>
        <w:t>Facilite la participación de un número adecuado de expertos en seguridad de la biotecnología, incluidos expertos en el Protocolo Suplementario de Nagoya – Kuala Lumpur sobre Responsabilidad y Compensación, en la elaboración de los elementos pertinentes del marco mundial de la diversidad biológica posterior a 2020, como por ejemplo en talleres de consulta pertinentes;</w:t>
      </w:r>
    </w:p>
    <w:p w:rsidR="0064207A" w:rsidRPr="00E50E56" w:rsidRDefault="0064207A" w:rsidP="00465C6E">
      <w:pPr>
        <w:numPr>
          <w:ilvl w:val="1"/>
          <w:numId w:val="38"/>
        </w:numPr>
        <w:suppressLineNumbers/>
        <w:suppressAutoHyphens/>
        <w:ind w:left="0" w:firstLine="709"/>
        <w:jc w:val="both"/>
        <w:rPr>
          <w:kern w:val="22"/>
          <w:sz w:val="22"/>
          <w:szCs w:val="22"/>
          <w:lang w:val="es-ES"/>
        </w:rPr>
      </w:pPr>
      <w:r w:rsidRPr="00E50E56">
        <w:rPr>
          <w:kern w:val="22"/>
          <w:sz w:val="22"/>
          <w:szCs w:val="22"/>
          <w:lang w:val="es-ES"/>
        </w:rPr>
        <w:t>Recopile aportaciones de las Partes, otros Gobiernos, pueblos indígenas y comunidades locales y organizaciones pertinentes que brinden opiniones sobre i) la estructura y el contenido del instrumento que sucederá al actual Plan Estratégico del Protocolo de Cartagena en el período 2011-2020, es decir, el Plan de Aplicación para el Protocolo de Cartagena posterior a 2020, y ii) los elementos pertinentes del componente de seguridad de la biotecnología del marco mundial de la diversidad biológica posterior a 2020;</w:t>
      </w:r>
    </w:p>
    <w:p w:rsidR="0064207A" w:rsidRPr="00E50E56" w:rsidRDefault="0064207A" w:rsidP="00465C6E">
      <w:pPr>
        <w:numPr>
          <w:ilvl w:val="1"/>
          <w:numId w:val="38"/>
        </w:numPr>
        <w:suppressLineNumbers/>
        <w:suppressAutoHyphens/>
        <w:spacing w:before="120" w:after="120"/>
        <w:ind w:left="0" w:firstLine="709"/>
        <w:jc w:val="both"/>
        <w:rPr>
          <w:kern w:val="22"/>
          <w:sz w:val="22"/>
          <w:szCs w:val="22"/>
          <w:lang w:val="es-ES"/>
        </w:rPr>
      </w:pPr>
      <w:r w:rsidRPr="00E50E56">
        <w:rPr>
          <w:kern w:val="22"/>
          <w:sz w:val="22"/>
          <w:szCs w:val="22"/>
          <w:lang w:val="es-ES"/>
        </w:rPr>
        <w:t>Convoque debates en línea del Grupo de Enlace, según proceda, para examinar las aportaciones a las que se hace referencia en el párrafo 9 e) ii) anterior para brindar insumos para la elaboración de los elementos pertinentes del componente de seguridad de la biotecnología en el marco mundial de la diversidad biológica posterior a 2020;</w:t>
      </w:r>
    </w:p>
    <w:p w:rsidR="0064207A" w:rsidRPr="00E50E56" w:rsidRDefault="0064207A" w:rsidP="00465C6E">
      <w:pPr>
        <w:numPr>
          <w:ilvl w:val="1"/>
          <w:numId w:val="38"/>
        </w:numPr>
        <w:suppressLineNumbers/>
        <w:suppressAutoHyphens/>
        <w:spacing w:before="120" w:after="120"/>
        <w:ind w:left="0" w:firstLine="709"/>
        <w:jc w:val="both"/>
        <w:rPr>
          <w:kern w:val="22"/>
          <w:sz w:val="22"/>
          <w:szCs w:val="22"/>
          <w:lang w:val="es-ES"/>
        </w:rPr>
      </w:pPr>
      <w:r w:rsidRPr="00E50E56">
        <w:rPr>
          <w:kern w:val="22"/>
          <w:sz w:val="22"/>
          <w:szCs w:val="22"/>
          <w:lang w:val="es-ES"/>
        </w:rPr>
        <w:t>Prepare un proyecto de plan de aplicación para el Protocolo de Cartagena sobre Seguridad de la Biotecnología posterior a 2020 sobre la base de las aportaciones a las que se hace referencia en el párrafo 9 e) i) anterior;</w:t>
      </w:r>
    </w:p>
    <w:p w:rsidR="0064207A" w:rsidRPr="00E50E56" w:rsidRDefault="0064207A" w:rsidP="00465C6E">
      <w:pPr>
        <w:numPr>
          <w:ilvl w:val="1"/>
          <w:numId w:val="38"/>
        </w:numPr>
        <w:suppressLineNumbers/>
        <w:suppressAutoHyphens/>
        <w:spacing w:before="120" w:after="120"/>
        <w:ind w:left="0" w:firstLine="709"/>
        <w:jc w:val="both"/>
        <w:rPr>
          <w:kern w:val="22"/>
          <w:sz w:val="22"/>
          <w:szCs w:val="22"/>
          <w:lang w:val="es-ES"/>
        </w:rPr>
      </w:pPr>
      <w:r w:rsidRPr="00E50E56">
        <w:rPr>
          <w:kern w:val="22"/>
          <w:sz w:val="22"/>
          <w:szCs w:val="22"/>
          <w:lang w:val="es-ES"/>
        </w:rPr>
        <w:t>Convoque debates en línea de composición abierta entre las Partes y otros interesados directos sobre el proyecto de plan de aplicación para el Protocolo de Cartagena sobre Seguridad de la Biotecnología posterior a 2020 al que se hace referencia en el párrafo 9 g) anterior;</w:t>
      </w:r>
    </w:p>
    <w:p w:rsidR="0064207A" w:rsidRPr="00E50E56" w:rsidRDefault="0064207A" w:rsidP="00465C6E">
      <w:pPr>
        <w:numPr>
          <w:ilvl w:val="1"/>
          <w:numId w:val="38"/>
        </w:numPr>
        <w:suppressLineNumbers/>
        <w:suppressAutoHyphens/>
        <w:spacing w:before="120" w:after="120"/>
        <w:ind w:left="0" w:firstLine="709"/>
        <w:jc w:val="both"/>
        <w:rPr>
          <w:kern w:val="22"/>
          <w:sz w:val="22"/>
          <w:szCs w:val="22"/>
          <w:lang w:val="es-ES"/>
        </w:rPr>
      </w:pPr>
      <w:r w:rsidRPr="00E50E56">
        <w:rPr>
          <w:kern w:val="22"/>
          <w:sz w:val="22"/>
          <w:szCs w:val="22"/>
          <w:lang w:val="es-ES"/>
        </w:rPr>
        <w:t>Convoque una reunión presencial del Grupo de Enlace, para 2019, con el cometido de i) preparar un proyecto de componente de seguridad de la biotecnología para el marco mundial de la diversidad biológica posterior a 2020 con respecto a cuestiones relacionadas con el Protocolo de Cartagena y ii) examinar el proyecto de plan de aplicación para el Protocolo de Cartagena sobre Seguridad de la Biotecnología posterior a 2020 al que se hace referencia en el párrafo 9 g) anterior;</w:t>
      </w:r>
    </w:p>
    <w:p w:rsidR="0064207A" w:rsidRPr="00E50E56" w:rsidRDefault="0064207A" w:rsidP="00465C6E">
      <w:pPr>
        <w:numPr>
          <w:ilvl w:val="1"/>
          <w:numId w:val="38"/>
        </w:numPr>
        <w:suppressLineNumbers/>
        <w:suppressAutoHyphens/>
        <w:spacing w:before="120" w:after="120"/>
        <w:ind w:left="0" w:firstLine="709"/>
        <w:jc w:val="both"/>
        <w:rPr>
          <w:kern w:val="22"/>
          <w:sz w:val="22"/>
          <w:szCs w:val="22"/>
          <w:lang w:val="es-ES"/>
        </w:rPr>
      </w:pPr>
      <w:r w:rsidRPr="00E50E56">
        <w:rPr>
          <w:kern w:val="22"/>
          <w:sz w:val="22"/>
          <w:szCs w:val="22"/>
          <w:lang w:val="es-ES"/>
        </w:rPr>
        <w:t>Lleve a cabo una revisión por pares a cargo de las Partes en el Protocolo de Cartagena del proyecto de plan de aplicación para el Protocolo de Cartagena sobre Seguridad de la Biotecnología posterior a 2020;</w:t>
      </w:r>
    </w:p>
    <w:p w:rsidR="0064207A" w:rsidRPr="00E50E56" w:rsidRDefault="0064207A" w:rsidP="00465C6E">
      <w:pPr>
        <w:numPr>
          <w:ilvl w:val="1"/>
          <w:numId w:val="38"/>
        </w:numPr>
        <w:suppressLineNumbers/>
        <w:suppressAutoHyphens/>
        <w:spacing w:before="120" w:after="120"/>
        <w:ind w:left="0" w:firstLine="709"/>
        <w:jc w:val="both"/>
        <w:rPr>
          <w:kern w:val="22"/>
          <w:sz w:val="22"/>
          <w:szCs w:val="22"/>
          <w:lang w:val="es-ES"/>
        </w:rPr>
      </w:pPr>
      <w:r w:rsidRPr="00E50E56">
        <w:rPr>
          <w:kern w:val="22"/>
          <w:sz w:val="22"/>
          <w:szCs w:val="22"/>
          <w:lang w:val="es-ES"/>
        </w:rPr>
        <w:t>Presente el proyecto final de plan de aplicación para el Protocolo de Cartagena sobre Seguridad de la Biotecnología posterior a 2020 al Órgano Subsidiario sobre la Aplicación para que lo examine en su tercera reunión;</w:t>
      </w:r>
    </w:p>
    <w:p w:rsidR="0076249F" w:rsidRPr="00E50E56" w:rsidRDefault="0064207A" w:rsidP="00E50E56">
      <w:pPr>
        <w:suppressLineNumbers/>
        <w:suppressAutoHyphens/>
        <w:snapToGrid w:val="0"/>
        <w:spacing w:before="120" w:after="120"/>
        <w:ind w:firstLine="720"/>
        <w:jc w:val="both"/>
        <w:rPr>
          <w:kern w:val="22"/>
          <w:sz w:val="22"/>
          <w:szCs w:val="22"/>
          <w:lang w:val="es-ES"/>
        </w:rPr>
      </w:pPr>
      <w:r w:rsidRPr="00E50E56">
        <w:rPr>
          <w:kern w:val="22"/>
          <w:sz w:val="22"/>
          <w:szCs w:val="22"/>
          <w:lang w:val="es-ES"/>
        </w:rPr>
        <w:t>10.</w:t>
      </w:r>
      <w:r w:rsidRPr="00E50E56">
        <w:rPr>
          <w:i/>
          <w:kern w:val="22"/>
          <w:sz w:val="22"/>
          <w:szCs w:val="22"/>
          <w:lang w:val="es-ES"/>
        </w:rPr>
        <w:tab/>
        <w:t xml:space="preserve">Pide </w:t>
      </w:r>
      <w:r w:rsidRPr="00E50E56">
        <w:rPr>
          <w:kern w:val="22"/>
          <w:sz w:val="22"/>
          <w:szCs w:val="22"/>
          <w:lang w:val="es-ES"/>
        </w:rPr>
        <w:t>al Órgano Subsidiario sobre la Aplicación que en su tercera reunión examine un proyecto de Plan de Aplicación para el Protocolo de Cartagena sobre Seguridad de la Biotecnología posterior a 2020 y que formule una recomendación al respecto para que la Conferencia de las Partes que actúa como reunión de las Partes en el Protocolo de Cartagena la examine en su décima reunión.</w:t>
      </w:r>
    </w:p>
    <w:p w:rsidR="0076249F" w:rsidRPr="00E50E56" w:rsidRDefault="0076249F" w:rsidP="0076249F">
      <w:pPr>
        <w:keepNext/>
        <w:tabs>
          <w:tab w:val="left" w:pos="1418"/>
        </w:tabs>
        <w:spacing w:before="120" w:after="120"/>
        <w:jc w:val="center"/>
        <w:rPr>
          <w:i/>
          <w:kern w:val="22"/>
          <w:sz w:val="22"/>
          <w:szCs w:val="22"/>
          <w:lang w:val="es-ES"/>
        </w:rPr>
      </w:pPr>
      <w:r w:rsidRPr="00E50E56">
        <w:rPr>
          <w:i/>
          <w:kern w:val="22"/>
          <w:sz w:val="22"/>
          <w:szCs w:val="22"/>
          <w:lang w:val="es-ES"/>
        </w:rPr>
        <w:lastRenderedPageBreak/>
        <w:t>Anex</w:t>
      </w:r>
      <w:r w:rsidR="0064207A" w:rsidRPr="00E50E56">
        <w:rPr>
          <w:i/>
          <w:kern w:val="22"/>
          <w:sz w:val="22"/>
          <w:szCs w:val="22"/>
          <w:lang w:val="es-ES"/>
        </w:rPr>
        <w:t>o</w:t>
      </w:r>
    </w:p>
    <w:p w:rsidR="0076249F" w:rsidRPr="00C901E0" w:rsidRDefault="0064207A" w:rsidP="0076249F">
      <w:pPr>
        <w:spacing w:before="120" w:after="120"/>
        <w:jc w:val="center"/>
        <w:rPr>
          <w:b/>
          <w:kern w:val="22"/>
          <w:sz w:val="22"/>
          <w:szCs w:val="22"/>
          <w:lang w:val="es-ES"/>
        </w:rPr>
      </w:pPr>
      <w:r w:rsidRPr="00C901E0">
        <w:rPr>
          <w:b/>
          <w:kern w:val="22"/>
          <w:sz w:val="22"/>
          <w:szCs w:val="22"/>
          <w:lang w:val="es-ES"/>
        </w:rPr>
        <w:t>MANDATO DEL GRUPO DE ENLACE DEL PROTOCOLO DE CARTAGENA SOBRE SEGURIDAD DE LA BIOTECNOLOGÍA</w:t>
      </w:r>
    </w:p>
    <w:p w:rsidR="0064207A" w:rsidRPr="00C901E0" w:rsidRDefault="0064207A" w:rsidP="00465C6E">
      <w:pPr>
        <w:pStyle w:val="ListParagraph"/>
        <w:numPr>
          <w:ilvl w:val="0"/>
          <w:numId w:val="33"/>
        </w:numPr>
        <w:spacing w:before="120" w:after="120"/>
        <w:ind w:left="0" w:firstLine="0"/>
        <w:rPr>
          <w:lang w:val="es-ES"/>
        </w:rPr>
      </w:pPr>
      <w:r w:rsidRPr="00C901E0">
        <w:rPr>
          <w:kern w:val="22"/>
          <w:lang w:val="es-ES"/>
        </w:rPr>
        <w:t>El Grupo de Enlace brindará a la Secretaria Ejecutiva asesoramiento especializado sobre: a) formas y medios de mejorar la coordinación y la aplicación efectiva del Protocolo de Cartagena sobre Seguridad de la Biotecnología; y b) enfoques estratégicos generales y medidas operacionales prácticas y conceptuales para mejorar la coordinación de las actividades en el marco del Protocolo, incluidas iniciativas en materia de creación de capacidad, entre otras cosas.</w:t>
      </w:r>
    </w:p>
    <w:p w:rsidR="0076249F" w:rsidRPr="00C901E0" w:rsidRDefault="0064207A" w:rsidP="00465C6E">
      <w:pPr>
        <w:pStyle w:val="ListParagraph"/>
        <w:numPr>
          <w:ilvl w:val="0"/>
          <w:numId w:val="33"/>
        </w:numPr>
        <w:spacing w:before="120" w:after="120"/>
        <w:ind w:left="0" w:firstLine="0"/>
        <w:rPr>
          <w:kern w:val="22"/>
          <w:szCs w:val="22"/>
          <w:lang w:val="es-ES"/>
        </w:rPr>
      </w:pPr>
      <w:r w:rsidRPr="00C901E0">
        <w:rPr>
          <w:kern w:val="22"/>
          <w:lang w:val="es-ES"/>
        </w:rPr>
        <w:t>Los miembros del Grupo de Enlace serán seleccionados en función de su experiencia y conocimientos especializados demostrados con respecto a la aplicación del Protocolo de Cartagena sobre Seguridad de la Biotecnología y el Protocolo Suplementario de Nagoya – Kuala Lumpur sobre Responsabilidad y Compensación, teniendo en cuenta la representación geográfica, el equilibrio de género y una representación justa de los interesados directos pertinentes.</w:t>
      </w:r>
      <w:r w:rsidR="0076249F" w:rsidRPr="00C901E0">
        <w:rPr>
          <w:kern w:val="22"/>
          <w:szCs w:val="22"/>
          <w:lang w:val="es-ES"/>
        </w:rPr>
        <w:t>.</w:t>
      </w:r>
    </w:p>
    <w:p w:rsidR="00376CED" w:rsidRPr="00C901E0" w:rsidRDefault="00376CED" w:rsidP="0008472F">
      <w:pPr>
        <w:jc w:val="both"/>
        <w:rPr>
          <w:kern w:val="22"/>
          <w:sz w:val="22"/>
          <w:szCs w:val="22"/>
          <w:lang w:val="es-ES"/>
        </w:rPr>
      </w:pPr>
    </w:p>
    <w:p w:rsidR="00376CED" w:rsidRPr="00C901E0" w:rsidRDefault="00376CED" w:rsidP="0008472F">
      <w:pPr>
        <w:jc w:val="both"/>
        <w:rPr>
          <w:b/>
          <w:caps/>
          <w:sz w:val="22"/>
          <w:szCs w:val="22"/>
          <w:lang w:val="es-ES"/>
        </w:rPr>
      </w:pPr>
      <w:r w:rsidRPr="00C901E0">
        <w:rPr>
          <w:sz w:val="22"/>
          <w:szCs w:val="22"/>
          <w:lang w:val="es-ES"/>
        </w:rPr>
        <w:br w:type="page"/>
      </w:r>
    </w:p>
    <w:p w:rsidR="00376CED" w:rsidRPr="00C901E0" w:rsidRDefault="00376CED" w:rsidP="00376CED">
      <w:pPr>
        <w:pStyle w:val="heading2-item"/>
        <w:ind w:left="1701" w:right="146" w:hanging="850"/>
        <w:jc w:val="left"/>
        <w:rPr>
          <w:lang w:val="es-ES"/>
        </w:rPr>
      </w:pPr>
      <w:bookmarkStart w:id="22" w:name="_Toc879821"/>
      <w:bookmarkStart w:id="23" w:name="_Toc5922081"/>
      <w:r w:rsidRPr="00C901E0">
        <w:rPr>
          <w:lang w:val="es-ES"/>
        </w:rPr>
        <w:lastRenderedPageBreak/>
        <w:t>9/8.</w:t>
      </w:r>
      <w:r w:rsidRPr="00C901E0">
        <w:rPr>
          <w:lang w:val="es-ES"/>
        </w:rPr>
        <w:tab/>
      </w:r>
      <w:bookmarkEnd w:id="22"/>
      <w:r w:rsidR="006C3E75" w:rsidRPr="00C901E0">
        <w:rPr>
          <w:lang w:val="es-ES"/>
        </w:rPr>
        <w:t>Examen de la experiencia en la celebración de reuniones concurrentes de la Conferencia de las Partes en el Convenio, la Conferencia de las Partes que actúa como reunión de las Partes en el Protocolo de Cartagena y la Conferencia de las Partes que actúa como reunión de las Partes en el Protocolo de Nagoya</w:t>
      </w:r>
      <w:bookmarkEnd w:id="23"/>
    </w:p>
    <w:p w:rsidR="006C3E75" w:rsidRPr="00E50E56" w:rsidRDefault="006C3E75" w:rsidP="006C3E75">
      <w:pPr>
        <w:suppressLineNumbers/>
        <w:suppressAutoHyphens/>
        <w:kinsoku w:val="0"/>
        <w:overflowPunct w:val="0"/>
        <w:autoSpaceDE w:val="0"/>
        <w:autoSpaceDN w:val="0"/>
        <w:adjustRightInd w:val="0"/>
        <w:snapToGrid w:val="0"/>
        <w:spacing w:before="120" w:after="120"/>
        <w:ind w:firstLine="720"/>
        <w:rPr>
          <w:rFonts w:ascii="MS Mincho" w:eastAsia="MS Mincho"/>
          <w:kern w:val="22"/>
          <w:sz w:val="22"/>
          <w:szCs w:val="22"/>
          <w:lang w:val="es-ES"/>
        </w:rPr>
      </w:pPr>
      <w:r w:rsidRPr="00E50E56">
        <w:rPr>
          <w:i/>
          <w:kern w:val="22"/>
          <w:sz w:val="22"/>
          <w:szCs w:val="22"/>
          <w:lang w:val="es-ES"/>
        </w:rPr>
        <w:t>La Conferencia de las Partes que actúa como reunión de las Partes en el Protocolo de Cartagena sobre Seguridad de la Biotecnología,</w:t>
      </w:r>
    </w:p>
    <w:p w:rsidR="006C3E75" w:rsidRPr="00E50E56" w:rsidRDefault="006C3E75" w:rsidP="00E50E56">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E50E56">
        <w:rPr>
          <w:i/>
          <w:kern w:val="22"/>
          <w:sz w:val="22"/>
          <w:szCs w:val="22"/>
          <w:lang w:val="es-ES"/>
        </w:rPr>
        <w:t>Recordando</w:t>
      </w:r>
      <w:r w:rsidRPr="00E50E56">
        <w:rPr>
          <w:kern w:val="22"/>
          <w:sz w:val="22"/>
          <w:szCs w:val="22"/>
          <w:lang w:val="es-ES"/>
        </w:rPr>
        <w:t xml:space="preserve"> las decisiones </w:t>
      </w:r>
      <w:hyperlink r:id="rId19" w:history="1">
        <w:r w:rsidRPr="00E50E56">
          <w:rPr>
            <w:color w:val="0000FF"/>
            <w:kern w:val="22"/>
            <w:sz w:val="22"/>
            <w:szCs w:val="22"/>
            <w:u w:val="single"/>
            <w:lang w:val="es-ES"/>
          </w:rPr>
          <w:t>BS-VII/9</w:t>
        </w:r>
      </w:hyperlink>
      <w:r w:rsidRPr="00E50E56">
        <w:rPr>
          <w:kern w:val="22"/>
          <w:sz w:val="22"/>
          <w:szCs w:val="22"/>
          <w:lang w:val="es-ES"/>
        </w:rPr>
        <w:t xml:space="preserve"> y </w:t>
      </w:r>
      <w:hyperlink r:id="rId20" w:history="1">
        <w:r w:rsidRPr="00E50E56">
          <w:rPr>
            <w:color w:val="0000FF"/>
            <w:kern w:val="22"/>
            <w:sz w:val="22"/>
            <w:szCs w:val="22"/>
            <w:u w:val="single"/>
            <w:lang w:val="es-ES"/>
          </w:rPr>
          <w:t>CP-VIII/10</w:t>
        </w:r>
      </w:hyperlink>
      <w:r w:rsidRPr="00E50E56">
        <w:rPr>
          <w:kern w:val="22"/>
          <w:sz w:val="22"/>
          <w:szCs w:val="22"/>
          <w:lang w:val="es-ES"/>
        </w:rPr>
        <w:t>,</w:t>
      </w:r>
    </w:p>
    <w:p w:rsidR="006C3E75" w:rsidRPr="00E50E56" w:rsidRDefault="006C3E75" w:rsidP="00E50E56">
      <w:pPr>
        <w:suppressLineNumbers/>
        <w:suppressAutoHyphens/>
        <w:kinsoku w:val="0"/>
        <w:overflowPunct w:val="0"/>
        <w:autoSpaceDE w:val="0"/>
        <w:autoSpaceDN w:val="0"/>
        <w:adjustRightInd w:val="0"/>
        <w:snapToGrid w:val="0"/>
        <w:spacing w:before="120" w:after="120"/>
        <w:ind w:firstLine="720"/>
        <w:jc w:val="both"/>
        <w:rPr>
          <w:i/>
          <w:kern w:val="22"/>
          <w:sz w:val="22"/>
          <w:szCs w:val="22"/>
          <w:lang w:val="es-ES"/>
        </w:rPr>
      </w:pPr>
      <w:r w:rsidRPr="00E50E56">
        <w:rPr>
          <w:i/>
          <w:kern w:val="22"/>
          <w:sz w:val="22"/>
          <w:szCs w:val="22"/>
          <w:lang w:val="es-ES"/>
        </w:rPr>
        <w:t>Habiendo examinado</w:t>
      </w:r>
      <w:r w:rsidRPr="00E50E56">
        <w:rPr>
          <w:kern w:val="22"/>
          <w:sz w:val="22"/>
          <w:szCs w:val="22"/>
          <w:lang w:val="es-ES"/>
        </w:rPr>
        <w:t xml:space="preserve"> 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establecidos en la decisión CP-VIII/10,</w:t>
      </w:r>
      <w:r w:rsidRPr="00E50E56">
        <w:rPr>
          <w:i/>
          <w:kern w:val="22"/>
          <w:sz w:val="22"/>
          <w:szCs w:val="22"/>
          <w:lang w:val="es-ES"/>
        </w:rPr>
        <w:t xml:space="preserve"> </w:t>
      </w:r>
      <w:r w:rsidRPr="00E50E56">
        <w:rPr>
          <w:kern w:val="22"/>
          <w:sz w:val="22"/>
          <w:szCs w:val="22"/>
          <w:lang w:val="es-ES"/>
        </w:rPr>
        <w:t>y</w:t>
      </w:r>
      <w:r w:rsidRPr="00E50E56">
        <w:rPr>
          <w:i/>
          <w:kern w:val="22"/>
          <w:sz w:val="22"/>
          <w:szCs w:val="22"/>
          <w:lang w:val="es-ES"/>
        </w:rPr>
        <w:t xml:space="preserve"> tomando en cuenta</w:t>
      </w:r>
      <w:r w:rsidRPr="00E50E56">
        <w:rPr>
          <w:kern w:val="22"/>
          <w:sz w:val="22"/>
          <w:szCs w:val="22"/>
          <w:lang w:val="es-ES"/>
        </w:rPr>
        <w:t xml:space="preserve"> las opiniones de las Partes, los observadores y los participantes que asistieron a la 13ª reunión de la Conferencia de las Partes en el Convenio, la 8ª reunión de la Conferencia de las Partes que actúa como reunión de las Partes en el Protocolo de Cartagena y la 2ª reunión de la Conferencia de las Partes que actúa como reunión de las Partes en el Protocolo de Nagoya, y las opiniones recabadas a través de las encuestas realizadas después de las reuniones,</w:t>
      </w:r>
    </w:p>
    <w:p w:rsidR="006C3E75" w:rsidRPr="00E50E56" w:rsidRDefault="006C3E75" w:rsidP="00E50E56">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E50E56">
        <w:rPr>
          <w:i/>
          <w:kern w:val="22"/>
          <w:sz w:val="22"/>
          <w:szCs w:val="22"/>
          <w:lang w:val="es-ES"/>
        </w:rPr>
        <w:t>Reconociendo</w:t>
      </w:r>
      <w:r w:rsidRPr="00E50E56">
        <w:rPr>
          <w:kern w:val="22"/>
          <w:sz w:val="22"/>
          <w:szCs w:val="22"/>
          <w:lang w:val="es-ES"/>
        </w:rPr>
        <w:t xml:space="preserve"> que se realizará otro examen en la 15ª reunión de la Conferencia de las Partes en el Convenio, la 10ª reunión de la Conferencia de las Partes que actúa como reunión de las Partes en el Protocolo de Cartagena y la 4ª reunión de la Conferencia de las Partes que actúa como reunión de las Partes en el Protocolo de Nagoya,</w:t>
      </w:r>
    </w:p>
    <w:p w:rsidR="006C3E75" w:rsidRPr="00E50E56" w:rsidRDefault="006C3E75" w:rsidP="00E50E56">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E50E56">
        <w:rPr>
          <w:kern w:val="22"/>
          <w:sz w:val="22"/>
          <w:szCs w:val="22"/>
          <w:lang w:val="es-ES"/>
        </w:rPr>
        <w:t>1.</w:t>
      </w:r>
      <w:r w:rsidRPr="00E50E56">
        <w:rPr>
          <w:kern w:val="22"/>
          <w:sz w:val="22"/>
          <w:szCs w:val="22"/>
          <w:lang w:val="es-ES"/>
        </w:rPr>
        <w:tab/>
      </w:r>
      <w:r w:rsidRPr="00E50E56">
        <w:rPr>
          <w:i/>
          <w:kern w:val="22"/>
          <w:sz w:val="22"/>
          <w:szCs w:val="22"/>
          <w:lang w:val="es-ES"/>
        </w:rPr>
        <w:t>Observa con satisfacción</w:t>
      </w:r>
      <w:r w:rsidRPr="00E50E56">
        <w:rPr>
          <w:kern w:val="22"/>
          <w:sz w:val="22"/>
          <w:szCs w:val="22"/>
          <w:lang w:val="es-ES"/>
        </w:rPr>
        <w:t xml:space="preserve"> que las reuniones concurrentes han permitido una mayor integración entre el Convenio y sus Protocolos y han mejorado las consultas, la coordinación y las sinergias entre los respectivos puntos focales nacionales;</w:t>
      </w:r>
    </w:p>
    <w:p w:rsidR="006C3E75" w:rsidRPr="00E50E56" w:rsidRDefault="006C3E75" w:rsidP="00E50E56">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E50E56">
        <w:rPr>
          <w:kern w:val="22"/>
          <w:sz w:val="22"/>
          <w:szCs w:val="22"/>
          <w:lang w:val="es-ES"/>
        </w:rPr>
        <w:t>2.</w:t>
      </w:r>
      <w:r w:rsidRPr="00E50E56">
        <w:rPr>
          <w:kern w:val="22"/>
          <w:sz w:val="22"/>
          <w:szCs w:val="22"/>
          <w:lang w:val="es-ES"/>
        </w:rPr>
        <w:tab/>
      </w:r>
      <w:r w:rsidRPr="00E50E56">
        <w:rPr>
          <w:i/>
          <w:spacing w:val="-2"/>
          <w:kern w:val="22"/>
          <w:sz w:val="22"/>
          <w:szCs w:val="22"/>
          <w:lang w:val="es-ES"/>
        </w:rPr>
        <w:t>Observa</w:t>
      </w:r>
      <w:r w:rsidRPr="00E50E56">
        <w:rPr>
          <w:spacing w:val="-2"/>
          <w:kern w:val="22"/>
          <w:sz w:val="22"/>
          <w:szCs w:val="22"/>
          <w:lang w:val="es-ES"/>
        </w:rPr>
        <w:t xml:space="preserve"> que se consideró que se habían cumplido total o parcialmente la mayoría de los criterios y que se podría seguir mejorando el funcionamiento de las reuniones concurrentes, en particular para lograr mejores resultados y una mayor eficacia en las reuniones de las Partes en los Protocolos</w:t>
      </w:r>
      <w:r w:rsidRPr="00E50E56">
        <w:rPr>
          <w:kern w:val="22"/>
          <w:sz w:val="22"/>
          <w:szCs w:val="22"/>
          <w:lang w:val="es-ES"/>
        </w:rPr>
        <w:t>;</w:t>
      </w:r>
    </w:p>
    <w:p w:rsidR="006C3E75" w:rsidRPr="00E50E56" w:rsidRDefault="006C3E75" w:rsidP="00E50E56">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E50E56">
        <w:rPr>
          <w:kern w:val="22"/>
          <w:sz w:val="22"/>
          <w:szCs w:val="22"/>
          <w:lang w:val="es-ES"/>
        </w:rPr>
        <w:t>3.</w:t>
      </w:r>
      <w:r w:rsidRPr="00E50E56">
        <w:rPr>
          <w:kern w:val="22"/>
          <w:sz w:val="22"/>
          <w:szCs w:val="22"/>
          <w:lang w:val="es-ES"/>
        </w:rPr>
        <w:tab/>
      </w:r>
      <w:r w:rsidRPr="00E50E56">
        <w:rPr>
          <w:i/>
          <w:kern w:val="22"/>
          <w:sz w:val="22"/>
          <w:szCs w:val="22"/>
          <w:lang w:val="es-ES"/>
        </w:rPr>
        <w:t>Reitera</w:t>
      </w:r>
      <w:r w:rsidRPr="00E50E56">
        <w:rPr>
          <w:kern w:val="22"/>
          <w:sz w:val="22"/>
          <w:szCs w:val="22"/>
          <w:lang w:val="es-ES"/>
        </w:rPr>
        <w:t xml:space="preserve"> la importancia de garantizar la participación plena y efectiva de representantes de las Partes que son países en desarrollo, en particular los países menos adelantados y los pequeños Estados insulares en desarrollo entre ellos, y los países con economías en transición, en las reuniones concurrentes y </w:t>
      </w:r>
      <w:r w:rsidRPr="00E50E56">
        <w:rPr>
          <w:i/>
          <w:kern w:val="22"/>
          <w:sz w:val="22"/>
          <w:szCs w:val="22"/>
          <w:lang w:val="es-ES"/>
        </w:rPr>
        <w:t>resalta</w:t>
      </w:r>
      <w:r w:rsidRPr="00E50E56">
        <w:rPr>
          <w:kern w:val="22"/>
          <w:sz w:val="22"/>
          <w:szCs w:val="22"/>
          <w:lang w:val="es-ES"/>
        </w:rPr>
        <w:t>, al respecto, la importancia, en particular, de garantizar una participación adecuada de representantes en las reuniones de los Protocolos mediante la facilitación de fondos para esa participación, incluido en las reuniones entre períodos de sesiones;</w:t>
      </w:r>
    </w:p>
    <w:p w:rsidR="006C3E75" w:rsidRPr="00E50E56" w:rsidRDefault="006C3E75" w:rsidP="00E50E56">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E50E56">
        <w:rPr>
          <w:kern w:val="22"/>
          <w:sz w:val="22"/>
          <w:szCs w:val="22"/>
          <w:lang w:val="es-ES"/>
        </w:rPr>
        <w:t>4.</w:t>
      </w:r>
      <w:r w:rsidRPr="00E50E56">
        <w:rPr>
          <w:kern w:val="22"/>
          <w:sz w:val="22"/>
          <w:szCs w:val="22"/>
          <w:lang w:val="es-ES"/>
        </w:rPr>
        <w:tab/>
      </w:r>
      <w:r w:rsidRPr="00E50E56">
        <w:rPr>
          <w:i/>
          <w:kern w:val="22"/>
          <w:sz w:val="22"/>
          <w:szCs w:val="22"/>
          <w:lang w:val="es-ES"/>
        </w:rPr>
        <w:t>Pide</w:t>
      </w:r>
      <w:r w:rsidRPr="00E50E56">
        <w:rPr>
          <w:kern w:val="22"/>
          <w:sz w:val="22"/>
          <w:szCs w:val="22"/>
          <w:lang w:val="es-ES"/>
        </w:rPr>
        <w:t xml:space="preserve"> a la Secretaria Ejecutiva que continúe trabajando en el examen preliminar de la experiencia en la celebración de reuniones concurrentes, aplicando los criterios indicados en la decisión CP-VIII/10, sobre la base de la experiencia adquirida en la celebración en forma concurrente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para que sea examinado por el Órgano Subsidiario sobre la Aplicación en su tercera reunión;</w:t>
      </w:r>
    </w:p>
    <w:p w:rsidR="00B25EF0" w:rsidRPr="00C901E0" w:rsidRDefault="006C3E75" w:rsidP="006C3E75">
      <w:pPr>
        <w:pStyle w:val="ListParagraph"/>
        <w:suppressLineNumbers/>
        <w:shd w:val="clear" w:color="auto" w:fill="FFFFFF" w:themeFill="background1"/>
        <w:suppressAutoHyphens/>
        <w:spacing w:before="120" w:after="120"/>
        <w:ind w:left="0" w:firstLine="720"/>
        <w:rPr>
          <w:kern w:val="22"/>
          <w:szCs w:val="22"/>
          <w:lang w:val="es-ES"/>
        </w:rPr>
      </w:pPr>
      <w:r w:rsidRPr="00C901E0">
        <w:rPr>
          <w:kern w:val="22"/>
          <w:lang w:val="es-ES"/>
        </w:rPr>
        <w:t>5.</w:t>
      </w:r>
      <w:r w:rsidRPr="00C901E0">
        <w:rPr>
          <w:kern w:val="22"/>
          <w:lang w:val="es-ES"/>
        </w:rPr>
        <w:tab/>
      </w:r>
      <w:r w:rsidRPr="00C901E0">
        <w:rPr>
          <w:i/>
          <w:kern w:val="22"/>
          <w:lang w:val="es-ES"/>
        </w:rPr>
        <w:t>Pide</w:t>
      </w:r>
      <w:r w:rsidRPr="00C901E0">
        <w:rPr>
          <w:kern w:val="22"/>
          <w:lang w:val="es-ES"/>
        </w:rPr>
        <w:t xml:space="preserve"> a la Mesa y a la Secretaria Ejecutiva que, al terminar la propuesta de organización de los trabajos para la 15ª reunión de la Conferencia de las Partes en el Convenio, la 10ª reunión de la Conferencia de las Partes que actúa como reunión de las Partes en el Protocolo de Cartagena y la 4ª reunión de la Conferencia de las Partes que actúa como reunión de las Partes en el Protocolo de Nagoya, tengan en cuenta la presente decisión, la información que figura en la nota de la Secretaria Ejecutiva</w:t>
      </w:r>
      <w:r w:rsidRPr="00C901E0">
        <w:rPr>
          <w:kern w:val="22"/>
          <w:vertAlign w:val="superscript"/>
          <w:lang w:val="es-ES"/>
        </w:rPr>
        <w:footnoteReference w:id="17"/>
      </w:r>
      <w:r w:rsidRPr="00C901E0">
        <w:rPr>
          <w:kern w:val="22"/>
          <w:lang w:val="es-ES"/>
        </w:rPr>
        <w:t xml:space="preserve"> y la experiencia en la celebración en forma concurrente de la 14ª reunión de la Conferencia de </w:t>
      </w:r>
      <w:r w:rsidRPr="00C901E0">
        <w:rPr>
          <w:kern w:val="22"/>
          <w:lang w:val="es-ES"/>
        </w:rPr>
        <w:lastRenderedPageBreak/>
        <w:t>las Partes, la 9ª reunión de la Conferencia de las Partes que actúa como reunión de las Partes en el Protocolo de Cartagena y la 3ª reunión de la Conferencia de las Partes que actúa como reunión de las Partes en el Protocolo de Nagoya</w:t>
      </w:r>
      <w:r w:rsidR="00376CED" w:rsidRPr="00C901E0">
        <w:rPr>
          <w:kern w:val="22"/>
          <w:szCs w:val="22"/>
          <w:lang w:val="es-ES"/>
        </w:rPr>
        <w:t>.</w:t>
      </w:r>
    </w:p>
    <w:p w:rsidR="00376CED" w:rsidRPr="00C901E0" w:rsidRDefault="00376CED" w:rsidP="006C3E75">
      <w:pPr>
        <w:pStyle w:val="ListParagraph"/>
        <w:suppressLineNumbers/>
        <w:shd w:val="clear" w:color="auto" w:fill="FFFFFF" w:themeFill="background1"/>
        <w:suppressAutoHyphens/>
        <w:spacing w:before="120" w:after="120"/>
        <w:ind w:left="0" w:firstLine="720"/>
        <w:rPr>
          <w:lang w:val="es-ES"/>
        </w:rPr>
      </w:pPr>
      <w:r w:rsidRPr="00C901E0">
        <w:rPr>
          <w:lang w:val="es-ES"/>
        </w:rPr>
        <w:br w:type="page"/>
      </w:r>
    </w:p>
    <w:p w:rsidR="00376CED" w:rsidRPr="00C901E0" w:rsidRDefault="00376CED" w:rsidP="00237524">
      <w:pPr>
        <w:pStyle w:val="heading2-item"/>
        <w:ind w:left="1701" w:right="146" w:hanging="850"/>
        <w:jc w:val="left"/>
        <w:rPr>
          <w:iCs w:val="0"/>
          <w:szCs w:val="22"/>
          <w:lang w:val="es-ES"/>
        </w:rPr>
      </w:pPr>
      <w:bookmarkStart w:id="24" w:name="_Toc5922082"/>
      <w:r w:rsidRPr="00C901E0">
        <w:rPr>
          <w:iCs w:val="0"/>
          <w:lang w:val="es-ES"/>
        </w:rPr>
        <w:lastRenderedPageBreak/>
        <w:t>9/9.</w:t>
      </w:r>
      <w:r w:rsidRPr="00C901E0">
        <w:rPr>
          <w:iCs w:val="0"/>
          <w:lang w:val="es-ES"/>
        </w:rPr>
        <w:tab/>
      </w:r>
      <w:r w:rsidR="00C654ED" w:rsidRPr="00C901E0">
        <w:rPr>
          <w:iCs w:val="0"/>
          <w:szCs w:val="22"/>
          <w:lang w:val="es-ES"/>
        </w:rPr>
        <w:t>Mayor integración en el marco del Convenio y sus Protocolos con respecto a disposiciones relacionadas con la seguridad de la biotecnología</w:t>
      </w:r>
      <w:bookmarkEnd w:id="24"/>
    </w:p>
    <w:p w:rsidR="00C654ED" w:rsidRPr="00C901E0" w:rsidRDefault="00C654ED" w:rsidP="00C654ED">
      <w:pPr>
        <w:suppressLineNumbers/>
        <w:suppressAutoHyphens/>
        <w:ind w:firstLine="720"/>
        <w:rPr>
          <w:i/>
          <w:kern w:val="22"/>
          <w:sz w:val="22"/>
          <w:szCs w:val="22"/>
          <w:lang w:val="es-ES"/>
        </w:rPr>
      </w:pPr>
      <w:r w:rsidRPr="00C901E0">
        <w:rPr>
          <w:i/>
          <w:kern w:val="22"/>
          <w:sz w:val="22"/>
          <w:szCs w:val="22"/>
          <w:lang w:val="es-ES"/>
        </w:rPr>
        <w:t>La Conferencia de las Partes que actúa como reunión de las Partes en el Protocolo de Cartagena sobre Seguridad de la Biotecnología,</w:t>
      </w:r>
    </w:p>
    <w:p w:rsidR="00C654ED" w:rsidRPr="00C901E0" w:rsidRDefault="00C654ED" w:rsidP="00C654ED">
      <w:pPr>
        <w:pStyle w:val="Para1"/>
        <w:numPr>
          <w:ilvl w:val="0"/>
          <w:numId w:val="0"/>
        </w:numPr>
        <w:suppressLineNumbers/>
        <w:suppressAutoHyphens/>
        <w:kinsoku w:val="0"/>
        <w:overflowPunct w:val="0"/>
        <w:autoSpaceDE w:val="0"/>
        <w:autoSpaceDN w:val="0"/>
        <w:ind w:firstLine="720"/>
        <w:rPr>
          <w:lang w:val="es-ES"/>
        </w:rPr>
      </w:pPr>
      <w:r w:rsidRPr="00C901E0">
        <w:rPr>
          <w:i/>
          <w:lang w:val="es-ES"/>
        </w:rPr>
        <w:t xml:space="preserve">Recordando </w:t>
      </w:r>
      <w:r w:rsidRPr="00C901E0">
        <w:rPr>
          <w:lang w:val="es-ES"/>
        </w:rPr>
        <w:t>la decisión XIII/26 de la Conferencia de las Partes sobre posibles formas y medios de promover enfoques integrados para aquellas cuestiones que estén en la intersección de las disposiciones del Convenio relacionadas con la seguridad de la biotecnología y las disposiciones del Protocolo de Cartagena,</w:t>
      </w:r>
    </w:p>
    <w:p w:rsidR="00376CED" w:rsidRPr="00C901E0" w:rsidRDefault="00C654ED" w:rsidP="00C654ED">
      <w:pPr>
        <w:pStyle w:val="ListParagraph"/>
        <w:suppressLineNumbers/>
        <w:shd w:val="clear" w:color="auto" w:fill="FFFFFF" w:themeFill="background1"/>
        <w:suppressAutoHyphens/>
        <w:spacing w:before="120" w:after="120"/>
        <w:ind w:left="0" w:firstLine="720"/>
        <w:rPr>
          <w:kern w:val="22"/>
          <w:szCs w:val="22"/>
          <w:lang w:val="es-ES"/>
        </w:rPr>
      </w:pPr>
      <w:r w:rsidRPr="00C901E0">
        <w:rPr>
          <w:i/>
          <w:kern w:val="22"/>
          <w:szCs w:val="22"/>
          <w:lang w:val="es-ES"/>
        </w:rPr>
        <w:t xml:space="preserve">Toma nota </w:t>
      </w:r>
      <w:r w:rsidRPr="00C901E0">
        <w:rPr>
          <w:kern w:val="22"/>
          <w:szCs w:val="22"/>
          <w:lang w:val="es-ES"/>
        </w:rPr>
        <w:t xml:space="preserve">de la propuesta de formas y medios para lograr una mayor integración y </w:t>
      </w:r>
      <w:r w:rsidRPr="00C901E0">
        <w:rPr>
          <w:i/>
          <w:kern w:val="22"/>
          <w:szCs w:val="22"/>
          <w:lang w:val="es-ES"/>
        </w:rPr>
        <w:t>acoge con satisfacción</w:t>
      </w:r>
      <w:r w:rsidRPr="00C901E0">
        <w:rPr>
          <w:kern w:val="22"/>
          <w:szCs w:val="22"/>
          <w:lang w:val="es-ES"/>
        </w:rPr>
        <w:t xml:space="preserve"> la decisión 14/31 de la Conferencia de las Partes.</w:t>
      </w:r>
    </w:p>
    <w:p w:rsidR="00376CED" w:rsidRPr="00C901E0" w:rsidRDefault="00376CED">
      <w:pPr>
        <w:rPr>
          <w:b/>
          <w:caps/>
          <w:lang w:val="es-ES"/>
        </w:rPr>
      </w:pPr>
      <w:r w:rsidRPr="00C901E0">
        <w:rPr>
          <w:lang w:val="es-ES"/>
        </w:rPr>
        <w:br w:type="page"/>
      </w:r>
    </w:p>
    <w:p w:rsidR="00376CED" w:rsidRPr="00C901E0" w:rsidRDefault="00376CED" w:rsidP="00376CED">
      <w:pPr>
        <w:pStyle w:val="heading2-item"/>
        <w:rPr>
          <w:lang w:val="es-ES"/>
        </w:rPr>
      </w:pPr>
      <w:bookmarkStart w:id="25" w:name="_Toc879822"/>
      <w:bookmarkStart w:id="26" w:name="_Toc5922083"/>
      <w:r w:rsidRPr="00C901E0">
        <w:rPr>
          <w:lang w:val="es-ES"/>
        </w:rPr>
        <w:lastRenderedPageBreak/>
        <w:t>9/10.</w:t>
      </w:r>
      <w:r w:rsidRPr="00C901E0">
        <w:rPr>
          <w:lang w:val="es-ES"/>
        </w:rPr>
        <w:tab/>
      </w:r>
      <w:bookmarkEnd w:id="25"/>
      <w:r w:rsidR="008019E9" w:rsidRPr="00C901E0">
        <w:rPr>
          <w:lang w:val="es-ES"/>
        </w:rPr>
        <w:t>Procedimiento para evitar o tratar conflictos de intereses en los grupos de expertos</w:t>
      </w:r>
      <w:bookmarkEnd w:id="26"/>
    </w:p>
    <w:p w:rsidR="008019E9" w:rsidRPr="00C901E0" w:rsidRDefault="008019E9" w:rsidP="008019E9">
      <w:pPr>
        <w:suppressLineNumbers/>
        <w:suppressAutoHyphens/>
        <w:kinsoku w:val="0"/>
        <w:overflowPunct w:val="0"/>
        <w:autoSpaceDE w:val="0"/>
        <w:autoSpaceDN w:val="0"/>
        <w:adjustRightInd w:val="0"/>
        <w:snapToGrid w:val="0"/>
        <w:spacing w:before="120" w:after="120"/>
        <w:ind w:firstLine="720"/>
        <w:rPr>
          <w:rFonts w:ascii="MS Mincho" w:eastAsia="MS Mincho"/>
          <w:color w:val="000000"/>
          <w:kern w:val="22"/>
          <w:sz w:val="22"/>
          <w:szCs w:val="22"/>
          <w:lang w:val="es-ES"/>
        </w:rPr>
      </w:pPr>
      <w:r w:rsidRPr="00C901E0">
        <w:rPr>
          <w:i/>
          <w:color w:val="000000"/>
          <w:kern w:val="22"/>
          <w:sz w:val="22"/>
          <w:szCs w:val="22"/>
          <w:lang w:val="es-ES"/>
        </w:rPr>
        <w:t>La Conferencia de las Partes que actúa como reunión de las Partes en el Protocolo de Cartagena sobre Seguridad de la Biotecnología,</w:t>
      </w:r>
    </w:p>
    <w:p w:rsidR="008019E9" w:rsidRPr="00C901E0" w:rsidRDefault="008019E9" w:rsidP="008019E9">
      <w:pPr>
        <w:suppressLineNumbers/>
        <w:shd w:val="clear" w:color="auto" w:fill="FFFFFF"/>
        <w:suppressAutoHyphens/>
        <w:kinsoku w:val="0"/>
        <w:overflowPunct w:val="0"/>
        <w:autoSpaceDE w:val="0"/>
        <w:autoSpaceDN w:val="0"/>
        <w:adjustRightInd w:val="0"/>
        <w:snapToGrid w:val="0"/>
        <w:spacing w:before="120" w:after="120"/>
        <w:ind w:firstLine="720"/>
        <w:rPr>
          <w:color w:val="000000"/>
          <w:kern w:val="22"/>
          <w:sz w:val="22"/>
          <w:szCs w:val="22"/>
          <w:lang w:val="es-ES"/>
        </w:rPr>
      </w:pPr>
      <w:r w:rsidRPr="00C901E0">
        <w:rPr>
          <w:i/>
          <w:color w:val="000000"/>
          <w:kern w:val="22"/>
          <w:sz w:val="22"/>
          <w:szCs w:val="22"/>
          <w:lang w:val="es-ES"/>
        </w:rPr>
        <w:t>Reconociendo</w:t>
      </w:r>
      <w:r w:rsidRPr="00C901E0">
        <w:rPr>
          <w:color w:val="000000"/>
          <w:kern w:val="22"/>
          <w:sz w:val="22"/>
          <w:szCs w:val="22"/>
          <w:lang w:val="es-ES"/>
        </w:rPr>
        <w:t xml:space="preserve"> la importancia fundamental de adoptar decisiones basadas en el mejor asesoramiento especializado disponible,</w:t>
      </w:r>
    </w:p>
    <w:p w:rsidR="008019E9" w:rsidRPr="00C901E0" w:rsidRDefault="008019E9" w:rsidP="008019E9">
      <w:pPr>
        <w:suppressLineNumbers/>
        <w:shd w:val="clear" w:color="auto" w:fill="FFFFFF"/>
        <w:suppressAutoHyphens/>
        <w:kinsoku w:val="0"/>
        <w:overflowPunct w:val="0"/>
        <w:autoSpaceDE w:val="0"/>
        <w:autoSpaceDN w:val="0"/>
        <w:adjustRightInd w:val="0"/>
        <w:snapToGrid w:val="0"/>
        <w:spacing w:before="120" w:after="120"/>
        <w:ind w:firstLine="720"/>
        <w:rPr>
          <w:color w:val="000000"/>
          <w:kern w:val="22"/>
          <w:sz w:val="22"/>
          <w:szCs w:val="22"/>
          <w:lang w:val="es-ES"/>
        </w:rPr>
      </w:pPr>
      <w:r w:rsidRPr="00C901E0">
        <w:rPr>
          <w:i/>
          <w:color w:val="000000"/>
          <w:kern w:val="22"/>
          <w:sz w:val="22"/>
          <w:szCs w:val="22"/>
          <w:lang w:val="es-ES"/>
        </w:rPr>
        <w:t>Reconociendo también</w:t>
      </w:r>
      <w:r w:rsidRPr="00C901E0">
        <w:rPr>
          <w:color w:val="000000"/>
          <w:kern w:val="22"/>
          <w:sz w:val="22"/>
          <w:szCs w:val="22"/>
          <w:lang w:val="es-ES"/>
        </w:rPr>
        <w:t xml:space="preserve"> la necesidad de evitar o tratar con transparencia los conflictos de intereses de los miembros de los grupos de expertos que se establecen cada tanto para formular recomendaciones,</w:t>
      </w:r>
    </w:p>
    <w:p w:rsidR="008019E9" w:rsidRPr="00C901E0" w:rsidRDefault="008019E9" w:rsidP="008019E9">
      <w:pPr>
        <w:suppressLineNumbers/>
        <w:shd w:val="clear" w:color="auto" w:fill="FFFFFF"/>
        <w:suppressAutoHyphens/>
        <w:kinsoku w:val="0"/>
        <w:overflowPunct w:val="0"/>
        <w:autoSpaceDE w:val="0"/>
        <w:autoSpaceDN w:val="0"/>
        <w:adjustRightInd w:val="0"/>
        <w:snapToGrid w:val="0"/>
        <w:ind w:firstLine="720"/>
        <w:rPr>
          <w:color w:val="000000"/>
          <w:kern w:val="22"/>
          <w:sz w:val="22"/>
          <w:szCs w:val="22"/>
          <w:lang w:val="es-ES"/>
        </w:rPr>
      </w:pPr>
      <w:r w:rsidRPr="00C901E0">
        <w:rPr>
          <w:color w:val="000000"/>
          <w:kern w:val="22"/>
          <w:sz w:val="22"/>
          <w:szCs w:val="22"/>
          <w:lang w:val="es-ES"/>
        </w:rPr>
        <w:t>1.</w:t>
      </w:r>
      <w:r w:rsidRPr="00C901E0">
        <w:rPr>
          <w:color w:val="000000"/>
          <w:kern w:val="22"/>
          <w:sz w:val="22"/>
          <w:szCs w:val="22"/>
          <w:lang w:val="es-ES"/>
        </w:rPr>
        <w:tab/>
      </w:r>
      <w:r w:rsidRPr="00C901E0">
        <w:rPr>
          <w:i/>
          <w:color w:val="000000"/>
          <w:kern w:val="22"/>
          <w:sz w:val="22"/>
          <w:szCs w:val="22"/>
          <w:lang w:val="es-ES"/>
        </w:rPr>
        <w:t>Aprueba</w:t>
      </w:r>
      <w:r w:rsidRPr="00C901E0">
        <w:rPr>
          <w:color w:val="000000"/>
          <w:kern w:val="22"/>
          <w:sz w:val="22"/>
          <w:szCs w:val="22"/>
          <w:lang w:val="es-ES"/>
        </w:rPr>
        <w:t xml:space="preserve"> el Procedimiento para Evitar o Tratar Conflictos de Intereses en los Grupos de Expertos que figura en el anexo de la decisión 14/33;</w:t>
      </w:r>
    </w:p>
    <w:p w:rsidR="008019E9" w:rsidRPr="00C901E0" w:rsidRDefault="008019E9" w:rsidP="008019E9">
      <w:pPr>
        <w:suppressLineNumbers/>
        <w:shd w:val="clear" w:color="auto" w:fill="FFFFFF"/>
        <w:suppressAutoHyphens/>
        <w:kinsoku w:val="0"/>
        <w:overflowPunct w:val="0"/>
        <w:autoSpaceDE w:val="0"/>
        <w:autoSpaceDN w:val="0"/>
        <w:adjustRightInd w:val="0"/>
        <w:snapToGrid w:val="0"/>
        <w:spacing w:before="120" w:after="120"/>
        <w:ind w:firstLine="720"/>
        <w:rPr>
          <w:color w:val="000000"/>
          <w:kern w:val="22"/>
          <w:sz w:val="22"/>
          <w:szCs w:val="22"/>
          <w:lang w:val="es-ES"/>
        </w:rPr>
      </w:pPr>
      <w:r w:rsidRPr="00C901E0">
        <w:rPr>
          <w:color w:val="000000"/>
          <w:kern w:val="22"/>
          <w:sz w:val="22"/>
          <w:szCs w:val="22"/>
          <w:lang w:val="es-ES"/>
        </w:rPr>
        <w:t>2.</w:t>
      </w:r>
      <w:r w:rsidRPr="00C901E0">
        <w:rPr>
          <w:color w:val="000000"/>
          <w:kern w:val="22"/>
          <w:sz w:val="22"/>
          <w:szCs w:val="22"/>
          <w:lang w:val="es-ES"/>
        </w:rPr>
        <w:tab/>
      </w:r>
      <w:r w:rsidRPr="00C901E0">
        <w:rPr>
          <w:i/>
          <w:color w:val="000000"/>
          <w:kern w:val="22"/>
          <w:sz w:val="22"/>
          <w:szCs w:val="22"/>
          <w:lang w:val="es-ES"/>
        </w:rPr>
        <w:t>Pide</w:t>
      </w:r>
      <w:r w:rsidRPr="00C901E0">
        <w:rPr>
          <w:color w:val="000000"/>
          <w:kern w:val="22"/>
          <w:sz w:val="22"/>
          <w:szCs w:val="22"/>
          <w:lang w:val="es-ES"/>
        </w:rPr>
        <w:t xml:space="preserve"> a la Secretaria Ejecutiva que vele por la puesta en práctica, </w:t>
      </w:r>
      <w:r w:rsidRPr="00C901E0">
        <w:rPr>
          <w:i/>
          <w:color w:val="000000"/>
          <w:kern w:val="22"/>
          <w:sz w:val="22"/>
          <w:szCs w:val="22"/>
          <w:lang w:val="es-ES"/>
        </w:rPr>
        <w:t>mutatis mutandis</w:t>
      </w:r>
      <w:r w:rsidRPr="00C901E0">
        <w:rPr>
          <w:color w:val="000000"/>
          <w:kern w:val="22"/>
          <w:sz w:val="22"/>
          <w:szCs w:val="22"/>
          <w:lang w:val="es-ES"/>
        </w:rPr>
        <w:t>, del Procedimiento para Evitar o Tratar Conflictos de Intereses en los Grupos de Expertos en lo que respecta a la labor de los grupos de expertos técnicos establecidos en el marco del Protocolo de Cartagena sobre Seguridad de la Biotecnología, en consulta con la Mesa del Órgano Subsidiario de Asesoramiento Científico, Técnico y Tecnológico o la Mesa de la Conferencia de las Partes, cuando esta cumpla funciones como Mesa de la Conferencia de las Partes que actúa como reunión de las Partes en el Protocolo de Cartagena sobre Seguridad de la Biotecnología, según proceda;</w:t>
      </w:r>
    </w:p>
    <w:p w:rsidR="008019E9" w:rsidRPr="00C901E0" w:rsidRDefault="008019E9" w:rsidP="008019E9">
      <w:pPr>
        <w:suppressLineNumbers/>
        <w:shd w:val="clear" w:color="auto" w:fill="FFFFFF"/>
        <w:suppressAutoHyphens/>
        <w:kinsoku w:val="0"/>
        <w:overflowPunct w:val="0"/>
        <w:autoSpaceDE w:val="0"/>
        <w:autoSpaceDN w:val="0"/>
        <w:adjustRightInd w:val="0"/>
        <w:snapToGrid w:val="0"/>
        <w:spacing w:before="120" w:after="120"/>
        <w:ind w:firstLine="720"/>
        <w:rPr>
          <w:color w:val="000000"/>
          <w:kern w:val="22"/>
          <w:sz w:val="22"/>
          <w:szCs w:val="22"/>
          <w:lang w:val="es-ES"/>
        </w:rPr>
      </w:pPr>
      <w:r w:rsidRPr="00C901E0">
        <w:rPr>
          <w:color w:val="000000"/>
          <w:kern w:val="22"/>
          <w:sz w:val="22"/>
          <w:szCs w:val="22"/>
          <w:lang w:val="es-ES"/>
        </w:rPr>
        <w:t>3.</w:t>
      </w:r>
      <w:r w:rsidRPr="00C901E0">
        <w:rPr>
          <w:color w:val="000000"/>
          <w:kern w:val="22"/>
          <w:sz w:val="22"/>
          <w:szCs w:val="22"/>
          <w:lang w:val="es-ES"/>
        </w:rPr>
        <w:tab/>
      </w:r>
      <w:r w:rsidRPr="00C901E0">
        <w:rPr>
          <w:i/>
          <w:color w:val="000000"/>
          <w:kern w:val="22"/>
          <w:sz w:val="22"/>
          <w:szCs w:val="22"/>
          <w:lang w:val="es-ES"/>
        </w:rPr>
        <w:t>Pide también</w:t>
      </w:r>
      <w:r w:rsidRPr="00C901E0">
        <w:rPr>
          <w:color w:val="000000"/>
          <w:kern w:val="22"/>
          <w:sz w:val="22"/>
          <w:szCs w:val="22"/>
          <w:lang w:val="es-ES"/>
        </w:rPr>
        <w:t xml:space="preserve"> a la Secretaria Ejecutiva que prepare un informe sobre: a) la puesta en práctica del Procedimiento; y b) novedades pertinentes en materia de evitar o tratar conflictos de intereses en otros acuerdos ambientales multilaterales, organizaciones o iniciativas intergubernamentales, y que, si procede, proponga actualizaciones o enmiendas al Procedimiento vigente para someterlas a consideración del Órgano Subsidiario sobre la Aplicación en una reunión anterior a la 11ª reunión de la Conferencia de las Partes que actúa como reunión de las Partes en el Protocolo de Cartagena;</w:t>
      </w:r>
    </w:p>
    <w:p w:rsidR="00376CED" w:rsidRPr="00C901E0" w:rsidRDefault="008019E9" w:rsidP="008019E9">
      <w:pPr>
        <w:pStyle w:val="ListBullet"/>
        <w:suppressLineNumbers/>
        <w:tabs>
          <w:tab w:val="clear" w:pos="360"/>
        </w:tabs>
        <w:suppressAutoHyphens/>
        <w:spacing w:before="120" w:after="120" w:line="240" w:lineRule="auto"/>
        <w:ind w:firstLine="720"/>
        <w:contextualSpacing w:val="0"/>
        <w:rPr>
          <w:szCs w:val="22"/>
          <w:lang w:val="es-ES"/>
        </w:rPr>
      </w:pPr>
      <w:r w:rsidRPr="00C901E0">
        <w:rPr>
          <w:rFonts w:ascii="Times New Roman" w:hAnsi="Times New Roman"/>
          <w:color w:val="000000"/>
          <w:kern w:val="22"/>
          <w:lang w:val="es-ES"/>
        </w:rPr>
        <w:t>4.</w:t>
      </w:r>
      <w:r w:rsidRPr="00C901E0">
        <w:rPr>
          <w:rFonts w:ascii="Times New Roman" w:hAnsi="Times New Roman"/>
          <w:color w:val="000000"/>
          <w:kern w:val="22"/>
          <w:lang w:val="es-ES"/>
        </w:rPr>
        <w:tab/>
      </w:r>
      <w:r w:rsidRPr="00C901E0">
        <w:rPr>
          <w:rFonts w:ascii="Times New Roman" w:hAnsi="Times New Roman"/>
          <w:i/>
          <w:color w:val="000000"/>
          <w:kern w:val="22"/>
          <w:lang w:val="es-ES"/>
        </w:rPr>
        <w:t>Pide</w:t>
      </w:r>
      <w:r w:rsidRPr="00C901E0">
        <w:rPr>
          <w:rFonts w:ascii="Times New Roman" w:hAnsi="Times New Roman"/>
          <w:color w:val="000000"/>
          <w:kern w:val="22"/>
          <w:lang w:val="es-ES"/>
        </w:rPr>
        <w:t xml:space="preserve"> al Órgano Subsidiario sobre la Aplicación que examine el informe al que se hace referencia en el párrafo 3 anterior y que, según proceda,  formule recomendaciones a la Conferencia de las Partes en el Convenio que actúa como reunión de las Partes en el Protocolo de Cartagena para que las considere en su 11ª reunión.</w:t>
      </w:r>
    </w:p>
    <w:p w:rsidR="00376CED" w:rsidRPr="00C901E0" w:rsidRDefault="00376CED" w:rsidP="0008472F">
      <w:pPr>
        <w:jc w:val="both"/>
        <w:rPr>
          <w:b/>
          <w:caps/>
          <w:sz w:val="22"/>
          <w:szCs w:val="22"/>
          <w:lang w:val="es-ES"/>
        </w:rPr>
      </w:pPr>
      <w:r w:rsidRPr="00C901E0">
        <w:rPr>
          <w:sz w:val="22"/>
          <w:szCs w:val="22"/>
          <w:lang w:val="es-ES"/>
        </w:rPr>
        <w:br w:type="page"/>
      </w:r>
    </w:p>
    <w:p w:rsidR="00376CED" w:rsidRPr="00C901E0" w:rsidRDefault="00376CED" w:rsidP="00376CED">
      <w:pPr>
        <w:pStyle w:val="heading2-item"/>
        <w:rPr>
          <w:szCs w:val="22"/>
          <w:lang w:val="es-ES"/>
        </w:rPr>
      </w:pPr>
      <w:bookmarkStart w:id="27" w:name="_Toc879823"/>
      <w:bookmarkStart w:id="28" w:name="_Toc5922084"/>
      <w:bookmarkStart w:id="29" w:name="_Hlk530319274"/>
      <w:r w:rsidRPr="00C901E0">
        <w:rPr>
          <w:szCs w:val="22"/>
          <w:lang w:val="es-ES"/>
        </w:rPr>
        <w:lastRenderedPageBreak/>
        <w:t>9/11.</w:t>
      </w:r>
      <w:r w:rsidRPr="00C901E0">
        <w:rPr>
          <w:szCs w:val="22"/>
          <w:lang w:val="es-ES"/>
        </w:rPr>
        <w:tab/>
      </w:r>
      <w:bookmarkEnd w:id="27"/>
      <w:r w:rsidR="005E7957" w:rsidRPr="00C901E0">
        <w:rPr>
          <w:bCs w:val="0"/>
          <w:iCs w:val="0"/>
          <w:szCs w:val="22"/>
          <w:lang w:val="es-ES"/>
        </w:rPr>
        <w:t>Movimientos transfronterizos involuntarios y medidas de emergencia (artículo 17)</w:t>
      </w:r>
      <w:bookmarkEnd w:id="28"/>
    </w:p>
    <w:bookmarkEnd w:id="29"/>
    <w:p w:rsidR="005E7957" w:rsidRPr="00C901E0" w:rsidRDefault="005E7957" w:rsidP="005E7957">
      <w:pPr>
        <w:tabs>
          <w:tab w:val="left" w:pos="426"/>
        </w:tabs>
        <w:spacing w:before="120" w:after="120"/>
        <w:ind w:firstLine="720"/>
        <w:rPr>
          <w:i/>
          <w:kern w:val="22"/>
          <w:sz w:val="22"/>
          <w:szCs w:val="22"/>
          <w:lang w:val="es-ES"/>
        </w:rPr>
      </w:pPr>
      <w:r w:rsidRPr="00C901E0">
        <w:rPr>
          <w:i/>
          <w:kern w:val="22"/>
          <w:sz w:val="22"/>
          <w:szCs w:val="22"/>
          <w:lang w:val="es-ES"/>
        </w:rPr>
        <w:t>La Conferencia de las Partes que actúa como reunión de las Partes en el Protocolo de Cartagena sobre Seguridad de la Biotecnología</w:t>
      </w:r>
    </w:p>
    <w:p w:rsidR="005E7957" w:rsidRPr="00C901E0" w:rsidRDefault="005E7957" w:rsidP="00465C6E">
      <w:pPr>
        <w:numPr>
          <w:ilvl w:val="0"/>
          <w:numId w:val="29"/>
        </w:numPr>
        <w:spacing w:before="120" w:after="120"/>
        <w:ind w:left="0" w:firstLine="720"/>
        <w:jc w:val="both"/>
        <w:rPr>
          <w:kern w:val="22"/>
          <w:sz w:val="22"/>
          <w:szCs w:val="22"/>
          <w:lang w:val="es-ES"/>
        </w:rPr>
      </w:pPr>
      <w:r w:rsidRPr="00C901E0">
        <w:rPr>
          <w:i/>
          <w:kern w:val="22"/>
          <w:sz w:val="22"/>
          <w:szCs w:val="22"/>
          <w:lang w:val="es-ES"/>
        </w:rPr>
        <w:t>Reconoce</w:t>
      </w:r>
      <w:r w:rsidRPr="00C901E0">
        <w:rPr>
          <w:kern w:val="22"/>
          <w:sz w:val="22"/>
          <w:szCs w:val="22"/>
          <w:lang w:val="es-ES"/>
        </w:rPr>
        <w:t xml:space="preserve"> que la falta de marcos de seguridad de la biotecnología que estén plenamente operativos podría afectar la capacidad de algunas Partes para aplicar disposiciones referidas al artículo 17;</w:t>
      </w:r>
    </w:p>
    <w:p w:rsidR="005E7957" w:rsidRPr="00C901E0" w:rsidRDefault="005E7957" w:rsidP="00465C6E">
      <w:pPr>
        <w:numPr>
          <w:ilvl w:val="0"/>
          <w:numId w:val="29"/>
        </w:numPr>
        <w:ind w:left="0" w:firstLine="720"/>
        <w:jc w:val="both"/>
        <w:rPr>
          <w:kern w:val="22"/>
          <w:sz w:val="22"/>
          <w:szCs w:val="22"/>
          <w:lang w:val="es-ES"/>
        </w:rPr>
      </w:pPr>
      <w:r w:rsidRPr="00C901E0">
        <w:rPr>
          <w:i/>
          <w:kern w:val="22"/>
          <w:sz w:val="22"/>
          <w:szCs w:val="22"/>
          <w:lang w:val="es-ES"/>
        </w:rPr>
        <w:t>Toma nota</w:t>
      </w:r>
      <w:r w:rsidRPr="00C901E0">
        <w:rPr>
          <w:kern w:val="22"/>
          <w:sz w:val="22"/>
          <w:szCs w:val="22"/>
          <w:lang w:val="es-ES"/>
        </w:rPr>
        <w:t xml:space="preserve"> del proyecto de manual de capacitación sobre detección e identificación de organismos vivos modificados</w:t>
      </w:r>
      <w:r w:rsidRPr="00C901E0">
        <w:rPr>
          <w:rFonts w:eastAsia="MS Gothic"/>
          <w:kern w:val="22"/>
          <w:sz w:val="22"/>
          <w:szCs w:val="22"/>
          <w:vertAlign w:val="superscript"/>
          <w:lang w:val="es-ES"/>
        </w:rPr>
        <w:footnoteReference w:id="18"/>
      </w:r>
      <w:r w:rsidRPr="00C901E0">
        <w:rPr>
          <w:kern w:val="22"/>
          <w:sz w:val="22"/>
          <w:szCs w:val="22"/>
          <w:lang w:val="es-ES"/>
        </w:rPr>
        <w:t xml:space="preserve"> que se propone como herramienta para la creación de capacidad en esta esfera;</w:t>
      </w:r>
    </w:p>
    <w:p w:rsidR="005E7957" w:rsidRPr="00C901E0" w:rsidRDefault="005E7957" w:rsidP="00465C6E">
      <w:pPr>
        <w:numPr>
          <w:ilvl w:val="0"/>
          <w:numId w:val="29"/>
        </w:numPr>
        <w:spacing w:before="120" w:after="120"/>
        <w:ind w:left="0" w:firstLine="720"/>
        <w:jc w:val="both"/>
        <w:rPr>
          <w:kern w:val="22"/>
          <w:sz w:val="22"/>
          <w:szCs w:val="22"/>
          <w:lang w:val="es-ES"/>
        </w:rPr>
      </w:pPr>
      <w:r w:rsidRPr="00C901E0">
        <w:rPr>
          <w:i/>
          <w:kern w:val="22"/>
          <w:sz w:val="22"/>
          <w:szCs w:val="22"/>
          <w:lang w:val="es-ES"/>
        </w:rPr>
        <w:t>Alienta</w:t>
      </w:r>
      <w:r w:rsidRPr="00C901E0">
        <w:rPr>
          <w:kern w:val="22"/>
          <w:sz w:val="22"/>
          <w:szCs w:val="22"/>
          <w:lang w:val="es-ES"/>
        </w:rPr>
        <w:t xml:space="preserve"> a las Partes a que, en el contexto del artículo 17, y de conformidad con la legislación nacional, requieran que el operador responsable</w:t>
      </w:r>
      <w:r w:rsidRPr="00E50E56">
        <w:rPr>
          <w:rStyle w:val="FootnoteReference"/>
          <w:kern w:val="22"/>
          <w:sz w:val="22"/>
          <w:szCs w:val="22"/>
          <w:u w:val="none"/>
          <w:vertAlign w:val="superscript"/>
          <w:lang w:val="es-ES"/>
        </w:rPr>
        <w:footnoteReference w:id="19"/>
      </w:r>
      <w:r w:rsidRPr="00C901E0">
        <w:rPr>
          <w:kern w:val="22"/>
          <w:sz w:val="22"/>
          <w:szCs w:val="22"/>
          <w:lang w:val="es-ES"/>
        </w:rPr>
        <w:t xml:space="preserve"> facilite información o brinde acceso, ya sea directo o indirecto, a materiales de referencia que permitan realizar el trabajo de laboratorio para la detección e identificación de tales organismos con fines regulatorios;</w:t>
      </w:r>
    </w:p>
    <w:p w:rsidR="005E7957" w:rsidRPr="00C901E0" w:rsidRDefault="005E7957" w:rsidP="00465C6E">
      <w:pPr>
        <w:numPr>
          <w:ilvl w:val="0"/>
          <w:numId w:val="29"/>
        </w:numPr>
        <w:spacing w:before="120" w:after="120"/>
        <w:ind w:left="0" w:firstLine="720"/>
        <w:jc w:val="both"/>
        <w:rPr>
          <w:kern w:val="22"/>
          <w:sz w:val="22"/>
          <w:szCs w:val="22"/>
          <w:lang w:val="es-ES"/>
        </w:rPr>
      </w:pPr>
      <w:r w:rsidRPr="00C901E0">
        <w:rPr>
          <w:i/>
          <w:kern w:val="22"/>
          <w:sz w:val="22"/>
          <w:szCs w:val="22"/>
          <w:lang w:val="es-ES"/>
        </w:rPr>
        <w:t xml:space="preserve">Alienta </w:t>
      </w:r>
      <w:r w:rsidRPr="00C901E0">
        <w:rPr>
          <w:kern w:val="22"/>
          <w:sz w:val="22"/>
          <w:szCs w:val="22"/>
          <w:lang w:val="es-ES"/>
        </w:rPr>
        <w:t xml:space="preserve">a las Partes e </w:t>
      </w:r>
      <w:r w:rsidRPr="00C901E0">
        <w:rPr>
          <w:i/>
          <w:kern w:val="22"/>
          <w:sz w:val="22"/>
          <w:szCs w:val="22"/>
          <w:lang w:val="es-ES"/>
        </w:rPr>
        <w:t>invita</w:t>
      </w:r>
      <w:r w:rsidRPr="00C901E0">
        <w:rPr>
          <w:kern w:val="22"/>
          <w:sz w:val="22"/>
          <w:szCs w:val="22"/>
          <w:lang w:val="es-ES"/>
        </w:rPr>
        <w:t xml:space="preserve"> a otros Gobiernos y organizaciones pertinentes a que faciliten fondos para la capacitación de personal de laboratorio en la esfera de detección e identificación de organismos vivos modificados, y continúen participando en redes regionales y subregionales en materia de detección e identificación de organismos vivos modificados;</w:t>
      </w:r>
    </w:p>
    <w:p w:rsidR="005E7957" w:rsidRPr="00C901E0" w:rsidRDefault="005E7957" w:rsidP="00465C6E">
      <w:pPr>
        <w:numPr>
          <w:ilvl w:val="0"/>
          <w:numId w:val="29"/>
        </w:numPr>
        <w:spacing w:before="120" w:after="120"/>
        <w:ind w:left="0" w:firstLine="720"/>
        <w:jc w:val="both"/>
        <w:rPr>
          <w:kern w:val="22"/>
          <w:sz w:val="22"/>
          <w:szCs w:val="22"/>
          <w:lang w:val="es-ES"/>
        </w:rPr>
      </w:pPr>
      <w:r w:rsidRPr="00C901E0">
        <w:rPr>
          <w:i/>
          <w:kern w:val="22"/>
          <w:sz w:val="22"/>
          <w:szCs w:val="22"/>
          <w:lang w:val="es-ES"/>
        </w:rPr>
        <w:t>Invita</w:t>
      </w:r>
      <w:r w:rsidRPr="00C901E0">
        <w:rPr>
          <w:kern w:val="22"/>
          <w:sz w:val="22"/>
          <w:szCs w:val="22"/>
          <w:lang w:val="es-ES"/>
        </w:rPr>
        <w:t xml:space="preserve"> a las Partes a que proporcionen a la Secretaria Ejecutiva: a) información sobre sus capacidades y necesidades en materia de detección e identificación de organismos vivos modificados y b) una lista de laboratorios que incluya información sobre las actividades específicas que llevan a cabo esos laboratorios;</w:t>
      </w:r>
    </w:p>
    <w:p w:rsidR="005E7957" w:rsidRPr="00C901E0" w:rsidRDefault="005E7957" w:rsidP="00465C6E">
      <w:pPr>
        <w:numPr>
          <w:ilvl w:val="0"/>
          <w:numId w:val="29"/>
        </w:numPr>
        <w:spacing w:before="120" w:after="120"/>
        <w:ind w:left="0" w:firstLine="720"/>
        <w:jc w:val="both"/>
        <w:rPr>
          <w:kern w:val="22"/>
          <w:sz w:val="22"/>
          <w:szCs w:val="22"/>
          <w:lang w:val="es-ES"/>
        </w:rPr>
      </w:pPr>
      <w:r w:rsidRPr="00C901E0">
        <w:rPr>
          <w:i/>
          <w:kern w:val="22"/>
          <w:sz w:val="22"/>
          <w:szCs w:val="22"/>
          <w:lang w:val="es-ES"/>
        </w:rPr>
        <w:t xml:space="preserve">Invita </w:t>
      </w:r>
      <w:r w:rsidRPr="00C901E0">
        <w:rPr>
          <w:kern w:val="22"/>
          <w:sz w:val="22"/>
          <w:szCs w:val="22"/>
          <w:lang w:val="es-ES"/>
        </w:rPr>
        <w:t>al Fondo para el Medio Ambiente Mundial y a otros organismos de financiación pertinentes a que brinden fondos para proyectos regionales, incluidos proyectos dirigidos a crear capacidades científicas que podrían apoyar las medidas de los países en materia de detección e identificación de organismos vivos modificados y, en particular, fomentar el intercambio Norte-Sur y Sur-Sur de experiencias y aprendizajes;</w:t>
      </w:r>
    </w:p>
    <w:p w:rsidR="005E7957" w:rsidRPr="00C901E0" w:rsidRDefault="005E7957" w:rsidP="00465C6E">
      <w:pPr>
        <w:numPr>
          <w:ilvl w:val="0"/>
          <w:numId w:val="29"/>
        </w:numPr>
        <w:spacing w:before="120" w:after="120"/>
        <w:ind w:left="0" w:firstLine="720"/>
        <w:jc w:val="both"/>
        <w:rPr>
          <w:kern w:val="22"/>
          <w:sz w:val="22"/>
          <w:szCs w:val="22"/>
          <w:lang w:val="es-ES"/>
        </w:rPr>
      </w:pPr>
      <w:r w:rsidRPr="00C901E0">
        <w:rPr>
          <w:i/>
          <w:kern w:val="22"/>
          <w:sz w:val="22"/>
          <w:szCs w:val="22"/>
          <w:lang w:val="es-ES"/>
        </w:rPr>
        <w:t>Pide</w:t>
      </w:r>
      <w:r w:rsidRPr="00C901E0">
        <w:rPr>
          <w:kern w:val="22"/>
          <w:sz w:val="22"/>
          <w:szCs w:val="22"/>
          <w:lang w:val="es-ES"/>
        </w:rPr>
        <w:t xml:space="preserve"> a la Secretaria Ejecutiva que:</w:t>
      </w:r>
    </w:p>
    <w:p w:rsidR="005E7957" w:rsidRPr="00C901E0" w:rsidRDefault="005E7957" w:rsidP="00465C6E">
      <w:pPr>
        <w:numPr>
          <w:ilvl w:val="0"/>
          <w:numId w:val="39"/>
        </w:numPr>
        <w:spacing w:before="120" w:after="120"/>
        <w:ind w:left="0" w:firstLine="720"/>
        <w:jc w:val="both"/>
        <w:rPr>
          <w:kern w:val="22"/>
          <w:sz w:val="22"/>
          <w:szCs w:val="22"/>
          <w:lang w:val="es-ES"/>
        </w:rPr>
      </w:pPr>
      <w:r w:rsidRPr="00C901E0">
        <w:rPr>
          <w:kern w:val="22"/>
          <w:sz w:val="22"/>
          <w:szCs w:val="22"/>
          <w:lang w:val="es-ES"/>
        </w:rPr>
        <w:t>Siga recabando información pertinente para la detección e identificación de organismos vivos modificados y que la publique en el Centro de Intercambio de Información sobre Seguridad de la Biotecnología en un formato de fácil acceso;</w:t>
      </w:r>
    </w:p>
    <w:p w:rsidR="005E7957" w:rsidRPr="00C901E0" w:rsidRDefault="005E7957" w:rsidP="00465C6E">
      <w:pPr>
        <w:numPr>
          <w:ilvl w:val="0"/>
          <w:numId w:val="39"/>
        </w:numPr>
        <w:spacing w:before="120" w:after="120"/>
        <w:ind w:left="0" w:firstLine="720"/>
        <w:jc w:val="both"/>
        <w:rPr>
          <w:kern w:val="22"/>
          <w:sz w:val="22"/>
          <w:szCs w:val="22"/>
          <w:lang w:val="es-ES"/>
        </w:rPr>
      </w:pPr>
      <w:r w:rsidRPr="00C901E0">
        <w:rPr>
          <w:kern w:val="22"/>
          <w:sz w:val="22"/>
          <w:szCs w:val="22"/>
          <w:lang w:val="es-ES"/>
        </w:rPr>
        <w:t>Revise el manual sobre detección e identificación de organismos vivos modificados y lo termine de elaborar, asegurándose de que sea coherente con la letra y el alcance del artículo 17 del Protocolo de Cartagena;</w:t>
      </w:r>
    </w:p>
    <w:p w:rsidR="005E7957" w:rsidRPr="00C901E0" w:rsidRDefault="005E7957" w:rsidP="00465C6E">
      <w:pPr>
        <w:numPr>
          <w:ilvl w:val="0"/>
          <w:numId w:val="39"/>
        </w:numPr>
        <w:spacing w:before="120" w:after="120"/>
        <w:ind w:left="0" w:firstLine="720"/>
        <w:jc w:val="both"/>
        <w:rPr>
          <w:kern w:val="22"/>
          <w:sz w:val="22"/>
          <w:szCs w:val="22"/>
          <w:lang w:val="es-ES"/>
        </w:rPr>
      </w:pPr>
      <w:r w:rsidRPr="00C901E0">
        <w:rPr>
          <w:kern w:val="22"/>
          <w:sz w:val="22"/>
          <w:szCs w:val="22"/>
          <w:lang w:val="es-ES"/>
        </w:rPr>
        <w:t>Sintetice la información brindada por las Partes en respuesta al párrafo 5 anterior para que la Conferencia de las Partes que actúa como reunión de las Partes la examine en su décima reunión, y que refleje esa información en el plan de acción de creación de capacidad para el marco posterior a 2020, según proceda;</w:t>
      </w:r>
    </w:p>
    <w:p w:rsidR="005E7957" w:rsidRPr="00C901E0" w:rsidRDefault="005E7957" w:rsidP="00465C6E">
      <w:pPr>
        <w:pStyle w:val="ListParagraph"/>
        <w:numPr>
          <w:ilvl w:val="0"/>
          <w:numId w:val="29"/>
        </w:numPr>
        <w:spacing w:before="120" w:after="120"/>
        <w:ind w:firstLine="65"/>
        <w:rPr>
          <w:kern w:val="22"/>
          <w:szCs w:val="22"/>
          <w:lang w:val="es-ES"/>
        </w:rPr>
      </w:pPr>
      <w:r w:rsidRPr="00C901E0">
        <w:rPr>
          <w:i/>
          <w:kern w:val="22"/>
          <w:szCs w:val="22"/>
          <w:lang w:val="es-ES"/>
        </w:rPr>
        <w:t xml:space="preserve">Pide </w:t>
      </w:r>
      <w:r w:rsidRPr="00C901E0">
        <w:rPr>
          <w:kern w:val="22"/>
          <w:szCs w:val="22"/>
          <w:lang w:val="es-ES"/>
        </w:rPr>
        <w:t>a la Secretaria Ejecutiva que, con sujeción a la disponibilidad de recursos:</w:t>
      </w:r>
    </w:p>
    <w:p w:rsidR="005E7957" w:rsidRPr="00C901E0" w:rsidRDefault="005E7957" w:rsidP="00465C6E">
      <w:pPr>
        <w:pStyle w:val="ListParagraph"/>
        <w:numPr>
          <w:ilvl w:val="0"/>
          <w:numId w:val="40"/>
        </w:numPr>
        <w:spacing w:before="120" w:after="120"/>
        <w:ind w:left="0" w:firstLine="709"/>
        <w:contextualSpacing/>
        <w:rPr>
          <w:kern w:val="22"/>
          <w:szCs w:val="22"/>
          <w:lang w:val="es-ES"/>
        </w:rPr>
      </w:pPr>
      <w:r w:rsidRPr="00C901E0">
        <w:rPr>
          <w:kern w:val="22"/>
          <w:szCs w:val="22"/>
          <w:lang w:val="es-ES"/>
        </w:rPr>
        <w:t>Siga facilitando debates en línea de la Red de Laboratorios para la Detección e Identificación de Organismos Vivos Modificados y reuniones presenciales, según proceda;</w:t>
      </w:r>
    </w:p>
    <w:p w:rsidR="00376CED" w:rsidRPr="00C901E0" w:rsidRDefault="005E7957" w:rsidP="00465C6E">
      <w:pPr>
        <w:numPr>
          <w:ilvl w:val="0"/>
          <w:numId w:val="40"/>
        </w:numPr>
        <w:spacing w:before="120" w:after="120"/>
        <w:ind w:left="0" w:firstLine="709"/>
        <w:jc w:val="both"/>
        <w:rPr>
          <w:kern w:val="22"/>
          <w:sz w:val="22"/>
          <w:szCs w:val="22"/>
          <w:lang w:val="es-ES"/>
        </w:rPr>
      </w:pPr>
      <w:r w:rsidRPr="00C901E0">
        <w:rPr>
          <w:kern w:val="22"/>
          <w:sz w:val="22"/>
          <w:szCs w:val="22"/>
          <w:lang w:val="es-ES"/>
        </w:rPr>
        <w:lastRenderedPageBreak/>
        <w:t>Continúe su labor de colaboración con organizaciones pertinentes y de creación de capacidad en países en desarrollo en materia de detección e identificación de organismos vivos modificados en el contexto del artículo 17, centrándose en particular en aquellas regiones que no hayan participado aún en las actividades recientes de creación de capacidad sobre este tema.</w:t>
      </w:r>
    </w:p>
    <w:p w:rsidR="00376CED" w:rsidRPr="00C901E0" w:rsidRDefault="00376CED">
      <w:pPr>
        <w:rPr>
          <w:b/>
          <w:caps/>
          <w:lang w:val="es-ES"/>
        </w:rPr>
      </w:pPr>
      <w:r w:rsidRPr="00C901E0">
        <w:rPr>
          <w:lang w:val="es-ES"/>
        </w:rPr>
        <w:br w:type="page"/>
      </w:r>
    </w:p>
    <w:p w:rsidR="00376CED" w:rsidRPr="00C901E0" w:rsidRDefault="00376CED" w:rsidP="00376CED">
      <w:pPr>
        <w:pStyle w:val="heading2-item"/>
        <w:rPr>
          <w:lang w:val="es-ES"/>
        </w:rPr>
      </w:pPr>
      <w:bookmarkStart w:id="30" w:name="_Toc879824"/>
      <w:bookmarkStart w:id="31" w:name="_Toc5922085"/>
      <w:r w:rsidRPr="00C901E0">
        <w:rPr>
          <w:lang w:val="es-ES"/>
        </w:rPr>
        <w:lastRenderedPageBreak/>
        <w:t>9/12.</w:t>
      </w:r>
      <w:r w:rsidRPr="00C901E0">
        <w:rPr>
          <w:lang w:val="es-ES"/>
        </w:rPr>
        <w:tab/>
      </w:r>
      <w:bookmarkEnd w:id="30"/>
      <w:r w:rsidR="00FE6D0D" w:rsidRPr="00C901E0">
        <w:rPr>
          <w:lang w:val="es-ES"/>
        </w:rPr>
        <w:t>Tránsito y uso confinado de organismos vivos modificados (artículo 6)</w:t>
      </w:r>
      <w:bookmarkEnd w:id="31"/>
    </w:p>
    <w:p w:rsidR="00FE6D0D" w:rsidRPr="00C901E0" w:rsidRDefault="00FE6D0D" w:rsidP="00FE6D0D">
      <w:pPr>
        <w:shd w:val="clear" w:color="auto" w:fill="FFFFFF"/>
        <w:spacing w:before="120" w:after="120"/>
        <w:ind w:firstLine="720"/>
        <w:rPr>
          <w:i/>
          <w:kern w:val="22"/>
          <w:sz w:val="22"/>
          <w:szCs w:val="22"/>
          <w:lang w:val="es-ES"/>
        </w:rPr>
      </w:pPr>
      <w:r w:rsidRPr="00C901E0">
        <w:rPr>
          <w:i/>
          <w:kern w:val="22"/>
          <w:sz w:val="22"/>
          <w:szCs w:val="22"/>
          <w:lang w:val="es-ES"/>
        </w:rPr>
        <w:t>La Conferencia de las Partes que actúa como reunión de las Partes en el Protocolo de Cartagena sobre Seguridad de la Biotecnología,</w:t>
      </w:r>
    </w:p>
    <w:p w:rsidR="00FE6D0D" w:rsidRPr="00C901E0" w:rsidRDefault="00FE6D0D" w:rsidP="00FE6D0D">
      <w:pPr>
        <w:pStyle w:val="Para1"/>
        <w:numPr>
          <w:ilvl w:val="0"/>
          <w:numId w:val="0"/>
        </w:numPr>
        <w:snapToGrid w:val="0"/>
        <w:ind w:firstLine="720"/>
        <w:rPr>
          <w:lang w:val="es-ES"/>
        </w:rPr>
      </w:pPr>
      <w:r w:rsidRPr="00C901E0">
        <w:rPr>
          <w:i/>
          <w:lang w:val="es-ES"/>
        </w:rPr>
        <w:t xml:space="preserve">Recordando </w:t>
      </w:r>
      <w:r w:rsidRPr="00C901E0">
        <w:rPr>
          <w:lang w:val="es-ES"/>
        </w:rPr>
        <w:t xml:space="preserve">las decisiones </w:t>
      </w:r>
      <w:hyperlink r:id="rId21" w:history="1">
        <w:r w:rsidRPr="00C901E0">
          <w:rPr>
            <w:rStyle w:val="Hyperlink"/>
            <w:lang w:val="es-ES"/>
          </w:rPr>
          <w:t>BS-V/2</w:t>
        </w:r>
      </w:hyperlink>
      <w:r w:rsidRPr="00C901E0">
        <w:rPr>
          <w:lang w:val="es-ES"/>
        </w:rPr>
        <w:t xml:space="preserve">, párrafo 1 a), y </w:t>
      </w:r>
      <w:hyperlink r:id="rId22" w:history="1">
        <w:r w:rsidRPr="00C901E0">
          <w:rPr>
            <w:rStyle w:val="Hyperlink"/>
            <w:lang w:val="es-ES"/>
          </w:rPr>
          <w:t>BS-VII/2</w:t>
        </w:r>
      </w:hyperlink>
      <w:r w:rsidRPr="00C901E0">
        <w:rPr>
          <w:lang w:val="es-ES"/>
        </w:rPr>
        <w:t>, párrafo 2 b),</w:t>
      </w:r>
    </w:p>
    <w:p w:rsidR="00FE6D0D" w:rsidRPr="00C901E0" w:rsidRDefault="00FE6D0D" w:rsidP="00FE6D0D">
      <w:pPr>
        <w:pStyle w:val="Para1"/>
        <w:numPr>
          <w:ilvl w:val="0"/>
          <w:numId w:val="0"/>
        </w:numPr>
        <w:snapToGrid w:val="0"/>
        <w:ind w:firstLine="720"/>
        <w:rPr>
          <w:lang w:val="es-ES"/>
        </w:rPr>
      </w:pPr>
      <w:r w:rsidRPr="00C901E0">
        <w:rPr>
          <w:i/>
          <w:lang w:val="es-ES"/>
        </w:rPr>
        <w:t xml:space="preserve">Recordando también </w:t>
      </w:r>
      <w:r w:rsidRPr="00C901E0">
        <w:rPr>
          <w:lang w:val="es-ES"/>
        </w:rPr>
        <w:t xml:space="preserve">la decisión </w:t>
      </w:r>
      <w:hyperlink r:id="rId23" w:history="1">
        <w:r w:rsidRPr="00C901E0">
          <w:rPr>
            <w:rStyle w:val="Hyperlink"/>
            <w:lang w:val="es-ES"/>
          </w:rPr>
          <w:t>CP-VIII/17</w:t>
        </w:r>
      </w:hyperlink>
      <w:r w:rsidRPr="00C901E0">
        <w:rPr>
          <w:lang w:val="es-ES"/>
        </w:rPr>
        <w:t>,</w:t>
      </w:r>
    </w:p>
    <w:p w:rsidR="00FE6D0D" w:rsidRPr="00C901E0" w:rsidRDefault="00FE6D0D" w:rsidP="00FE6D0D">
      <w:pPr>
        <w:pStyle w:val="Para1"/>
        <w:numPr>
          <w:ilvl w:val="0"/>
          <w:numId w:val="0"/>
        </w:numPr>
        <w:snapToGrid w:val="0"/>
        <w:ind w:firstLine="720"/>
        <w:rPr>
          <w:lang w:val="es-ES"/>
        </w:rPr>
      </w:pPr>
      <w:r w:rsidRPr="00C901E0">
        <w:rPr>
          <w:lang w:val="es-ES"/>
        </w:rPr>
        <w:t>1.</w:t>
      </w:r>
      <w:r w:rsidRPr="00C901E0">
        <w:rPr>
          <w:lang w:val="es-ES"/>
        </w:rPr>
        <w:tab/>
      </w:r>
      <w:r w:rsidRPr="00C901E0">
        <w:rPr>
          <w:i/>
          <w:lang w:val="es-ES"/>
        </w:rPr>
        <w:t>Toma nota</w:t>
      </w:r>
      <w:r w:rsidRPr="00C901E0">
        <w:rPr>
          <w:lang w:val="es-ES"/>
        </w:rPr>
        <w:t xml:space="preserve"> de la evaluación que el Comité de Cumplimiento ha hecho de la información presentada por las Partes en el Centro de Intercambio de Información sobre Seguridad de la Biotecnología como decisiones referidas a uso confinado</w:t>
      </w:r>
      <w:r w:rsidRPr="00E50E56">
        <w:rPr>
          <w:rStyle w:val="FootnoteReference"/>
          <w:sz w:val="22"/>
          <w:u w:val="none"/>
          <w:vertAlign w:val="superscript"/>
          <w:lang w:val="es-ES"/>
        </w:rPr>
        <w:footnoteReference w:id="20"/>
      </w:r>
      <w:r w:rsidRPr="00C901E0">
        <w:rPr>
          <w:lang w:val="es-ES"/>
        </w:rPr>
        <w:t>;</w:t>
      </w:r>
    </w:p>
    <w:p w:rsidR="00FE6D0D" w:rsidRPr="00C901E0" w:rsidRDefault="00FE6D0D" w:rsidP="00FE6D0D">
      <w:pPr>
        <w:pStyle w:val="Para1"/>
        <w:numPr>
          <w:ilvl w:val="0"/>
          <w:numId w:val="0"/>
        </w:numPr>
        <w:snapToGrid w:val="0"/>
        <w:ind w:firstLine="720"/>
        <w:rPr>
          <w:lang w:val="es-ES"/>
        </w:rPr>
      </w:pPr>
      <w:r w:rsidRPr="00C901E0">
        <w:rPr>
          <w:lang w:val="es-ES"/>
        </w:rPr>
        <w:t>2.</w:t>
      </w:r>
      <w:r w:rsidRPr="00C901E0">
        <w:rPr>
          <w:lang w:val="es-ES"/>
        </w:rPr>
        <w:tab/>
      </w:r>
      <w:r w:rsidRPr="00C901E0">
        <w:rPr>
          <w:i/>
          <w:lang w:val="es-ES"/>
        </w:rPr>
        <w:t>Recuerda</w:t>
      </w:r>
      <w:r w:rsidRPr="00C901E0">
        <w:rPr>
          <w:lang w:val="es-ES"/>
        </w:rPr>
        <w:t xml:space="preserve"> a las Partes que:</w:t>
      </w:r>
    </w:p>
    <w:p w:rsidR="00FE6D0D" w:rsidRPr="00C901E0" w:rsidRDefault="00FE6D0D" w:rsidP="00465C6E">
      <w:pPr>
        <w:pStyle w:val="Para3"/>
        <w:numPr>
          <w:ilvl w:val="0"/>
          <w:numId w:val="41"/>
        </w:numPr>
        <w:tabs>
          <w:tab w:val="clear" w:pos="1980"/>
        </w:tabs>
        <w:spacing w:before="0" w:after="120"/>
        <w:ind w:left="0" w:firstLine="720"/>
        <w:rPr>
          <w:kern w:val="22"/>
          <w:szCs w:val="22"/>
          <w:lang w:val="es-ES"/>
        </w:rPr>
      </w:pPr>
      <w:r w:rsidRPr="00C901E0">
        <w:rPr>
          <w:kern w:val="22"/>
          <w:szCs w:val="22"/>
          <w:lang w:val="es-ES"/>
        </w:rPr>
        <w:t>En el artículo 3, párrafo b), del Protocolo de Cartagena se define al uso confinado como “cualquier operación, llevada a cabo dentro de un local, instalación u otra estructura física, que entrañe la manipulación de organismos vivos modificados controlados por medidas específicas que limiten de forma efectiva su contacto con el medio exterior o sus efectos sobre dicho medio”;</w:t>
      </w:r>
    </w:p>
    <w:p w:rsidR="00FE6D0D" w:rsidRPr="00C901E0" w:rsidRDefault="00FE6D0D" w:rsidP="00465C6E">
      <w:pPr>
        <w:pStyle w:val="Para3"/>
        <w:numPr>
          <w:ilvl w:val="0"/>
          <w:numId w:val="41"/>
        </w:numPr>
        <w:tabs>
          <w:tab w:val="clear" w:pos="1980"/>
        </w:tabs>
        <w:spacing w:before="0" w:after="120"/>
        <w:ind w:left="0" w:firstLine="720"/>
        <w:rPr>
          <w:kern w:val="22"/>
          <w:szCs w:val="22"/>
          <w:lang w:val="es-ES"/>
        </w:rPr>
      </w:pPr>
      <w:r w:rsidRPr="00C901E0">
        <w:rPr>
          <w:kern w:val="22"/>
          <w:szCs w:val="22"/>
          <w:lang w:val="es-ES"/>
        </w:rPr>
        <w:t>La introducción intencional en el medio ambiente puede tener fines tanto experimentales como comerciales;</w:t>
      </w:r>
    </w:p>
    <w:p w:rsidR="00FE6D0D" w:rsidRPr="00C901E0" w:rsidRDefault="00FE6D0D" w:rsidP="00465C6E">
      <w:pPr>
        <w:pStyle w:val="Para3"/>
        <w:numPr>
          <w:ilvl w:val="0"/>
          <w:numId w:val="41"/>
        </w:numPr>
        <w:tabs>
          <w:tab w:val="clear" w:pos="1980"/>
        </w:tabs>
        <w:spacing w:before="0" w:after="120"/>
        <w:ind w:left="0" w:firstLine="720"/>
        <w:rPr>
          <w:kern w:val="22"/>
          <w:szCs w:val="22"/>
          <w:lang w:val="es-ES"/>
        </w:rPr>
      </w:pPr>
      <w:r w:rsidRPr="00C901E0">
        <w:rPr>
          <w:kern w:val="22"/>
          <w:szCs w:val="22"/>
          <w:lang w:val="es-ES"/>
        </w:rPr>
        <w:t>Todo ensayo práctico, ensayo práctico confinado o introducción experimental que no cumpla con las condiciones estipuladas en el artículo 3, párrafo b), del Protocolo, se considerará una introducción intencional en el medio ambiente;</w:t>
      </w:r>
    </w:p>
    <w:p w:rsidR="00FE6D0D" w:rsidRPr="00C901E0" w:rsidRDefault="00FE6D0D" w:rsidP="00FE6D0D">
      <w:pPr>
        <w:pStyle w:val="Para1"/>
        <w:numPr>
          <w:ilvl w:val="0"/>
          <w:numId w:val="0"/>
        </w:numPr>
        <w:ind w:firstLine="720"/>
        <w:rPr>
          <w:lang w:val="es-ES"/>
        </w:rPr>
      </w:pPr>
      <w:r w:rsidRPr="00C901E0">
        <w:rPr>
          <w:lang w:val="es-ES"/>
        </w:rPr>
        <w:t>3.</w:t>
      </w:r>
      <w:r w:rsidRPr="00C901E0">
        <w:rPr>
          <w:lang w:val="es-ES"/>
        </w:rPr>
        <w:tab/>
      </w:r>
      <w:r w:rsidRPr="00C901E0">
        <w:rPr>
          <w:i/>
          <w:lang w:val="es-ES"/>
        </w:rPr>
        <w:t>Recuerda también</w:t>
      </w:r>
      <w:r w:rsidRPr="00C901E0">
        <w:rPr>
          <w:lang w:val="es-ES"/>
        </w:rPr>
        <w:t xml:space="preserve"> a las Partes su obligación en virtud del artículo 20, párrafo 3 d), y </w:t>
      </w:r>
      <w:r w:rsidRPr="00C901E0">
        <w:rPr>
          <w:i/>
          <w:lang w:val="es-ES"/>
        </w:rPr>
        <w:t xml:space="preserve">alienta </w:t>
      </w:r>
      <w:r w:rsidRPr="00C901E0">
        <w:rPr>
          <w:lang w:val="es-ES"/>
        </w:rPr>
        <w:t>a otros Gobiernos a publicar en el Centro de Intercambio de Información sobre Seguridad de la Biotecnología sus decisiones definitivas acerca de la importación o la liberación de organismos vivos modificados;</w:t>
      </w:r>
    </w:p>
    <w:p w:rsidR="00376CED" w:rsidRPr="00C901E0" w:rsidRDefault="00FE6D0D" w:rsidP="00FE6D0D">
      <w:pPr>
        <w:pStyle w:val="ListParagraph"/>
        <w:shd w:val="clear" w:color="auto" w:fill="FFFFFF" w:themeFill="background1"/>
        <w:spacing w:before="120" w:after="120"/>
        <w:ind w:left="0" w:firstLine="720"/>
        <w:rPr>
          <w:kern w:val="22"/>
          <w:szCs w:val="22"/>
          <w:lang w:val="es-ES"/>
        </w:rPr>
      </w:pPr>
      <w:r w:rsidRPr="00C901E0">
        <w:rPr>
          <w:kern w:val="22"/>
          <w:szCs w:val="22"/>
          <w:lang w:val="es-ES"/>
        </w:rPr>
        <w:t>4.</w:t>
      </w:r>
      <w:r w:rsidRPr="00C901E0">
        <w:rPr>
          <w:kern w:val="22"/>
          <w:szCs w:val="22"/>
          <w:lang w:val="es-ES"/>
        </w:rPr>
        <w:tab/>
      </w:r>
      <w:r w:rsidRPr="00C901E0">
        <w:rPr>
          <w:i/>
          <w:kern w:val="22"/>
          <w:szCs w:val="22"/>
          <w:lang w:val="es-ES"/>
        </w:rPr>
        <w:t xml:space="preserve">Alienta </w:t>
      </w:r>
      <w:r w:rsidRPr="00C901E0">
        <w:rPr>
          <w:kern w:val="22"/>
          <w:szCs w:val="22"/>
          <w:lang w:val="es-ES"/>
        </w:rPr>
        <w:t>a las Partes, otros Gobiernos y organizaciones pertinentes a cooperar, compartir experiencias y fomentar el desarrollo de la capacidad para apoyar la aplicación de medidas específicas para el uso confinado que limiten de forma efectiva el contacto de los organismos vivos modificados con el medio exterior y sus efectos sobre dicho medio, de conformidad con el artículo 3, párrafo b), del Protocolo de Cartagena.</w:t>
      </w:r>
    </w:p>
    <w:p w:rsidR="00376CED" w:rsidRPr="00C901E0" w:rsidRDefault="00376CED" w:rsidP="00725967">
      <w:pPr>
        <w:rPr>
          <w:kern w:val="22"/>
          <w:lang w:val="es-ES"/>
        </w:rPr>
      </w:pPr>
    </w:p>
    <w:p w:rsidR="00376CED" w:rsidRPr="00C901E0" w:rsidRDefault="00376CED">
      <w:pPr>
        <w:rPr>
          <w:b/>
          <w:caps/>
          <w:lang w:val="es-ES"/>
        </w:rPr>
      </w:pPr>
      <w:r w:rsidRPr="00C901E0">
        <w:rPr>
          <w:lang w:val="es-ES"/>
        </w:rPr>
        <w:br w:type="page"/>
      </w:r>
    </w:p>
    <w:p w:rsidR="00376CED" w:rsidRPr="00C901E0" w:rsidRDefault="00376CED" w:rsidP="00376CED">
      <w:pPr>
        <w:pStyle w:val="heading2-item"/>
        <w:rPr>
          <w:lang w:val="es-ES"/>
        </w:rPr>
      </w:pPr>
      <w:bookmarkStart w:id="32" w:name="_Toc879825"/>
      <w:bookmarkStart w:id="33" w:name="_Toc5922086"/>
      <w:bookmarkStart w:id="34" w:name="_Hlk531014875"/>
      <w:r w:rsidRPr="00C901E0">
        <w:rPr>
          <w:lang w:val="es-ES"/>
        </w:rPr>
        <w:lastRenderedPageBreak/>
        <w:t>9/13.</w:t>
      </w:r>
      <w:r w:rsidRPr="00C901E0">
        <w:rPr>
          <w:lang w:val="es-ES"/>
        </w:rPr>
        <w:tab/>
      </w:r>
      <w:bookmarkEnd w:id="32"/>
      <w:r w:rsidR="007E08BF" w:rsidRPr="00C901E0">
        <w:rPr>
          <w:lang w:val="es-ES"/>
        </w:rPr>
        <w:t>Evaluación del riesgo y gestión del riesgo (artículos 15 y 16)</w:t>
      </w:r>
      <w:bookmarkEnd w:id="33"/>
    </w:p>
    <w:p w:rsidR="007E08BF" w:rsidRPr="00C901E0" w:rsidRDefault="007E08BF" w:rsidP="007E08BF">
      <w:pPr>
        <w:pStyle w:val="Para1"/>
        <w:numPr>
          <w:ilvl w:val="0"/>
          <w:numId w:val="0"/>
        </w:numPr>
        <w:suppressLineNumbers/>
        <w:suppressAutoHyphens/>
        <w:kinsoku w:val="0"/>
        <w:overflowPunct w:val="0"/>
        <w:autoSpaceDE w:val="0"/>
        <w:autoSpaceDN w:val="0"/>
        <w:adjustRightInd w:val="0"/>
        <w:ind w:firstLine="720"/>
        <w:rPr>
          <w:i/>
          <w:lang w:val="es-ES"/>
        </w:rPr>
      </w:pPr>
      <w:r w:rsidRPr="00C901E0">
        <w:rPr>
          <w:i/>
          <w:lang w:val="es-ES"/>
        </w:rPr>
        <w:t>La Conferencia de las Partes que actúa como reunión de las Partes en el Protocolo de Cartagena sobre Seguridad de la Biotecnología,</w:t>
      </w:r>
    </w:p>
    <w:p w:rsidR="007E08BF" w:rsidRPr="00C901E0" w:rsidRDefault="007E08BF" w:rsidP="007E08BF">
      <w:pPr>
        <w:pStyle w:val="Para1"/>
        <w:numPr>
          <w:ilvl w:val="0"/>
          <w:numId w:val="0"/>
        </w:numPr>
        <w:suppressLineNumbers/>
        <w:suppressAutoHyphens/>
        <w:kinsoku w:val="0"/>
        <w:overflowPunct w:val="0"/>
        <w:autoSpaceDE w:val="0"/>
        <w:autoSpaceDN w:val="0"/>
        <w:adjustRightInd w:val="0"/>
        <w:ind w:firstLine="720"/>
        <w:rPr>
          <w:lang w:val="es-ES"/>
        </w:rPr>
      </w:pPr>
      <w:r w:rsidRPr="00C901E0">
        <w:rPr>
          <w:i/>
          <w:lang w:val="es-ES"/>
        </w:rPr>
        <w:t xml:space="preserve">Recordando </w:t>
      </w:r>
      <w:r w:rsidRPr="00C901E0">
        <w:rPr>
          <w:lang w:val="es-ES"/>
        </w:rPr>
        <w:t xml:space="preserve">las decisiones </w:t>
      </w:r>
      <w:hyperlink r:id="rId24" w:history="1">
        <w:r w:rsidRPr="00C901E0">
          <w:rPr>
            <w:rStyle w:val="Hyperlink"/>
            <w:lang w:val="es-ES"/>
          </w:rPr>
          <w:t>BS-VII/12</w:t>
        </w:r>
      </w:hyperlink>
      <w:r w:rsidRPr="00C901E0">
        <w:rPr>
          <w:lang w:val="es-ES"/>
        </w:rPr>
        <w:t xml:space="preserve"> y </w:t>
      </w:r>
      <w:hyperlink r:id="rId25" w:history="1">
        <w:r w:rsidRPr="00C901E0">
          <w:rPr>
            <w:rStyle w:val="Hyperlink"/>
            <w:lang w:val="es-ES"/>
          </w:rPr>
          <w:t>XII/24</w:t>
        </w:r>
      </w:hyperlink>
      <w:r w:rsidRPr="00C901E0">
        <w:rPr>
          <w:lang w:val="es-ES"/>
        </w:rPr>
        <w:t xml:space="preserve"> en las que se recomienda un enfoque coordinado para la cuestión de la biología sintética,</w:t>
      </w:r>
    </w:p>
    <w:p w:rsidR="007E08BF" w:rsidRPr="00C901E0" w:rsidRDefault="007E08BF" w:rsidP="007E08BF">
      <w:pPr>
        <w:pStyle w:val="Para1"/>
        <w:numPr>
          <w:ilvl w:val="0"/>
          <w:numId w:val="0"/>
        </w:numPr>
        <w:suppressLineNumbers/>
        <w:suppressAutoHyphens/>
        <w:kinsoku w:val="0"/>
        <w:overflowPunct w:val="0"/>
        <w:autoSpaceDE w:val="0"/>
        <w:autoSpaceDN w:val="0"/>
        <w:adjustRightInd w:val="0"/>
        <w:ind w:firstLine="720"/>
        <w:rPr>
          <w:lang w:val="es-ES"/>
        </w:rPr>
      </w:pPr>
      <w:r w:rsidRPr="00C901E0">
        <w:rPr>
          <w:i/>
          <w:lang w:val="es-ES"/>
        </w:rPr>
        <w:t>Reafirmando</w:t>
      </w:r>
      <w:r w:rsidRPr="00C901E0">
        <w:rPr>
          <w:lang w:val="es-ES"/>
        </w:rPr>
        <w:t xml:space="preserve"> la decisión XII/24 de la Conferencia de las Partes en la que se insta a las Partes y se invita a otros Gobiernos a adoptar un enfoque de precaución, de conformidad con el preámbulo del Convenio y con el artículo 14, para abordar las amenazas de reducción significativa o pérdida de diversidad biológica que representen los organismos, componentes y productos resultantes de la biología sintética, de conformidad con la legislación nacional y otras obligaciones internacionales pertinentes,</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Observa</w:t>
      </w:r>
      <w:r w:rsidRPr="00C901E0">
        <w:rPr>
          <w:lang w:val="es-ES"/>
        </w:rPr>
        <w:t xml:space="preserve"> que existen numerosos documentos de orientación y otros recursos para apoyar el proceso de evaluación del riesgo, pero </w:t>
      </w:r>
      <w:r w:rsidRPr="00C901E0">
        <w:rPr>
          <w:i/>
          <w:lang w:val="es-ES"/>
        </w:rPr>
        <w:t>reconoce</w:t>
      </w:r>
      <w:r w:rsidRPr="00C901E0">
        <w:rPr>
          <w:lang w:val="es-ES"/>
        </w:rPr>
        <w:t xml:space="preserve"> las carencias y necesidades señaladas por algunas Partes;</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spacing w:before="0" w:after="0"/>
        <w:ind w:left="0" w:firstLine="720"/>
        <w:rPr>
          <w:i/>
          <w:lang w:val="es-ES"/>
        </w:rPr>
      </w:pPr>
      <w:r w:rsidRPr="00C901E0">
        <w:rPr>
          <w:i/>
          <w:lang w:val="es-ES"/>
        </w:rPr>
        <w:t>Reconoce</w:t>
      </w:r>
      <w:r w:rsidRPr="00C901E0">
        <w:rPr>
          <w:lang w:val="es-ES"/>
        </w:rPr>
        <w:t xml:space="preserve"> que hay divergencia de opiniones entre las Partes acerca de si se requiere o no orientación adicional sobre cuestiones específicas de la evaluación del riesgo;</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Reconoce también</w:t>
      </w:r>
      <w:r w:rsidRPr="00C901E0">
        <w:rPr>
          <w:lang w:val="es-ES"/>
        </w:rPr>
        <w:t xml:space="preserve"> que, dado que podrían existir posibles efectos adversos derivados de los organismos que contienen impulsores genéticos modificados, antes de que pueda considerarse la liberación de esos organismos en el medio ambiente es necesario realizar investigaciones y análisis, y que podría ser útil contar con orientación específica, para apoyar la evaluación del riesgo caso por caso</w:t>
      </w:r>
      <w:r w:rsidRPr="00C901E0">
        <w:rPr>
          <w:spacing w:val="-4"/>
          <w:lang w:val="es-ES"/>
        </w:rPr>
        <w:t>;</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Observa</w:t>
      </w:r>
      <w:r w:rsidRPr="00C901E0">
        <w:rPr>
          <w:lang w:val="es-ES"/>
        </w:rPr>
        <w:t xml:space="preserve"> que según las conclusiones del Grupo Especial de Expertos Técnicos sobre Biología Sintética, dadas las incertidumbres actuales con respecto a los impulsores genéticos modificados, la obtención del consentimiento libre, previo y fundamentado de los pueblos indígenas y las comunidades locales podría estar justificada cuando se esté considerando una posible liberación de organismos que contienen impulsores genéticos modificados que podrían afectar sus conocimientos tradicionales, innovaciones, prácticas y medios de vida y el uso de la tierra y el agua;</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Pide</w:t>
      </w:r>
      <w:r w:rsidRPr="00C901E0">
        <w:rPr>
          <w:lang w:val="es-ES"/>
        </w:rPr>
        <w:t xml:space="preserve"> amplia cooperación internacional, intercambio de conocimientos y creación de capacidad para apoyar, entre otras cosas, a las Partes en la evaluación de los posibles efectos adversos que pudieran tener en la conservación y la utilización sostenible de la diversidad biológica los peces vivos modificados y otros organismos vivos modificados producidos mediante nuevos adelantos de la biotecnología moderna, incluidos los organismos vivos modificados desarrollados mediante técnicas de edición genómica y los organismos vivos modificados que contienen impulsores genéticos modificados, teniendo en cuenta los riesgos para la salud humana, el valor de la diversidad biológica para los pueblos indígenas y las comunidades locales y las experiencias pertinentes de cada país en la evaluación del riesgo de esos organismos conforme al anexo III del Protocolo de Cartagena;</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Decide</w:t>
      </w:r>
      <w:r w:rsidRPr="00C901E0">
        <w:rPr>
          <w:lang w:val="es-ES"/>
        </w:rPr>
        <w:t xml:space="preserve"> establecer un proceso para la determinación y priorización de cuestiones específicas de la evaluación del riesgo de los organismos vivos modificados para que sea examinado por la Conferencia de las Partes que actúa como reunión de las Partes en el Protocolo de Cartagena con miras a la elaboración de orientación adicional sobre la evaluación del riesgo en las cuestiones específicas que se determinen, teniendo en cuenta el anexo I;</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Decide también</w:t>
      </w:r>
      <w:r w:rsidRPr="00C901E0">
        <w:rPr>
          <w:lang w:val="es-ES"/>
        </w:rPr>
        <w:t xml:space="preserve"> que en su décima reunión considerará si se requieren materiales de orientación adicionales sobre la evaluación del riesgo para a) organismos vivos modificados que contengan impulsores genéticos modificados y b) peces vivos modificados;</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Decide además</w:t>
      </w:r>
      <w:r w:rsidRPr="00C901E0">
        <w:rPr>
          <w:lang w:val="es-ES"/>
        </w:rPr>
        <w:t xml:space="preserve"> establecer un Grupo Especial de Expertos Técnicos sobre Evaluación del Riesgo, integrado por expertos seleccionados con arreglo al </w:t>
      </w:r>
      <w:r w:rsidRPr="00C901E0">
        <w:rPr>
          <w:i/>
          <w:lang w:val="es-ES"/>
        </w:rPr>
        <w:t>modus operandi</w:t>
      </w:r>
      <w:r w:rsidRPr="00C901E0">
        <w:rPr>
          <w:lang w:val="es-ES"/>
        </w:rPr>
        <w:t xml:space="preserve"> refundido del Órgano </w:t>
      </w:r>
      <w:r w:rsidRPr="00C901E0">
        <w:rPr>
          <w:lang w:val="es-ES"/>
        </w:rPr>
        <w:lastRenderedPageBreak/>
        <w:t>Subsidiario de Asesoramiento Científico, Técnico y Tecnológico</w:t>
      </w:r>
      <w:r w:rsidRPr="00E50E56">
        <w:rPr>
          <w:rStyle w:val="FootnoteReference"/>
          <w:rFonts w:eastAsia="MS Gothic"/>
          <w:sz w:val="22"/>
          <w:u w:val="none"/>
          <w:vertAlign w:val="superscript"/>
          <w:lang w:val="es-ES"/>
        </w:rPr>
        <w:footnoteReference w:id="21"/>
      </w:r>
      <w:r w:rsidRPr="00C901E0">
        <w:rPr>
          <w:lang w:val="es-ES"/>
        </w:rPr>
        <w:t>, de conformidad con el mandato que figura en el anexo II;</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Decide</w:t>
      </w:r>
      <w:r w:rsidRPr="00C901E0">
        <w:rPr>
          <w:lang w:val="es-ES"/>
        </w:rPr>
        <w:t xml:space="preserve"> prorrogar el foro en línea sobre evaluación del riesgo y gestión del riesgo para prestar asistencia al Grupo Especial de Expertos Técnicos sobre Evaluación del Riesgo;</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Invita</w:t>
      </w:r>
      <w:r w:rsidRPr="00C901E0">
        <w:rPr>
          <w:lang w:val="es-ES"/>
        </w:rPr>
        <w:t xml:space="preserve"> a las Partes, otros Gobiernos, pueblos indígenas y comunidades locales y organizaciones pertinentes a presentar a la Secretaria Ejecutiva información pertinente para la labor del foro en línea y del Grupo Especial de Expertos Técnicos;</w:t>
      </w:r>
    </w:p>
    <w:p w:rsidR="007E08BF" w:rsidRPr="00C901E0" w:rsidRDefault="007E08BF" w:rsidP="00465C6E">
      <w:pPr>
        <w:pStyle w:val="Para1"/>
        <w:numPr>
          <w:ilvl w:val="0"/>
          <w:numId w:val="30"/>
        </w:numPr>
        <w:suppressLineNumbers/>
        <w:suppressAutoHyphens/>
        <w:kinsoku w:val="0"/>
        <w:overflowPunct w:val="0"/>
        <w:autoSpaceDE w:val="0"/>
        <w:autoSpaceDN w:val="0"/>
        <w:adjustRightInd w:val="0"/>
        <w:snapToGrid w:val="0"/>
        <w:ind w:left="0" w:firstLine="720"/>
        <w:rPr>
          <w:lang w:val="es-ES"/>
        </w:rPr>
      </w:pPr>
      <w:r w:rsidRPr="00C901E0">
        <w:rPr>
          <w:i/>
          <w:lang w:val="es-ES"/>
        </w:rPr>
        <w:t xml:space="preserve">Pide </w:t>
      </w:r>
      <w:r w:rsidRPr="00C901E0">
        <w:rPr>
          <w:lang w:val="es-ES"/>
        </w:rPr>
        <w:t>a la Secretaria Ejecutiva que, con sujeción a la disponibilidad de recursos:</w:t>
      </w:r>
    </w:p>
    <w:p w:rsidR="007E08BF" w:rsidRPr="00C901E0" w:rsidRDefault="007E08BF" w:rsidP="00465C6E">
      <w:pPr>
        <w:pStyle w:val="ListParagraph"/>
        <w:numPr>
          <w:ilvl w:val="0"/>
          <w:numId w:val="42"/>
        </w:numPr>
        <w:suppressLineNumbers/>
        <w:suppressAutoHyphens/>
        <w:kinsoku w:val="0"/>
        <w:overflowPunct w:val="0"/>
        <w:autoSpaceDE w:val="0"/>
        <w:autoSpaceDN w:val="0"/>
        <w:adjustRightInd w:val="0"/>
        <w:snapToGrid w:val="0"/>
        <w:spacing w:before="120" w:after="120"/>
        <w:ind w:left="0" w:firstLine="709"/>
        <w:rPr>
          <w:kern w:val="22"/>
          <w:szCs w:val="22"/>
          <w:lang w:val="es-ES"/>
        </w:rPr>
      </w:pPr>
      <w:r w:rsidRPr="00C901E0">
        <w:rPr>
          <w:kern w:val="22"/>
          <w:szCs w:val="22"/>
          <w:lang w:val="es-ES"/>
        </w:rPr>
        <w:t>Encargue un estudio que aporte información para la aplicación del anexo I a i) organismos vivos modificados que contengan impulsores genéticos modificados y ii) peces vivos modificados, a fin de facilitar el proceso indicado en el párrafo 6 anterior, y que lo presente al foro en línea de composición abierta y al Grupo Especial de Expertos Técnicos sobre Evaluación del Riesgo y Gestión del Riesgo;</w:t>
      </w:r>
    </w:p>
    <w:p w:rsidR="007E08BF" w:rsidRPr="00C901E0" w:rsidRDefault="007E08BF" w:rsidP="00465C6E">
      <w:pPr>
        <w:pStyle w:val="ListParagraph"/>
        <w:numPr>
          <w:ilvl w:val="0"/>
          <w:numId w:val="42"/>
        </w:numPr>
        <w:suppressLineNumbers/>
        <w:suppressAutoHyphens/>
        <w:kinsoku w:val="0"/>
        <w:overflowPunct w:val="0"/>
        <w:autoSpaceDE w:val="0"/>
        <w:autoSpaceDN w:val="0"/>
        <w:adjustRightInd w:val="0"/>
        <w:snapToGrid w:val="0"/>
        <w:spacing w:before="120" w:after="120"/>
        <w:ind w:left="0" w:firstLine="709"/>
        <w:rPr>
          <w:kern w:val="22"/>
          <w:szCs w:val="22"/>
          <w:lang w:val="es-ES"/>
        </w:rPr>
      </w:pPr>
      <w:r w:rsidRPr="00C901E0">
        <w:rPr>
          <w:kern w:val="22"/>
          <w:szCs w:val="22"/>
          <w:lang w:val="es-ES"/>
        </w:rPr>
        <w:t>Recoja y sintetice información pertinente para facilitar la labor del foro en línea y del Grupo Especial de Expertos Técnicos;</w:t>
      </w:r>
    </w:p>
    <w:p w:rsidR="007E08BF" w:rsidRPr="00C901E0" w:rsidRDefault="007E08BF" w:rsidP="00465C6E">
      <w:pPr>
        <w:pStyle w:val="ListParagraph"/>
        <w:numPr>
          <w:ilvl w:val="0"/>
          <w:numId w:val="42"/>
        </w:numPr>
        <w:suppressLineNumbers/>
        <w:suppressAutoHyphens/>
        <w:kinsoku w:val="0"/>
        <w:overflowPunct w:val="0"/>
        <w:autoSpaceDE w:val="0"/>
        <w:autoSpaceDN w:val="0"/>
        <w:adjustRightInd w:val="0"/>
        <w:snapToGrid w:val="0"/>
        <w:spacing w:before="120" w:after="120"/>
        <w:ind w:left="0" w:firstLine="709"/>
        <w:rPr>
          <w:color w:val="000000"/>
          <w:kern w:val="22"/>
          <w:szCs w:val="22"/>
          <w:lang w:val="es-ES"/>
        </w:rPr>
      </w:pPr>
      <w:r w:rsidRPr="00C901E0">
        <w:rPr>
          <w:kern w:val="22"/>
          <w:szCs w:val="22"/>
          <w:lang w:val="es-ES"/>
        </w:rPr>
        <w:t>Preste asistencia al moderador principal del foro en línea para la convocatoria a debates y la preparación de informes sobre los resultados de esos debates;</w:t>
      </w:r>
    </w:p>
    <w:p w:rsidR="007E08BF" w:rsidRPr="00C901E0" w:rsidRDefault="007E08BF" w:rsidP="00465C6E">
      <w:pPr>
        <w:pStyle w:val="ListParagraph"/>
        <w:numPr>
          <w:ilvl w:val="0"/>
          <w:numId w:val="42"/>
        </w:numPr>
        <w:suppressLineNumbers/>
        <w:suppressAutoHyphens/>
        <w:kinsoku w:val="0"/>
        <w:overflowPunct w:val="0"/>
        <w:autoSpaceDE w:val="0"/>
        <w:autoSpaceDN w:val="0"/>
        <w:adjustRightInd w:val="0"/>
        <w:snapToGrid w:val="0"/>
        <w:spacing w:before="120" w:after="120"/>
        <w:ind w:left="0" w:firstLine="709"/>
        <w:rPr>
          <w:kern w:val="22"/>
          <w:szCs w:val="22"/>
          <w:lang w:val="es-ES"/>
        </w:rPr>
      </w:pPr>
      <w:r w:rsidRPr="00C901E0">
        <w:rPr>
          <w:color w:val="000000"/>
          <w:kern w:val="22"/>
          <w:szCs w:val="22"/>
          <w:lang w:val="es-ES"/>
        </w:rPr>
        <w:t>Convoque</w:t>
      </w:r>
      <w:r w:rsidRPr="00C901E0">
        <w:rPr>
          <w:kern w:val="22"/>
          <w:szCs w:val="22"/>
          <w:lang w:val="es-ES"/>
        </w:rPr>
        <w:t xml:space="preserve"> una reunión presencial del Grupo Especial de Expertos Técnicos sobre Evaluación del Riesgo;</w:t>
      </w:r>
    </w:p>
    <w:p w:rsidR="00376CED" w:rsidRPr="00C901E0" w:rsidRDefault="007E08BF" w:rsidP="00465C6E">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rPr>
          <w:i/>
          <w:kern w:val="22"/>
          <w:szCs w:val="22"/>
          <w:lang w:val="es-ES"/>
        </w:rPr>
      </w:pPr>
      <w:r w:rsidRPr="00C901E0">
        <w:rPr>
          <w:i/>
          <w:kern w:val="22"/>
          <w:szCs w:val="22"/>
          <w:lang w:val="es-ES"/>
        </w:rPr>
        <w:t>Pide</w:t>
      </w:r>
      <w:r w:rsidRPr="00C901E0">
        <w:rPr>
          <w:kern w:val="22"/>
          <w:szCs w:val="22"/>
          <w:lang w:val="es-ES"/>
        </w:rPr>
        <w:t xml:space="preserve"> al Órgano Subsidiario de Asesoramiento Científico, Técnico y Tecnológico que formule una recomendación respecto a la necesidad o no de elaborar materiales de orientación adicionales sobre la evaluación del riesgo de a) organismos vivos modificados que contengan impulsores genéticos modificados y b) peces vivos modificados, para que sea considerada por la Conferencia de las Partes que actúa como reunión de las Partes en el Protocolo de Cartagena en su décima reunión.</w:t>
      </w:r>
    </w:p>
    <w:p w:rsidR="00376CED" w:rsidRPr="00E50E56" w:rsidRDefault="00376CED" w:rsidP="00725967">
      <w:pPr>
        <w:suppressLineNumbers/>
        <w:suppressAutoHyphens/>
        <w:kinsoku w:val="0"/>
        <w:overflowPunct w:val="0"/>
        <w:autoSpaceDE w:val="0"/>
        <w:autoSpaceDN w:val="0"/>
        <w:adjustRightInd w:val="0"/>
        <w:snapToGrid w:val="0"/>
        <w:rPr>
          <w:kern w:val="22"/>
          <w:sz w:val="22"/>
          <w:szCs w:val="22"/>
          <w:lang w:val="es-ES"/>
        </w:rPr>
      </w:pPr>
    </w:p>
    <w:p w:rsidR="00376CED" w:rsidRPr="00E50E56" w:rsidRDefault="007E08BF" w:rsidP="00725967">
      <w:pPr>
        <w:keepNext/>
        <w:suppressLineNumbers/>
        <w:suppressAutoHyphens/>
        <w:kinsoku w:val="0"/>
        <w:overflowPunct w:val="0"/>
        <w:autoSpaceDE w:val="0"/>
        <w:autoSpaceDN w:val="0"/>
        <w:adjustRightInd w:val="0"/>
        <w:snapToGrid w:val="0"/>
        <w:spacing w:before="120" w:after="120"/>
        <w:jc w:val="center"/>
        <w:rPr>
          <w:i/>
          <w:kern w:val="22"/>
          <w:sz w:val="22"/>
          <w:szCs w:val="22"/>
          <w:lang w:val="es-ES"/>
        </w:rPr>
      </w:pPr>
      <w:r w:rsidRPr="00E50E56">
        <w:rPr>
          <w:i/>
          <w:kern w:val="22"/>
          <w:sz w:val="22"/>
          <w:szCs w:val="22"/>
          <w:lang w:val="es-ES"/>
        </w:rPr>
        <w:t>An</w:t>
      </w:r>
      <w:r w:rsidR="00376CED" w:rsidRPr="00E50E56">
        <w:rPr>
          <w:i/>
          <w:kern w:val="22"/>
          <w:sz w:val="22"/>
          <w:szCs w:val="22"/>
          <w:lang w:val="es-ES"/>
        </w:rPr>
        <w:t>ex</w:t>
      </w:r>
      <w:r w:rsidRPr="00E50E56">
        <w:rPr>
          <w:i/>
          <w:kern w:val="22"/>
          <w:sz w:val="22"/>
          <w:szCs w:val="22"/>
          <w:lang w:val="es-ES"/>
        </w:rPr>
        <w:t>o</w:t>
      </w:r>
      <w:r w:rsidR="00376CED" w:rsidRPr="00E50E56">
        <w:rPr>
          <w:i/>
          <w:kern w:val="22"/>
          <w:sz w:val="22"/>
          <w:szCs w:val="22"/>
          <w:lang w:val="es-ES"/>
        </w:rPr>
        <w:t xml:space="preserve"> I</w:t>
      </w:r>
    </w:p>
    <w:p w:rsidR="00376CED" w:rsidRPr="00C901E0" w:rsidRDefault="007E08BF" w:rsidP="00725967">
      <w:pPr>
        <w:keepNext/>
        <w:suppressLineNumbers/>
        <w:suppressAutoHyphens/>
        <w:kinsoku w:val="0"/>
        <w:overflowPunct w:val="0"/>
        <w:autoSpaceDE w:val="0"/>
        <w:autoSpaceDN w:val="0"/>
        <w:adjustRightInd w:val="0"/>
        <w:snapToGrid w:val="0"/>
        <w:spacing w:before="120" w:after="120"/>
        <w:jc w:val="center"/>
        <w:rPr>
          <w:b/>
          <w:kern w:val="22"/>
          <w:sz w:val="22"/>
          <w:szCs w:val="22"/>
          <w:lang w:val="es-ES"/>
        </w:rPr>
      </w:pPr>
      <w:r w:rsidRPr="00C901E0">
        <w:rPr>
          <w:b/>
          <w:kern w:val="22"/>
          <w:sz w:val="22"/>
          <w:szCs w:val="22"/>
          <w:lang w:val="es-ES"/>
        </w:rPr>
        <w:t>Determinación y priorización de cuestiones específicas de la evaluación del riesgo de los organismos vivos modificados que podrían ameritar consideración</w:t>
      </w:r>
    </w:p>
    <w:p w:rsidR="007E08BF" w:rsidRPr="00C901E0" w:rsidRDefault="007E08BF" w:rsidP="00E50E56">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C901E0">
        <w:rPr>
          <w:kern w:val="22"/>
          <w:sz w:val="22"/>
          <w:szCs w:val="22"/>
          <w:lang w:val="es-ES"/>
        </w:rPr>
        <w:t>El proceso de recomendación de cuestiones específicas de la evaluación del riesgo para consideración de la Conferencia de las Partes que actúa como reunión de las Partes en el Protocolo de Cartagena sobre Seguridad de la Biotecnología debería incluir un análisis estructurado para evaluar si las cuestiones específicas cumplen los siguientes criterios:</w:t>
      </w:r>
    </w:p>
    <w:p w:rsidR="007E08BF" w:rsidRPr="00C901E0" w:rsidRDefault="007E08BF" w:rsidP="00465C6E">
      <w:pPr>
        <w:numPr>
          <w:ilvl w:val="0"/>
          <w:numId w:val="43"/>
        </w:numPr>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bookmarkStart w:id="35" w:name="_GoBack"/>
      <w:r w:rsidRPr="00C901E0">
        <w:rPr>
          <w:kern w:val="22"/>
          <w:sz w:val="22"/>
          <w:szCs w:val="22"/>
          <w:lang w:val="es-ES"/>
        </w:rPr>
        <w:t>Las Partes han determinado que son prioridades, teniendo en cuenta las dificultades para la evaluación del riesgo, especialmente en el caso de las Partes que son países en desarrollo y países con economías en transición;</w:t>
      </w:r>
    </w:p>
    <w:bookmarkEnd w:id="35"/>
    <w:p w:rsidR="007E08BF" w:rsidRPr="00C901E0" w:rsidRDefault="007E08BF" w:rsidP="00465C6E">
      <w:pPr>
        <w:numPr>
          <w:ilvl w:val="0"/>
          <w:numId w:val="43"/>
        </w:numPr>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C901E0">
        <w:rPr>
          <w:kern w:val="22"/>
          <w:sz w:val="22"/>
          <w:szCs w:val="22"/>
          <w:lang w:val="es-ES"/>
        </w:rPr>
        <w:t>Están comprendidas en el ámbito y el objetivo del Protocolo de Cartagena;</w:t>
      </w:r>
    </w:p>
    <w:p w:rsidR="007E08BF" w:rsidRPr="00C901E0" w:rsidRDefault="007E08BF" w:rsidP="00465C6E">
      <w:pPr>
        <w:numPr>
          <w:ilvl w:val="0"/>
          <w:numId w:val="43"/>
        </w:numPr>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C901E0">
        <w:rPr>
          <w:kern w:val="22"/>
          <w:sz w:val="22"/>
          <w:szCs w:val="22"/>
          <w:lang w:val="es-ES"/>
        </w:rPr>
        <w:t>Plantean dificultades para los marcos, orientaciones y metodologías de evaluación del riesgo existentes; por ejemplo, si la cuestión específica se ha evaluado con los marcos de evaluación del riesgo existentes pero plantea dificultades técnicas o metodológicas específicas que requieren mayor atención;</w:t>
      </w:r>
    </w:p>
    <w:p w:rsidR="007E08BF" w:rsidRPr="00C901E0" w:rsidRDefault="007E08BF" w:rsidP="00465C6E">
      <w:pPr>
        <w:numPr>
          <w:ilvl w:val="0"/>
          <w:numId w:val="43"/>
        </w:numPr>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C901E0">
        <w:rPr>
          <w:kern w:val="22"/>
          <w:sz w:val="22"/>
          <w:szCs w:val="22"/>
          <w:lang w:val="es-ES"/>
        </w:rPr>
        <w:t>Se describen claramente las dificultades para abordar la cuestión específica;</w:t>
      </w:r>
    </w:p>
    <w:p w:rsidR="007E08BF" w:rsidRPr="00C901E0" w:rsidRDefault="007E08BF" w:rsidP="00E50E56">
      <w:pPr>
        <w:keepNext/>
        <w:keepLines/>
        <w:suppressLineNumbers/>
        <w:suppressAutoHyphens/>
        <w:kinsoku w:val="0"/>
        <w:overflowPunct w:val="0"/>
        <w:autoSpaceDE w:val="0"/>
        <w:autoSpaceDN w:val="0"/>
        <w:adjustRightInd w:val="0"/>
        <w:snapToGrid w:val="0"/>
        <w:spacing w:before="120" w:after="120"/>
        <w:rPr>
          <w:kern w:val="22"/>
          <w:sz w:val="22"/>
          <w:szCs w:val="22"/>
          <w:lang w:val="es-ES"/>
        </w:rPr>
      </w:pPr>
      <w:r w:rsidRPr="00C901E0">
        <w:rPr>
          <w:kern w:val="22"/>
          <w:sz w:val="22"/>
          <w:szCs w:val="22"/>
          <w:lang w:val="es-ES"/>
        </w:rPr>
        <w:lastRenderedPageBreak/>
        <w:t>Y considerar, entre otras cosas, lo siguiente:</w:t>
      </w:r>
    </w:p>
    <w:p w:rsidR="007E08BF" w:rsidRPr="00C901E0" w:rsidRDefault="007E08BF" w:rsidP="00E50E56">
      <w:pPr>
        <w:keepNext/>
        <w:keepLines/>
        <w:numPr>
          <w:ilvl w:val="0"/>
          <w:numId w:val="43"/>
        </w:numPr>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C901E0">
        <w:rPr>
          <w:kern w:val="22"/>
          <w:sz w:val="22"/>
          <w:szCs w:val="22"/>
          <w:lang w:val="es-ES"/>
        </w:rPr>
        <w:t>Las cuestiones específicas atañen a organismos vivos modificados que:</w:t>
      </w:r>
    </w:p>
    <w:p w:rsidR="007E08BF" w:rsidRPr="00C901E0" w:rsidRDefault="007E08BF" w:rsidP="00E50E56">
      <w:pPr>
        <w:suppressLineNumbers/>
        <w:suppressAutoHyphens/>
        <w:kinsoku w:val="0"/>
        <w:overflowPunct w:val="0"/>
        <w:autoSpaceDE w:val="0"/>
        <w:autoSpaceDN w:val="0"/>
        <w:adjustRightInd w:val="0"/>
        <w:snapToGrid w:val="0"/>
        <w:spacing w:before="120" w:after="120"/>
        <w:ind w:left="1980" w:hanging="540"/>
        <w:jc w:val="both"/>
        <w:rPr>
          <w:sz w:val="22"/>
          <w:szCs w:val="22"/>
          <w:lang w:val="es-ES"/>
        </w:rPr>
      </w:pPr>
      <w:r w:rsidRPr="00C901E0">
        <w:rPr>
          <w:kern w:val="22"/>
          <w:sz w:val="22"/>
          <w:szCs w:val="22"/>
          <w:lang w:val="es-ES"/>
        </w:rPr>
        <w:t>i)</w:t>
      </w:r>
      <w:r w:rsidRPr="00C901E0">
        <w:rPr>
          <w:kern w:val="22"/>
          <w:sz w:val="22"/>
          <w:szCs w:val="22"/>
          <w:lang w:val="es-ES"/>
        </w:rPr>
        <w:tab/>
        <w:t>Podrían tener efectos adversos en la diversidad biológica, en particular efectos graves o irreversibles, teniendo en cuenta la necesidad acuciante de proteger aspectos específicos de la diversidad biológica, como, por ejemplo, especies endémicas/raras o hábitats o ecosistemas singulares, tomando en consideración los riesgos para la salud humana y el valor de la diversidad biológica para los pueblos indígenas y las comunidades locales;</w:t>
      </w:r>
    </w:p>
    <w:p w:rsidR="007E08BF" w:rsidRPr="00C901E0" w:rsidRDefault="007E08BF" w:rsidP="00E50E56">
      <w:pPr>
        <w:suppressLineNumbers/>
        <w:suppressAutoHyphens/>
        <w:kinsoku w:val="0"/>
        <w:overflowPunct w:val="0"/>
        <w:autoSpaceDE w:val="0"/>
        <w:autoSpaceDN w:val="0"/>
        <w:adjustRightInd w:val="0"/>
        <w:snapToGrid w:val="0"/>
        <w:ind w:left="1980" w:hanging="540"/>
        <w:jc w:val="both"/>
        <w:rPr>
          <w:sz w:val="22"/>
          <w:szCs w:val="22"/>
          <w:lang w:val="es-ES"/>
        </w:rPr>
      </w:pPr>
      <w:r w:rsidRPr="00C901E0">
        <w:rPr>
          <w:kern w:val="22"/>
          <w:sz w:val="22"/>
          <w:szCs w:val="22"/>
          <w:lang w:val="es-ES"/>
        </w:rPr>
        <w:t>ii)</w:t>
      </w:r>
      <w:r w:rsidRPr="00C901E0">
        <w:rPr>
          <w:kern w:val="22"/>
          <w:sz w:val="22"/>
          <w:szCs w:val="22"/>
          <w:lang w:val="es-ES"/>
        </w:rPr>
        <w:tab/>
        <w:t>Podrían introducirse en el medio ambiente ya sea deliberada o accidentalmente;</w:t>
      </w:r>
    </w:p>
    <w:p w:rsidR="007E08BF" w:rsidRPr="00C901E0" w:rsidRDefault="007E08BF" w:rsidP="00E50E56">
      <w:pPr>
        <w:suppressLineNumbers/>
        <w:suppressAutoHyphens/>
        <w:kinsoku w:val="0"/>
        <w:overflowPunct w:val="0"/>
        <w:autoSpaceDE w:val="0"/>
        <w:autoSpaceDN w:val="0"/>
        <w:adjustRightInd w:val="0"/>
        <w:snapToGrid w:val="0"/>
        <w:spacing w:before="120" w:after="120"/>
        <w:ind w:left="1980" w:hanging="540"/>
        <w:jc w:val="both"/>
        <w:rPr>
          <w:sz w:val="22"/>
          <w:szCs w:val="22"/>
          <w:lang w:val="es-ES"/>
        </w:rPr>
      </w:pPr>
      <w:r w:rsidRPr="00C901E0">
        <w:rPr>
          <w:kern w:val="22"/>
          <w:sz w:val="22"/>
          <w:szCs w:val="22"/>
          <w:lang w:val="es-ES"/>
        </w:rPr>
        <w:t>iii)</w:t>
      </w:r>
      <w:r w:rsidRPr="00C901E0">
        <w:rPr>
          <w:kern w:val="22"/>
          <w:sz w:val="22"/>
          <w:szCs w:val="22"/>
          <w:lang w:val="es-ES"/>
        </w:rPr>
        <w:tab/>
        <w:t>Podrían propagarse más allá de las fronteras nacionales;</w:t>
      </w:r>
    </w:p>
    <w:p w:rsidR="007E08BF" w:rsidRPr="00C901E0" w:rsidRDefault="007E08BF" w:rsidP="00E50E56">
      <w:pPr>
        <w:suppressLineNumbers/>
        <w:suppressAutoHyphens/>
        <w:kinsoku w:val="0"/>
        <w:overflowPunct w:val="0"/>
        <w:autoSpaceDE w:val="0"/>
        <w:autoSpaceDN w:val="0"/>
        <w:adjustRightInd w:val="0"/>
        <w:snapToGrid w:val="0"/>
        <w:spacing w:before="120" w:after="120"/>
        <w:ind w:left="1980" w:hanging="540"/>
        <w:jc w:val="both"/>
        <w:rPr>
          <w:sz w:val="22"/>
          <w:szCs w:val="22"/>
          <w:lang w:val="es-ES"/>
        </w:rPr>
      </w:pPr>
      <w:r w:rsidRPr="00C901E0">
        <w:rPr>
          <w:kern w:val="22"/>
          <w:sz w:val="22"/>
          <w:szCs w:val="22"/>
          <w:lang w:val="es-ES"/>
        </w:rPr>
        <w:t>iv)</w:t>
      </w:r>
      <w:r w:rsidRPr="00C901E0">
        <w:rPr>
          <w:kern w:val="22"/>
          <w:sz w:val="22"/>
          <w:szCs w:val="22"/>
          <w:lang w:val="es-ES"/>
        </w:rPr>
        <w:tab/>
        <w:t>Ya se están comercializando o usando, o hay probabilidad de que se comercialicen o usen, en alguna parte del mundo;</w:t>
      </w:r>
    </w:p>
    <w:p w:rsidR="00376CED" w:rsidRPr="00C901E0" w:rsidRDefault="007E08BF" w:rsidP="007E08BF">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C901E0">
        <w:rPr>
          <w:kern w:val="22"/>
          <w:sz w:val="22"/>
          <w:szCs w:val="22"/>
          <w:lang w:val="es-ES"/>
        </w:rPr>
        <w:t>Y considerar la realización de un inventario para determinar si se han elaborado recursos sobre cuestiones similares en otros organismos nacionales, regionales o internacionales y, en tal caso, si esos recursos pueden ser modificados o adaptados para ajustarse al objetivo del Protocolo de Cartagena, según proceda.</w:t>
      </w:r>
    </w:p>
    <w:p w:rsidR="00376CED" w:rsidRPr="00C901E0" w:rsidRDefault="00376CED" w:rsidP="00725967">
      <w:pPr>
        <w:keepNext/>
        <w:suppressLineNumbers/>
        <w:suppressAutoHyphens/>
        <w:kinsoku w:val="0"/>
        <w:overflowPunct w:val="0"/>
        <w:autoSpaceDE w:val="0"/>
        <w:autoSpaceDN w:val="0"/>
        <w:adjustRightInd w:val="0"/>
        <w:snapToGrid w:val="0"/>
        <w:spacing w:before="240" w:after="120"/>
        <w:jc w:val="center"/>
        <w:rPr>
          <w:i/>
          <w:kern w:val="22"/>
          <w:sz w:val="22"/>
          <w:szCs w:val="22"/>
          <w:lang w:val="es-ES"/>
        </w:rPr>
      </w:pPr>
      <w:r w:rsidRPr="00C901E0">
        <w:rPr>
          <w:i/>
          <w:kern w:val="22"/>
          <w:sz w:val="22"/>
          <w:szCs w:val="22"/>
          <w:lang w:val="es-ES"/>
        </w:rPr>
        <w:t>Anex</w:t>
      </w:r>
      <w:r w:rsidR="007E08BF" w:rsidRPr="00C901E0">
        <w:rPr>
          <w:i/>
          <w:kern w:val="22"/>
          <w:sz w:val="22"/>
          <w:szCs w:val="22"/>
          <w:lang w:val="es-ES"/>
        </w:rPr>
        <w:t>o</w:t>
      </w:r>
      <w:r w:rsidRPr="00C901E0">
        <w:rPr>
          <w:i/>
          <w:kern w:val="22"/>
          <w:sz w:val="22"/>
          <w:szCs w:val="22"/>
          <w:lang w:val="es-ES"/>
        </w:rPr>
        <w:t xml:space="preserve"> II</w:t>
      </w:r>
    </w:p>
    <w:p w:rsidR="00376CED" w:rsidRPr="00C901E0" w:rsidRDefault="007E08BF" w:rsidP="00725967">
      <w:pPr>
        <w:keepNext/>
        <w:suppressLineNumbers/>
        <w:suppressAutoHyphens/>
        <w:kinsoku w:val="0"/>
        <w:overflowPunct w:val="0"/>
        <w:autoSpaceDE w:val="0"/>
        <w:autoSpaceDN w:val="0"/>
        <w:adjustRightInd w:val="0"/>
        <w:snapToGrid w:val="0"/>
        <w:spacing w:before="120" w:after="120"/>
        <w:jc w:val="center"/>
        <w:rPr>
          <w:b/>
          <w:kern w:val="22"/>
          <w:sz w:val="22"/>
          <w:szCs w:val="22"/>
          <w:lang w:val="es-ES"/>
        </w:rPr>
      </w:pPr>
      <w:r w:rsidRPr="00C901E0">
        <w:rPr>
          <w:b/>
          <w:color w:val="000000"/>
          <w:kern w:val="22"/>
          <w:sz w:val="22"/>
          <w:szCs w:val="22"/>
          <w:lang w:val="es-ES"/>
        </w:rPr>
        <w:t>Mandato del Grupo Especial de Expertos Técnicos sobre Evaluación del Riesgo</w:t>
      </w:r>
    </w:p>
    <w:p w:rsidR="007E08BF" w:rsidRPr="00C901E0" w:rsidRDefault="00376CED" w:rsidP="00E50E56">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C901E0">
        <w:rPr>
          <w:kern w:val="22"/>
          <w:sz w:val="22"/>
          <w:szCs w:val="22"/>
          <w:lang w:val="es-ES"/>
        </w:rPr>
        <w:tab/>
      </w:r>
      <w:bookmarkEnd w:id="34"/>
      <w:r w:rsidR="007E08BF" w:rsidRPr="00C901E0">
        <w:rPr>
          <w:kern w:val="22"/>
          <w:sz w:val="22"/>
          <w:szCs w:val="22"/>
          <w:lang w:val="es-ES"/>
        </w:rPr>
        <w:t>El Grupo Especial de Expertos Técnicos sobre Evaluación del Riesgo, teniendo en cuenta la labor realizada por el Grupo Especial de Expertos Técnicos sobre Biología Sintética:</w:t>
      </w:r>
    </w:p>
    <w:p w:rsidR="007E08BF" w:rsidRPr="00C901E0" w:rsidRDefault="007E08BF" w:rsidP="00465C6E">
      <w:pPr>
        <w:pStyle w:val="Para1"/>
        <w:numPr>
          <w:ilvl w:val="0"/>
          <w:numId w:val="44"/>
        </w:numPr>
        <w:suppressLineNumbers/>
        <w:suppressAutoHyphens/>
        <w:kinsoku w:val="0"/>
        <w:overflowPunct w:val="0"/>
        <w:autoSpaceDE w:val="0"/>
        <w:autoSpaceDN w:val="0"/>
        <w:adjustRightInd w:val="0"/>
        <w:ind w:left="0" w:firstLine="720"/>
        <w:rPr>
          <w:lang w:val="es-ES"/>
        </w:rPr>
      </w:pPr>
      <w:r w:rsidRPr="00C901E0">
        <w:rPr>
          <w:lang w:val="es-ES"/>
        </w:rPr>
        <w:t>Examinará el estudio al que se hace referencia en el párrafo 11 a) de la decisión CP-9/13 y realizará un análisis sobre</w:t>
      </w:r>
      <w:r w:rsidRPr="00C901E0">
        <w:rPr>
          <w:spacing w:val="-2"/>
          <w:lang w:val="es-ES"/>
        </w:rPr>
        <w:t xml:space="preserve"> i) organismos vivos modificado que contengan impulsores genéticos modificados y ii) peces vivos modificados, de conformidad con el anexo I, y sobre la base de los datos del estudio;</w:t>
      </w:r>
    </w:p>
    <w:p w:rsidR="007E08BF" w:rsidRPr="00C901E0" w:rsidRDefault="007E08BF" w:rsidP="00465C6E">
      <w:pPr>
        <w:pStyle w:val="Para1"/>
        <w:numPr>
          <w:ilvl w:val="0"/>
          <w:numId w:val="44"/>
        </w:numPr>
        <w:suppressLineNumbers/>
        <w:suppressAutoHyphens/>
        <w:kinsoku w:val="0"/>
        <w:overflowPunct w:val="0"/>
        <w:autoSpaceDE w:val="0"/>
        <w:autoSpaceDN w:val="0"/>
        <w:adjustRightInd w:val="0"/>
        <w:ind w:left="0" w:firstLine="720"/>
        <w:rPr>
          <w:lang w:val="es-ES"/>
        </w:rPr>
      </w:pPr>
      <w:r w:rsidRPr="00C901E0">
        <w:rPr>
          <w:lang w:val="es-ES"/>
        </w:rPr>
        <w:t>Considerará las necesidades y prioridades de orientación adicional y las carencias en la orientación existente que hayan sido determinadas por las Partes en respuesta a la decisión CP-VIII/12 con respecto a temas específicos de la evaluación del riesgo, y preparará un análisis;</w:t>
      </w:r>
    </w:p>
    <w:p w:rsidR="006C3C9C" w:rsidRDefault="007E08BF" w:rsidP="006C3C9C">
      <w:pPr>
        <w:pStyle w:val="Para1"/>
        <w:numPr>
          <w:ilvl w:val="0"/>
          <w:numId w:val="44"/>
        </w:numPr>
        <w:suppressLineNumbers/>
        <w:suppressAutoHyphens/>
        <w:kinsoku w:val="0"/>
        <w:overflowPunct w:val="0"/>
        <w:autoSpaceDE w:val="0"/>
        <w:autoSpaceDN w:val="0"/>
        <w:adjustRightInd w:val="0"/>
        <w:ind w:left="0" w:firstLine="720"/>
        <w:rPr>
          <w:lang w:val="es-ES"/>
        </w:rPr>
      </w:pPr>
      <w:r w:rsidRPr="00C901E0">
        <w:rPr>
          <w:lang w:val="es-ES"/>
        </w:rPr>
        <w:t>Formulará recomendaciones sobre i) la necesidad de elaborar orientación sobre la evaluación del riesgo de organismos vivos modificados que contengan impulsores genéticos modificados y peces vivos modificados, y ii) los ajustes que pudiera requerir el anexo I de la decisión CP-9/13;</w:t>
      </w:r>
    </w:p>
    <w:p w:rsidR="00376CED" w:rsidRPr="006C3C9C" w:rsidRDefault="007E08BF" w:rsidP="006C3C9C">
      <w:pPr>
        <w:pStyle w:val="Para1"/>
        <w:numPr>
          <w:ilvl w:val="0"/>
          <w:numId w:val="44"/>
        </w:numPr>
        <w:suppressLineNumbers/>
        <w:suppressAutoHyphens/>
        <w:kinsoku w:val="0"/>
        <w:overflowPunct w:val="0"/>
        <w:autoSpaceDE w:val="0"/>
        <w:autoSpaceDN w:val="0"/>
        <w:adjustRightInd w:val="0"/>
        <w:ind w:left="0" w:firstLine="720"/>
        <w:rPr>
          <w:lang w:val="es-ES"/>
        </w:rPr>
      </w:pPr>
      <w:r w:rsidRPr="006C3C9C">
        <w:rPr>
          <w:lang w:val="es-ES"/>
        </w:rPr>
        <w:t xml:space="preserve">Preparará un informe para que sea examinado por el </w:t>
      </w:r>
      <w:r w:rsidRPr="006C3C9C">
        <w:rPr>
          <w:rStyle w:val="st"/>
          <w:lang w:val="es-ES"/>
        </w:rPr>
        <w:t xml:space="preserve">Órgano Subsidiario de Asesoramiento Científico, Técnico y Tecnológico con miras a que el Órgano Subsidiario formule una recomendación para consideración de la </w:t>
      </w:r>
      <w:r w:rsidRPr="006C3C9C">
        <w:rPr>
          <w:lang w:val="es-ES"/>
        </w:rPr>
        <w:t>Conferencia de las Partes que actúa como reunión de las Partes en el Protocolo de Cartagena en su décima reunión.</w:t>
      </w:r>
    </w:p>
    <w:p w:rsidR="00376CED" w:rsidRPr="00C901E0" w:rsidRDefault="00376CED">
      <w:pPr>
        <w:rPr>
          <w:b/>
          <w:caps/>
          <w:sz w:val="22"/>
          <w:szCs w:val="22"/>
          <w:lang w:val="es-ES"/>
        </w:rPr>
      </w:pPr>
      <w:r w:rsidRPr="00C901E0">
        <w:rPr>
          <w:sz w:val="22"/>
          <w:szCs w:val="22"/>
          <w:lang w:val="es-ES"/>
        </w:rPr>
        <w:br w:type="page"/>
      </w:r>
    </w:p>
    <w:p w:rsidR="00376CED" w:rsidRPr="00C901E0" w:rsidRDefault="00376CED" w:rsidP="00376CED">
      <w:pPr>
        <w:pStyle w:val="heading2-item"/>
        <w:rPr>
          <w:lang w:val="es-ES"/>
        </w:rPr>
      </w:pPr>
      <w:bookmarkStart w:id="36" w:name="_Toc879826"/>
      <w:bookmarkStart w:id="37" w:name="_Toc5922087"/>
      <w:r w:rsidRPr="00C901E0">
        <w:rPr>
          <w:lang w:val="es-ES"/>
        </w:rPr>
        <w:lastRenderedPageBreak/>
        <w:t>9/14.</w:t>
      </w:r>
      <w:r w:rsidRPr="00C901E0">
        <w:rPr>
          <w:lang w:val="es-ES"/>
        </w:rPr>
        <w:tab/>
      </w:r>
      <w:bookmarkEnd w:id="36"/>
      <w:r w:rsidR="00CD2D82" w:rsidRPr="00C901E0">
        <w:rPr>
          <w:lang w:val="es-ES"/>
        </w:rPr>
        <w:t>Consideraciones socioeconómicas (artículo 26)</w:t>
      </w:r>
      <w:bookmarkEnd w:id="37"/>
    </w:p>
    <w:p w:rsidR="00CD2D82" w:rsidRPr="00C901E0" w:rsidRDefault="00CD2D82" w:rsidP="00B01BFD">
      <w:pPr>
        <w:suppressLineNumbers/>
        <w:suppressAutoHyphens/>
        <w:adjustRightInd w:val="0"/>
        <w:snapToGrid w:val="0"/>
        <w:spacing w:before="120" w:after="120"/>
        <w:ind w:firstLine="720"/>
        <w:jc w:val="both"/>
        <w:rPr>
          <w:i/>
          <w:color w:val="000000"/>
          <w:kern w:val="22"/>
          <w:sz w:val="22"/>
          <w:szCs w:val="22"/>
          <w:lang w:val="es-ES"/>
        </w:rPr>
      </w:pPr>
      <w:r w:rsidRPr="00C901E0">
        <w:rPr>
          <w:i/>
          <w:kern w:val="22"/>
          <w:sz w:val="22"/>
          <w:szCs w:val="22"/>
          <w:lang w:val="es-ES"/>
        </w:rPr>
        <w:t>La Conferencia de las Partes que actúa como reunión de las Partes en el Protocolo de Cartagena sobre Seguridad de la Biotecnología,</w:t>
      </w:r>
    </w:p>
    <w:p w:rsidR="00CD2D82" w:rsidRPr="00C901E0" w:rsidRDefault="00CD2D82" w:rsidP="00CD2D82">
      <w:pPr>
        <w:pStyle w:val="Para1"/>
        <w:numPr>
          <w:ilvl w:val="0"/>
          <w:numId w:val="0"/>
        </w:numPr>
        <w:suppressLineNumbers/>
        <w:suppressAutoHyphens/>
        <w:ind w:firstLine="720"/>
        <w:rPr>
          <w:lang w:val="es-ES"/>
        </w:rPr>
      </w:pPr>
      <w:r w:rsidRPr="00C901E0">
        <w:rPr>
          <w:i/>
          <w:lang w:val="es-ES"/>
        </w:rPr>
        <w:t>Recordando</w:t>
      </w:r>
      <w:r w:rsidRPr="00C901E0">
        <w:rPr>
          <w:lang w:val="es-ES"/>
        </w:rPr>
        <w:t xml:space="preserve"> las decisiones </w:t>
      </w:r>
      <w:hyperlink r:id="rId26" w:history="1">
        <w:r w:rsidRPr="00C901E0">
          <w:rPr>
            <w:rStyle w:val="Hyperlink"/>
            <w:lang w:val="es-ES"/>
          </w:rPr>
          <w:t>BS-VI/13</w:t>
        </w:r>
      </w:hyperlink>
      <w:r w:rsidRPr="00C901E0">
        <w:rPr>
          <w:lang w:val="es-ES"/>
        </w:rPr>
        <w:t xml:space="preserve">, </w:t>
      </w:r>
      <w:hyperlink r:id="rId27" w:history="1">
        <w:r w:rsidRPr="00C901E0">
          <w:rPr>
            <w:rStyle w:val="Hyperlink"/>
            <w:lang w:val="es-ES"/>
          </w:rPr>
          <w:t>BS-VII/13</w:t>
        </w:r>
      </w:hyperlink>
      <w:r w:rsidRPr="00C901E0">
        <w:rPr>
          <w:lang w:val="es-ES"/>
        </w:rPr>
        <w:t xml:space="preserve"> y </w:t>
      </w:r>
      <w:hyperlink r:id="rId28" w:history="1">
        <w:r w:rsidRPr="00C901E0">
          <w:rPr>
            <w:rStyle w:val="Hyperlink"/>
            <w:lang w:val="es-ES"/>
          </w:rPr>
          <w:t>CP-VIII/13</w:t>
        </w:r>
      </w:hyperlink>
      <w:r w:rsidRPr="00C901E0">
        <w:rPr>
          <w:lang w:val="es-ES"/>
        </w:rPr>
        <w:t>,</w:t>
      </w:r>
    </w:p>
    <w:p w:rsidR="00CD2D82" w:rsidRPr="00C901E0" w:rsidRDefault="00CD2D82" w:rsidP="00CD2D82">
      <w:pPr>
        <w:pStyle w:val="Para1"/>
        <w:numPr>
          <w:ilvl w:val="0"/>
          <w:numId w:val="0"/>
        </w:numPr>
        <w:suppressLineNumbers/>
        <w:suppressAutoHyphens/>
        <w:spacing w:before="0" w:after="0"/>
        <w:ind w:firstLine="720"/>
        <w:rPr>
          <w:i/>
          <w:lang w:val="es-ES"/>
        </w:rPr>
      </w:pPr>
      <w:r w:rsidRPr="00C901E0">
        <w:rPr>
          <w:i/>
          <w:lang w:val="es-ES"/>
        </w:rPr>
        <w:t>Recordando</w:t>
      </w:r>
      <w:r w:rsidRPr="00C901E0">
        <w:rPr>
          <w:lang w:val="es-ES"/>
        </w:rPr>
        <w:t xml:space="preserve"> que, de conformidad con el artículo 26, párrafo 1, las Partes, al adoptar una decisión sobre importaciones con arreglo al Protocolo o a las medidas nacionales que rigen la aplicación del Protocolo, podrán tener en cuenta, de forma compatible con sus obligaciones internacionales, las consideraciones socioeconómicas resultantes de los efectos de los organismos vivos modificados para la conservación y la utilización sostenible de la diversidad biológica, especialmente en relación con el valor que la diversidad biológica tiene para las comunidades indígenas y locales,</w:t>
      </w:r>
    </w:p>
    <w:p w:rsidR="00CD2D82" w:rsidRPr="00C901E0" w:rsidRDefault="00CD2D82" w:rsidP="00B01BFD">
      <w:pPr>
        <w:suppressLineNumbers/>
        <w:suppressAutoHyphens/>
        <w:kinsoku w:val="0"/>
        <w:overflowPunct w:val="0"/>
        <w:autoSpaceDE w:val="0"/>
        <w:autoSpaceDN w:val="0"/>
        <w:snapToGrid w:val="0"/>
        <w:spacing w:before="120" w:after="120"/>
        <w:ind w:firstLine="720"/>
        <w:jc w:val="both"/>
        <w:rPr>
          <w:kern w:val="22"/>
          <w:sz w:val="22"/>
          <w:szCs w:val="22"/>
          <w:highlight w:val="yellow"/>
          <w:lang w:val="es-ES"/>
        </w:rPr>
      </w:pPr>
      <w:r w:rsidRPr="00C901E0">
        <w:rPr>
          <w:i/>
          <w:kern w:val="22"/>
          <w:sz w:val="22"/>
          <w:szCs w:val="22"/>
          <w:lang w:val="es-ES"/>
        </w:rPr>
        <w:t>Reconociendo</w:t>
      </w:r>
      <w:r w:rsidRPr="00C901E0">
        <w:rPr>
          <w:kern w:val="22"/>
          <w:sz w:val="22"/>
          <w:szCs w:val="22"/>
          <w:lang w:val="es-ES"/>
        </w:rPr>
        <w:t xml:space="preserve"> que ninguna disposición de la “Orientación para la evaluación de consideraciones socioeconómicas en el contexto del artículo 26 del Protocolo de Cartagena sobre Seguridad de la Biotecnología”, que es de carácter voluntario, podrá interpretarse o utilizarse para apoyar barreras no arancelarias al comercio o para justificar incumplimientos de las obligaciones establecidas por el derecho internacional de los derechos humanos, en particular los derechos de los pueblos indígenas y las comunidades locales,</w:t>
      </w:r>
    </w:p>
    <w:p w:rsidR="00CD2D82" w:rsidRPr="00C901E0" w:rsidRDefault="00CD2D82" w:rsidP="00B01BFD">
      <w:pPr>
        <w:suppressLineNumbers/>
        <w:suppressAutoHyphens/>
        <w:kinsoku w:val="0"/>
        <w:overflowPunct w:val="0"/>
        <w:autoSpaceDE w:val="0"/>
        <w:autoSpaceDN w:val="0"/>
        <w:snapToGrid w:val="0"/>
        <w:spacing w:before="120" w:after="120"/>
        <w:ind w:firstLine="720"/>
        <w:jc w:val="both"/>
        <w:rPr>
          <w:kern w:val="22"/>
          <w:sz w:val="22"/>
          <w:szCs w:val="22"/>
          <w:lang w:val="es-ES"/>
        </w:rPr>
      </w:pPr>
      <w:r w:rsidRPr="00B01BFD">
        <w:rPr>
          <w:i/>
          <w:kern w:val="22"/>
          <w:sz w:val="22"/>
          <w:szCs w:val="22"/>
          <w:lang w:val="es-ES"/>
        </w:rPr>
        <w:t>Reconociendo</w:t>
      </w:r>
      <w:r w:rsidRPr="00C901E0">
        <w:rPr>
          <w:kern w:val="22"/>
          <w:sz w:val="22"/>
          <w:szCs w:val="22"/>
          <w:lang w:val="es-ES"/>
        </w:rPr>
        <w:t xml:space="preserve"> que los acuerdos comerciales y ambientales deberían ser mutuamente complementarios en aras de lograr el desarrollo sostenible,</w:t>
      </w:r>
    </w:p>
    <w:p w:rsidR="00CD2D82" w:rsidRPr="00C901E0" w:rsidRDefault="00CD2D82" w:rsidP="00B01BFD">
      <w:pPr>
        <w:suppressLineNumbers/>
        <w:suppressAutoHyphens/>
        <w:kinsoku w:val="0"/>
        <w:overflowPunct w:val="0"/>
        <w:autoSpaceDE w:val="0"/>
        <w:autoSpaceDN w:val="0"/>
        <w:snapToGrid w:val="0"/>
        <w:spacing w:before="120" w:after="120"/>
        <w:ind w:firstLine="720"/>
        <w:jc w:val="both"/>
        <w:rPr>
          <w:kern w:val="22"/>
          <w:sz w:val="22"/>
          <w:szCs w:val="22"/>
          <w:lang w:val="es-ES"/>
        </w:rPr>
      </w:pPr>
      <w:r w:rsidRPr="00C901E0">
        <w:rPr>
          <w:i/>
          <w:kern w:val="22"/>
          <w:sz w:val="22"/>
          <w:szCs w:val="22"/>
          <w:lang w:val="es-ES"/>
        </w:rPr>
        <w:t>Poniendo de relieve</w:t>
      </w:r>
      <w:r w:rsidRPr="00C901E0">
        <w:rPr>
          <w:kern w:val="22"/>
          <w:sz w:val="22"/>
          <w:szCs w:val="22"/>
          <w:lang w:val="es-ES"/>
        </w:rPr>
        <w:t xml:space="preserve"> que no se debe interpretar que el Protocolo implica una modificación de los derechos y las obligaciones de una Parte contraídos en virtud de otros acuerdos internacionales existentes,</w:t>
      </w:r>
    </w:p>
    <w:p w:rsidR="00CD2D82" w:rsidRPr="00C901E0" w:rsidRDefault="00CD2D82" w:rsidP="00B01BFD">
      <w:pPr>
        <w:suppressLineNumbers/>
        <w:suppressAutoHyphens/>
        <w:kinsoku w:val="0"/>
        <w:overflowPunct w:val="0"/>
        <w:autoSpaceDE w:val="0"/>
        <w:autoSpaceDN w:val="0"/>
        <w:snapToGrid w:val="0"/>
        <w:spacing w:before="120" w:after="120"/>
        <w:ind w:firstLine="720"/>
        <w:jc w:val="both"/>
        <w:rPr>
          <w:kern w:val="22"/>
          <w:sz w:val="22"/>
          <w:szCs w:val="22"/>
          <w:lang w:val="es-ES"/>
        </w:rPr>
      </w:pPr>
      <w:r w:rsidRPr="00C901E0">
        <w:rPr>
          <w:i/>
          <w:kern w:val="22"/>
          <w:sz w:val="22"/>
          <w:szCs w:val="22"/>
          <w:lang w:val="es-ES"/>
        </w:rPr>
        <w:t>Entendiendo</w:t>
      </w:r>
      <w:r w:rsidRPr="00C901E0">
        <w:rPr>
          <w:kern w:val="22"/>
          <w:sz w:val="22"/>
          <w:szCs w:val="22"/>
          <w:lang w:val="es-ES"/>
        </w:rPr>
        <w:t xml:space="preserve"> que la intención de los párrafos anteriores no es subordinar el presente Protocolo a otros acuerdos internacionales,</w:t>
      </w:r>
    </w:p>
    <w:p w:rsidR="00CD2D82" w:rsidRPr="00C901E0" w:rsidRDefault="00CD2D82" w:rsidP="00CD2D82">
      <w:pPr>
        <w:suppressLineNumbers/>
        <w:suppressAutoHyphens/>
        <w:kinsoku w:val="0"/>
        <w:overflowPunct w:val="0"/>
        <w:autoSpaceDE w:val="0"/>
        <w:autoSpaceDN w:val="0"/>
        <w:snapToGrid w:val="0"/>
        <w:spacing w:before="120" w:after="120"/>
        <w:ind w:firstLine="720"/>
        <w:rPr>
          <w:i/>
          <w:kern w:val="22"/>
          <w:sz w:val="22"/>
          <w:szCs w:val="22"/>
          <w:lang w:val="es-ES"/>
        </w:rPr>
      </w:pPr>
      <w:r w:rsidRPr="00C901E0">
        <w:rPr>
          <w:i/>
          <w:kern w:val="22"/>
          <w:sz w:val="22"/>
          <w:szCs w:val="22"/>
          <w:lang w:val="es-ES"/>
        </w:rPr>
        <w:t>Recordando</w:t>
      </w:r>
      <w:r w:rsidRPr="00C901E0">
        <w:rPr>
          <w:kern w:val="22"/>
          <w:sz w:val="22"/>
          <w:szCs w:val="22"/>
          <w:lang w:val="es-ES"/>
        </w:rPr>
        <w:t xml:space="preserve"> que la Orientación está pensada para que sea utilizada en forma voluntaria,</w:t>
      </w:r>
    </w:p>
    <w:p w:rsidR="00CD2D82" w:rsidRPr="00C901E0" w:rsidRDefault="00CD2D82" w:rsidP="00B01BFD">
      <w:pPr>
        <w:pStyle w:val="Para1"/>
        <w:numPr>
          <w:ilvl w:val="0"/>
          <w:numId w:val="57"/>
        </w:numPr>
        <w:suppressLineNumbers/>
        <w:tabs>
          <w:tab w:val="clear" w:pos="360"/>
        </w:tabs>
        <w:suppressAutoHyphens/>
        <w:ind w:firstLine="709"/>
        <w:rPr>
          <w:lang w:val="es-ES"/>
        </w:rPr>
      </w:pPr>
      <w:r w:rsidRPr="00C901E0">
        <w:rPr>
          <w:i/>
          <w:lang w:val="es-ES"/>
        </w:rPr>
        <w:t>Toma nota</w:t>
      </w:r>
      <w:r w:rsidRPr="00C901E0">
        <w:rPr>
          <w:lang w:val="es-ES"/>
        </w:rPr>
        <w:t xml:space="preserve"> de la “Orientación para la evaluación de consideraciones socioeconómicas en el contexto del artículo 26 del Protocolo de Cartagena sobre Seguridad de la Biotecnología”</w:t>
      </w:r>
      <w:r w:rsidRPr="00B01BFD">
        <w:rPr>
          <w:rStyle w:val="FootnoteReference"/>
          <w:sz w:val="22"/>
          <w:u w:val="none"/>
          <w:vertAlign w:val="superscript"/>
          <w:lang w:val="es-ES"/>
        </w:rPr>
        <w:footnoteReference w:id="22"/>
      </w:r>
      <w:r w:rsidRPr="00C901E0">
        <w:rPr>
          <w:lang w:val="es-ES"/>
        </w:rPr>
        <w:t>;</w:t>
      </w:r>
    </w:p>
    <w:p w:rsidR="00CD2D82" w:rsidRPr="00C901E0" w:rsidRDefault="00CD2D82" w:rsidP="00CD2D82">
      <w:pPr>
        <w:pStyle w:val="Para1"/>
        <w:numPr>
          <w:ilvl w:val="0"/>
          <w:numId w:val="13"/>
        </w:numPr>
        <w:suppressLineNumbers/>
        <w:tabs>
          <w:tab w:val="clear" w:pos="360"/>
        </w:tabs>
        <w:suppressAutoHyphens/>
        <w:ind w:firstLine="720"/>
        <w:rPr>
          <w:lang w:val="es-ES"/>
        </w:rPr>
      </w:pPr>
      <w:r w:rsidRPr="00C901E0">
        <w:rPr>
          <w:i/>
          <w:lang w:val="es-ES"/>
        </w:rPr>
        <w:t>Invita</w:t>
      </w:r>
      <w:r w:rsidRPr="00C901E0">
        <w:rPr>
          <w:lang w:val="es-ES"/>
        </w:rPr>
        <w:t xml:space="preserve"> a las Partes, otros Gobiernos, organizaciones pertinentes y otros interesados directos, según proceda, a que utilicen la Orientación de carácter voluntario y presenten experiencias preliminares utilizando la Orientación, así como ejemplos de metodologías y aplicaciones de consideraciones socioeconómicas teniendo en cuenta los elementos de la Orientación de carácter voluntario, preferentemente en forma de estudios de caso;</w:t>
      </w:r>
    </w:p>
    <w:p w:rsidR="00CD2D82" w:rsidRPr="00C901E0" w:rsidRDefault="00CD2D82" w:rsidP="00CD2D82">
      <w:pPr>
        <w:pStyle w:val="Para1"/>
        <w:numPr>
          <w:ilvl w:val="0"/>
          <w:numId w:val="13"/>
        </w:numPr>
        <w:suppressLineNumbers/>
        <w:tabs>
          <w:tab w:val="clear" w:pos="360"/>
        </w:tabs>
        <w:suppressAutoHyphens/>
        <w:ind w:firstLine="720"/>
        <w:rPr>
          <w:lang w:val="es-ES"/>
        </w:rPr>
      </w:pPr>
      <w:r w:rsidRPr="00C901E0">
        <w:rPr>
          <w:i/>
          <w:lang w:val="es-ES"/>
        </w:rPr>
        <w:t>Establece</w:t>
      </w:r>
      <w:r w:rsidRPr="00C901E0">
        <w:rPr>
          <w:lang w:val="es-ES"/>
        </w:rPr>
        <w:t xml:space="preserve"> un foro en línea sobre consideraciones socioeconómicas a través del Centro de Intercambio de Información sobre Seguridad de la Biotecnología;</w:t>
      </w:r>
    </w:p>
    <w:p w:rsidR="00CD2D82" w:rsidRPr="00C901E0" w:rsidRDefault="00CD2D82" w:rsidP="00CD2D82">
      <w:pPr>
        <w:pStyle w:val="Para1"/>
        <w:numPr>
          <w:ilvl w:val="0"/>
          <w:numId w:val="13"/>
        </w:numPr>
        <w:suppressLineNumbers/>
        <w:tabs>
          <w:tab w:val="clear" w:pos="360"/>
        </w:tabs>
        <w:suppressAutoHyphens/>
        <w:ind w:firstLine="720"/>
        <w:rPr>
          <w:lang w:val="es-ES"/>
        </w:rPr>
      </w:pPr>
      <w:r w:rsidRPr="00C901E0">
        <w:rPr>
          <w:i/>
          <w:lang w:val="es-ES"/>
        </w:rPr>
        <w:t>Pide</w:t>
      </w:r>
      <w:r w:rsidRPr="00C901E0">
        <w:rPr>
          <w:lang w:val="es-ES"/>
        </w:rPr>
        <w:t xml:space="preserve"> a la Secretaria Ejecutiva que: a) recopile la información presentada en respuesta al párrafo 2 anterior; b) organice debates del foro en línea, dirigidos por moderadores, para comentar sobre la información recopilada y aportar opiniones para su examen; c) seleccione, en consulta con la Mesa de la Conferencia de las Partes que actúa como reunión de las Partes en el Protocolo de Cartagena, dos relatores para que hagan una síntesis de la labor de los debates en línea dirigidos por moderadores y preparen un informe;</w:t>
      </w:r>
    </w:p>
    <w:p w:rsidR="00CD2D82" w:rsidRPr="00C901E0" w:rsidRDefault="00CD2D82" w:rsidP="00CD2D82">
      <w:pPr>
        <w:pStyle w:val="Para1"/>
        <w:numPr>
          <w:ilvl w:val="0"/>
          <w:numId w:val="13"/>
        </w:numPr>
        <w:suppressLineNumbers/>
        <w:tabs>
          <w:tab w:val="clear" w:pos="360"/>
        </w:tabs>
        <w:suppressAutoHyphens/>
        <w:ind w:firstLine="720"/>
        <w:rPr>
          <w:lang w:val="es-ES"/>
        </w:rPr>
      </w:pPr>
      <w:r w:rsidRPr="00C901E0">
        <w:rPr>
          <w:i/>
          <w:lang w:val="es-ES"/>
        </w:rPr>
        <w:t>Amplía</w:t>
      </w:r>
      <w:r w:rsidRPr="00C901E0">
        <w:rPr>
          <w:lang w:val="es-ES"/>
        </w:rPr>
        <w:t xml:space="preserve"> la actuación del Grupo Especial de Expertos Técnicos en Consideraciones Socioeconómicas para que examine las conclusiones del foro en línea conforme al mandato que figura en el anexo, y </w:t>
      </w:r>
      <w:r w:rsidRPr="00C901E0">
        <w:rPr>
          <w:i/>
          <w:lang w:val="es-ES"/>
        </w:rPr>
        <w:t>pide</w:t>
      </w:r>
      <w:r w:rsidRPr="00C901E0">
        <w:rPr>
          <w:lang w:val="es-ES"/>
        </w:rPr>
        <w:t xml:space="preserve"> a la Secretaria Ejecutiva que, con sujeción a la disponibilidad de recursos, convoque una reunión presencial del Grupo;</w:t>
      </w:r>
    </w:p>
    <w:p w:rsidR="00376CED" w:rsidRPr="00C901E0" w:rsidRDefault="00CD2D82" w:rsidP="00CD2D82">
      <w:pPr>
        <w:pStyle w:val="Para1"/>
        <w:numPr>
          <w:ilvl w:val="0"/>
          <w:numId w:val="13"/>
        </w:numPr>
        <w:suppressLineNumbers/>
        <w:tabs>
          <w:tab w:val="clear" w:pos="360"/>
        </w:tabs>
        <w:suppressAutoHyphens/>
        <w:ind w:firstLine="720"/>
        <w:rPr>
          <w:lang w:val="es-ES"/>
        </w:rPr>
      </w:pPr>
      <w:r w:rsidRPr="00C901E0">
        <w:rPr>
          <w:i/>
          <w:lang w:val="es-ES"/>
        </w:rPr>
        <w:lastRenderedPageBreak/>
        <w:t>Decide</w:t>
      </w:r>
      <w:r w:rsidRPr="00C901E0">
        <w:rPr>
          <w:lang w:val="es-ES"/>
        </w:rPr>
        <w:t xml:space="preserve"> que en su décima reunión examinará las conclusiones del proceso delineado en la presente decisión.</w:t>
      </w:r>
    </w:p>
    <w:p w:rsidR="00376CED" w:rsidRPr="00C901E0" w:rsidRDefault="00376CED" w:rsidP="00653977">
      <w:pPr>
        <w:pStyle w:val="Para1"/>
        <w:numPr>
          <w:ilvl w:val="0"/>
          <w:numId w:val="0"/>
        </w:numPr>
        <w:spacing w:before="0" w:after="0"/>
        <w:rPr>
          <w:lang w:val="es-ES"/>
        </w:rPr>
      </w:pPr>
    </w:p>
    <w:p w:rsidR="00376CED" w:rsidRPr="00C901E0" w:rsidRDefault="0030329D" w:rsidP="00653977">
      <w:pPr>
        <w:keepNext/>
        <w:suppressLineNumbers/>
        <w:suppressAutoHyphens/>
        <w:kinsoku w:val="0"/>
        <w:overflowPunct w:val="0"/>
        <w:autoSpaceDE w:val="0"/>
        <w:autoSpaceDN w:val="0"/>
        <w:snapToGrid w:val="0"/>
        <w:spacing w:after="120"/>
        <w:jc w:val="center"/>
        <w:rPr>
          <w:kern w:val="22"/>
          <w:sz w:val="22"/>
          <w:szCs w:val="22"/>
          <w:lang w:val="es-ES"/>
        </w:rPr>
      </w:pPr>
      <w:r w:rsidRPr="00C901E0">
        <w:rPr>
          <w:i/>
          <w:kern w:val="22"/>
          <w:sz w:val="22"/>
          <w:szCs w:val="22"/>
          <w:lang w:val="es-ES"/>
        </w:rPr>
        <w:t>An</w:t>
      </w:r>
      <w:r w:rsidR="00376CED" w:rsidRPr="00C901E0">
        <w:rPr>
          <w:i/>
          <w:kern w:val="22"/>
          <w:sz w:val="22"/>
          <w:szCs w:val="22"/>
          <w:lang w:val="es-ES"/>
        </w:rPr>
        <w:t>ex</w:t>
      </w:r>
      <w:r w:rsidRPr="00C901E0">
        <w:rPr>
          <w:i/>
          <w:kern w:val="22"/>
          <w:sz w:val="22"/>
          <w:szCs w:val="22"/>
          <w:lang w:val="es-ES"/>
        </w:rPr>
        <w:t>o</w:t>
      </w:r>
    </w:p>
    <w:p w:rsidR="00376CED" w:rsidRPr="00C901E0" w:rsidRDefault="0030329D" w:rsidP="00653977">
      <w:pPr>
        <w:keepNext/>
        <w:suppressLineNumbers/>
        <w:suppressAutoHyphens/>
        <w:kinsoku w:val="0"/>
        <w:overflowPunct w:val="0"/>
        <w:autoSpaceDE w:val="0"/>
        <w:autoSpaceDN w:val="0"/>
        <w:snapToGrid w:val="0"/>
        <w:spacing w:before="120" w:after="120"/>
        <w:jc w:val="center"/>
        <w:rPr>
          <w:b/>
          <w:kern w:val="22"/>
          <w:sz w:val="22"/>
          <w:szCs w:val="22"/>
          <w:lang w:val="es-ES"/>
        </w:rPr>
      </w:pPr>
      <w:r w:rsidRPr="00C901E0">
        <w:rPr>
          <w:b/>
          <w:kern w:val="22"/>
          <w:sz w:val="22"/>
          <w:szCs w:val="22"/>
          <w:lang w:val="es-ES"/>
        </w:rPr>
        <w:t>MANDATO PARA EL GRUPO ESPECIAL DE EXPERTOS TÉCNICOS EN CONSIDERACIONES SOCIOECONÓMICAS</w:t>
      </w:r>
    </w:p>
    <w:p w:rsidR="0030329D" w:rsidRPr="00C901E0" w:rsidRDefault="0030329D" w:rsidP="0030329D">
      <w:pPr>
        <w:suppressLineNumbers/>
        <w:suppressAutoHyphens/>
        <w:kinsoku w:val="0"/>
        <w:overflowPunct w:val="0"/>
        <w:autoSpaceDE w:val="0"/>
        <w:autoSpaceDN w:val="0"/>
        <w:snapToGrid w:val="0"/>
        <w:spacing w:before="120" w:after="120"/>
        <w:rPr>
          <w:kern w:val="22"/>
          <w:sz w:val="22"/>
          <w:szCs w:val="22"/>
          <w:lang w:val="es-ES"/>
        </w:rPr>
      </w:pPr>
      <w:r w:rsidRPr="00C901E0">
        <w:rPr>
          <w:kern w:val="22"/>
          <w:sz w:val="22"/>
          <w:szCs w:val="22"/>
          <w:lang w:val="es-ES"/>
        </w:rPr>
        <w:t>El Grupo Especial de Expertos Técnicos en Consideraciones Socioeconómicas:</w:t>
      </w:r>
    </w:p>
    <w:p w:rsidR="0030329D" w:rsidRPr="00C901E0" w:rsidRDefault="0030329D" w:rsidP="00465C6E">
      <w:pPr>
        <w:numPr>
          <w:ilvl w:val="1"/>
          <w:numId w:val="45"/>
        </w:numPr>
        <w:suppressLineNumbers/>
        <w:suppressAutoHyphens/>
        <w:kinsoku w:val="0"/>
        <w:overflowPunct w:val="0"/>
        <w:autoSpaceDE w:val="0"/>
        <w:autoSpaceDN w:val="0"/>
        <w:snapToGrid w:val="0"/>
        <w:spacing w:before="120" w:after="120"/>
        <w:ind w:left="0" w:firstLine="720"/>
        <w:jc w:val="both"/>
        <w:rPr>
          <w:kern w:val="22"/>
          <w:sz w:val="22"/>
          <w:szCs w:val="22"/>
          <w:lang w:val="es-ES"/>
        </w:rPr>
      </w:pPr>
      <w:r w:rsidRPr="00C901E0">
        <w:rPr>
          <w:kern w:val="22"/>
          <w:sz w:val="22"/>
          <w:szCs w:val="22"/>
          <w:lang w:val="es-ES"/>
        </w:rPr>
        <w:t>Examinará los aportes recibidos en respuesta al párrafo 2 de la decisión CP-9/14 y las conclusiones de los debates en línea dirigidos por moderadores y utilizará esa información para complementar la Orientación de carácter voluntario, indicando para qué etapa del proceso de evaluación descrito en la Orientación de carácter voluntario puede resultar pertinente la información;</w:t>
      </w:r>
    </w:p>
    <w:p w:rsidR="00376CED" w:rsidRPr="00C901E0" w:rsidRDefault="0030329D" w:rsidP="00465C6E">
      <w:pPr>
        <w:numPr>
          <w:ilvl w:val="1"/>
          <w:numId w:val="45"/>
        </w:numPr>
        <w:suppressLineNumbers/>
        <w:suppressAutoHyphens/>
        <w:kinsoku w:val="0"/>
        <w:overflowPunct w:val="0"/>
        <w:autoSpaceDE w:val="0"/>
        <w:autoSpaceDN w:val="0"/>
        <w:snapToGrid w:val="0"/>
        <w:spacing w:before="120" w:after="120"/>
        <w:ind w:left="0" w:firstLine="720"/>
        <w:jc w:val="both"/>
        <w:rPr>
          <w:kern w:val="22"/>
          <w:sz w:val="22"/>
          <w:szCs w:val="22"/>
          <w:lang w:val="es-ES"/>
        </w:rPr>
      </w:pPr>
      <w:r w:rsidRPr="00C901E0">
        <w:rPr>
          <w:kern w:val="22"/>
          <w:sz w:val="22"/>
          <w:szCs w:val="22"/>
          <w:lang w:val="es-ES"/>
        </w:rPr>
        <w:t>Sobre la base de ese examen, preparará un informe de su labor y lo presentará a la Conferencia de las Partes que actúa como reunión de las Partes en el Protocolo de Cartagena para que lo considere en su décima reunión.</w:t>
      </w:r>
    </w:p>
    <w:p w:rsidR="00376CED" w:rsidRPr="00C901E0" w:rsidRDefault="00376CED" w:rsidP="00725967">
      <w:pPr>
        <w:rPr>
          <w:kern w:val="22"/>
          <w:sz w:val="22"/>
          <w:szCs w:val="22"/>
          <w:lang w:val="es-ES"/>
        </w:rPr>
      </w:pPr>
    </w:p>
    <w:p w:rsidR="00376CED" w:rsidRPr="00C901E0" w:rsidRDefault="00376CED">
      <w:pPr>
        <w:rPr>
          <w:b/>
          <w:caps/>
          <w:sz w:val="22"/>
          <w:szCs w:val="22"/>
          <w:lang w:val="es-ES"/>
        </w:rPr>
      </w:pPr>
      <w:r w:rsidRPr="00C901E0">
        <w:rPr>
          <w:sz w:val="22"/>
          <w:szCs w:val="22"/>
          <w:lang w:val="es-ES"/>
        </w:rPr>
        <w:br w:type="page"/>
      </w:r>
    </w:p>
    <w:p w:rsidR="00376CED" w:rsidRPr="00C901E0" w:rsidRDefault="00376CED" w:rsidP="00376CED">
      <w:pPr>
        <w:pStyle w:val="heading2-item"/>
        <w:rPr>
          <w:snapToGrid w:val="0"/>
          <w:lang w:val="es-ES"/>
        </w:rPr>
      </w:pPr>
      <w:bookmarkStart w:id="38" w:name="_Toc879827"/>
      <w:bookmarkStart w:id="39" w:name="_Toc5922088"/>
      <w:r w:rsidRPr="00C901E0">
        <w:rPr>
          <w:snapToGrid w:val="0"/>
          <w:lang w:val="es-ES"/>
        </w:rPr>
        <w:lastRenderedPageBreak/>
        <w:t>9/15.</w:t>
      </w:r>
      <w:r w:rsidRPr="00C901E0">
        <w:rPr>
          <w:snapToGrid w:val="0"/>
          <w:lang w:val="es-ES"/>
        </w:rPr>
        <w:tab/>
      </w:r>
      <w:bookmarkEnd w:id="38"/>
      <w:r w:rsidR="00354577" w:rsidRPr="00C901E0">
        <w:rPr>
          <w:snapToGrid w:val="0"/>
          <w:lang w:val="es-ES"/>
        </w:rPr>
        <w:t>Protocolo Suplementario de Nagoya – Kuala Lumpur sobre Responsabilidad y Compensación</w:t>
      </w:r>
      <w:bookmarkEnd w:id="39"/>
    </w:p>
    <w:p w:rsidR="00354577" w:rsidRPr="00B01BFD" w:rsidRDefault="00354577" w:rsidP="00B01BFD">
      <w:pPr>
        <w:suppressLineNumbers/>
        <w:suppressAutoHyphens/>
        <w:spacing w:before="120" w:after="120"/>
        <w:ind w:firstLine="720"/>
        <w:jc w:val="both"/>
        <w:rPr>
          <w:kern w:val="22"/>
          <w:sz w:val="22"/>
          <w:szCs w:val="22"/>
          <w:lang w:val="es-ES"/>
        </w:rPr>
      </w:pPr>
      <w:r w:rsidRPr="00B01BFD">
        <w:rPr>
          <w:i/>
          <w:kern w:val="22"/>
          <w:sz w:val="22"/>
          <w:szCs w:val="22"/>
          <w:lang w:val="es-ES"/>
        </w:rPr>
        <w:t>La Conferencia de las Partes que actúa como reunión de las Partes en el Protocolo de Cartagena sobre Seguridad de la Biotecnología que actúa como reunión de las Partes en el Protocolo Suplementario de Nagoya – Kuala Lumpur sobre Responsabilidad y Compensación</w:t>
      </w:r>
      <w:r w:rsidRPr="00B01BFD">
        <w:rPr>
          <w:rStyle w:val="FootnoteReference"/>
          <w:kern w:val="22"/>
          <w:sz w:val="22"/>
          <w:szCs w:val="22"/>
          <w:u w:val="none"/>
          <w:vertAlign w:val="superscript"/>
          <w:lang w:val="es-ES"/>
        </w:rPr>
        <w:footnoteReference w:id="23"/>
      </w:r>
      <w:r w:rsidRPr="00B01BFD">
        <w:rPr>
          <w:kern w:val="22"/>
          <w:sz w:val="22"/>
          <w:szCs w:val="22"/>
          <w:lang w:val="es-ES"/>
        </w:rPr>
        <w:t>,</w:t>
      </w:r>
    </w:p>
    <w:p w:rsidR="00354577" w:rsidRPr="00C901E0" w:rsidRDefault="00354577" w:rsidP="00465C6E">
      <w:pPr>
        <w:pStyle w:val="Para1"/>
        <w:numPr>
          <w:ilvl w:val="0"/>
          <w:numId w:val="47"/>
        </w:numPr>
        <w:suppressLineNumbers/>
        <w:tabs>
          <w:tab w:val="clear" w:pos="360"/>
        </w:tabs>
        <w:suppressAutoHyphens/>
        <w:spacing w:before="0" w:after="0"/>
        <w:ind w:firstLine="709"/>
        <w:rPr>
          <w:i/>
          <w:szCs w:val="24"/>
          <w:lang w:val="es-ES"/>
        </w:rPr>
      </w:pPr>
      <w:r w:rsidRPr="00C901E0">
        <w:rPr>
          <w:i/>
          <w:szCs w:val="24"/>
          <w:lang w:val="es-ES"/>
        </w:rPr>
        <w:t xml:space="preserve">Acoge con satisfacción </w:t>
      </w:r>
      <w:r w:rsidRPr="00C901E0">
        <w:rPr>
          <w:szCs w:val="24"/>
          <w:lang w:val="es-ES"/>
        </w:rPr>
        <w:t>la entrada en vigor del Protocolo de Nagoya – Kuala Lumpur sobre Responsabilidad y Compensación Suplementario al Protocolo de Cartagena sobre Seguridad de la Biotecnología;</w:t>
      </w:r>
    </w:p>
    <w:p w:rsidR="00354577" w:rsidRPr="00C901E0" w:rsidRDefault="00354577" w:rsidP="00354577">
      <w:pPr>
        <w:pStyle w:val="Para1"/>
        <w:numPr>
          <w:ilvl w:val="0"/>
          <w:numId w:val="13"/>
        </w:numPr>
        <w:suppressLineNumbers/>
        <w:tabs>
          <w:tab w:val="clear" w:pos="360"/>
        </w:tabs>
        <w:suppressAutoHyphens/>
        <w:ind w:firstLine="720"/>
        <w:rPr>
          <w:i/>
          <w:szCs w:val="24"/>
          <w:lang w:val="es-ES"/>
        </w:rPr>
      </w:pPr>
      <w:r w:rsidRPr="00C901E0">
        <w:rPr>
          <w:i/>
          <w:szCs w:val="24"/>
          <w:lang w:val="es-ES"/>
        </w:rPr>
        <w:t>Felicita</w:t>
      </w:r>
      <w:r w:rsidRPr="00C901E0">
        <w:rPr>
          <w:szCs w:val="24"/>
          <w:lang w:val="es-ES"/>
        </w:rPr>
        <w:t xml:space="preserve"> a las Partes que han depositado sus instrumentos de ratificación, aceptación, aprobación o adhesión al Protocolo Suplementario y las </w:t>
      </w:r>
      <w:r w:rsidRPr="00C901E0">
        <w:rPr>
          <w:i/>
          <w:szCs w:val="24"/>
          <w:lang w:val="es-ES"/>
        </w:rPr>
        <w:t>insta</w:t>
      </w:r>
      <w:r w:rsidRPr="00C901E0">
        <w:rPr>
          <w:szCs w:val="24"/>
          <w:lang w:val="es-ES"/>
        </w:rPr>
        <w:t xml:space="preserve"> a dar los pasos necesarios para su aplicación;</w:t>
      </w:r>
    </w:p>
    <w:p w:rsidR="00354577" w:rsidRPr="00C901E0" w:rsidRDefault="00354577" w:rsidP="00354577">
      <w:pPr>
        <w:pStyle w:val="Para1"/>
        <w:numPr>
          <w:ilvl w:val="0"/>
          <w:numId w:val="13"/>
        </w:numPr>
        <w:suppressLineNumbers/>
        <w:tabs>
          <w:tab w:val="clear" w:pos="360"/>
        </w:tabs>
        <w:suppressAutoHyphens/>
        <w:ind w:firstLine="720"/>
        <w:rPr>
          <w:i/>
          <w:szCs w:val="24"/>
          <w:lang w:val="es-ES"/>
        </w:rPr>
      </w:pPr>
      <w:r w:rsidRPr="00C901E0">
        <w:rPr>
          <w:i/>
          <w:szCs w:val="24"/>
          <w:lang w:val="es-ES"/>
        </w:rPr>
        <w:t xml:space="preserve">Insta </w:t>
      </w:r>
      <w:r w:rsidRPr="00C901E0">
        <w:rPr>
          <w:szCs w:val="24"/>
          <w:lang w:val="es-ES"/>
        </w:rPr>
        <w:t>a todas las Partes en el Protocolo de Cartagena sobre Seguridad de la Biotecnología que aún no lo hayan hecho a que depositen sus instrumentos de ratificación, aceptación, aprobación o adhesión al Protocolo Suplementario a la mayor brevedad posible;</w:t>
      </w:r>
    </w:p>
    <w:p w:rsidR="00354577" w:rsidRPr="00C901E0" w:rsidRDefault="00354577" w:rsidP="00354577">
      <w:pPr>
        <w:pStyle w:val="Para1"/>
        <w:numPr>
          <w:ilvl w:val="0"/>
          <w:numId w:val="13"/>
        </w:numPr>
        <w:suppressLineNumbers/>
        <w:tabs>
          <w:tab w:val="clear" w:pos="360"/>
        </w:tabs>
        <w:suppressAutoHyphens/>
        <w:ind w:firstLine="720"/>
        <w:rPr>
          <w:szCs w:val="24"/>
          <w:lang w:val="es-ES"/>
        </w:rPr>
      </w:pPr>
      <w:r w:rsidRPr="00C901E0">
        <w:rPr>
          <w:i/>
          <w:szCs w:val="24"/>
          <w:lang w:val="es-ES"/>
        </w:rPr>
        <w:t xml:space="preserve">Acoge con satisfacción </w:t>
      </w:r>
      <w:r w:rsidRPr="00C901E0">
        <w:rPr>
          <w:szCs w:val="24"/>
          <w:lang w:val="es-ES"/>
        </w:rPr>
        <w:t>las actividades emprendidas para facilitar la entrada en vigor y la aplicación del Protocolo Suplementario, así como el apoyo prestado por donantes en este sentido;</w:t>
      </w:r>
    </w:p>
    <w:p w:rsidR="00354577" w:rsidRPr="00C901E0" w:rsidRDefault="00354577" w:rsidP="00354577">
      <w:pPr>
        <w:pStyle w:val="Para1"/>
        <w:numPr>
          <w:ilvl w:val="0"/>
          <w:numId w:val="13"/>
        </w:numPr>
        <w:suppressLineNumbers/>
        <w:tabs>
          <w:tab w:val="clear" w:pos="360"/>
        </w:tabs>
        <w:suppressAutoHyphens/>
        <w:ind w:firstLine="720"/>
        <w:rPr>
          <w:i/>
          <w:szCs w:val="24"/>
          <w:lang w:val="es-ES"/>
        </w:rPr>
      </w:pPr>
      <w:r w:rsidRPr="00C901E0">
        <w:rPr>
          <w:i/>
          <w:szCs w:val="24"/>
          <w:lang w:val="es-ES"/>
        </w:rPr>
        <w:t xml:space="preserve">Pide </w:t>
      </w:r>
      <w:r w:rsidRPr="00C901E0">
        <w:rPr>
          <w:szCs w:val="24"/>
          <w:lang w:val="es-ES"/>
        </w:rPr>
        <w:t>a la Secretaria Ejecutiva que, con sujeción a la disponibilidad de recursos del Fondo Fiduciario Voluntario, continúe llevando a cabo actividades de concienciación y de creación de capacidad y que brinde apoyo a las Partes para la aplicación del Protocolo Suplementario a nivel nacional;</w:t>
      </w:r>
    </w:p>
    <w:p w:rsidR="00354577" w:rsidRPr="00C901E0" w:rsidRDefault="00354577" w:rsidP="00354577">
      <w:pPr>
        <w:pStyle w:val="Para1"/>
        <w:numPr>
          <w:ilvl w:val="0"/>
          <w:numId w:val="13"/>
        </w:numPr>
        <w:suppressLineNumbers/>
        <w:tabs>
          <w:tab w:val="clear" w:pos="360"/>
        </w:tabs>
        <w:suppressAutoHyphens/>
        <w:ind w:firstLine="720"/>
        <w:rPr>
          <w:i/>
          <w:szCs w:val="24"/>
          <w:lang w:val="es-ES"/>
        </w:rPr>
      </w:pPr>
      <w:r w:rsidRPr="00C901E0">
        <w:rPr>
          <w:i/>
          <w:szCs w:val="24"/>
          <w:lang w:val="es-ES"/>
        </w:rPr>
        <w:t xml:space="preserve">Pide </w:t>
      </w:r>
      <w:r w:rsidRPr="00C901E0">
        <w:rPr>
          <w:szCs w:val="24"/>
          <w:lang w:val="es-ES"/>
        </w:rPr>
        <w:t>a las Partes en el Protocolo Suplementario que designen una autoridad competente para desempeñar las funciones previstas en el artículo 5 del Protocolo Suplementario y que publiquen en el Centro de Intercambio de Información sobre Seguridad de la Biotecnología los datos de contacto de sus autoridades competentes;</w:t>
      </w:r>
    </w:p>
    <w:p w:rsidR="00354577" w:rsidRPr="00C901E0" w:rsidRDefault="00354577" w:rsidP="00354577">
      <w:pPr>
        <w:pStyle w:val="Para1"/>
        <w:numPr>
          <w:ilvl w:val="0"/>
          <w:numId w:val="13"/>
        </w:numPr>
        <w:suppressLineNumbers/>
        <w:tabs>
          <w:tab w:val="clear" w:pos="360"/>
        </w:tabs>
        <w:suppressAutoHyphens/>
        <w:ind w:firstLine="720"/>
        <w:rPr>
          <w:i/>
          <w:szCs w:val="24"/>
          <w:lang w:val="es-ES"/>
        </w:rPr>
      </w:pPr>
      <w:r w:rsidRPr="00C901E0">
        <w:rPr>
          <w:i/>
          <w:szCs w:val="24"/>
          <w:lang w:val="es-ES"/>
        </w:rPr>
        <w:t xml:space="preserve">Pide </w:t>
      </w:r>
      <w:r w:rsidRPr="00C901E0">
        <w:rPr>
          <w:szCs w:val="24"/>
          <w:lang w:val="es-ES"/>
        </w:rPr>
        <w:t xml:space="preserve">a las Partes en el Protocolo Suplementario que informen e </w:t>
      </w:r>
      <w:r w:rsidRPr="00C901E0">
        <w:rPr>
          <w:i/>
          <w:szCs w:val="24"/>
          <w:lang w:val="es-ES"/>
        </w:rPr>
        <w:t>invita</w:t>
      </w:r>
      <w:r w:rsidRPr="00C901E0">
        <w:rPr>
          <w:szCs w:val="24"/>
          <w:lang w:val="es-ES"/>
        </w:rPr>
        <w:t xml:space="preserve"> a otros Gobiernos a informar sobre las medidas adoptadas para aplicar el Protocolo Suplementario respondiendo a las preguntas referidas al Protocolo Suplementario incluidas en el formato para la presentación de los cuartos informes nacionales en virtud del Protocolo de Cartagena que figura en el anexo de la decisión CP-9/5;</w:t>
      </w:r>
    </w:p>
    <w:p w:rsidR="00354577" w:rsidRPr="00C901E0" w:rsidRDefault="00354577" w:rsidP="00354577">
      <w:pPr>
        <w:pStyle w:val="Para1"/>
        <w:numPr>
          <w:ilvl w:val="0"/>
          <w:numId w:val="13"/>
        </w:numPr>
        <w:suppressLineNumbers/>
        <w:tabs>
          <w:tab w:val="clear" w:pos="360"/>
        </w:tabs>
        <w:suppressAutoHyphens/>
        <w:ind w:firstLine="720"/>
        <w:rPr>
          <w:i/>
          <w:szCs w:val="24"/>
          <w:lang w:val="es-ES"/>
        </w:rPr>
      </w:pPr>
      <w:r w:rsidRPr="00C901E0">
        <w:rPr>
          <w:i/>
          <w:szCs w:val="24"/>
          <w:lang w:val="es-ES"/>
        </w:rPr>
        <w:t xml:space="preserve">Pide </w:t>
      </w:r>
      <w:r w:rsidRPr="00C901E0">
        <w:rPr>
          <w:szCs w:val="24"/>
          <w:lang w:val="es-ES"/>
        </w:rPr>
        <w:t>a la Secretaria Ejecutiva que, con sujeción a la disponibilidad de recursos del Fondo Fiduciario Voluntario, lleve a cabo un estudio exhaustivo de las cuestiones que se enumeran a continuación, para consideración de la Conferencia de las Partes que actúa como reunión de las Partes en el Protocolo de Cartagena sobre Seguridad de la Biotecnología que actúa como reunión de las Partes en el Protocolo Suplementario en su próxima reunión:</w:t>
      </w:r>
    </w:p>
    <w:p w:rsidR="00354577" w:rsidRPr="00C901E0" w:rsidRDefault="00354577" w:rsidP="00465C6E">
      <w:pPr>
        <w:pStyle w:val="Para1"/>
        <w:numPr>
          <w:ilvl w:val="0"/>
          <w:numId w:val="46"/>
        </w:numPr>
        <w:suppressLineNumbers/>
        <w:tabs>
          <w:tab w:val="clear" w:pos="360"/>
        </w:tabs>
        <w:suppressAutoHyphens/>
        <w:spacing w:before="0"/>
        <w:ind w:firstLine="709"/>
        <w:rPr>
          <w:szCs w:val="24"/>
          <w:lang w:val="es-ES"/>
        </w:rPr>
      </w:pPr>
      <w:r w:rsidRPr="00C901E0">
        <w:rPr>
          <w:szCs w:val="24"/>
          <w:lang w:val="es-ES"/>
        </w:rPr>
        <w:t>Las modalidades de mecanismos de garantía financiera;</w:t>
      </w:r>
    </w:p>
    <w:p w:rsidR="00354577" w:rsidRPr="00C901E0" w:rsidRDefault="00354577" w:rsidP="00465C6E">
      <w:pPr>
        <w:pStyle w:val="Para1"/>
        <w:numPr>
          <w:ilvl w:val="0"/>
          <w:numId w:val="46"/>
        </w:numPr>
        <w:suppressLineNumbers/>
        <w:tabs>
          <w:tab w:val="clear" w:pos="360"/>
        </w:tabs>
        <w:suppressAutoHyphens/>
        <w:spacing w:before="0"/>
        <w:ind w:firstLine="709"/>
        <w:rPr>
          <w:szCs w:val="24"/>
          <w:lang w:val="es-ES"/>
        </w:rPr>
      </w:pPr>
      <w:r w:rsidRPr="00C901E0">
        <w:rPr>
          <w:szCs w:val="24"/>
          <w:lang w:val="es-ES"/>
        </w:rPr>
        <w:t>Una evaluación de los impactos ambientales, económicos y sociales de tales mecanismos, en particular en los países en desarrollo;</w:t>
      </w:r>
    </w:p>
    <w:p w:rsidR="00354577" w:rsidRPr="00C901E0" w:rsidRDefault="00354577" w:rsidP="00465C6E">
      <w:pPr>
        <w:pStyle w:val="Para1"/>
        <w:numPr>
          <w:ilvl w:val="0"/>
          <w:numId w:val="46"/>
        </w:numPr>
        <w:suppressLineNumbers/>
        <w:tabs>
          <w:tab w:val="clear" w:pos="360"/>
        </w:tabs>
        <w:suppressAutoHyphens/>
        <w:spacing w:before="0"/>
        <w:ind w:firstLine="709"/>
        <w:rPr>
          <w:szCs w:val="24"/>
          <w:lang w:val="es-ES"/>
        </w:rPr>
      </w:pPr>
      <w:r w:rsidRPr="00C901E0">
        <w:rPr>
          <w:szCs w:val="24"/>
          <w:lang w:val="es-ES"/>
        </w:rPr>
        <w:t>Una determinación de cuáles son las entidades apropiadas para proporcionar garantía financiera;</w:t>
      </w:r>
    </w:p>
    <w:p w:rsidR="00376CED" w:rsidRPr="00C901E0" w:rsidRDefault="00354577" w:rsidP="00354577">
      <w:pPr>
        <w:pStyle w:val="Para1"/>
        <w:numPr>
          <w:ilvl w:val="0"/>
          <w:numId w:val="13"/>
        </w:numPr>
        <w:suppressLineNumbers/>
        <w:tabs>
          <w:tab w:val="clear" w:pos="360"/>
        </w:tabs>
        <w:suppressAutoHyphens/>
        <w:ind w:firstLine="720"/>
        <w:rPr>
          <w:lang w:val="es-ES"/>
        </w:rPr>
      </w:pPr>
      <w:r w:rsidRPr="00C901E0">
        <w:rPr>
          <w:i/>
          <w:szCs w:val="24"/>
          <w:lang w:val="es-ES"/>
        </w:rPr>
        <w:t>Pide también</w:t>
      </w:r>
      <w:r w:rsidRPr="00C901E0">
        <w:rPr>
          <w:szCs w:val="24"/>
          <w:lang w:val="es-ES"/>
        </w:rPr>
        <w:t xml:space="preserve"> a la Secretaria Ejecutiva que cree el formato común apropiado en el Centro de Intercambio de Información sobre Seguridad de la Biotecnología para que las Partes puedan compartir los datos de contacto de sus autoridades competentes de conformidad con el artículo 5 del Protocolo Suplementario.</w:t>
      </w:r>
    </w:p>
    <w:p w:rsidR="00376CED" w:rsidRPr="00C901E0" w:rsidRDefault="00376CED">
      <w:pPr>
        <w:rPr>
          <w:b/>
          <w:caps/>
          <w:lang w:val="es-ES"/>
        </w:rPr>
      </w:pPr>
      <w:r w:rsidRPr="00C901E0">
        <w:rPr>
          <w:lang w:val="es-ES"/>
        </w:rPr>
        <w:br w:type="page"/>
      </w:r>
    </w:p>
    <w:p w:rsidR="00253427" w:rsidRPr="00C901E0" w:rsidRDefault="00253427" w:rsidP="00C31366">
      <w:pPr>
        <w:pStyle w:val="heading2-item"/>
        <w:rPr>
          <w:snapToGrid w:val="0"/>
          <w:lang w:val="es-ES"/>
        </w:rPr>
      </w:pPr>
      <w:bookmarkStart w:id="40" w:name="_Toc879828"/>
      <w:bookmarkStart w:id="41" w:name="_Toc5922089"/>
      <w:r w:rsidRPr="00C901E0">
        <w:rPr>
          <w:snapToGrid w:val="0"/>
          <w:lang w:val="es-ES"/>
        </w:rPr>
        <w:lastRenderedPageBreak/>
        <w:t>9/16.</w:t>
      </w:r>
      <w:r w:rsidRPr="00C901E0">
        <w:rPr>
          <w:snapToGrid w:val="0"/>
          <w:lang w:val="es-ES"/>
        </w:rPr>
        <w:tab/>
      </w:r>
      <w:bookmarkEnd w:id="40"/>
      <w:r w:rsidR="002D4B57" w:rsidRPr="00C901E0">
        <w:rPr>
          <w:snapToGrid w:val="0"/>
          <w:lang w:val="es-ES"/>
        </w:rPr>
        <w:t>Programa de trabajo y presupuesto (Protocolo de Cartagena)</w:t>
      </w:r>
      <w:bookmarkEnd w:id="41"/>
    </w:p>
    <w:p w:rsidR="002D4B57" w:rsidRPr="00C901E0" w:rsidRDefault="002D4B57" w:rsidP="00B01BFD">
      <w:pPr>
        <w:suppressLineNumbers/>
        <w:shd w:val="clear" w:color="auto" w:fill="FFFFFF"/>
        <w:suppressAutoHyphens/>
        <w:spacing w:before="120" w:after="120"/>
        <w:ind w:firstLine="720"/>
        <w:jc w:val="both"/>
        <w:rPr>
          <w:i/>
          <w:kern w:val="22"/>
          <w:sz w:val="22"/>
          <w:szCs w:val="22"/>
          <w:lang w:val="es-ES"/>
        </w:rPr>
      </w:pPr>
      <w:r w:rsidRPr="00C901E0">
        <w:rPr>
          <w:i/>
          <w:kern w:val="22"/>
          <w:sz w:val="22"/>
          <w:szCs w:val="22"/>
          <w:lang w:val="es-ES"/>
        </w:rPr>
        <w:t>La Conferencia de las Partes que actúa como reunión de las Partes en el Protocolo de Cartagena sobre Seguridad de la Biotecnología,</w:t>
      </w:r>
    </w:p>
    <w:p w:rsidR="002D4B57" w:rsidRPr="00C901E0" w:rsidRDefault="002D4B57" w:rsidP="00B01BFD">
      <w:pPr>
        <w:suppressLineNumbers/>
        <w:shd w:val="clear" w:color="auto" w:fill="FFFFFF"/>
        <w:suppressAutoHyphens/>
        <w:spacing w:before="120" w:after="120"/>
        <w:ind w:firstLine="720"/>
        <w:jc w:val="both"/>
        <w:rPr>
          <w:kern w:val="22"/>
          <w:sz w:val="22"/>
          <w:szCs w:val="22"/>
          <w:lang w:val="es-ES"/>
        </w:rPr>
      </w:pPr>
      <w:r w:rsidRPr="00C901E0">
        <w:rPr>
          <w:i/>
          <w:kern w:val="22"/>
          <w:sz w:val="22"/>
          <w:szCs w:val="22"/>
          <w:lang w:val="es-ES"/>
        </w:rPr>
        <w:t xml:space="preserve">Recordando </w:t>
      </w:r>
      <w:r w:rsidRPr="00C901E0">
        <w:rPr>
          <w:kern w:val="22"/>
          <w:sz w:val="22"/>
          <w:szCs w:val="22"/>
          <w:lang w:val="es-ES"/>
        </w:rPr>
        <w:t xml:space="preserve">su decisión </w:t>
      </w:r>
      <w:hyperlink r:id="rId29" w:history="1">
        <w:r w:rsidRPr="00C901E0">
          <w:rPr>
            <w:rStyle w:val="Hyperlink"/>
            <w:kern w:val="22"/>
            <w:sz w:val="22"/>
            <w:szCs w:val="22"/>
            <w:lang w:val="es-ES"/>
          </w:rPr>
          <w:t>VIII/7</w:t>
        </w:r>
      </w:hyperlink>
      <w:r w:rsidRPr="00C901E0">
        <w:rPr>
          <w:kern w:val="22"/>
          <w:sz w:val="22"/>
          <w:szCs w:val="22"/>
          <w:lang w:val="es-ES"/>
        </w:rPr>
        <w:t xml:space="preserve">, y la decisión </w:t>
      </w:r>
      <w:hyperlink r:id="rId30" w:history="1">
        <w:r w:rsidRPr="00C901E0">
          <w:rPr>
            <w:rStyle w:val="Hyperlink"/>
            <w:kern w:val="22"/>
            <w:sz w:val="22"/>
            <w:szCs w:val="22"/>
            <w:lang w:val="es-ES"/>
          </w:rPr>
          <w:t>XIII/32</w:t>
        </w:r>
      </w:hyperlink>
      <w:r w:rsidRPr="00C901E0">
        <w:rPr>
          <w:kern w:val="22"/>
          <w:sz w:val="22"/>
          <w:szCs w:val="22"/>
          <w:lang w:val="es-ES"/>
        </w:rPr>
        <w:t xml:space="preserve"> de la Conferencia de las Partes en el Convenio sobre la Diversidad Biológica, así como la decisión </w:t>
      </w:r>
      <w:hyperlink r:id="rId31" w:history="1">
        <w:r w:rsidRPr="00C901E0">
          <w:rPr>
            <w:rStyle w:val="Hyperlink"/>
            <w:kern w:val="22"/>
            <w:sz w:val="22"/>
            <w:szCs w:val="22"/>
            <w:lang w:val="es-ES"/>
          </w:rPr>
          <w:t>NP-2/13</w:t>
        </w:r>
      </w:hyperlink>
      <w:r w:rsidRPr="00C901E0">
        <w:rPr>
          <w:kern w:val="22"/>
          <w:sz w:val="22"/>
          <w:szCs w:val="22"/>
          <w:lang w:val="es-ES"/>
        </w:rPr>
        <w:t xml:space="preserve"> de la Conferencia de las Partes que actúa como reunión de las Partes en el Protocolo de Nagoya sobre Acceso y Participación en los Beneficios,</w:t>
      </w:r>
    </w:p>
    <w:p w:rsidR="002D4B57" w:rsidRPr="00C901E0" w:rsidRDefault="002D4B57" w:rsidP="00B01BFD">
      <w:pPr>
        <w:suppressLineNumbers/>
        <w:suppressAutoHyphens/>
        <w:spacing w:before="120" w:after="120"/>
        <w:ind w:firstLine="720"/>
        <w:jc w:val="both"/>
        <w:rPr>
          <w:rFonts w:ascii="Malgun Gothic" w:eastAsia="Malgun Gothic"/>
          <w:color w:val="000000"/>
          <w:kern w:val="22"/>
          <w:sz w:val="22"/>
          <w:szCs w:val="22"/>
          <w:lang w:val="es-ES"/>
        </w:rPr>
      </w:pPr>
      <w:r w:rsidRPr="00C901E0">
        <w:rPr>
          <w:i/>
          <w:color w:val="000000"/>
          <w:kern w:val="22"/>
          <w:sz w:val="22"/>
          <w:szCs w:val="22"/>
          <w:lang w:val="es-ES"/>
        </w:rPr>
        <w:t xml:space="preserve">Recordando también </w:t>
      </w:r>
      <w:r w:rsidRPr="00C901E0">
        <w:rPr>
          <w:color w:val="000000"/>
          <w:kern w:val="22"/>
          <w:sz w:val="22"/>
          <w:szCs w:val="22"/>
          <w:lang w:val="es-ES"/>
        </w:rPr>
        <w:t xml:space="preserve">la decisión </w:t>
      </w:r>
      <w:hyperlink r:id="rId32" w:history="1">
        <w:r w:rsidRPr="00C901E0">
          <w:rPr>
            <w:rStyle w:val="Hyperlink"/>
            <w:kern w:val="22"/>
            <w:sz w:val="22"/>
            <w:szCs w:val="22"/>
            <w:lang w:val="es-ES"/>
          </w:rPr>
          <w:t>III/1</w:t>
        </w:r>
      </w:hyperlink>
      <w:r w:rsidRPr="00C901E0">
        <w:rPr>
          <w:color w:val="000000"/>
          <w:kern w:val="22"/>
          <w:sz w:val="22"/>
          <w:szCs w:val="22"/>
          <w:lang w:val="es-ES"/>
        </w:rPr>
        <w:t>, en la que se especifica que los proyectos de presupuesto deben distribuirse 90 días antes de las reuniones de la Conferencia de las Partes,</w:t>
      </w:r>
    </w:p>
    <w:p w:rsidR="002D4B57" w:rsidRPr="00C901E0" w:rsidRDefault="002D4B57" w:rsidP="00B01BFD">
      <w:pPr>
        <w:suppressLineNumbers/>
        <w:suppressAutoHyphens/>
        <w:spacing w:before="120" w:after="120"/>
        <w:ind w:firstLine="720"/>
        <w:jc w:val="both"/>
        <w:rPr>
          <w:color w:val="000000"/>
          <w:kern w:val="22"/>
          <w:sz w:val="22"/>
          <w:szCs w:val="22"/>
          <w:lang w:val="es-ES"/>
        </w:rPr>
      </w:pPr>
      <w:r w:rsidRPr="00C901E0">
        <w:rPr>
          <w:i/>
          <w:color w:val="000000"/>
          <w:kern w:val="22"/>
          <w:sz w:val="22"/>
          <w:szCs w:val="22"/>
          <w:lang w:val="es-ES"/>
        </w:rPr>
        <w:t xml:space="preserve">Recordando además </w:t>
      </w:r>
      <w:r w:rsidRPr="00C901E0">
        <w:rPr>
          <w:color w:val="000000"/>
          <w:kern w:val="22"/>
          <w:sz w:val="22"/>
          <w:szCs w:val="22"/>
          <w:lang w:val="es-ES"/>
        </w:rPr>
        <w:t>la resolución 2/18 de la Asamblea de las Naciones Unidas sobre el Medio Ambiente acerca de la relación entre el Programa de las Naciones Unidas para el Medio Ambiente y los acuerdos ambientales multilaterales a los que presta servicios de secretaría.</w:t>
      </w:r>
    </w:p>
    <w:p w:rsidR="002D4B57" w:rsidRPr="00C901E0" w:rsidRDefault="002D4B57" w:rsidP="00B01BFD">
      <w:pPr>
        <w:suppressLineNumbers/>
        <w:shd w:val="clear" w:color="auto" w:fill="FFFFFF"/>
        <w:suppressAutoHyphens/>
        <w:spacing w:before="120" w:after="120"/>
        <w:ind w:firstLine="720"/>
        <w:jc w:val="both"/>
        <w:rPr>
          <w:i/>
          <w:kern w:val="22"/>
          <w:sz w:val="22"/>
          <w:szCs w:val="22"/>
          <w:lang w:val="es-ES"/>
        </w:rPr>
      </w:pPr>
      <w:r w:rsidRPr="00C901E0">
        <w:rPr>
          <w:kern w:val="22"/>
          <w:sz w:val="22"/>
          <w:szCs w:val="22"/>
          <w:lang w:val="es-ES"/>
        </w:rPr>
        <w:t>1.</w:t>
      </w:r>
      <w:r w:rsidRPr="00C901E0">
        <w:rPr>
          <w:rFonts w:ascii="Malgun Gothic" w:eastAsia="Malgun Gothic"/>
          <w:kern w:val="22"/>
          <w:sz w:val="22"/>
          <w:szCs w:val="22"/>
          <w:lang w:val="es-ES"/>
        </w:rPr>
        <w:tab/>
      </w:r>
      <w:r w:rsidRPr="00C901E0">
        <w:rPr>
          <w:i/>
          <w:kern w:val="22"/>
          <w:sz w:val="22"/>
          <w:szCs w:val="22"/>
          <w:lang w:val="es-ES"/>
        </w:rPr>
        <w:t>Decide</w:t>
      </w:r>
      <w:r w:rsidRPr="00C901E0">
        <w:rPr>
          <w:kern w:val="22"/>
          <w:sz w:val="22"/>
          <w:szCs w:val="22"/>
          <w:lang w:val="es-ES"/>
        </w:rPr>
        <w:t xml:space="preserve"> adoptar un programa de trabajo y presupuesto integrado para el Convenio sobre la Diversidad Biológica, el Protocolo de Cartagena sobre Seguridad de la Biotecnología y el Protocolo de Nagoya sobre Acceso y Participación en los Beneficios;</w:t>
      </w:r>
    </w:p>
    <w:p w:rsidR="002D4B57" w:rsidRPr="00C901E0" w:rsidRDefault="002D4B57" w:rsidP="00B01BFD">
      <w:pPr>
        <w:suppressLineNumbers/>
        <w:shd w:val="clear" w:color="auto" w:fill="FFFFFF"/>
        <w:suppressAutoHyphens/>
        <w:spacing w:before="120" w:after="120"/>
        <w:ind w:firstLine="720"/>
        <w:jc w:val="both"/>
        <w:rPr>
          <w:rFonts w:ascii="Malgun Gothic" w:eastAsia="Malgun Gothic"/>
          <w:kern w:val="22"/>
          <w:sz w:val="22"/>
          <w:szCs w:val="22"/>
          <w:lang w:val="es-ES"/>
        </w:rPr>
      </w:pPr>
      <w:r w:rsidRPr="00C901E0">
        <w:rPr>
          <w:kern w:val="22"/>
          <w:sz w:val="22"/>
          <w:szCs w:val="22"/>
          <w:lang w:val="es-ES"/>
        </w:rPr>
        <w:t>2.</w:t>
      </w:r>
      <w:r w:rsidRPr="00C901E0">
        <w:rPr>
          <w:rFonts w:ascii="Malgun Gothic" w:eastAsia="Malgun Gothic"/>
          <w:i/>
          <w:kern w:val="22"/>
          <w:sz w:val="22"/>
          <w:szCs w:val="22"/>
          <w:lang w:val="es-ES"/>
        </w:rPr>
        <w:tab/>
      </w:r>
      <w:r w:rsidRPr="00C901E0">
        <w:rPr>
          <w:i/>
          <w:kern w:val="22"/>
          <w:sz w:val="22"/>
          <w:szCs w:val="22"/>
          <w:lang w:val="es-ES"/>
        </w:rPr>
        <w:t>Decide también</w:t>
      </w:r>
      <w:r w:rsidRPr="00C901E0">
        <w:rPr>
          <w:kern w:val="22"/>
          <w:sz w:val="22"/>
          <w:szCs w:val="22"/>
          <w:lang w:val="es-ES"/>
        </w:rPr>
        <w:t xml:space="preserve"> distribuir todos los gastos de los servicios de secretaría entre el Convenio, el Protocolo de Cartagena y el Protocolo de Nagoya a razón de 74%, 15% y 11% para el bienio 2019-2020;</w:t>
      </w:r>
    </w:p>
    <w:p w:rsidR="002D4B57" w:rsidRPr="00C901E0" w:rsidRDefault="002D4B57" w:rsidP="00B01BFD">
      <w:pPr>
        <w:suppressLineNumbers/>
        <w:shd w:val="clear" w:color="auto" w:fill="FFFFFF"/>
        <w:suppressAutoHyphens/>
        <w:spacing w:before="120" w:after="120"/>
        <w:ind w:firstLine="720"/>
        <w:jc w:val="both"/>
        <w:rPr>
          <w:i/>
          <w:kern w:val="22"/>
          <w:sz w:val="22"/>
          <w:szCs w:val="22"/>
          <w:lang w:val="es-ES"/>
        </w:rPr>
      </w:pPr>
      <w:r w:rsidRPr="00C901E0">
        <w:rPr>
          <w:kern w:val="22"/>
          <w:sz w:val="22"/>
          <w:szCs w:val="22"/>
          <w:lang w:val="es-ES"/>
        </w:rPr>
        <w:t>3.</w:t>
      </w:r>
      <w:r w:rsidRPr="00C901E0">
        <w:rPr>
          <w:i/>
          <w:kern w:val="22"/>
          <w:sz w:val="22"/>
          <w:szCs w:val="22"/>
          <w:lang w:val="es-ES"/>
        </w:rPr>
        <w:tab/>
        <w:t>Aprueba</w:t>
      </w:r>
      <w:r w:rsidRPr="00C901E0">
        <w:rPr>
          <w:kern w:val="22"/>
          <w:sz w:val="22"/>
          <w:szCs w:val="22"/>
          <w:lang w:val="es-ES"/>
        </w:rPr>
        <w:t xml:space="preserve"> un presupuesto básico por programas (BG) para el Protocolo de Cartagena sobre Seguridad de la Biotecnología de 2.842.300 dólares de los Estados Unidos para el año 2019 y de 2.984.300 dólares de los Estados Unidos para el año 2020, lo que representa el 15% del presupuesto integrado de 18.949.900 dólares de los Estados Unidos correspondiente al año 2019 y 19.895.200 dólares de los Estados Unidos correspondiente al año 2020 para el Convenio y los Protocolos, para los fines indicados en los cuadros 1a y 1b a continuación;</w:t>
      </w:r>
    </w:p>
    <w:p w:rsidR="002D4B57" w:rsidRPr="00C901E0" w:rsidRDefault="002D4B57" w:rsidP="00B01BFD">
      <w:pPr>
        <w:suppressLineNumbers/>
        <w:shd w:val="clear" w:color="auto" w:fill="FFFFFF"/>
        <w:suppressAutoHyphens/>
        <w:spacing w:before="120" w:after="120"/>
        <w:ind w:firstLine="720"/>
        <w:jc w:val="both"/>
        <w:rPr>
          <w:rFonts w:ascii="Malgun Gothic" w:eastAsia="Malgun Gothic"/>
          <w:i/>
          <w:kern w:val="22"/>
          <w:sz w:val="22"/>
          <w:szCs w:val="22"/>
          <w:lang w:val="es-ES"/>
        </w:rPr>
      </w:pPr>
      <w:r w:rsidRPr="00C901E0">
        <w:rPr>
          <w:kern w:val="22"/>
          <w:sz w:val="22"/>
          <w:szCs w:val="22"/>
          <w:lang w:val="es-ES"/>
        </w:rPr>
        <w:t>4.</w:t>
      </w:r>
      <w:r w:rsidRPr="00C901E0">
        <w:rPr>
          <w:kern w:val="22"/>
          <w:sz w:val="22"/>
          <w:szCs w:val="22"/>
          <w:lang w:val="es-ES"/>
        </w:rPr>
        <w:tab/>
      </w:r>
      <w:r w:rsidRPr="00C901E0">
        <w:rPr>
          <w:i/>
          <w:kern w:val="22"/>
          <w:sz w:val="22"/>
          <w:szCs w:val="22"/>
          <w:lang w:val="es-ES"/>
        </w:rPr>
        <w:t>Adopta</w:t>
      </w:r>
      <w:r w:rsidRPr="00C901E0">
        <w:rPr>
          <w:kern w:val="22"/>
          <w:sz w:val="22"/>
          <w:szCs w:val="22"/>
          <w:lang w:val="es-ES"/>
        </w:rPr>
        <w:t xml:space="preserve"> la escala de cuotas para el prorrateo de los gastos para 2019 y 2020 que figura en el cuadro 2 a continuación</w:t>
      </w:r>
      <w:r w:rsidRPr="001910C6">
        <w:rPr>
          <w:rStyle w:val="FootnoteReference"/>
          <w:rFonts w:eastAsia="Malgun Gothic"/>
          <w:kern w:val="22"/>
          <w:sz w:val="22"/>
          <w:szCs w:val="22"/>
          <w:u w:val="none"/>
          <w:vertAlign w:val="superscript"/>
          <w:lang w:val="es-ES"/>
        </w:rPr>
        <w:footnoteReference w:id="24"/>
      </w:r>
      <w:r w:rsidRPr="00C901E0">
        <w:rPr>
          <w:kern w:val="22"/>
          <w:sz w:val="22"/>
          <w:szCs w:val="22"/>
          <w:lang w:val="es-ES"/>
        </w:rPr>
        <w:t>;</w:t>
      </w:r>
    </w:p>
    <w:p w:rsidR="002D4B57" w:rsidRPr="00C901E0" w:rsidRDefault="002D4B57" w:rsidP="002D4B57">
      <w:pPr>
        <w:suppressLineNumbers/>
        <w:shd w:val="clear" w:color="auto" w:fill="FFFFFF"/>
        <w:suppressAutoHyphens/>
        <w:ind w:firstLine="720"/>
        <w:rPr>
          <w:rFonts w:ascii="Malgun Gothic" w:eastAsia="Malgun Gothic"/>
          <w:kern w:val="22"/>
          <w:sz w:val="22"/>
          <w:szCs w:val="22"/>
          <w:lang w:val="es-ES"/>
        </w:rPr>
      </w:pPr>
      <w:r w:rsidRPr="00C901E0">
        <w:rPr>
          <w:kern w:val="22"/>
          <w:sz w:val="22"/>
          <w:szCs w:val="22"/>
          <w:lang w:val="es-ES"/>
        </w:rPr>
        <w:t>5.</w:t>
      </w:r>
      <w:r w:rsidRPr="00C901E0">
        <w:rPr>
          <w:kern w:val="22"/>
          <w:sz w:val="22"/>
          <w:szCs w:val="22"/>
          <w:lang w:val="es-ES"/>
        </w:rPr>
        <w:tab/>
      </w:r>
      <w:r w:rsidRPr="00C901E0">
        <w:rPr>
          <w:i/>
          <w:kern w:val="22"/>
          <w:sz w:val="22"/>
          <w:szCs w:val="22"/>
          <w:lang w:val="es-ES"/>
        </w:rPr>
        <w:t>Reconoce</w:t>
      </w:r>
      <w:r w:rsidRPr="00C901E0">
        <w:rPr>
          <w:kern w:val="22"/>
          <w:sz w:val="22"/>
          <w:szCs w:val="22"/>
          <w:lang w:val="es-ES"/>
        </w:rPr>
        <w:t xml:space="preserve"> las estimaciones de financiación para las Contribuciones Voluntarias en apoyo a Actividades Aprobadas del Protocolo de Cartagena para el período 2019-2022 incluidas en el cuadro 3 de la decisión 14/37 de la Conferencia de las Partes;</w:t>
      </w:r>
    </w:p>
    <w:p w:rsidR="00253427" w:rsidRPr="00C901E0" w:rsidRDefault="002D4B57" w:rsidP="002D4B57">
      <w:pPr>
        <w:suppressLineNumbers/>
        <w:shd w:val="clear" w:color="auto" w:fill="FFFFFF" w:themeFill="background1"/>
        <w:suppressAutoHyphens/>
        <w:spacing w:before="120" w:after="120"/>
        <w:ind w:firstLine="720"/>
        <w:jc w:val="both"/>
        <w:rPr>
          <w:rFonts w:eastAsia="Malgun Gothic"/>
          <w:iCs/>
          <w:snapToGrid w:val="0"/>
          <w:kern w:val="22"/>
          <w:sz w:val="22"/>
          <w:szCs w:val="22"/>
          <w:lang w:val="es-ES"/>
        </w:rPr>
      </w:pPr>
      <w:r w:rsidRPr="00C901E0">
        <w:rPr>
          <w:kern w:val="22"/>
          <w:sz w:val="22"/>
          <w:szCs w:val="22"/>
          <w:lang w:val="es-ES"/>
        </w:rPr>
        <w:t>6.</w:t>
      </w:r>
      <w:r w:rsidRPr="00C901E0">
        <w:rPr>
          <w:kern w:val="22"/>
          <w:sz w:val="22"/>
          <w:szCs w:val="22"/>
          <w:lang w:val="es-ES"/>
        </w:rPr>
        <w:tab/>
      </w:r>
      <w:r w:rsidRPr="00C901E0">
        <w:rPr>
          <w:i/>
          <w:kern w:val="22"/>
          <w:sz w:val="22"/>
          <w:szCs w:val="22"/>
          <w:lang w:val="es-ES"/>
        </w:rPr>
        <w:t>Decide</w:t>
      </w:r>
      <w:r w:rsidRPr="00C901E0">
        <w:rPr>
          <w:kern w:val="22"/>
          <w:sz w:val="22"/>
          <w:szCs w:val="22"/>
          <w:lang w:val="es-ES"/>
        </w:rPr>
        <w:t xml:space="preserve"> aplicar, </w:t>
      </w:r>
      <w:r w:rsidRPr="00C901E0">
        <w:rPr>
          <w:i/>
          <w:kern w:val="22"/>
          <w:sz w:val="22"/>
          <w:szCs w:val="22"/>
          <w:lang w:val="es-ES"/>
        </w:rPr>
        <w:t>mutatis mutandis</w:t>
      </w:r>
      <w:r w:rsidRPr="00C901E0">
        <w:rPr>
          <w:kern w:val="22"/>
          <w:sz w:val="22"/>
          <w:szCs w:val="22"/>
          <w:lang w:val="es-ES"/>
        </w:rPr>
        <w:t>, los párrafos 3 a 5 y 7 a 50 de la decisión 14/37 de la Conferencia de las Partes.</w:t>
      </w:r>
    </w:p>
    <w:p w:rsidR="00253427" w:rsidRPr="00C901E0" w:rsidRDefault="00253427" w:rsidP="00253427">
      <w:pPr>
        <w:suppressLineNumbers/>
        <w:suppressAutoHyphens/>
        <w:rPr>
          <w:kern w:val="22"/>
          <w:lang w:val="es-ES"/>
        </w:rPr>
      </w:pPr>
      <w:r w:rsidRPr="00C901E0">
        <w:rPr>
          <w:kern w:val="22"/>
          <w:lang w:val="es-ES"/>
        </w:rPr>
        <w:br w:type="page"/>
      </w:r>
    </w:p>
    <w:p w:rsidR="00253427" w:rsidRPr="00C901E0" w:rsidRDefault="00C315B0" w:rsidP="00C315B0">
      <w:pPr>
        <w:keepNext/>
        <w:suppressLineNumbers/>
        <w:suppressAutoHyphens/>
        <w:spacing w:before="120" w:after="120"/>
        <w:ind w:left="1276" w:hanging="1276"/>
        <w:rPr>
          <w:rFonts w:eastAsia="Malgun Gothic"/>
          <w:b/>
          <w:bCs/>
          <w:iCs/>
          <w:snapToGrid w:val="0"/>
          <w:kern w:val="22"/>
          <w:sz w:val="22"/>
          <w:szCs w:val="22"/>
          <w:lang w:val="es-ES"/>
        </w:rPr>
      </w:pPr>
      <w:r w:rsidRPr="00C901E0">
        <w:rPr>
          <w:rFonts w:eastAsia="Malgun Gothic"/>
          <w:b/>
          <w:bCs/>
          <w:iCs/>
          <w:snapToGrid w:val="0"/>
          <w:kern w:val="22"/>
          <w:sz w:val="22"/>
          <w:szCs w:val="22"/>
          <w:lang w:val="es-ES"/>
        </w:rPr>
        <w:lastRenderedPageBreak/>
        <w:t>Cuadro 1a.</w:t>
      </w:r>
      <w:r w:rsidRPr="00C901E0">
        <w:rPr>
          <w:rFonts w:eastAsia="Malgun Gothic"/>
          <w:b/>
          <w:bCs/>
          <w:iCs/>
          <w:snapToGrid w:val="0"/>
          <w:kern w:val="22"/>
          <w:sz w:val="22"/>
          <w:szCs w:val="22"/>
          <w:lang w:val="es-ES"/>
        </w:rPr>
        <w:tab/>
        <w:t>Presupuesto bienal integrado para los Fondos Fiduciarios del Convenio sobre la Diversidad Biológica y sus Protocolos, 2019-2020</w:t>
      </w:r>
    </w:p>
    <w:p w:rsidR="00C315B0" w:rsidRPr="00C901E0" w:rsidRDefault="00C315B0" w:rsidP="00C315B0">
      <w:pPr>
        <w:suppressLineNumbers/>
        <w:suppressAutoHyphens/>
        <w:rPr>
          <w:i/>
          <w:kern w:val="22"/>
          <w:lang w:val="es-ES"/>
        </w:rPr>
      </w:pPr>
    </w:p>
    <w:tbl>
      <w:tblPr>
        <w:tblW w:w="9120" w:type="dxa"/>
        <w:tblInd w:w="93" w:type="dxa"/>
        <w:tblLayout w:type="fixed"/>
        <w:tblLook w:val="00A0"/>
      </w:tblPr>
      <w:tblGrid>
        <w:gridCol w:w="4693"/>
        <w:gridCol w:w="1418"/>
        <w:gridCol w:w="1369"/>
        <w:gridCol w:w="1640"/>
      </w:tblGrid>
      <w:tr w:rsidR="00C315B0" w:rsidRPr="00C901E0" w:rsidTr="002C39AF">
        <w:trPr>
          <w:trHeight w:val="288"/>
        </w:trPr>
        <w:tc>
          <w:tcPr>
            <w:tcW w:w="4693" w:type="dxa"/>
            <w:vMerge w:val="restart"/>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418" w:type="dxa"/>
            <w:vMerge w:val="restart"/>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jc w:val="center"/>
              <w:rPr>
                <w:lang w:val="es-ES"/>
              </w:rPr>
            </w:pPr>
            <w:r w:rsidRPr="00C901E0">
              <w:rPr>
                <w:i/>
                <w:color w:val="000000"/>
                <w:kern w:val="22"/>
                <w:sz w:val="15"/>
                <w:lang w:val="es-ES"/>
              </w:rPr>
              <w:t>2019</w:t>
            </w:r>
            <w:r w:rsidRPr="00C901E0">
              <w:rPr>
                <w:i/>
                <w:color w:val="000000"/>
                <w:kern w:val="22"/>
                <w:sz w:val="15"/>
                <w:lang w:val="es-ES"/>
              </w:rPr>
              <w:br/>
              <w:t>(En miles de dólares de los Estados Unidos)</w:t>
            </w:r>
          </w:p>
        </w:tc>
        <w:tc>
          <w:tcPr>
            <w:tcW w:w="1369" w:type="dxa"/>
            <w:vMerge w:val="restart"/>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jc w:val="center"/>
              <w:rPr>
                <w:lang w:val="es-ES"/>
              </w:rPr>
            </w:pPr>
            <w:r w:rsidRPr="00C901E0">
              <w:rPr>
                <w:i/>
                <w:color w:val="000000"/>
                <w:kern w:val="22"/>
                <w:sz w:val="15"/>
                <w:lang w:val="es-ES"/>
              </w:rPr>
              <w:t>2020</w:t>
            </w:r>
            <w:r w:rsidRPr="00C901E0">
              <w:rPr>
                <w:i/>
                <w:color w:val="000000"/>
                <w:kern w:val="22"/>
                <w:sz w:val="15"/>
                <w:lang w:val="es-ES"/>
              </w:rPr>
              <w:br/>
              <w:t>(En miles de dólares de los Estados Unidos)</w:t>
            </w:r>
          </w:p>
        </w:tc>
        <w:tc>
          <w:tcPr>
            <w:tcW w:w="1640" w:type="dxa"/>
            <w:vMerge w:val="restart"/>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jc w:val="center"/>
              <w:rPr>
                <w:lang w:val="es-ES"/>
              </w:rPr>
            </w:pPr>
            <w:r w:rsidRPr="00C901E0">
              <w:rPr>
                <w:i/>
                <w:color w:val="000000"/>
                <w:kern w:val="22"/>
                <w:sz w:val="15"/>
                <w:lang w:val="es-ES"/>
              </w:rPr>
              <w:t>Total</w:t>
            </w:r>
            <w:r w:rsidRPr="00C901E0">
              <w:rPr>
                <w:i/>
                <w:color w:val="000000"/>
                <w:kern w:val="22"/>
                <w:sz w:val="15"/>
                <w:lang w:val="es-ES"/>
              </w:rPr>
              <w:br/>
              <w:t>(En miles de dólares de los Estados Unidos)</w:t>
            </w:r>
          </w:p>
        </w:tc>
      </w:tr>
      <w:tr w:rsidR="00C315B0" w:rsidRPr="00C901E0" w:rsidTr="002C39AF">
        <w:trPr>
          <w:trHeight w:val="288"/>
        </w:trPr>
        <w:tc>
          <w:tcPr>
            <w:tcW w:w="4693"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418"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369"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640"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r>
      <w:tr w:rsidR="00C315B0" w:rsidRPr="00C901E0" w:rsidTr="002C39AF">
        <w:trPr>
          <w:trHeight w:val="300"/>
        </w:trPr>
        <w:tc>
          <w:tcPr>
            <w:tcW w:w="4693"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418"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369"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640"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r>
      <w:tr w:rsidR="00C315B0" w:rsidRPr="00C901E0" w:rsidTr="002C39AF">
        <w:trPr>
          <w:trHeight w:val="300"/>
        </w:trPr>
        <w:tc>
          <w:tcPr>
            <w:tcW w:w="4693" w:type="dxa"/>
            <w:tcBorders>
              <w:top w:val="nil"/>
              <w:left w:val="nil"/>
              <w:bottom w:val="nil"/>
              <w:right w:val="nil"/>
            </w:tcBorders>
            <w:vAlign w:val="center"/>
          </w:tcPr>
          <w:p w:rsidR="00C315B0" w:rsidRPr="00C901E0" w:rsidRDefault="00C315B0" w:rsidP="002C39AF">
            <w:pPr>
              <w:suppressLineNumbers/>
              <w:suppressAutoHyphens/>
              <w:rPr>
                <w:color w:val="000000"/>
                <w:kern w:val="22"/>
                <w:sz w:val="17"/>
                <w:lang w:val="es-ES"/>
              </w:rPr>
            </w:pPr>
          </w:p>
        </w:tc>
        <w:tc>
          <w:tcPr>
            <w:tcW w:w="1418" w:type="dxa"/>
            <w:tcBorders>
              <w:top w:val="nil"/>
              <w:left w:val="nil"/>
              <w:bottom w:val="nil"/>
              <w:right w:val="nil"/>
            </w:tcBorders>
            <w:vAlign w:val="center"/>
          </w:tcPr>
          <w:p w:rsidR="00C315B0" w:rsidRPr="00C901E0" w:rsidRDefault="00C315B0" w:rsidP="002C39AF">
            <w:pPr>
              <w:suppressLineNumbers/>
              <w:suppressAutoHyphens/>
              <w:rPr>
                <w:color w:val="000000"/>
                <w:kern w:val="22"/>
                <w:sz w:val="17"/>
                <w:lang w:val="es-ES"/>
              </w:rPr>
            </w:pP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p>
        </w:tc>
      </w:tr>
      <w:tr w:rsidR="00C315B0" w:rsidRPr="00C901E0" w:rsidTr="002C39AF">
        <w:trPr>
          <w:trHeight w:val="288"/>
        </w:trPr>
        <w:tc>
          <w:tcPr>
            <w:tcW w:w="4693" w:type="dxa"/>
            <w:tcBorders>
              <w:top w:val="nil"/>
              <w:left w:val="nil"/>
              <w:bottom w:val="nil"/>
              <w:right w:val="nil"/>
            </w:tcBorders>
          </w:tcPr>
          <w:p w:rsidR="00C315B0" w:rsidRPr="00C901E0" w:rsidRDefault="00C315B0" w:rsidP="002C39AF">
            <w:pPr>
              <w:suppressLineNumbers/>
              <w:suppressAutoHyphens/>
              <w:rPr>
                <w:lang w:val="es-ES"/>
              </w:rPr>
            </w:pPr>
            <w:r w:rsidRPr="00C901E0">
              <w:rPr>
                <w:color w:val="000000"/>
                <w:kern w:val="22"/>
                <w:sz w:val="17"/>
                <w:lang w:val="es-ES"/>
              </w:rPr>
              <w:t>A. Órganos rectores y subsidiarios</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1 889,0</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2 484,0</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4 373,0</w:t>
            </w:r>
          </w:p>
        </w:tc>
      </w:tr>
      <w:tr w:rsidR="00C315B0" w:rsidRPr="00C901E0" w:rsidTr="002C39AF">
        <w:trPr>
          <w:trHeight w:val="288"/>
        </w:trPr>
        <w:tc>
          <w:tcPr>
            <w:tcW w:w="4693" w:type="dxa"/>
            <w:tcBorders>
              <w:top w:val="nil"/>
              <w:left w:val="nil"/>
              <w:bottom w:val="nil"/>
              <w:right w:val="nil"/>
            </w:tcBorders>
          </w:tcPr>
          <w:p w:rsidR="00C315B0" w:rsidRPr="00C901E0" w:rsidRDefault="00C315B0" w:rsidP="002C39AF">
            <w:pPr>
              <w:suppressLineNumbers/>
              <w:suppressAutoHyphens/>
              <w:rPr>
                <w:lang w:val="es-ES"/>
              </w:rPr>
            </w:pPr>
            <w:r w:rsidRPr="00C901E0">
              <w:rPr>
                <w:color w:val="000000"/>
                <w:kern w:val="22"/>
                <w:sz w:val="17"/>
                <w:lang w:val="es-ES"/>
              </w:rPr>
              <w:t>B. Dirección y gestión ejecutivas</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2 634,5</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2 669,8</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5 304,3</w:t>
            </w:r>
          </w:p>
        </w:tc>
      </w:tr>
      <w:tr w:rsidR="00C315B0" w:rsidRPr="00C901E0" w:rsidTr="002C39AF">
        <w:trPr>
          <w:trHeight w:val="288"/>
        </w:trPr>
        <w:tc>
          <w:tcPr>
            <w:tcW w:w="4693" w:type="dxa"/>
            <w:tcBorders>
              <w:top w:val="nil"/>
              <w:left w:val="nil"/>
              <w:bottom w:val="nil"/>
              <w:right w:val="nil"/>
            </w:tcBorders>
          </w:tcPr>
          <w:p w:rsidR="00C315B0" w:rsidRPr="00C901E0" w:rsidRDefault="00C315B0" w:rsidP="002C39AF">
            <w:pPr>
              <w:suppressLineNumbers/>
              <w:suppressAutoHyphens/>
              <w:rPr>
                <w:lang w:val="es-ES"/>
              </w:rPr>
            </w:pPr>
            <w:r w:rsidRPr="00C901E0">
              <w:rPr>
                <w:color w:val="000000"/>
                <w:kern w:val="22"/>
                <w:sz w:val="17"/>
                <w:lang w:val="es-ES"/>
              </w:rPr>
              <w:t>C. Programa de trabajo</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9 309,4</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9 243,1</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18 552,5</w:t>
            </w:r>
          </w:p>
        </w:tc>
      </w:tr>
      <w:tr w:rsidR="00C315B0" w:rsidRPr="00C901E0" w:rsidTr="002C39AF">
        <w:trPr>
          <w:trHeight w:val="300"/>
        </w:trPr>
        <w:tc>
          <w:tcPr>
            <w:tcW w:w="4693" w:type="dxa"/>
            <w:tcBorders>
              <w:top w:val="nil"/>
              <w:left w:val="nil"/>
              <w:bottom w:val="single" w:sz="8" w:space="0" w:color="auto"/>
              <w:right w:val="nil"/>
            </w:tcBorders>
          </w:tcPr>
          <w:p w:rsidR="00C315B0" w:rsidRPr="00C901E0" w:rsidRDefault="00C315B0" w:rsidP="002C39AF">
            <w:pPr>
              <w:suppressLineNumbers/>
              <w:suppressAutoHyphens/>
              <w:rPr>
                <w:lang w:val="es-ES"/>
              </w:rPr>
            </w:pPr>
            <w:r w:rsidRPr="00C901E0">
              <w:rPr>
                <w:color w:val="000000"/>
                <w:kern w:val="22"/>
                <w:sz w:val="17"/>
                <w:lang w:val="es-ES"/>
              </w:rPr>
              <w:t>D. Apoyo administrativo</w:t>
            </w:r>
          </w:p>
        </w:tc>
        <w:tc>
          <w:tcPr>
            <w:tcW w:w="1418"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2 886,0</w:t>
            </w:r>
          </w:p>
        </w:tc>
        <w:tc>
          <w:tcPr>
            <w:tcW w:w="1369"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3 093,7</w:t>
            </w:r>
          </w:p>
        </w:tc>
        <w:tc>
          <w:tcPr>
            <w:tcW w:w="1640"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5 979,7</w:t>
            </w:r>
          </w:p>
        </w:tc>
      </w:tr>
      <w:tr w:rsidR="00C315B0" w:rsidRPr="00C901E0" w:rsidTr="002C39AF">
        <w:trPr>
          <w:trHeight w:val="300"/>
        </w:trPr>
        <w:tc>
          <w:tcPr>
            <w:tcW w:w="4693" w:type="dxa"/>
            <w:tcBorders>
              <w:top w:val="nil"/>
              <w:left w:val="nil"/>
              <w:bottom w:val="single" w:sz="12" w:space="0" w:color="auto"/>
              <w:right w:val="nil"/>
            </w:tcBorders>
            <w:vAlign w:val="center"/>
          </w:tcPr>
          <w:p w:rsidR="00C315B0" w:rsidRPr="00C901E0" w:rsidRDefault="00C315B0" w:rsidP="002C39AF">
            <w:pPr>
              <w:suppressLineNumbers/>
              <w:suppressAutoHyphens/>
              <w:rPr>
                <w:lang w:val="es-ES"/>
              </w:rPr>
            </w:pPr>
            <w:r w:rsidRPr="00C901E0">
              <w:rPr>
                <w:b/>
                <w:color w:val="000000"/>
                <w:kern w:val="22"/>
                <w:sz w:val="17"/>
                <w:lang w:val="es-ES"/>
              </w:rPr>
              <w:t>Subtotal</w:t>
            </w:r>
          </w:p>
        </w:tc>
        <w:tc>
          <w:tcPr>
            <w:tcW w:w="1418" w:type="dxa"/>
            <w:tcBorders>
              <w:top w:val="nil"/>
              <w:left w:val="nil"/>
              <w:bottom w:val="single" w:sz="12" w:space="0" w:color="auto"/>
              <w:right w:val="nil"/>
            </w:tcBorders>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16 718,9</w:t>
            </w:r>
          </w:p>
        </w:tc>
        <w:tc>
          <w:tcPr>
            <w:tcW w:w="1369" w:type="dxa"/>
            <w:tcBorders>
              <w:top w:val="nil"/>
              <w:left w:val="nil"/>
              <w:bottom w:val="single" w:sz="12" w:space="0" w:color="auto"/>
              <w:right w:val="nil"/>
            </w:tcBorders>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17 490,6</w:t>
            </w:r>
          </w:p>
        </w:tc>
        <w:tc>
          <w:tcPr>
            <w:tcW w:w="1640" w:type="dxa"/>
            <w:tcBorders>
              <w:top w:val="nil"/>
              <w:left w:val="nil"/>
              <w:bottom w:val="single" w:sz="12" w:space="0" w:color="auto"/>
              <w:right w:val="nil"/>
            </w:tcBorders>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34 209,5</w:t>
            </w:r>
          </w:p>
        </w:tc>
      </w:tr>
      <w:tr w:rsidR="00C315B0" w:rsidRPr="00C901E0" w:rsidTr="002C39AF">
        <w:trPr>
          <w:trHeight w:val="300"/>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lang w:val="es-ES"/>
              </w:rPr>
              <w:t>Gastos de apoyo a los programas</w:t>
            </w:r>
          </w:p>
        </w:tc>
        <w:tc>
          <w:tcPr>
            <w:tcW w:w="1418" w:type="dxa"/>
            <w:tcBorders>
              <w:top w:val="nil"/>
              <w:left w:val="nil"/>
              <w:bottom w:val="nil"/>
              <w:right w:val="nil"/>
            </w:tcBorders>
            <w:noWrap/>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2 173,5</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2 273,8</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4 447,2</w:t>
            </w:r>
          </w:p>
        </w:tc>
      </w:tr>
      <w:tr w:rsidR="00C315B0" w:rsidRPr="00C901E0" w:rsidTr="002C39AF">
        <w:trPr>
          <w:trHeight w:val="300"/>
        </w:trPr>
        <w:tc>
          <w:tcPr>
            <w:tcW w:w="4693" w:type="dxa"/>
            <w:tcBorders>
              <w:top w:val="nil"/>
              <w:left w:val="nil"/>
              <w:bottom w:val="single" w:sz="8" w:space="0" w:color="auto"/>
              <w:right w:val="nil"/>
            </w:tcBorders>
            <w:vAlign w:val="center"/>
          </w:tcPr>
          <w:p w:rsidR="00C315B0" w:rsidRPr="00C901E0" w:rsidRDefault="00C315B0" w:rsidP="002C39AF">
            <w:pPr>
              <w:suppressLineNumbers/>
              <w:suppressAutoHyphens/>
              <w:rPr>
                <w:lang w:val="es-ES"/>
              </w:rPr>
            </w:pPr>
            <w:r w:rsidRPr="00C901E0">
              <w:rPr>
                <w:color w:val="000000"/>
                <w:kern w:val="22"/>
                <w:sz w:val="17"/>
                <w:lang w:val="es-ES"/>
              </w:rPr>
              <w:t>Reserva operacional</w:t>
            </w:r>
          </w:p>
        </w:tc>
        <w:tc>
          <w:tcPr>
            <w:tcW w:w="1418"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56,6</w:t>
            </w:r>
          </w:p>
        </w:tc>
        <w:tc>
          <w:tcPr>
            <w:tcW w:w="1369"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130,7</w:t>
            </w:r>
          </w:p>
        </w:tc>
        <w:tc>
          <w:tcPr>
            <w:tcW w:w="1640"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187,4</w:t>
            </w:r>
          </w:p>
        </w:tc>
      </w:tr>
      <w:tr w:rsidR="00C315B0" w:rsidRPr="00C901E0" w:rsidTr="002C39AF">
        <w:trPr>
          <w:trHeight w:val="300"/>
        </w:trPr>
        <w:tc>
          <w:tcPr>
            <w:tcW w:w="4693" w:type="dxa"/>
            <w:tcBorders>
              <w:top w:val="nil"/>
              <w:left w:val="nil"/>
              <w:bottom w:val="single" w:sz="8" w:space="0" w:color="auto"/>
              <w:right w:val="nil"/>
            </w:tcBorders>
            <w:vAlign w:val="center"/>
          </w:tcPr>
          <w:p w:rsidR="00C315B0" w:rsidRPr="00C901E0" w:rsidRDefault="00C315B0" w:rsidP="002C39AF">
            <w:pPr>
              <w:suppressLineNumbers/>
              <w:suppressAutoHyphens/>
              <w:rPr>
                <w:lang w:val="es-ES"/>
              </w:rPr>
            </w:pPr>
            <w:r w:rsidRPr="00C901E0">
              <w:rPr>
                <w:b/>
                <w:color w:val="000000"/>
                <w:kern w:val="22"/>
                <w:sz w:val="17"/>
                <w:lang w:val="es-ES"/>
              </w:rPr>
              <w:t>Total</w:t>
            </w:r>
          </w:p>
        </w:tc>
        <w:tc>
          <w:tcPr>
            <w:tcW w:w="1418"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18 949,0</w:t>
            </w:r>
          </w:p>
        </w:tc>
        <w:tc>
          <w:tcPr>
            <w:tcW w:w="1369"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19 895,1</w:t>
            </w:r>
          </w:p>
        </w:tc>
        <w:tc>
          <w:tcPr>
            <w:tcW w:w="1640"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38 844,1</w:t>
            </w:r>
          </w:p>
        </w:tc>
      </w:tr>
      <w:tr w:rsidR="00C315B0" w:rsidRPr="00C901E0" w:rsidTr="002C39AF">
        <w:trPr>
          <w:trHeight w:val="288"/>
        </w:trPr>
        <w:tc>
          <w:tcPr>
            <w:tcW w:w="4693" w:type="dxa"/>
            <w:tcBorders>
              <w:top w:val="nil"/>
              <w:left w:val="nil"/>
              <w:bottom w:val="single" w:sz="4" w:space="0" w:color="auto"/>
              <w:right w:val="nil"/>
            </w:tcBorders>
            <w:vAlign w:val="center"/>
          </w:tcPr>
          <w:p w:rsidR="00C315B0" w:rsidRPr="00C901E0" w:rsidRDefault="00C315B0" w:rsidP="002C39AF">
            <w:pPr>
              <w:suppressLineNumbers/>
              <w:suppressAutoHyphens/>
              <w:rPr>
                <w:lang w:val="es-ES"/>
              </w:rPr>
            </w:pPr>
            <w:r w:rsidRPr="00C901E0">
              <w:rPr>
                <w:kern w:val="22"/>
                <w:sz w:val="17"/>
                <w:lang w:val="es-ES"/>
              </w:rPr>
              <w:t>Porcentaje del presupuesto integrado que corresponde al Protocolo de Cartagena (15%)</w:t>
            </w:r>
          </w:p>
        </w:tc>
        <w:tc>
          <w:tcPr>
            <w:tcW w:w="1418" w:type="dxa"/>
            <w:tcBorders>
              <w:top w:val="nil"/>
              <w:left w:val="nil"/>
              <w:bottom w:val="single" w:sz="4" w:space="0" w:color="auto"/>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2 842,4</w:t>
            </w:r>
          </w:p>
        </w:tc>
        <w:tc>
          <w:tcPr>
            <w:tcW w:w="1369" w:type="dxa"/>
            <w:tcBorders>
              <w:top w:val="nil"/>
              <w:left w:val="nil"/>
              <w:bottom w:val="single" w:sz="4" w:space="0" w:color="auto"/>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2 984,3</w:t>
            </w:r>
          </w:p>
        </w:tc>
        <w:tc>
          <w:tcPr>
            <w:tcW w:w="1640" w:type="dxa"/>
            <w:tcBorders>
              <w:top w:val="nil"/>
              <w:left w:val="nil"/>
              <w:bottom w:val="single" w:sz="4" w:space="0" w:color="auto"/>
              <w:right w:val="nil"/>
            </w:tcBorders>
            <w:noWrap/>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5 826,7</w:t>
            </w: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kern w:val="22"/>
                <w:sz w:val="17"/>
                <w:u w:val="single"/>
                <w:lang w:val="es-ES"/>
              </w:rPr>
              <w:t>Menos</w:t>
            </w:r>
            <w:r w:rsidRPr="00C901E0">
              <w:rPr>
                <w:kern w:val="22"/>
                <w:sz w:val="17"/>
                <w:lang w:val="es-ES"/>
              </w:rPr>
              <w:t>:</w:t>
            </w:r>
            <w:r w:rsidRPr="00C901E0">
              <w:rPr>
                <w:color w:val="000000"/>
                <w:kern w:val="22"/>
                <w:sz w:val="17"/>
                <w:lang w:val="es-ES"/>
              </w:rPr>
              <w:t xml:space="preserve">  Contribución del país anfitrión</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(184,4)</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(213,5)</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(397,9)</w:t>
            </w: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u w:val="single"/>
                <w:lang w:val="es-ES"/>
              </w:rPr>
              <w:t>Menos</w:t>
            </w:r>
            <w:r w:rsidRPr="00C901E0">
              <w:rPr>
                <w:color w:val="000000"/>
                <w:kern w:val="22"/>
                <w:sz w:val="17"/>
                <w:lang w:val="es-ES"/>
              </w:rPr>
              <w:t>:  Empleo de fondos de reserva para reuniones extraordinarias</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(127,1)</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(94,9)</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(222,0)</w:t>
            </w: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u w:val="single"/>
                <w:lang w:val="es-ES"/>
              </w:rPr>
              <w:t>Menos</w:t>
            </w:r>
            <w:r w:rsidRPr="00C901E0">
              <w:rPr>
                <w:color w:val="000000"/>
                <w:kern w:val="22"/>
                <w:sz w:val="17"/>
                <w:lang w:val="es-ES"/>
              </w:rPr>
              <w:t>:  Empleo de fondos de reserva de años anteriores</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(129,5)</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(129,5)</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(259,0)</w:t>
            </w:r>
          </w:p>
        </w:tc>
      </w:tr>
      <w:tr w:rsidR="00C315B0" w:rsidRPr="00C901E0" w:rsidTr="002C39AF">
        <w:trPr>
          <w:trHeight w:val="300"/>
        </w:trPr>
        <w:tc>
          <w:tcPr>
            <w:tcW w:w="4693" w:type="dxa"/>
            <w:tcBorders>
              <w:top w:val="single" w:sz="4" w:space="0" w:color="auto"/>
              <w:left w:val="nil"/>
              <w:bottom w:val="single" w:sz="8" w:space="0" w:color="auto"/>
              <w:right w:val="nil"/>
            </w:tcBorders>
            <w:vAlign w:val="center"/>
          </w:tcPr>
          <w:p w:rsidR="00C315B0" w:rsidRPr="00C901E0" w:rsidRDefault="00C315B0" w:rsidP="002C39AF">
            <w:pPr>
              <w:suppressLineNumbers/>
              <w:suppressAutoHyphens/>
              <w:rPr>
                <w:lang w:val="es-ES"/>
              </w:rPr>
            </w:pPr>
            <w:r w:rsidRPr="00C901E0">
              <w:rPr>
                <w:b/>
                <w:color w:val="000000"/>
                <w:kern w:val="22"/>
                <w:sz w:val="17"/>
                <w:lang w:val="es-ES"/>
              </w:rPr>
              <w:t>Total neto (monto repartido entre las Partes)</w:t>
            </w:r>
          </w:p>
        </w:tc>
        <w:tc>
          <w:tcPr>
            <w:tcW w:w="1418" w:type="dxa"/>
            <w:tcBorders>
              <w:top w:val="single" w:sz="4" w:space="0" w:color="auto"/>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2 401,4</w:t>
            </w:r>
          </w:p>
        </w:tc>
        <w:tc>
          <w:tcPr>
            <w:tcW w:w="1369" w:type="dxa"/>
            <w:tcBorders>
              <w:top w:val="single" w:sz="4" w:space="0" w:color="auto"/>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2 546,4</w:t>
            </w:r>
          </w:p>
        </w:tc>
        <w:tc>
          <w:tcPr>
            <w:tcW w:w="1640" w:type="dxa"/>
            <w:tcBorders>
              <w:top w:val="single" w:sz="4" w:space="0" w:color="auto"/>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4 947,8</w:t>
            </w:r>
          </w:p>
        </w:tc>
      </w:tr>
      <w:tr w:rsidR="00C315B0" w:rsidRPr="00C901E0" w:rsidTr="002C39AF">
        <w:trPr>
          <w:trHeight w:val="300"/>
        </w:trPr>
        <w:tc>
          <w:tcPr>
            <w:tcW w:w="4693" w:type="dxa"/>
            <w:tcBorders>
              <w:top w:val="nil"/>
              <w:left w:val="nil"/>
              <w:bottom w:val="nil"/>
              <w:right w:val="nil"/>
            </w:tcBorders>
            <w:noWrap/>
            <w:vAlign w:val="bottom"/>
          </w:tcPr>
          <w:p w:rsidR="00C315B0" w:rsidRPr="00C901E0" w:rsidRDefault="00C315B0" w:rsidP="002C39AF">
            <w:pPr>
              <w:suppressLineNumbers/>
              <w:suppressAutoHyphens/>
              <w:rPr>
                <w:color w:val="000000"/>
                <w:kern w:val="22"/>
                <w:sz w:val="17"/>
                <w:lang w:val="es-ES"/>
              </w:rPr>
            </w:pPr>
          </w:p>
        </w:tc>
        <w:tc>
          <w:tcPr>
            <w:tcW w:w="1418" w:type="dxa"/>
            <w:tcBorders>
              <w:top w:val="nil"/>
              <w:left w:val="nil"/>
              <w:bottom w:val="nil"/>
              <w:right w:val="nil"/>
            </w:tcBorders>
            <w:noWrap/>
            <w:vAlign w:val="bottom"/>
          </w:tcPr>
          <w:p w:rsidR="00C315B0" w:rsidRPr="00C901E0" w:rsidRDefault="00C315B0" w:rsidP="002C39AF">
            <w:pPr>
              <w:suppressLineNumbers/>
              <w:suppressAutoHyphens/>
              <w:rPr>
                <w:color w:val="000000"/>
                <w:kern w:val="22"/>
                <w:sz w:val="17"/>
                <w:lang w:val="es-ES"/>
              </w:rPr>
            </w:pPr>
          </w:p>
        </w:tc>
        <w:tc>
          <w:tcPr>
            <w:tcW w:w="1369" w:type="dxa"/>
            <w:tcBorders>
              <w:top w:val="nil"/>
              <w:left w:val="nil"/>
              <w:bottom w:val="nil"/>
              <w:right w:val="nil"/>
            </w:tcBorders>
            <w:noWrap/>
            <w:vAlign w:val="bottom"/>
          </w:tcPr>
          <w:p w:rsidR="00C315B0" w:rsidRPr="00C901E0" w:rsidRDefault="00C315B0" w:rsidP="002C39AF">
            <w:pPr>
              <w:suppressLineNumbers/>
              <w:suppressAutoHyphens/>
              <w:rPr>
                <w:color w:val="000000"/>
                <w:kern w:val="22"/>
                <w:sz w:val="17"/>
                <w:lang w:val="es-ES"/>
              </w:rPr>
            </w:pPr>
          </w:p>
        </w:tc>
        <w:tc>
          <w:tcPr>
            <w:tcW w:w="1640" w:type="dxa"/>
            <w:tcBorders>
              <w:top w:val="nil"/>
              <w:left w:val="nil"/>
              <w:bottom w:val="nil"/>
              <w:right w:val="nil"/>
            </w:tcBorders>
            <w:noWrap/>
            <w:vAlign w:val="bottom"/>
          </w:tcPr>
          <w:p w:rsidR="00C315B0" w:rsidRPr="00C901E0" w:rsidRDefault="00C315B0" w:rsidP="002C39AF">
            <w:pPr>
              <w:suppressLineNumbers/>
              <w:suppressAutoHyphens/>
              <w:rPr>
                <w:color w:val="000000"/>
                <w:kern w:val="22"/>
                <w:sz w:val="17"/>
                <w:lang w:val="es-ES"/>
              </w:rPr>
            </w:pPr>
          </w:p>
        </w:tc>
      </w:tr>
      <w:tr w:rsidR="00C315B0" w:rsidRPr="00C901E0" w:rsidTr="002C39AF">
        <w:trPr>
          <w:trHeight w:val="288"/>
        </w:trPr>
        <w:tc>
          <w:tcPr>
            <w:tcW w:w="4693" w:type="dxa"/>
            <w:vMerge w:val="restart"/>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lang w:val="es-ES"/>
              </w:rPr>
            </w:pPr>
            <w:r w:rsidRPr="00C901E0">
              <w:rPr>
                <w:i/>
                <w:color w:val="000000"/>
                <w:kern w:val="22"/>
                <w:sz w:val="15"/>
                <w:lang w:val="es-ES"/>
              </w:rPr>
              <w:t> </w:t>
            </w:r>
          </w:p>
        </w:tc>
        <w:tc>
          <w:tcPr>
            <w:tcW w:w="1418" w:type="dxa"/>
            <w:vMerge w:val="restart"/>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jc w:val="center"/>
              <w:rPr>
                <w:lang w:val="es-ES"/>
              </w:rPr>
            </w:pPr>
            <w:r w:rsidRPr="00C901E0">
              <w:rPr>
                <w:i/>
                <w:color w:val="000000"/>
                <w:kern w:val="22"/>
                <w:sz w:val="15"/>
                <w:lang w:val="es-ES"/>
              </w:rPr>
              <w:t>2019</w:t>
            </w:r>
            <w:r w:rsidRPr="00C901E0">
              <w:rPr>
                <w:i/>
                <w:color w:val="000000"/>
                <w:kern w:val="22"/>
                <w:sz w:val="15"/>
                <w:lang w:val="es-ES"/>
              </w:rPr>
              <w:br/>
              <w:t>(En miles de dólares de los Estados Unidos)</w:t>
            </w:r>
          </w:p>
        </w:tc>
        <w:tc>
          <w:tcPr>
            <w:tcW w:w="1369" w:type="dxa"/>
            <w:vMerge w:val="restart"/>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jc w:val="center"/>
              <w:rPr>
                <w:lang w:val="es-ES"/>
              </w:rPr>
            </w:pPr>
            <w:r w:rsidRPr="00C901E0">
              <w:rPr>
                <w:i/>
                <w:color w:val="000000"/>
                <w:kern w:val="22"/>
                <w:sz w:val="15"/>
                <w:lang w:val="es-ES"/>
              </w:rPr>
              <w:t>2020</w:t>
            </w:r>
            <w:r w:rsidRPr="00C901E0">
              <w:rPr>
                <w:i/>
                <w:color w:val="000000"/>
                <w:kern w:val="22"/>
                <w:sz w:val="15"/>
                <w:lang w:val="es-ES"/>
              </w:rPr>
              <w:br/>
              <w:t>(En miles de dólares de los Estados Unidos)</w:t>
            </w:r>
          </w:p>
        </w:tc>
        <w:tc>
          <w:tcPr>
            <w:tcW w:w="1640" w:type="dxa"/>
            <w:vMerge w:val="restart"/>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jc w:val="center"/>
              <w:rPr>
                <w:lang w:val="es-ES"/>
              </w:rPr>
            </w:pPr>
            <w:r w:rsidRPr="00C901E0">
              <w:rPr>
                <w:i/>
                <w:color w:val="000000"/>
                <w:kern w:val="22"/>
                <w:sz w:val="15"/>
                <w:lang w:val="es-ES"/>
              </w:rPr>
              <w:t>Total</w:t>
            </w:r>
            <w:r w:rsidRPr="00C901E0">
              <w:rPr>
                <w:i/>
                <w:color w:val="000000"/>
                <w:kern w:val="22"/>
                <w:sz w:val="15"/>
                <w:lang w:val="es-ES"/>
              </w:rPr>
              <w:br/>
              <w:t>(En miles de dólares de los Estados Unidos)</w:t>
            </w:r>
          </w:p>
        </w:tc>
      </w:tr>
      <w:tr w:rsidR="00C315B0" w:rsidRPr="00C901E0" w:rsidTr="002C39AF">
        <w:trPr>
          <w:trHeight w:val="288"/>
        </w:trPr>
        <w:tc>
          <w:tcPr>
            <w:tcW w:w="4693"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418"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369"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640"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r>
      <w:tr w:rsidR="00C315B0" w:rsidRPr="00C901E0" w:rsidTr="002C39AF">
        <w:trPr>
          <w:trHeight w:val="300"/>
        </w:trPr>
        <w:tc>
          <w:tcPr>
            <w:tcW w:w="4693"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418"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369"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c>
          <w:tcPr>
            <w:tcW w:w="1640" w:type="dxa"/>
            <w:vMerge/>
            <w:tcBorders>
              <w:top w:val="single" w:sz="8" w:space="0" w:color="auto"/>
              <w:left w:val="nil"/>
              <w:bottom w:val="single" w:sz="12" w:space="0" w:color="000000"/>
              <w:right w:val="nil"/>
            </w:tcBorders>
            <w:vAlign w:val="center"/>
          </w:tcPr>
          <w:p w:rsidR="00C315B0" w:rsidRPr="00C901E0" w:rsidRDefault="00C315B0" w:rsidP="002C39AF">
            <w:pPr>
              <w:suppressLineNumbers/>
              <w:suppressAutoHyphens/>
              <w:rPr>
                <w:i/>
                <w:color w:val="000000"/>
                <w:kern w:val="22"/>
                <w:sz w:val="15"/>
                <w:lang w:val="es-ES"/>
              </w:rPr>
            </w:pPr>
          </w:p>
        </w:tc>
      </w:tr>
      <w:tr w:rsidR="00C315B0" w:rsidRPr="00C901E0" w:rsidTr="002C39AF">
        <w:trPr>
          <w:trHeight w:val="300"/>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b/>
                <w:kern w:val="22"/>
                <w:sz w:val="17"/>
                <w:lang w:val="es-ES"/>
              </w:rPr>
              <w:t>I. Programas:</w:t>
            </w:r>
          </w:p>
        </w:tc>
        <w:tc>
          <w:tcPr>
            <w:tcW w:w="1418" w:type="dxa"/>
            <w:tcBorders>
              <w:top w:val="nil"/>
              <w:left w:val="nil"/>
              <w:bottom w:val="nil"/>
              <w:right w:val="nil"/>
            </w:tcBorders>
            <w:vAlign w:val="center"/>
          </w:tcPr>
          <w:p w:rsidR="00C315B0" w:rsidRPr="00C901E0" w:rsidRDefault="00C315B0" w:rsidP="002C39AF">
            <w:pPr>
              <w:suppressLineNumbers/>
              <w:suppressAutoHyphens/>
              <w:rPr>
                <w:color w:val="000000"/>
                <w:kern w:val="22"/>
                <w:sz w:val="17"/>
                <w:lang w:val="es-ES"/>
              </w:rPr>
            </w:pP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lang w:val="es-ES"/>
              </w:rPr>
              <w:t xml:space="preserve">  Oficina de la Secretaria Ejecutiva</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3 534,0</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3 444,8</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6 978,8</w:t>
            </w: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lang w:val="es-ES"/>
              </w:rPr>
              <w:t xml:space="preserve">  Protocolos de APB y SB</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2 322,6</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2 375,9</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4 698,5</w:t>
            </w: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lang w:val="es-ES"/>
              </w:rPr>
              <w:t xml:space="preserve">  División de Ciencia, Sociedad y Futuros Sostenibles</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3 912,3</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3 909,0</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7 821,3</w:t>
            </w:r>
          </w:p>
        </w:tc>
      </w:tr>
      <w:tr w:rsidR="00C315B0" w:rsidRPr="00C901E0" w:rsidTr="002C39AF">
        <w:trPr>
          <w:trHeight w:val="300"/>
        </w:trPr>
        <w:tc>
          <w:tcPr>
            <w:tcW w:w="4693" w:type="dxa"/>
            <w:tcBorders>
              <w:top w:val="nil"/>
              <w:left w:val="nil"/>
              <w:bottom w:val="single" w:sz="8" w:space="0" w:color="auto"/>
              <w:right w:val="nil"/>
            </w:tcBorders>
            <w:vAlign w:val="center"/>
          </w:tcPr>
          <w:p w:rsidR="00C315B0" w:rsidRPr="00C901E0" w:rsidRDefault="00C315B0" w:rsidP="002C39AF">
            <w:pPr>
              <w:suppressLineNumbers/>
              <w:suppressAutoHyphens/>
              <w:rPr>
                <w:lang w:val="es-ES"/>
              </w:rPr>
            </w:pPr>
            <w:r w:rsidRPr="00C901E0">
              <w:rPr>
                <w:color w:val="000000"/>
                <w:kern w:val="22"/>
                <w:sz w:val="17"/>
                <w:lang w:val="es-ES"/>
              </w:rPr>
              <w:t xml:space="preserve">  División de Apoyo a la Aplicación</w:t>
            </w:r>
          </w:p>
        </w:tc>
        <w:tc>
          <w:tcPr>
            <w:tcW w:w="1418"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3 105,0</w:t>
            </w:r>
          </w:p>
        </w:tc>
        <w:tc>
          <w:tcPr>
            <w:tcW w:w="1369"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3 708,2</w:t>
            </w:r>
          </w:p>
        </w:tc>
        <w:tc>
          <w:tcPr>
            <w:tcW w:w="1640"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6 813,2</w:t>
            </w:r>
          </w:p>
        </w:tc>
      </w:tr>
      <w:tr w:rsidR="00C315B0" w:rsidRPr="00C901E0" w:rsidTr="002C39AF">
        <w:trPr>
          <w:trHeight w:val="300"/>
        </w:trPr>
        <w:tc>
          <w:tcPr>
            <w:tcW w:w="4693" w:type="dxa"/>
            <w:tcBorders>
              <w:top w:val="nil"/>
              <w:left w:val="nil"/>
              <w:bottom w:val="single" w:sz="8" w:space="0" w:color="auto"/>
              <w:right w:val="nil"/>
            </w:tcBorders>
            <w:vAlign w:val="center"/>
          </w:tcPr>
          <w:p w:rsidR="00C315B0" w:rsidRPr="00C901E0" w:rsidRDefault="00C315B0" w:rsidP="002C39AF">
            <w:pPr>
              <w:suppressLineNumbers/>
              <w:suppressAutoHyphens/>
              <w:rPr>
                <w:lang w:val="es-ES"/>
              </w:rPr>
            </w:pPr>
            <w:r w:rsidRPr="00C901E0">
              <w:rPr>
                <w:b/>
                <w:color w:val="000000"/>
                <w:kern w:val="22"/>
                <w:sz w:val="17"/>
                <w:lang w:val="es-ES"/>
              </w:rPr>
              <w:t>II. Administración, Finanzas y Servicios de Conferencias</w:t>
            </w:r>
          </w:p>
        </w:tc>
        <w:tc>
          <w:tcPr>
            <w:tcW w:w="1418"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3 845,0</w:t>
            </w:r>
          </w:p>
        </w:tc>
        <w:tc>
          <w:tcPr>
            <w:tcW w:w="1369"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4 052,6</w:t>
            </w:r>
          </w:p>
        </w:tc>
        <w:tc>
          <w:tcPr>
            <w:tcW w:w="1640"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7 897,6</w:t>
            </w:r>
          </w:p>
        </w:tc>
      </w:tr>
      <w:tr w:rsidR="00C315B0" w:rsidRPr="00C901E0" w:rsidTr="002C39AF">
        <w:trPr>
          <w:trHeight w:val="300"/>
        </w:trPr>
        <w:tc>
          <w:tcPr>
            <w:tcW w:w="4693" w:type="dxa"/>
            <w:tcBorders>
              <w:top w:val="nil"/>
              <w:left w:val="nil"/>
              <w:bottom w:val="single" w:sz="12" w:space="0" w:color="auto"/>
              <w:right w:val="nil"/>
            </w:tcBorders>
            <w:vAlign w:val="center"/>
          </w:tcPr>
          <w:p w:rsidR="00C315B0" w:rsidRPr="00C901E0" w:rsidRDefault="00C315B0" w:rsidP="002C39AF">
            <w:pPr>
              <w:suppressLineNumbers/>
              <w:suppressAutoHyphens/>
              <w:rPr>
                <w:lang w:val="es-ES"/>
              </w:rPr>
            </w:pPr>
            <w:r w:rsidRPr="00C901E0">
              <w:rPr>
                <w:b/>
                <w:color w:val="000000"/>
                <w:kern w:val="22"/>
                <w:sz w:val="17"/>
                <w:lang w:val="es-ES"/>
              </w:rPr>
              <w:t>Subtotal</w:t>
            </w:r>
          </w:p>
        </w:tc>
        <w:tc>
          <w:tcPr>
            <w:tcW w:w="1418" w:type="dxa"/>
            <w:tcBorders>
              <w:top w:val="nil"/>
              <w:left w:val="nil"/>
              <w:bottom w:val="single" w:sz="12" w:space="0" w:color="auto"/>
              <w:right w:val="nil"/>
            </w:tcBorders>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16 718,9</w:t>
            </w:r>
          </w:p>
        </w:tc>
        <w:tc>
          <w:tcPr>
            <w:tcW w:w="1369" w:type="dxa"/>
            <w:tcBorders>
              <w:top w:val="nil"/>
              <w:left w:val="nil"/>
              <w:bottom w:val="single" w:sz="12" w:space="0" w:color="auto"/>
              <w:right w:val="nil"/>
            </w:tcBorders>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17 490,5</w:t>
            </w:r>
          </w:p>
        </w:tc>
        <w:tc>
          <w:tcPr>
            <w:tcW w:w="1640" w:type="dxa"/>
            <w:tcBorders>
              <w:top w:val="nil"/>
              <w:left w:val="nil"/>
              <w:bottom w:val="single" w:sz="12" w:space="0" w:color="auto"/>
              <w:right w:val="nil"/>
            </w:tcBorders>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34 209,4</w:t>
            </w:r>
          </w:p>
        </w:tc>
      </w:tr>
      <w:tr w:rsidR="00C315B0" w:rsidRPr="00C901E0" w:rsidTr="002C39AF">
        <w:trPr>
          <w:trHeight w:val="300"/>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lang w:val="es-ES"/>
              </w:rPr>
              <w:t>Gastos de apoyo a los programas</w:t>
            </w:r>
          </w:p>
        </w:tc>
        <w:tc>
          <w:tcPr>
            <w:tcW w:w="1418" w:type="dxa"/>
            <w:tcBorders>
              <w:top w:val="nil"/>
              <w:left w:val="nil"/>
              <w:bottom w:val="nil"/>
              <w:right w:val="nil"/>
            </w:tcBorders>
            <w:noWrap/>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2 173,4</w:t>
            </w:r>
          </w:p>
        </w:tc>
        <w:tc>
          <w:tcPr>
            <w:tcW w:w="1369" w:type="dxa"/>
            <w:tcBorders>
              <w:top w:val="nil"/>
              <w:left w:val="nil"/>
              <w:bottom w:val="nil"/>
              <w:right w:val="nil"/>
            </w:tcBorders>
            <w:noWrap/>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2 273,9</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4 447,2</w:t>
            </w:r>
          </w:p>
        </w:tc>
      </w:tr>
      <w:tr w:rsidR="00C315B0" w:rsidRPr="00C901E0" w:rsidTr="002C39AF">
        <w:trPr>
          <w:trHeight w:val="300"/>
        </w:trPr>
        <w:tc>
          <w:tcPr>
            <w:tcW w:w="4693" w:type="dxa"/>
            <w:tcBorders>
              <w:top w:val="nil"/>
              <w:left w:val="nil"/>
              <w:bottom w:val="single" w:sz="8" w:space="0" w:color="auto"/>
              <w:right w:val="nil"/>
            </w:tcBorders>
            <w:vAlign w:val="center"/>
          </w:tcPr>
          <w:p w:rsidR="00C315B0" w:rsidRPr="00C901E0" w:rsidRDefault="00C315B0" w:rsidP="002C39AF">
            <w:pPr>
              <w:suppressLineNumbers/>
              <w:suppressAutoHyphens/>
              <w:rPr>
                <w:lang w:val="es-ES"/>
              </w:rPr>
            </w:pPr>
            <w:r w:rsidRPr="00C901E0">
              <w:rPr>
                <w:b/>
                <w:color w:val="000000"/>
                <w:kern w:val="22"/>
                <w:sz w:val="17"/>
                <w:lang w:val="es-ES"/>
              </w:rPr>
              <w:t>III. Reserva operacional</w:t>
            </w:r>
          </w:p>
        </w:tc>
        <w:tc>
          <w:tcPr>
            <w:tcW w:w="1418"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56,6</w:t>
            </w:r>
          </w:p>
        </w:tc>
        <w:tc>
          <w:tcPr>
            <w:tcW w:w="1369"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130,8</w:t>
            </w:r>
          </w:p>
        </w:tc>
        <w:tc>
          <w:tcPr>
            <w:tcW w:w="1640"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187,5</w:t>
            </w:r>
          </w:p>
        </w:tc>
      </w:tr>
      <w:tr w:rsidR="00C315B0" w:rsidRPr="00C901E0" w:rsidTr="002C39AF">
        <w:trPr>
          <w:trHeight w:val="300"/>
        </w:trPr>
        <w:tc>
          <w:tcPr>
            <w:tcW w:w="4693" w:type="dxa"/>
            <w:tcBorders>
              <w:top w:val="nil"/>
              <w:left w:val="nil"/>
              <w:bottom w:val="single" w:sz="8" w:space="0" w:color="auto"/>
              <w:right w:val="nil"/>
            </w:tcBorders>
            <w:vAlign w:val="center"/>
          </w:tcPr>
          <w:p w:rsidR="00C315B0" w:rsidRPr="00C901E0" w:rsidRDefault="00C315B0" w:rsidP="002C39AF">
            <w:pPr>
              <w:suppressLineNumbers/>
              <w:suppressAutoHyphens/>
              <w:rPr>
                <w:lang w:val="es-ES"/>
              </w:rPr>
            </w:pPr>
            <w:r w:rsidRPr="00C901E0">
              <w:rPr>
                <w:b/>
                <w:color w:val="000000"/>
                <w:kern w:val="22"/>
                <w:sz w:val="17"/>
                <w:lang w:val="es-ES"/>
              </w:rPr>
              <w:t>Total</w:t>
            </w:r>
          </w:p>
        </w:tc>
        <w:tc>
          <w:tcPr>
            <w:tcW w:w="1418"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18 948,9</w:t>
            </w:r>
          </w:p>
        </w:tc>
        <w:tc>
          <w:tcPr>
            <w:tcW w:w="1369" w:type="dxa"/>
            <w:tcBorders>
              <w:top w:val="nil"/>
              <w:left w:val="nil"/>
              <w:bottom w:val="single" w:sz="8" w:space="0" w:color="auto"/>
              <w:right w:val="nil"/>
            </w:tcBorders>
            <w:noWrap/>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19 895,2</w:t>
            </w:r>
          </w:p>
        </w:tc>
        <w:tc>
          <w:tcPr>
            <w:tcW w:w="1640" w:type="dxa"/>
            <w:tcBorders>
              <w:top w:val="nil"/>
              <w:left w:val="nil"/>
              <w:bottom w:val="single" w:sz="8" w:space="0" w:color="auto"/>
              <w:right w:val="nil"/>
            </w:tcBorders>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38 844,1</w:t>
            </w:r>
          </w:p>
        </w:tc>
      </w:tr>
      <w:tr w:rsidR="00C315B0" w:rsidRPr="00C901E0" w:rsidTr="002C39AF">
        <w:trPr>
          <w:trHeight w:val="288"/>
        </w:trPr>
        <w:tc>
          <w:tcPr>
            <w:tcW w:w="4693" w:type="dxa"/>
            <w:tcBorders>
              <w:top w:val="nil"/>
              <w:left w:val="nil"/>
              <w:bottom w:val="single" w:sz="4" w:space="0" w:color="auto"/>
              <w:right w:val="nil"/>
            </w:tcBorders>
            <w:vAlign w:val="center"/>
          </w:tcPr>
          <w:p w:rsidR="00C315B0" w:rsidRPr="00C901E0" w:rsidRDefault="00C315B0" w:rsidP="002C39AF">
            <w:pPr>
              <w:suppressLineNumbers/>
              <w:suppressAutoHyphens/>
              <w:rPr>
                <w:lang w:val="es-ES"/>
              </w:rPr>
            </w:pPr>
            <w:r w:rsidRPr="00C901E0">
              <w:rPr>
                <w:kern w:val="22"/>
                <w:sz w:val="17"/>
                <w:lang w:val="es-ES"/>
              </w:rPr>
              <w:t>Porcentaje del presupuesto integrado que corresponde al Protocolo de Cartagena (15%)</w:t>
            </w:r>
          </w:p>
        </w:tc>
        <w:tc>
          <w:tcPr>
            <w:tcW w:w="1418" w:type="dxa"/>
            <w:tcBorders>
              <w:top w:val="nil"/>
              <w:left w:val="nil"/>
              <w:bottom w:val="single" w:sz="4" w:space="0" w:color="auto"/>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2 842,4</w:t>
            </w:r>
          </w:p>
        </w:tc>
        <w:tc>
          <w:tcPr>
            <w:tcW w:w="1369" w:type="dxa"/>
            <w:tcBorders>
              <w:top w:val="nil"/>
              <w:left w:val="nil"/>
              <w:bottom w:val="single" w:sz="4" w:space="0" w:color="auto"/>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2 984,3</w:t>
            </w:r>
          </w:p>
        </w:tc>
        <w:tc>
          <w:tcPr>
            <w:tcW w:w="1640" w:type="dxa"/>
            <w:tcBorders>
              <w:top w:val="nil"/>
              <w:left w:val="nil"/>
              <w:bottom w:val="single" w:sz="4" w:space="0" w:color="auto"/>
              <w:right w:val="nil"/>
            </w:tcBorders>
            <w:noWrap/>
            <w:vAlign w:val="center"/>
          </w:tcPr>
          <w:p w:rsidR="00C315B0" w:rsidRPr="00C901E0" w:rsidRDefault="00C315B0" w:rsidP="002C39AF">
            <w:pPr>
              <w:suppressLineNumbers/>
              <w:suppressAutoHyphens/>
              <w:jc w:val="right"/>
              <w:rPr>
                <w:b/>
                <w:color w:val="000000"/>
                <w:kern w:val="22"/>
                <w:sz w:val="17"/>
                <w:lang w:val="es-ES"/>
              </w:rPr>
            </w:pPr>
            <w:r w:rsidRPr="00C901E0">
              <w:rPr>
                <w:b/>
                <w:color w:val="000000"/>
                <w:kern w:val="22"/>
                <w:sz w:val="17"/>
                <w:lang w:val="es-ES"/>
              </w:rPr>
              <w:t>5 826,7</w:t>
            </w: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u w:val="single"/>
                <w:lang w:val="es-ES"/>
              </w:rPr>
              <w:t>Menos</w:t>
            </w:r>
            <w:r w:rsidRPr="00C901E0">
              <w:rPr>
                <w:color w:val="000000"/>
                <w:kern w:val="22"/>
                <w:sz w:val="17"/>
                <w:lang w:val="es-ES"/>
              </w:rPr>
              <w:t>:  Contribución del país anfitrión</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 xml:space="preserve"> (184,4)</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 xml:space="preserve"> (213,5)</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 xml:space="preserve">  (397,9)</w:t>
            </w: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u w:val="single"/>
                <w:lang w:val="es-ES"/>
              </w:rPr>
              <w:t>Menos</w:t>
            </w:r>
            <w:r w:rsidRPr="00C901E0">
              <w:rPr>
                <w:color w:val="000000"/>
                <w:kern w:val="22"/>
                <w:sz w:val="17"/>
                <w:lang w:val="es-ES"/>
              </w:rPr>
              <w:t>:  Empleo de fondos de reserva para reuniones extraordinarias</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 xml:space="preserve"> (127,1)</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 xml:space="preserve">   (94,9)</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 xml:space="preserve">  (222,0)</w:t>
            </w:r>
          </w:p>
        </w:tc>
      </w:tr>
      <w:tr w:rsidR="00C315B0" w:rsidRPr="00C901E0" w:rsidTr="002C39AF">
        <w:trPr>
          <w:trHeight w:val="288"/>
        </w:trPr>
        <w:tc>
          <w:tcPr>
            <w:tcW w:w="4693" w:type="dxa"/>
            <w:tcBorders>
              <w:top w:val="nil"/>
              <w:left w:val="nil"/>
              <w:bottom w:val="nil"/>
              <w:right w:val="nil"/>
            </w:tcBorders>
            <w:vAlign w:val="center"/>
          </w:tcPr>
          <w:p w:rsidR="00C315B0" w:rsidRPr="00C901E0" w:rsidRDefault="00C315B0" w:rsidP="002C39AF">
            <w:pPr>
              <w:suppressLineNumbers/>
              <w:suppressAutoHyphens/>
              <w:rPr>
                <w:lang w:val="es-ES"/>
              </w:rPr>
            </w:pPr>
            <w:r w:rsidRPr="00C901E0">
              <w:rPr>
                <w:color w:val="000000"/>
                <w:kern w:val="22"/>
                <w:sz w:val="17"/>
                <w:u w:val="single"/>
                <w:lang w:val="es-ES"/>
              </w:rPr>
              <w:t>Menos</w:t>
            </w:r>
            <w:r w:rsidRPr="00C901E0">
              <w:rPr>
                <w:color w:val="000000"/>
                <w:kern w:val="22"/>
                <w:sz w:val="17"/>
                <w:lang w:val="es-ES"/>
              </w:rPr>
              <w:t>:  Empleo de fondos de reserva de años anteriores</w:t>
            </w:r>
          </w:p>
        </w:tc>
        <w:tc>
          <w:tcPr>
            <w:tcW w:w="1418"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 xml:space="preserve"> (129,5)</w:t>
            </w:r>
          </w:p>
        </w:tc>
        <w:tc>
          <w:tcPr>
            <w:tcW w:w="1369"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(129,5)</w:t>
            </w:r>
          </w:p>
        </w:tc>
        <w:tc>
          <w:tcPr>
            <w:tcW w:w="1640" w:type="dxa"/>
            <w:tcBorders>
              <w:top w:val="nil"/>
              <w:left w:val="nil"/>
              <w:bottom w:val="nil"/>
              <w:right w:val="nil"/>
            </w:tcBorders>
            <w:vAlign w:val="center"/>
          </w:tcPr>
          <w:p w:rsidR="00C315B0" w:rsidRPr="00C901E0" w:rsidRDefault="00C315B0" w:rsidP="002C39AF">
            <w:pPr>
              <w:suppressLineNumbers/>
              <w:suppressAutoHyphens/>
              <w:jc w:val="right"/>
              <w:rPr>
                <w:kern w:val="22"/>
                <w:sz w:val="17"/>
                <w:lang w:val="es-ES"/>
              </w:rPr>
            </w:pPr>
            <w:r w:rsidRPr="00C901E0">
              <w:rPr>
                <w:kern w:val="22"/>
                <w:sz w:val="17"/>
                <w:lang w:val="es-ES"/>
              </w:rPr>
              <w:t>(259,0)</w:t>
            </w:r>
          </w:p>
        </w:tc>
      </w:tr>
      <w:tr w:rsidR="00C315B0" w:rsidRPr="00C901E0" w:rsidTr="002C39AF">
        <w:trPr>
          <w:trHeight w:val="300"/>
        </w:trPr>
        <w:tc>
          <w:tcPr>
            <w:tcW w:w="4693" w:type="dxa"/>
            <w:tcBorders>
              <w:top w:val="single" w:sz="4" w:space="0" w:color="auto"/>
              <w:left w:val="nil"/>
              <w:bottom w:val="single" w:sz="8" w:space="0" w:color="auto"/>
              <w:right w:val="nil"/>
            </w:tcBorders>
            <w:vAlign w:val="center"/>
          </w:tcPr>
          <w:p w:rsidR="00C315B0" w:rsidRPr="00C901E0" w:rsidRDefault="00C315B0" w:rsidP="002C39AF">
            <w:pPr>
              <w:suppressLineNumbers/>
              <w:suppressAutoHyphens/>
              <w:rPr>
                <w:lang w:val="es-ES"/>
              </w:rPr>
            </w:pPr>
            <w:r w:rsidRPr="00C901E0">
              <w:rPr>
                <w:color w:val="000000"/>
                <w:kern w:val="22"/>
                <w:sz w:val="17"/>
                <w:lang w:val="es-ES"/>
              </w:rPr>
              <w:t>Total neto (monto dividido entre las Partes)</w:t>
            </w:r>
          </w:p>
        </w:tc>
        <w:tc>
          <w:tcPr>
            <w:tcW w:w="1418" w:type="dxa"/>
            <w:tcBorders>
              <w:top w:val="single" w:sz="4" w:space="0" w:color="auto"/>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2 401,4</w:t>
            </w:r>
          </w:p>
        </w:tc>
        <w:tc>
          <w:tcPr>
            <w:tcW w:w="1369" w:type="dxa"/>
            <w:tcBorders>
              <w:top w:val="single" w:sz="4" w:space="0" w:color="auto"/>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2 546,4</w:t>
            </w:r>
          </w:p>
        </w:tc>
        <w:tc>
          <w:tcPr>
            <w:tcW w:w="1640" w:type="dxa"/>
            <w:tcBorders>
              <w:top w:val="single" w:sz="4" w:space="0" w:color="auto"/>
              <w:left w:val="nil"/>
              <w:bottom w:val="single" w:sz="8" w:space="0" w:color="auto"/>
              <w:right w:val="nil"/>
            </w:tcBorders>
            <w:vAlign w:val="center"/>
          </w:tcPr>
          <w:p w:rsidR="00C315B0" w:rsidRPr="00C901E0" w:rsidRDefault="00C315B0" w:rsidP="002C39AF">
            <w:pPr>
              <w:suppressLineNumbers/>
              <w:suppressAutoHyphens/>
              <w:jc w:val="right"/>
              <w:rPr>
                <w:color w:val="000000"/>
                <w:kern w:val="22"/>
                <w:sz w:val="17"/>
                <w:lang w:val="es-ES"/>
              </w:rPr>
            </w:pPr>
            <w:r w:rsidRPr="00C901E0">
              <w:rPr>
                <w:color w:val="000000"/>
                <w:kern w:val="22"/>
                <w:sz w:val="17"/>
                <w:lang w:val="es-ES"/>
              </w:rPr>
              <w:t>4 947,8</w:t>
            </w:r>
          </w:p>
        </w:tc>
      </w:tr>
    </w:tbl>
    <w:p w:rsidR="00C315B0" w:rsidRPr="00C901E0" w:rsidRDefault="00C315B0" w:rsidP="00C315B0">
      <w:pPr>
        <w:suppressLineNumbers/>
        <w:suppressAutoHyphens/>
        <w:rPr>
          <w:kern w:val="22"/>
          <w:lang w:val="es-ES"/>
        </w:rPr>
      </w:pPr>
    </w:p>
    <w:p w:rsidR="00C315B0" w:rsidRPr="00C901E0" w:rsidRDefault="00C315B0" w:rsidP="00C315B0">
      <w:pPr>
        <w:suppressLineNumbers/>
        <w:suppressAutoHyphens/>
        <w:rPr>
          <w:kern w:val="22"/>
          <w:lang w:val="es-ES"/>
        </w:rPr>
      </w:pPr>
    </w:p>
    <w:p w:rsidR="00253427" w:rsidRPr="00C901E0" w:rsidRDefault="00B467C0" w:rsidP="00B467C0">
      <w:pPr>
        <w:keepNext/>
        <w:suppressLineNumbers/>
        <w:suppressAutoHyphens/>
        <w:spacing w:before="120" w:after="120"/>
        <w:ind w:left="1276" w:hanging="1276"/>
        <w:rPr>
          <w:rFonts w:eastAsia="Malgun Gothic"/>
          <w:b/>
          <w:bCs/>
          <w:iCs/>
          <w:snapToGrid w:val="0"/>
          <w:kern w:val="22"/>
          <w:sz w:val="22"/>
          <w:szCs w:val="22"/>
          <w:lang w:val="es-ES"/>
        </w:rPr>
      </w:pPr>
      <w:r w:rsidRPr="00C901E0">
        <w:rPr>
          <w:rFonts w:eastAsia="Malgun Gothic"/>
          <w:b/>
          <w:bCs/>
          <w:iCs/>
          <w:snapToGrid w:val="0"/>
          <w:kern w:val="22"/>
          <w:sz w:val="22"/>
          <w:szCs w:val="22"/>
          <w:lang w:val="es-ES"/>
        </w:rPr>
        <w:lastRenderedPageBreak/>
        <w:t>Cuadro 1b.</w:t>
      </w:r>
      <w:r w:rsidRPr="00C901E0">
        <w:rPr>
          <w:rFonts w:eastAsia="Malgun Gothic"/>
          <w:b/>
          <w:bCs/>
          <w:iCs/>
          <w:snapToGrid w:val="0"/>
          <w:kern w:val="22"/>
          <w:sz w:val="22"/>
          <w:szCs w:val="22"/>
          <w:lang w:val="es-ES"/>
        </w:rPr>
        <w:tab/>
        <w:t>Presupuesto bienal integrado para los Fondos Fiduciarios del Convenio sobre la Diversidad Biológica y sus Protocolos, 2019-2020 (por objeto de gastos)</w:t>
      </w:r>
    </w:p>
    <w:p w:rsidR="00103CE7" w:rsidRPr="00C901E0" w:rsidRDefault="00103CE7" w:rsidP="00103CE7">
      <w:pPr>
        <w:keepNext/>
        <w:suppressLineNumbers/>
        <w:suppressAutoHyphens/>
        <w:spacing w:before="120" w:after="120"/>
        <w:ind w:left="990" w:hanging="990"/>
        <w:rPr>
          <w:rFonts w:ascii="Malgun Gothic" w:eastAsia="Malgun Gothic"/>
          <w:b/>
          <w:i/>
          <w:kern w:val="22"/>
          <w:lang w:val="es-ES"/>
        </w:rPr>
      </w:pPr>
    </w:p>
    <w:tbl>
      <w:tblPr>
        <w:tblW w:w="9934" w:type="dxa"/>
        <w:tblInd w:w="93" w:type="dxa"/>
        <w:tblLayout w:type="fixed"/>
        <w:tblLook w:val="00A0"/>
      </w:tblPr>
      <w:tblGrid>
        <w:gridCol w:w="582"/>
        <w:gridCol w:w="142"/>
        <w:gridCol w:w="2554"/>
        <w:gridCol w:w="2830"/>
        <w:gridCol w:w="1159"/>
        <w:gridCol w:w="1159"/>
        <w:gridCol w:w="1159"/>
        <w:gridCol w:w="349"/>
      </w:tblGrid>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5526" w:type="dxa"/>
            <w:gridSpan w:val="3"/>
            <w:vMerge w:val="restart"/>
            <w:tcBorders>
              <w:top w:val="single" w:sz="8" w:space="0" w:color="auto"/>
              <w:left w:val="nil"/>
              <w:bottom w:val="single" w:sz="8" w:space="0" w:color="000000"/>
              <w:right w:val="nil"/>
            </w:tcBorders>
            <w:vAlign w:val="center"/>
          </w:tcPr>
          <w:p w:rsidR="00103CE7" w:rsidRPr="00C901E0" w:rsidRDefault="00103CE7" w:rsidP="002C39AF">
            <w:pPr>
              <w:suppressLineNumbers/>
              <w:suppressAutoHyphens/>
              <w:jc w:val="center"/>
              <w:rPr>
                <w:lang w:val="es-ES"/>
              </w:rPr>
            </w:pPr>
            <w:r w:rsidRPr="00C901E0">
              <w:rPr>
                <w:b/>
                <w:i/>
                <w:color w:val="000000"/>
                <w:kern w:val="22"/>
                <w:sz w:val="17"/>
                <w:lang w:val="es-ES"/>
              </w:rPr>
              <w:t>Objeto de gastos</w:t>
            </w:r>
          </w:p>
        </w:tc>
        <w:tc>
          <w:tcPr>
            <w:tcW w:w="1159" w:type="dxa"/>
            <w:tcBorders>
              <w:top w:val="single" w:sz="8" w:space="0" w:color="auto"/>
              <w:left w:val="nil"/>
              <w:bottom w:val="nil"/>
              <w:right w:val="nil"/>
            </w:tcBorders>
            <w:vAlign w:val="center"/>
          </w:tcPr>
          <w:p w:rsidR="00103CE7" w:rsidRPr="00C901E0" w:rsidRDefault="00103CE7" w:rsidP="002C39AF">
            <w:pPr>
              <w:suppressLineNumbers/>
              <w:suppressAutoHyphens/>
              <w:jc w:val="center"/>
              <w:rPr>
                <w:i/>
                <w:color w:val="000000"/>
                <w:kern w:val="22"/>
                <w:sz w:val="17"/>
                <w:lang w:val="es-ES"/>
              </w:rPr>
            </w:pPr>
            <w:r w:rsidRPr="00C901E0">
              <w:rPr>
                <w:i/>
                <w:color w:val="000000"/>
                <w:kern w:val="22"/>
                <w:sz w:val="17"/>
                <w:lang w:val="es-ES"/>
              </w:rPr>
              <w:t>2019</w:t>
            </w:r>
          </w:p>
        </w:tc>
        <w:tc>
          <w:tcPr>
            <w:tcW w:w="1159" w:type="dxa"/>
            <w:tcBorders>
              <w:top w:val="single" w:sz="8" w:space="0" w:color="auto"/>
              <w:left w:val="nil"/>
              <w:bottom w:val="nil"/>
              <w:right w:val="nil"/>
            </w:tcBorders>
            <w:vAlign w:val="center"/>
          </w:tcPr>
          <w:p w:rsidR="00103CE7" w:rsidRPr="00C901E0" w:rsidRDefault="00103CE7" w:rsidP="002C39AF">
            <w:pPr>
              <w:suppressLineNumbers/>
              <w:suppressAutoHyphens/>
              <w:jc w:val="center"/>
              <w:rPr>
                <w:i/>
                <w:color w:val="000000"/>
                <w:kern w:val="22"/>
                <w:sz w:val="17"/>
                <w:lang w:val="es-ES"/>
              </w:rPr>
            </w:pPr>
            <w:r w:rsidRPr="00C901E0">
              <w:rPr>
                <w:i/>
                <w:color w:val="000000"/>
                <w:kern w:val="22"/>
                <w:sz w:val="17"/>
                <w:lang w:val="es-ES"/>
              </w:rPr>
              <w:t>2020</w:t>
            </w:r>
          </w:p>
        </w:tc>
        <w:tc>
          <w:tcPr>
            <w:tcW w:w="1159" w:type="dxa"/>
            <w:tcBorders>
              <w:top w:val="single" w:sz="8" w:space="0" w:color="auto"/>
              <w:left w:val="nil"/>
              <w:bottom w:val="nil"/>
              <w:right w:val="nil"/>
            </w:tcBorders>
            <w:vAlign w:val="center"/>
          </w:tcPr>
          <w:p w:rsidR="00103CE7" w:rsidRPr="00C901E0" w:rsidRDefault="00103CE7" w:rsidP="002C39AF">
            <w:pPr>
              <w:suppressLineNumbers/>
              <w:suppressAutoHyphens/>
              <w:jc w:val="center"/>
              <w:rPr>
                <w:lang w:val="es-ES"/>
              </w:rPr>
            </w:pPr>
            <w:r w:rsidRPr="00C901E0">
              <w:rPr>
                <w:i/>
                <w:color w:val="000000"/>
                <w:kern w:val="22"/>
                <w:sz w:val="17"/>
                <w:lang w:val="es-ES"/>
              </w:rPr>
              <w:t>Total</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5526" w:type="dxa"/>
            <w:gridSpan w:val="3"/>
            <w:vMerge/>
            <w:tcBorders>
              <w:top w:val="nil"/>
              <w:left w:val="nil"/>
              <w:bottom w:val="nil"/>
              <w:right w:val="nil"/>
            </w:tcBorders>
            <w:vAlign w:val="center"/>
          </w:tcPr>
          <w:p w:rsidR="00103CE7" w:rsidRPr="00C901E0" w:rsidRDefault="00103CE7" w:rsidP="002C39AF">
            <w:pPr>
              <w:suppressLineNumbers/>
              <w:suppressAutoHyphens/>
              <w:rPr>
                <w:b/>
                <w:i/>
                <w:color w:val="000000"/>
                <w:kern w:val="22"/>
                <w:sz w:val="17"/>
                <w:lang w:val="es-ES"/>
              </w:rPr>
            </w:pPr>
          </w:p>
        </w:tc>
        <w:tc>
          <w:tcPr>
            <w:tcW w:w="3477" w:type="dxa"/>
            <w:gridSpan w:val="3"/>
            <w:tcBorders>
              <w:top w:val="nil"/>
              <w:left w:val="nil"/>
              <w:bottom w:val="nil"/>
              <w:right w:val="nil"/>
            </w:tcBorders>
            <w:vAlign w:val="center"/>
          </w:tcPr>
          <w:p w:rsidR="00103CE7" w:rsidRPr="00C901E0" w:rsidRDefault="00103CE7" w:rsidP="002C39AF">
            <w:pPr>
              <w:suppressLineNumbers/>
              <w:suppressAutoHyphens/>
              <w:jc w:val="center"/>
              <w:rPr>
                <w:lang w:val="es-ES"/>
              </w:rPr>
            </w:pPr>
            <w:r w:rsidRPr="00C901E0">
              <w:rPr>
                <w:i/>
                <w:color w:val="000000"/>
                <w:kern w:val="22"/>
                <w:sz w:val="17"/>
                <w:lang w:val="es-ES"/>
              </w:rPr>
              <w:t>(En miles de dólares de los Estados Unidos)</w:t>
            </w:r>
          </w:p>
        </w:tc>
      </w:tr>
      <w:tr w:rsidR="00103CE7" w:rsidRPr="00C901E0" w:rsidTr="002C39AF">
        <w:trPr>
          <w:gridAfter w:val="1"/>
          <w:wAfter w:w="349" w:type="dxa"/>
          <w:trHeight w:val="48"/>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5526" w:type="dxa"/>
            <w:gridSpan w:val="3"/>
            <w:vMerge/>
            <w:tcBorders>
              <w:top w:val="nil"/>
              <w:left w:val="nil"/>
              <w:bottom w:val="nil"/>
              <w:right w:val="nil"/>
            </w:tcBorders>
            <w:vAlign w:val="center"/>
          </w:tcPr>
          <w:p w:rsidR="00103CE7" w:rsidRPr="00C901E0" w:rsidRDefault="00103CE7" w:rsidP="002C39AF">
            <w:pPr>
              <w:suppressLineNumbers/>
              <w:suppressAutoHyphens/>
              <w:rPr>
                <w:b/>
                <w:i/>
                <w:color w:val="000000"/>
                <w:kern w:val="22"/>
                <w:sz w:val="17"/>
                <w:lang w:val="es-ES"/>
              </w:rPr>
            </w:pP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center"/>
              <w:rPr>
                <w:b/>
                <w:color w:val="000000"/>
                <w:kern w:val="22"/>
                <w:sz w:val="17"/>
                <w:lang w:val="es-ES"/>
              </w:rPr>
            </w:pP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center"/>
              <w:rPr>
                <w:b/>
                <w:color w:val="000000"/>
                <w:kern w:val="22"/>
                <w:sz w:val="17"/>
                <w:lang w:val="es-ES"/>
              </w:rPr>
            </w:pP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center"/>
              <w:rPr>
                <w:b/>
                <w:color w:val="000000"/>
                <w:kern w:val="22"/>
                <w:sz w:val="17"/>
                <w:lang w:val="es-ES"/>
              </w:rPr>
            </w:pP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A.</w:t>
            </w:r>
          </w:p>
        </w:tc>
        <w:tc>
          <w:tcPr>
            <w:tcW w:w="5526" w:type="dxa"/>
            <w:gridSpan w:val="3"/>
            <w:tcBorders>
              <w:top w:val="single" w:sz="8" w:space="0" w:color="auto"/>
              <w:left w:val="nil"/>
              <w:bottom w:val="nil"/>
              <w:right w:val="nil"/>
            </w:tcBorders>
            <w:vAlign w:val="center"/>
          </w:tcPr>
          <w:p w:rsidR="00103CE7" w:rsidRPr="00C901E0" w:rsidRDefault="00103CE7" w:rsidP="002C39AF">
            <w:pPr>
              <w:suppressLineNumbers/>
              <w:suppressAutoHyphens/>
              <w:rPr>
                <w:lang w:val="es-ES"/>
              </w:rPr>
            </w:pPr>
            <w:r w:rsidRPr="00C901E0">
              <w:rPr>
                <w:color w:val="000000"/>
                <w:kern w:val="22"/>
                <w:sz w:val="17"/>
                <w:lang w:val="es-ES"/>
              </w:rPr>
              <w:t>Gastos de personal</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11 453,9</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11 626,6</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23 080,5</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B.</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color w:val="000000"/>
                <w:kern w:val="22"/>
                <w:sz w:val="17"/>
                <w:lang w:val="es-ES"/>
              </w:rPr>
              <w:t>Reuniones de la Mesa</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150,0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215,0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365,0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C.</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color w:val="000000"/>
                <w:kern w:val="22"/>
                <w:sz w:val="17"/>
                <w:lang w:val="es-ES"/>
              </w:rPr>
              <w:t>Viajes en comisión de servicio</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400,0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400,0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800,0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D.</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lang w:val="es-ES"/>
              </w:rPr>
              <w:t>Consultores/Subcontratistas</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50,0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50,0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100,0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E.</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lang w:val="es-ES"/>
              </w:rPr>
              <w:t>Materiales de concienciación del público/comunicaciones</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50,0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50,0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100,0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F.</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color w:val="000000"/>
                <w:kern w:val="22"/>
                <w:sz w:val="17"/>
                <w:lang w:val="es-ES"/>
              </w:rPr>
              <w:t>Personal temporario/horas extraordinarias</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100,0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100,0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200,0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G.</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color w:val="000000"/>
                <w:kern w:val="22"/>
                <w:sz w:val="17"/>
                <w:lang w:val="es-ES"/>
              </w:rPr>
              <w:t>Capacitación</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5,0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5,0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10,0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H.</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spacing w:val="-2"/>
                <w:lang w:val="es-ES"/>
              </w:rPr>
            </w:pPr>
            <w:r w:rsidRPr="00C901E0">
              <w:rPr>
                <w:color w:val="000000"/>
                <w:spacing w:val="-2"/>
                <w:kern w:val="22"/>
                <w:sz w:val="17"/>
                <w:lang w:val="es-ES"/>
              </w:rPr>
              <w:t>Traducción del sitio web del mecanismo de facilitación/proyectos de sitio web</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65,0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65,0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130,0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I.</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lang w:val="es-ES"/>
              </w:rPr>
              <w:t>Reuniones</w:t>
            </w:r>
            <w:r w:rsidRPr="00C901E0">
              <w:rPr>
                <w:kern w:val="22"/>
                <w:sz w:val="17"/>
                <w:vertAlign w:val="superscript"/>
                <w:lang w:val="es-ES"/>
              </w:rPr>
              <w:t>1/2/3</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1 569,0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2 119,0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3 688,0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J.</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color w:val="000000"/>
                <w:kern w:val="22"/>
                <w:sz w:val="17"/>
                <w:lang w:val="es-ES"/>
              </w:rPr>
              <w:t>Reuniones de expertos</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170,0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150,0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320,0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K.</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lang w:val="es-ES"/>
              </w:rPr>
              <w:t>Reuniones extraordinarias sobre el período posterior a 2020</w:t>
            </w:r>
            <w:r w:rsidRPr="00C901E0">
              <w:rPr>
                <w:kern w:val="22"/>
                <w:sz w:val="17"/>
                <w:vertAlign w:val="superscript"/>
                <w:lang w:val="es-ES"/>
              </w:rPr>
              <w:t>4/</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750,0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560,0</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1 310,0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L.</w:t>
            </w: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lang w:val="es-ES"/>
              </w:rPr>
              <w:t>Alquiler y gastos relacionados</w:t>
            </w:r>
            <w:r w:rsidRPr="00C901E0">
              <w:rPr>
                <w:kern w:val="22"/>
                <w:sz w:val="17"/>
                <w:vertAlign w:val="superscript"/>
                <w:lang w:val="es-ES"/>
              </w:rPr>
              <w:t>5/</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1 229,5</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1 423,4</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2 652,9</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color w:val="000000"/>
                <w:kern w:val="22"/>
                <w:sz w:val="17"/>
                <w:lang w:val="es-ES"/>
              </w:rPr>
              <w:t>M.</w:t>
            </w:r>
          </w:p>
        </w:tc>
        <w:tc>
          <w:tcPr>
            <w:tcW w:w="5526" w:type="dxa"/>
            <w:gridSpan w:val="3"/>
            <w:tcBorders>
              <w:top w:val="nil"/>
              <w:left w:val="nil"/>
              <w:bottom w:val="single" w:sz="4" w:space="0" w:color="auto"/>
              <w:right w:val="nil"/>
            </w:tcBorders>
            <w:vAlign w:val="center"/>
          </w:tcPr>
          <w:p w:rsidR="00103CE7" w:rsidRPr="00C901E0" w:rsidRDefault="00103CE7" w:rsidP="002C39AF">
            <w:pPr>
              <w:suppressLineNumbers/>
              <w:suppressAutoHyphens/>
              <w:rPr>
                <w:lang w:val="es-ES"/>
              </w:rPr>
            </w:pPr>
            <w:r w:rsidRPr="00C901E0">
              <w:rPr>
                <w:color w:val="000000"/>
                <w:kern w:val="22"/>
                <w:sz w:val="17"/>
                <w:lang w:val="es-ES"/>
              </w:rPr>
              <w:t>Gastos generales de funcionamiento</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726,6</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726,6</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color w:val="000000"/>
                <w:kern w:val="22"/>
                <w:sz w:val="17"/>
                <w:lang w:val="es-ES"/>
              </w:rPr>
            </w:pPr>
            <w:r w:rsidRPr="00C901E0">
              <w:rPr>
                <w:color w:val="000000"/>
                <w:kern w:val="22"/>
                <w:sz w:val="17"/>
                <w:lang w:val="es-ES"/>
              </w:rPr>
              <w:t>1 453,2</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b/>
                <w:color w:val="000000"/>
                <w:kern w:val="22"/>
                <w:sz w:val="17"/>
                <w:lang w:val="es-ES"/>
              </w:rPr>
            </w:pPr>
          </w:p>
        </w:tc>
        <w:tc>
          <w:tcPr>
            <w:tcW w:w="5526" w:type="dxa"/>
            <w:gridSpan w:val="3"/>
            <w:tcBorders>
              <w:top w:val="single" w:sz="4" w:space="0" w:color="auto"/>
              <w:left w:val="nil"/>
              <w:bottom w:val="single" w:sz="4" w:space="0" w:color="auto"/>
              <w:right w:val="nil"/>
            </w:tcBorders>
            <w:vAlign w:val="center"/>
          </w:tcPr>
          <w:p w:rsidR="00103CE7" w:rsidRPr="00C901E0" w:rsidRDefault="00103CE7" w:rsidP="002C39AF">
            <w:pPr>
              <w:suppressLineNumbers/>
              <w:suppressAutoHyphens/>
              <w:rPr>
                <w:lang w:val="es-ES"/>
              </w:rPr>
            </w:pPr>
            <w:r w:rsidRPr="00C901E0">
              <w:rPr>
                <w:b/>
                <w:kern w:val="22"/>
                <w:sz w:val="17"/>
                <w:lang w:val="es-ES"/>
              </w:rPr>
              <w:t>Subtotal (I)</w:t>
            </w:r>
          </w:p>
        </w:tc>
        <w:tc>
          <w:tcPr>
            <w:tcW w:w="1159" w:type="dxa"/>
            <w:tcBorders>
              <w:top w:val="single" w:sz="4" w:space="0" w:color="auto"/>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16 719,0</w:t>
            </w:r>
          </w:p>
        </w:tc>
        <w:tc>
          <w:tcPr>
            <w:tcW w:w="1159" w:type="dxa"/>
            <w:tcBorders>
              <w:top w:val="single" w:sz="4" w:space="0" w:color="auto"/>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17 490,6</w:t>
            </w:r>
          </w:p>
        </w:tc>
        <w:tc>
          <w:tcPr>
            <w:tcW w:w="1159" w:type="dxa"/>
            <w:tcBorders>
              <w:top w:val="single" w:sz="4" w:space="0" w:color="auto"/>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34 209,6</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b/>
                <w:color w:val="000000"/>
                <w:kern w:val="22"/>
                <w:sz w:val="17"/>
                <w:lang w:val="es-ES"/>
              </w:rPr>
              <w:t>II</w:t>
            </w:r>
          </w:p>
        </w:tc>
        <w:tc>
          <w:tcPr>
            <w:tcW w:w="5526" w:type="dxa"/>
            <w:gridSpan w:val="3"/>
            <w:tcBorders>
              <w:top w:val="single" w:sz="4" w:space="0" w:color="auto"/>
              <w:left w:val="nil"/>
              <w:bottom w:val="nil"/>
              <w:right w:val="nil"/>
            </w:tcBorders>
            <w:vAlign w:val="center"/>
          </w:tcPr>
          <w:p w:rsidR="00103CE7" w:rsidRPr="00C901E0" w:rsidRDefault="00103CE7" w:rsidP="002C39AF">
            <w:pPr>
              <w:suppressLineNumbers/>
              <w:suppressAutoHyphens/>
              <w:rPr>
                <w:lang w:val="es-ES"/>
              </w:rPr>
            </w:pPr>
            <w:r w:rsidRPr="00C901E0">
              <w:rPr>
                <w:b/>
                <w:kern w:val="22"/>
                <w:sz w:val="17"/>
                <w:lang w:val="es-ES"/>
              </w:rPr>
              <w:t>Gastos de apoyo a los programas (13%)</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2 173,5</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2 273,8</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4 447,2</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b/>
                <w:color w:val="000000"/>
                <w:kern w:val="22"/>
                <w:sz w:val="17"/>
                <w:lang w:val="es-ES"/>
              </w:rPr>
            </w:pPr>
          </w:p>
        </w:tc>
        <w:tc>
          <w:tcPr>
            <w:tcW w:w="5526" w:type="dxa"/>
            <w:gridSpan w:val="3"/>
            <w:tcBorders>
              <w:top w:val="nil"/>
              <w:left w:val="nil"/>
              <w:bottom w:val="single" w:sz="4" w:space="0" w:color="auto"/>
              <w:right w:val="nil"/>
            </w:tcBorders>
            <w:vAlign w:val="center"/>
          </w:tcPr>
          <w:p w:rsidR="00103CE7" w:rsidRPr="00C901E0" w:rsidRDefault="00103CE7" w:rsidP="002C39AF">
            <w:pPr>
              <w:suppressLineNumbers/>
              <w:suppressAutoHyphens/>
              <w:rPr>
                <w:lang w:val="es-ES"/>
              </w:rPr>
            </w:pPr>
            <w:r w:rsidRPr="00C901E0">
              <w:rPr>
                <w:b/>
                <w:kern w:val="22"/>
                <w:sz w:val="17"/>
                <w:lang w:val="es-ES"/>
              </w:rPr>
              <w:t>Subtotal (I + II)</w:t>
            </w:r>
          </w:p>
        </w:tc>
        <w:tc>
          <w:tcPr>
            <w:tcW w:w="1159" w:type="dxa"/>
            <w:tcBorders>
              <w:top w:val="nil"/>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18 892,4</w:t>
            </w:r>
          </w:p>
        </w:tc>
        <w:tc>
          <w:tcPr>
            <w:tcW w:w="1159" w:type="dxa"/>
            <w:tcBorders>
              <w:top w:val="nil"/>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19 764,4</w:t>
            </w:r>
          </w:p>
        </w:tc>
        <w:tc>
          <w:tcPr>
            <w:tcW w:w="1159" w:type="dxa"/>
            <w:tcBorders>
              <w:top w:val="nil"/>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38 656,8</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center"/>
              <w:rPr>
                <w:lang w:val="es-ES"/>
              </w:rPr>
            </w:pPr>
            <w:r w:rsidRPr="00C901E0">
              <w:rPr>
                <w:b/>
                <w:color w:val="000000"/>
                <w:kern w:val="22"/>
                <w:sz w:val="17"/>
                <w:lang w:val="es-ES"/>
              </w:rPr>
              <w:t>III.</w:t>
            </w:r>
          </w:p>
        </w:tc>
        <w:tc>
          <w:tcPr>
            <w:tcW w:w="5526" w:type="dxa"/>
            <w:gridSpan w:val="3"/>
            <w:tcBorders>
              <w:top w:val="single" w:sz="4" w:space="0" w:color="auto"/>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lang w:val="es-ES"/>
              </w:rPr>
              <w:t>Reserva operacional</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 xml:space="preserve">56,6 </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130,8</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187,3</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b/>
                <w:color w:val="000000"/>
                <w:kern w:val="22"/>
                <w:sz w:val="17"/>
                <w:lang w:val="es-ES"/>
              </w:rPr>
            </w:pPr>
          </w:p>
        </w:tc>
        <w:tc>
          <w:tcPr>
            <w:tcW w:w="5526" w:type="dxa"/>
            <w:gridSpan w:val="3"/>
            <w:tcBorders>
              <w:top w:val="nil"/>
              <w:left w:val="nil"/>
              <w:bottom w:val="single" w:sz="8" w:space="0" w:color="auto"/>
              <w:right w:val="nil"/>
            </w:tcBorders>
            <w:vAlign w:val="center"/>
          </w:tcPr>
          <w:p w:rsidR="00103CE7" w:rsidRPr="00C901E0" w:rsidRDefault="00103CE7" w:rsidP="002C39AF">
            <w:pPr>
              <w:suppressLineNumbers/>
              <w:suppressAutoHyphens/>
              <w:rPr>
                <w:lang w:val="es-ES"/>
              </w:rPr>
            </w:pPr>
            <w:r w:rsidRPr="00C901E0">
              <w:rPr>
                <w:b/>
                <w:color w:val="000000"/>
                <w:kern w:val="22"/>
                <w:sz w:val="17"/>
                <w:lang w:val="es-ES"/>
              </w:rPr>
              <w:t>Total general (II +III)</w:t>
            </w: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right"/>
              <w:rPr>
                <w:b/>
                <w:color w:val="000000"/>
                <w:kern w:val="22"/>
                <w:sz w:val="17"/>
                <w:lang w:val="es-ES"/>
              </w:rPr>
            </w:pPr>
            <w:r w:rsidRPr="00C901E0">
              <w:rPr>
                <w:b/>
                <w:color w:val="000000"/>
                <w:kern w:val="22"/>
                <w:sz w:val="17"/>
                <w:lang w:val="es-ES"/>
              </w:rPr>
              <w:t>18 949,0</w:t>
            </w: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right"/>
              <w:rPr>
                <w:b/>
                <w:color w:val="000000"/>
                <w:kern w:val="22"/>
                <w:sz w:val="17"/>
                <w:lang w:val="es-ES"/>
              </w:rPr>
            </w:pPr>
            <w:r w:rsidRPr="00C901E0">
              <w:rPr>
                <w:b/>
                <w:color w:val="000000"/>
                <w:kern w:val="22"/>
                <w:sz w:val="17"/>
                <w:lang w:val="es-ES"/>
              </w:rPr>
              <w:t>19 895,1</w:t>
            </w: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right"/>
              <w:rPr>
                <w:b/>
                <w:color w:val="000000"/>
                <w:kern w:val="22"/>
                <w:sz w:val="17"/>
                <w:lang w:val="es-ES"/>
              </w:rPr>
            </w:pPr>
            <w:r w:rsidRPr="00C901E0">
              <w:rPr>
                <w:b/>
                <w:color w:val="000000"/>
                <w:kern w:val="22"/>
                <w:sz w:val="17"/>
                <w:lang w:val="es-ES"/>
              </w:rPr>
              <w:t>38 844,1</w:t>
            </w:r>
          </w:p>
        </w:tc>
      </w:tr>
      <w:tr w:rsidR="00103CE7" w:rsidRPr="00C901E0" w:rsidTr="002C39AF">
        <w:trPr>
          <w:gridAfter w:val="1"/>
          <w:wAfter w:w="349" w:type="dxa"/>
          <w:trHeight w:val="396"/>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5526" w:type="dxa"/>
            <w:gridSpan w:val="3"/>
            <w:tcBorders>
              <w:top w:val="single" w:sz="8" w:space="0" w:color="auto"/>
              <w:left w:val="nil"/>
              <w:bottom w:val="single" w:sz="8" w:space="0" w:color="auto"/>
              <w:right w:val="nil"/>
            </w:tcBorders>
            <w:vAlign w:val="center"/>
          </w:tcPr>
          <w:p w:rsidR="00103CE7" w:rsidRPr="00C901E0" w:rsidRDefault="00103CE7" w:rsidP="002C39AF">
            <w:pPr>
              <w:suppressLineNumbers/>
              <w:suppressAutoHyphens/>
              <w:rPr>
                <w:lang w:val="es-ES"/>
              </w:rPr>
            </w:pPr>
            <w:r w:rsidRPr="00C901E0">
              <w:rPr>
                <w:kern w:val="22"/>
                <w:sz w:val="17"/>
                <w:lang w:val="es-ES"/>
              </w:rPr>
              <w:t>Porcentaje del presupuesto integrado que corresponde al Protocolo de Cartagena (15%)</w:t>
            </w: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2 842,3</w:t>
            </w: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2 984,3</w:t>
            </w:r>
          </w:p>
        </w:tc>
        <w:tc>
          <w:tcPr>
            <w:tcW w:w="1159" w:type="dxa"/>
            <w:tcBorders>
              <w:top w:val="nil"/>
              <w:left w:val="nil"/>
              <w:bottom w:val="single" w:sz="8" w:space="0" w:color="auto"/>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5 826,6</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u w:val="single"/>
                <w:lang w:val="es-ES"/>
              </w:rPr>
              <w:t>Menos</w:t>
            </w:r>
            <w:r w:rsidRPr="00C901E0">
              <w:rPr>
                <w:kern w:val="22"/>
                <w:sz w:val="17"/>
                <w:lang w:val="es-ES"/>
              </w:rPr>
              <w:t xml:space="preserve"> la contribución del país anfitrión</w:t>
            </w:r>
            <w:r w:rsidRPr="00C901E0">
              <w:rPr>
                <w:kern w:val="22"/>
                <w:sz w:val="17"/>
                <w:vertAlign w:val="superscript"/>
                <w:lang w:val="es-ES"/>
              </w:rPr>
              <w:t>5/</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(184,4)</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(213,5)</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(397,9)</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u w:val="single"/>
                <w:lang w:val="es-ES"/>
              </w:rPr>
              <w:t>Menos</w:t>
            </w:r>
            <w:r w:rsidRPr="00C901E0">
              <w:rPr>
                <w:kern w:val="22"/>
                <w:sz w:val="17"/>
                <w:lang w:val="es-ES"/>
              </w:rPr>
              <w:t xml:space="preserve"> el empleo de fondos de reserva para reuniones extraordinarias</w:t>
            </w:r>
            <w:r w:rsidRPr="00C901E0">
              <w:rPr>
                <w:kern w:val="22"/>
                <w:sz w:val="17"/>
                <w:vertAlign w:val="superscript"/>
                <w:lang w:val="es-ES"/>
              </w:rPr>
              <w:t>/4</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(127,1)</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(94,9)</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(222,0)</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5526" w:type="dxa"/>
            <w:gridSpan w:val="3"/>
            <w:tcBorders>
              <w:top w:val="nil"/>
              <w:left w:val="nil"/>
              <w:bottom w:val="nil"/>
              <w:right w:val="nil"/>
            </w:tcBorders>
            <w:vAlign w:val="center"/>
          </w:tcPr>
          <w:p w:rsidR="00103CE7" w:rsidRPr="00C901E0" w:rsidRDefault="00103CE7" w:rsidP="002C39AF">
            <w:pPr>
              <w:suppressLineNumbers/>
              <w:suppressAutoHyphens/>
              <w:rPr>
                <w:lang w:val="es-ES"/>
              </w:rPr>
            </w:pPr>
            <w:r w:rsidRPr="00C901E0">
              <w:rPr>
                <w:kern w:val="22"/>
                <w:sz w:val="17"/>
                <w:u w:val="single"/>
                <w:lang w:val="es-ES"/>
              </w:rPr>
              <w:t>Menos</w:t>
            </w:r>
            <w:r w:rsidRPr="00C901E0">
              <w:rPr>
                <w:kern w:val="22"/>
                <w:sz w:val="17"/>
                <w:lang w:val="es-ES"/>
              </w:rPr>
              <w:t xml:space="preserve"> el empleo de fondos de reserva de años anteriores</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(129,5)</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(129,5)</w:t>
            </w:r>
          </w:p>
        </w:tc>
        <w:tc>
          <w:tcPr>
            <w:tcW w:w="1159" w:type="dxa"/>
            <w:tcBorders>
              <w:top w:val="nil"/>
              <w:left w:val="nil"/>
              <w:bottom w:val="nil"/>
              <w:right w:val="nil"/>
            </w:tcBorders>
            <w:vAlign w:val="center"/>
          </w:tcPr>
          <w:p w:rsidR="00103CE7" w:rsidRPr="00C901E0" w:rsidRDefault="00103CE7" w:rsidP="002C39AF">
            <w:pPr>
              <w:suppressLineNumbers/>
              <w:suppressAutoHyphens/>
              <w:jc w:val="right"/>
              <w:rPr>
                <w:kern w:val="22"/>
                <w:sz w:val="17"/>
                <w:lang w:val="es-ES"/>
              </w:rPr>
            </w:pPr>
            <w:r w:rsidRPr="00C901E0">
              <w:rPr>
                <w:kern w:val="22"/>
                <w:sz w:val="17"/>
                <w:lang w:val="es-ES"/>
              </w:rPr>
              <w:t>(258,9)</w:t>
            </w:r>
          </w:p>
        </w:tc>
      </w:tr>
      <w:tr w:rsidR="00103CE7" w:rsidRPr="00C901E0" w:rsidTr="002C39AF">
        <w:trPr>
          <w:gridAfter w:val="1"/>
          <w:wAfter w:w="349" w:type="dxa"/>
          <w:trHeight w:val="261"/>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5526" w:type="dxa"/>
            <w:gridSpan w:val="3"/>
            <w:tcBorders>
              <w:top w:val="nil"/>
              <w:left w:val="nil"/>
              <w:bottom w:val="single" w:sz="4" w:space="0" w:color="auto"/>
              <w:right w:val="nil"/>
            </w:tcBorders>
            <w:vAlign w:val="center"/>
          </w:tcPr>
          <w:p w:rsidR="00103CE7" w:rsidRPr="00C901E0" w:rsidRDefault="00103CE7" w:rsidP="002C39AF">
            <w:pPr>
              <w:suppressLineNumbers/>
              <w:suppressAutoHyphens/>
              <w:rPr>
                <w:lang w:val="es-ES"/>
              </w:rPr>
            </w:pPr>
            <w:r w:rsidRPr="00C901E0">
              <w:rPr>
                <w:b/>
                <w:kern w:val="22"/>
                <w:sz w:val="17"/>
                <w:lang w:val="es-ES"/>
              </w:rPr>
              <w:t>Total neto (monto dividido entre las Partes)</w:t>
            </w:r>
          </w:p>
        </w:tc>
        <w:tc>
          <w:tcPr>
            <w:tcW w:w="1159" w:type="dxa"/>
            <w:tcBorders>
              <w:top w:val="nil"/>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2 401,3</w:t>
            </w:r>
          </w:p>
        </w:tc>
        <w:tc>
          <w:tcPr>
            <w:tcW w:w="1159" w:type="dxa"/>
            <w:tcBorders>
              <w:top w:val="nil"/>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2 546,4</w:t>
            </w:r>
          </w:p>
        </w:tc>
        <w:tc>
          <w:tcPr>
            <w:tcW w:w="1159" w:type="dxa"/>
            <w:tcBorders>
              <w:top w:val="nil"/>
              <w:left w:val="nil"/>
              <w:bottom w:val="single" w:sz="4" w:space="0" w:color="auto"/>
              <w:right w:val="nil"/>
            </w:tcBorders>
            <w:vAlign w:val="center"/>
          </w:tcPr>
          <w:p w:rsidR="00103CE7" w:rsidRPr="00C901E0" w:rsidRDefault="00103CE7" w:rsidP="002C39AF">
            <w:pPr>
              <w:suppressLineNumbers/>
              <w:suppressAutoHyphens/>
              <w:jc w:val="right"/>
              <w:rPr>
                <w:b/>
                <w:kern w:val="22"/>
                <w:sz w:val="17"/>
                <w:lang w:val="es-ES"/>
              </w:rPr>
            </w:pPr>
            <w:r w:rsidRPr="00C901E0">
              <w:rPr>
                <w:b/>
                <w:kern w:val="22"/>
                <w:sz w:val="17"/>
                <w:lang w:val="es-ES"/>
              </w:rPr>
              <w:t>4 947,7</w:t>
            </w:r>
          </w:p>
        </w:tc>
      </w:tr>
      <w:tr w:rsidR="00103CE7" w:rsidRPr="00C901E0" w:rsidTr="002C39AF">
        <w:trPr>
          <w:gridAfter w:val="1"/>
          <w:wAfter w:w="349" w:type="dxa"/>
          <w:trHeight w:val="288"/>
        </w:trPr>
        <w:tc>
          <w:tcPr>
            <w:tcW w:w="582" w:type="dxa"/>
            <w:tcBorders>
              <w:top w:val="nil"/>
              <w:left w:val="nil"/>
              <w:bottom w:val="nil"/>
              <w:right w:val="nil"/>
            </w:tcBorders>
            <w:noWrap/>
            <w:vAlign w:val="center"/>
          </w:tcPr>
          <w:p w:rsidR="00103CE7" w:rsidRPr="00C901E0" w:rsidRDefault="00103CE7" w:rsidP="002C39AF">
            <w:pPr>
              <w:suppressLineNumbers/>
              <w:suppressAutoHyphens/>
              <w:jc w:val="right"/>
              <w:rPr>
                <w:color w:val="000000"/>
                <w:kern w:val="22"/>
                <w:sz w:val="17"/>
                <w:lang w:val="es-ES"/>
              </w:rPr>
            </w:pPr>
          </w:p>
        </w:tc>
        <w:tc>
          <w:tcPr>
            <w:tcW w:w="2696" w:type="dxa"/>
            <w:gridSpan w:val="2"/>
            <w:tcBorders>
              <w:top w:val="nil"/>
              <w:left w:val="nil"/>
              <w:bottom w:val="nil"/>
              <w:right w:val="nil"/>
            </w:tcBorders>
            <w:noWrap/>
            <w:vAlign w:val="center"/>
          </w:tcPr>
          <w:p w:rsidR="00103CE7" w:rsidRPr="00C901E0" w:rsidRDefault="00103CE7" w:rsidP="002C39AF">
            <w:pPr>
              <w:suppressLineNumbers/>
              <w:suppressAutoHyphens/>
              <w:rPr>
                <w:color w:val="000000"/>
                <w:kern w:val="22"/>
                <w:sz w:val="16"/>
                <w:lang w:val="es-ES"/>
              </w:rPr>
            </w:pPr>
          </w:p>
        </w:tc>
        <w:tc>
          <w:tcPr>
            <w:tcW w:w="2830" w:type="dxa"/>
            <w:tcBorders>
              <w:top w:val="nil"/>
              <w:left w:val="nil"/>
              <w:bottom w:val="nil"/>
              <w:right w:val="nil"/>
            </w:tcBorders>
            <w:noWrap/>
            <w:vAlign w:val="center"/>
          </w:tcPr>
          <w:p w:rsidR="00103CE7" w:rsidRPr="00C901E0" w:rsidRDefault="00103CE7" w:rsidP="002C39AF">
            <w:pPr>
              <w:suppressLineNumbers/>
              <w:suppressAutoHyphens/>
              <w:rPr>
                <w:color w:val="000000"/>
                <w:kern w:val="22"/>
                <w:sz w:val="16"/>
                <w:lang w:val="es-ES"/>
              </w:rPr>
            </w:pPr>
          </w:p>
        </w:tc>
        <w:tc>
          <w:tcPr>
            <w:tcW w:w="1159" w:type="dxa"/>
            <w:tcBorders>
              <w:top w:val="nil"/>
              <w:left w:val="nil"/>
              <w:bottom w:val="nil"/>
              <w:right w:val="nil"/>
            </w:tcBorders>
            <w:noWrap/>
            <w:vAlign w:val="center"/>
          </w:tcPr>
          <w:p w:rsidR="00103CE7" w:rsidRPr="00C901E0" w:rsidRDefault="00103CE7" w:rsidP="002C39AF">
            <w:pPr>
              <w:suppressLineNumbers/>
              <w:suppressAutoHyphens/>
              <w:rPr>
                <w:color w:val="000000"/>
                <w:kern w:val="22"/>
                <w:sz w:val="16"/>
                <w:lang w:val="es-ES"/>
              </w:rPr>
            </w:pPr>
          </w:p>
        </w:tc>
        <w:tc>
          <w:tcPr>
            <w:tcW w:w="1159" w:type="dxa"/>
            <w:tcBorders>
              <w:top w:val="nil"/>
              <w:left w:val="nil"/>
              <w:bottom w:val="nil"/>
              <w:right w:val="nil"/>
            </w:tcBorders>
            <w:noWrap/>
            <w:vAlign w:val="center"/>
          </w:tcPr>
          <w:p w:rsidR="00103CE7" w:rsidRPr="00C901E0" w:rsidRDefault="00103CE7" w:rsidP="002C39AF">
            <w:pPr>
              <w:suppressLineNumbers/>
              <w:suppressAutoHyphens/>
              <w:rPr>
                <w:color w:val="000000"/>
                <w:kern w:val="22"/>
                <w:sz w:val="16"/>
                <w:lang w:val="es-ES"/>
              </w:rPr>
            </w:pPr>
          </w:p>
        </w:tc>
        <w:tc>
          <w:tcPr>
            <w:tcW w:w="1159" w:type="dxa"/>
            <w:tcBorders>
              <w:top w:val="nil"/>
              <w:left w:val="nil"/>
              <w:bottom w:val="nil"/>
              <w:right w:val="nil"/>
            </w:tcBorders>
            <w:noWrap/>
            <w:vAlign w:val="center"/>
          </w:tcPr>
          <w:p w:rsidR="00103CE7" w:rsidRPr="00C901E0" w:rsidRDefault="00103CE7" w:rsidP="002C39AF">
            <w:pPr>
              <w:suppressLineNumbers/>
              <w:suppressAutoHyphens/>
              <w:rPr>
                <w:color w:val="000000"/>
                <w:kern w:val="22"/>
                <w:sz w:val="16"/>
                <w:lang w:val="es-ES"/>
              </w:rPr>
            </w:pPr>
          </w:p>
        </w:tc>
      </w:tr>
      <w:tr w:rsidR="00103CE7" w:rsidRPr="00C901E0" w:rsidTr="002C39AF">
        <w:trPr>
          <w:gridAfter w:val="1"/>
          <w:wAfter w:w="349" w:type="dxa"/>
          <w:trHeight w:val="216"/>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7"/>
                <w:lang w:val="es-ES"/>
              </w:rPr>
            </w:pPr>
          </w:p>
        </w:tc>
        <w:tc>
          <w:tcPr>
            <w:tcW w:w="9003" w:type="dxa"/>
            <w:gridSpan w:val="6"/>
            <w:tcBorders>
              <w:top w:val="nil"/>
              <w:left w:val="nil"/>
              <w:bottom w:val="nil"/>
              <w:right w:val="nil"/>
            </w:tcBorders>
          </w:tcPr>
          <w:p w:rsidR="00103CE7" w:rsidRPr="00C901E0" w:rsidRDefault="00103CE7" w:rsidP="002C39AF">
            <w:pPr>
              <w:suppressLineNumbers/>
              <w:suppressAutoHyphens/>
              <w:rPr>
                <w:lang w:val="es-ES"/>
              </w:rPr>
            </w:pPr>
            <w:r w:rsidRPr="00C901E0">
              <w:rPr>
                <w:kern w:val="22"/>
                <w:sz w:val="16"/>
                <w:lang w:val="es-ES"/>
              </w:rPr>
              <w:t>1/ Reuniones ordinarias financiadas con cargo al presupuesto básico:</w:t>
            </w:r>
          </w:p>
        </w:tc>
      </w:tr>
      <w:tr w:rsidR="00103CE7" w:rsidRPr="00C901E0" w:rsidTr="002C39AF">
        <w:trPr>
          <w:gridAfter w:val="1"/>
          <w:wAfter w:w="349" w:type="dxa"/>
          <w:trHeight w:val="216"/>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7"/>
                <w:lang w:val="es-ES"/>
              </w:rPr>
            </w:pPr>
          </w:p>
        </w:tc>
        <w:tc>
          <w:tcPr>
            <w:tcW w:w="9003" w:type="dxa"/>
            <w:gridSpan w:val="6"/>
            <w:tcBorders>
              <w:top w:val="nil"/>
              <w:left w:val="nil"/>
              <w:bottom w:val="nil"/>
              <w:right w:val="nil"/>
            </w:tcBorders>
            <w:noWrap/>
          </w:tcPr>
          <w:p w:rsidR="00103CE7" w:rsidRPr="00C901E0" w:rsidRDefault="00103CE7" w:rsidP="002C39AF">
            <w:pPr>
              <w:suppressLineNumbers/>
              <w:suppressAutoHyphens/>
              <w:ind w:left="34"/>
              <w:rPr>
                <w:lang w:val="es-ES"/>
              </w:rPr>
            </w:pPr>
            <w:r w:rsidRPr="00C901E0">
              <w:rPr>
                <w:color w:val="000000"/>
                <w:kern w:val="22"/>
                <w:sz w:val="16"/>
                <w:lang w:val="es-ES"/>
              </w:rPr>
              <w:t>- 11ª reunión del Grupo de Trabajo Especial sobre el Artículo 8 j) y Disposiciones Conexas.</w:t>
            </w:r>
          </w:p>
        </w:tc>
      </w:tr>
      <w:tr w:rsidR="00103CE7" w:rsidRPr="00C901E0" w:rsidTr="002C39AF">
        <w:tc>
          <w:tcPr>
            <w:tcW w:w="724" w:type="dxa"/>
            <w:gridSpan w:val="2"/>
            <w:tcBorders>
              <w:top w:val="nil"/>
              <w:left w:val="nil"/>
              <w:bottom w:val="nil"/>
              <w:right w:val="nil"/>
            </w:tcBorders>
            <w:noWrap/>
          </w:tcPr>
          <w:p w:rsidR="00103CE7" w:rsidRPr="00C901E0" w:rsidRDefault="00103CE7" w:rsidP="002C39AF">
            <w:pPr>
              <w:suppressLineNumbers/>
              <w:suppressAutoHyphens/>
              <w:rPr>
                <w:color w:val="000000"/>
                <w:kern w:val="22"/>
                <w:sz w:val="17"/>
                <w:lang w:val="es-ES"/>
              </w:rPr>
            </w:pPr>
          </w:p>
        </w:tc>
        <w:tc>
          <w:tcPr>
            <w:tcW w:w="9210" w:type="dxa"/>
            <w:gridSpan w:val="6"/>
            <w:tcBorders>
              <w:top w:val="nil"/>
              <w:left w:val="nil"/>
              <w:bottom w:val="nil"/>
              <w:right w:val="nil"/>
            </w:tcBorders>
            <w:noWrap/>
          </w:tcPr>
          <w:p w:rsidR="00103CE7" w:rsidRPr="00C901E0" w:rsidRDefault="00103CE7" w:rsidP="002C39AF">
            <w:pPr>
              <w:suppressLineNumbers/>
              <w:suppressAutoHyphens/>
              <w:ind w:left="-108"/>
              <w:rPr>
                <w:lang w:val="es-ES"/>
              </w:rPr>
            </w:pPr>
            <w:r w:rsidRPr="00C901E0">
              <w:rPr>
                <w:color w:val="000000"/>
                <w:kern w:val="22"/>
                <w:sz w:val="16"/>
                <w:lang w:val="es-ES"/>
              </w:rPr>
              <w:t>- Reuniones 23ª y 24ª </w:t>
            </w:r>
            <w:r w:rsidRPr="00C901E0">
              <w:rPr>
                <w:color w:val="000000"/>
                <w:kern w:val="20"/>
                <w:sz w:val="16"/>
                <w:lang w:val="es-ES"/>
              </w:rPr>
              <w:t xml:space="preserve"> del Órgano Subsidiario de Asesoramiento Científico, Técnico y Tecnológico</w:t>
            </w:r>
          </w:p>
        </w:tc>
      </w:tr>
      <w:tr w:rsidR="00103CE7" w:rsidRPr="00C901E0" w:rsidTr="002C39AF">
        <w:trPr>
          <w:gridAfter w:val="1"/>
          <w:wAfter w:w="349" w:type="dxa"/>
          <w:trHeight w:val="216"/>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7"/>
                <w:lang w:val="es-ES"/>
              </w:rPr>
            </w:pPr>
          </w:p>
        </w:tc>
        <w:tc>
          <w:tcPr>
            <w:tcW w:w="9003" w:type="dxa"/>
            <w:gridSpan w:val="6"/>
            <w:tcBorders>
              <w:top w:val="nil"/>
              <w:left w:val="nil"/>
              <w:bottom w:val="nil"/>
              <w:right w:val="nil"/>
            </w:tcBorders>
            <w:noWrap/>
          </w:tcPr>
          <w:p w:rsidR="00103CE7" w:rsidRPr="00C901E0" w:rsidRDefault="00103CE7" w:rsidP="002C39AF">
            <w:pPr>
              <w:suppressLineNumbers/>
              <w:suppressAutoHyphens/>
              <w:ind w:left="34"/>
              <w:rPr>
                <w:lang w:val="es-ES"/>
              </w:rPr>
            </w:pPr>
            <w:r w:rsidRPr="00C901E0">
              <w:rPr>
                <w:color w:val="000000"/>
                <w:kern w:val="22"/>
                <w:sz w:val="16"/>
                <w:lang w:val="es-ES"/>
              </w:rPr>
              <w:t>- 3ª reunión del Órgano Subsidiario sobre la Aplicación.</w:t>
            </w:r>
          </w:p>
        </w:tc>
      </w:tr>
      <w:tr w:rsidR="00103CE7" w:rsidRPr="00C901E0" w:rsidTr="002C39AF">
        <w:trPr>
          <w:gridAfter w:val="1"/>
          <w:wAfter w:w="349" w:type="dxa"/>
          <w:trHeight w:val="216"/>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7"/>
                <w:lang w:val="es-ES"/>
              </w:rPr>
            </w:pPr>
          </w:p>
        </w:tc>
        <w:tc>
          <w:tcPr>
            <w:tcW w:w="9003" w:type="dxa"/>
            <w:gridSpan w:val="6"/>
            <w:tcBorders>
              <w:top w:val="nil"/>
              <w:left w:val="nil"/>
              <w:bottom w:val="nil"/>
              <w:right w:val="nil"/>
            </w:tcBorders>
            <w:noWrap/>
          </w:tcPr>
          <w:p w:rsidR="00103CE7" w:rsidRPr="00C901E0" w:rsidRDefault="00103CE7" w:rsidP="002C39AF">
            <w:pPr>
              <w:suppressLineNumbers/>
              <w:suppressAutoHyphens/>
              <w:ind w:left="34"/>
              <w:rPr>
                <w:lang w:val="es-ES"/>
              </w:rPr>
            </w:pPr>
            <w:r w:rsidRPr="00C901E0">
              <w:rPr>
                <w:color w:val="000000"/>
                <w:kern w:val="22"/>
                <w:sz w:val="16"/>
                <w:lang w:val="es-ES"/>
              </w:rPr>
              <w:t>- 15ª reunión de la Conferencia de las Partes en el Convenio / 10ª reunión de las Partes en el Protocolo de Cartagena / 4ª reunión de las Partes en el Protocolo de Nagoya celebradas en forma concurrente.</w:t>
            </w:r>
          </w:p>
        </w:tc>
      </w:tr>
      <w:tr w:rsidR="00103CE7" w:rsidRPr="00C901E0" w:rsidTr="002C39AF">
        <w:trPr>
          <w:gridAfter w:val="1"/>
          <w:wAfter w:w="349" w:type="dxa"/>
          <w:trHeight w:val="99"/>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2696" w:type="dxa"/>
            <w:gridSpan w:val="2"/>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2830"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1159"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1159"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1159"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r>
      <w:tr w:rsidR="00103CE7" w:rsidRPr="00C901E0" w:rsidTr="002C39AF">
        <w:trPr>
          <w:gridAfter w:val="1"/>
          <w:wAfter w:w="349" w:type="dxa"/>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9003" w:type="dxa"/>
            <w:gridSpan w:val="6"/>
            <w:tcBorders>
              <w:top w:val="nil"/>
              <w:left w:val="nil"/>
              <w:bottom w:val="nil"/>
              <w:right w:val="nil"/>
            </w:tcBorders>
          </w:tcPr>
          <w:p w:rsidR="00103CE7" w:rsidRPr="00C901E0" w:rsidRDefault="00103CE7" w:rsidP="002C39AF">
            <w:pPr>
              <w:suppressLineNumbers/>
              <w:suppressAutoHyphens/>
              <w:ind w:left="34"/>
              <w:rPr>
                <w:lang w:val="es-ES"/>
              </w:rPr>
            </w:pPr>
            <w:r w:rsidRPr="00C901E0">
              <w:rPr>
                <w:color w:val="000000"/>
                <w:kern w:val="22"/>
                <w:sz w:val="16"/>
                <w:lang w:val="es-ES"/>
              </w:rPr>
              <w:t>2/ OSACTT-23 (3 días) y 11</w:t>
            </w:r>
            <w:r w:rsidRPr="00C901E0">
              <w:rPr>
                <w:color w:val="000000"/>
                <w:kern w:val="22"/>
                <w:sz w:val="16"/>
                <w:vertAlign w:val="superscript"/>
                <w:lang w:val="es-ES"/>
              </w:rPr>
              <w:t>a</w:t>
            </w:r>
            <w:r w:rsidRPr="00C901E0">
              <w:rPr>
                <w:color w:val="000000"/>
                <w:kern w:val="22"/>
                <w:sz w:val="16"/>
                <w:lang w:val="es-ES"/>
              </w:rPr>
              <w:t xml:space="preserve"> Art. 8 j) (3 días) celebradas en forma consecutiva en 2019. OSACTT-24 (6 días) y OSA-3 (5 días) celebradas en forma consecutiva en 2020.</w:t>
            </w:r>
          </w:p>
        </w:tc>
      </w:tr>
      <w:tr w:rsidR="00103CE7" w:rsidRPr="00C901E0" w:rsidTr="002C39AF">
        <w:trPr>
          <w:gridAfter w:val="1"/>
          <w:wAfter w:w="349" w:type="dxa"/>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9003" w:type="dxa"/>
            <w:gridSpan w:val="6"/>
            <w:tcBorders>
              <w:top w:val="nil"/>
              <w:left w:val="nil"/>
              <w:bottom w:val="nil"/>
              <w:right w:val="nil"/>
            </w:tcBorders>
          </w:tcPr>
          <w:p w:rsidR="00103CE7" w:rsidRPr="00C901E0" w:rsidRDefault="00103CE7" w:rsidP="002C39AF">
            <w:pPr>
              <w:suppressLineNumbers/>
              <w:suppressAutoHyphens/>
              <w:ind w:left="34"/>
              <w:rPr>
                <w:lang w:val="es-ES"/>
              </w:rPr>
            </w:pPr>
            <w:r w:rsidRPr="00C901E0">
              <w:rPr>
                <w:color w:val="000000"/>
                <w:kern w:val="22"/>
                <w:sz w:val="16"/>
                <w:lang w:val="es-ES"/>
              </w:rPr>
              <w:t>3/ Presupuesto para las COP-15/COP-MOP 10 y COP-MOP 4 divido en partes iguales entre los dos años del bienio.</w:t>
            </w:r>
          </w:p>
        </w:tc>
      </w:tr>
      <w:tr w:rsidR="00103CE7" w:rsidRPr="00C901E0" w:rsidTr="002C39AF">
        <w:trPr>
          <w:gridAfter w:val="1"/>
          <w:wAfter w:w="349" w:type="dxa"/>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9003" w:type="dxa"/>
            <w:gridSpan w:val="6"/>
            <w:tcBorders>
              <w:top w:val="nil"/>
              <w:left w:val="nil"/>
              <w:bottom w:val="nil"/>
              <w:right w:val="nil"/>
            </w:tcBorders>
          </w:tcPr>
          <w:p w:rsidR="00103CE7" w:rsidRPr="00C901E0" w:rsidRDefault="00103CE7" w:rsidP="002C39AF">
            <w:pPr>
              <w:suppressLineNumbers/>
              <w:suppressAutoHyphens/>
              <w:ind w:left="34"/>
              <w:rPr>
                <w:lang w:val="es-ES"/>
              </w:rPr>
            </w:pPr>
            <w:r w:rsidRPr="00C901E0">
              <w:rPr>
                <w:color w:val="000000"/>
                <w:kern w:val="22"/>
                <w:sz w:val="16"/>
                <w:lang w:val="es-ES"/>
              </w:rPr>
              <w:t>4/ Dos reuniones extraordinarias independientes, de 5 días cada una, más 2 días adicionales para la OSACTT-23.</w:t>
            </w:r>
          </w:p>
        </w:tc>
      </w:tr>
      <w:tr w:rsidR="00103CE7" w:rsidRPr="00C901E0" w:rsidTr="002C39AF">
        <w:trPr>
          <w:gridAfter w:val="1"/>
          <w:wAfter w:w="349" w:type="dxa"/>
        </w:trPr>
        <w:tc>
          <w:tcPr>
            <w:tcW w:w="582" w:type="dxa"/>
            <w:tcBorders>
              <w:top w:val="nil"/>
              <w:left w:val="nil"/>
              <w:bottom w:val="nil"/>
              <w:right w:val="nil"/>
            </w:tcBorders>
            <w:noWrap/>
          </w:tcPr>
          <w:p w:rsidR="00103CE7" w:rsidRPr="00C901E0" w:rsidRDefault="00103CE7" w:rsidP="002C39AF">
            <w:pPr>
              <w:suppressLineNumbers/>
              <w:suppressAutoHyphens/>
              <w:rPr>
                <w:color w:val="000000"/>
                <w:kern w:val="22"/>
                <w:sz w:val="16"/>
                <w:lang w:val="es-ES"/>
              </w:rPr>
            </w:pPr>
          </w:p>
        </w:tc>
        <w:tc>
          <w:tcPr>
            <w:tcW w:w="9003" w:type="dxa"/>
            <w:gridSpan w:val="6"/>
            <w:tcBorders>
              <w:top w:val="nil"/>
              <w:left w:val="nil"/>
              <w:bottom w:val="nil"/>
              <w:right w:val="nil"/>
            </w:tcBorders>
          </w:tcPr>
          <w:p w:rsidR="00103CE7" w:rsidRPr="00C901E0" w:rsidRDefault="00103CE7" w:rsidP="002C39AF">
            <w:pPr>
              <w:suppressLineNumbers/>
              <w:suppressAutoHyphens/>
              <w:ind w:left="34"/>
              <w:rPr>
                <w:lang w:val="es-ES"/>
              </w:rPr>
            </w:pPr>
            <w:r w:rsidRPr="00C901E0">
              <w:rPr>
                <w:color w:val="000000"/>
                <w:kern w:val="22"/>
                <w:sz w:val="16"/>
                <w:lang w:val="es-ES"/>
              </w:rPr>
              <w:t>5/ Indicativo.</w:t>
            </w:r>
          </w:p>
        </w:tc>
      </w:tr>
    </w:tbl>
    <w:p w:rsidR="00103CE7" w:rsidRPr="00C901E0" w:rsidRDefault="00103CE7" w:rsidP="00103CE7">
      <w:pPr>
        <w:suppressLineNumbers/>
        <w:suppressAutoHyphens/>
        <w:rPr>
          <w:kern w:val="22"/>
          <w:lang w:val="es-ES"/>
        </w:rPr>
      </w:pPr>
    </w:p>
    <w:p w:rsidR="00253427" w:rsidRPr="00C901E0" w:rsidRDefault="00253427" w:rsidP="00253427">
      <w:pPr>
        <w:suppressLineNumbers/>
        <w:suppressAutoHyphens/>
        <w:rPr>
          <w:kern w:val="22"/>
          <w:lang w:val="es-ES"/>
        </w:rPr>
      </w:pPr>
    </w:p>
    <w:p w:rsidR="00253427" w:rsidRPr="00C901E0" w:rsidRDefault="00253427" w:rsidP="00253427">
      <w:pPr>
        <w:suppressLineNumbers/>
        <w:suppressAutoHyphens/>
        <w:rPr>
          <w:kern w:val="22"/>
          <w:lang w:val="es-ES"/>
        </w:rPr>
        <w:sectPr w:rsidR="00253427" w:rsidRPr="00C901E0" w:rsidSect="00253427">
          <w:headerReference w:type="even" r:id="rId33"/>
          <w:headerReference w:type="default" r:id="rId34"/>
          <w:type w:val="continuous"/>
          <w:pgSz w:w="12240" w:h="15840"/>
          <w:pgMar w:top="567" w:right="1389" w:bottom="1134" w:left="1389" w:header="709" w:footer="709" w:gutter="0"/>
          <w:cols w:space="708"/>
          <w:titlePg/>
          <w:docGrid w:linePitch="360"/>
        </w:sectPr>
      </w:pPr>
    </w:p>
    <w:p w:rsidR="00253427" w:rsidRPr="00C901E0" w:rsidRDefault="00705B40" w:rsidP="00253427">
      <w:pPr>
        <w:suppressLineNumbers/>
        <w:suppressAutoHyphens/>
        <w:rPr>
          <w:b/>
          <w:kern w:val="22"/>
          <w:sz w:val="22"/>
          <w:szCs w:val="22"/>
          <w:lang w:val="es-ES"/>
        </w:rPr>
      </w:pPr>
      <w:r w:rsidRPr="00C901E0">
        <w:rPr>
          <w:b/>
          <w:kern w:val="22"/>
          <w:sz w:val="22"/>
          <w:szCs w:val="22"/>
          <w:lang w:val="es-ES"/>
        </w:rPr>
        <w:lastRenderedPageBreak/>
        <w:t>Cuadro 2. Contribuciones al Fondo Fiduciario para el Protocolo de Cartagena sobre Seguridad de la Biotecnología para el bienio 2019-2020</w:t>
      </w:r>
      <w:r w:rsidR="00253427" w:rsidRPr="00C901E0">
        <w:rPr>
          <w:rStyle w:val="FootnoteReference"/>
          <w:b/>
          <w:kern w:val="22"/>
          <w:sz w:val="22"/>
          <w:szCs w:val="22"/>
          <w:u w:val="none"/>
          <w:vertAlign w:val="superscript"/>
          <w:lang w:val="es-ES"/>
        </w:rPr>
        <w:footnoteReference w:id="25"/>
      </w:r>
    </w:p>
    <w:p w:rsidR="00F500C0" w:rsidRPr="00C901E0" w:rsidRDefault="00F500C0" w:rsidP="00F500C0">
      <w:pPr>
        <w:suppressLineNumbers/>
        <w:suppressAutoHyphens/>
        <w:rPr>
          <w:kern w:val="22"/>
          <w:sz w:val="22"/>
          <w:szCs w:val="22"/>
          <w:lang w:val="es-ES"/>
        </w:rPr>
      </w:pPr>
    </w:p>
    <w:tbl>
      <w:tblPr>
        <w:tblW w:w="14049" w:type="dxa"/>
        <w:jc w:val="center"/>
        <w:tblInd w:w="306" w:type="dxa"/>
        <w:tblLayout w:type="fixed"/>
        <w:tblLook w:val="00A0"/>
      </w:tblPr>
      <w:tblGrid>
        <w:gridCol w:w="2450"/>
        <w:gridCol w:w="2031"/>
        <w:gridCol w:w="3832"/>
        <w:gridCol w:w="2125"/>
        <w:gridCol w:w="2125"/>
        <w:gridCol w:w="1486"/>
      </w:tblGrid>
      <w:tr w:rsidR="00F500C0" w:rsidRPr="00C901E0" w:rsidTr="00F500C0">
        <w:trPr>
          <w:cantSplit/>
          <w:tblHeader/>
          <w:jc w:val="center"/>
        </w:trPr>
        <w:tc>
          <w:tcPr>
            <w:tcW w:w="2450" w:type="dxa"/>
            <w:tcBorders>
              <w:top w:val="single" w:sz="4" w:space="0" w:color="auto"/>
              <w:left w:val="single" w:sz="4" w:space="0" w:color="auto"/>
              <w:bottom w:val="single" w:sz="4" w:space="0" w:color="auto"/>
              <w:right w:val="single" w:sz="4" w:space="0" w:color="auto"/>
            </w:tcBorders>
            <w:noWrap/>
            <w:vAlign w:val="center"/>
          </w:tcPr>
          <w:p w:rsidR="00F500C0" w:rsidRPr="00C901E0" w:rsidRDefault="00F500C0" w:rsidP="002C39AF">
            <w:pPr>
              <w:jc w:val="center"/>
              <w:rPr>
                <w:sz w:val="22"/>
                <w:szCs w:val="22"/>
                <w:lang w:val="es-ES"/>
              </w:rPr>
            </w:pPr>
            <w:r w:rsidRPr="00C901E0">
              <w:rPr>
                <w:b/>
                <w:sz w:val="22"/>
                <w:szCs w:val="22"/>
                <w:lang w:val="es-ES"/>
              </w:rPr>
              <w:t>Parte</w:t>
            </w:r>
          </w:p>
        </w:tc>
        <w:tc>
          <w:tcPr>
            <w:tcW w:w="2031" w:type="dxa"/>
            <w:tcBorders>
              <w:top w:val="single" w:sz="4" w:space="0" w:color="auto"/>
              <w:left w:val="nil"/>
              <w:bottom w:val="single" w:sz="4" w:space="0" w:color="auto"/>
              <w:right w:val="single" w:sz="4" w:space="0" w:color="auto"/>
            </w:tcBorders>
            <w:vAlign w:val="center"/>
          </w:tcPr>
          <w:p w:rsidR="00F500C0" w:rsidRPr="00C901E0" w:rsidRDefault="00F500C0" w:rsidP="002C39AF">
            <w:pPr>
              <w:jc w:val="center"/>
              <w:rPr>
                <w:sz w:val="22"/>
                <w:szCs w:val="22"/>
                <w:lang w:val="es-ES"/>
              </w:rPr>
            </w:pPr>
            <w:r w:rsidRPr="00C901E0">
              <w:rPr>
                <w:b/>
                <w:sz w:val="22"/>
                <w:szCs w:val="22"/>
                <w:lang w:val="es-ES"/>
              </w:rPr>
              <w:t>Escala de cuotas 2016-2018</w:t>
            </w:r>
          </w:p>
        </w:tc>
        <w:tc>
          <w:tcPr>
            <w:tcW w:w="3832" w:type="dxa"/>
            <w:tcBorders>
              <w:top w:val="single" w:sz="4" w:space="0" w:color="auto"/>
              <w:left w:val="nil"/>
              <w:bottom w:val="single" w:sz="4" w:space="0" w:color="auto"/>
              <w:right w:val="single" w:sz="4" w:space="0" w:color="auto"/>
            </w:tcBorders>
            <w:vAlign w:val="center"/>
          </w:tcPr>
          <w:p w:rsidR="00F500C0" w:rsidRPr="00C901E0" w:rsidRDefault="00F500C0" w:rsidP="002C39AF">
            <w:pPr>
              <w:jc w:val="center"/>
              <w:rPr>
                <w:sz w:val="22"/>
                <w:szCs w:val="22"/>
                <w:lang w:val="es-ES"/>
              </w:rPr>
            </w:pPr>
            <w:r w:rsidRPr="00C901E0">
              <w:rPr>
                <w:b/>
                <w:sz w:val="22"/>
                <w:szCs w:val="22"/>
                <w:lang w:val="es-ES"/>
              </w:rPr>
              <w:t>Escala con tope del 22%, en la que ningún país menos adelantado paga más del 0,01%</w:t>
            </w:r>
          </w:p>
        </w:tc>
        <w:tc>
          <w:tcPr>
            <w:tcW w:w="2125" w:type="dxa"/>
            <w:tcBorders>
              <w:top w:val="single" w:sz="4" w:space="0" w:color="auto"/>
              <w:left w:val="nil"/>
              <w:bottom w:val="single" w:sz="4" w:space="0" w:color="auto"/>
              <w:right w:val="single" w:sz="4" w:space="0" w:color="auto"/>
            </w:tcBorders>
            <w:vAlign w:val="center"/>
          </w:tcPr>
          <w:p w:rsidR="00F500C0" w:rsidRPr="00C901E0" w:rsidRDefault="00F500C0" w:rsidP="00F500C0">
            <w:pPr>
              <w:jc w:val="center"/>
              <w:rPr>
                <w:sz w:val="22"/>
                <w:szCs w:val="22"/>
                <w:lang w:val="es-ES"/>
              </w:rPr>
            </w:pPr>
            <w:r w:rsidRPr="00C901E0">
              <w:rPr>
                <w:b/>
                <w:sz w:val="22"/>
                <w:szCs w:val="22"/>
                <w:lang w:val="es-ES"/>
              </w:rPr>
              <w:t>Contribución al 1 de enero de 2019</w:t>
            </w:r>
          </w:p>
        </w:tc>
        <w:tc>
          <w:tcPr>
            <w:tcW w:w="2125" w:type="dxa"/>
            <w:tcBorders>
              <w:top w:val="single" w:sz="4" w:space="0" w:color="auto"/>
              <w:left w:val="nil"/>
              <w:bottom w:val="single" w:sz="4" w:space="0" w:color="auto"/>
              <w:right w:val="single" w:sz="4" w:space="0" w:color="auto"/>
            </w:tcBorders>
            <w:vAlign w:val="center"/>
          </w:tcPr>
          <w:p w:rsidR="00F500C0" w:rsidRPr="00C901E0" w:rsidRDefault="00F500C0" w:rsidP="002C39AF">
            <w:pPr>
              <w:jc w:val="center"/>
              <w:rPr>
                <w:sz w:val="22"/>
                <w:szCs w:val="22"/>
                <w:lang w:val="es-ES"/>
              </w:rPr>
            </w:pPr>
            <w:r w:rsidRPr="00C901E0">
              <w:rPr>
                <w:b/>
                <w:sz w:val="22"/>
                <w:szCs w:val="22"/>
                <w:lang w:val="es-ES"/>
              </w:rPr>
              <w:t>Contribución al 1 de enero de 2020</w:t>
            </w:r>
          </w:p>
        </w:tc>
        <w:tc>
          <w:tcPr>
            <w:tcW w:w="1486" w:type="dxa"/>
            <w:tcBorders>
              <w:top w:val="single" w:sz="4" w:space="0" w:color="auto"/>
              <w:left w:val="nil"/>
              <w:bottom w:val="single" w:sz="4" w:space="0" w:color="auto"/>
              <w:right w:val="single" w:sz="4" w:space="0" w:color="auto"/>
            </w:tcBorders>
            <w:vAlign w:val="center"/>
          </w:tcPr>
          <w:p w:rsidR="00F500C0" w:rsidRPr="00C901E0" w:rsidRDefault="00F500C0" w:rsidP="00F500C0">
            <w:pPr>
              <w:jc w:val="center"/>
              <w:rPr>
                <w:b/>
                <w:sz w:val="22"/>
                <w:szCs w:val="22"/>
                <w:lang w:val="es-ES"/>
              </w:rPr>
            </w:pPr>
            <w:r w:rsidRPr="00C901E0">
              <w:rPr>
                <w:b/>
                <w:sz w:val="22"/>
                <w:szCs w:val="22"/>
                <w:lang w:val="es-ES"/>
              </w:rPr>
              <w:t>Total</w:t>
            </w:r>
          </w:p>
          <w:p w:rsidR="00F500C0" w:rsidRPr="00C901E0" w:rsidRDefault="00F500C0" w:rsidP="00F500C0">
            <w:pPr>
              <w:jc w:val="center"/>
              <w:rPr>
                <w:sz w:val="22"/>
                <w:szCs w:val="22"/>
                <w:lang w:val="es-ES"/>
              </w:rPr>
            </w:pPr>
            <w:r w:rsidRPr="00C901E0">
              <w:rPr>
                <w:b/>
                <w:sz w:val="22"/>
                <w:szCs w:val="22"/>
                <w:lang w:val="es-ES"/>
              </w:rPr>
              <w:t>2019-2020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Afganistán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221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430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Albania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278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295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573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Alemania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6,389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9,251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222 140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235 558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457 698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Angola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Antigua y Barbuda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Arabia Saudita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1,146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1,659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39 845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42 252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82 098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w:t>
            </w:r>
            <w:r w:rsidRPr="00C901E0">
              <w:rPr>
                <w:spacing w:val="-2"/>
                <w:sz w:val="22"/>
                <w:szCs w:val="22"/>
                <w:lang w:val="es-ES"/>
              </w:rPr>
              <w:t>r</w:t>
            </w:r>
            <w:r w:rsidRPr="00C901E0">
              <w:rPr>
                <w:sz w:val="22"/>
                <w:szCs w:val="22"/>
                <w:lang w:val="es-ES"/>
              </w:rPr>
              <w:t>g</w:t>
            </w:r>
            <w:r w:rsidRPr="00C901E0">
              <w:rPr>
                <w:spacing w:val="-2"/>
                <w:sz w:val="22"/>
                <w:szCs w:val="22"/>
                <w:lang w:val="es-ES"/>
              </w:rPr>
              <w:t>e</w:t>
            </w:r>
            <w:r w:rsidRPr="00C901E0">
              <w:rPr>
                <w:spacing w:val="-3"/>
                <w:sz w:val="22"/>
                <w:szCs w:val="22"/>
                <w:lang w:val="es-ES"/>
              </w:rPr>
              <w:t>l</w:t>
            </w:r>
            <w:r w:rsidRPr="00C901E0">
              <w:rPr>
                <w:spacing w:val="-2"/>
                <w:sz w:val="22"/>
                <w:szCs w:val="22"/>
                <w:lang w:val="es-ES"/>
              </w:rPr>
              <w:t>i</w:t>
            </w:r>
            <w:r w:rsidRPr="00C901E0">
              <w:rPr>
                <w:sz w:val="22"/>
                <w:szCs w:val="22"/>
                <w:lang w:val="es-ES"/>
              </w:rPr>
              <w:t>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0,161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0,233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5 598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5 936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11 534</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Armenia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221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430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Austria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0,720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1,042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25 034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26 546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51 580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Azerbaiyán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0,060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0,087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2 086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2 212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4 298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Bahamas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487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516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1 003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pacing w:val="1"/>
                <w:sz w:val="22"/>
                <w:szCs w:val="22"/>
                <w:lang w:val="es-ES"/>
              </w:rPr>
              <w:t>B</w:t>
            </w:r>
            <w:r w:rsidRPr="00C901E0">
              <w:rPr>
                <w:spacing w:val="-2"/>
                <w:sz w:val="22"/>
                <w:szCs w:val="22"/>
                <w:lang w:val="es-ES"/>
              </w:rPr>
              <w:t>a</w:t>
            </w:r>
            <w:r w:rsidRPr="00C901E0">
              <w:rPr>
                <w:spacing w:val="-3"/>
                <w:sz w:val="22"/>
                <w:szCs w:val="22"/>
                <w:lang w:val="es-ES"/>
              </w:rPr>
              <w:t>h</w:t>
            </w:r>
            <w:r w:rsidRPr="00C901E0">
              <w:rPr>
                <w:sz w:val="22"/>
                <w:szCs w:val="22"/>
                <w:lang w:val="es-ES"/>
              </w:rPr>
              <w:t>r</w:t>
            </w:r>
            <w:r w:rsidRPr="00C901E0">
              <w:rPr>
                <w:spacing w:val="-2"/>
                <w:sz w:val="22"/>
                <w:szCs w:val="22"/>
                <w:lang w:val="es-ES"/>
              </w:rPr>
              <w:t>ei</w:t>
            </w:r>
            <w:r w:rsidRPr="00C901E0">
              <w:rPr>
                <w:sz w:val="22"/>
                <w:szCs w:val="22"/>
                <w:lang w:val="es-ES"/>
              </w:rPr>
              <w:t>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0,044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0,064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1 530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1 622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3 152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Bangladesh</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Barbados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0,007</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501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Belarús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0,056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0,081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1 947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2 065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4 012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pacing w:val="1"/>
                <w:sz w:val="22"/>
                <w:szCs w:val="22"/>
                <w:lang w:val="es-ES"/>
              </w:rPr>
              <w:t>B</w:t>
            </w:r>
            <w:r w:rsidRPr="00C901E0">
              <w:rPr>
                <w:spacing w:val="-2"/>
                <w:sz w:val="22"/>
                <w:szCs w:val="22"/>
                <w:lang w:val="es-ES"/>
              </w:rPr>
              <w:t>él</w:t>
            </w:r>
            <w:r w:rsidRPr="00C901E0">
              <w:rPr>
                <w:sz w:val="22"/>
                <w:szCs w:val="22"/>
                <w:lang w:val="es-ES"/>
              </w:rPr>
              <w:t>g</w:t>
            </w:r>
            <w:r w:rsidRPr="00C901E0">
              <w:rPr>
                <w:spacing w:val="-3"/>
                <w:sz w:val="22"/>
                <w:szCs w:val="22"/>
                <w:lang w:val="es-ES"/>
              </w:rPr>
              <w:t>i</w:t>
            </w:r>
            <w:r w:rsidRPr="00C901E0">
              <w:rPr>
                <w:sz w:val="22"/>
                <w:szCs w:val="22"/>
                <w:lang w:val="es-ES"/>
              </w:rPr>
              <w:t>ca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0,885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1,281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30 771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32 629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63 400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Belice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Benin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215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pacing w:val="1"/>
                <w:sz w:val="22"/>
                <w:szCs w:val="22"/>
                <w:lang w:val="es-ES"/>
              </w:rPr>
              <w:t>B</w:t>
            </w:r>
            <w:r w:rsidRPr="00C901E0">
              <w:rPr>
                <w:spacing w:val="-3"/>
                <w:sz w:val="22"/>
                <w:szCs w:val="22"/>
                <w:lang w:val="es-ES"/>
              </w:rPr>
              <w:t>h</w:t>
            </w:r>
            <w:r w:rsidRPr="00C901E0">
              <w:rPr>
                <w:sz w:val="22"/>
                <w:szCs w:val="22"/>
                <w:lang w:val="es-ES"/>
              </w:rPr>
              <w:t>u</w:t>
            </w:r>
            <w:r w:rsidRPr="00C901E0">
              <w:rPr>
                <w:spacing w:val="-2"/>
                <w:sz w:val="22"/>
                <w:szCs w:val="22"/>
                <w:lang w:val="es-ES"/>
              </w:rPr>
              <w:t>tá</w:t>
            </w:r>
            <w:r w:rsidRPr="00C901E0">
              <w:rPr>
                <w:sz w:val="22"/>
                <w:szCs w:val="22"/>
                <w:lang w:val="es-ES"/>
              </w:rPr>
              <w:t>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Bolivia (Estado Plurinacional de)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417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442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860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Bo</w:t>
            </w:r>
            <w:r w:rsidRPr="00C901E0">
              <w:rPr>
                <w:spacing w:val="-2"/>
                <w:sz w:val="22"/>
                <w:szCs w:val="22"/>
                <w:lang w:val="es-ES"/>
              </w:rPr>
              <w:t>s</w:t>
            </w:r>
            <w:r w:rsidRPr="00C901E0">
              <w:rPr>
                <w:spacing w:val="-3"/>
                <w:sz w:val="22"/>
                <w:szCs w:val="22"/>
                <w:lang w:val="es-ES"/>
              </w:rPr>
              <w:t>n</w:t>
            </w:r>
            <w:r w:rsidRPr="00C901E0">
              <w:rPr>
                <w:spacing w:val="-2"/>
                <w:sz w:val="22"/>
                <w:szCs w:val="22"/>
                <w:lang w:val="es-ES"/>
              </w:rPr>
              <w:t xml:space="preserve">ia </w:t>
            </w:r>
            <w:r w:rsidRPr="00C901E0">
              <w:rPr>
                <w:sz w:val="22"/>
                <w:szCs w:val="22"/>
                <w:lang w:val="es-ES"/>
              </w:rPr>
              <w:t>y</w:t>
            </w:r>
            <w:r w:rsidRPr="00C901E0">
              <w:rPr>
                <w:spacing w:val="-2"/>
                <w:sz w:val="22"/>
                <w:szCs w:val="22"/>
                <w:lang w:val="es-ES"/>
              </w:rPr>
              <w:t xml:space="preserve"> Her</w:t>
            </w:r>
            <w:r w:rsidRPr="00C901E0">
              <w:rPr>
                <w:spacing w:val="-3"/>
                <w:sz w:val="22"/>
                <w:szCs w:val="22"/>
                <w:lang w:val="es-ES"/>
              </w:rPr>
              <w:t>z</w:t>
            </w:r>
            <w:r w:rsidRPr="00C901E0">
              <w:rPr>
                <w:spacing w:val="-2"/>
                <w:sz w:val="22"/>
                <w:szCs w:val="22"/>
                <w:lang w:val="es-ES"/>
              </w:rPr>
              <w:t>egov</w:t>
            </w:r>
            <w:r w:rsidRPr="00C901E0">
              <w:rPr>
                <w:sz w:val="22"/>
                <w:szCs w:val="22"/>
                <w:lang w:val="es-ES"/>
              </w:rPr>
              <w:t>ina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452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479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931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Botswana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487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516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1 003</w:t>
            </w:r>
          </w:p>
        </w:tc>
      </w:tr>
      <w:tr w:rsidR="00F500C0" w:rsidRPr="00C901E0" w:rsidTr="00F500C0">
        <w:trPr>
          <w:cantSplit/>
          <w:jc w:val="center"/>
        </w:trPr>
        <w:tc>
          <w:tcPr>
            <w:tcW w:w="2450" w:type="dxa"/>
            <w:tcBorders>
              <w:top w:val="single" w:sz="4" w:space="0" w:color="auto"/>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Brasil</w:t>
            </w:r>
          </w:p>
        </w:tc>
        <w:tc>
          <w:tcPr>
            <w:tcW w:w="2031" w:type="dxa"/>
            <w:tcBorders>
              <w:top w:val="single" w:sz="4" w:space="0" w:color="auto"/>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3,823</w:t>
            </w:r>
          </w:p>
        </w:tc>
        <w:tc>
          <w:tcPr>
            <w:tcW w:w="3832"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5,535</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132 922</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140 951</w:t>
            </w:r>
          </w:p>
        </w:tc>
        <w:tc>
          <w:tcPr>
            <w:tcW w:w="1486"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273 874</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Bulgaria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0,045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0,065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1 565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1 659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3 224</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Burkina Faso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lastRenderedPageBreak/>
              <w:t>Burundi</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Cabo Verde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Camboya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Camerún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348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369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716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Chad</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184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Chequia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0,344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0,498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11 961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12 683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24 644</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China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7,921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11,469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275 406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292 042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567 448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Chipre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0,043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0,062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1 495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1 585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3 080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Colombia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0,322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0,466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11 196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11 872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23 068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Comoras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Congo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221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430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Costa Rica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0,047</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0,068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1 634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1 733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3 367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Côte d’Ivoire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313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332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645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Croacia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0,099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0,143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3 442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3 650</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7 092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Cuba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0,065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0,094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2 260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2 397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4 656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Dinamarca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0,584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0,846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20 305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21 532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41 837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Djibouti</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Dominica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single" w:sz="4" w:space="0" w:color="auto"/>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Ecuador</w:t>
            </w:r>
          </w:p>
        </w:tc>
        <w:tc>
          <w:tcPr>
            <w:tcW w:w="2031" w:type="dxa"/>
            <w:tcBorders>
              <w:top w:val="single" w:sz="4" w:space="0" w:color="auto"/>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0,067</w:t>
            </w:r>
          </w:p>
        </w:tc>
        <w:tc>
          <w:tcPr>
            <w:tcW w:w="3832"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0,097</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2 330</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2 470</w:t>
            </w:r>
          </w:p>
        </w:tc>
        <w:tc>
          <w:tcPr>
            <w:tcW w:w="1486"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4 800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Egipto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0,152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0,220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5 285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5 604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10 889</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El Salvador</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487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516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1 003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Emiratos Árabes Unidos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0,604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0,875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21 001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22 269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43 270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Eritrea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Es</w:t>
            </w:r>
            <w:r w:rsidRPr="00C901E0">
              <w:rPr>
                <w:spacing w:val="-2"/>
                <w:sz w:val="22"/>
                <w:szCs w:val="22"/>
                <w:lang w:val="es-ES"/>
              </w:rPr>
              <w:t>lovaqui</w:t>
            </w:r>
            <w:r w:rsidRPr="00C901E0">
              <w:rPr>
                <w:sz w:val="22"/>
                <w:szCs w:val="22"/>
                <w:lang w:val="es-ES"/>
              </w:rPr>
              <w:t>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0,160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0,232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5 563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5 899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11 462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Eslovenia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0,084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0,122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2 921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3 097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6 018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Es</w:t>
            </w:r>
            <w:r w:rsidRPr="00C901E0">
              <w:rPr>
                <w:spacing w:val="-2"/>
                <w:sz w:val="22"/>
                <w:szCs w:val="22"/>
                <w:lang w:val="es-ES"/>
              </w:rPr>
              <w:t>pa</w:t>
            </w:r>
            <w:r w:rsidRPr="00C901E0">
              <w:rPr>
                <w:spacing w:val="-3"/>
                <w:sz w:val="22"/>
                <w:szCs w:val="22"/>
                <w:lang w:val="es-ES"/>
              </w:rPr>
              <w:t>ña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2,443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3,537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84 941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90 072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175 013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Estado de Palestina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0,007</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501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Estonia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0,038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0,055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1 321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1 401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2 722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Eswatini</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Etiopía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ex República Yugoslava de Macedonia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0,007</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501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lastRenderedPageBreak/>
              <w:t>Fiji</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215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Filipinas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0,165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0,239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5 737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6 083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11 820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Finlandia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0,456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0,660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15 855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16 812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32 667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Francia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4,859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7,035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168 943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179 148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348 091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Gabón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0,017</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591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627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1 218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Gambia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Georgia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278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295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573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Ghana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556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590</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1 146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Granada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Grecia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0,471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0,682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16 376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17 365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33 742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Guatemala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0,028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0,041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974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1 032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2 006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Guinea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Guinea-Bissau</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Guyana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Honduras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278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295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573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Hu</w:t>
            </w:r>
            <w:r w:rsidRPr="00C901E0">
              <w:rPr>
                <w:spacing w:val="-3"/>
                <w:sz w:val="22"/>
                <w:szCs w:val="22"/>
                <w:lang w:val="es-ES"/>
              </w:rPr>
              <w:t>n</w:t>
            </w:r>
            <w:r w:rsidRPr="00C901E0">
              <w:rPr>
                <w:sz w:val="22"/>
                <w:szCs w:val="22"/>
                <w:lang w:val="es-ES"/>
              </w:rPr>
              <w:t>gría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0,161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0,233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5 598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5 936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11 534</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India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0,737</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1,067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25 625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27 173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52 797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Indonesia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0,504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0,730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17 524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18 582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36 106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Irán (República Islámica del)</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0,471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0,682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16 376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17 365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33 742</w:t>
            </w:r>
          </w:p>
        </w:tc>
      </w:tr>
      <w:tr w:rsidR="00F500C0" w:rsidRPr="00C901E0" w:rsidTr="00F500C0">
        <w:trPr>
          <w:cantSplit/>
          <w:jc w:val="center"/>
        </w:trPr>
        <w:tc>
          <w:tcPr>
            <w:tcW w:w="2450" w:type="dxa"/>
            <w:tcBorders>
              <w:top w:val="single" w:sz="4" w:space="0" w:color="auto"/>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Iraq</w:t>
            </w:r>
          </w:p>
        </w:tc>
        <w:tc>
          <w:tcPr>
            <w:tcW w:w="2031" w:type="dxa"/>
            <w:tcBorders>
              <w:top w:val="single" w:sz="4" w:space="0" w:color="auto"/>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0,129</w:t>
            </w:r>
          </w:p>
        </w:tc>
        <w:tc>
          <w:tcPr>
            <w:tcW w:w="3832"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0,187</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4 485</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4 756</w:t>
            </w:r>
          </w:p>
        </w:tc>
        <w:tc>
          <w:tcPr>
            <w:tcW w:w="1486"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9 241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Irla</w:t>
            </w:r>
            <w:r w:rsidRPr="00C901E0">
              <w:rPr>
                <w:spacing w:val="-3"/>
                <w:sz w:val="22"/>
                <w:szCs w:val="22"/>
                <w:lang w:val="es-ES"/>
              </w:rPr>
              <w:t>n</w:t>
            </w:r>
            <w:r w:rsidRPr="00C901E0">
              <w:rPr>
                <w:sz w:val="22"/>
                <w:szCs w:val="22"/>
                <w:lang w:val="es-ES"/>
              </w:rPr>
              <w:t>da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0,335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0,485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11 648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12 351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23 999</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Islas Marshall</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Islas Salomón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Italia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3,748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5,427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130 315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138 186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268 501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Jamaica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313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332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645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Japón</w:t>
            </w:r>
          </w:p>
        </w:tc>
        <w:tc>
          <w:tcPr>
            <w:tcW w:w="2031" w:type="dxa"/>
            <w:tcBorders>
              <w:top w:val="nil"/>
              <w:left w:val="nil"/>
              <w:bottom w:val="single" w:sz="4" w:space="0" w:color="auto"/>
              <w:right w:val="single" w:sz="4" w:space="0" w:color="auto"/>
            </w:tcBorders>
            <w:noWrap/>
            <w:vAlign w:val="center"/>
          </w:tcPr>
          <w:p w:rsidR="00F500C0" w:rsidRPr="00C901E0" w:rsidRDefault="00F500C0" w:rsidP="002C39AF">
            <w:pPr>
              <w:ind w:right="770"/>
              <w:jc w:val="right"/>
              <w:rPr>
                <w:sz w:val="22"/>
                <w:szCs w:val="22"/>
                <w:lang w:val="es-ES"/>
              </w:rPr>
            </w:pPr>
            <w:r w:rsidRPr="00C901E0">
              <w:rPr>
                <w:sz w:val="22"/>
                <w:szCs w:val="22"/>
                <w:lang w:val="es-ES"/>
              </w:rPr>
              <w:t>9,680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14,016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336 565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356 895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693 460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Jordania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0,020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695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1 433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K</w:t>
            </w:r>
            <w:r w:rsidRPr="00C901E0">
              <w:rPr>
                <w:spacing w:val="-2"/>
                <w:sz w:val="22"/>
                <w:szCs w:val="22"/>
                <w:lang w:val="es-ES"/>
              </w:rPr>
              <w:t>a</w:t>
            </w:r>
            <w:r w:rsidRPr="00C901E0">
              <w:rPr>
                <w:spacing w:val="-3"/>
                <w:sz w:val="22"/>
                <w:szCs w:val="22"/>
                <w:lang w:val="es-ES"/>
              </w:rPr>
              <w:t>z</w:t>
            </w:r>
            <w:r w:rsidRPr="00C901E0">
              <w:rPr>
                <w:spacing w:val="-2"/>
                <w:sz w:val="22"/>
                <w:szCs w:val="22"/>
                <w:lang w:val="es-ES"/>
              </w:rPr>
              <w:t>ajs</w:t>
            </w:r>
            <w:r w:rsidRPr="00C901E0">
              <w:rPr>
                <w:sz w:val="22"/>
                <w:szCs w:val="22"/>
                <w:lang w:val="es-ES"/>
              </w:rPr>
              <w:t>t</w:t>
            </w:r>
            <w:r w:rsidRPr="00C901E0">
              <w:rPr>
                <w:spacing w:val="-2"/>
                <w:sz w:val="22"/>
                <w:szCs w:val="22"/>
                <w:lang w:val="es-ES"/>
              </w:rPr>
              <w:t>á</w:t>
            </w:r>
            <w:r w:rsidRPr="00C901E0">
              <w:rPr>
                <w:sz w:val="22"/>
                <w:szCs w:val="22"/>
                <w:lang w:val="es-ES"/>
              </w:rPr>
              <w:t>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0,191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0,277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6 641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7 042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13 683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Kenya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626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664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1 289</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Kirguistán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Kiribati</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lastRenderedPageBreak/>
              <w:t>Kuwait</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0,285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0,413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9 909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10 508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20 417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Lesotho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L</w:t>
            </w:r>
            <w:r w:rsidRPr="00C901E0">
              <w:rPr>
                <w:spacing w:val="-2"/>
                <w:sz w:val="22"/>
                <w:szCs w:val="22"/>
                <w:lang w:val="es-ES"/>
              </w:rPr>
              <w:t>etoni</w:t>
            </w:r>
            <w:r w:rsidRPr="00C901E0">
              <w:rPr>
                <w:sz w:val="22"/>
                <w:szCs w:val="22"/>
                <w:lang w:val="es-ES"/>
              </w:rPr>
              <w:t>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0,050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0,072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1 738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1 843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3 582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Líba</w:t>
            </w:r>
            <w:r w:rsidRPr="00C901E0">
              <w:rPr>
                <w:spacing w:val="-3"/>
                <w:sz w:val="22"/>
                <w:szCs w:val="22"/>
                <w:lang w:val="es-ES"/>
              </w:rPr>
              <w:t>n</w:t>
            </w:r>
            <w:r w:rsidRPr="00C901E0">
              <w:rPr>
                <w:sz w:val="22"/>
                <w:szCs w:val="22"/>
                <w:lang w:val="es-ES"/>
              </w:rPr>
              <w:t>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0,046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0,067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1 599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1 696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3 295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Liberia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Libia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0,125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0,181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4 346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4 609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8 955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L</w:t>
            </w:r>
            <w:r w:rsidRPr="00C901E0">
              <w:rPr>
                <w:spacing w:val="-3"/>
                <w:sz w:val="22"/>
                <w:szCs w:val="22"/>
                <w:lang w:val="es-ES"/>
              </w:rPr>
              <w:t>i</w:t>
            </w:r>
            <w:r w:rsidRPr="00C901E0">
              <w:rPr>
                <w:sz w:val="22"/>
                <w:szCs w:val="22"/>
                <w:lang w:val="es-ES"/>
              </w:rPr>
              <w:t>tuan</w:t>
            </w:r>
            <w:r w:rsidRPr="00C901E0">
              <w:rPr>
                <w:spacing w:val="-3"/>
                <w:sz w:val="22"/>
                <w:szCs w:val="22"/>
                <w:lang w:val="es-ES"/>
              </w:rPr>
              <w:t>i</w:t>
            </w:r>
            <w:r w:rsidRPr="00C901E0">
              <w:rPr>
                <w:sz w:val="22"/>
                <w:szCs w:val="22"/>
                <w:lang w:val="es-ES"/>
              </w:rPr>
              <w:t>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0,072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2 503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2 655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5 158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Lu</w:t>
            </w:r>
            <w:r w:rsidRPr="00C901E0">
              <w:rPr>
                <w:spacing w:val="-3"/>
                <w:sz w:val="22"/>
                <w:szCs w:val="22"/>
                <w:lang w:val="es-ES"/>
              </w:rPr>
              <w:t>x</w:t>
            </w:r>
            <w:r w:rsidRPr="00C901E0">
              <w:rPr>
                <w:sz w:val="22"/>
                <w:szCs w:val="22"/>
                <w:lang w:val="es-ES"/>
              </w:rPr>
              <w:t>emburgo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0,064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0,093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2 225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2 360</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4 585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Madagascar</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215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Malasia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0,322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0,466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11 196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11 872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23 068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Malawi</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Maldivas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Malí</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215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Malta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556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590</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1 146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Marruecos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0,054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0,078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1 878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1 991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3 868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pacing w:val="-2"/>
                <w:sz w:val="22"/>
                <w:szCs w:val="22"/>
                <w:lang w:val="es-ES"/>
              </w:rPr>
              <w:t>Ma</w:t>
            </w:r>
            <w:r w:rsidRPr="00C901E0">
              <w:rPr>
                <w:sz w:val="22"/>
                <w:szCs w:val="22"/>
                <w:lang w:val="es-ES"/>
              </w:rPr>
              <w:t>u</w:t>
            </w:r>
            <w:r w:rsidRPr="00C901E0">
              <w:rPr>
                <w:spacing w:val="-3"/>
                <w:sz w:val="22"/>
                <w:szCs w:val="22"/>
                <w:lang w:val="es-ES"/>
              </w:rPr>
              <w:t>r</w:t>
            </w:r>
            <w:r w:rsidRPr="00C901E0">
              <w:rPr>
                <w:spacing w:val="-2"/>
                <w:sz w:val="22"/>
                <w:szCs w:val="22"/>
                <w:lang w:val="es-ES"/>
              </w:rPr>
              <w:t>i</w:t>
            </w:r>
            <w:r w:rsidRPr="00C901E0">
              <w:rPr>
                <w:sz w:val="22"/>
                <w:szCs w:val="22"/>
                <w:lang w:val="es-ES"/>
              </w:rPr>
              <w:t>c</w:t>
            </w:r>
            <w:r w:rsidRPr="00C901E0">
              <w:rPr>
                <w:spacing w:val="-2"/>
                <w:sz w:val="22"/>
                <w:szCs w:val="22"/>
                <w:lang w:val="es-ES"/>
              </w:rPr>
              <w:t>io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417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442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860</w:t>
            </w:r>
          </w:p>
        </w:tc>
      </w:tr>
      <w:tr w:rsidR="00F500C0" w:rsidRPr="00C901E0" w:rsidTr="00F500C0">
        <w:trPr>
          <w:cantSplit/>
          <w:jc w:val="center"/>
        </w:trPr>
        <w:tc>
          <w:tcPr>
            <w:tcW w:w="2450" w:type="dxa"/>
            <w:tcBorders>
              <w:top w:val="single" w:sz="4" w:space="0" w:color="auto"/>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Mauritania</w:t>
            </w:r>
          </w:p>
        </w:tc>
        <w:tc>
          <w:tcPr>
            <w:tcW w:w="2031" w:type="dxa"/>
            <w:tcBorders>
              <w:top w:val="single" w:sz="4" w:space="0" w:color="auto"/>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México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1,435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2,078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49 894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52 907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102 801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Mongolia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184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Montenegro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Mozambique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Myanmar</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Namibia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348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369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716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Nauru</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Nicaragua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Níger</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Nigeria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0,209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0,303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7 267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7 706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14 972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Niue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Noruega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0,849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1,229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29 519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31 302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60 821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Nueva Zelandia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0,268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0,388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9 318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9 881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19 199</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Omán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0,113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0,164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3 929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4 166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8 095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Países Bajos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1,482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2,146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51 528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54 640</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106 168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lastRenderedPageBreak/>
              <w:t>P</w:t>
            </w:r>
            <w:r w:rsidRPr="00C901E0">
              <w:rPr>
                <w:spacing w:val="-2"/>
                <w:sz w:val="22"/>
                <w:szCs w:val="22"/>
                <w:lang w:val="es-ES"/>
              </w:rPr>
              <w:t>ak</w:t>
            </w:r>
            <w:r w:rsidRPr="00C901E0">
              <w:rPr>
                <w:spacing w:val="-3"/>
                <w:sz w:val="22"/>
                <w:szCs w:val="22"/>
                <w:lang w:val="es-ES"/>
              </w:rPr>
              <w:t>i</w:t>
            </w:r>
            <w:r w:rsidRPr="00C901E0">
              <w:rPr>
                <w:spacing w:val="-2"/>
                <w:sz w:val="22"/>
                <w:szCs w:val="22"/>
                <w:lang w:val="es-ES"/>
              </w:rPr>
              <w:t>s</w:t>
            </w:r>
            <w:r w:rsidRPr="00C901E0">
              <w:rPr>
                <w:sz w:val="22"/>
                <w:szCs w:val="22"/>
                <w:lang w:val="es-ES"/>
              </w:rPr>
              <w:t>t</w:t>
            </w:r>
            <w:r w:rsidRPr="00C901E0">
              <w:rPr>
                <w:spacing w:val="-2"/>
                <w:sz w:val="22"/>
                <w:szCs w:val="22"/>
                <w:lang w:val="es-ES"/>
              </w:rPr>
              <w:t>án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0,093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3 234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3 429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6 662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Palau</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Panamá</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0,034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0,049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1 182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1 254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2 436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Papua Nueva Guinea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Paraguay</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0,020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487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516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1 003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Perú</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0,136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0,197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4 729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5 014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9 743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Polonia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0,841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1,218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29 241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31 007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60 248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Portugal</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0,392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0,568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13 629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14 453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28 082</w:t>
            </w:r>
          </w:p>
        </w:tc>
      </w:tr>
      <w:tr w:rsidR="00F500C0" w:rsidRPr="00C901E0" w:rsidTr="00F500C0">
        <w:trPr>
          <w:cantSplit/>
          <w:jc w:val="center"/>
        </w:trPr>
        <w:tc>
          <w:tcPr>
            <w:tcW w:w="2450" w:type="dxa"/>
            <w:tcBorders>
              <w:top w:val="single" w:sz="4" w:space="0" w:color="auto"/>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Qatar</w:t>
            </w:r>
          </w:p>
        </w:tc>
        <w:tc>
          <w:tcPr>
            <w:tcW w:w="2031" w:type="dxa"/>
            <w:tcBorders>
              <w:top w:val="single" w:sz="4" w:space="0" w:color="auto"/>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0,269</w:t>
            </w:r>
          </w:p>
        </w:tc>
        <w:tc>
          <w:tcPr>
            <w:tcW w:w="3832"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0,389</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9 353</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9 918</w:t>
            </w:r>
          </w:p>
        </w:tc>
        <w:tc>
          <w:tcPr>
            <w:tcW w:w="1486"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19 271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Reino Unido de Gran Bretaña e Irlanda del Norte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4,463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6,462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155 174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164 548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319 722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República Árabe Siria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0,024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834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885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1 719</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República Centroafricana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República de Corea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2,039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2,952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70 894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75 177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146 071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República de Moldova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República Democrática del Congo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República Democrática Popular Lao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111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215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pacing w:val="-2"/>
                <w:sz w:val="22"/>
                <w:szCs w:val="22"/>
                <w:lang w:val="es-ES"/>
              </w:rPr>
              <w:t>Rep</w:t>
            </w:r>
            <w:r w:rsidRPr="00C901E0">
              <w:rPr>
                <w:sz w:val="22"/>
                <w:szCs w:val="22"/>
                <w:lang w:val="es-ES"/>
              </w:rPr>
              <w:t>ú</w:t>
            </w:r>
            <w:r w:rsidRPr="00C901E0">
              <w:rPr>
                <w:spacing w:val="-2"/>
                <w:sz w:val="22"/>
                <w:szCs w:val="22"/>
                <w:lang w:val="es-ES"/>
              </w:rPr>
              <w:t>bli</w:t>
            </w:r>
            <w:r w:rsidRPr="00C901E0">
              <w:rPr>
                <w:sz w:val="22"/>
                <w:szCs w:val="22"/>
                <w:lang w:val="es-ES"/>
              </w:rPr>
              <w:t xml:space="preserve">ca </w:t>
            </w:r>
            <w:r w:rsidRPr="00C901E0">
              <w:rPr>
                <w:spacing w:val="-2"/>
                <w:sz w:val="22"/>
                <w:szCs w:val="22"/>
                <w:lang w:val="es-ES"/>
              </w:rPr>
              <w:t>Dominicana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0,046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0,067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1 599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1 696</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3 295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9503AA" w:rsidP="002C39AF">
            <w:pPr>
              <w:rPr>
                <w:sz w:val="22"/>
                <w:szCs w:val="22"/>
                <w:lang w:val="es-ES"/>
              </w:rPr>
            </w:pPr>
            <w:hyperlink r:id="rId35" w:history="1">
              <w:r w:rsidR="00F500C0" w:rsidRPr="00C901E0">
                <w:rPr>
                  <w:sz w:val="22"/>
                  <w:szCs w:val="22"/>
                  <w:lang w:val="es-ES"/>
                </w:rPr>
                <w:t>República Popular Democrática de Corea</w:t>
              </w:r>
            </w:hyperlink>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184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República Unida de Tanzanía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Rumania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0,184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0,266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6 398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6 784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13 181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Rwanda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9503AA" w:rsidP="002C39AF">
            <w:pPr>
              <w:rPr>
                <w:sz w:val="22"/>
                <w:szCs w:val="22"/>
                <w:lang w:val="es-ES"/>
              </w:rPr>
            </w:pPr>
            <w:hyperlink r:id="rId36" w:history="1">
              <w:r w:rsidR="00F500C0" w:rsidRPr="00C901E0">
                <w:rPr>
                  <w:sz w:val="22"/>
                  <w:szCs w:val="22"/>
                  <w:lang w:val="es-ES"/>
                </w:rPr>
                <w:t>Saint Kitts y Nevis</w:t>
              </w:r>
            </w:hyperlink>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Samoa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9503AA" w:rsidP="002C39AF">
            <w:pPr>
              <w:rPr>
                <w:sz w:val="22"/>
                <w:szCs w:val="22"/>
                <w:lang w:val="es-ES"/>
              </w:rPr>
            </w:pPr>
            <w:hyperlink r:id="rId37" w:history="1">
              <w:r w:rsidR="00F500C0" w:rsidRPr="00C901E0">
                <w:rPr>
                  <w:sz w:val="22"/>
                  <w:szCs w:val="22"/>
                  <w:lang w:val="es-ES"/>
                </w:rPr>
                <w:t>San Vicente y las Granadinas</w:t>
              </w:r>
            </w:hyperlink>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lastRenderedPageBreak/>
              <w:t>Santa Lucía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Senegal</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0,005</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174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184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Serbia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0,032</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0,046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1 113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1 180</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2 292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Seychelles</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Somalia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Sri Lanka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0,031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0,045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1 078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1 143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2 221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Sudáfrica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0,364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0,527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12 656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13 420</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26 076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Sudán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Suecia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0,956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1,384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33 239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35 247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68 486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Suiza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1,140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1,651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39 637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42 031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81 668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Suriname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209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221</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430</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Tailandia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0,291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0,421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10 118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10 729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20 847</w:t>
            </w:r>
          </w:p>
        </w:tc>
      </w:tr>
      <w:tr w:rsidR="00F500C0" w:rsidRPr="00C901E0" w:rsidTr="00F500C0">
        <w:trPr>
          <w:cantSplit/>
          <w:jc w:val="center"/>
        </w:trPr>
        <w:tc>
          <w:tcPr>
            <w:tcW w:w="2450" w:type="dxa"/>
            <w:tcBorders>
              <w:top w:val="single" w:sz="4" w:space="0" w:color="auto"/>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Tayikistán</w:t>
            </w:r>
          </w:p>
        </w:tc>
        <w:tc>
          <w:tcPr>
            <w:tcW w:w="2031" w:type="dxa"/>
            <w:tcBorders>
              <w:top w:val="single" w:sz="4" w:space="0" w:color="auto"/>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single" w:sz="4" w:space="0" w:color="auto"/>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Togo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Tonga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Trinidad y Tabago</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0,034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0,049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1 182</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1 254</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2 436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pacing w:val="1"/>
                <w:sz w:val="22"/>
                <w:szCs w:val="22"/>
                <w:lang w:val="es-ES"/>
              </w:rPr>
              <w:t>T</w:t>
            </w:r>
            <w:r w:rsidRPr="00C901E0">
              <w:rPr>
                <w:sz w:val="22"/>
                <w:szCs w:val="22"/>
                <w:lang w:val="es-ES"/>
              </w:rPr>
              <w:t>ú</w:t>
            </w:r>
            <w:r w:rsidRPr="00C901E0">
              <w:rPr>
                <w:spacing w:val="-3"/>
                <w:sz w:val="22"/>
                <w:szCs w:val="22"/>
                <w:lang w:val="es-ES"/>
              </w:rPr>
              <w:t>n</w:t>
            </w:r>
            <w:r w:rsidRPr="00C901E0">
              <w:rPr>
                <w:spacing w:val="-2"/>
                <w:sz w:val="22"/>
                <w:szCs w:val="22"/>
                <w:lang w:val="es-ES"/>
              </w:rPr>
              <w:t>ez</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0,028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0,041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974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1 032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2 006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Turkmenistán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0,026</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0,038</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904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959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1 863</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Tu</w:t>
            </w:r>
            <w:r w:rsidRPr="00C901E0">
              <w:rPr>
                <w:spacing w:val="-3"/>
                <w:sz w:val="22"/>
                <w:szCs w:val="22"/>
                <w:lang w:val="es-ES"/>
              </w:rPr>
              <w:t>r</w:t>
            </w:r>
            <w:r w:rsidRPr="00C901E0">
              <w:rPr>
                <w:spacing w:val="-2"/>
                <w:sz w:val="22"/>
                <w:szCs w:val="22"/>
                <w:lang w:val="es-ES"/>
              </w:rPr>
              <w:t>quía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1,018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1,474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35 395</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37 533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72 928</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Ucrania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0,103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0,149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3 581</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3 798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7 379</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Uganda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Unión Europea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rPr>
                <w:sz w:val="22"/>
                <w:szCs w:val="22"/>
                <w:lang w:val="es-ES"/>
              </w:rPr>
            </w:pP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2,500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60 033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63 659</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123 692</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Uruguay</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0,079</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0,114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2 747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2 913</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5 659</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Venezuela (República Bolivariana de)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0,571</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0,827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19 853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21 052</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40 906</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Viet Nam</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0,058</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0,084</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2 017</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2 138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4 155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Yemen</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0,010</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255</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495</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Zambia</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0,007</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0,010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243</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258</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501</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vAlign w:val="center"/>
          </w:tcPr>
          <w:p w:rsidR="00F500C0" w:rsidRPr="00C901E0" w:rsidRDefault="00F500C0" w:rsidP="002C39AF">
            <w:pPr>
              <w:rPr>
                <w:sz w:val="22"/>
                <w:szCs w:val="22"/>
                <w:lang w:val="es-ES"/>
              </w:rPr>
            </w:pPr>
            <w:r w:rsidRPr="00C901E0">
              <w:rPr>
                <w:sz w:val="22"/>
                <w:szCs w:val="22"/>
                <w:lang w:val="es-ES"/>
              </w:rPr>
              <w:t>Zimbabwe</w:t>
            </w:r>
          </w:p>
        </w:tc>
        <w:tc>
          <w:tcPr>
            <w:tcW w:w="2031" w:type="dxa"/>
            <w:tcBorders>
              <w:top w:val="nil"/>
              <w:left w:val="nil"/>
              <w:bottom w:val="single" w:sz="4" w:space="0" w:color="auto"/>
              <w:right w:val="single" w:sz="4" w:space="0" w:color="auto"/>
            </w:tcBorders>
            <w:vAlign w:val="center"/>
          </w:tcPr>
          <w:p w:rsidR="00F500C0" w:rsidRPr="00C901E0" w:rsidRDefault="00F500C0" w:rsidP="002C39AF">
            <w:pPr>
              <w:ind w:right="770"/>
              <w:jc w:val="right"/>
              <w:rPr>
                <w:sz w:val="22"/>
                <w:szCs w:val="22"/>
                <w:lang w:val="es-ES"/>
              </w:rPr>
            </w:pPr>
            <w:r w:rsidRPr="00C901E0">
              <w:rPr>
                <w:sz w:val="22"/>
                <w:szCs w:val="22"/>
                <w:lang w:val="es-ES"/>
              </w:rPr>
              <w:t>0,004</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sz w:val="22"/>
                <w:szCs w:val="22"/>
                <w:lang w:val="es-ES"/>
              </w:rPr>
            </w:pPr>
            <w:r w:rsidRPr="00C901E0">
              <w:rPr>
                <w:sz w:val="22"/>
                <w:szCs w:val="22"/>
                <w:lang w:val="es-ES"/>
              </w:rPr>
              <w:t>0,006</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139</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147</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sz w:val="22"/>
                <w:szCs w:val="22"/>
                <w:lang w:val="es-ES"/>
              </w:rPr>
            </w:pPr>
            <w:r w:rsidRPr="00C901E0">
              <w:rPr>
                <w:sz w:val="22"/>
                <w:szCs w:val="22"/>
                <w:lang w:val="es-ES"/>
              </w:rPr>
              <w:t>287</w:t>
            </w:r>
          </w:p>
        </w:tc>
      </w:tr>
      <w:tr w:rsidR="00F500C0" w:rsidRPr="00C901E0" w:rsidTr="00F500C0">
        <w:trPr>
          <w:cantSplit/>
          <w:jc w:val="center"/>
        </w:trPr>
        <w:tc>
          <w:tcPr>
            <w:tcW w:w="2450" w:type="dxa"/>
            <w:tcBorders>
              <w:top w:val="nil"/>
              <w:left w:val="single" w:sz="4" w:space="0" w:color="auto"/>
              <w:bottom w:val="single" w:sz="4" w:space="0" w:color="auto"/>
              <w:right w:val="single" w:sz="4" w:space="0" w:color="auto"/>
            </w:tcBorders>
            <w:noWrap/>
            <w:vAlign w:val="center"/>
          </w:tcPr>
          <w:p w:rsidR="00F500C0" w:rsidRPr="00C901E0" w:rsidRDefault="00F500C0" w:rsidP="002C39AF">
            <w:pPr>
              <w:rPr>
                <w:sz w:val="22"/>
                <w:szCs w:val="22"/>
                <w:lang w:val="es-ES"/>
              </w:rPr>
            </w:pPr>
            <w:r w:rsidRPr="00C901E0">
              <w:rPr>
                <w:b/>
                <w:sz w:val="22"/>
                <w:szCs w:val="22"/>
                <w:lang w:val="es-ES"/>
              </w:rPr>
              <w:t>Total</w:t>
            </w:r>
          </w:p>
        </w:tc>
        <w:tc>
          <w:tcPr>
            <w:tcW w:w="2031" w:type="dxa"/>
            <w:tcBorders>
              <w:top w:val="nil"/>
              <w:left w:val="nil"/>
              <w:bottom w:val="single" w:sz="4" w:space="0" w:color="auto"/>
              <w:right w:val="single" w:sz="4" w:space="0" w:color="auto"/>
            </w:tcBorders>
            <w:noWrap/>
            <w:vAlign w:val="center"/>
          </w:tcPr>
          <w:p w:rsidR="00F500C0" w:rsidRPr="00C901E0" w:rsidRDefault="00F500C0" w:rsidP="002C39AF">
            <w:pPr>
              <w:ind w:right="770"/>
              <w:jc w:val="right"/>
              <w:rPr>
                <w:b/>
                <w:sz w:val="22"/>
                <w:szCs w:val="22"/>
                <w:lang w:val="es-ES"/>
              </w:rPr>
            </w:pPr>
            <w:r w:rsidRPr="00C901E0">
              <w:rPr>
                <w:b/>
                <w:sz w:val="22"/>
                <w:szCs w:val="22"/>
                <w:lang w:val="es-ES"/>
              </w:rPr>
              <w:t>67,363</w:t>
            </w:r>
          </w:p>
        </w:tc>
        <w:tc>
          <w:tcPr>
            <w:tcW w:w="3832" w:type="dxa"/>
            <w:tcBorders>
              <w:top w:val="nil"/>
              <w:left w:val="nil"/>
              <w:bottom w:val="single" w:sz="4" w:space="0" w:color="auto"/>
              <w:right w:val="single" w:sz="4" w:space="0" w:color="auto"/>
            </w:tcBorders>
            <w:noWrap/>
            <w:vAlign w:val="center"/>
          </w:tcPr>
          <w:p w:rsidR="00F500C0" w:rsidRPr="00C901E0" w:rsidRDefault="00F500C0" w:rsidP="002C39AF">
            <w:pPr>
              <w:ind w:right="1144"/>
              <w:jc w:val="right"/>
              <w:rPr>
                <w:b/>
                <w:sz w:val="22"/>
                <w:szCs w:val="22"/>
                <w:lang w:val="es-ES"/>
              </w:rPr>
            </w:pPr>
            <w:r w:rsidRPr="00C901E0">
              <w:rPr>
                <w:b/>
                <w:sz w:val="22"/>
                <w:szCs w:val="22"/>
                <w:lang w:val="es-ES"/>
              </w:rPr>
              <w:t>100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b/>
                <w:sz w:val="22"/>
                <w:szCs w:val="22"/>
                <w:lang w:val="es-ES"/>
              </w:rPr>
            </w:pPr>
            <w:r w:rsidRPr="00C901E0">
              <w:rPr>
                <w:b/>
                <w:sz w:val="22"/>
                <w:szCs w:val="22"/>
                <w:lang w:val="es-ES"/>
              </w:rPr>
              <w:t>2 401 320</w:t>
            </w:r>
          </w:p>
        </w:tc>
        <w:tc>
          <w:tcPr>
            <w:tcW w:w="2125"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b/>
                <w:sz w:val="22"/>
                <w:szCs w:val="22"/>
                <w:lang w:val="es-ES"/>
              </w:rPr>
            </w:pPr>
            <w:r w:rsidRPr="00C901E0">
              <w:rPr>
                <w:b/>
                <w:sz w:val="22"/>
                <w:szCs w:val="22"/>
                <w:lang w:val="es-ES"/>
              </w:rPr>
              <w:t>2 546 370</w:t>
            </w:r>
          </w:p>
        </w:tc>
        <w:tc>
          <w:tcPr>
            <w:tcW w:w="1486" w:type="dxa"/>
            <w:tcBorders>
              <w:top w:val="nil"/>
              <w:left w:val="nil"/>
              <w:bottom w:val="single" w:sz="4" w:space="0" w:color="auto"/>
              <w:right w:val="single" w:sz="4" w:space="0" w:color="auto"/>
            </w:tcBorders>
            <w:noWrap/>
            <w:vAlign w:val="center"/>
          </w:tcPr>
          <w:p w:rsidR="00F500C0" w:rsidRPr="00C901E0" w:rsidRDefault="00F500C0" w:rsidP="002C39AF">
            <w:pPr>
              <w:ind w:right="276"/>
              <w:jc w:val="right"/>
              <w:rPr>
                <w:b/>
                <w:sz w:val="22"/>
                <w:szCs w:val="22"/>
                <w:lang w:val="es-ES"/>
              </w:rPr>
            </w:pPr>
            <w:r w:rsidRPr="00C901E0">
              <w:rPr>
                <w:b/>
                <w:sz w:val="22"/>
                <w:szCs w:val="22"/>
                <w:lang w:val="es-ES"/>
              </w:rPr>
              <w:t>4 947 690</w:t>
            </w:r>
          </w:p>
        </w:tc>
      </w:tr>
    </w:tbl>
    <w:p w:rsidR="00F500C0" w:rsidRPr="00C901E0" w:rsidRDefault="00F500C0" w:rsidP="00F500C0">
      <w:pPr>
        <w:suppressLineNumbers/>
        <w:suppressAutoHyphens/>
        <w:rPr>
          <w:kern w:val="22"/>
          <w:sz w:val="22"/>
          <w:szCs w:val="22"/>
          <w:lang w:val="es-ES"/>
        </w:rPr>
      </w:pPr>
    </w:p>
    <w:p w:rsidR="00F500C0" w:rsidRPr="00C901E0" w:rsidRDefault="00F500C0" w:rsidP="00253427">
      <w:pPr>
        <w:suppressLineNumbers/>
        <w:suppressAutoHyphens/>
        <w:rPr>
          <w:kern w:val="22"/>
          <w:lang w:val="es-ES"/>
        </w:rPr>
      </w:pPr>
    </w:p>
    <w:p w:rsidR="00F500C0" w:rsidRPr="00C901E0" w:rsidRDefault="00F500C0" w:rsidP="00253427">
      <w:pPr>
        <w:suppressLineNumbers/>
        <w:suppressAutoHyphens/>
        <w:rPr>
          <w:kern w:val="22"/>
          <w:lang w:val="es-ES"/>
        </w:rPr>
        <w:sectPr w:rsidR="00F500C0" w:rsidRPr="00C901E0" w:rsidSect="00253427">
          <w:headerReference w:type="even" r:id="rId38"/>
          <w:headerReference w:type="default" r:id="rId39"/>
          <w:footerReference w:type="even" r:id="rId40"/>
          <w:footerReference w:type="first" r:id="rId41"/>
          <w:pgSz w:w="15840" w:h="12240" w:orient="landscape" w:code="1"/>
          <w:pgMar w:top="1440" w:right="1021" w:bottom="1440" w:left="1134" w:header="459" w:footer="720" w:gutter="0"/>
          <w:cols w:space="720"/>
          <w:docGrid w:linePitch="299"/>
        </w:sectPr>
      </w:pPr>
    </w:p>
    <w:p w:rsidR="00253427" w:rsidRPr="00C901E0" w:rsidRDefault="005D4920" w:rsidP="00465C6E">
      <w:pPr>
        <w:pStyle w:val="Heading1report"/>
        <w:numPr>
          <w:ilvl w:val="0"/>
          <w:numId w:val="17"/>
        </w:numPr>
        <w:ind w:left="0" w:firstLine="0"/>
        <w:rPr>
          <w:rFonts w:hint="eastAsia"/>
          <w:lang w:val="es-ES"/>
        </w:rPr>
      </w:pPr>
      <w:bookmarkStart w:id="42" w:name="_Toc5922090"/>
      <w:r w:rsidRPr="00C901E0">
        <w:rPr>
          <w:lang w:val="es-ES"/>
        </w:rPr>
        <w:lastRenderedPageBreak/>
        <w:t>RESUMEN DE LAS DELIBERACIONES DE LA REUNIÓN</w:t>
      </w:r>
      <w:bookmarkEnd w:id="42"/>
    </w:p>
    <w:p w:rsidR="00D852CD" w:rsidRPr="00C901E0" w:rsidRDefault="0050326F" w:rsidP="00237524">
      <w:pPr>
        <w:pStyle w:val="Heading1"/>
        <w:tabs>
          <w:tab w:val="center" w:pos="6842"/>
          <w:tab w:val="left" w:pos="12210"/>
        </w:tabs>
        <w:rPr>
          <w:lang w:val="es-ES"/>
        </w:rPr>
      </w:pPr>
      <w:bookmarkStart w:id="43" w:name="_Toc879830"/>
      <w:r w:rsidRPr="00C901E0">
        <w:rPr>
          <w:lang w:val="es-ES"/>
        </w:rPr>
        <w:t>Introduc</w:t>
      </w:r>
      <w:r w:rsidR="005D4920" w:rsidRPr="00C901E0">
        <w:rPr>
          <w:lang w:val="es-ES"/>
        </w:rPr>
        <w:t>C</w:t>
      </w:r>
      <w:r w:rsidRPr="00C901E0">
        <w:rPr>
          <w:lang w:val="es-ES"/>
        </w:rPr>
        <w:t>i</w:t>
      </w:r>
      <w:r w:rsidR="005D4920" w:rsidRPr="00C901E0">
        <w:rPr>
          <w:lang w:val="es-ES"/>
        </w:rPr>
        <w:t>Ó</w:t>
      </w:r>
      <w:r w:rsidRPr="00C901E0">
        <w:rPr>
          <w:lang w:val="es-ES"/>
        </w:rPr>
        <w:t>n</w:t>
      </w:r>
      <w:bookmarkEnd w:id="43"/>
    </w:p>
    <w:p w:rsidR="006C59C4" w:rsidRPr="00C901E0" w:rsidRDefault="006C59C4" w:rsidP="00B058F4">
      <w:pPr>
        <w:pStyle w:val="Heading2"/>
        <w:rPr>
          <w:color w:val="000000"/>
          <w:kern w:val="22"/>
          <w:lang w:val="es-ES"/>
        </w:rPr>
      </w:pPr>
      <w:bookmarkStart w:id="44" w:name="_Toc879831"/>
      <w:r w:rsidRPr="00C901E0">
        <w:rPr>
          <w:lang w:val="es-ES"/>
        </w:rPr>
        <w:t>A.</w:t>
      </w:r>
      <w:r w:rsidRPr="00C901E0">
        <w:rPr>
          <w:lang w:val="es-ES"/>
        </w:rPr>
        <w:tab/>
      </w:r>
      <w:bookmarkEnd w:id="44"/>
      <w:r w:rsidR="005D4920" w:rsidRPr="00C901E0">
        <w:rPr>
          <w:lang w:val="es-ES"/>
        </w:rPr>
        <w:t>Antecedentes</w:t>
      </w:r>
    </w:p>
    <w:p w:rsidR="001407F3" w:rsidRPr="00C901E0" w:rsidRDefault="005D4920" w:rsidP="00237524">
      <w:pPr>
        <w:pStyle w:val="Para1"/>
        <w:tabs>
          <w:tab w:val="clear" w:pos="360"/>
        </w:tabs>
        <w:rPr>
          <w:lang w:val="es-ES"/>
        </w:rPr>
      </w:pPr>
      <w:r w:rsidRPr="00C901E0">
        <w:rPr>
          <w:rFonts w:eastAsia="Times New Roman"/>
          <w:color w:val="000000"/>
          <w:szCs w:val="24"/>
          <w:lang w:val="es-ES"/>
        </w:rPr>
        <w:t xml:space="preserve">Tras el ofrecimiento del Gobierno de Egipto, que fue </w:t>
      </w:r>
      <w:r w:rsidRPr="00C901E0">
        <w:rPr>
          <w:rFonts w:eastAsia="Times New Roman"/>
          <w:szCs w:val="24"/>
          <w:lang w:val="es-ES"/>
        </w:rPr>
        <w:t xml:space="preserve">acogido con satisfacción por </w:t>
      </w:r>
      <w:r w:rsidRPr="00C901E0">
        <w:rPr>
          <w:rFonts w:eastAsia="Times New Roman"/>
          <w:color w:val="000000"/>
          <w:szCs w:val="24"/>
          <w:lang w:val="es-ES"/>
        </w:rPr>
        <w:t xml:space="preserve">la </w:t>
      </w:r>
      <w:r w:rsidRPr="00C901E0">
        <w:rPr>
          <w:rFonts w:eastAsia="Times New Roman"/>
          <w:szCs w:val="24"/>
          <w:lang w:val="es-ES"/>
        </w:rPr>
        <w:t xml:space="preserve">Conferencia de las Partes en el Convenio sobre la Diversidad Biológica en la decisión </w:t>
      </w:r>
      <w:r w:rsidRPr="00B94DBF">
        <w:rPr>
          <w:rFonts w:eastAsia="Times New Roman"/>
          <w:szCs w:val="24"/>
          <w:lang w:val="es-ES"/>
        </w:rPr>
        <w:t>XIII/33</w:t>
      </w:r>
      <w:r w:rsidRPr="00C901E0">
        <w:rPr>
          <w:rFonts w:eastAsia="Times New Roman"/>
          <w:szCs w:val="24"/>
          <w:lang w:val="es-ES"/>
        </w:rPr>
        <w:t xml:space="preserve">, y de conformidad con el artículo 29, párrafo 6, del Protocolo de Cartagena sobre Seguridad de la Biotecnología, la Conferencia de las Partes que actúa como reunión de las Partes en el Protocolo de Cartagena </w:t>
      </w:r>
      <w:r w:rsidRPr="00C901E0">
        <w:rPr>
          <w:rFonts w:eastAsia="Times New Roman"/>
          <w:color w:val="000000"/>
          <w:szCs w:val="24"/>
          <w:lang w:val="es-ES"/>
        </w:rPr>
        <w:t xml:space="preserve">celebró su </w:t>
      </w:r>
      <w:r w:rsidRPr="00C901E0">
        <w:rPr>
          <w:rFonts w:eastAsia="Times New Roman"/>
          <w:szCs w:val="24"/>
          <w:lang w:val="es-ES"/>
        </w:rPr>
        <w:t>9</w:t>
      </w:r>
      <w:r w:rsidRPr="00C901E0">
        <w:rPr>
          <w:rFonts w:eastAsia="Times New Roman"/>
          <w:szCs w:val="24"/>
          <w:vertAlign w:val="superscript"/>
          <w:lang w:val="es-ES"/>
        </w:rPr>
        <w:t>a</w:t>
      </w:r>
      <w:r w:rsidRPr="00C901E0">
        <w:rPr>
          <w:rFonts w:eastAsia="Times New Roman"/>
          <w:szCs w:val="24"/>
          <w:lang w:val="es-ES"/>
        </w:rPr>
        <w:t xml:space="preserve"> reunión </w:t>
      </w:r>
      <w:r w:rsidRPr="00C901E0">
        <w:rPr>
          <w:rFonts w:eastAsia="Times New Roman"/>
          <w:color w:val="000000"/>
          <w:szCs w:val="24"/>
          <w:lang w:val="es-ES"/>
        </w:rPr>
        <w:t xml:space="preserve">en </w:t>
      </w:r>
      <w:r w:rsidRPr="00C901E0">
        <w:rPr>
          <w:rFonts w:eastAsia="Times New Roman"/>
          <w:szCs w:val="24"/>
          <w:lang w:val="es-ES"/>
        </w:rPr>
        <w:t>Sharm el-Sheikh (Egipto), del 17 al 29 de noviembre de 2018, en forma concurrente con la 14ª reunión de la Conferencia de las Partes.</w:t>
      </w:r>
    </w:p>
    <w:p w:rsidR="006C59C4" w:rsidRPr="00C901E0" w:rsidRDefault="006C59C4" w:rsidP="00B058F4">
      <w:pPr>
        <w:pStyle w:val="Heading2"/>
        <w:rPr>
          <w:lang w:val="es-ES"/>
        </w:rPr>
      </w:pPr>
      <w:bookmarkStart w:id="45" w:name="_Toc879832"/>
      <w:r w:rsidRPr="00C901E0">
        <w:rPr>
          <w:lang w:val="es-ES"/>
        </w:rPr>
        <w:t>B.</w:t>
      </w:r>
      <w:r w:rsidRPr="00C901E0">
        <w:rPr>
          <w:lang w:val="es-ES"/>
        </w:rPr>
        <w:tab/>
      </w:r>
      <w:bookmarkEnd w:id="45"/>
      <w:r w:rsidR="005D4920" w:rsidRPr="00C901E0">
        <w:rPr>
          <w:lang w:val="es-ES"/>
        </w:rPr>
        <w:t>Asistentes</w:t>
      </w:r>
    </w:p>
    <w:p w:rsidR="0044242D" w:rsidRPr="00C901E0" w:rsidRDefault="005D4920">
      <w:pPr>
        <w:pStyle w:val="Para1"/>
        <w:tabs>
          <w:tab w:val="clear" w:pos="360"/>
        </w:tabs>
        <w:rPr>
          <w:lang w:val="es-ES"/>
        </w:rPr>
      </w:pPr>
      <w:r w:rsidRPr="00C901E0">
        <w:rPr>
          <w:rFonts w:eastAsia="Times New Roman"/>
          <w:szCs w:val="24"/>
          <w:lang w:val="es-ES"/>
        </w:rPr>
        <w:t>Se invitó a todos los Estados a participar de la reunión. Asistieron las siguientes Partes en el Protocolo de Cartagena</w:t>
      </w:r>
      <w:r w:rsidR="00C8755A" w:rsidRPr="00C901E0">
        <w:rPr>
          <w:lang w:val="es-ES"/>
        </w:rPr>
        <w:t>:</w:t>
      </w:r>
    </w:p>
    <w:p w:rsidR="005D4920" w:rsidRPr="00C901E0" w:rsidRDefault="005D4920">
      <w:pPr>
        <w:pStyle w:val="Para1"/>
        <w:tabs>
          <w:tab w:val="clear" w:pos="360"/>
        </w:tabs>
        <w:rPr>
          <w:lang w:val="es-ES"/>
        </w:rPr>
        <w:sectPr w:rsidR="005D4920" w:rsidRPr="00C901E0" w:rsidSect="00DF0E08">
          <w:headerReference w:type="default" r:id="rId42"/>
          <w:pgSz w:w="12240" w:h="15840" w:code="1"/>
          <w:pgMar w:top="1021" w:right="1440" w:bottom="1134" w:left="1440" w:header="459" w:footer="720" w:gutter="0"/>
          <w:cols w:space="720"/>
          <w:docGrid w:linePitch="299"/>
        </w:sectPr>
      </w:pP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lastRenderedPageBreak/>
        <w:t>Afganistán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Albania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Alemania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Angola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Antigua y Barbuda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Arabia Saudita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w:t>
      </w:r>
      <w:r w:rsidRPr="00C901E0">
        <w:rPr>
          <w:rFonts w:eastAsia="Times New Roman"/>
          <w:spacing w:val="-2"/>
          <w:szCs w:val="24"/>
          <w:lang w:val="es-ES"/>
        </w:rPr>
        <w:t>r</w:t>
      </w:r>
      <w:r w:rsidRPr="00C901E0">
        <w:rPr>
          <w:rFonts w:eastAsia="Times New Roman"/>
          <w:szCs w:val="24"/>
          <w:lang w:val="es-ES"/>
        </w:rPr>
        <w:t>g</w:t>
      </w:r>
      <w:r w:rsidRPr="00C901E0">
        <w:rPr>
          <w:rFonts w:eastAsia="Times New Roman"/>
          <w:spacing w:val="-2"/>
          <w:szCs w:val="24"/>
          <w:lang w:val="es-ES"/>
        </w:rPr>
        <w:t>e</w:t>
      </w:r>
      <w:r w:rsidRPr="00C901E0">
        <w:rPr>
          <w:rFonts w:eastAsia="Times New Roman"/>
          <w:spacing w:val="-3"/>
          <w:szCs w:val="24"/>
          <w:lang w:val="es-ES"/>
        </w:rPr>
        <w:t>l</w:t>
      </w:r>
      <w:r w:rsidRPr="00C901E0">
        <w:rPr>
          <w:rFonts w:eastAsia="Times New Roman"/>
          <w:spacing w:val="-2"/>
          <w:szCs w:val="24"/>
          <w:lang w:val="es-ES"/>
        </w:rPr>
        <w:t>i</w:t>
      </w:r>
      <w:r w:rsidRPr="00C901E0">
        <w:rPr>
          <w:rFonts w:eastAsia="Times New Roman"/>
          <w:szCs w:val="24"/>
          <w:lang w:val="es-ES"/>
        </w:rPr>
        <w:t>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Armenia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Austria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Azerbaiyán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pacing w:val="1"/>
          <w:szCs w:val="24"/>
          <w:lang w:val="es-ES"/>
        </w:rPr>
        <w:t>B</w:t>
      </w:r>
      <w:r w:rsidRPr="00C901E0">
        <w:rPr>
          <w:rFonts w:eastAsia="Times New Roman"/>
          <w:spacing w:val="-2"/>
          <w:szCs w:val="24"/>
          <w:lang w:val="es-ES"/>
        </w:rPr>
        <w:t>a</w:t>
      </w:r>
      <w:r w:rsidRPr="00C901E0">
        <w:rPr>
          <w:rFonts w:eastAsia="Times New Roman"/>
          <w:spacing w:val="-3"/>
          <w:szCs w:val="24"/>
          <w:lang w:val="es-ES"/>
        </w:rPr>
        <w:t>h</w:t>
      </w:r>
      <w:r w:rsidRPr="00C901E0">
        <w:rPr>
          <w:rFonts w:eastAsia="Times New Roman"/>
          <w:szCs w:val="24"/>
          <w:lang w:val="es-ES"/>
        </w:rPr>
        <w:t>r</w:t>
      </w:r>
      <w:r w:rsidRPr="00C901E0">
        <w:rPr>
          <w:rFonts w:eastAsia="Times New Roman"/>
          <w:spacing w:val="-2"/>
          <w:szCs w:val="24"/>
          <w:lang w:val="es-ES"/>
        </w:rPr>
        <w:t>ei</w:t>
      </w:r>
      <w:r w:rsidRPr="00C901E0">
        <w:rPr>
          <w:rFonts w:eastAsia="Times New Roman"/>
          <w:szCs w:val="24"/>
          <w:lang w:val="es-ES"/>
        </w:rPr>
        <w:t>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Bangladesh</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Belarús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pacing w:val="1"/>
          <w:szCs w:val="24"/>
          <w:lang w:val="es-ES"/>
        </w:rPr>
        <w:t>B</w:t>
      </w:r>
      <w:r w:rsidRPr="00C901E0">
        <w:rPr>
          <w:rFonts w:eastAsia="Times New Roman"/>
          <w:spacing w:val="-2"/>
          <w:szCs w:val="24"/>
          <w:lang w:val="es-ES"/>
        </w:rPr>
        <w:t>él</w:t>
      </w:r>
      <w:r w:rsidRPr="00C901E0">
        <w:rPr>
          <w:rFonts w:eastAsia="Times New Roman"/>
          <w:szCs w:val="24"/>
          <w:lang w:val="es-ES"/>
        </w:rPr>
        <w:t>g</w:t>
      </w:r>
      <w:r w:rsidRPr="00C901E0">
        <w:rPr>
          <w:rFonts w:eastAsia="Times New Roman"/>
          <w:spacing w:val="-3"/>
          <w:szCs w:val="24"/>
          <w:lang w:val="es-ES"/>
        </w:rPr>
        <w:t>i</w:t>
      </w:r>
      <w:r w:rsidRPr="00C901E0">
        <w:rPr>
          <w:rFonts w:eastAsia="Times New Roman"/>
          <w:szCs w:val="24"/>
          <w:lang w:val="es-ES"/>
        </w:rPr>
        <w:t>ca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Belice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Benin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pacing w:val="1"/>
          <w:szCs w:val="24"/>
          <w:lang w:val="es-ES"/>
        </w:rPr>
        <w:t>B</w:t>
      </w:r>
      <w:r w:rsidRPr="00C901E0">
        <w:rPr>
          <w:rFonts w:eastAsia="Times New Roman"/>
          <w:spacing w:val="-3"/>
          <w:szCs w:val="24"/>
          <w:lang w:val="es-ES"/>
        </w:rPr>
        <w:t>h</w:t>
      </w:r>
      <w:r w:rsidRPr="00C901E0">
        <w:rPr>
          <w:rFonts w:eastAsia="Times New Roman"/>
          <w:szCs w:val="24"/>
          <w:lang w:val="es-ES"/>
        </w:rPr>
        <w:t>u</w:t>
      </w:r>
      <w:r w:rsidRPr="00C901E0">
        <w:rPr>
          <w:rFonts w:eastAsia="Times New Roman"/>
          <w:spacing w:val="-2"/>
          <w:szCs w:val="24"/>
          <w:lang w:val="es-ES"/>
        </w:rPr>
        <w:t>tá</w:t>
      </w:r>
      <w:r w:rsidRPr="00C901E0">
        <w:rPr>
          <w:rFonts w:eastAsia="Times New Roman"/>
          <w:szCs w:val="24"/>
          <w:lang w:val="es-ES"/>
        </w:rPr>
        <w:t>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Bolivia (Estado Plurinacional de)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Bo</w:t>
      </w:r>
      <w:r w:rsidRPr="00C901E0">
        <w:rPr>
          <w:rFonts w:eastAsia="Times New Roman"/>
          <w:spacing w:val="-2"/>
          <w:szCs w:val="24"/>
          <w:lang w:val="es-ES"/>
        </w:rPr>
        <w:t>s</w:t>
      </w:r>
      <w:r w:rsidRPr="00C901E0">
        <w:rPr>
          <w:rFonts w:eastAsia="Times New Roman"/>
          <w:spacing w:val="-3"/>
          <w:szCs w:val="24"/>
          <w:lang w:val="es-ES"/>
        </w:rPr>
        <w:t>n</w:t>
      </w:r>
      <w:r w:rsidRPr="00C901E0">
        <w:rPr>
          <w:rFonts w:eastAsia="Times New Roman"/>
          <w:spacing w:val="-2"/>
          <w:szCs w:val="24"/>
          <w:lang w:val="es-ES"/>
        </w:rPr>
        <w:t xml:space="preserve">ia </w:t>
      </w:r>
      <w:r w:rsidRPr="00C901E0">
        <w:rPr>
          <w:rFonts w:eastAsia="Times New Roman"/>
          <w:szCs w:val="24"/>
          <w:lang w:val="es-ES"/>
        </w:rPr>
        <w:t>y</w:t>
      </w:r>
      <w:r w:rsidRPr="00C901E0">
        <w:rPr>
          <w:rFonts w:eastAsia="Times New Roman"/>
          <w:spacing w:val="-2"/>
          <w:szCs w:val="24"/>
          <w:lang w:val="es-ES"/>
        </w:rPr>
        <w:t xml:space="preserve"> Her</w:t>
      </w:r>
      <w:r w:rsidRPr="00C901E0">
        <w:rPr>
          <w:rFonts w:eastAsia="Times New Roman"/>
          <w:spacing w:val="-3"/>
          <w:szCs w:val="24"/>
          <w:lang w:val="es-ES"/>
        </w:rPr>
        <w:t>z</w:t>
      </w:r>
      <w:r w:rsidRPr="00C901E0">
        <w:rPr>
          <w:rFonts w:eastAsia="Times New Roman"/>
          <w:spacing w:val="-2"/>
          <w:szCs w:val="24"/>
          <w:lang w:val="es-ES"/>
        </w:rPr>
        <w:t>egov</w:t>
      </w:r>
      <w:r w:rsidRPr="00C901E0">
        <w:rPr>
          <w:rFonts w:eastAsia="Times New Roman"/>
          <w:szCs w:val="24"/>
          <w:lang w:val="es-ES"/>
        </w:rPr>
        <w:t>ina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Botswana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Brasil</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Bulgaria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Burkina Faso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Burundi</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Cabo Verde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Camboya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Camerún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Chad</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Chequia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China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Chipre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Colombia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Comoras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Congo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Costa Rica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Côte d'Ivoire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lastRenderedPageBreak/>
        <w:t>Croacia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Cuba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Dinamarca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Djibouti</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Ecuador</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Egipto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El Salvador</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Emiratos Árabes Unidos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Eritrea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Es</w:t>
      </w:r>
      <w:r w:rsidRPr="00C901E0">
        <w:rPr>
          <w:rFonts w:eastAsia="Times New Roman"/>
          <w:spacing w:val="-2"/>
          <w:szCs w:val="24"/>
          <w:lang w:val="es-ES"/>
        </w:rPr>
        <w:t>lovaqui</w:t>
      </w:r>
      <w:r w:rsidRPr="00C901E0">
        <w:rPr>
          <w:rFonts w:eastAsia="Times New Roman"/>
          <w:szCs w:val="24"/>
          <w:lang w:val="es-ES"/>
        </w:rPr>
        <w:t>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Eslovenia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Es</w:t>
      </w:r>
      <w:r w:rsidRPr="00C901E0">
        <w:rPr>
          <w:rFonts w:eastAsia="Times New Roman"/>
          <w:spacing w:val="-2"/>
          <w:szCs w:val="24"/>
          <w:lang w:val="es-ES"/>
        </w:rPr>
        <w:t>pa</w:t>
      </w:r>
      <w:r w:rsidRPr="00C901E0">
        <w:rPr>
          <w:rFonts w:eastAsia="Times New Roman"/>
          <w:spacing w:val="-3"/>
          <w:szCs w:val="24"/>
          <w:lang w:val="es-ES"/>
        </w:rPr>
        <w:t>ña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Estado de Palestina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Estonia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Eswatini</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Etiopía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Fiji</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Filipinas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Finlandia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Francia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Gabón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Gambia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Georgia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Ghana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Granada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Grecia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Guatemala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Guinea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Guinea-Bissau</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Guyana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Honduras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Hu</w:t>
      </w:r>
      <w:r w:rsidRPr="00C901E0">
        <w:rPr>
          <w:rFonts w:eastAsia="Times New Roman"/>
          <w:spacing w:val="-3"/>
          <w:szCs w:val="24"/>
          <w:lang w:val="es-ES"/>
        </w:rPr>
        <w:t>n</w:t>
      </w:r>
      <w:r w:rsidRPr="00C901E0">
        <w:rPr>
          <w:rFonts w:eastAsia="Times New Roman"/>
          <w:szCs w:val="24"/>
          <w:lang w:val="es-ES"/>
        </w:rPr>
        <w:t>gría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India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Indonesia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Irán (República Islámica del)</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Iraq</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Irla</w:t>
      </w:r>
      <w:r w:rsidRPr="00C901E0">
        <w:rPr>
          <w:rFonts w:eastAsia="Times New Roman"/>
          <w:spacing w:val="-3"/>
          <w:szCs w:val="24"/>
          <w:lang w:val="es-ES"/>
        </w:rPr>
        <w:t>n</w:t>
      </w:r>
      <w:r w:rsidRPr="00C901E0">
        <w:rPr>
          <w:rFonts w:eastAsia="Times New Roman"/>
          <w:szCs w:val="24"/>
          <w:lang w:val="es-ES"/>
        </w:rPr>
        <w:t>da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lastRenderedPageBreak/>
        <w:t>Islas Marshall</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Islas Salomón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Italia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Jamaica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Japón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Jordania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Kenya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Kirguistán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Kiribati</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Kuwait</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Lesotho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L</w:t>
      </w:r>
      <w:r w:rsidRPr="00C901E0">
        <w:rPr>
          <w:rFonts w:eastAsia="Times New Roman"/>
          <w:spacing w:val="-2"/>
          <w:szCs w:val="24"/>
          <w:lang w:val="es-ES"/>
        </w:rPr>
        <w:t>etoni</w:t>
      </w:r>
      <w:r w:rsidRPr="00C901E0">
        <w:rPr>
          <w:rFonts w:eastAsia="Times New Roman"/>
          <w:szCs w:val="24"/>
          <w:lang w:val="es-ES"/>
        </w:rPr>
        <w:t>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Líba</w:t>
      </w:r>
      <w:r w:rsidRPr="00C901E0">
        <w:rPr>
          <w:rFonts w:eastAsia="Times New Roman"/>
          <w:spacing w:val="-3"/>
          <w:szCs w:val="24"/>
          <w:lang w:val="es-ES"/>
        </w:rPr>
        <w:t>n</w:t>
      </w:r>
      <w:r w:rsidRPr="00C901E0">
        <w:rPr>
          <w:rFonts w:eastAsia="Times New Roman"/>
          <w:szCs w:val="24"/>
          <w:lang w:val="es-ES"/>
        </w:rPr>
        <w:t>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Liberia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Libia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L</w:t>
      </w:r>
      <w:r w:rsidRPr="00C901E0">
        <w:rPr>
          <w:rFonts w:eastAsia="Times New Roman"/>
          <w:spacing w:val="-3"/>
          <w:szCs w:val="24"/>
          <w:lang w:val="es-ES"/>
        </w:rPr>
        <w:t>i</w:t>
      </w:r>
      <w:r w:rsidRPr="00C901E0">
        <w:rPr>
          <w:rFonts w:eastAsia="Times New Roman"/>
          <w:szCs w:val="24"/>
          <w:lang w:val="es-ES"/>
        </w:rPr>
        <w:t>tuan</w:t>
      </w:r>
      <w:r w:rsidRPr="00C901E0">
        <w:rPr>
          <w:rFonts w:eastAsia="Times New Roman"/>
          <w:spacing w:val="-3"/>
          <w:szCs w:val="24"/>
          <w:lang w:val="es-ES"/>
        </w:rPr>
        <w:t>i</w:t>
      </w:r>
      <w:r w:rsidRPr="00C901E0">
        <w:rPr>
          <w:rFonts w:eastAsia="Times New Roman"/>
          <w:szCs w:val="24"/>
          <w:lang w:val="es-ES"/>
        </w:rPr>
        <w:t>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Lu</w:t>
      </w:r>
      <w:r w:rsidRPr="00C901E0">
        <w:rPr>
          <w:rFonts w:eastAsia="Times New Roman"/>
          <w:spacing w:val="-3"/>
          <w:szCs w:val="24"/>
          <w:lang w:val="es-ES"/>
        </w:rPr>
        <w:t>x</w:t>
      </w:r>
      <w:r w:rsidRPr="00C901E0">
        <w:rPr>
          <w:rFonts w:eastAsia="Times New Roman"/>
          <w:szCs w:val="24"/>
          <w:lang w:val="es-ES"/>
        </w:rPr>
        <w:t>emburgo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Madagascar</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Malasia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Malawi</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Maldivas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Malí</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Malta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Marruecos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pacing w:val="-2"/>
          <w:szCs w:val="24"/>
          <w:lang w:val="es-ES"/>
        </w:rPr>
        <w:t>Ma</w:t>
      </w:r>
      <w:r w:rsidRPr="00C901E0">
        <w:rPr>
          <w:rFonts w:eastAsia="Times New Roman"/>
          <w:szCs w:val="24"/>
          <w:lang w:val="es-ES"/>
        </w:rPr>
        <w:t>u</w:t>
      </w:r>
      <w:r w:rsidRPr="00C901E0">
        <w:rPr>
          <w:rFonts w:eastAsia="Times New Roman"/>
          <w:spacing w:val="-3"/>
          <w:szCs w:val="24"/>
          <w:lang w:val="es-ES"/>
        </w:rPr>
        <w:t>r</w:t>
      </w:r>
      <w:r w:rsidRPr="00C901E0">
        <w:rPr>
          <w:rFonts w:eastAsia="Times New Roman"/>
          <w:spacing w:val="-2"/>
          <w:szCs w:val="24"/>
          <w:lang w:val="es-ES"/>
        </w:rPr>
        <w:t>i</w:t>
      </w:r>
      <w:r w:rsidRPr="00C901E0">
        <w:rPr>
          <w:rFonts w:eastAsia="Times New Roman"/>
          <w:szCs w:val="24"/>
          <w:lang w:val="es-ES"/>
        </w:rPr>
        <w:t>c</w:t>
      </w:r>
      <w:r w:rsidRPr="00C901E0">
        <w:rPr>
          <w:rFonts w:eastAsia="Times New Roman"/>
          <w:spacing w:val="-2"/>
          <w:szCs w:val="24"/>
          <w:lang w:val="es-ES"/>
        </w:rPr>
        <w:t>io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Mauritania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México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Mongolia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Mozambique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Myanmar</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Namibia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Nicaragua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Níger</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Nigeria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Noruega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Nueva Zelandia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Omán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lastRenderedPageBreak/>
        <w:t>Países Bajos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Palau</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Panamá</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Papua Nueva Guinea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Paraguay</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Perú</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Polonia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Portugal</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Qatar</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Reino Unido de Gran Bretaña e Irlanda del Norte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República Árabe Siria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República Centroafricana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República de Corea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República de Moldova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República Democrática del Congo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República Democrática Popular Lao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pacing w:val="-2"/>
          <w:szCs w:val="24"/>
          <w:lang w:val="es-ES"/>
        </w:rPr>
        <w:lastRenderedPageBreak/>
        <w:t>Rep</w:t>
      </w:r>
      <w:r w:rsidRPr="00C901E0">
        <w:rPr>
          <w:rFonts w:eastAsia="Times New Roman"/>
          <w:szCs w:val="24"/>
          <w:lang w:val="es-ES"/>
        </w:rPr>
        <w:t>ú</w:t>
      </w:r>
      <w:r w:rsidRPr="00C901E0">
        <w:rPr>
          <w:rFonts w:eastAsia="Times New Roman"/>
          <w:spacing w:val="-2"/>
          <w:szCs w:val="24"/>
          <w:lang w:val="es-ES"/>
        </w:rPr>
        <w:t>bli</w:t>
      </w:r>
      <w:r w:rsidRPr="00C901E0">
        <w:rPr>
          <w:rFonts w:eastAsia="Times New Roman"/>
          <w:szCs w:val="24"/>
          <w:lang w:val="es-ES"/>
        </w:rPr>
        <w:t xml:space="preserve">ca </w:t>
      </w:r>
      <w:r w:rsidRPr="00C901E0">
        <w:rPr>
          <w:rFonts w:eastAsia="Times New Roman"/>
          <w:spacing w:val="-2"/>
          <w:szCs w:val="24"/>
          <w:lang w:val="es-ES"/>
        </w:rPr>
        <w:t>Dominicana</w:t>
      </w:r>
    </w:p>
    <w:p w:rsidR="005D4920" w:rsidRPr="00C901E0" w:rsidRDefault="009503AA" w:rsidP="005D4920">
      <w:pPr>
        <w:pStyle w:val="Para1"/>
        <w:numPr>
          <w:ilvl w:val="0"/>
          <w:numId w:val="0"/>
        </w:numPr>
        <w:spacing w:before="0" w:after="0"/>
        <w:ind w:left="142" w:hanging="142"/>
        <w:jc w:val="left"/>
        <w:rPr>
          <w:rFonts w:eastAsia="Times New Roman"/>
          <w:szCs w:val="24"/>
          <w:lang w:val="es-ES"/>
        </w:rPr>
      </w:pPr>
      <w:hyperlink r:id="rId43" w:history="1">
        <w:r w:rsidR="005D4920" w:rsidRPr="00C901E0">
          <w:rPr>
            <w:rFonts w:eastAsia="Times New Roman"/>
            <w:szCs w:val="24"/>
            <w:lang w:val="es-ES"/>
          </w:rPr>
          <w:t>República Popular Democrática de Corea</w:t>
        </w:r>
      </w:hyperlink>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República Unida de Tanzanía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Rumania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Rwanda</w:t>
      </w:r>
    </w:p>
    <w:p w:rsidR="005D4920" w:rsidRPr="00C901E0" w:rsidRDefault="009503AA" w:rsidP="005D4920">
      <w:pPr>
        <w:pStyle w:val="Para1"/>
        <w:numPr>
          <w:ilvl w:val="0"/>
          <w:numId w:val="0"/>
        </w:numPr>
        <w:spacing w:before="0" w:after="0"/>
        <w:ind w:left="142" w:hanging="142"/>
        <w:jc w:val="left"/>
        <w:rPr>
          <w:rFonts w:eastAsia="Times New Roman"/>
          <w:szCs w:val="24"/>
          <w:lang w:val="es-ES"/>
        </w:rPr>
      </w:pPr>
      <w:hyperlink r:id="rId44" w:history="1">
        <w:r w:rsidR="005D4920" w:rsidRPr="00C901E0">
          <w:rPr>
            <w:rFonts w:eastAsia="Times New Roman"/>
            <w:szCs w:val="24"/>
            <w:lang w:val="es-ES"/>
          </w:rPr>
          <w:t>Saint Kitts y Nevis</w:t>
        </w:r>
      </w:hyperlink>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Samoa</w:t>
      </w:r>
    </w:p>
    <w:p w:rsidR="005D4920" w:rsidRPr="00C901E0" w:rsidRDefault="009503AA" w:rsidP="005D4920">
      <w:pPr>
        <w:pStyle w:val="Para1"/>
        <w:numPr>
          <w:ilvl w:val="0"/>
          <w:numId w:val="0"/>
        </w:numPr>
        <w:spacing w:before="0" w:after="0"/>
        <w:ind w:left="142" w:hanging="142"/>
        <w:jc w:val="left"/>
        <w:rPr>
          <w:rFonts w:eastAsia="Times New Roman"/>
          <w:szCs w:val="24"/>
          <w:lang w:val="es-ES"/>
        </w:rPr>
      </w:pPr>
      <w:hyperlink r:id="rId45" w:history="1">
        <w:r w:rsidR="005D4920" w:rsidRPr="00C901E0">
          <w:rPr>
            <w:rFonts w:eastAsia="Times New Roman"/>
            <w:szCs w:val="24"/>
            <w:lang w:val="es-ES"/>
          </w:rPr>
          <w:t>San Vicente y las Granadinas</w:t>
        </w:r>
      </w:hyperlink>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Santa Lucía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Senegal</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Serbia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Seychelles</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Somalia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Sri Lanka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Sudáfrica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Sudán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Suecia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Suiza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lastRenderedPageBreak/>
        <w:t>Suriname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Tailandia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Tayikistán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Togo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Tonga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Trinidad y Tabago</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pacing w:val="1"/>
          <w:szCs w:val="24"/>
          <w:lang w:val="es-ES"/>
        </w:rPr>
        <w:t>T</w:t>
      </w:r>
      <w:r w:rsidRPr="00C901E0">
        <w:rPr>
          <w:rFonts w:eastAsia="Times New Roman"/>
          <w:szCs w:val="24"/>
          <w:lang w:val="es-ES"/>
        </w:rPr>
        <w:t>ú</w:t>
      </w:r>
      <w:r w:rsidRPr="00C901E0">
        <w:rPr>
          <w:rFonts w:eastAsia="Times New Roman"/>
          <w:spacing w:val="-3"/>
          <w:szCs w:val="24"/>
          <w:lang w:val="es-ES"/>
        </w:rPr>
        <w:t>n</w:t>
      </w:r>
      <w:r w:rsidRPr="00C901E0">
        <w:rPr>
          <w:rFonts w:eastAsia="Times New Roman"/>
          <w:spacing w:val="-2"/>
          <w:szCs w:val="24"/>
          <w:lang w:val="es-ES"/>
        </w:rPr>
        <w:t>ez</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Turkmenistán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Tu</w:t>
      </w:r>
      <w:r w:rsidRPr="00C901E0">
        <w:rPr>
          <w:rFonts w:eastAsia="Times New Roman"/>
          <w:spacing w:val="-3"/>
          <w:szCs w:val="24"/>
          <w:lang w:val="es-ES"/>
        </w:rPr>
        <w:t>r</w:t>
      </w:r>
      <w:r w:rsidRPr="00C901E0">
        <w:rPr>
          <w:rFonts w:eastAsia="Times New Roman"/>
          <w:spacing w:val="-2"/>
          <w:szCs w:val="24"/>
          <w:lang w:val="es-ES"/>
        </w:rPr>
        <w:t>quía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Ucrania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Uganda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Unión Europea</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Uruguay</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Venezuela (República Bolivariana de)</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Viet Nam</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Yemen</w:t>
      </w:r>
    </w:p>
    <w:p w:rsidR="005D4920" w:rsidRPr="00C901E0" w:rsidRDefault="005D4920" w:rsidP="005D4920">
      <w:pPr>
        <w:pStyle w:val="Para1"/>
        <w:numPr>
          <w:ilvl w:val="0"/>
          <w:numId w:val="0"/>
        </w:numPr>
        <w:spacing w:before="0" w:after="0"/>
        <w:ind w:left="142" w:hanging="142"/>
        <w:jc w:val="left"/>
        <w:rPr>
          <w:rFonts w:eastAsia="Times New Roman"/>
          <w:szCs w:val="24"/>
          <w:lang w:val="es-ES"/>
        </w:rPr>
      </w:pPr>
      <w:r w:rsidRPr="00C901E0">
        <w:rPr>
          <w:rFonts w:eastAsia="Times New Roman"/>
          <w:szCs w:val="24"/>
          <w:lang w:val="es-ES"/>
        </w:rPr>
        <w:t>Zambia</w:t>
      </w:r>
    </w:p>
    <w:p w:rsidR="005D4920" w:rsidRPr="00C901E0" w:rsidRDefault="005D4920" w:rsidP="005D4920">
      <w:pPr>
        <w:pStyle w:val="Para1"/>
        <w:numPr>
          <w:ilvl w:val="0"/>
          <w:numId w:val="0"/>
        </w:numPr>
        <w:spacing w:before="0" w:after="0"/>
        <w:ind w:left="142" w:hanging="142"/>
        <w:jc w:val="left"/>
        <w:rPr>
          <w:lang w:val="es-ES"/>
        </w:rPr>
        <w:sectPr w:rsidR="005D4920" w:rsidRPr="00C901E0" w:rsidSect="00237524">
          <w:type w:val="continuous"/>
          <w:pgSz w:w="12240" w:h="15840" w:code="1"/>
          <w:pgMar w:top="1021" w:right="1440" w:bottom="1134" w:left="1440" w:header="459" w:footer="720" w:gutter="0"/>
          <w:cols w:num="3" w:space="720"/>
          <w:docGrid w:linePitch="299"/>
        </w:sectPr>
      </w:pPr>
      <w:r w:rsidRPr="00C901E0">
        <w:rPr>
          <w:rFonts w:eastAsia="Times New Roman"/>
          <w:szCs w:val="24"/>
          <w:lang w:val="es-ES"/>
        </w:rPr>
        <w:t>Zimbabwe</w:t>
      </w:r>
    </w:p>
    <w:p w:rsidR="00757DBF" w:rsidRPr="00C901E0" w:rsidRDefault="00757DBF" w:rsidP="0044242D">
      <w:pPr>
        <w:pStyle w:val="Para1"/>
        <w:numPr>
          <w:ilvl w:val="0"/>
          <w:numId w:val="0"/>
        </w:numPr>
        <w:spacing w:before="0" w:after="0"/>
        <w:rPr>
          <w:lang w:val="es-ES"/>
        </w:rPr>
        <w:sectPr w:rsidR="00757DBF" w:rsidRPr="00C901E0" w:rsidSect="0044242D">
          <w:type w:val="continuous"/>
          <w:pgSz w:w="12240" w:h="15840" w:code="1"/>
          <w:pgMar w:top="1021" w:right="1440" w:bottom="1134" w:left="1440" w:header="459" w:footer="720" w:gutter="0"/>
          <w:cols w:space="720"/>
          <w:docGrid w:linePitch="299"/>
        </w:sectPr>
      </w:pPr>
    </w:p>
    <w:p w:rsidR="00C8755A" w:rsidRPr="00533EF4" w:rsidRDefault="005D4920" w:rsidP="00237524">
      <w:pPr>
        <w:pStyle w:val="Para1"/>
        <w:tabs>
          <w:tab w:val="clear" w:pos="360"/>
        </w:tabs>
        <w:rPr>
          <w:lang w:val="es-ES"/>
        </w:rPr>
      </w:pPr>
      <w:bookmarkStart w:id="46" w:name="_Hlk530317937"/>
      <w:bookmarkStart w:id="47" w:name="_Hlk530395224"/>
      <w:r w:rsidRPr="00533EF4">
        <w:rPr>
          <w:rFonts w:eastAsia="Times New Roman"/>
          <w:szCs w:val="24"/>
          <w:lang w:val="es-ES"/>
        </w:rPr>
        <w:lastRenderedPageBreak/>
        <w:t xml:space="preserve">También estuvieron representados los siguientes Estados que no son partes en el Protocolo de Cartagena: Andorra; Argentina; Canadá; Chile; </w:t>
      </w:r>
      <w:r w:rsidR="00480743" w:rsidRPr="00533EF4">
        <w:rPr>
          <w:rFonts w:eastAsia="Times New Roman"/>
          <w:szCs w:val="24"/>
          <w:lang w:val="es-ES"/>
        </w:rPr>
        <w:t>Estados Unidos de América</w:t>
      </w:r>
      <w:r w:rsidR="00480743">
        <w:rPr>
          <w:rFonts w:eastAsia="Times New Roman"/>
          <w:szCs w:val="24"/>
          <w:lang w:val="es-ES"/>
        </w:rPr>
        <w:t>;</w:t>
      </w:r>
      <w:r w:rsidR="00480743" w:rsidRPr="00533EF4">
        <w:rPr>
          <w:rFonts w:eastAsia="Times New Roman"/>
          <w:szCs w:val="24"/>
          <w:lang w:val="es-ES"/>
        </w:rPr>
        <w:t xml:space="preserve"> Federación de Rusia; </w:t>
      </w:r>
      <w:r w:rsidRPr="00533EF4">
        <w:rPr>
          <w:rFonts w:eastAsia="Times New Roman"/>
          <w:szCs w:val="24"/>
          <w:lang w:val="es-ES"/>
        </w:rPr>
        <w:t xml:space="preserve">Guinea Ecuatorial; Haití; Islandia; </w:t>
      </w:r>
      <w:r w:rsidR="00480743" w:rsidRPr="00533EF4">
        <w:rPr>
          <w:rFonts w:eastAsia="Times New Roman"/>
          <w:szCs w:val="24"/>
          <w:lang w:val="es-ES"/>
        </w:rPr>
        <w:t xml:space="preserve">Islas Cook; </w:t>
      </w:r>
      <w:r w:rsidRPr="00533EF4">
        <w:rPr>
          <w:rFonts w:eastAsia="Times New Roman"/>
          <w:szCs w:val="24"/>
          <w:lang w:val="es-ES"/>
        </w:rPr>
        <w:t xml:space="preserve">Israel; Liechtenstein; Micronesia (Estados Federados de); Mónaco; Nepal; </w:t>
      </w:r>
      <w:r w:rsidR="00480743" w:rsidRPr="00533EF4">
        <w:rPr>
          <w:rFonts w:eastAsia="Times New Roman"/>
          <w:szCs w:val="24"/>
          <w:lang w:val="es-ES"/>
        </w:rPr>
        <w:t>Santa Sede;</w:t>
      </w:r>
      <w:r w:rsidR="00480743">
        <w:rPr>
          <w:rFonts w:eastAsia="Times New Roman"/>
          <w:szCs w:val="24"/>
          <w:lang w:val="es-ES"/>
        </w:rPr>
        <w:t xml:space="preserve"> </w:t>
      </w:r>
      <w:r w:rsidRPr="00533EF4">
        <w:rPr>
          <w:rFonts w:eastAsia="Times New Roman"/>
          <w:szCs w:val="24"/>
          <w:lang w:val="es-ES"/>
        </w:rPr>
        <w:t>Santo Tomé y Príncipe; Sierra Leone; Singapur; Sudán del Sur</w:t>
      </w:r>
      <w:r w:rsidR="00480743" w:rsidRPr="00533EF4">
        <w:rPr>
          <w:rFonts w:eastAsia="Times New Roman"/>
          <w:szCs w:val="24"/>
          <w:lang w:val="es-ES"/>
        </w:rPr>
        <w:t>; y</w:t>
      </w:r>
      <w:r w:rsidR="00480743">
        <w:rPr>
          <w:rFonts w:eastAsia="Times New Roman"/>
          <w:szCs w:val="24"/>
          <w:lang w:val="es-ES"/>
        </w:rPr>
        <w:t xml:space="preserve"> </w:t>
      </w:r>
      <w:r w:rsidRPr="00533EF4">
        <w:rPr>
          <w:rFonts w:eastAsia="Times New Roman"/>
          <w:szCs w:val="24"/>
          <w:lang w:val="es-ES"/>
        </w:rPr>
        <w:t>Tuvalu</w:t>
      </w:r>
      <w:r w:rsidR="00061745" w:rsidRPr="00533EF4">
        <w:rPr>
          <w:lang w:val="es-ES"/>
        </w:rPr>
        <w:t>.</w:t>
      </w:r>
    </w:p>
    <w:bookmarkEnd w:id="46"/>
    <w:p w:rsidR="00C8755A" w:rsidRPr="00C901E0" w:rsidRDefault="00A61EE3" w:rsidP="00237524">
      <w:pPr>
        <w:pStyle w:val="Para1"/>
        <w:tabs>
          <w:tab w:val="clear" w:pos="360"/>
        </w:tabs>
        <w:rPr>
          <w:lang w:val="es-ES"/>
        </w:rPr>
      </w:pPr>
      <w:r>
        <w:rPr>
          <w:rFonts w:eastAsia="Times New Roman"/>
          <w:szCs w:val="24"/>
          <w:lang w:val="es-ES"/>
        </w:rPr>
        <w:t>L</w:t>
      </w:r>
      <w:r w:rsidR="005D4920" w:rsidRPr="00C901E0">
        <w:rPr>
          <w:rFonts w:eastAsia="Times New Roman"/>
          <w:szCs w:val="24"/>
          <w:lang w:val="es-ES"/>
        </w:rPr>
        <w:t>a lista de los demás participantes</w:t>
      </w:r>
      <w:r>
        <w:rPr>
          <w:rFonts w:eastAsia="Times New Roman"/>
          <w:szCs w:val="24"/>
          <w:lang w:val="es-ES"/>
        </w:rPr>
        <w:t xml:space="preserve"> puede</w:t>
      </w:r>
      <w:r w:rsidRPr="00C901E0">
        <w:rPr>
          <w:rFonts w:eastAsia="Times New Roman"/>
          <w:szCs w:val="24"/>
          <w:lang w:val="es-ES"/>
        </w:rPr>
        <w:t xml:space="preserve"> consultar</w:t>
      </w:r>
      <w:r>
        <w:rPr>
          <w:rFonts w:eastAsia="Times New Roman"/>
          <w:szCs w:val="24"/>
          <w:lang w:val="es-ES"/>
        </w:rPr>
        <w:t>s</w:t>
      </w:r>
      <w:r w:rsidR="005D4920" w:rsidRPr="00C901E0">
        <w:rPr>
          <w:rFonts w:eastAsia="Times New Roman"/>
          <w:szCs w:val="24"/>
          <w:lang w:val="es-ES"/>
        </w:rPr>
        <w:t xml:space="preserve">e </w:t>
      </w:r>
      <w:r>
        <w:rPr>
          <w:rFonts w:eastAsia="Times New Roman"/>
          <w:szCs w:val="24"/>
          <w:lang w:val="es-ES"/>
        </w:rPr>
        <w:t xml:space="preserve">en </w:t>
      </w:r>
      <w:r w:rsidR="005D4920" w:rsidRPr="00C901E0">
        <w:rPr>
          <w:rFonts w:eastAsia="Times New Roman"/>
          <w:szCs w:val="24"/>
          <w:lang w:val="es-ES"/>
        </w:rPr>
        <w:t>el anexo I del informe de la 14ª reunión de la Conferencia de las Partes (CBD/COP/14/14)</w:t>
      </w:r>
      <w:r w:rsidR="00C8755A" w:rsidRPr="00C901E0">
        <w:rPr>
          <w:lang w:val="es-ES"/>
        </w:rPr>
        <w:t>.</w:t>
      </w:r>
    </w:p>
    <w:p w:rsidR="00495B7A" w:rsidRPr="00C901E0" w:rsidRDefault="0050326F" w:rsidP="00237524">
      <w:pPr>
        <w:pStyle w:val="heading2-item0"/>
        <w:tabs>
          <w:tab w:val="clear" w:pos="720"/>
          <w:tab w:val="left" w:pos="993"/>
        </w:tabs>
        <w:rPr>
          <w:i/>
          <w:iCs/>
          <w:szCs w:val="22"/>
          <w:lang w:val="es-ES"/>
        </w:rPr>
      </w:pPr>
      <w:bookmarkStart w:id="48" w:name="_Toc879833"/>
      <w:bookmarkStart w:id="49" w:name="_Toc5922091"/>
      <w:bookmarkEnd w:id="47"/>
      <w:r w:rsidRPr="00C901E0">
        <w:rPr>
          <w:szCs w:val="22"/>
          <w:lang w:val="es-ES"/>
        </w:rPr>
        <w:t>tem</w:t>
      </w:r>
      <w:r w:rsidR="005D4920" w:rsidRPr="00C901E0">
        <w:rPr>
          <w:szCs w:val="22"/>
          <w:lang w:val="es-ES"/>
        </w:rPr>
        <w:t>A</w:t>
      </w:r>
      <w:r w:rsidRPr="00C901E0">
        <w:rPr>
          <w:szCs w:val="22"/>
          <w:lang w:val="es-ES"/>
        </w:rPr>
        <w:t xml:space="preserve"> 1.</w:t>
      </w:r>
      <w:r w:rsidRPr="00C901E0">
        <w:rPr>
          <w:szCs w:val="22"/>
          <w:lang w:val="es-ES"/>
        </w:rPr>
        <w:tab/>
      </w:r>
      <w:bookmarkEnd w:id="48"/>
      <w:r w:rsidR="005D4920" w:rsidRPr="00C901E0">
        <w:rPr>
          <w:szCs w:val="22"/>
          <w:lang w:val="es-ES"/>
        </w:rPr>
        <w:t>APERTURA DE LA REUNIÓN</w:t>
      </w:r>
      <w:bookmarkEnd w:id="49"/>
    </w:p>
    <w:p w:rsidR="005D4920" w:rsidRPr="00C901E0" w:rsidRDefault="005D4920" w:rsidP="005D4920">
      <w:pPr>
        <w:pStyle w:val="Para1"/>
        <w:tabs>
          <w:tab w:val="clear" w:pos="360"/>
        </w:tabs>
        <w:rPr>
          <w:rFonts w:eastAsia="Times New Roman"/>
          <w:szCs w:val="24"/>
          <w:lang w:val="es-ES"/>
        </w:rPr>
      </w:pPr>
      <w:r w:rsidRPr="00C901E0">
        <w:rPr>
          <w:rFonts w:eastAsia="Times New Roman"/>
          <w:szCs w:val="24"/>
          <w:lang w:val="es-ES"/>
        </w:rPr>
        <w:t>La novena reunión de la Conferencia de las Partes que actúa como reunión de las Partes en el Protocolo de Cartagena fue inaugurada el 17 de noviembre de 2018 a las 11.00 horas por el Sr. José Octavio Tripp Villanueva, Embajador de México en Egipto, en nombre del Sr. Rafael Pacchiano Alamán, Secretario de Medio Ambiente y Recursos Naturales de México y Presidente saliente de la Conferencia de las Partes, que ofició también de Presidente de la octava reunión de la Conferencia de las Partes que actúa como reunión de las Partes en el Protocolo de Cartagena.</w:t>
      </w:r>
    </w:p>
    <w:p w:rsidR="005D4920" w:rsidRPr="00C901E0" w:rsidRDefault="005D4920" w:rsidP="005D4920">
      <w:pPr>
        <w:pStyle w:val="Para1"/>
        <w:tabs>
          <w:tab w:val="clear" w:pos="360"/>
        </w:tabs>
        <w:rPr>
          <w:szCs w:val="24"/>
          <w:lang w:val="es-ES"/>
        </w:rPr>
      </w:pPr>
      <w:bookmarkStart w:id="50" w:name="_Hlk530320314"/>
      <w:r w:rsidRPr="00C901E0">
        <w:rPr>
          <w:szCs w:val="24"/>
          <w:lang w:val="es-ES"/>
        </w:rPr>
        <w:t xml:space="preserve">Pronunciaron declaraciones de apertura la Sra. Yasmine Fouad, Ministra de Medio Ambiente de Egipto y Presidenta de </w:t>
      </w:r>
      <w:r w:rsidR="006B6104">
        <w:rPr>
          <w:szCs w:val="24"/>
          <w:lang w:val="es-ES"/>
        </w:rPr>
        <w:t xml:space="preserve">la </w:t>
      </w:r>
      <w:r w:rsidR="006B6104" w:rsidRPr="00C901E0">
        <w:rPr>
          <w:szCs w:val="24"/>
          <w:lang w:val="es-ES"/>
        </w:rPr>
        <w:t xml:space="preserve">14ª reunión </w:t>
      </w:r>
      <w:r w:rsidR="006B6104">
        <w:rPr>
          <w:szCs w:val="24"/>
          <w:lang w:val="es-ES"/>
        </w:rPr>
        <w:t xml:space="preserve">de </w:t>
      </w:r>
      <w:r w:rsidRPr="00C901E0">
        <w:rPr>
          <w:szCs w:val="24"/>
          <w:lang w:val="es-ES"/>
        </w:rPr>
        <w:t xml:space="preserve">la Conferencia de las Partes, </w:t>
      </w:r>
      <w:r w:rsidR="006B6104">
        <w:rPr>
          <w:szCs w:val="24"/>
          <w:lang w:val="es-ES"/>
        </w:rPr>
        <w:t xml:space="preserve">quien </w:t>
      </w:r>
      <w:r w:rsidRPr="00C901E0">
        <w:rPr>
          <w:szCs w:val="24"/>
          <w:lang w:val="es-ES"/>
        </w:rPr>
        <w:t>ofici</w:t>
      </w:r>
      <w:r w:rsidR="006B6104">
        <w:rPr>
          <w:szCs w:val="24"/>
          <w:lang w:val="es-ES"/>
        </w:rPr>
        <w:t>ó</w:t>
      </w:r>
      <w:r w:rsidRPr="00C901E0">
        <w:rPr>
          <w:szCs w:val="24"/>
          <w:lang w:val="es-ES"/>
        </w:rPr>
        <w:t xml:space="preserve"> asimismo de Presidenta de la 9ª reunión de la Conferencia de las Partes que actúa como reunión de las Partes en el Protocolo de Cartagena; la Sra. Cristiana Paşca </w:t>
      </w:r>
      <w:r w:rsidR="00145962">
        <w:rPr>
          <w:szCs w:val="24"/>
          <w:lang w:val="es-ES"/>
        </w:rPr>
        <w:t xml:space="preserve">Palmer, Secretaria Ejecutiva </w:t>
      </w:r>
      <w:r w:rsidRPr="00C901E0">
        <w:rPr>
          <w:szCs w:val="24"/>
          <w:lang w:val="es-ES"/>
        </w:rPr>
        <w:t xml:space="preserve">del Convenio sobre la Diversidad Biológica; la Sra. Maria Fernanda Espinosa, Presidenta de la Asamblea General de las Naciones Unidas, </w:t>
      </w:r>
      <w:r w:rsidR="006B6104">
        <w:rPr>
          <w:szCs w:val="24"/>
          <w:lang w:val="es-ES"/>
        </w:rPr>
        <w:t>en un</w:t>
      </w:r>
      <w:r w:rsidR="00DC6049">
        <w:rPr>
          <w:szCs w:val="24"/>
          <w:lang w:val="es-ES"/>
        </w:rPr>
        <w:t xml:space="preserve"> m</w:t>
      </w:r>
      <w:r w:rsidR="006B6104">
        <w:rPr>
          <w:szCs w:val="24"/>
          <w:lang w:val="es-ES"/>
        </w:rPr>
        <w:t>en</w:t>
      </w:r>
      <w:r w:rsidR="00DC6049">
        <w:rPr>
          <w:szCs w:val="24"/>
          <w:lang w:val="es-ES"/>
        </w:rPr>
        <w:t>saje</w:t>
      </w:r>
      <w:r w:rsidR="006B6104">
        <w:rPr>
          <w:szCs w:val="24"/>
          <w:lang w:val="es-ES"/>
        </w:rPr>
        <w:t xml:space="preserve"> </w:t>
      </w:r>
      <w:r w:rsidRPr="00C901E0">
        <w:rPr>
          <w:szCs w:val="24"/>
          <w:lang w:val="es-ES"/>
        </w:rPr>
        <w:t>tra</w:t>
      </w:r>
      <w:r w:rsidR="00E71DA1">
        <w:rPr>
          <w:szCs w:val="24"/>
          <w:lang w:val="es-ES"/>
        </w:rPr>
        <w:t>n</w:t>
      </w:r>
      <w:r w:rsidRPr="00C901E0">
        <w:rPr>
          <w:szCs w:val="24"/>
          <w:lang w:val="es-ES"/>
        </w:rPr>
        <w:t>smitid</w:t>
      </w:r>
      <w:r w:rsidR="00DC6049">
        <w:rPr>
          <w:szCs w:val="24"/>
          <w:lang w:val="es-ES"/>
        </w:rPr>
        <w:t>o en</w:t>
      </w:r>
      <w:r w:rsidRPr="00C901E0">
        <w:rPr>
          <w:szCs w:val="24"/>
          <w:lang w:val="es-ES"/>
        </w:rPr>
        <w:t xml:space="preserve"> v</w:t>
      </w:r>
      <w:r w:rsidR="006B6104">
        <w:rPr>
          <w:szCs w:val="24"/>
          <w:lang w:val="es-ES"/>
        </w:rPr>
        <w:t>í</w:t>
      </w:r>
      <w:r w:rsidRPr="00C901E0">
        <w:rPr>
          <w:szCs w:val="24"/>
          <w:lang w:val="es-ES"/>
        </w:rPr>
        <w:t>deo; y el Sr. Abdel Fattah el-Sisi, Presidente de Egipto.</w:t>
      </w:r>
    </w:p>
    <w:bookmarkEnd w:id="50"/>
    <w:p w:rsidR="005D4920" w:rsidRPr="00C901E0" w:rsidRDefault="005D4920" w:rsidP="005D4920">
      <w:pPr>
        <w:pStyle w:val="Para1"/>
        <w:tabs>
          <w:tab w:val="clear" w:pos="360"/>
        </w:tabs>
        <w:rPr>
          <w:rFonts w:eastAsia="Times New Roman"/>
          <w:szCs w:val="24"/>
          <w:lang w:val="es-ES"/>
        </w:rPr>
      </w:pPr>
      <w:r w:rsidRPr="00C901E0">
        <w:rPr>
          <w:rFonts w:eastAsia="Times New Roman"/>
          <w:szCs w:val="24"/>
          <w:lang w:val="es-ES"/>
        </w:rPr>
        <w:t xml:space="preserve">En su </w:t>
      </w:r>
      <w:r w:rsidR="00DC6049">
        <w:rPr>
          <w:rFonts w:eastAsia="Times New Roman"/>
          <w:szCs w:val="24"/>
          <w:lang w:val="es-ES"/>
        </w:rPr>
        <w:t>intervención</w:t>
      </w:r>
      <w:r w:rsidRPr="00C901E0">
        <w:rPr>
          <w:rFonts w:eastAsia="Times New Roman"/>
          <w:szCs w:val="24"/>
          <w:lang w:val="es-ES"/>
        </w:rPr>
        <w:t xml:space="preserve">, la Presidenta se refirió </w:t>
      </w:r>
      <w:r w:rsidR="006B6104">
        <w:rPr>
          <w:rFonts w:eastAsia="Times New Roman"/>
          <w:szCs w:val="24"/>
          <w:lang w:val="es-ES"/>
        </w:rPr>
        <w:t>a los</w:t>
      </w:r>
      <w:r w:rsidR="006B6104" w:rsidRPr="00C901E0">
        <w:rPr>
          <w:rFonts w:eastAsia="Times New Roman"/>
          <w:szCs w:val="24"/>
          <w:lang w:val="es-ES"/>
        </w:rPr>
        <w:t xml:space="preserve"> resultados de la serie de sesiones de alto nivel</w:t>
      </w:r>
      <w:r w:rsidR="006B6104">
        <w:rPr>
          <w:rFonts w:eastAsia="Times New Roman"/>
          <w:szCs w:val="24"/>
          <w:lang w:val="es-ES"/>
        </w:rPr>
        <w:t>, entre ellos</w:t>
      </w:r>
      <w:r w:rsidRPr="00C901E0">
        <w:rPr>
          <w:rFonts w:eastAsia="Times New Roman"/>
          <w:szCs w:val="24"/>
          <w:lang w:val="es-ES"/>
        </w:rPr>
        <w:t xml:space="preserve"> </w:t>
      </w:r>
      <w:r w:rsidR="00FA54DF" w:rsidRPr="00C901E0">
        <w:rPr>
          <w:rFonts w:eastAsia="Times New Roman"/>
          <w:szCs w:val="24"/>
          <w:lang w:val="es-ES"/>
        </w:rPr>
        <w:t>la Declaración de Sharm el-Sheikh</w:t>
      </w:r>
      <w:r w:rsidR="00DC6049">
        <w:rPr>
          <w:rFonts w:eastAsia="Times New Roman"/>
          <w:szCs w:val="24"/>
          <w:lang w:val="es-ES"/>
        </w:rPr>
        <w:t xml:space="preserve">: </w:t>
      </w:r>
      <w:r w:rsidR="00FA54DF" w:rsidRPr="00C901E0">
        <w:rPr>
          <w:rFonts w:eastAsia="Times New Roman"/>
          <w:szCs w:val="24"/>
          <w:lang w:val="es-ES"/>
        </w:rPr>
        <w:t>Invertir en la diversidad biológica para la gente y el planeta</w:t>
      </w:r>
      <w:r w:rsidRPr="00C901E0">
        <w:rPr>
          <w:rFonts w:eastAsia="Times New Roman"/>
          <w:szCs w:val="24"/>
          <w:lang w:val="es-ES"/>
        </w:rPr>
        <w:t>. La Declaración de Sharm el-Sheikh y el informe de la serie de sesiones de alto nivel se public</w:t>
      </w:r>
      <w:r w:rsidR="00145962">
        <w:rPr>
          <w:rFonts w:eastAsia="Times New Roman"/>
          <w:szCs w:val="24"/>
          <w:lang w:val="es-ES"/>
        </w:rPr>
        <w:t>aron</w:t>
      </w:r>
      <w:r w:rsidRPr="00C901E0">
        <w:rPr>
          <w:rFonts w:eastAsia="Times New Roman"/>
          <w:szCs w:val="24"/>
          <w:lang w:val="es-ES"/>
        </w:rPr>
        <w:t xml:space="preserve"> como documento</w:t>
      </w:r>
      <w:r w:rsidR="00145962">
        <w:rPr>
          <w:rFonts w:eastAsia="Times New Roman"/>
          <w:szCs w:val="24"/>
          <w:lang w:val="es-ES"/>
        </w:rPr>
        <w:t>s</w:t>
      </w:r>
      <w:r w:rsidRPr="00C901E0">
        <w:rPr>
          <w:rFonts w:eastAsia="Times New Roman"/>
          <w:szCs w:val="24"/>
          <w:lang w:val="es-ES"/>
        </w:rPr>
        <w:t xml:space="preserve"> </w:t>
      </w:r>
      <w:r w:rsidR="00145962" w:rsidRPr="00C901E0">
        <w:rPr>
          <w:rFonts w:eastAsia="Times New Roman"/>
          <w:szCs w:val="24"/>
          <w:lang w:val="es-ES"/>
        </w:rPr>
        <w:t xml:space="preserve">CBD/COP/14/12 </w:t>
      </w:r>
      <w:r w:rsidR="00145962">
        <w:rPr>
          <w:rFonts w:eastAsia="Times New Roman"/>
          <w:szCs w:val="24"/>
          <w:lang w:val="es-ES"/>
        </w:rPr>
        <w:t xml:space="preserve">y </w:t>
      </w:r>
      <w:r w:rsidRPr="00C901E0">
        <w:rPr>
          <w:rFonts w:eastAsia="Times New Roman"/>
          <w:szCs w:val="24"/>
          <w:lang w:val="es-ES"/>
        </w:rPr>
        <w:t>CBD/COP/14/12/Add.1</w:t>
      </w:r>
      <w:r w:rsidR="00145962">
        <w:rPr>
          <w:rFonts w:eastAsia="Times New Roman"/>
          <w:szCs w:val="24"/>
          <w:lang w:val="es-ES"/>
        </w:rPr>
        <w:t>, respectivamente</w:t>
      </w:r>
      <w:r w:rsidRPr="00C901E0">
        <w:rPr>
          <w:rFonts w:eastAsia="Times New Roman"/>
          <w:szCs w:val="24"/>
          <w:lang w:val="es-ES"/>
        </w:rPr>
        <w:t>.</w:t>
      </w:r>
    </w:p>
    <w:p w:rsidR="005D4920" w:rsidRPr="00C901E0" w:rsidRDefault="005D4920" w:rsidP="005D4920">
      <w:pPr>
        <w:pStyle w:val="Para1"/>
        <w:tabs>
          <w:tab w:val="clear" w:pos="360"/>
        </w:tabs>
        <w:rPr>
          <w:rFonts w:eastAsia="Times New Roman"/>
          <w:szCs w:val="24"/>
          <w:lang w:val="es-ES"/>
        </w:rPr>
      </w:pPr>
      <w:r w:rsidRPr="00C901E0">
        <w:rPr>
          <w:rFonts w:eastAsia="Times New Roman"/>
          <w:szCs w:val="24"/>
          <w:lang w:val="es-ES"/>
        </w:rPr>
        <w:t xml:space="preserve">Se </w:t>
      </w:r>
      <w:r w:rsidR="00942F02">
        <w:rPr>
          <w:rFonts w:eastAsia="Times New Roman"/>
          <w:szCs w:val="24"/>
          <w:lang w:val="es-ES"/>
        </w:rPr>
        <w:t>proyectaron</w:t>
      </w:r>
      <w:r w:rsidRPr="00C901E0">
        <w:rPr>
          <w:rFonts w:eastAsia="Times New Roman"/>
          <w:szCs w:val="24"/>
          <w:lang w:val="es-ES"/>
        </w:rPr>
        <w:t xml:space="preserve"> dos presentaciones en vídeo: la primera de ellas</w:t>
      </w:r>
      <w:r w:rsidR="001C70D0">
        <w:rPr>
          <w:rFonts w:eastAsia="Times New Roman"/>
          <w:szCs w:val="24"/>
          <w:lang w:val="es-ES"/>
        </w:rPr>
        <w:t>, que</w:t>
      </w:r>
      <w:r w:rsidR="00FA54DF">
        <w:rPr>
          <w:rFonts w:eastAsia="Times New Roman"/>
          <w:szCs w:val="24"/>
          <w:lang w:val="es-ES"/>
        </w:rPr>
        <w:t xml:space="preserve"> </w:t>
      </w:r>
      <w:r w:rsidR="00FA54DF" w:rsidRPr="00C901E0">
        <w:rPr>
          <w:rFonts w:eastAsia="Times New Roman"/>
          <w:szCs w:val="24"/>
          <w:lang w:val="es-ES"/>
        </w:rPr>
        <w:t>fue preparada por el Gobierno de México</w:t>
      </w:r>
      <w:r w:rsidR="00FA54DF">
        <w:rPr>
          <w:rFonts w:eastAsia="Times New Roman"/>
          <w:szCs w:val="24"/>
          <w:lang w:val="es-ES"/>
        </w:rPr>
        <w:t>,</w:t>
      </w:r>
      <w:r w:rsidRPr="00C901E0">
        <w:rPr>
          <w:rFonts w:eastAsia="Times New Roman"/>
          <w:szCs w:val="24"/>
          <w:lang w:val="es-ES"/>
        </w:rPr>
        <w:t xml:space="preserve"> </w:t>
      </w:r>
      <w:r w:rsidR="00FA54DF">
        <w:rPr>
          <w:rFonts w:eastAsia="Times New Roman"/>
          <w:szCs w:val="24"/>
          <w:lang w:val="es-ES"/>
        </w:rPr>
        <w:t>v</w:t>
      </w:r>
      <w:r w:rsidRPr="00C901E0">
        <w:rPr>
          <w:rFonts w:eastAsia="Times New Roman"/>
          <w:szCs w:val="24"/>
          <w:lang w:val="es-ES"/>
        </w:rPr>
        <w:t>e</w:t>
      </w:r>
      <w:r w:rsidR="00FA54DF">
        <w:rPr>
          <w:rFonts w:eastAsia="Times New Roman"/>
          <w:szCs w:val="24"/>
          <w:lang w:val="es-ES"/>
        </w:rPr>
        <w:t xml:space="preserve">rsó sobre </w:t>
      </w:r>
      <w:r w:rsidRPr="00C901E0">
        <w:rPr>
          <w:rFonts w:eastAsia="Times New Roman"/>
          <w:szCs w:val="24"/>
          <w:lang w:val="es-ES"/>
        </w:rPr>
        <w:t xml:space="preserve">la integración de la diversidad biológica, </w:t>
      </w:r>
      <w:r w:rsidR="001C70D0">
        <w:rPr>
          <w:rFonts w:eastAsia="Times New Roman"/>
          <w:szCs w:val="24"/>
          <w:lang w:val="es-ES"/>
        </w:rPr>
        <w:t>mientras que</w:t>
      </w:r>
      <w:r w:rsidRPr="00C901E0">
        <w:rPr>
          <w:rFonts w:eastAsia="Times New Roman"/>
          <w:szCs w:val="24"/>
          <w:lang w:val="es-ES"/>
        </w:rPr>
        <w:t xml:space="preserve"> la segunda, </w:t>
      </w:r>
      <w:r w:rsidR="00FA54DF" w:rsidRPr="00C901E0">
        <w:rPr>
          <w:rFonts w:eastAsia="Times New Roman"/>
          <w:szCs w:val="24"/>
          <w:lang w:val="es-ES"/>
        </w:rPr>
        <w:t>preparada por el Gobierno de Egipto</w:t>
      </w:r>
      <w:r w:rsidR="00FA54DF">
        <w:rPr>
          <w:rFonts w:eastAsia="Times New Roman"/>
          <w:szCs w:val="24"/>
          <w:lang w:val="es-ES"/>
        </w:rPr>
        <w:t>,</w:t>
      </w:r>
      <w:r w:rsidR="00FA54DF" w:rsidRPr="00C901E0">
        <w:rPr>
          <w:rFonts w:eastAsia="Times New Roman"/>
          <w:szCs w:val="24"/>
          <w:lang w:val="es-ES"/>
        </w:rPr>
        <w:t xml:space="preserve"> </w:t>
      </w:r>
      <w:r w:rsidR="00FA54DF">
        <w:rPr>
          <w:rFonts w:eastAsia="Times New Roman"/>
          <w:szCs w:val="24"/>
          <w:lang w:val="es-ES"/>
        </w:rPr>
        <w:t>tuvo como tema</w:t>
      </w:r>
      <w:r w:rsidRPr="00C901E0">
        <w:rPr>
          <w:rFonts w:eastAsia="Times New Roman"/>
          <w:szCs w:val="24"/>
          <w:lang w:val="es-ES"/>
        </w:rPr>
        <w:t xml:space="preserve"> </w:t>
      </w:r>
      <w:r w:rsidR="001C70D0">
        <w:rPr>
          <w:rFonts w:eastAsia="Times New Roman"/>
          <w:szCs w:val="24"/>
          <w:lang w:val="es-ES"/>
        </w:rPr>
        <w:t>la relación</w:t>
      </w:r>
      <w:r w:rsidRPr="00C901E0">
        <w:rPr>
          <w:rFonts w:eastAsia="Times New Roman"/>
          <w:szCs w:val="24"/>
          <w:lang w:val="es-ES"/>
        </w:rPr>
        <w:t xml:space="preserve"> </w:t>
      </w:r>
      <w:r w:rsidR="00FA54DF">
        <w:rPr>
          <w:rFonts w:eastAsia="Times New Roman"/>
          <w:szCs w:val="24"/>
          <w:lang w:val="es-ES"/>
        </w:rPr>
        <w:t>v</w:t>
      </w:r>
      <w:r w:rsidRPr="00C901E0">
        <w:rPr>
          <w:rFonts w:eastAsia="Times New Roman"/>
          <w:szCs w:val="24"/>
          <w:lang w:val="es-ES"/>
        </w:rPr>
        <w:t>i</w:t>
      </w:r>
      <w:r w:rsidR="00FA54DF">
        <w:rPr>
          <w:rFonts w:eastAsia="Times New Roman"/>
          <w:szCs w:val="24"/>
          <w:lang w:val="es-ES"/>
        </w:rPr>
        <w:t>t</w:t>
      </w:r>
      <w:r w:rsidRPr="00C901E0">
        <w:rPr>
          <w:rFonts w:eastAsia="Times New Roman"/>
          <w:szCs w:val="24"/>
          <w:lang w:val="es-ES"/>
        </w:rPr>
        <w:t xml:space="preserve">al </w:t>
      </w:r>
      <w:r w:rsidR="001C70D0">
        <w:rPr>
          <w:rFonts w:eastAsia="Times New Roman"/>
          <w:szCs w:val="24"/>
          <w:lang w:val="es-ES"/>
        </w:rPr>
        <w:t>de</w:t>
      </w:r>
      <w:r w:rsidR="00FA54DF">
        <w:rPr>
          <w:rFonts w:eastAsia="Times New Roman"/>
          <w:szCs w:val="24"/>
          <w:lang w:val="es-ES"/>
        </w:rPr>
        <w:t xml:space="preserve"> </w:t>
      </w:r>
      <w:r w:rsidR="00FA54DF" w:rsidRPr="00C901E0">
        <w:rPr>
          <w:rFonts w:eastAsia="Times New Roman"/>
          <w:szCs w:val="24"/>
          <w:lang w:val="es-ES"/>
        </w:rPr>
        <w:t xml:space="preserve">la diversidad biológica </w:t>
      </w:r>
      <w:r w:rsidRPr="00C901E0">
        <w:rPr>
          <w:rFonts w:eastAsia="Times New Roman"/>
          <w:szCs w:val="24"/>
          <w:lang w:val="es-ES"/>
        </w:rPr>
        <w:t>con la supervivencia de la humanidad. También hubo una representación artística sobre la importancia de la diversidad biológica a cargo de un grupo de escolares.</w:t>
      </w:r>
    </w:p>
    <w:p w:rsidR="005D4920" w:rsidRPr="00C901E0" w:rsidRDefault="005D4920" w:rsidP="005D4920">
      <w:pPr>
        <w:pStyle w:val="Para1"/>
        <w:tabs>
          <w:tab w:val="clear" w:pos="360"/>
        </w:tabs>
        <w:rPr>
          <w:rFonts w:eastAsia="Times New Roman"/>
          <w:szCs w:val="24"/>
          <w:lang w:val="es-ES"/>
        </w:rPr>
      </w:pPr>
      <w:r w:rsidRPr="00C901E0">
        <w:rPr>
          <w:rFonts w:eastAsia="Times New Roman"/>
          <w:szCs w:val="24"/>
          <w:lang w:val="es-ES"/>
        </w:rPr>
        <w:lastRenderedPageBreak/>
        <w:t xml:space="preserve">En la segunda sesión plenaria de la reunión, el 17 de noviembre de 2018, pronunciaron declaraciones la Sra. Amina Mohammed, Vicesecretaria General de las Naciones Unidas, en un mensaje </w:t>
      </w:r>
      <w:r w:rsidR="00942F02">
        <w:rPr>
          <w:rFonts w:eastAsia="Times New Roman"/>
          <w:szCs w:val="24"/>
          <w:lang w:val="es-ES"/>
        </w:rPr>
        <w:t>tra</w:t>
      </w:r>
      <w:r w:rsidR="00E71DA1">
        <w:rPr>
          <w:rFonts w:eastAsia="Times New Roman"/>
          <w:szCs w:val="24"/>
          <w:lang w:val="es-ES"/>
        </w:rPr>
        <w:t>n</w:t>
      </w:r>
      <w:r w:rsidR="00942F02">
        <w:rPr>
          <w:rFonts w:eastAsia="Times New Roman"/>
          <w:szCs w:val="24"/>
          <w:lang w:val="es-ES"/>
        </w:rPr>
        <w:t xml:space="preserve">smitido </w:t>
      </w:r>
      <w:r w:rsidRPr="00C901E0">
        <w:rPr>
          <w:rFonts w:eastAsia="Times New Roman"/>
          <w:szCs w:val="24"/>
          <w:lang w:val="es-ES"/>
        </w:rPr>
        <w:t>en vídeo, y la Sra. Corli Pretorius, Directora Adjunta del Centro Mundial de Vigilancia de la Conservación del Programa de las Naciones Unidas para el Medio Ambiente (PNUMA).</w:t>
      </w:r>
    </w:p>
    <w:p w:rsidR="005D4920" w:rsidRPr="00C901E0" w:rsidRDefault="005D4920" w:rsidP="005D4920">
      <w:pPr>
        <w:pStyle w:val="Para1"/>
        <w:tabs>
          <w:tab w:val="clear" w:pos="360"/>
        </w:tabs>
        <w:rPr>
          <w:rFonts w:eastAsia="Times New Roman"/>
          <w:szCs w:val="24"/>
          <w:lang w:val="es-ES"/>
        </w:rPr>
      </w:pPr>
      <w:r w:rsidRPr="00C901E0">
        <w:rPr>
          <w:rFonts w:eastAsia="Times New Roman"/>
          <w:szCs w:val="24"/>
          <w:lang w:val="es-ES"/>
        </w:rPr>
        <w:t xml:space="preserve">Los representantes </w:t>
      </w:r>
      <w:r w:rsidR="00942F02">
        <w:rPr>
          <w:rFonts w:eastAsia="Times New Roman"/>
          <w:szCs w:val="24"/>
          <w:lang w:val="es-ES"/>
        </w:rPr>
        <w:t>v</w:t>
      </w:r>
      <w:r w:rsidR="00842AA8">
        <w:rPr>
          <w:rFonts w:eastAsia="Times New Roman"/>
          <w:szCs w:val="24"/>
          <w:lang w:val="es-ES"/>
        </w:rPr>
        <w:t>i</w:t>
      </w:r>
      <w:r w:rsidR="00942F02">
        <w:rPr>
          <w:rFonts w:eastAsia="Times New Roman"/>
          <w:szCs w:val="24"/>
          <w:lang w:val="es-ES"/>
        </w:rPr>
        <w:t>er</w:t>
      </w:r>
      <w:r w:rsidR="00842AA8">
        <w:rPr>
          <w:rFonts w:eastAsia="Times New Roman"/>
          <w:szCs w:val="24"/>
          <w:lang w:val="es-ES"/>
        </w:rPr>
        <w:t>on</w:t>
      </w:r>
      <w:r w:rsidR="00942F02">
        <w:rPr>
          <w:rFonts w:eastAsia="Times New Roman"/>
          <w:szCs w:val="24"/>
          <w:lang w:val="es-ES"/>
        </w:rPr>
        <w:t xml:space="preserve"> una</w:t>
      </w:r>
      <w:r w:rsidRPr="00C901E0">
        <w:rPr>
          <w:rFonts w:eastAsia="Times New Roman"/>
          <w:szCs w:val="24"/>
          <w:lang w:val="es-ES"/>
        </w:rPr>
        <w:t xml:space="preserve"> película producida por National Geographic Society y otra por World Wide Fund for Nature (WWF), así como un mensaje </w:t>
      </w:r>
      <w:r w:rsidR="00942F02" w:rsidRPr="00C901E0">
        <w:rPr>
          <w:rFonts w:eastAsia="Times New Roman"/>
          <w:szCs w:val="24"/>
          <w:lang w:val="es-ES"/>
        </w:rPr>
        <w:t>del Sr. Paul McCartney</w:t>
      </w:r>
      <w:r w:rsidR="00942F02">
        <w:rPr>
          <w:rFonts w:eastAsia="Times New Roman"/>
          <w:szCs w:val="24"/>
          <w:lang w:val="es-ES"/>
        </w:rPr>
        <w:t>,</w:t>
      </w:r>
      <w:r w:rsidR="00942F02" w:rsidRPr="00C901E0">
        <w:rPr>
          <w:rFonts w:eastAsia="Times New Roman"/>
          <w:szCs w:val="24"/>
          <w:lang w:val="es-ES"/>
        </w:rPr>
        <w:t xml:space="preserve"> </w:t>
      </w:r>
      <w:r w:rsidR="00942F02">
        <w:rPr>
          <w:rFonts w:eastAsia="Times New Roman"/>
          <w:szCs w:val="24"/>
          <w:lang w:val="es-ES"/>
        </w:rPr>
        <w:t>tra</w:t>
      </w:r>
      <w:r w:rsidR="00E71DA1">
        <w:rPr>
          <w:rFonts w:eastAsia="Times New Roman"/>
          <w:szCs w:val="24"/>
          <w:lang w:val="es-ES"/>
        </w:rPr>
        <w:t>n</w:t>
      </w:r>
      <w:r w:rsidR="00942F02">
        <w:rPr>
          <w:rFonts w:eastAsia="Times New Roman"/>
          <w:szCs w:val="24"/>
          <w:lang w:val="es-ES"/>
        </w:rPr>
        <w:t xml:space="preserve">smitido </w:t>
      </w:r>
      <w:r w:rsidRPr="00C901E0">
        <w:rPr>
          <w:rFonts w:eastAsia="Times New Roman"/>
          <w:szCs w:val="24"/>
          <w:lang w:val="es-ES"/>
        </w:rPr>
        <w:t>en vídeo.</w:t>
      </w:r>
    </w:p>
    <w:p w:rsidR="005D4920" w:rsidRPr="00C901E0" w:rsidRDefault="005D4920" w:rsidP="005D4920">
      <w:pPr>
        <w:pStyle w:val="Para1"/>
        <w:tabs>
          <w:tab w:val="clear" w:pos="360"/>
        </w:tabs>
        <w:spacing w:before="0" w:after="0"/>
        <w:rPr>
          <w:rFonts w:eastAsia="Times New Roman"/>
          <w:szCs w:val="24"/>
          <w:lang w:val="es-ES"/>
        </w:rPr>
      </w:pPr>
      <w:r w:rsidRPr="00C901E0">
        <w:rPr>
          <w:rFonts w:eastAsia="Times New Roman"/>
          <w:szCs w:val="24"/>
          <w:lang w:val="es-ES"/>
        </w:rPr>
        <w:t xml:space="preserve">Pronunciaron declaraciones generales representantes de la Argentina (en nombre del Grupo </w:t>
      </w:r>
      <w:r w:rsidR="000D7A93">
        <w:rPr>
          <w:rFonts w:eastAsia="Times New Roman"/>
          <w:szCs w:val="24"/>
          <w:lang w:val="es-ES"/>
        </w:rPr>
        <w:t xml:space="preserve">de </w:t>
      </w:r>
      <w:r w:rsidRPr="00C901E0">
        <w:rPr>
          <w:rFonts w:eastAsia="Times New Roman"/>
          <w:szCs w:val="24"/>
          <w:lang w:val="es-ES"/>
        </w:rPr>
        <w:t>América Latina y el Caribe), el Canadá (en nombre de un grupo de países no alineados), la Unión Europea y sus 28 Estados miembros, Belarús (en nombre de los países de Europa Central y Oriental), Rwanda (en nombre del Grupo de África) y Malasia (en nombre del Grupo de Países Megadiversos Afines).</w:t>
      </w:r>
    </w:p>
    <w:p w:rsidR="005D4920" w:rsidRPr="00C901E0" w:rsidRDefault="005D4920" w:rsidP="005D4920">
      <w:pPr>
        <w:pStyle w:val="Para1"/>
        <w:tabs>
          <w:tab w:val="clear" w:pos="360"/>
        </w:tabs>
        <w:rPr>
          <w:rFonts w:eastAsia="Times New Roman"/>
          <w:szCs w:val="24"/>
          <w:lang w:val="es-ES"/>
        </w:rPr>
      </w:pPr>
      <w:r w:rsidRPr="00C901E0">
        <w:rPr>
          <w:rFonts w:eastAsia="Times New Roman"/>
          <w:szCs w:val="24"/>
          <w:lang w:val="es-ES"/>
        </w:rPr>
        <w:t xml:space="preserve">Formularon también declaraciones representantes de </w:t>
      </w:r>
      <w:r w:rsidR="000D7A93" w:rsidRPr="00C901E0">
        <w:rPr>
          <w:rFonts w:eastAsia="Times New Roman"/>
          <w:szCs w:val="24"/>
          <w:lang w:val="es-ES"/>
        </w:rPr>
        <w:t>la Alianza del CDB, el Foro Internacional Indígena sobre Biodiversidad (FIIB), la Plataforma Intergubernamental Científico-Normativa sobre Diversidad Biológica y Servicios de los Ecosistemas (IPBES)</w:t>
      </w:r>
      <w:r w:rsidR="000D7A93">
        <w:rPr>
          <w:rFonts w:eastAsia="Times New Roman"/>
          <w:szCs w:val="24"/>
          <w:lang w:val="es-ES"/>
        </w:rPr>
        <w:t xml:space="preserve">, </w:t>
      </w:r>
      <w:r w:rsidRPr="00A73A72">
        <w:rPr>
          <w:rFonts w:eastAsia="Times New Roman"/>
          <w:szCs w:val="24"/>
          <w:lang w:val="es-ES"/>
        </w:rPr>
        <w:t>la Red de Mujeres Indígenas sobre Biodiversidad (RMIB)</w:t>
      </w:r>
      <w:r w:rsidR="000D7A93">
        <w:rPr>
          <w:rFonts w:eastAsia="Times New Roman"/>
          <w:szCs w:val="24"/>
          <w:lang w:val="es-ES"/>
        </w:rPr>
        <w:t xml:space="preserve"> y</w:t>
      </w:r>
      <w:r w:rsidRPr="00C901E0">
        <w:rPr>
          <w:rFonts w:eastAsia="Times New Roman"/>
          <w:szCs w:val="24"/>
          <w:lang w:val="es-ES"/>
        </w:rPr>
        <w:t xml:space="preserve"> la Red Mundial de Jóvenes por la Biodiversidad (GYBN).</w:t>
      </w:r>
    </w:p>
    <w:p w:rsidR="006B022F" w:rsidRPr="00C901E0" w:rsidRDefault="005D4920" w:rsidP="005D4920">
      <w:pPr>
        <w:pStyle w:val="Para1"/>
        <w:tabs>
          <w:tab w:val="clear" w:pos="360"/>
        </w:tabs>
        <w:rPr>
          <w:lang w:val="es-ES"/>
        </w:rPr>
      </w:pPr>
      <w:r w:rsidRPr="00C901E0">
        <w:rPr>
          <w:rFonts w:eastAsia="Times New Roman"/>
          <w:szCs w:val="24"/>
          <w:lang w:val="es-ES"/>
        </w:rPr>
        <w:t>En el anexo II del informe de la 14ª reunión de la Conferencia de las Partes se brinda un</w:t>
      </w:r>
      <w:r w:rsidR="000D7A93">
        <w:rPr>
          <w:rFonts w:eastAsia="Times New Roman"/>
          <w:szCs w:val="24"/>
          <w:lang w:val="es-ES"/>
        </w:rPr>
        <w:t xml:space="preserve"> resumen </w:t>
      </w:r>
      <w:r w:rsidRPr="00C901E0">
        <w:rPr>
          <w:rFonts w:eastAsia="Times New Roman"/>
          <w:szCs w:val="24"/>
          <w:lang w:val="es-ES"/>
        </w:rPr>
        <w:t>de las declaraciones de apertura.</w:t>
      </w:r>
    </w:p>
    <w:p w:rsidR="00495B7A" w:rsidRPr="00C901E0" w:rsidRDefault="0050326F" w:rsidP="00237524">
      <w:pPr>
        <w:pStyle w:val="heading2-item0"/>
        <w:tabs>
          <w:tab w:val="clear" w:pos="720"/>
          <w:tab w:val="left" w:pos="993"/>
        </w:tabs>
        <w:adjustRightInd w:val="0"/>
        <w:snapToGrid w:val="0"/>
        <w:spacing w:before="120"/>
        <w:rPr>
          <w:lang w:val="es-ES"/>
        </w:rPr>
      </w:pPr>
      <w:bookmarkStart w:id="51" w:name="_Toc879834"/>
      <w:bookmarkStart w:id="52" w:name="_Toc5922092"/>
      <w:r w:rsidRPr="00C901E0">
        <w:rPr>
          <w:lang w:val="es-ES"/>
        </w:rPr>
        <w:t>tem</w:t>
      </w:r>
      <w:r w:rsidR="005D4920" w:rsidRPr="00C901E0">
        <w:rPr>
          <w:lang w:val="es-ES"/>
        </w:rPr>
        <w:t>A</w:t>
      </w:r>
      <w:r w:rsidRPr="00C901E0">
        <w:rPr>
          <w:lang w:val="es-ES"/>
        </w:rPr>
        <w:t xml:space="preserve"> 2.</w:t>
      </w:r>
      <w:r w:rsidRPr="00C901E0">
        <w:rPr>
          <w:lang w:val="es-ES"/>
        </w:rPr>
        <w:tab/>
      </w:r>
      <w:bookmarkEnd w:id="51"/>
      <w:r w:rsidR="005D4920" w:rsidRPr="00C901E0">
        <w:rPr>
          <w:lang w:val="es-ES"/>
        </w:rPr>
        <w:t>CUESTIONES DE ORGANIZACIÓN</w:t>
      </w:r>
      <w:bookmarkEnd w:id="52"/>
    </w:p>
    <w:p w:rsidR="00F52DE5" w:rsidRPr="00C901E0" w:rsidRDefault="00F52DE5" w:rsidP="00237524">
      <w:pPr>
        <w:pStyle w:val="Heading2"/>
        <w:tabs>
          <w:tab w:val="clear" w:pos="720"/>
          <w:tab w:val="left" w:pos="426"/>
        </w:tabs>
        <w:adjustRightInd w:val="0"/>
        <w:snapToGrid w:val="0"/>
        <w:rPr>
          <w:lang w:val="es-ES" w:eastAsia="en-CA"/>
        </w:rPr>
      </w:pPr>
      <w:bookmarkStart w:id="53" w:name="_Toc879835"/>
      <w:r w:rsidRPr="00C901E0">
        <w:rPr>
          <w:lang w:val="es-ES"/>
        </w:rPr>
        <w:t>2.1</w:t>
      </w:r>
      <w:r w:rsidR="00FB3975" w:rsidRPr="00C901E0">
        <w:rPr>
          <w:lang w:val="es-ES"/>
        </w:rPr>
        <w:tab/>
      </w:r>
      <w:bookmarkEnd w:id="53"/>
      <w:r w:rsidR="005D4920" w:rsidRPr="00C901E0">
        <w:rPr>
          <w:lang w:val="es-ES"/>
        </w:rPr>
        <w:t>Elección de la Presidenta y los miembros sustitutos de la Mesa</w:t>
      </w:r>
    </w:p>
    <w:p w:rsidR="00F52DE5" w:rsidRPr="00C901E0" w:rsidRDefault="005D4920" w:rsidP="00237524">
      <w:pPr>
        <w:pStyle w:val="Heading3"/>
        <w:tabs>
          <w:tab w:val="clear" w:pos="567"/>
        </w:tabs>
        <w:adjustRightInd w:val="0"/>
        <w:snapToGrid w:val="0"/>
        <w:rPr>
          <w:snapToGrid w:val="0"/>
          <w:lang w:val="es-ES" w:eastAsia="en-CA"/>
        </w:rPr>
      </w:pPr>
      <w:r w:rsidRPr="00C901E0">
        <w:rPr>
          <w:snapToGrid w:val="0"/>
          <w:lang w:val="es-ES" w:eastAsia="en-CA"/>
        </w:rPr>
        <w:t>Elección de la Presidenta</w:t>
      </w:r>
    </w:p>
    <w:p w:rsidR="00BF5795" w:rsidRPr="00842AA8" w:rsidRDefault="000D7A93" w:rsidP="00237524">
      <w:pPr>
        <w:pStyle w:val="Para1"/>
        <w:tabs>
          <w:tab w:val="clear" w:pos="360"/>
        </w:tabs>
        <w:rPr>
          <w:lang w:val="es-ES"/>
        </w:rPr>
      </w:pPr>
      <w:bookmarkStart w:id="54" w:name="_Hlk530379600"/>
      <w:r w:rsidRPr="00842AA8">
        <w:rPr>
          <w:rFonts w:eastAsia="Times New Roman"/>
          <w:szCs w:val="24"/>
          <w:lang w:val="es-ES"/>
        </w:rPr>
        <w:t>Conforme</w:t>
      </w:r>
      <w:r w:rsidR="00647FA5" w:rsidRPr="00842AA8">
        <w:rPr>
          <w:rFonts w:eastAsia="Times New Roman"/>
          <w:szCs w:val="24"/>
          <w:lang w:val="es-ES"/>
        </w:rPr>
        <w:t xml:space="preserve"> a lo establecido en el párrafo 3 del artículo 29 del Protocolo de Cartagena, la Mesa de la Conferencia de las Partes oficia también como Mesa de la Conferencia de las Partes que actúa como reunión de las Partes en el Protocolo de Cartagena. Por consiguiente, la Sra. Fouad, a quien se eligió como Presidenta de la 14ª</w:t>
      </w:r>
      <w:r w:rsidR="00FB6BCC" w:rsidRPr="00842AA8">
        <w:rPr>
          <w:rFonts w:eastAsia="Times New Roman"/>
          <w:szCs w:val="24"/>
          <w:lang w:val="es-ES"/>
        </w:rPr>
        <w:t> </w:t>
      </w:r>
      <w:r w:rsidR="00647FA5" w:rsidRPr="00842AA8">
        <w:rPr>
          <w:rFonts w:eastAsia="Times New Roman"/>
          <w:szCs w:val="24"/>
          <w:lang w:val="es-ES"/>
        </w:rPr>
        <w:t>reunión de la Conferencia de las Partes, ofició también de Presidenta de la 9</w:t>
      </w:r>
      <w:r w:rsidR="00647FA5" w:rsidRPr="00842AA8">
        <w:rPr>
          <w:rFonts w:eastAsia="Times New Roman"/>
          <w:szCs w:val="24"/>
          <w:vertAlign w:val="superscript"/>
          <w:lang w:val="es-ES"/>
        </w:rPr>
        <w:t>a</w:t>
      </w:r>
      <w:r w:rsidR="00647FA5" w:rsidRPr="00842AA8">
        <w:rPr>
          <w:rFonts w:eastAsia="Times New Roman"/>
          <w:szCs w:val="24"/>
          <w:lang w:val="es-ES"/>
        </w:rPr>
        <w:t> reunión de la Conferencia de las Partes que actúa como reunión de las Partes en el Protocolo de Cartagena.</w:t>
      </w:r>
    </w:p>
    <w:bookmarkEnd w:id="54"/>
    <w:p w:rsidR="00F52DE5" w:rsidRPr="00C901E0" w:rsidRDefault="00647FA5" w:rsidP="00237524">
      <w:pPr>
        <w:keepNext/>
        <w:suppressLineNumbers/>
        <w:suppressAutoHyphens/>
        <w:kinsoku w:val="0"/>
        <w:overflowPunct w:val="0"/>
        <w:autoSpaceDE w:val="0"/>
        <w:autoSpaceDN w:val="0"/>
        <w:spacing w:before="120" w:after="120"/>
        <w:outlineLvl w:val="2"/>
        <w:rPr>
          <w:i/>
          <w:iCs/>
          <w:snapToGrid w:val="0"/>
          <w:kern w:val="22"/>
          <w:sz w:val="22"/>
          <w:szCs w:val="22"/>
          <w:lang w:val="es-ES" w:eastAsia="en-CA"/>
        </w:rPr>
      </w:pPr>
      <w:r w:rsidRPr="00C901E0">
        <w:rPr>
          <w:i/>
          <w:iCs/>
          <w:snapToGrid w:val="0"/>
          <w:kern w:val="22"/>
          <w:sz w:val="22"/>
          <w:szCs w:val="22"/>
          <w:lang w:val="es-ES" w:eastAsia="en-CA"/>
        </w:rPr>
        <w:t>Elección de los miembros sustitutos de la Mesa</w:t>
      </w:r>
    </w:p>
    <w:p w:rsidR="00647FA5" w:rsidRPr="00C901E0" w:rsidRDefault="00647FA5" w:rsidP="00647FA5">
      <w:pPr>
        <w:pStyle w:val="Para1"/>
        <w:tabs>
          <w:tab w:val="clear" w:pos="360"/>
        </w:tabs>
        <w:rPr>
          <w:rFonts w:eastAsia="Times New Roman"/>
          <w:szCs w:val="24"/>
          <w:lang w:val="es-ES"/>
        </w:rPr>
      </w:pPr>
      <w:bookmarkStart w:id="55" w:name="_Hlk530375766"/>
      <w:r w:rsidRPr="00C901E0">
        <w:rPr>
          <w:rFonts w:eastAsia="Times New Roman"/>
          <w:szCs w:val="24"/>
          <w:lang w:val="es-ES"/>
        </w:rPr>
        <w:t>En el artículo 29, párrafo 3, del Protocolo de Cartagena se estipula que los miembros de la Mesa de la Conferencia de las Partes que representen a Partes en el Convenio que no sean Partes en el Protocolo de Cartagena serán reemplazados por miembros que serán elegidos entre las Partes en el Protocolo</w:t>
      </w:r>
      <w:r w:rsidR="00FB6BCC" w:rsidRPr="00C901E0">
        <w:rPr>
          <w:rFonts w:eastAsia="Times New Roman"/>
          <w:szCs w:val="24"/>
          <w:lang w:val="es-ES"/>
        </w:rPr>
        <w:t xml:space="preserve"> y</w:t>
      </w:r>
      <w:r w:rsidR="00FB6BCC" w:rsidRPr="00FB6BCC">
        <w:rPr>
          <w:rFonts w:eastAsia="Times New Roman"/>
          <w:szCs w:val="24"/>
          <w:lang w:val="es-ES"/>
        </w:rPr>
        <w:t xml:space="preserve"> </w:t>
      </w:r>
      <w:r w:rsidR="00FB6BCC" w:rsidRPr="00C901E0">
        <w:rPr>
          <w:rFonts w:eastAsia="Times New Roman"/>
          <w:szCs w:val="24"/>
          <w:lang w:val="es-ES"/>
        </w:rPr>
        <w:t>por</w:t>
      </w:r>
      <w:r w:rsidR="00FB6BCC">
        <w:rPr>
          <w:rFonts w:eastAsia="Times New Roman"/>
          <w:szCs w:val="24"/>
          <w:lang w:val="es-ES"/>
        </w:rPr>
        <w:t xml:space="preserve"> ellas</w:t>
      </w:r>
      <w:r w:rsidRPr="00C901E0">
        <w:rPr>
          <w:rFonts w:eastAsia="Times New Roman"/>
          <w:szCs w:val="24"/>
          <w:lang w:val="es-ES"/>
        </w:rPr>
        <w:t>. En su 13ª</w:t>
      </w:r>
      <w:r w:rsidR="00FB6BCC">
        <w:rPr>
          <w:rFonts w:eastAsia="Times New Roman"/>
          <w:szCs w:val="24"/>
          <w:lang w:val="es-ES"/>
        </w:rPr>
        <w:t> </w:t>
      </w:r>
      <w:r w:rsidRPr="00C901E0">
        <w:rPr>
          <w:rFonts w:eastAsia="Times New Roman"/>
          <w:szCs w:val="24"/>
          <w:lang w:val="es-ES"/>
        </w:rPr>
        <w:t xml:space="preserve">reunión la Conferencia de las Partes eligió diez miembros de la Mesa por un mandato que finalizaría al clausurarse la 14ª reunión. </w:t>
      </w:r>
      <w:r w:rsidR="00FB6BCC">
        <w:rPr>
          <w:rFonts w:eastAsia="Times New Roman"/>
          <w:szCs w:val="24"/>
          <w:lang w:val="es-ES"/>
        </w:rPr>
        <w:t>Posteriormente</w:t>
      </w:r>
      <w:r w:rsidRPr="00C901E0">
        <w:rPr>
          <w:rFonts w:eastAsia="Times New Roman"/>
          <w:szCs w:val="24"/>
          <w:lang w:val="es-ES"/>
        </w:rPr>
        <w:t xml:space="preserve">, en su octava reunión, la Conferencia de las Partes que actúa como reunión de las Partes en el Protocolo de Cartagena eligió miembros sustitutos de la Mesa para aquellas regiones en las que había miembros de la Mesa de la Conferencia de las Partes que representaban a Partes en el Convenio que no son Partes en el Protocolo. </w:t>
      </w:r>
      <w:r w:rsidR="00FB6BCC">
        <w:rPr>
          <w:rFonts w:eastAsia="Times New Roman"/>
          <w:szCs w:val="24"/>
          <w:lang w:val="es-ES"/>
        </w:rPr>
        <w:t>D</w:t>
      </w:r>
      <w:r w:rsidRPr="00C901E0">
        <w:rPr>
          <w:rFonts w:eastAsia="Times New Roman"/>
          <w:szCs w:val="24"/>
          <w:lang w:val="es-ES"/>
        </w:rPr>
        <w:t xml:space="preserve">os representantes fueron </w:t>
      </w:r>
      <w:r w:rsidR="00FB6BCC">
        <w:rPr>
          <w:rFonts w:eastAsia="Times New Roman"/>
          <w:szCs w:val="24"/>
          <w:lang w:val="es-ES"/>
        </w:rPr>
        <w:t xml:space="preserve">luego </w:t>
      </w:r>
      <w:r w:rsidRPr="00C901E0">
        <w:rPr>
          <w:rFonts w:eastAsia="Times New Roman"/>
          <w:szCs w:val="24"/>
          <w:lang w:val="es-ES"/>
        </w:rPr>
        <w:t xml:space="preserve">reemplazados por </w:t>
      </w:r>
      <w:r w:rsidR="00FB6BCC">
        <w:rPr>
          <w:rFonts w:eastAsia="Times New Roman"/>
          <w:szCs w:val="24"/>
          <w:lang w:val="es-ES"/>
        </w:rPr>
        <w:t>sus</w:t>
      </w:r>
      <w:r w:rsidRPr="00C901E0">
        <w:rPr>
          <w:rFonts w:eastAsia="Times New Roman"/>
          <w:szCs w:val="24"/>
          <w:lang w:val="es-ES"/>
        </w:rPr>
        <w:t xml:space="preserve"> Partes correspondientes. Así, además de la Presidenta, la Mesa de la novena reunión de la Conferencia de las Partes que actúa como reunión de las Partes en el Protocolo de Cartagena quedó conformada por los siguientes miembros:</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 Mohamed Ali ben Temessek (Túnez)</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 Samuel Ndayiragije (Burundi)</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Sra. Elvana Ramaj (Albania)</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Sra. Elena Makeyeva (Belarús)</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 Randolph Edmead (Saint Kitts y Nevis)</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Sra. Clarissa Nina (Brasil)</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 Hayo Haanstra (Países Bajos)</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 Gaute Voigt-Hanssen (Noruega)</w:t>
      </w:r>
    </w:p>
    <w:p w:rsidR="00647FA5" w:rsidRPr="00C901E0" w:rsidRDefault="00647FA5" w:rsidP="00647FA5">
      <w:pPr>
        <w:pStyle w:val="Para1"/>
        <w:numPr>
          <w:ilvl w:val="0"/>
          <w:numId w:val="0"/>
        </w:numPr>
        <w:ind w:left="1440"/>
        <w:contextualSpacing/>
        <w:rPr>
          <w:rFonts w:eastAsia="Times New Roman"/>
          <w:szCs w:val="24"/>
          <w:lang w:val="es-ES"/>
        </w:rPr>
      </w:pPr>
      <w:r w:rsidRPr="00C901E0">
        <w:rPr>
          <w:rFonts w:eastAsia="Times New Roman"/>
          <w:szCs w:val="24"/>
          <w:lang w:val="es-ES"/>
        </w:rPr>
        <w:t>Sra. Gwendalyn K. Sisior (Palau)</w:t>
      </w:r>
    </w:p>
    <w:p w:rsidR="00647FA5" w:rsidRPr="00C901E0" w:rsidRDefault="00647FA5" w:rsidP="00647FA5">
      <w:pPr>
        <w:pStyle w:val="Para1"/>
        <w:numPr>
          <w:ilvl w:val="0"/>
          <w:numId w:val="0"/>
        </w:numPr>
        <w:ind w:left="1440"/>
        <w:rPr>
          <w:rFonts w:eastAsia="Times New Roman"/>
          <w:szCs w:val="24"/>
          <w:lang w:val="es-ES"/>
        </w:rPr>
      </w:pPr>
      <w:r w:rsidRPr="00C901E0">
        <w:rPr>
          <w:rFonts w:eastAsia="Times New Roman"/>
          <w:szCs w:val="24"/>
          <w:lang w:val="es-ES"/>
        </w:rPr>
        <w:t>Sr. Monyrak Meng (Camboya)</w:t>
      </w:r>
    </w:p>
    <w:p w:rsidR="00F0508D" w:rsidRPr="00C901E0" w:rsidRDefault="00647FA5" w:rsidP="00647FA5">
      <w:pPr>
        <w:pStyle w:val="Para1"/>
        <w:tabs>
          <w:tab w:val="clear" w:pos="360"/>
        </w:tabs>
        <w:rPr>
          <w:lang w:val="es-ES"/>
        </w:rPr>
      </w:pPr>
      <w:r w:rsidRPr="00C901E0">
        <w:rPr>
          <w:rFonts w:eastAsia="Times New Roman"/>
          <w:szCs w:val="24"/>
          <w:lang w:val="es-ES"/>
        </w:rPr>
        <w:lastRenderedPageBreak/>
        <w:t>En la segunda sesión plenaria de la reunión, el 17 de noviembre de 2018, a propuesta de la Mesa, se acordó que el Sr. Monyrak Meng (Camboya) oficiaría de Relator de la reunión.</w:t>
      </w:r>
    </w:p>
    <w:bookmarkEnd w:id="55"/>
    <w:p w:rsidR="00506210" w:rsidRPr="00C901E0" w:rsidRDefault="00826436" w:rsidP="00237524">
      <w:pPr>
        <w:pStyle w:val="Para1"/>
        <w:tabs>
          <w:tab w:val="clear" w:pos="360"/>
          <w:tab w:val="left" w:pos="567"/>
        </w:tabs>
        <w:rPr>
          <w:lang w:val="es-ES"/>
        </w:rPr>
      </w:pPr>
      <w:r w:rsidRPr="00C901E0">
        <w:rPr>
          <w:rFonts w:eastAsia="Times New Roman"/>
          <w:szCs w:val="24"/>
          <w:lang w:val="es-ES"/>
        </w:rPr>
        <w:t xml:space="preserve">En </w:t>
      </w:r>
      <w:r w:rsidR="00842AA8">
        <w:rPr>
          <w:rFonts w:eastAsia="Times New Roman"/>
          <w:szCs w:val="24"/>
          <w:lang w:val="es-ES"/>
        </w:rPr>
        <w:t>su</w:t>
      </w:r>
      <w:r w:rsidRPr="00C901E0">
        <w:rPr>
          <w:rFonts w:eastAsia="Times New Roman"/>
          <w:szCs w:val="24"/>
          <w:lang w:val="es-ES"/>
        </w:rPr>
        <w:t xml:space="preserve"> cuarta sesión plenaria, el 22 de noviembre de 2018, la Conferencia de las Partes eligió diez representantes para que integraran la Mesa por un mandato que comenzaría al clausurarse la 14</w:t>
      </w:r>
      <w:r w:rsidRPr="00C901E0">
        <w:rPr>
          <w:rFonts w:eastAsia="Times New Roman"/>
          <w:szCs w:val="24"/>
          <w:vertAlign w:val="superscript"/>
          <w:lang w:val="es-ES"/>
        </w:rPr>
        <w:t>a</w:t>
      </w:r>
      <w:r w:rsidRPr="00C901E0">
        <w:rPr>
          <w:rFonts w:eastAsia="Times New Roman"/>
          <w:szCs w:val="24"/>
          <w:lang w:val="es-ES"/>
        </w:rPr>
        <w:t xml:space="preserve"> reunión y finalizaría al clausurarse la 15</w:t>
      </w:r>
      <w:r w:rsidRPr="00C901E0">
        <w:rPr>
          <w:rFonts w:eastAsia="Times New Roman"/>
          <w:szCs w:val="24"/>
          <w:vertAlign w:val="superscript"/>
          <w:lang w:val="es-ES"/>
        </w:rPr>
        <w:t>a</w:t>
      </w:r>
      <w:r w:rsidRPr="00C901E0">
        <w:rPr>
          <w:rFonts w:eastAsia="Times New Roman"/>
          <w:szCs w:val="24"/>
          <w:lang w:val="es-ES"/>
        </w:rPr>
        <w:t xml:space="preserve"> reunión. Como los diez miembros elegidos eran de países que también son Partes en el Protocolo de Cartagena, esos miembros conformarían la Mesa de la décima reunión de la Conferencia de las Partes que actúa como reunión de las Partes en el Protocolo de Cartagena, sin </w:t>
      </w:r>
      <w:r w:rsidR="00842AA8">
        <w:rPr>
          <w:rFonts w:eastAsia="Times New Roman"/>
          <w:szCs w:val="24"/>
          <w:lang w:val="es-ES"/>
        </w:rPr>
        <w:t xml:space="preserve">que hubiera </w:t>
      </w:r>
      <w:r w:rsidRPr="00C901E0">
        <w:rPr>
          <w:rFonts w:eastAsia="Times New Roman"/>
          <w:szCs w:val="24"/>
          <w:lang w:val="es-ES"/>
        </w:rPr>
        <w:t xml:space="preserve">necesidad de </w:t>
      </w:r>
      <w:r w:rsidR="00842AA8">
        <w:rPr>
          <w:rFonts w:eastAsia="Times New Roman"/>
          <w:szCs w:val="24"/>
          <w:lang w:val="es-ES"/>
        </w:rPr>
        <w:t xml:space="preserve">elegir </w:t>
      </w:r>
      <w:r w:rsidRPr="00C901E0">
        <w:rPr>
          <w:rFonts w:eastAsia="Times New Roman"/>
          <w:szCs w:val="24"/>
          <w:lang w:val="es-ES"/>
        </w:rPr>
        <w:t>miembros sustitutos</w:t>
      </w:r>
      <w:r w:rsidR="00506210" w:rsidRPr="00C901E0">
        <w:rPr>
          <w:lang w:val="es-ES"/>
        </w:rPr>
        <w:t>.</w:t>
      </w:r>
    </w:p>
    <w:p w:rsidR="00F52DE5" w:rsidRPr="00C901E0" w:rsidRDefault="00F52DE5" w:rsidP="00B058F4">
      <w:pPr>
        <w:pStyle w:val="Heading2"/>
        <w:rPr>
          <w:lang w:val="es-ES"/>
        </w:rPr>
      </w:pPr>
      <w:bookmarkStart w:id="56" w:name="_Toc879838"/>
      <w:r w:rsidRPr="00C901E0">
        <w:rPr>
          <w:lang w:val="es-ES"/>
        </w:rPr>
        <w:t>2.2.</w:t>
      </w:r>
      <w:r w:rsidRPr="00C901E0">
        <w:rPr>
          <w:lang w:val="es-ES"/>
        </w:rPr>
        <w:tab/>
      </w:r>
      <w:bookmarkEnd w:id="56"/>
      <w:r w:rsidR="00243E22" w:rsidRPr="00C901E0">
        <w:rPr>
          <w:lang w:val="es-ES"/>
        </w:rPr>
        <w:t>Adopción del programa</w:t>
      </w:r>
    </w:p>
    <w:p w:rsidR="00243E22" w:rsidRPr="00C901E0" w:rsidRDefault="00243E22" w:rsidP="00243E22">
      <w:pPr>
        <w:pStyle w:val="Para1"/>
        <w:tabs>
          <w:tab w:val="clear" w:pos="360"/>
        </w:tabs>
        <w:rPr>
          <w:rFonts w:eastAsia="Times New Roman"/>
          <w:szCs w:val="24"/>
          <w:lang w:val="es-ES"/>
        </w:rPr>
      </w:pPr>
      <w:r w:rsidRPr="00C901E0">
        <w:rPr>
          <w:rFonts w:eastAsia="Times New Roman"/>
          <w:szCs w:val="24"/>
          <w:lang w:val="es-ES"/>
        </w:rPr>
        <w:t>En la segunda sesión plenaria de la reunión, la Conferencia de las Partes que actúa como reunión de las Partes en el Protocolo de Cartagena adoptó el siguiente programa, sobre la base del programa provisional preparado por la Secretaria Ejecutiva en consulta con la Mesa (CBD/CP/MOP/9/1):</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Apertura de la reunión.</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Organización de la reunión.</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Informe sobre las credenciales de los representantes que participan en la novena reunión de la Conferencia de las Partes que actúa como reunión de las Partes en el Protocolo de Cartagena.</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Informes de los órganos subsidiarios.</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Informe del Comité de Cumplimiento</w:t>
      </w:r>
      <w:r w:rsidRPr="00C901E0">
        <w:rPr>
          <w:rFonts w:eastAsia="Times New Roman" w:cs="Times New Roman"/>
          <w:color w:val="000000"/>
          <w:kern w:val="22"/>
          <w:szCs w:val="24"/>
          <w:lang w:val="es-ES"/>
        </w:rPr>
        <w:t>.</w:t>
      </w:r>
    </w:p>
    <w:p w:rsidR="00243E22" w:rsidRPr="00842AA8" w:rsidRDefault="00243E22" w:rsidP="00243E22">
      <w:pPr>
        <w:numPr>
          <w:ilvl w:val="0"/>
          <w:numId w:val="15"/>
        </w:numPr>
        <w:tabs>
          <w:tab w:val="clear" w:pos="720"/>
          <w:tab w:val="num" w:pos="770"/>
        </w:tabs>
        <w:kinsoku w:val="0"/>
        <w:overflowPunct w:val="0"/>
        <w:autoSpaceDE w:val="0"/>
        <w:autoSpaceDN w:val="0"/>
        <w:spacing w:before="60" w:after="80"/>
        <w:ind w:left="1701" w:hanging="720"/>
        <w:rPr>
          <w:kern w:val="22"/>
          <w:sz w:val="22"/>
          <w:szCs w:val="22"/>
          <w:lang w:val="es-ES"/>
        </w:rPr>
      </w:pPr>
      <w:r w:rsidRPr="00842AA8">
        <w:rPr>
          <w:kern w:val="22"/>
          <w:sz w:val="22"/>
          <w:szCs w:val="22"/>
          <w:lang w:val="es-ES"/>
        </w:rPr>
        <w:t>Administración del Protocolo y el presupuesto para los fondos fiduciarios.</w:t>
      </w:r>
    </w:p>
    <w:p w:rsidR="00243E22" w:rsidRPr="00842AA8"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spacing w:val="2"/>
          <w:kern w:val="22"/>
          <w:szCs w:val="24"/>
          <w:lang w:val="es-ES"/>
        </w:rPr>
      </w:pPr>
      <w:r w:rsidRPr="00842AA8">
        <w:rPr>
          <w:rFonts w:eastAsia="Times New Roman" w:cs="Times New Roman"/>
          <w:spacing w:val="2"/>
          <w:kern w:val="22"/>
          <w:szCs w:val="24"/>
          <w:lang w:val="es-ES"/>
        </w:rPr>
        <w:t>Asuntos relacionados con el mecanismo financiero y los recursos financieros (artículo 28)</w:t>
      </w:r>
      <w:r w:rsidRPr="00842AA8">
        <w:rPr>
          <w:rFonts w:eastAsia="Times New Roman" w:cs="Times New Roman"/>
          <w:color w:val="000000"/>
          <w:spacing w:val="2"/>
          <w:kern w:val="22"/>
          <w:szCs w:val="24"/>
          <w:lang w:val="es-ES"/>
        </w:rPr>
        <w:t>.</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Creación de capacidad (</w:t>
      </w:r>
      <w:r w:rsidRPr="00C901E0">
        <w:rPr>
          <w:rFonts w:eastAsia="Times New Roman" w:cs="Times New Roman"/>
          <w:color w:val="000000"/>
          <w:kern w:val="22"/>
          <w:szCs w:val="24"/>
          <w:lang w:val="es-ES"/>
        </w:rPr>
        <w:t>artículo 22).</w:t>
      </w:r>
    </w:p>
    <w:p w:rsidR="00243E22" w:rsidRPr="00C901E0" w:rsidRDefault="00243E22" w:rsidP="00243E22">
      <w:pPr>
        <w:pStyle w:val="bodytextnoindent"/>
        <w:widowControl/>
        <w:numPr>
          <w:ilvl w:val="0"/>
          <w:numId w:val="15"/>
        </w:numPr>
        <w:tabs>
          <w:tab w:val="clear" w:pos="720"/>
        </w:tabs>
        <w:kinsoku w:val="0"/>
        <w:adjustRightInd/>
        <w:spacing w:before="0" w:after="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Funcionamiento y actividades del Centro de Intercambio de Información sobre Seguridad de la Biotecnología (artículo 20)</w:t>
      </w:r>
      <w:r w:rsidRPr="00C901E0">
        <w:rPr>
          <w:rFonts w:eastAsia="Times New Roman" w:cs="Times New Roman"/>
          <w:color w:val="000000"/>
          <w:kern w:val="22"/>
          <w:szCs w:val="24"/>
          <w:lang w:val="es-ES"/>
        </w:rPr>
        <w:t>.</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Vigilancia y presentación de informes (artículo 33) y evaluación y revisión de la eficacia del Protocolo (artículo 35).</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Mayor integración en el marco del Convenio y sus Protocolos con respecto a disposiciones relacionadas con la seguridad de la biotecnología.</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Cooperación con otr</w:t>
      </w:r>
      <w:r w:rsidR="00842AA8">
        <w:rPr>
          <w:rFonts w:eastAsia="Times New Roman" w:cs="Times New Roman"/>
          <w:kern w:val="22"/>
          <w:szCs w:val="24"/>
          <w:lang w:val="es-ES"/>
        </w:rPr>
        <w:t>a</w:t>
      </w:r>
      <w:r w:rsidRPr="00C901E0">
        <w:rPr>
          <w:rFonts w:eastAsia="Times New Roman" w:cs="Times New Roman"/>
          <w:kern w:val="22"/>
          <w:szCs w:val="24"/>
          <w:lang w:val="es-ES"/>
        </w:rPr>
        <w:t xml:space="preserve">s </w:t>
      </w:r>
      <w:r w:rsidR="00842AA8" w:rsidRPr="00C901E0">
        <w:rPr>
          <w:rFonts w:eastAsia="Times New Roman" w:cs="Times New Roman"/>
          <w:kern w:val="22"/>
          <w:szCs w:val="24"/>
          <w:lang w:val="es-ES"/>
        </w:rPr>
        <w:t>organizaciones</w:t>
      </w:r>
      <w:r w:rsidR="00842AA8">
        <w:rPr>
          <w:rFonts w:eastAsia="Times New Roman" w:cs="Times New Roman"/>
          <w:kern w:val="22"/>
          <w:szCs w:val="24"/>
          <w:lang w:val="es-ES"/>
        </w:rPr>
        <w:t>,</w:t>
      </w:r>
      <w:r w:rsidR="00842AA8" w:rsidRPr="00C901E0">
        <w:rPr>
          <w:rFonts w:eastAsia="Times New Roman" w:cs="Times New Roman"/>
          <w:kern w:val="22"/>
          <w:szCs w:val="24"/>
          <w:lang w:val="es-ES"/>
        </w:rPr>
        <w:t xml:space="preserve"> </w:t>
      </w:r>
      <w:r w:rsidRPr="00C901E0">
        <w:rPr>
          <w:rFonts w:eastAsia="Times New Roman" w:cs="Times New Roman"/>
          <w:kern w:val="22"/>
          <w:szCs w:val="24"/>
          <w:lang w:val="es-ES"/>
        </w:rPr>
        <w:t>convenios e iniciativas</w:t>
      </w:r>
      <w:r w:rsidRPr="00C901E0">
        <w:rPr>
          <w:rFonts w:eastAsia="Times New Roman" w:cs="Times New Roman"/>
          <w:color w:val="000000"/>
          <w:kern w:val="22"/>
          <w:szCs w:val="24"/>
          <w:lang w:val="es-ES"/>
        </w:rPr>
        <w:t>.</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Revisión de la eficacia de las estructuras y los procesos en el marco del Convenio y sus Protocolos.</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Preparación para los instrumentos que sucederán al Plan Estratégico para la Diversidad Biológica 2011-2020 y al Plan Estratégico para el Protocolo de Cartagena sobre Seguridad de la Biotecnología (2011-2020).</w:t>
      </w:r>
    </w:p>
    <w:p w:rsidR="00243E22" w:rsidRPr="00C901E0" w:rsidRDefault="00243E22" w:rsidP="00243E22">
      <w:pPr>
        <w:pStyle w:val="bodytextnoindent"/>
        <w:widowControl/>
        <w:numPr>
          <w:ilvl w:val="0"/>
          <w:numId w:val="15"/>
        </w:numPr>
        <w:tabs>
          <w:tab w:val="clear" w:pos="720"/>
        </w:tabs>
        <w:kinsoku w:val="0"/>
        <w:adjustRightInd/>
        <w:spacing w:before="0" w:after="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Evaluación del riesgo y gestión del riesgo (artículos 15 y 16)</w:t>
      </w:r>
      <w:r w:rsidRPr="00C901E0">
        <w:rPr>
          <w:rFonts w:eastAsia="Times New Roman" w:cs="Times New Roman"/>
          <w:color w:val="000000"/>
          <w:kern w:val="22"/>
          <w:szCs w:val="24"/>
          <w:lang w:val="es-ES"/>
        </w:rPr>
        <w:t>.</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Movimientos transfronterizos involuntarios y medidas de emergencia (artículo 17).</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Tránsito y uso confinado de organismos vivos modificados (artículo 6).</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Consideraciones socioeconómicas (artículo 26).</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Protocolo Suplementario de Nagoya – Kuala Lumpur sobre Responsabilidad y Compensación.</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Otros asuntos.</w:t>
      </w:r>
    </w:p>
    <w:p w:rsidR="00243E22"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rFonts w:eastAsia="Times New Roman" w:cs="Times New Roman"/>
          <w:kern w:val="22"/>
          <w:szCs w:val="24"/>
          <w:lang w:val="es-ES"/>
        </w:rPr>
      </w:pPr>
      <w:r w:rsidRPr="00C901E0">
        <w:rPr>
          <w:rFonts w:eastAsia="Times New Roman" w:cs="Times New Roman"/>
          <w:kern w:val="22"/>
          <w:szCs w:val="24"/>
          <w:lang w:val="es-ES"/>
        </w:rPr>
        <w:t>Adopción del informe.</w:t>
      </w:r>
    </w:p>
    <w:p w:rsidR="006C59C4" w:rsidRPr="00C901E0" w:rsidRDefault="00243E22" w:rsidP="00243E22">
      <w:pPr>
        <w:pStyle w:val="bodytextnoindent"/>
        <w:widowControl/>
        <w:numPr>
          <w:ilvl w:val="0"/>
          <w:numId w:val="15"/>
        </w:numPr>
        <w:tabs>
          <w:tab w:val="clear" w:pos="720"/>
        </w:tabs>
        <w:kinsoku w:val="0"/>
        <w:adjustRightInd/>
        <w:spacing w:before="60" w:after="80"/>
        <w:ind w:left="1701" w:hanging="720"/>
        <w:jc w:val="left"/>
        <w:textAlignment w:val="auto"/>
        <w:rPr>
          <w:snapToGrid w:val="0"/>
          <w:kern w:val="22"/>
          <w:szCs w:val="22"/>
          <w:lang w:val="es-ES"/>
        </w:rPr>
      </w:pPr>
      <w:r w:rsidRPr="00C901E0">
        <w:rPr>
          <w:rFonts w:eastAsia="Times New Roman" w:cs="Times New Roman"/>
          <w:kern w:val="22"/>
          <w:szCs w:val="24"/>
          <w:lang w:val="es-ES"/>
        </w:rPr>
        <w:t>Clausura de la reunión.</w:t>
      </w:r>
    </w:p>
    <w:p w:rsidR="00495B7A" w:rsidRPr="00C901E0" w:rsidRDefault="00C20F5D" w:rsidP="00B058F4">
      <w:pPr>
        <w:pStyle w:val="Heading2"/>
        <w:spacing w:before="240"/>
        <w:rPr>
          <w:lang w:val="es-ES"/>
        </w:rPr>
      </w:pPr>
      <w:bookmarkStart w:id="57" w:name="_Toc879839"/>
      <w:r w:rsidRPr="00C901E0">
        <w:rPr>
          <w:lang w:val="es-ES"/>
        </w:rPr>
        <w:lastRenderedPageBreak/>
        <w:t>2.3.</w:t>
      </w:r>
      <w:r w:rsidRPr="00C901E0">
        <w:rPr>
          <w:lang w:val="es-ES"/>
        </w:rPr>
        <w:tab/>
      </w:r>
      <w:bookmarkEnd w:id="57"/>
      <w:r w:rsidR="00243E22" w:rsidRPr="00C901E0">
        <w:rPr>
          <w:lang w:val="es-ES"/>
        </w:rPr>
        <w:t>Organización de los trabajos</w:t>
      </w:r>
    </w:p>
    <w:p w:rsidR="006C59C4" w:rsidRPr="00C901E0" w:rsidRDefault="00243E22" w:rsidP="00237524">
      <w:pPr>
        <w:pStyle w:val="Para1"/>
        <w:tabs>
          <w:tab w:val="clear" w:pos="360"/>
        </w:tabs>
        <w:rPr>
          <w:lang w:val="es-ES"/>
        </w:rPr>
      </w:pPr>
      <w:bookmarkStart w:id="58" w:name="_Hlk530378812"/>
      <w:r w:rsidRPr="00C901E0">
        <w:rPr>
          <w:rFonts w:eastAsia="Times New Roman"/>
          <w:szCs w:val="24"/>
          <w:lang w:val="es-ES"/>
        </w:rPr>
        <w:t xml:space="preserve">En la segunda sesión plenaria de la reunión, el 17 de noviembre de 2018, la Conferencia de las Partes que actúa como reunión de las Partes en el Protocolo de Cartagena decidió organizar su labor según el plan </w:t>
      </w:r>
      <w:r w:rsidR="00842AA8">
        <w:rPr>
          <w:rFonts w:eastAsia="Times New Roman"/>
          <w:szCs w:val="24"/>
          <w:lang w:val="es-ES"/>
        </w:rPr>
        <w:t>ex</w:t>
      </w:r>
      <w:r w:rsidRPr="00C901E0">
        <w:rPr>
          <w:rFonts w:eastAsia="Times New Roman"/>
          <w:szCs w:val="24"/>
          <w:lang w:val="es-ES"/>
        </w:rPr>
        <w:t xml:space="preserve">puesto en el anexo II de la propuesta de organización de los trabajos (CBD/COP/14/1/Add.2) y </w:t>
      </w:r>
      <w:r w:rsidR="00DC6049">
        <w:rPr>
          <w:rFonts w:eastAsia="Times New Roman"/>
          <w:szCs w:val="24"/>
          <w:lang w:val="es-ES"/>
        </w:rPr>
        <w:t xml:space="preserve">respaldó la decisión de </w:t>
      </w:r>
      <w:r w:rsidRPr="00C901E0">
        <w:rPr>
          <w:rFonts w:eastAsia="Times New Roman"/>
          <w:szCs w:val="24"/>
          <w:lang w:val="es-ES"/>
        </w:rPr>
        <w:t>la Con</w:t>
      </w:r>
      <w:r w:rsidR="00DC6049">
        <w:rPr>
          <w:rFonts w:eastAsia="Times New Roman"/>
          <w:szCs w:val="24"/>
          <w:lang w:val="es-ES"/>
        </w:rPr>
        <w:t xml:space="preserve">ferencia de las Partes </w:t>
      </w:r>
      <w:r w:rsidR="007F05BB">
        <w:rPr>
          <w:rFonts w:eastAsia="Times New Roman"/>
          <w:szCs w:val="24"/>
          <w:lang w:val="es-ES"/>
        </w:rPr>
        <w:t xml:space="preserve">de </w:t>
      </w:r>
      <w:r w:rsidR="00DC6049">
        <w:rPr>
          <w:rFonts w:eastAsia="Times New Roman"/>
          <w:szCs w:val="24"/>
          <w:lang w:val="es-ES"/>
        </w:rPr>
        <w:t>establec</w:t>
      </w:r>
      <w:r w:rsidRPr="00C901E0">
        <w:rPr>
          <w:rFonts w:eastAsia="Times New Roman"/>
          <w:szCs w:val="24"/>
          <w:lang w:val="es-ES"/>
        </w:rPr>
        <w:t>er dos grupos de trabajo.</w:t>
      </w:r>
    </w:p>
    <w:p w:rsidR="0065410C" w:rsidRPr="00C901E0" w:rsidRDefault="00243E22" w:rsidP="00237524">
      <w:pPr>
        <w:pStyle w:val="Heading3"/>
        <w:tabs>
          <w:tab w:val="clear" w:pos="567"/>
        </w:tabs>
        <w:rPr>
          <w:lang w:val="es-ES"/>
        </w:rPr>
      </w:pPr>
      <w:r w:rsidRPr="00C901E0">
        <w:rPr>
          <w:lang w:val="es-ES"/>
        </w:rPr>
        <w:t>Actividades paralelas y premios</w:t>
      </w:r>
    </w:p>
    <w:p w:rsidR="0065410C" w:rsidRPr="00C901E0" w:rsidRDefault="00243E22" w:rsidP="00237524">
      <w:pPr>
        <w:pStyle w:val="Para1"/>
        <w:tabs>
          <w:tab w:val="clear" w:pos="360"/>
        </w:tabs>
        <w:rPr>
          <w:lang w:val="es-ES"/>
        </w:rPr>
      </w:pPr>
      <w:r w:rsidRPr="00C901E0">
        <w:rPr>
          <w:rFonts w:eastAsia="Times New Roman"/>
          <w:szCs w:val="24"/>
          <w:lang w:val="es-ES"/>
        </w:rPr>
        <w:t>En la 14</w:t>
      </w:r>
      <w:r w:rsidRPr="00C901E0">
        <w:rPr>
          <w:rFonts w:eastAsia="Times New Roman"/>
          <w:szCs w:val="24"/>
          <w:vertAlign w:val="superscript"/>
          <w:lang w:val="es-ES"/>
        </w:rPr>
        <w:t>a</w:t>
      </w:r>
      <w:r w:rsidR="00842AA8">
        <w:rPr>
          <w:rFonts w:eastAsia="Times New Roman"/>
          <w:szCs w:val="24"/>
          <w:lang w:val="es-ES"/>
        </w:rPr>
        <w:t> </w:t>
      </w:r>
      <w:r w:rsidRPr="00C901E0">
        <w:rPr>
          <w:rFonts w:eastAsia="Times New Roman"/>
          <w:szCs w:val="24"/>
          <w:lang w:val="es-ES"/>
        </w:rPr>
        <w:t>reunión de la Conferencia de las Partes se celebraron tres ceremonias de entrega de premios. Además, en forma paralela a la reunión se realizaron diversas actividades relacionadas. En el anexo IV del informe de la 14</w:t>
      </w:r>
      <w:r w:rsidRPr="00C901E0">
        <w:rPr>
          <w:rFonts w:eastAsia="Times New Roman"/>
          <w:szCs w:val="24"/>
          <w:vertAlign w:val="superscript"/>
          <w:lang w:val="es-ES"/>
        </w:rPr>
        <w:t>a</w:t>
      </w:r>
      <w:r w:rsidR="00842AA8">
        <w:rPr>
          <w:rFonts w:eastAsia="Times New Roman"/>
          <w:szCs w:val="24"/>
          <w:lang w:val="es-ES"/>
        </w:rPr>
        <w:t> </w:t>
      </w:r>
      <w:r w:rsidRPr="00C901E0">
        <w:rPr>
          <w:rFonts w:eastAsia="Times New Roman"/>
          <w:szCs w:val="24"/>
          <w:lang w:val="es-ES"/>
        </w:rPr>
        <w:t>reunión de la Conferencia de las Partes se brinda más información sobre las ceremonias de entrega de premios y las actividades paralelas</w:t>
      </w:r>
      <w:r w:rsidR="0065410C" w:rsidRPr="00C901E0">
        <w:rPr>
          <w:lang w:val="es-ES"/>
        </w:rPr>
        <w:t>.</w:t>
      </w:r>
    </w:p>
    <w:p w:rsidR="00495B7A" w:rsidRPr="00C901E0" w:rsidRDefault="00C20F5D" w:rsidP="00237524">
      <w:pPr>
        <w:pStyle w:val="heading2-item0"/>
        <w:ind w:left="1560" w:hanging="1134"/>
        <w:jc w:val="left"/>
        <w:rPr>
          <w:lang w:val="es-ES"/>
        </w:rPr>
      </w:pPr>
      <w:bookmarkStart w:id="59" w:name="_Toc879841"/>
      <w:bookmarkStart w:id="60" w:name="_Toc5922093"/>
      <w:bookmarkEnd w:id="58"/>
      <w:r w:rsidRPr="00C901E0">
        <w:rPr>
          <w:lang w:val="es-ES"/>
        </w:rPr>
        <w:t>tem</w:t>
      </w:r>
      <w:r w:rsidR="00243E22" w:rsidRPr="00C901E0">
        <w:rPr>
          <w:lang w:val="es-ES"/>
        </w:rPr>
        <w:t>a</w:t>
      </w:r>
      <w:r w:rsidRPr="00C901E0">
        <w:rPr>
          <w:lang w:val="es-ES"/>
        </w:rPr>
        <w:t xml:space="preserve"> 3.</w:t>
      </w:r>
      <w:r w:rsidRPr="00C901E0">
        <w:rPr>
          <w:lang w:val="es-ES"/>
        </w:rPr>
        <w:tab/>
      </w:r>
      <w:bookmarkEnd w:id="59"/>
      <w:r w:rsidR="00243E22" w:rsidRPr="00C901E0">
        <w:rPr>
          <w:rFonts w:eastAsia="Times New Roman" w:cs="Times New Roman"/>
          <w:lang w:val="es-ES"/>
        </w:rPr>
        <w:t>Informe sobre las credenciales de los representantes que participan en la novena reunión de la Conferencia de las Partes que actúa como reunión de las Partes en el Protocolo de Cartagena</w:t>
      </w:r>
      <w:bookmarkEnd w:id="60"/>
    </w:p>
    <w:p w:rsidR="005E5FE4" w:rsidRPr="00C901E0" w:rsidRDefault="005E5FE4" w:rsidP="005E5FE4">
      <w:pPr>
        <w:pStyle w:val="Para1"/>
        <w:tabs>
          <w:tab w:val="clear" w:pos="360"/>
        </w:tabs>
        <w:rPr>
          <w:rFonts w:eastAsia="Times New Roman"/>
          <w:szCs w:val="24"/>
          <w:lang w:val="es-ES"/>
        </w:rPr>
      </w:pPr>
      <w:bookmarkStart w:id="61" w:name="_Hlk530303786"/>
      <w:r w:rsidRPr="00C901E0">
        <w:rPr>
          <w:rFonts w:eastAsia="Times New Roman"/>
          <w:szCs w:val="24"/>
          <w:lang w:val="es-ES"/>
        </w:rPr>
        <w:t xml:space="preserve">El tema 3 del programa se comenzó a tratar en la segunda sesión plenaria de la reunión, el 17 de noviembre de 2018. Con arreglo al artículo 19 del </w:t>
      </w:r>
      <w:r w:rsidR="00333FA7">
        <w:rPr>
          <w:rFonts w:eastAsia="Times New Roman"/>
          <w:szCs w:val="24"/>
          <w:lang w:val="es-ES"/>
        </w:rPr>
        <w:t>r</w:t>
      </w:r>
      <w:r w:rsidRPr="00C901E0">
        <w:rPr>
          <w:rFonts w:eastAsia="Times New Roman"/>
          <w:szCs w:val="24"/>
          <w:lang w:val="es-ES"/>
        </w:rPr>
        <w:t xml:space="preserve">eglamento, la Mesa debía examinar las credenciales de las delegaciones e informar acerca de estas. Por consiguiente, la Presidenta informó a la reunión que la Mesa había designado a </w:t>
      </w:r>
      <w:r w:rsidR="006D6742" w:rsidRPr="00C901E0">
        <w:rPr>
          <w:rFonts w:eastAsia="Times New Roman"/>
          <w:szCs w:val="24"/>
          <w:lang w:val="es-ES"/>
        </w:rPr>
        <w:t xml:space="preserve">una de las Vicepresidentas de la Mesa, </w:t>
      </w:r>
      <w:r w:rsidRPr="00C901E0">
        <w:rPr>
          <w:rFonts w:eastAsia="Times New Roman"/>
          <w:szCs w:val="24"/>
          <w:lang w:val="es-ES"/>
        </w:rPr>
        <w:t>la Sra. Elena Makeyeva (Belarús), para que examinara las credenciales e informara al respecto.</w:t>
      </w:r>
    </w:p>
    <w:bookmarkEnd w:id="61"/>
    <w:p w:rsidR="005E5FE4" w:rsidRPr="00C901E0" w:rsidRDefault="005E5FE4" w:rsidP="005E5FE4">
      <w:pPr>
        <w:pStyle w:val="Para1"/>
        <w:tabs>
          <w:tab w:val="clear" w:pos="360"/>
        </w:tabs>
        <w:rPr>
          <w:rFonts w:eastAsia="Times New Roman"/>
          <w:szCs w:val="24"/>
          <w:lang w:val="es-ES"/>
        </w:rPr>
      </w:pPr>
      <w:r w:rsidRPr="00C901E0">
        <w:rPr>
          <w:rFonts w:eastAsia="Times New Roman"/>
          <w:szCs w:val="24"/>
          <w:lang w:val="es-ES"/>
        </w:rPr>
        <w:t>En la cuarta sesión plenaria de la reunión, el 22 de noviembre de 2018</w:t>
      </w:r>
      <w:r w:rsidRPr="00C901E0">
        <w:rPr>
          <w:rFonts w:eastAsia="Times New Roman"/>
          <w:b/>
          <w:szCs w:val="24"/>
          <w:lang w:val="es-ES"/>
        </w:rPr>
        <w:t>,</w:t>
      </w:r>
      <w:r w:rsidRPr="00C901E0">
        <w:rPr>
          <w:rFonts w:eastAsia="Times New Roman"/>
          <w:szCs w:val="24"/>
          <w:lang w:val="es-ES"/>
        </w:rPr>
        <w:t xml:space="preserve"> la Sra. Makeyeva informó a la Conferencia de las Partes que actúa como reunión de las Partes en el Protocolo de Cartagena que se </w:t>
      </w:r>
      <w:r w:rsidR="00333FA7">
        <w:rPr>
          <w:rFonts w:eastAsia="Times New Roman"/>
          <w:szCs w:val="24"/>
          <w:lang w:val="es-ES"/>
        </w:rPr>
        <w:t xml:space="preserve">había </w:t>
      </w:r>
      <w:r w:rsidRPr="00C901E0">
        <w:rPr>
          <w:rFonts w:eastAsia="Times New Roman"/>
          <w:szCs w:val="24"/>
          <w:lang w:val="es-ES"/>
        </w:rPr>
        <w:t>registr</w:t>
      </w:r>
      <w:r w:rsidR="00333FA7">
        <w:rPr>
          <w:rFonts w:eastAsia="Times New Roman"/>
          <w:szCs w:val="24"/>
          <w:lang w:val="es-ES"/>
        </w:rPr>
        <w:t>ado</w:t>
      </w:r>
      <w:r w:rsidRPr="00C901E0">
        <w:rPr>
          <w:rFonts w:eastAsia="Times New Roman"/>
          <w:szCs w:val="24"/>
          <w:lang w:val="es-ES"/>
        </w:rPr>
        <w:t xml:space="preserve"> la asistencia de 162 Partes a la reunión. La Mesa había examinado las credenciales de los representantes de 139 Partes que asistían a la reunión. Las credenciales de 124 delegaciones cumplían plenamente con las disposiciones del artículo 18 del reglamento. En el caso de 15 delegaciones las credenciales no se ajustaban plenamente a</w:t>
      </w:r>
      <w:r w:rsidR="00333FA7">
        <w:rPr>
          <w:rFonts w:eastAsia="Times New Roman"/>
          <w:szCs w:val="24"/>
          <w:lang w:val="es-ES"/>
        </w:rPr>
        <w:t xml:space="preserve"> lo dispuesto en el artículo 18</w:t>
      </w:r>
      <w:r w:rsidRPr="00C901E0">
        <w:rPr>
          <w:rFonts w:eastAsia="Times New Roman"/>
          <w:szCs w:val="24"/>
          <w:lang w:val="es-ES"/>
        </w:rPr>
        <w:t xml:space="preserve"> y otras 23 delegaciones </w:t>
      </w:r>
      <w:r w:rsidR="006D6742">
        <w:rPr>
          <w:rFonts w:eastAsia="Times New Roman"/>
          <w:szCs w:val="24"/>
          <w:lang w:val="es-ES"/>
        </w:rPr>
        <w:t>aún</w:t>
      </w:r>
      <w:r w:rsidRPr="00C901E0">
        <w:rPr>
          <w:rFonts w:eastAsia="Times New Roman"/>
          <w:szCs w:val="24"/>
          <w:lang w:val="es-ES"/>
        </w:rPr>
        <w:t xml:space="preserve"> no habían presentado sus credenciales.</w:t>
      </w:r>
    </w:p>
    <w:p w:rsidR="005E5FE4" w:rsidRPr="00C901E0" w:rsidRDefault="005E5FE4" w:rsidP="005E5FE4">
      <w:pPr>
        <w:pStyle w:val="Para1"/>
        <w:tabs>
          <w:tab w:val="clear" w:pos="360"/>
        </w:tabs>
        <w:rPr>
          <w:rFonts w:eastAsia="Times New Roman"/>
          <w:szCs w:val="24"/>
          <w:lang w:val="es-ES"/>
        </w:rPr>
      </w:pPr>
      <w:r w:rsidRPr="00C901E0">
        <w:rPr>
          <w:rFonts w:eastAsia="Times New Roman"/>
          <w:szCs w:val="24"/>
          <w:lang w:val="es-ES"/>
        </w:rPr>
        <w:t>En la séptima sesión plenaria de la reunión, el 29 de noviembre de 2018</w:t>
      </w:r>
      <w:r w:rsidRPr="00C901E0">
        <w:rPr>
          <w:rFonts w:eastAsia="Times New Roman"/>
          <w:b/>
          <w:szCs w:val="24"/>
          <w:lang w:val="es-ES"/>
        </w:rPr>
        <w:t>,</w:t>
      </w:r>
      <w:r w:rsidRPr="00C901E0">
        <w:rPr>
          <w:rFonts w:eastAsia="Times New Roman"/>
          <w:szCs w:val="24"/>
          <w:lang w:val="es-ES"/>
        </w:rPr>
        <w:t xml:space="preserve"> la Sra. Makeyeva informó a la Conferencia de las Partes que actúa como reunión de las Partes en el Protocolo de Cartagena que se</w:t>
      </w:r>
      <w:r w:rsidR="00333FA7">
        <w:rPr>
          <w:rFonts w:eastAsia="Times New Roman"/>
          <w:szCs w:val="24"/>
          <w:lang w:val="es-ES"/>
        </w:rPr>
        <w:t xml:space="preserve"> había</w:t>
      </w:r>
      <w:r w:rsidRPr="00C901E0">
        <w:rPr>
          <w:rFonts w:eastAsia="Times New Roman"/>
          <w:szCs w:val="24"/>
          <w:lang w:val="es-ES"/>
        </w:rPr>
        <w:t xml:space="preserve"> registr</w:t>
      </w:r>
      <w:r w:rsidR="00333FA7">
        <w:rPr>
          <w:rFonts w:eastAsia="Times New Roman"/>
          <w:szCs w:val="24"/>
          <w:lang w:val="es-ES"/>
        </w:rPr>
        <w:t>ado</w:t>
      </w:r>
      <w:r w:rsidRPr="00C901E0">
        <w:rPr>
          <w:rFonts w:eastAsia="Times New Roman"/>
          <w:szCs w:val="24"/>
          <w:lang w:val="es-ES"/>
        </w:rPr>
        <w:t xml:space="preserve"> la asistencia de 162 Partes. La Mesa había examinado las credenciales de los representantes de 145 Partes. Las credenciales de 134 delegaciones cumplían plenamente con las disposiciones del artículo 18 del reglamento, había 11 delegaciones cuyas credenciales no se ajustaban plenamente a lo dispuesto en el artículo 18 y otras 17 delegaciones no habían presentado</w:t>
      </w:r>
      <w:r w:rsidR="00333FA7">
        <w:rPr>
          <w:rFonts w:eastAsia="Times New Roman"/>
          <w:szCs w:val="24"/>
          <w:lang w:val="es-ES"/>
        </w:rPr>
        <w:t xml:space="preserve"> sus</w:t>
      </w:r>
      <w:r w:rsidRPr="00C901E0">
        <w:rPr>
          <w:rFonts w:eastAsia="Times New Roman"/>
          <w:szCs w:val="24"/>
          <w:lang w:val="es-ES"/>
        </w:rPr>
        <w:t xml:space="preserve"> credenciales. En el documento CBD/COP/14/INF/49 se brinda más información.</w:t>
      </w:r>
    </w:p>
    <w:p w:rsidR="005E5FE4" w:rsidRPr="00C901E0" w:rsidRDefault="005E5FE4" w:rsidP="005E5FE4">
      <w:pPr>
        <w:pStyle w:val="Para1"/>
        <w:tabs>
          <w:tab w:val="clear" w:pos="360"/>
        </w:tabs>
        <w:rPr>
          <w:rFonts w:eastAsia="Times New Roman"/>
          <w:szCs w:val="24"/>
          <w:lang w:val="es-ES"/>
        </w:rPr>
      </w:pPr>
      <w:r w:rsidRPr="00C901E0">
        <w:rPr>
          <w:rFonts w:eastAsia="Times New Roman"/>
          <w:szCs w:val="24"/>
          <w:lang w:val="es-ES"/>
        </w:rPr>
        <w:t xml:space="preserve">Algunos jefes de delegación firmaron una declaración </w:t>
      </w:r>
      <w:r w:rsidR="00333FA7">
        <w:rPr>
          <w:rFonts w:eastAsia="Times New Roman"/>
          <w:szCs w:val="24"/>
          <w:lang w:val="es-ES"/>
        </w:rPr>
        <w:t>en</w:t>
      </w:r>
      <w:r w:rsidRPr="00C901E0">
        <w:rPr>
          <w:rFonts w:eastAsia="Times New Roman"/>
          <w:szCs w:val="24"/>
          <w:lang w:val="es-ES"/>
        </w:rPr>
        <w:t xml:space="preserve"> la que se comprometían a presentar sus credenciales, en la forma </w:t>
      </w:r>
      <w:r w:rsidR="00333FA7">
        <w:rPr>
          <w:rFonts w:eastAsia="Times New Roman"/>
          <w:szCs w:val="24"/>
          <w:lang w:val="es-ES"/>
        </w:rPr>
        <w:t>debida</w:t>
      </w:r>
      <w:r w:rsidRPr="00C901E0">
        <w:rPr>
          <w:rFonts w:eastAsia="Times New Roman"/>
          <w:szCs w:val="24"/>
          <w:lang w:val="es-ES"/>
        </w:rPr>
        <w:t xml:space="preserve"> y en su versión original, a la Secretaria Ejecutiva dentro de los 30 días posteriores al cierre de la reunión y no más allá del 29 de diciembre de 2018. Conforme a la práctica anterior, la Conferencia de las Partes que actúa como reunión de las Partes en el Protocolo de Cartagena aceptó la propuesta de la Mesa de permitirles a las delegaciones que no habían presentado aún sus credenciales, o cuyas credenciales no se ajustaban plenamente a lo dispuesto en el artículo 18, a participar plenamente en la reunión con carácter provisional.</w:t>
      </w:r>
    </w:p>
    <w:p w:rsidR="005E5FE4" w:rsidRPr="00C901E0" w:rsidRDefault="00333FA7" w:rsidP="005E5FE4">
      <w:pPr>
        <w:pStyle w:val="Para1"/>
        <w:tabs>
          <w:tab w:val="clear" w:pos="360"/>
        </w:tabs>
        <w:rPr>
          <w:rFonts w:eastAsia="Times New Roman"/>
          <w:szCs w:val="24"/>
          <w:lang w:val="es-ES"/>
        </w:rPr>
      </w:pPr>
      <w:r>
        <w:rPr>
          <w:rFonts w:eastAsia="Times New Roman"/>
          <w:szCs w:val="24"/>
          <w:lang w:val="es-ES"/>
        </w:rPr>
        <w:t>La Presidenta dijo qu</w:t>
      </w:r>
      <w:r w:rsidR="005E5FE4" w:rsidRPr="00C901E0">
        <w:rPr>
          <w:rFonts w:eastAsia="Times New Roman"/>
          <w:szCs w:val="24"/>
          <w:lang w:val="es-ES"/>
        </w:rPr>
        <w:t xml:space="preserve">e </w:t>
      </w:r>
      <w:r>
        <w:rPr>
          <w:rFonts w:eastAsia="Times New Roman"/>
          <w:szCs w:val="24"/>
          <w:lang w:val="es-ES"/>
        </w:rPr>
        <w:t xml:space="preserve">esperaba </w:t>
      </w:r>
      <w:r w:rsidR="005E5FE4" w:rsidRPr="00C901E0">
        <w:rPr>
          <w:rFonts w:eastAsia="Times New Roman"/>
          <w:szCs w:val="24"/>
          <w:lang w:val="es-ES"/>
        </w:rPr>
        <w:t>que todas las delegaciones a las que se les había pedido que presentaran sus credenciales a la Secretaria Ejecutiva lo h</w:t>
      </w:r>
      <w:r>
        <w:rPr>
          <w:rFonts w:eastAsia="Times New Roman"/>
          <w:szCs w:val="24"/>
          <w:lang w:val="es-ES"/>
        </w:rPr>
        <w:t>icie</w:t>
      </w:r>
      <w:r w:rsidR="005E5FE4" w:rsidRPr="00C901E0">
        <w:rPr>
          <w:rFonts w:eastAsia="Times New Roman"/>
          <w:szCs w:val="24"/>
          <w:lang w:val="es-ES"/>
        </w:rPr>
        <w:t xml:space="preserve">ran a más tardar el 29 de diciembre de 2018. </w:t>
      </w:r>
      <w:r>
        <w:rPr>
          <w:rFonts w:eastAsia="Times New Roman"/>
          <w:szCs w:val="24"/>
          <w:lang w:val="es-ES"/>
        </w:rPr>
        <w:t>O</w:t>
      </w:r>
      <w:r w:rsidRPr="00C901E0">
        <w:rPr>
          <w:rFonts w:eastAsia="Times New Roman"/>
          <w:szCs w:val="24"/>
          <w:lang w:val="es-ES"/>
        </w:rPr>
        <w:t>tras 11 Partes</w:t>
      </w:r>
      <w:r>
        <w:rPr>
          <w:rFonts w:eastAsia="Times New Roman"/>
          <w:szCs w:val="24"/>
          <w:lang w:val="es-ES"/>
        </w:rPr>
        <w:t xml:space="preserve"> p</w:t>
      </w:r>
      <w:r w:rsidRPr="00C901E0">
        <w:rPr>
          <w:rFonts w:eastAsia="Times New Roman"/>
          <w:szCs w:val="24"/>
          <w:lang w:val="es-ES"/>
        </w:rPr>
        <w:t>re</w:t>
      </w:r>
      <w:r>
        <w:rPr>
          <w:rFonts w:eastAsia="Times New Roman"/>
          <w:szCs w:val="24"/>
          <w:lang w:val="es-ES"/>
        </w:rPr>
        <w:t>s</w:t>
      </w:r>
      <w:r w:rsidRPr="00C901E0">
        <w:rPr>
          <w:rFonts w:eastAsia="Times New Roman"/>
          <w:szCs w:val="24"/>
          <w:lang w:val="es-ES"/>
        </w:rPr>
        <w:t>e</w:t>
      </w:r>
      <w:r>
        <w:rPr>
          <w:rFonts w:eastAsia="Times New Roman"/>
          <w:szCs w:val="24"/>
          <w:lang w:val="es-ES"/>
        </w:rPr>
        <w:t>nta</w:t>
      </w:r>
      <w:r w:rsidRPr="00C901E0">
        <w:rPr>
          <w:rFonts w:eastAsia="Times New Roman"/>
          <w:szCs w:val="24"/>
          <w:lang w:val="es-ES"/>
        </w:rPr>
        <w:t xml:space="preserve">ron </w:t>
      </w:r>
      <w:r>
        <w:rPr>
          <w:rFonts w:eastAsia="Times New Roman"/>
          <w:szCs w:val="24"/>
          <w:lang w:val="es-ES"/>
        </w:rPr>
        <w:t xml:space="preserve">sus </w:t>
      </w:r>
      <w:r w:rsidRPr="00C901E0">
        <w:rPr>
          <w:rFonts w:eastAsia="Times New Roman"/>
          <w:szCs w:val="24"/>
          <w:lang w:val="es-ES"/>
        </w:rPr>
        <w:t xml:space="preserve">credenciales </w:t>
      </w:r>
      <w:r>
        <w:rPr>
          <w:rFonts w:eastAsia="Times New Roman"/>
          <w:szCs w:val="24"/>
          <w:lang w:val="es-ES"/>
        </w:rPr>
        <w:t>luego de</w:t>
      </w:r>
      <w:r w:rsidR="005E5FE4" w:rsidRPr="00C901E0">
        <w:rPr>
          <w:rFonts w:eastAsia="Times New Roman"/>
          <w:szCs w:val="24"/>
          <w:lang w:val="es-ES"/>
        </w:rPr>
        <w:t xml:space="preserve"> </w:t>
      </w:r>
      <w:r>
        <w:rPr>
          <w:rFonts w:eastAsia="Times New Roman"/>
          <w:szCs w:val="24"/>
          <w:lang w:val="es-ES"/>
        </w:rPr>
        <w:t xml:space="preserve">terminada </w:t>
      </w:r>
      <w:r w:rsidR="005E5FE4" w:rsidRPr="00C901E0">
        <w:rPr>
          <w:rFonts w:eastAsia="Times New Roman"/>
          <w:szCs w:val="24"/>
          <w:lang w:val="es-ES"/>
        </w:rPr>
        <w:t>la novena reunión de la Conferencia de las Partes que actúa como reunión de las Partes en el Protocolo de Cartagena.</w:t>
      </w:r>
    </w:p>
    <w:p w:rsidR="000534BB" w:rsidRPr="00C901E0" w:rsidRDefault="005E5FE4" w:rsidP="005E5FE4">
      <w:pPr>
        <w:pStyle w:val="Para1"/>
        <w:tabs>
          <w:tab w:val="clear" w:pos="360"/>
        </w:tabs>
        <w:suppressAutoHyphens/>
        <w:rPr>
          <w:rFonts w:eastAsia="Times New Roman"/>
          <w:lang w:val="es-ES"/>
        </w:rPr>
      </w:pPr>
      <w:r w:rsidRPr="00C901E0">
        <w:rPr>
          <w:rFonts w:eastAsia="Times New Roman"/>
          <w:szCs w:val="24"/>
          <w:lang w:val="es-ES"/>
        </w:rPr>
        <w:t xml:space="preserve">A la fecha de publicación del presente informe, las siguientes 145 Partes habían presentado credenciales que cumplían plenamente con el artículo 18 del reglamento: </w:t>
      </w:r>
      <w:r w:rsidR="0050773C" w:rsidRPr="00C901E0">
        <w:rPr>
          <w:rFonts w:eastAsia="Times New Roman"/>
          <w:szCs w:val="24"/>
          <w:lang w:val="es-ES"/>
        </w:rPr>
        <w:t xml:space="preserve">Alemania; </w:t>
      </w:r>
      <w:r w:rsidRPr="00C901E0">
        <w:rPr>
          <w:rFonts w:eastAsia="Times New Roman"/>
          <w:szCs w:val="24"/>
          <w:lang w:val="es-ES"/>
        </w:rPr>
        <w:t xml:space="preserve">Angola; Antigua y Barbuda; </w:t>
      </w:r>
      <w:r w:rsidR="00B2244C" w:rsidRPr="00C901E0">
        <w:rPr>
          <w:rFonts w:eastAsia="Times New Roman"/>
          <w:szCs w:val="24"/>
          <w:lang w:val="es-ES"/>
        </w:rPr>
        <w:t xml:space="preserve">Arabia Saudita; </w:t>
      </w:r>
      <w:r w:rsidR="0050773C" w:rsidRPr="00C901E0">
        <w:rPr>
          <w:rFonts w:eastAsia="Times New Roman"/>
          <w:szCs w:val="24"/>
          <w:lang w:val="es-ES"/>
        </w:rPr>
        <w:t xml:space="preserve">Argelia; </w:t>
      </w:r>
      <w:r w:rsidRPr="00C901E0">
        <w:rPr>
          <w:rFonts w:eastAsia="Times New Roman"/>
          <w:szCs w:val="24"/>
          <w:lang w:val="es-ES"/>
        </w:rPr>
        <w:t>Armenia; Austria; Azerbai</w:t>
      </w:r>
      <w:r w:rsidR="00B2244C">
        <w:rPr>
          <w:rFonts w:eastAsia="Times New Roman"/>
          <w:szCs w:val="24"/>
          <w:lang w:val="es-ES"/>
        </w:rPr>
        <w:t>yá</w:t>
      </w:r>
      <w:r w:rsidRPr="00C901E0">
        <w:rPr>
          <w:rFonts w:eastAsia="Times New Roman"/>
          <w:szCs w:val="24"/>
          <w:lang w:val="es-ES"/>
        </w:rPr>
        <w:t xml:space="preserve">n; Bahrein; Bangladesh; Belarús; Bélgica; </w:t>
      </w:r>
      <w:r w:rsidRPr="00C901E0">
        <w:rPr>
          <w:rFonts w:eastAsia="Times New Roman"/>
          <w:szCs w:val="24"/>
          <w:lang w:val="es-ES"/>
        </w:rPr>
        <w:lastRenderedPageBreak/>
        <w:t xml:space="preserve">Belice; Benin; Bolivia; Bosnia y Herzegovina; Botswana; Brasil; Bulgaria; Burkina Faso; Burundi; Cabo Verde; Camboya; Camerún; Chad; </w:t>
      </w:r>
      <w:r w:rsidR="0050773C" w:rsidRPr="00C901E0">
        <w:rPr>
          <w:rFonts w:eastAsia="Times New Roman"/>
          <w:szCs w:val="24"/>
          <w:lang w:val="es-ES"/>
        </w:rPr>
        <w:t xml:space="preserve">Chequia; </w:t>
      </w:r>
      <w:r w:rsidRPr="00C901E0">
        <w:rPr>
          <w:rFonts w:eastAsia="Times New Roman"/>
          <w:szCs w:val="24"/>
          <w:lang w:val="es-ES"/>
        </w:rPr>
        <w:t xml:space="preserve">China; Colombia; Costa Rica; Cote d’Ivoire; Croacia; Cuba; Dinamarca; Ecuador; Egipto; El Salvador; </w:t>
      </w:r>
      <w:r w:rsidR="00B2244C" w:rsidRPr="00C901E0">
        <w:rPr>
          <w:rFonts w:eastAsia="Times New Roman"/>
          <w:szCs w:val="24"/>
          <w:lang w:val="es-ES"/>
        </w:rPr>
        <w:t xml:space="preserve">Emiratos Árabes Unidos; </w:t>
      </w:r>
      <w:r w:rsidRPr="00C901E0">
        <w:rPr>
          <w:rFonts w:eastAsia="Times New Roman"/>
          <w:szCs w:val="24"/>
          <w:lang w:val="es-ES"/>
        </w:rPr>
        <w:t xml:space="preserve">Eritrea; </w:t>
      </w:r>
      <w:r w:rsidR="00B2244C" w:rsidRPr="00C901E0">
        <w:rPr>
          <w:rFonts w:eastAsia="Times New Roman"/>
          <w:szCs w:val="24"/>
          <w:lang w:val="es-ES"/>
        </w:rPr>
        <w:t xml:space="preserve">Eslovaquia; Eslovenia; España; Estado de Palestina; </w:t>
      </w:r>
      <w:r w:rsidRPr="00C901E0">
        <w:rPr>
          <w:rFonts w:eastAsia="Times New Roman"/>
          <w:szCs w:val="24"/>
          <w:lang w:val="es-ES"/>
        </w:rPr>
        <w:t xml:space="preserve">Estonia; Eswatini; Etiopía; Fiji; </w:t>
      </w:r>
      <w:r w:rsidR="0050773C" w:rsidRPr="00C901E0">
        <w:rPr>
          <w:rFonts w:eastAsia="Times New Roman"/>
          <w:szCs w:val="24"/>
          <w:lang w:val="es-ES"/>
        </w:rPr>
        <w:t xml:space="preserve">Filipinas; </w:t>
      </w:r>
      <w:r w:rsidRPr="00C901E0">
        <w:rPr>
          <w:rFonts w:eastAsia="Times New Roman"/>
          <w:szCs w:val="24"/>
          <w:lang w:val="es-ES"/>
        </w:rPr>
        <w:t xml:space="preserve">Finlandia; Francia; Gabón; Gambia; Georgia; Ghana; </w:t>
      </w:r>
      <w:r w:rsidR="0050773C" w:rsidRPr="00C901E0">
        <w:rPr>
          <w:rFonts w:eastAsia="Times New Roman"/>
          <w:szCs w:val="24"/>
          <w:lang w:val="es-ES"/>
        </w:rPr>
        <w:t xml:space="preserve">Granada; </w:t>
      </w:r>
      <w:r w:rsidRPr="00C901E0">
        <w:rPr>
          <w:rFonts w:eastAsia="Times New Roman"/>
          <w:szCs w:val="24"/>
          <w:lang w:val="es-ES"/>
        </w:rPr>
        <w:t xml:space="preserve">Grecia; Guatemala; Guinea; Guinea-Bissau; Guyana; Honduras; Hungría; India; Indonesia; Irán (República Islámica del); </w:t>
      </w:r>
      <w:r w:rsidR="0050773C" w:rsidRPr="00C901E0">
        <w:rPr>
          <w:rFonts w:eastAsia="Times New Roman"/>
          <w:szCs w:val="24"/>
          <w:lang w:val="es-ES"/>
        </w:rPr>
        <w:t xml:space="preserve">Islas Marshall; </w:t>
      </w:r>
      <w:r w:rsidR="00B2244C" w:rsidRPr="00C901E0">
        <w:rPr>
          <w:rFonts w:eastAsia="Times New Roman"/>
          <w:szCs w:val="24"/>
          <w:lang w:val="es-ES"/>
        </w:rPr>
        <w:t xml:space="preserve">Islas Salomón; </w:t>
      </w:r>
      <w:r w:rsidRPr="00C901E0">
        <w:rPr>
          <w:rFonts w:eastAsia="Times New Roman"/>
          <w:szCs w:val="24"/>
          <w:lang w:val="es-ES"/>
        </w:rPr>
        <w:t xml:space="preserve">Italia; Jamaica; Japón; Kenya; Kiribati; Kuwait; </w:t>
      </w:r>
      <w:r w:rsidR="00B2244C" w:rsidRPr="00C901E0">
        <w:rPr>
          <w:rFonts w:eastAsia="Times New Roman"/>
          <w:szCs w:val="24"/>
          <w:lang w:val="es-ES"/>
        </w:rPr>
        <w:t xml:space="preserve">Lesotho; </w:t>
      </w:r>
      <w:r w:rsidRPr="00C901E0">
        <w:rPr>
          <w:rFonts w:eastAsia="Times New Roman"/>
          <w:szCs w:val="24"/>
          <w:lang w:val="es-ES"/>
        </w:rPr>
        <w:t xml:space="preserve">Letonia; Liberia; Lituania; Luxemburgo; Madagascar; </w:t>
      </w:r>
      <w:r w:rsidR="0050773C" w:rsidRPr="00C901E0">
        <w:rPr>
          <w:rFonts w:eastAsia="Times New Roman"/>
          <w:szCs w:val="24"/>
          <w:lang w:val="es-ES"/>
        </w:rPr>
        <w:t xml:space="preserve">Malasia; </w:t>
      </w:r>
      <w:r w:rsidRPr="00C901E0">
        <w:rPr>
          <w:rFonts w:eastAsia="Times New Roman"/>
          <w:szCs w:val="24"/>
          <w:lang w:val="es-ES"/>
        </w:rPr>
        <w:t xml:space="preserve">Malawi; Maldivas; Malta; </w:t>
      </w:r>
      <w:r w:rsidR="00B2244C" w:rsidRPr="00C901E0">
        <w:rPr>
          <w:rFonts w:eastAsia="Times New Roman"/>
          <w:szCs w:val="24"/>
          <w:lang w:val="es-ES"/>
        </w:rPr>
        <w:t xml:space="preserve">Marruecos; </w:t>
      </w:r>
      <w:r w:rsidRPr="00C901E0">
        <w:rPr>
          <w:rFonts w:eastAsia="Times New Roman"/>
          <w:szCs w:val="24"/>
          <w:lang w:val="es-ES"/>
        </w:rPr>
        <w:t xml:space="preserve">Mauricio; </w:t>
      </w:r>
      <w:r w:rsidR="00B2244C" w:rsidRPr="00C901E0">
        <w:rPr>
          <w:rFonts w:eastAsia="Times New Roman"/>
          <w:szCs w:val="24"/>
          <w:lang w:val="es-ES"/>
        </w:rPr>
        <w:t xml:space="preserve">Mauritania; </w:t>
      </w:r>
      <w:r w:rsidRPr="00C901E0">
        <w:rPr>
          <w:rFonts w:eastAsia="Times New Roman"/>
          <w:szCs w:val="24"/>
          <w:lang w:val="es-ES"/>
        </w:rPr>
        <w:t xml:space="preserve">México; Mongolia; Mozambique; Myanmar; Namibia; Nicaragua; Níger; Nigeria; Noruega; </w:t>
      </w:r>
      <w:r w:rsidR="00B2244C" w:rsidRPr="00C901E0">
        <w:rPr>
          <w:rFonts w:eastAsia="Times New Roman"/>
          <w:szCs w:val="24"/>
          <w:lang w:val="es-ES"/>
        </w:rPr>
        <w:t xml:space="preserve">Nueva Zelandia; </w:t>
      </w:r>
      <w:r w:rsidRPr="00C901E0">
        <w:rPr>
          <w:rFonts w:eastAsia="Times New Roman"/>
          <w:szCs w:val="24"/>
          <w:lang w:val="es-ES"/>
        </w:rPr>
        <w:t xml:space="preserve">Omán; </w:t>
      </w:r>
      <w:r w:rsidR="0050773C" w:rsidRPr="00C901E0">
        <w:rPr>
          <w:rFonts w:eastAsia="Times New Roman"/>
          <w:szCs w:val="24"/>
          <w:lang w:val="es-ES"/>
        </w:rPr>
        <w:t xml:space="preserve">Países Bajos; </w:t>
      </w:r>
      <w:r w:rsidRPr="00C901E0">
        <w:rPr>
          <w:rFonts w:eastAsia="Times New Roman"/>
          <w:szCs w:val="24"/>
          <w:lang w:val="es-ES"/>
        </w:rPr>
        <w:t xml:space="preserve">Palau; Panamá; Papua Nueva Guinea; Paraguay; Perú; Polonia; Portugal; Qatar; </w:t>
      </w:r>
      <w:r w:rsidR="0050773C" w:rsidRPr="00C901E0">
        <w:rPr>
          <w:rFonts w:eastAsia="Times New Roman"/>
          <w:szCs w:val="24"/>
          <w:lang w:val="es-ES"/>
        </w:rPr>
        <w:t>Reino Unido de Gran Bretaña e Irlanda del Norte; República Árabe Siria; República</w:t>
      </w:r>
      <w:r w:rsidR="0050773C">
        <w:rPr>
          <w:rFonts w:eastAsia="Times New Roman"/>
          <w:szCs w:val="24"/>
          <w:lang w:val="es-ES"/>
        </w:rPr>
        <w:t xml:space="preserve"> </w:t>
      </w:r>
      <w:r w:rsidR="0050773C" w:rsidRPr="00C901E0">
        <w:rPr>
          <w:rFonts w:eastAsia="Times New Roman"/>
          <w:szCs w:val="24"/>
          <w:lang w:val="es-ES"/>
        </w:rPr>
        <w:t xml:space="preserve">Centroafricana; República de Corea; República de Moldova; República Democrática Popular Lao; República Dominicana; </w:t>
      </w:r>
      <w:r w:rsidR="00B2244C" w:rsidRPr="00C901E0">
        <w:rPr>
          <w:rFonts w:eastAsia="Times New Roman"/>
          <w:szCs w:val="24"/>
          <w:lang w:val="es-ES"/>
        </w:rPr>
        <w:t xml:space="preserve">República Popular Democrática de Corea; República Unida de Tanzanía; </w:t>
      </w:r>
      <w:r w:rsidRPr="00C901E0">
        <w:rPr>
          <w:rFonts w:eastAsia="Times New Roman"/>
          <w:szCs w:val="24"/>
          <w:lang w:val="es-ES"/>
        </w:rPr>
        <w:t xml:space="preserve">Rumania; Rwanda; Saint Kitts y Nevis; </w:t>
      </w:r>
      <w:r w:rsidR="00B2244C" w:rsidRPr="00C901E0">
        <w:rPr>
          <w:rFonts w:eastAsia="Times New Roman"/>
          <w:szCs w:val="24"/>
          <w:lang w:val="es-ES"/>
        </w:rPr>
        <w:t xml:space="preserve">Samoa; </w:t>
      </w:r>
      <w:r w:rsidRPr="00C901E0">
        <w:rPr>
          <w:rFonts w:eastAsia="Times New Roman"/>
          <w:szCs w:val="24"/>
          <w:lang w:val="es-ES"/>
        </w:rPr>
        <w:t xml:space="preserve">San Vicente y las Granadinas; </w:t>
      </w:r>
      <w:r w:rsidR="00B2244C" w:rsidRPr="00C901E0">
        <w:rPr>
          <w:rFonts w:eastAsia="Times New Roman"/>
          <w:szCs w:val="24"/>
          <w:lang w:val="es-ES"/>
        </w:rPr>
        <w:t xml:space="preserve">Santa Lucia; </w:t>
      </w:r>
      <w:r w:rsidRPr="00C901E0">
        <w:rPr>
          <w:rFonts w:eastAsia="Times New Roman"/>
          <w:szCs w:val="24"/>
          <w:lang w:val="es-ES"/>
        </w:rPr>
        <w:t xml:space="preserve">Senegal; Serbia; Seychelles; </w:t>
      </w:r>
      <w:r w:rsidR="00B2244C" w:rsidRPr="00C901E0">
        <w:rPr>
          <w:rFonts w:eastAsia="Times New Roman"/>
          <w:szCs w:val="24"/>
          <w:lang w:val="es-ES"/>
        </w:rPr>
        <w:t xml:space="preserve">Sri Lanka; </w:t>
      </w:r>
      <w:r w:rsidRPr="00C901E0">
        <w:rPr>
          <w:rFonts w:eastAsia="Times New Roman"/>
          <w:szCs w:val="24"/>
          <w:lang w:val="es-ES"/>
        </w:rPr>
        <w:t xml:space="preserve">Sudáfrica; Sudán; </w:t>
      </w:r>
      <w:r w:rsidR="00B2244C" w:rsidRPr="00C901E0">
        <w:rPr>
          <w:rFonts w:eastAsia="Times New Roman"/>
          <w:szCs w:val="24"/>
          <w:lang w:val="es-ES"/>
        </w:rPr>
        <w:t xml:space="preserve">Suecia; Suiza; </w:t>
      </w:r>
      <w:r w:rsidRPr="00C901E0">
        <w:rPr>
          <w:rFonts w:eastAsia="Times New Roman"/>
          <w:szCs w:val="24"/>
          <w:lang w:val="es-ES"/>
        </w:rPr>
        <w:t xml:space="preserve">Suriname; </w:t>
      </w:r>
      <w:r w:rsidR="00B2244C" w:rsidRPr="00C901E0">
        <w:rPr>
          <w:rFonts w:eastAsia="Times New Roman"/>
          <w:szCs w:val="24"/>
          <w:lang w:val="es-ES"/>
        </w:rPr>
        <w:t xml:space="preserve">Tailandia; </w:t>
      </w:r>
      <w:r w:rsidRPr="00C901E0">
        <w:rPr>
          <w:rFonts w:eastAsia="Times New Roman"/>
          <w:szCs w:val="24"/>
          <w:lang w:val="es-ES"/>
        </w:rPr>
        <w:t xml:space="preserve">Tayikistán; Togo; Tonga; Trinidad y Tabago; Túnez; Turquía; </w:t>
      </w:r>
      <w:r w:rsidR="00B2244C" w:rsidRPr="00C901E0">
        <w:rPr>
          <w:rFonts w:eastAsia="Times New Roman"/>
          <w:szCs w:val="24"/>
          <w:lang w:val="es-ES"/>
        </w:rPr>
        <w:t xml:space="preserve">Ucrania; </w:t>
      </w:r>
      <w:r w:rsidRPr="00C901E0">
        <w:rPr>
          <w:rFonts w:eastAsia="Times New Roman"/>
          <w:szCs w:val="24"/>
          <w:lang w:val="es-ES"/>
        </w:rPr>
        <w:t xml:space="preserve">Uganda; </w:t>
      </w:r>
      <w:r w:rsidR="0050773C" w:rsidRPr="00C901E0">
        <w:rPr>
          <w:rFonts w:eastAsia="Times New Roman"/>
          <w:szCs w:val="24"/>
          <w:lang w:val="es-ES"/>
        </w:rPr>
        <w:t xml:space="preserve">Unión Europea; </w:t>
      </w:r>
      <w:r w:rsidRPr="00C901E0">
        <w:rPr>
          <w:rFonts w:eastAsia="Times New Roman"/>
          <w:szCs w:val="24"/>
          <w:lang w:val="es-ES"/>
        </w:rPr>
        <w:t>Uruguay; Venezuela (República Bolivariana de); Viet Nam; Yemen; Zambia; y Zimbabwe.</w:t>
      </w:r>
    </w:p>
    <w:p w:rsidR="00495B7A" w:rsidRPr="00C901E0" w:rsidRDefault="00C20F5D" w:rsidP="00237524">
      <w:pPr>
        <w:pStyle w:val="heading2-item0"/>
        <w:tabs>
          <w:tab w:val="clear" w:pos="720"/>
          <w:tab w:val="left" w:pos="993"/>
        </w:tabs>
        <w:rPr>
          <w:lang w:val="es-ES"/>
        </w:rPr>
      </w:pPr>
      <w:bookmarkStart w:id="62" w:name="_Toc879842"/>
      <w:bookmarkStart w:id="63" w:name="_Toc5922094"/>
      <w:r w:rsidRPr="00C901E0">
        <w:rPr>
          <w:lang w:val="es-ES"/>
        </w:rPr>
        <w:t>tem</w:t>
      </w:r>
      <w:r w:rsidR="00C901E0" w:rsidRPr="00C901E0">
        <w:rPr>
          <w:lang w:val="es-ES"/>
        </w:rPr>
        <w:t>a</w:t>
      </w:r>
      <w:r w:rsidRPr="00C901E0">
        <w:rPr>
          <w:lang w:val="es-ES"/>
        </w:rPr>
        <w:t xml:space="preserve"> 4.</w:t>
      </w:r>
      <w:r w:rsidRPr="00C901E0">
        <w:rPr>
          <w:lang w:val="es-ES"/>
        </w:rPr>
        <w:tab/>
      </w:r>
      <w:bookmarkEnd w:id="62"/>
      <w:r w:rsidR="00C901E0" w:rsidRPr="00C901E0">
        <w:rPr>
          <w:lang w:val="es-ES"/>
        </w:rPr>
        <w:t>INFORMES DE LOS ÓRGANOS SUBSIDIARIOS</w:t>
      </w:r>
      <w:bookmarkEnd w:id="63"/>
    </w:p>
    <w:p w:rsidR="00C901E0" w:rsidRPr="00C901E0" w:rsidRDefault="00C901E0" w:rsidP="00C901E0">
      <w:pPr>
        <w:pStyle w:val="Para1"/>
        <w:tabs>
          <w:tab w:val="clear" w:pos="360"/>
        </w:tabs>
        <w:rPr>
          <w:rFonts w:eastAsia="Times New Roman"/>
          <w:szCs w:val="24"/>
          <w:lang w:val="es-ES"/>
        </w:rPr>
      </w:pPr>
      <w:bookmarkStart w:id="64" w:name="_Hlk530390137"/>
      <w:r w:rsidRPr="00C901E0">
        <w:rPr>
          <w:rFonts w:eastAsia="Times New Roman"/>
          <w:szCs w:val="24"/>
          <w:lang w:val="es-ES"/>
        </w:rPr>
        <w:t xml:space="preserve">El tema 4 del programa se comenzó a tratar en la segunda sesión plenaria de la reunión, el 17 de noviembre de 2018. Para examinar este tema, la Conferencia de las Partes que actúa como reunión de las Partes en el Protocolo de Cartagena tuvo ante sí los informes de la 22ª reunión del </w:t>
      </w:r>
      <w:r w:rsidRPr="00C901E0">
        <w:rPr>
          <w:rFonts w:eastAsia="Times New Roman"/>
          <w:color w:val="000000"/>
          <w:szCs w:val="24"/>
          <w:lang w:val="es-ES"/>
        </w:rPr>
        <w:t>Órgano Subsidiario de Asesoramiento Científico, Técnico y Tecnológico (CBD/</w:t>
      </w:r>
      <w:r w:rsidRPr="00C901E0">
        <w:rPr>
          <w:rFonts w:eastAsia="Times New Roman"/>
          <w:szCs w:val="24"/>
          <w:lang w:val="es-ES"/>
        </w:rPr>
        <w:t>SBSTTA</w:t>
      </w:r>
      <w:r w:rsidRPr="00C901E0">
        <w:rPr>
          <w:rFonts w:eastAsia="Times New Roman"/>
          <w:color w:val="000000"/>
          <w:szCs w:val="24"/>
          <w:lang w:val="es-ES"/>
        </w:rPr>
        <w:t>/22/12) y de la 2ª reunión del Órgano Subsidiario sobre la Aplicación (</w:t>
      </w:r>
      <w:r w:rsidRPr="00C901E0">
        <w:rPr>
          <w:rFonts w:eastAsia="Times New Roman"/>
          <w:szCs w:val="24"/>
          <w:lang w:val="es-ES"/>
        </w:rPr>
        <w:t>CBD/SBI/2/22)</w:t>
      </w:r>
      <w:r w:rsidRPr="00C901E0">
        <w:rPr>
          <w:rFonts w:eastAsia="Times New Roman"/>
          <w:color w:val="000000"/>
          <w:szCs w:val="24"/>
          <w:lang w:val="es-ES"/>
        </w:rPr>
        <w:t>.</w:t>
      </w:r>
    </w:p>
    <w:p w:rsidR="00B21E39" w:rsidRPr="00C901E0" w:rsidRDefault="00C901E0" w:rsidP="00C901E0">
      <w:pPr>
        <w:pStyle w:val="Para1"/>
        <w:tabs>
          <w:tab w:val="clear" w:pos="360"/>
        </w:tabs>
        <w:rPr>
          <w:lang w:val="es-ES"/>
        </w:rPr>
      </w:pPr>
      <w:r w:rsidRPr="00C901E0">
        <w:rPr>
          <w:rFonts w:eastAsia="Times New Roman"/>
          <w:szCs w:val="24"/>
          <w:lang w:val="es-ES"/>
        </w:rPr>
        <w:t xml:space="preserve">La Conferencia de las Partes que actúa como reunión de las Partes en el Protocolo de Cartagena tomó nota de los informes de las reuniones </w:t>
      </w:r>
      <w:r w:rsidR="00307A71">
        <w:rPr>
          <w:rFonts w:eastAsia="Times New Roman"/>
          <w:szCs w:val="24"/>
          <w:lang w:val="es-ES"/>
        </w:rPr>
        <w:t xml:space="preserve">de los órganos subsidiarios </w:t>
      </w:r>
      <w:r w:rsidRPr="00C901E0">
        <w:rPr>
          <w:rFonts w:eastAsia="Times New Roman"/>
          <w:szCs w:val="24"/>
          <w:lang w:val="es-ES"/>
        </w:rPr>
        <w:t xml:space="preserve">celebradas en el período entre sesiones y </w:t>
      </w:r>
      <w:r w:rsidR="00307A71">
        <w:rPr>
          <w:rFonts w:eastAsia="Times New Roman"/>
          <w:szCs w:val="24"/>
          <w:lang w:val="es-ES"/>
        </w:rPr>
        <w:t>d</w:t>
      </w:r>
      <w:r w:rsidRPr="00C901E0">
        <w:rPr>
          <w:rFonts w:eastAsia="Times New Roman"/>
          <w:szCs w:val="24"/>
          <w:lang w:val="es-ES"/>
        </w:rPr>
        <w:t>e</w:t>
      </w:r>
      <w:r w:rsidR="00307A71">
        <w:rPr>
          <w:rFonts w:eastAsia="Times New Roman"/>
          <w:szCs w:val="24"/>
          <w:lang w:val="es-ES"/>
        </w:rPr>
        <w:t>cidió que</w:t>
      </w:r>
      <w:r w:rsidRPr="00C901E0">
        <w:rPr>
          <w:rFonts w:eastAsia="Times New Roman"/>
          <w:szCs w:val="24"/>
          <w:lang w:val="es-ES"/>
        </w:rPr>
        <w:t xml:space="preserve"> considerar</w:t>
      </w:r>
      <w:r w:rsidR="00307A71">
        <w:rPr>
          <w:rFonts w:eastAsia="Times New Roman"/>
          <w:szCs w:val="24"/>
          <w:lang w:val="es-ES"/>
        </w:rPr>
        <w:t>ía</w:t>
      </w:r>
      <w:r w:rsidRPr="00C901E0">
        <w:rPr>
          <w:rFonts w:eastAsia="Times New Roman"/>
          <w:szCs w:val="24"/>
          <w:lang w:val="es-ES"/>
        </w:rPr>
        <w:t xml:space="preserve"> </w:t>
      </w:r>
      <w:r w:rsidR="00307A71">
        <w:rPr>
          <w:rFonts w:eastAsia="Times New Roman"/>
          <w:szCs w:val="24"/>
          <w:lang w:val="es-ES"/>
        </w:rPr>
        <w:t>l</w:t>
      </w:r>
      <w:r w:rsidRPr="00C901E0">
        <w:rPr>
          <w:rFonts w:eastAsia="Times New Roman"/>
          <w:szCs w:val="24"/>
          <w:lang w:val="es-ES"/>
        </w:rPr>
        <w:t xml:space="preserve">as recomendaciones formuladas en los informes cuando </w:t>
      </w:r>
      <w:r w:rsidR="00307A71">
        <w:rPr>
          <w:rFonts w:eastAsia="Times New Roman"/>
          <w:szCs w:val="24"/>
          <w:lang w:val="es-ES"/>
        </w:rPr>
        <w:t>tratara</w:t>
      </w:r>
      <w:r w:rsidRPr="00C901E0">
        <w:rPr>
          <w:rFonts w:eastAsia="Times New Roman"/>
          <w:szCs w:val="24"/>
          <w:lang w:val="es-ES"/>
        </w:rPr>
        <w:t xml:space="preserve"> l</w:t>
      </w:r>
      <w:r w:rsidR="00307A71">
        <w:rPr>
          <w:rFonts w:eastAsia="Times New Roman"/>
          <w:szCs w:val="24"/>
          <w:lang w:val="es-ES"/>
        </w:rPr>
        <w:t>os temas</w:t>
      </w:r>
      <w:r w:rsidRPr="00C901E0">
        <w:rPr>
          <w:rFonts w:eastAsia="Times New Roman"/>
          <w:szCs w:val="24"/>
          <w:lang w:val="es-ES"/>
        </w:rPr>
        <w:t xml:space="preserve"> </w:t>
      </w:r>
      <w:r w:rsidR="00307A71" w:rsidRPr="00C901E0">
        <w:rPr>
          <w:rFonts w:eastAsia="Times New Roman"/>
          <w:szCs w:val="24"/>
          <w:lang w:val="es-ES"/>
        </w:rPr>
        <w:t>correspondiente</w:t>
      </w:r>
      <w:r w:rsidR="00307A71">
        <w:rPr>
          <w:rFonts w:eastAsia="Times New Roman"/>
          <w:szCs w:val="24"/>
          <w:lang w:val="es-ES"/>
        </w:rPr>
        <w:t>s</w:t>
      </w:r>
      <w:r w:rsidR="00307A71" w:rsidRPr="00C901E0">
        <w:rPr>
          <w:rFonts w:eastAsia="Times New Roman"/>
          <w:szCs w:val="24"/>
          <w:lang w:val="es-ES"/>
        </w:rPr>
        <w:t xml:space="preserve"> </w:t>
      </w:r>
      <w:r w:rsidRPr="00C901E0">
        <w:rPr>
          <w:rFonts w:eastAsia="Times New Roman"/>
          <w:szCs w:val="24"/>
          <w:lang w:val="es-ES"/>
        </w:rPr>
        <w:t>del programa.</w:t>
      </w:r>
    </w:p>
    <w:p w:rsidR="00495B7A" w:rsidRPr="00C901E0" w:rsidRDefault="00C20F5D" w:rsidP="00237524">
      <w:pPr>
        <w:pStyle w:val="heading2-item0"/>
        <w:tabs>
          <w:tab w:val="clear" w:pos="720"/>
          <w:tab w:val="left" w:pos="993"/>
        </w:tabs>
        <w:rPr>
          <w:lang w:val="es-ES"/>
        </w:rPr>
      </w:pPr>
      <w:bookmarkStart w:id="65" w:name="_Toc879843"/>
      <w:bookmarkStart w:id="66" w:name="_Toc5922095"/>
      <w:bookmarkEnd w:id="64"/>
      <w:r w:rsidRPr="00C901E0">
        <w:rPr>
          <w:lang w:val="es-ES"/>
        </w:rPr>
        <w:t>tem</w:t>
      </w:r>
      <w:r w:rsidR="00C901E0" w:rsidRPr="00C901E0">
        <w:rPr>
          <w:lang w:val="es-ES"/>
        </w:rPr>
        <w:t>a</w:t>
      </w:r>
      <w:r w:rsidRPr="00C901E0">
        <w:rPr>
          <w:lang w:val="es-ES"/>
        </w:rPr>
        <w:t xml:space="preserve"> 5.</w:t>
      </w:r>
      <w:r w:rsidRPr="00C901E0">
        <w:rPr>
          <w:lang w:val="es-ES"/>
        </w:rPr>
        <w:tab/>
      </w:r>
      <w:bookmarkEnd w:id="65"/>
      <w:r w:rsidR="00C901E0" w:rsidRPr="00C901E0">
        <w:rPr>
          <w:lang w:val="es-ES"/>
        </w:rPr>
        <w:t>INFORME DEL COMITÉ DE CUMPLIMIENTO</w:t>
      </w:r>
      <w:bookmarkEnd w:id="66"/>
    </w:p>
    <w:p w:rsidR="00C901E0" w:rsidRPr="00C901E0" w:rsidRDefault="00C901E0" w:rsidP="00C901E0">
      <w:pPr>
        <w:numPr>
          <w:ilvl w:val="0"/>
          <w:numId w:val="14"/>
        </w:numPr>
        <w:suppressLineNumbers/>
        <w:tabs>
          <w:tab w:val="clear" w:pos="360"/>
        </w:tabs>
        <w:suppressAutoHyphens/>
        <w:kinsoku w:val="0"/>
        <w:overflowPunct w:val="0"/>
        <w:autoSpaceDE w:val="0"/>
        <w:autoSpaceDN w:val="0"/>
        <w:spacing w:before="120" w:after="120"/>
        <w:jc w:val="both"/>
        <w:rPr>
          <w:color w:val="000000"/>
          <w:kern w:val="22"/>
          <w:sz w:val="22"/>
          <w:lang w:val="es-ES"/>
        </w:rPr>
      </w:pPr>
      <w:r w:rsidRPr="00C901E0">
        <w:rPr>
          <w:sz w:val="22"/>
          <w:lang w:val="es-ES"/>
        </w:rPr>
        <w:t>El tema 5 del programa se comenzó a tratar en la segunda sesión plenaria de la reunión, el 17 de noviembre de 2018.</w:t>
      </w:r>
    </w:p>
    <w:p w:rsidR="00C901E0" w:rsidRPr="00C901E0" w:rsidRDefault="00C901E0" w:rsidP="00C901E0">
      <w:pPr>
        <w:numPr>
          <w:ilvl w:val="0"/>
          <w:numId w:val="14"/>
        </w:numPr>
        <w:suppressLineNumbers/>
        <w:tabs>
          <w:tab w:val="clear" w:pos="360"/>
        </w:tabs>
        <w:suppressAutoHyphens/>
        <w:kinsoku w:val="0"/>
        <w:overflowPunct w:val="0"/>
        <w:autoSpaceDE w:val="0"/>
        <w:autoSpaceDN w:val="0"/>
        <w:jc w:val="both"/>
        <w:rPr>
          <w:color w:val="000000"/>
          <w:lang w:val="es-ES"/>
        </w:rPr>
      </w:pPr>
      <w:r w:rsidRPr="00C901E0">
        <w:rPr>
          <w:kern w:val="22"/>
          <w:sz w:val="22"/>
          <w:lang w:val="es-ES"/>
        </w:rPr>
        <w:t>La Sra. Clare Hamilton, Presidenta del Comité de Cumplimiento</w:t>
      </w:r>
      <w:r w:rsidRPr="00C901E0">
        <w:rPr>
          <w:sz w:val="22"/>
          <w:lang w:val="es-ES"/>
        </w:rPr>
        <w:t xml:space="preserve">, informó sobre la labor del </w:t>
      </w:r>
      <w:r w:rsidRPr="00C901E0">
        <w:rPr>
          <w:kern w:val="22"/>
          <w:sz w:val="22"/>
          <w:lang w:val="es-ES"/>
        </w:rPr>
        <w:t xml:space="preserve">Comité de Cumplimiento en sus reuniones 14ª y 15ª </w:t>
      </w:r>
      <w:r w:rsidRPr="00C901E0">
        <w:rPr>
          <w:color w:val="000000"/>
          <w:kern w:val="22"/>
          <w:sz w:val="22"/>
          <w:lang w:val="es-ES"/>
        </w:rPr>
        <w:t xml:space="preserve">(CBD/CP/MOP/9/2). </w:t>
      </w:r>
      <w:r w:rsidRPr="00C901E0">
        <w:rPr>
          <w:sz w:val="22"/>
          <w:lang w:val="es-ES"/>
        </w:rPr>
        <w:t xml:space="preserve">Les comunicó a las Partes que, desde la 15ª reunión del Comité, las Comoras, </w:t>
      </w:r>
      <w:r w:rsidR="00307A71" w:rsidRPr="00C901E0">
        <w:rPr>
          <w:sz w:val="22"/>
          <w:lang w:val="es-ES"/>
        </w:rPr>
        <w:t xml:space="preserve">la ex República Yugoslava de Macedonia </w:t>
      </w:r>
      <w:r w:rsidRPr="00C901E0">
        <w:rPr>
          <w:sz w:val="22"/>
          <w:lang w:val="es-ES"/>
        </w:rPr>
        <w:t>Myanmar, la República Popular Democrá</w:t>
      </w:r>
      <w:r w:rsidR="00307A71">
        <w:rPr>
          <w:sz w:val="22"/>
          <w:lang w:val="es-ES"/>
        </w:rPr>
        <w:t>tica de Corea</w:t>
      </w:r>
      <w:r w:rsidRPr="00C901E0">
        <w:rPr>
          <w:sz w:val="22"/>
          <w:lang w:val="es-ES"/>
        </w:rPr>
        <w:t xml:space="preserve"> y Turkmenistán habían presentado sus terceros informes nacionales y, por lo tanto, correspondía quitar sus nombres de la lista de Partes que figura en la sección de la recomendación referida a vigilancia y presentación de informes.</w:t>
      </w:r>
      <w:r w:rsidRPr="00C901E0">
        <w:rPr>
          <w:color w:val="000000"/>
          <w:kern w:val="22"/>
          <w:sz w:val="22"/>
          <w:lang w:val="es-ES"/>
        </w:rPr>
        <w:t xml:space="preserve"> </w:t>
      </w:r>
      <w:r w:rsidRPr="00C901E0">
        <w:rPr>
          <w:kern w:val="22"/>
          <w:sz w:val="22"/>
          <w:lang w:val="es-ES"/>
        </w:rPr>
        <w:t>También informó a las Partes que al evaluar las decisiones ingresadas en la categoría de uso confinado del Centro de Intercambio de Información sobre Seguridad de la Biotecnología, el Comité notó que algunos registros en esa categoría no se ajusta</w:t>
      </w:r>
      <w:r w:rsidR="00307A71">
        <w:rPr>
          <w:kern w:val="22"/>
          <w:sz w:val="22"/>
          <w:lang w:val="es-ES"/>
        </w:rPr>
        <w:t>ba</w:t>
      </w:r>
      <w:r w:rsidRPr="00C901E0">
        <w:rPr>
          <w:kern w:val="22"/>
          <w:sz w:val="22"/>
          <w:lang w:val="es-ES"/>
        </w:rPr>
        <w:t>n totalmente a lo dispuesto en el artículo 6 del Protocolo de Cartagena</w:t>
      </w:r>
      <w:r w:rsidR="00307A71">
        <w:rPr>
          <w:kern w:val="22"/>
          <w:sz w:val="22"/>
          <w:lang w:val="es-ES"/>
        </w:rPr>
        <w:t>, dado</w:t>
      </w:r>
      <w:r w:rsidRPr="00C901E0">
        <w:rPr>
          <w:kern w:val="22"/>
          <w:sz w:val="22"/>
          <w:lang w:val="es-ES"/>
        </w:rPr>
        <w:t xml:space="preserve"> que algunos de esos registros tienen que ver más bien con la introducción deliberada en el medio ambiente. </w:t>
      </w:r>
      <w:r w:rsidR="00307A71">
        <w:rPr>
          <w:kern w:val="22"/>
          <w:sz w:val="22"/>
          <w:lang w:val="es-ES"/>
        </w:rPr>
        <w:t>S</w:t>
      </w:r>
      <w:r w:rsidR="00307A71" w:rsidRPr="00C901E0">
        <w:rPr>
          <w:kern w:val="22"/>
          <w:sz w:val="22"/>
          <w:lang w:val="es-ES"/>
        </w:rPr>
        <w:t>e brind</w:t>
      </w:r>
      <w:r w:rsidR="00307A71">
        <w:rPr>
          <w:kern w:val="22"/>
          <w:sz w:val="22"/>
          <w:lang w:val="es-ES"/>
        </w:rPr>
        <w:t>ó</w:t>
      </w:r>
      <w:r w:rsidR="00307A71" w:rsidRPr="00C901E0">
        <w:rPr>
          <w:kern w:val="22"/>
          <w:sz w:val="22"/>
          <w:lang w:val="es-ES"/>
        </w:rPr>
        <w:t xml:space="preserve"> más información sobre este tema </w:t>
      </w:r>
      <w:r w:rsidR="00307A71">
        <w:rPr>
          <w:kern w:val="22"/>
          <w:sz w:val="22"/>
          <w:lang w:val="es-ES"/>
        </w:rPr>
        <w:t>e</w:t>
      </w:r>
      <w:r w:rsidRPr="00C901E0">
        <w:rPr>
          <w:kern w:val="22"/>
          <w:sz w:val="22"/>
          <w:lang w:val="es-ES"/>
        </w:rPr>
        <w:t>n la nota de la Secretaria Ejecutiva</w:t>
      </w:r>
      <w:r w:rsidRPr="00C901E0">
        <w:rPr>
          <w:color w:val="000000"/>
          <w:kern w:val="22"/>
          <w:sz w:val="22"/>
          <w:lang w:val="es-ES"/>
        </w:rPr>
        <w:t xml:space="preserve"> referida a tránsito y uso confinado de organismos vivos modificados </w:t>
      </w:r>
      <w:r w:rsidRPr="00C901E0">
        <w:rPr>
          <w:kern w:val="22"/>
          <w:sz w:val="22"/>
          <w:lang w:val="es-ES"/>
        </w:rPr>
        <w:t>(</w:t>
      </w:r>
      <w:r w:rsidRPr="00C901E0">
        <w:rPr>
          <w:color w:val="000000"/>
          <w:kern w:val="22"/>
          <w:sz w:val="22"/>
          <w:lang w:val="es-ES"/>
        </w:rPr>
        <w:t>CBD/CP/MOP/9/9)</w:t>
      </w:r>
      <w:r w:rsidRPr="00C901E0">
        <w:rPr>
          <w:kern w:val="22"/>
          <w:sz w:val="22"/>
          <w:lang w:val="es-ES"/>
        </w:rPr>
        <w:t>.</w:t>
      </w:r>
    </w:p>
    <w:p w:rsidR="00C901E0" w:rsidRPr="001E1302" w:rsidRDefault="00C901E0" w:rsidP="00C901E0">
      <w:pPr>
        <w:numPr>
          <w:ilvl w:val="0"/>
          <w:numId w:val="14"/>
        </w:numPr>
        <w:suppressLineNumbers/>
        <w:tabs>
          <w:tab w:val="clear" w:pos="360"/>
        </w:tabs>
        <w:suppressAutoHyphens/>
        <w:kinsoku w:val="0"/>
        <w:overflowPunct w:val="0"/>
        <w:autoSpaceDE w:val="0"/>
        <w:autoSpaceDN w:val="0"/>
        <w:spacing w:before="120" w:after="120"/>
        <w:jc w:val="both"/>
        <w:rPr>
          <w:color w:val="000000"/>
          <w:kern w:val="22"/>
          <w:sz w:val="22"/>
          <w:szCs w:val="22"/>
          <w:lang w:val="es-ES"/>
        </w:rPr>
      </w:pPr>
      <w:r w:rsidRPr="001E1302">
        <w:rPr>
          <w:sz w:val="22"/>
          <w:szCs w:val="22"/>
          <w:lang w:val="es-ES"/>
        </w:rPr>
        <w:t>Con respecto a la recomendación de emitir una advertencia, la Conferencia de las Partes que actúa como reunión de las Partes en el Protocolo de Cartagena tuvo ante sí un documento de información</w:t>
      </w:r>
      <w:r w:rsidR="00307A71" w:rsidRPr="001E1302">
        <w:rPr>
          <w:sz w:val="22"/>
          <w:szCs w:val="22"/>
          <w:lang w:val="es-ES"/>
        </w:rPr>
        <w:t xml:space="preserve"> </w:t>
      </w:r>
      <w:r w:rsidR="00307A71" w:rsidRPr="001E1302">
        <w:rPr>
          <w:color w:val="000000"/>
          <w:kern w:val="22"/>
          <w:sz w:val="22"/>
          <w:szCs w:val="22"/>
          <w:lang w:val="es-ES"/>
        </w:rPr>
        <w:t>(CBD/CP/MOP/9/INF/2)</w:t>
      </w:r>
      <w:r w:rsidRPr="001E1302">
        <w:rPr>
          <w:sz w:val="22"/>
          <w:szCs w:val="22"/>
          <w:lang w:val="es-ES"/>
        </w:rPr>
        <w:t xml:space="preserve"> para ayudarla a considerar la recomendación</w:t>
      </w:r>
      <w:r w:rsidRPr="001E1302">
        <w:rPr>
          <w:color w:val="000000"/>
          <w:kern w:val="22"/>
          <w:sz w:val="22"/>
          <w:szCs w:val="22"/>
          <w:lang w:val="es-ES"/>
        </w:rPr>
        <w:t xml:space="preserve">. </w:t>
      </w:r>
      <w:r w:rsidR="007D224B" w:rsidRPr="001E1302">
        <w:rPr>
          <w:color w:val="000000"/>
          <w:kern w:val="22"/>
          <w:sz w:val="22"/>
          <w:szCs w:val="22"/>
          <w:lang w:val="es-ES"/>
        </w:rPr>
        <w:t>Dicho</w:t>
      </w:r>
      <w:r w:rsidRPr="001E1302">
        <w:rPr>
          <w:kern w:val="22"/>
          <w:sz w:val="22"/>
          <w:szCs w:val="22"/>
          <w:lang w:val="es-ES"/>
        </w:rPr>
        <w:t xml:space="preserve"> documento </w:t>
      </w:r>
      <w:r w:rsidR="007D224B" w:rsidRPr="001E1302">
        <w:rPr>
          <w:kern w:val="22"/>
          <w:sz w:val="22"/>
          <w:szCs w:val="22"/>
          <w:lang w:val="es-ES"/>
        </w:rPr>
        <w:t xml:space="preserve">incluye, </w:t>
      </w:r>
      <w:r w:rsidRPr="001E1302">
        <w:rPr>
          <w:kern w:val="22"/>
          <w:sz w:val="22"/>
          <w:szCs w:val="22"/>
          <w:lang w:val="es-ES"/>
        </w:rPr>
        <w:t>entre otras cosas</w:t>
      </w:r>
      <w:r w:rsidR="007D224B" w:rsidRPr="001E1302">
        <w:rPr>
          <w:kern w:val="22"/>
          <w:sz w:val="22"/>
          <w:szCs w:val="22"/>
          <w:lang w:val="es-ES"/>
        </w:rPr>
        <w:t>,</w:t>
      </w:r>
      <w:r w:rsidRPr="001E1302">
        <w:rPr>
          <w:kern w:val="22"/>
          <w:sz w:val="22"/>
          <w:szCs w:val="22"/>
          <w:lang w:val="es-ES"/>
        </w:rPr>
        <w:t xml:space="preserve"> </w:t>
      </w:r>
      <w:r w:rsidR="007D224B" w:rsidRPr="001E1302">
        <w:rPr>
          <w:kern w:val="22"/>
          <w:sz w:val="22"/>
          <w:szCs w:val="22"/>
          <w:lang w:val="es-ES"/>
        </w:rPr>
        <w:t>un resumen de</w:t>
      </w:r>
      <w:r w:rsidRPr="001E1302">
        <w:rPr>
          <w:kern w:val="22"/>
          <w:sz w:val="22"/>
          <w:szCs w:val="22"/>
          <w:lang w:val="es-ES"/>
        </w:rPr>
        <w:t xml:space="preserve"> las numerosas </w:t>
      </w:r>
      <w:r w:rsidR="007D224B" w:rsidRPr="001E1302">
        <w:rPr>
          <w:kern w:val="22"/>
          <w:sz w:val="22"/>
          <w:szCs w:val="22"/>
          <w:lang w:val="es-ES"/>
        </w:rPr>
        <w:t>gestiones</w:t>
      </w:r>
      <w:r w:rsidRPr="001E1302">
        <w:rPr>
          <w:kern w:val="22"/>
          <w:sz w:val="22"/>
          <w:szCs w:val="22"/>
          <w:lang w:val="es-ES"/>
        </w:rPr>
        <w:t xml:space="preserve"> que llevó a cabo el Comité </w:t>
      </w:r>
      <w:r w:rsidR="007D224B" w:rsidRPr="001E1302">
        <w:rPr>
          <w:kern w:val="22"/>
          <w:sz w:val="22"/>
          <w:szCs w:val="22"/>
          <w:lang w:val="es-ES"/>
        </w:rPr>
        <w:t>antes de</w:t>
      </w:r>
      <w:r w:rsidRPr="001E1302">
        <w:rPr>
          <w:kern w:val="22"/>
          <w:sz w:val="22"/>
          <w:szCs w:val="22"/>
          <w:lang w:val="es-ES"/>
        </w:rPr>
        <w:t xml:space="preserve"> arribar a la recomendación de emitir una advertencia a determinadas Partes por </w:t>
      </w:r>
      <w:r w:rsidR="007D224B" w:rsidRPr="001E1302">
        <w:rPr>
          <w:kern w:val="22"/>
          <w:sz w:val="22"/>
          <w:szCs w:val="22"/>
          <w:lang w:val="es-ES"/>
        </w:rPr>
        <w:t>el i</w:t>
      </w:r>
      <w:r w:rsidRPr="001E1302">
        <w:rPr>
          <w:kern w:val="22"/>
          <w:sz w:val="22"/>
          <w:szCs w:val="22"/>
          <w:lang w:val="es-ES"/>
        </w:rPr>
        <w:t>n</w:t>
      </w:r>
      <w:r w:rsidR="007D224B" w:rsidRPr="001E1302">
        <w:rPr>
          <w:kern w:val="22"/>
          <w:sz w:val="22"/>
          <w:szCs w:val="22"/>
          <w:lang w:val="es-ES"/>
        </w:rPr>
        <w:t xml:space="preserve">cumplimiento de su </w:t>
      </w:r>
      <w:r w:rsidRPr="001E1302">
        <w:rPr>
          <w:kern w:val="22"/>
          <w:sz w:val="22"/>
          <w:szCs w:val="22"/>
          <w:lang w:val="es-ES"/>
        </w:rPr>
        <w:t>o</w:t>
      </w:r>
      <w:r w:rsidR="007D224B" w:rsidRPr="001E1302">
        <w:rPr>
          <w:kern w:val="22"/>
          <w:sz w:val="22"/>
          <w:szCs w:val="22"/>
          <w:lang w:val="es-ES"/>
        </w:rPr>
        <w:t>bligación de</w:t>
      </w:r>
      <w:r w:rsidRPr="001E1302">
        <w:rPr>
          <w:kern w:val="22"/>
          <w:sz w:val="22"/>
          <w:szCs w:val="22"/>
          <w:lang w:val="es-ES"/>
        </w:rPr>
        <w:t xml:space="preserve"> presentar informes nacionales</w:t>
      </w:r>
      <w:r w:rsidRPr="001E1302">
        <w:rPr>
          <w:sz w:val="22"/>
          <w:szCs w:val="22"/>
          <w:lang w:val="es-ES"/>
        </w:rPr>
        <w:t>.</w:t>
      </w:r>
      <w:r w:rsidRPr="001E1302">
        <w:rPr>
          <w:kern w:val="22"/>
          <w:sz w:val="22"/>
          <w:szCs w:val="22"/>
          <w:lang w:val="es-ES"/>
        </w:rPr>
        <w:t xml:space="preserve"> La Sra.</w:t>
      </w:r>
      <w:r w:rsidRPr="001E1302">
        <w:rPr>
          <w:color w:val="000000"/>
          <w:kern w:val="22"/>
          <w:sz w:val="22"/>
          <w:szCs w:val="22"/>
          <w:lang w:val="es-ES"/>
        </w:rPr>
        <w:t xml:space="preserve"> Hamilton hizo hincapié en que la decisión de recomendar que se emitiera una advertencia se tomó </w:t>
      </w:r>
      <w:r w:rsidR="007D224B" w:rsidRPr="001E1302">
        <w:rPr>
          <w:color w:val="000000"/>
          <w:kern w:val="22"/>
          <w:sz w:val="22"/>
          <w:szCs w:val="22"/>
          <w:lang w:val="es-ES"/>
        </w:rPr>
        <w:t>tras</w:t>
      </w:r>
      <w:r w:rsidRPr="001E1302">
        <w:rPr>
          <w:color w:val="000000"/>
          <w:kern w:val="22"/>
          <w:sz w:val="22"/>
          <w:szCs w:val="22"/>
          <w:lang w:val="es-ES"/>
        </w:rPr>
        <w:t xml:space="preserve"> largas deliberaciones y teniendo en cuenta que</w:t>
      </w:r>
      <w:r w:rsidR="007D224B" w:rsidRPr="001E1302">
        <w:rPr>
          <w:color w:val="000000"/>
          <w:kern w:val="22"/>
          <w:sz w:val="22"/>
          <w:szCs w:val="22"/>
          <w:lang w:val="es-ES"/>
        </w:rPr>
        <w:t>,</w:t>
      </w:r>
      <w:r w:rsidRPr="001E1302">
        <w:rPr>
          <w:color w:val="000000"/>
          <w:kern w:val="22"/>
          <w:sz w:val="22"/>
          <w:szCs w:val="22"/>
          <w:lang w:val="es-ES"/>
        </w:rPr>
        <w:t xml:space="preserve"> a pesar de los </w:t>
      </w:r>
      <w:r w:rsidRPr="001E1302">
        <w:rPr>
          <w:color w:val="000000"/>
          <w:kern w:val="22"/>
          <w:sz w:val="22"/>
          <w:szCs w:val="22"/>
          <w:lang w:val="es-ES"/>
        </w:rPr>
        <w:lastRenderedPageBreak/>
        <w:t>esfuerzos del Comité por resolver el tema en numerosas ocasiones</w:t>
      </w:r>
      <w:r w:rsidR="007D224B" w:rsidRPr="001E1302">
        <w:rPr>
          <w:color w:val="000000"/>
          <w:kern w:val="22"/>
          <w:sz w:val="22"/>
          <w:szCs w:val="22"/>
          <w:lang w:val="es-ES"/>
        </w:rPr>
        <w:t>,</w:t>
      </w:r>
      <w:r w:rsidRPr="001E1302">
        <w:rPr>
          <w:color w:val="000000"/>
          <w:kern w:val="22"/>
          <w:sz w:val="22"/>
          <w:szCs w:val="22"/>
          <w:lang w:val="es-ES"/>
        </w:rPr>
        <w:t xml:space="preserve"> no se había logrado que esas Partes entregaran sus informes nacionales</w:t>
      </w:r>
      <w:r w:rsidRPr="001E1302">
        <w:rPr>
          <w:sz w:val="22"/>
          <w:szCs w:val="22"/>
          <w:lang w:val="es-ES"/>
        </w:rPr>
        <w:t>. A</w:t>
      </w:r>
      <w:r w:rsidR="00753D50" w:rsidRPr="001E1302">
        <w:rPr>
          <w:sz w:val="22"/>
          <w:szCs w:val="22"/>
          <w:lang w:val="es-ES"/>
        </w:rPr>
        <w:t>firm</w:t>
      </w:r>
      <w:r w:rsidRPr="001E1302">
        <w:rPr>
          <w:sz w:val="22"/>
          <w:szCs w:val="22"/>
          <w:lang w:val="es-ES"/>
        </w:rPr>
        <w:t xml:space="preserve">ó que </w:t>
      </w:r>
      <w:r w:rsidR="007D224B" w:rsidRPr="001E1302">
        <w:rPr>
          <w:sz w:val="22"/>
          <w:szCs w:val="22"/>
          <w:lang w:val="es-ES"/>
        </w:rPr>
        <w:t xml:space="preserve">el Protocolo de Cartagena se creó porque </w:t>
      </w:r>
      <w:r w:rsidRPr="001E1302">
        <w:rPr>
          <w:sz w:val="22"/>
          <w:szCs w:val="22"/>
          <w:lang w:val="es-ES"/>
        </w:rPr>
        <w:t xml:space="preserve">la comunidad mundial considera </w:t>
      </w:r>
      <w:r w:rsidR="007D224B" w:rsidRPr="001E1302">
        <w:rPr>
          <w:sz w:val="22"/>
          <w:szCs w:val="22"/>
          <w:lang w:val="es-ES"/>
        </w:rPr>
        <w:t xml:space="preserve">que las </w:t>
      </w:r>
      <w:r w:rsidRPr="001E1302">
        <w:rPr>
          <w:sz w:val="22"/>
          <w:szCs w:val="22"/>
          <w:lang w:val="es-ES"/>
        </w:rPr>
        <w:t>medida</w:t>
      </w:r>
      <w:r w:rsidR="007D224B" w:rsidRPr="001E1302">
        <w:rPr>
          <w:sz w:val="22"/>
          <w:szCs w:val="22"/>
          <w:lang w:val="es-ES"/>
        </w:rPr>
        <w:t xml:space="preserve">s que establece son </w:t>
      </w:r>
      <w:r w:rsidRPr="001E1302">
        <w:rPr>
          <w:sz w:val="22"/>
          <w:szCs w:val="22"/>
          <w:lang w:val="es-ES"/>
        </w:rPr>
        <w:t>importante</w:t>
      </w:r>
      <w:r w:rsidR="007D224B" w:rsidRPr="001E1302">
        <w:rPr>
          <w:sz w:val="22"/>
          <w:szCs w:val="22"/>
          <w:lang w:val="es-ES"/>
        </w:rPr>
        <w:t>s,</w:t>
      </w:r>
      <w:r w:rsidRPr="001E1302">
        <w:rPr>
          <w:sz w:val="22"/>
          <w:szCs w:val="22"/>
          <w:lang w:val="es-ES"/>
        </w:rPr>
        <w:t xml:space="preserve"> y </w:t>
      </w:r>
      <w:r w:rsidR="00753D50" w:rsidRPr="001E1302">
        <w:rPr>
          <w:sz w:val="22"/>
          <w:szCs w:val="22"/>
          <w:lang w:val="es-ES"/>
        </w:rPr>
        <w:t>agregó que su</w:t>
      </w:r>
      <w:r w:rsidR="007D224B" w:rsidRPr="001E1302">
        <w:rPr>
          <w:sz w:val="22"/>
          <w:szCs w:val="22"/>
          <w:lang w:val="es-ES"/>
        </w:rPr>
        <w:t xml:space="preserve"> aplicación efectiva</w:t>
      </w:r>
      <w:r w:rsidRPr="001E1302">
        <w:rPr>
          <w:sz w:val="22"/>
          <w:szCs w:val="22"/>
          <w:lang w:val="es-ES"/>
        </w:rPr>
        <w:t xml:space="preserve"> depende del intercambio de información precisa. </w:t>
      </w:r>
      <w:r w:rsidR="001E1302">
        <w:rPr>
          <w:sz w:val="22"/>
          <w:szCs w:val="22"/>
          <w:lang w:val="es-ES"/>
        </w:rPr>
        <w:t>En vista de que</w:t>
      </w:r>
      <w:r w:rsidR="00753D50" w:rsidRPr="001E1302">
        <w:rPr>
          <w:sz w:val="22"/>
          <w:szCs w:val="22"/>
          <w:lang w:val="es-ES"/>
        </w:rPr>
        <w:t xml:space="preserve"> </w:t>
      </w:r>
      <w:r w:rsidR="001E1302" w:rsidRPr="001E1302">
        <w:rPr>
          <w:sz w:val="22"/>
          <w:szCs w:val="22"/>
          <w:lang w:val="es-ES"/>
        </w:rPr>
        <w:t xml:space="preserve">Turkmenistán </w:t>
      </w:r>
      <w:r w:rsidR="001E1302">
        <w:rPr>
          <w:sz w:val="22"/>
          <w:szCs w:val="22"/>
          <w:lang w:val="es-ES"/>
        </w:rPr>
        <w:t xml:space="preserve">había </w:t>
      </w:r>
      <w:r w:rsidR="00753D50" w:rsidRPr="001E1302">
        <w:rPr>
          <w:sz w:val="22"/>
          <w:szCs w:val="22"/>
          <w:lang w:val="es-ES"/>
        </w:rPr>
        <w:t>presentad</w:t>
      </w:r>
      <w:r w:rsidR="001E1302">
        <w:rPr>
          <w:sz w:val="22"/>
          <w:szCs w:val="22"/>
          <w:lang w:val="es-ES"/>
        </w:rPr>
        <w:t>o su</w:t>
      </w:r>
      <w:r w:rsidRPr="001E1302">
        <w:rPr>
          <w:sz w:val="22"/>
          <w:szCs w:val="22"/>
          <w:lang w:val="es-ES"/>
        </w:rPr>
        <w:t xml:space="preserve"> tercer informe nacional, la Sra. Hamilton señaló que </w:t>
      </w:r>
      <w:r w:rsidR="001E1302" w:rsidRPr="001E1302">
        <w:rPr>
          <w:sz w:val="22"/>
          <w:szCs w:val="22"/>
          <w:lang w:val="es-ES"/>
        </w:rPr>
        <w:t xml:space="preserve">podía eliminarse </w:t>
      </w:r>
      <w:r w:rsidR="00753D50" w:rsidRPr="001E1302">
        <w:rPr>
          <w:sz w:val="22"/>
          <w:szCs w:val="22"/>
          <w:lang w:val="es-ES"/>
        </w:rPr>
        <w:t xml:space="preserve">el nombre de ese país </w:t>
      </w:r>
      <w:r w:rsidRPr="001E1302">
        <w:rPr>
          <w:sz w:val="22"/>
          <w:szCs w:val="22"/>
          <w:lang w:val="es-ES"/>
        </w:rPr>
        <w:t>de la sección de la recomendación del Comité referida a la advertencia.</w:t>
      </w:r>
    </w:p>
    <w:p w:rsidR="00C901E0" w:rsidRPr="00C901E0" w:rsidRDefault="00C901E0" w:rsidP="00C901E0">
      <w:pPr>
        <w:numPr>
          <w:ilvl w:val="0"/>
          <w:numId w:val="14"/>
        </w:numPr>
        <w:suppressLineNumbers/>
        <w:tabs>
          <w:tab w:val="clear" w:pos="360"/>
        </w:tabs>
        <w:suppressAutoHyphens/>
        <w:kinsoku w:val="0"/>
        <w:overflowPunct w:val="0"/>
        <w:autoSpaceDE w:val="0"/>
        <w:autoSpaceDN w:val="0"/>
        <w:spacing w:before="120" w:after="120"/>
        <w:jc w:val="both"/>
        <w:rPr>
          <w:color w:val="000000"/>
          <w:kern w:val="22"/>
          <w:lang w:val="es-ES"/>
        </w:rPr>
      </w:pPr>
      <w:r w:rsidRPr="00C901E0">
        <w:rPr>
          <w:kern w:val="22"/>
          <w:sz w:val="22"/>
          <w:lang w:val="es-ES"/>
        </w:rPr>
        <w:t xml:space="preserve">Luego del informe de la Sra. Hamilton, la </w:t>
      </w:r>
      <w:r w:rsidRPr="00C901E0">
        <w:rPr>
          <w:sz w:val="22"/>
          <w:lang w:val="es-ES"/>
        </w:rPr>
        <w:t>Conferencia de las Partes que actúa como reunión de las Partes en el Protocolo</w:t>
      </w:r>
      <w:r w:rsidRPr="00C901E0">
        <w:rPr>
          <w:kern w:val="22"/>
          <w:sz w:val="22"/>
          <w:lang w:val="es-ES"/>
        </w:rPr>
        <w:t xml:space="preserve"> de </w:t>
      </w:r>
      <w:r w:rsidR="001E1302">
        <w:rPr>
          <w:kern w:val="22"/>
          <w:sz w:val="22"/>
          <w:lang w:val="es-ES"/>
        </w:rPr>
        <w:t>Cartagena</w:t>
      </w:r>
      <w:r w:rsidRPr="00C901E0">
        <w:rPr>
          <w:kern w:val="22"/>
          <w:sz w:val="22"/>
          <w:lang w:val="es-ES"/>
        </w:rPr>
        <w:t xml:space="preserve"> resolvió que las recomendaciones del Comité se examinarían en los grupos de trabajo </w:t>
      </w:r>
      <w:r w:rsidR="00753D50">
        <w:rPr>
          <w:kern w:val="22"/>
          <w:sz w:val="22"/>
          <w:lang w:val="es-ES"/>
        </w:rPr>
        <w:t>cua</w:t>
      </w:r>
      <w:r w:rsidRPr="00C901E0">
        <w:rPr>
          <w:kern w:val="22"/>
          <w:sz w:val="22"/>
          <w:lang w:val="es-ES"/>
        </w:rPr>
        <w:t>n</w:t>
      </w:r>
      <w:r w:rsidR="00753D50">
        <w:rPr>
          <w:kern w:val="22"/>
          <w:sz w:val="22"/>
          <w:lang w:val="es-ES"/>
        </w:rPr>
        <w:t>do se trataran</w:t>
      </w:r>
      <w:r w:rsidRPr="00C901E0">
        <w:rPr>
          <w:kern w:val="22"/>
          <w:sz w:val="22"/>
          <w:lang w:val="es-ES"/>
        </w:rPr>
        <w:t xml:space="preserve"> los temas </w:t>
      </w:r>
      <w:r w:rsidR="00753D50" w:rsidRPr="00C901E0">
        <w:rPr>
          <w:kern w:val="22"/>
          <w:sz w:val="22"/>
          <w:lang w:val="es-ES"/>
        </w:rPr>
        <w:t xml:space="preserve">correspondientes </w:t>
      </w:r>
      <w:r w:rsidRPr="00C901E0">
        <w:rPr>
          <w:kern w:val="22"/>
          <w:sz w:val="22"/>
          <w:lang w:val="es-ES"/>
        </w:rPr>
        <w:t>del programa. Se refirió el tema 5 del programa al Grupo de Trabajo I para que se examinaran más a fondo las recomendaciones del Comité expuestas en la sección A del anexo de su informe y en la recopilación de proyectos de decisión (</w:t>
      </w:r>
      <w:r w:rsidRPr="00C901E0">
        <w:rPr>
          <w:sz w:val="22"/>
          <w:lang w:val="es-ES"/>
        </w:rPr>
        <w:t>CBD/CP/MOP/9/1/Add.2)</w:t>
      </w:r>
      <w:r w:rsidRPr="00C901E0">
        <w:rPr>
          <w:kern w:val="22"/>
          <w:sz w:val="22"/>
          <w:lang w:val="es-ES"/>
        </w:rPr>
        <w:t>.</w:t>
      </w:r>
    </w:p>
    <w:p w:rsidR="00C901E0" w:rsidRPr="00C901E0" w:rsidRDefault="00C901E0" w:rsidP="00C901E0">
      <w:pPr>
        <w:pStyle w:val="Para1"/>
        <w:tabs>
          <w:tab w:val="clear" w:pos="360"/>
        </w:tabs>
        <w:rPr>
          <w:rFonts w:eastAsia="Times New Roman"/>
          <w:szCs w:val="24"/>
          <w:lang w:val="es-ES"/>
        </w:rPr>
      </w:pPr>
      <w:r w:rsidRPr="00C901E0">
        <w:rPr>
          <w:rFonts w:eastAsia="Times New Roman"/>
          <w:szCs w:val="24"/>
          <w:lang w:val="es-ES"/>
        </w:rPr>
        <w:t xml:space="preserve">El Grupo de Trabajo I comenzó a tratar el tema 5 del programa en su sexta </w:t>
      </w:r>
      <w:r w:rsidR="00D55DA3">
        <w:rPr>
          <w:rFonts w:eastAsia="Times New Roman"/>
          <w:szCs w:val="24"/>
          <w:lang w:val="es-ES"/>
        </w:rPr>
        <w:t>r</w:t>
      </w:r>
      <w:r w:rsidRPr="00C901E0">
        <w:rPr>
          <w:rFonts w:eastAsia="Times New Roman"/>
          <w:szCs w:val="24"/>
          <w:lang w:val="es-ES"/>
        </w:rPr>
        <w:t>e</w:t>
      </w:r>
      <w:r w:rsidR="00D55DA3">
        <w:rPr>
          <w:rFonts w:eastAsia="Times New Roman"/>
          <w:szCs w:val="24"/>
          <w:lang w:val="es-ES"/>
        </w:rPr>
        <w:t>un</w:t>
      </w:r>
      <w:r w:rsidRPr="00C901E0">
        <w:rPr>
          <w:rFonts w:eastAsia="Times New Roman"/>
          <w:szCs w:val="24"/>
          <w:lang w:val="es-ES"/>
        </w:rPr>
        <w:t xml:space="preserve">ión, el 21 de noviembre de 2018. Para examinar este tema, el Grupo de Trabajo tuvo ante sí un proyecto de decisión basado en las recomendaciones incluidas en el informe del Comité de Cumplimiento (CBD/CP/MOP/9/2) y una nota de la Secretaria Ejecutiva sobre las </w:t>
      </w:r>
      <w:r w:rsidR="00753D50">
        <w:rPr>
          <w:rFonts w:eastAsia="Times New Roman"/>
          <w:szCs w:val="24"/>
          <w:lang w:val="es-ES"/>
        </w:rPr>
        <w:t>gestiones realizadas</w:t>
      </w:r>
      <w:r w:rsidRPr="00C901E0">
        <w:rPr>
          <w:rFonts w:eastAsia="Times New Roman"/>
          <w:szCs w:val="24"/>
          <w:lang w:val="es-ES"/>
        </w:rPr>
        <w:t xml:space="preserve"> por el Comité de Cumplimiento con respecto a la obligación de presentación de informes nacionales que culminaron en la recomendación de emitir una advertencia a determinadas Partes (CBD/CP/MOP/9/INF/2).</w:t>
      </w:r>
    </w:p>
    <w:p w:rsidR="00C901E0" w:rsidRPr="00C901E0" w:rsidRDefault="00C901E0" w:rsidP="00C901E0">
      <w:pPr>
        <w:pStyle w:val="Para1"/>
        <w:tabs>
          <w:tab w:val="clear" w:pos="360"/>
        </w:tabs>
        <w:spacing w:before="0" w:after="0"/>
        <w:rPr>
          <w:rFonts w:eastAsia="Times New Roman"/>
          <w:szCs w:val="24"/>
          <w:lang w:val="es-ES"/>
        </w:rPr>
      </w:pPr>
      <w:r w:rsidRPr="00C901E0">
        <w:rPr>
          <w:rFonts w:eastAsia="Times New Roman"/>
          <w:szCs w:val="24"/>
          <w:lang w:val="es-ES"/>
        </w:rPr>
        <w:t>La Sra. Hamilton present</w:t>
      </w:r>
      <w:r w:rsidR="00753D50">
        <w:rPr>
          <w:rFonts w:eastAsia="Times New Roman"/>
          <w:szCs w:val="24"/>
          <w:lang w:val="es-ES"/>
        </w:rPr>
        <w:t>ó</w:t>
      </w:r>
      <w:r w:rsidRPr="00C901E0">
        <w:rPr>
          <w:rFonts w:eastAsia="Times New Roman"/>
          <w:szCs w:val="24"/>
          <w:lang w:val="es-ES"/>
        </w:rPr>
        <w:t xml:space="preserve"> los documentos. En su presentación señaló que la sección A del anexo del informe del Comité de Cumplimiento contenía las recomendaciones generales del Comité, además de una recomendación referida a casos específicos de incumplimiento</w:t>
      </w:r>
      <w:r w:rsidR="00205E39">
        <w:rPr>
          <w:rFonts w:eastAsia="Times New Roman"/>
          <w:szCs w:val="24"/>
          <w:lang w:val="es-ES"/>
        </w:rPr>
        <w:t>,</w:t>
      </w:r>
      <w:r w:rsidRPr="00C901E0">
        <w:rPr>
          <w:rFonts w:eastAsia="Times New Roman"/>
          <w:szCs w:val="24"/>
          <w:lang w:val="es-ES"/>
        </w:rPr>
        <w:t xml:space="preserve"> y que la sección B contenía la recomendación de emitir una advertencia a cuatro Partes por incumplir su obligación de presentar informes nacionales en varios ciclos de presentación de informes. Desde la publicación del informe, Grecia, las Islas Marshall y Turkmenistán habían presentado sus terceros informes nacionales y por lo tanto debían ser retirados de la lista de Partes a las que se les debía emitir una advertencia por no presentar </w:t>
      </w:r>
      <w:r w:rsidR="00753D50">
        <w:rPr>
          <w:rFonts w:eastAsia="Times New Roman"/>
          <w:szCs w:val="24"/>
          <w:lang w:val="es-ES"/>
        </w:rPr>
        <w:t>esos</w:t>
      </w:r>
      <w:r w:rsidRPr="00C901E0">
        <w:rPr>
          <w:rFonts w:eastAsia="Times New Roman"/>
          <w:szCs w:val="24"/>
          <w:lang w:val="es-ES"/>
        </w:rPr>
        <w:t xml:space="preserve"> informes. </w:t>
      </w:r>
      <w:r w:rsidR="00753D50">
        <w:rPr>
          <w:rFonts w:eastAsia="Times New Roman"/>
          <w:szCs w:val="24"/>
          <w:lang w:val="es-ES"/>
        </w:rPr>
        <w:t xml:space="preserve">Por otra parte, </w:t>
      </w:r>
      <w:r w:rsidRPr="00C901E0">
        <w:rPr>
          <w:rFonts w:eastAsia="Times New Roman"/>
          <w:szCs w:val="24"/>
          <w:lang w:val="es-ES"/>
        </w:rPr>
        <w:t xml:space="preserve">con respecto a la nominación de miembros del Comité, </w:t>
      </w:r>
      <w:r w:rsidR="00753D50">
        <w:rPr>
          <w:rFonts w:eastAsia="Times New Roman"/>
          <w:szCs w:val="24"/>
          <w:lang w:val="es-ES"/>
        </w:rPr>
        <w:t>la Sra.</w:t>
      </w:r>
      <w:r w:rsidR="00205E39">
        <w:rPr>
          <w:rFonts w:eastAsia="Times New Roman"/>
          <w:szCs w:val="24"/>
          <w:lang w:val="es-ES"/>
        </w:rPr>
        <w:t> </w:t>
      </w:r>
      <w:r w:rsidR="00753D50">
        <w:rPr>
          <w:rFonts w:eastAsia="Times New Roman"/>
          <w:szCs w:val="24"/>
          <w:lang w:val="es-ES"/>
        </w:rPr>
        <w:t>Hamilton d</w:t>
      </w:r>
      <w:r w:rsidR="00753D50" w:rsidRPr="00C901E0">
        <w:rPr>
          <w:rFonts w:eastAsia="Times New Roman"/>
          <w:szCs w:val="24"/>
          <w:lang w:val="es-ES"/>
        </w:rPr>
        <w:t xml:space="preserve">ijo que </w:t>
      </w:r>
      <w:r w:rsidRPr="00C901E0">
        <w:rPr>
          <w:rFonts w:eastAsia="Times New Roman"/>
          <w:szCs w:val="24"/>
          <w:lang w:val="es-ES"/>
        </w:rPr>
        <w:t xml:space="preserve">la intención </w:t>
      </w:r>
      <w:r w:rsidR="007830A1">
        <w:rPr>
          <w:rFonts w:eastAsia="Times New Roman"/>
          <w:szCs w:val="24"/>
          <w:lang w:val="es-ES"/>
        </w:rPr>
        <w:t>original</w:t>
      </w:r>
      <w:r w:rsidRPr="00C901E0">
        <w:rPr>
          <w:rFonts w:eastAsia="Times New Roman"/>
          <w:szCs w:val="24"/>
          <w:lang w:val="es-ES"/>
        </w:rPr>
        <w:t xml:space="preserve"> había sido </w:t>
      </w:r>
      <w:r w:rsidR="007830A1">
        <w:rPr>
          <w:rFonts w:eastAsia="Times New Roman"/>
          <w:szCs w:val="24"/>
          <w:lang w:val="es-ES"/>
        </w:rPr>
        <w:t>que hubiera</w:t>
      </w:r>
      <w:r w:rsidRPr="00C901E0">
        <w:rPr>
          <w:rFonts w:eastAsia="Times New Roman"/>
          <w:szCs w:val="24"/>
          <w:lang w:val="es-ES"/>
        </w:rPr>
        <w:t xml:space="preserve"> un equilibrio entre expertos técnicos y expertos jurídicos. </w:t>
      </w:r>
      <w:r w:rsidR="007830A1">
        <w:rPr>
          <w:rFonts w:eastAsia="Times New Roman"/>
          <w:szCs w:val="24"/>
          <w:lang w:val="es-ES"/>
        </w:rPr>
        <w:t>Dado que e</w:t>
      </w:r>
      <w:r w:rsidRPr="00C901E0">
        <w:rPr>
          <w:rFonts w:eastAsia="Times New Roman"/>
          <w:szCs w:val="24"/>
          <w:lang w:val="es-ES"/>
        </w:rPr>
        <w:t>ntre los miembros actuales del Comité de Cumplimiento solo quedaban dos expertos jurídicos</w:t>
      </w:r>
      <w:r w:rsidR="007830A1">
        <w:rPr>
          <w:rFonts w:eastAsia="Times New Roman"/>
          <w:szCs w:val="24"/>
          <w:lang w:val="es-ES"/>
        </w:rPr>
        <w:t xml:space="preserve">, </w:t>
      </w:r>
      <w:r w:rsidRPr="00C901E0">
        <w:rPr>
          <w:rFonts w:eastAsia="Times New Roman"/>
          <w:szCs w:val="24"/>
          <w:lang w:val="es-ES"/>
        </w:rPr>
        <w:t xml:space="preserve">la Sra. Hamilton instó a las Partes a tener eso en cuenta </w:t>
      </w:r>
      <w:r w:rsidR="007830A1">
        <w:rPr>
          <w:rFonts w:eastAsia="Times New Roman"/>
          <w:szCs w:val="24"/>
          <w:lang w:val="es-ES"/>
        </w:rPr>
        <w:t>a la hora de presentar</w:t>
      </w:r>
      <w:r w:rsidRPr="00C901E0">
        <w:rPr>
          <w:rFonts w:eastAsia="Times New Roman"/>
          <w:szCs w:val="24"/>
          <w:lang w:val="es-ES"/>
        </w:rPr>
        <w:t xml:space="preserve"> sus nominaciones para la elección de miembros del Comité.</w:t>
      </w:r>
    </w:p>
    <w:p w:rsidR="00C901E0" w:rsidRPr="00C901E0" w:rsidRDefault="00C901E0" w:rsidP="00C901E0">
      <w:pPr>
        <w:pStyle w:val="Para1"/>
        <w:tabs>
          <w:tab w:val="clear" w:pos="360"/>
        </w:tabs>
        <w:rPr>
          <w:rFonts w:eastAsia="Times New Roman"/>
          <w:szCs w:val="24"/>
          <w:lang w:val="es-ES"/>
        </w:rPr>
      </w:pPr>
      <w:r w:rsidRPr="00C901E0">
        <w:rPr>
          <w:rFonts w:eastAsia="Times New Roman"/>
          <w:szCs w:val="24"/>
          <w:lang w:val="es-ES"/>
        </w:rPr>
        <w:t>Formularon declaraciones representantes de C</w:t>
      </w:r>
      <w:r w:rsidR="0076745A">
        <w:rPr>
          <w:rFonts w:eastAsia="Times New Roman"/>
          <w:szCs w:val="24"/>
          <w:lang w:val="es-ES"/>
        </w:rPr>
        <w:t xml:space="preserve">olombia, Georgia (en nombre del </w:t>
      </w:r>
      <w:r w:rsidRPr="00C901E0">
        <w:rPr>
          <w:rFonts w:eastAsia="Times New Roman"/>
          <w:szCs w:val="24"/>
          <w:lang w:val="es-ES"/>
        </w:rPr>
        <w:t xml:space="preserve">Grupo </w:t>
      </w:r>
      <w:r w:rsidR="007830A1">
        <w:rPr>
          <w:rFonts w:eastAsia="Times New Roman"/>
          <w:szCs w:val="24"/>
          <w:lang w:val="es-ES"/>
        </w:rPr>
        <w:t xml:space="preserve">de </w:t>
      </w:r>
      <w:r w:rsidRPr="00C901E0">
        <w:rPr>
          <w:rFonts w:eastAsia="Times New Roman"/>
          <w:szCs w:val="24"/>
          <w:lang w:val="es-ES"/>
        </w:rPr>
        <w:t>Europa Central y Oriental), la India, Indonesia, Jordania, México y Venezuela (República Bolivariana de).</w:t>
      </w:r>
    </w:p>
    <w:p w:rsidR="00C901E0" w:rsidRPr="00C901E0" w:rsidRDefault="00C901E0" w:rsidP="00C901E0">
      <w:pPr>
        <w:pStyle w:val="Para1"/>
        <w:tabs>
          <w:tab w:val="clear" w:pos="360"/>
        </w:tabs>
        <w:rPr>
          <w:rFonts w:eastAsia="Times New Roman"/>
          <w:szCs w:val="24"/>
          <w:lang w:val="es-ES"/>
        </w:rPr>
      </w:pPr>
      <w:r w:rsidRPr="00C901E0">
        <w:rPr>
          <w:rFonts w:eastAsia="Times New Roman"/>
          <w:szCs w:val="24"/>
          <w:lang w:val="es-ES"/>
        </w:rPr>
        <w:t>El Presidente dijo que prepararía un proyecto de decisión revisado, tomando en cuenta las opiniones expresadas oralmente y presentadas por escrito.</w:t>
      </w:r>
    </w:p>
    <w:p w:rsidR="00C901E0" w:rsidRPr="00C901E0" w:rsidRDefault="00C901E0" w:rsidP="00C901E0">
      <w:pPr>
        <w:pStyle w:val="Para1"/>
        <w:tabs>
          <w:tab w:val="clear" w:pos="360"/>
        </w:tabs>
        <w:rPr>
          <w:rFonts w:eastAsia="Times New Roman"/>
          <w:szCs w:val="24"/>
          <w:lang w:val="es-ES"/>
        </w:rPr>
      </w:pPr>
      <w:r w:rsidRPr="00C901E0">
        <w:rPr>
          <w:rFonts w:eastAsia="Times New Roman"/>
          <w:szCs w:val="24"/>
          <w:lang w:val="es-ES"/>
        </w:rPr>
        <w:t xml:space="preserve">En su décima </w:t>
      </w:r>
      <w:r w:rsidR="00D55DA3">
        <w:rPr>
          <w:rFonts w:eastAsia="Times New Roman"/>
          <w:szCs w:val="24"/>
          <w:lang w:val="es-ES"/>
        </w:rPr>
        <w:t>r</w:t>
      </w:r>
      <w:r w:rsidRPr="00C901E0">
        <w:rPr>
          <w:rFonts w:eastAsia="Times New Roman"/>
          <w:szCs w:val="24"/>
          <w:lang w:val="es-ES"/>
        </w:rPr>
        <w:t>e</w:t>
      </w:r>
      <w:r w:rsidR="00D55DA3">
        <w:rPr>
          <w:rFonts w:eastAsia="Times New Roman"/>
          <w:szCs w:val="24"/>
          <w:lang w:val="es-ES"/>
        </w:rPr>
        <w:t>un</w:t>
      </w:r>
      <w:r w:rsidRPr="00C901E0">
        <w:rPr>
          <w:rFonts w:eastAsia="Times New Roman"/>
          <w:szCs w:val="24"/>
          <w:lang w:val="es-ES"/>
        </w:rPr>
        <w:t xml:space="preserve">ión, el 25 de noviembre de 2018, el Grupo de Trabajo examinó un proyecto de decisión revisado preparado por </w:t>
      </w:r>
      <w:r w:rsidR="00205E39">
        <w:rPr>
          <w:rFonts w:eastAsia="Times New Roman"/>
          <w:szCs w:val="24"/>
          <w:lang w:val="es-ES"/>
        </w:rPr>
        <w:t>e</w:t>
      </w:r>
      <w:r w:rsidRPr="00C901E0">
        <w:rPr>
          <w:rFonts w:eastAsia="Times New Roman"/>
          <w:szCs w:val="24"/>
          <w:lang w:val="es-ES"/>
        </w:rPr>
        <w:t>l Presiden</w:t>
      </w:r>
      <w:r w:rsidR="00205E39">
        <w:rPr>
          <w:rFonts w:eastAsia="Times New Roman"/>
          <w:szCs w:val="24"/>
          <w:lang w:val="es-ES"/>
        </w:rPr>
        <w:t>te</w:t>
      </w:r>
      <w:r w:rsidRPr="00C901E0">
        <w:rPr>
          <w:rFonts w:eastAsia="Times New Roman"/>
          <w:szCs w:val="24"/>
          <w:lang w:val="es-ES"/>
        </w:rPr>
        <w:t xml:space="preserve"> y lo aprobó para que fuera transmitido a la sesión plenaria como proyecto de decisión CBD/CP/MOP/9/L.11.</w:t>
      </w:r>
    </w:p>
    <w:p w:rsidR="00C901E0" w:rsidRPr="00C901E0" w:rsidRDefault="00C901E0" w:rsidP="00C901E0">
      <w:pPr>
        <w:pStyle w:val="Para1"/>
        <w:tabs>
          <w:tab w:val="clear" w:pos="360"/>
        </w:tabs>
        <w:rPr>
          <w:rFonts w:eastAsia="Times New Roman"/>
          <w:szCs w:val="24"/>
          <w:lang w:val="es-ES"/>
        </w:rPr>
      </w:pPr>
      <w:r w:rsidRPr="00C901E0">
        <w:rPr>
          <w:rFonts w:eastAsia="Times New Roman"/>
          <w:szCs w:val="24"/>
          <w:lang w:val="es-ES"/>
        </w:rPr>
        <w:t>En la séptima sesión plenaria de la reunión, el 28 de noviembre de 2018, la Conferencia de las Partes que actúa como reunión de las Partes eligió los siguientes candidatos para integrar el Comité de Cumplimiento:</w:t>
      </w:r>
    </w:p>
    <w:p w:rsidR="00C901E0" w:rsidRPr="00C901E0" w:rsidRDefault="00C901E0" w:rsidP="00C901E0">
      <w:pPr>
        <w:pStyle w:val="Para1"/>
        <w:numPr>
          <w:ilvl w:val="0"/>
          <w:numId w:val="0"/>
        </w:numPr>
        <w:spacing w:before="0" w:after="0"/>
        <w:ind w:left="1418"/>
        <w:rPr>
          <w:rFonts w:eastAsia="Times New Roman"/>
          <w:szCs w:val="24"/>
          <w:lang w:val="es-ES"/>
        </w:rPr>
      </w:pPr>
      <w:r w:rsidRPr="00C901E0">
        <w:rPr>
          <w:rFonts w:eastAsia="Times New Roman"/>
          <w:szCs w:val="24"/>
          <w:lang w:val="es-ES"/>
        </w:rPr>
        <w:t>Mr. Gado Zaki Mahaman (Níger)</w:t>
      </w:r>
    </w:p>
    <w:p w:rsidR="00C901E0" w:rsidRPr="00C901E0" w:rsidRDefault="00C901E0" w:rsidP="00C901E0">
      <w:pPr>
        <w:pStyle w:val="Para1"/>
        <w:numPr>
          <w:ilvl w:val="0"/>
          <w:numId w:val="0"/>
        </w:numPr>
        <w:spacing w:before="0" w:after="0"/>
        <w:ind w:left="1418"/>
        <w:rPr>
          <w:rFonts w:eastAsia="Times New Roman"/>
          <w:szCs w:val="24"/>
          <w:lang w:val="es-ES"/>
        </w:rPr>
      </w:pPr>
      <w:r w:rsidRPr="00C901E0">
        <w:rPr>
          <w:rFonts w:eastAsia="Times New Roman"/>
          <w:szCs w:val="24"/>
          <w:lang w:val="es-ES"/>
        </w:rPr>
        <w:t>Sr. Achmad Gusman Siswandi (Indonesia)</w:t>
      </w:r>
    </w:p>
    <w:p w:rsidR="00C901E0" w:rsidRPr="00C901E0" w:rsidRDefault="00C901E0" w:rsidP="00C901E0">
      <w:pPr>
        <w:pStyle w:val="Para1"/>
        <w:numPr>
          <w:ilvl w:val="0"/>
          <w:numId w:val="0"/>
        </w:numPr>
        <w:spacing w:before="0" w:after="0"/>
        <w:ind w:left="1418"/>
        <w:rPr>
          <w:rFonts w:eastAsia="Times New Roman"/>
          <w:szCs w:val="24"/>
          <w:lang w:val="es-ES"/>
        </w:rPr>
      </w:pPr>
      <w:r w:rsidRPr="00C901E0">
        <w:rPr>
          <w:rFonts w:eastAsia="Times New Roman"/>
          <w:szCs w:val="24"/>
          <w:lang w:val="es-ES"/>
        </w:rPr>
        <w:t>Sr. Martin Batic (Eslovenia)</w:t>
      </w:r>
    </w:p>
    <w:p w:rsidR="00C901E0" w:rsidRPr="00C901E0" w:rsidRDefault="00C901E0" w:rsidP="00C901E0">
      <w:pPr>
        <w:pStyle w:val="Para1"/>
        <w:numPr>
          <w:ilvl w:val="0"/>
          <w:numId w:val="0"/>
        </w:numPr>
        <w:spacing w:before="0" w:after="0"/>
        <w:ind w:left="1418"/>
        <w:rPr>
          <w:rFonts w:eastAsia="Times New Roman"/>
          <w:szCs w:val="24"/>
          <w:lang w:val="es-ES"/>
        </w:rPr>
      </w:pPr>
      <w:r w:rsidRPr="00C901E0">
        <w:rPr>
          <w:rFonts w:eastAsia="Times New Roman"/>
          <w:szCs w:val="24"/>
          <w:lang w:val="es-ES"/>
        </w:rPr>
        <w:t>Sra. Georgina Catacora-Vargas (Estado Plurinacional de Bolivia)</w:t>
      </w:r>
    </w:p>
    <w:p w:rsidR="00C901E0" w:rsidRPr="00C901E0" w:rsidRDefault="00C901E0" w:rsidP="00C901E0">
      <w:pPr>
        <w:pStyle w:val="Para1"/>
        <w:numPr>
          <w:ilvl w:val="0"/>
          <w:numId w:val="0"/>
        </w:numPr>
        <w:spacing w:before="0" w:after="0"/>
        <w:ind w:left="1418"/>
        <w:rPr>
          <w:rFonts w:eastAsia="Times New Roman"/>
          <w:szCs w:val="24"/>
          <w:lang w:val="es-ES"/>
        </w:rPr>
      </w:pPr>
      <w:r w:rsidRPr="00C901E0">
        <w:rPr>
          <w:rFonts w:eastAsia="Times New Roman"/>
          <w:szCs w:val="24"/>
          <w:lang w:val="es-ES"/>
        </w:rPr>
        <w:t>Sr. Michelangelo Lombardi (Italia)</w:t>
      </w:r>
    </w:p>
    <w:p w:rsidR="00C901E0" w:rsidRPr="00C901E0" w:rsidRDefault="00C901E0" w:rsidP="00C901E0">
      <w:pPr>
        <w:pStyle w:val="Para1"/>
        <w:numPr>
          <w:ilvl w:val="0"/>
          <w:numId w:val="0"/>
        </w:numPr>
        <w:spacing w:before="0" w:after="0"/>
        <w:ind w:left="1418"/>
        <w:rPr>
          <w:rFonts w:eastAsia="Times New Roman"/>
          <w:szCs w:val="24"/>
          <w:lang w:val="es-ES"/>
        </w:rPr>
      </w:pPr>
    </w:p>
    <w:p w:rsidR="00C901E0" w:rsidRPr="00C901E0" w:rsidRDefault="00C901E0" w:rsidP="00C901E0">
      <w:pPr>
        <w:pStyle w:val="Para1"/>
        <w:tabs>
          <w:tab w:val="clear" w:pos="360"/>
        </w:tabs>
        <w:rPr>
          <w:rFonts w:eastAsia="Times New Roman"/>
          <w:szCs w:val="24"/>
          <w:lang w:val="es-ES"/>
        </w:rPr>
      </w:pPr>
      <w:r w:rsidRPr="00C901E0">
        <w:rPr>
          <w:rFonts w:eastAsia="Times New Roman"/>
          <w:szCs w:val="24"/>
          <w:lang w:val="es-ES"/>
        </w:rPr>
        <w:t>En la séptima sesión plenaria de la reunión, el 28 de noviembre de 2018, la Conferencia de las Partes que actúa como reunión de las Partes examinó el proyecto de decisión CBD/CP/MOP/9/L.11.</w:t>
      </w:r>
    </w:p>
    <w:p w:rsidR="006C5568" w:rsidRPr="00C901E0" w:rsidRDefault="00C901E0" w:rsidP="00C901E0">
      <w:pPr>
        <w:pStyle w:val="Para1"/>
        <w:tabs>
          <w:tab w:val="clear" w:pos="360"/>
        </w:tabs>
        <w:rPr>
          <w:lang w:val="es-ES"/>
        </w:rPr>
      </w:pPr>
      <w:r w:rsidRPr="00C901E0">
        <w:rPr>
          <w:rFonts w:eastAsia="Times New Roman"/>
          <w:szCs w:val="24"/>
          <w:lang w:val="es-ES"/>
        </w:rPr>
        <w:lastRenderedPageBreak/>
        <w:t>La Conferencia de las Partes que actúa como reunión de las Partes adoptó el proyecto de decisión CBD/CP/MOP/9/L.11 como decisión CP-9/1 (véase el texto en el cap. I).</w:t>
      </w:r>
    </w:p>
    <w:p w:rsidR="00495B7A" w:rsidRPr="00C901E0" w:rsidRDefault="00CA0E00" w:rsidP="00237524">
      <w:pPr>
        <w:pStyle w:val="heading2-item0"/>
        <w:ind w:left="1701" w:hanging="992"/>
        <w:jc w:val="left"/>
        <w:rPr>
          <w:lang w:val="es-ES"/>
        </w:rPr>
      </w:pPr>
      <w:bookmarkStart w:id="67" w:name="_Toc879844"/>
      <w:bookmarkStart w:id="68" w:name="_Toc5922096"/>
      <w:r w:rsidRPr="00C901E0">
        <w:rPr>
          <w:lang w:val="es-ES"/>
        </w:rPr>
        <w:t>tem</w:t>
      </w:r>
      <w:r w:rsidR="00901377">
        <w:rPr>
          <w:lang w:val="es-ES"/>
        </w:rPr>
        <w:t>a</w:t>
      </w:r>
      <w:r w:rsidRPr="00C901E0">
        <w:rPr>
          <w:lang w:val="es-ES"/>
        </w:rPr>
        <w:t xml:space="preserve"> </w:t>
      </w:r>
      <w:r w:rsidR="00C20F5D" w:rsidRPr="00C901E0">
        <w:rPr>
          <w:lang w:val="es-ES"/>
        </w:rPr>
        <w:t xml:space="preserve">6. </w:t>
      </w:r>
      <w:r w:rsidR="00C20F5D" w:rsidRPr="00C901E0">
        <w:rPr>
          <w:lang w:val="es-ES"/>
        </w:rPr>
        <w:tab/>
      </w:r>
      <w:bookmarkEnd w:id="67"/>
      <w:r w:rsidR="00901377" w:rsidRPr="00901377">
        <w:rPr>
          <w:lang w:val="es-ES"/>
        </w:rPr>
        <w:t>ADMINISTRACIÓN DEL PROTOCOLO Y EL PRESUPUESTO PARA LOS FONDOS FIDUCIARIOS</w:t>
      </w:r>
      <w:bookmarkEnd w:id="68"/>
    </w:p>
    <w:p w:rsidR="00901377" w:rsidRDefault="00901377" w:rsidP="00901377">
      <w:pPr>
        <w:pStyle w:val="Para1"/>
        <w:tabs>
          <w:tab w:val="clear" w:pos="360"/>
        </w:tabs>
        <w:rPr>
          <w:rFonts w:eastAsia="Times New Roman"/>
          <w:color w:val="000000"/>
          <w:szCs w:val="24"/>
          <w:lang w:val="es-ES"/>
        </w:rPr>
      </w:pPr>
      <w:bookmarkStart w:id="69" w:name="_Hlk530397619"/>
      <w:r>
        <w:rPr>
          <w:rFonts w:eastAsia="Times New Roman"/>
          <w:szCs w:val="24"/>
          <w:lang w:val="es-ES"/>
        </w:rPr>
        <w:t>El tema 6 del programa se comenz</w:t>
      </w:r>
      <w:r w:rsidR="007830A1">
        <w:rPr>
          <w:rFonts w:eastAsia="Times New Roman"/>
          <w:szCs w:val="24"/>
          <w:lang w:val="es-ES"/>
        </w:rPr>
        <w:t>ó a tratar en la segunda sesión</w:t>
      </w:r>
      <w:r>
        <w:rPr>
          <w:rFonts w:eastAsia="Times New Roman"/>
          <w:szCs w:val="24"/>
          <w:lang w:val="es-ES"/>
        </w:rPr>
        <w:t xml:space="preserve"> de la reunión, el 17 de noviembre de 2018. Para examinar este tema, la Conferencia de las Partes que actúa como reunión de las Partes en el Protocolo de Cartagena tuvo ante sí el informe de la Secretaria Ejecutiva sobre la administración del Convenio y los Protocolos de Cartagena y de Nagoya para el</w:t>
      </w:r>
      <w:r>
        <w:rPr>
          <w:rFonts w:eastAsia="Times New Roman"/>
          <w:color w:val="000000"/>
          <w:szCs w:val="24"/>
          <w:lang w:val="es-ES"/>
        </w:rPr>
        <w:t xml:space="preserve"> bienio 2017</w:t>
      </w:r>
      <w:r w:rsidR="00205E39">
        <w:rPr>
          <w:rFonts w:eastAsia="Times New Roman"/>
          <w:color w:val="000000"/>
          <w:szCs w:val="24"/>
          <w:lang w:val="es-ES"/>
        </w:rPr>
        <w:t>-</w:t>
      </w:r>
      <w:r>
        <w:rPr>
          <w:rFonts w:eastAsia="Times New Roman"/>
          <w:color w:val="000000"/>
          <w:szCs w:val="24"/>
          <w:lang w:val="es-ES"/>
        </w:rPr>
        <w:t>2018</w:t>
      </w:r>
      <w:r>
        <w:rPr>
          <w:rFonts w:eastAsia="Times New Roman"/>
          <w:szCs w:val="24"/>
          <w:lang w:val="es-ES"/>
        </w:rPr>
        <w:t xml:space="preserve">, incluido el presupuesto para los fondos fiduciarios (CBD/COP/14/3), el presupuesto propuesto </w:t>
      </w:r>
      <w:r>
        <w:rPr>
          <w:rFonts w:eastAsia="Times New Roman"/>
          <w:color w:val="000000"/>
          <w:szCs w:val="24"/>
          <w:lang w:val="es-ES"/>
        </w:rPr>
        <w:t xml:space="preserve">para el programa de trabajo del Convenio y los Protocolos de </w:t>
      </w:r>
      <w:r>
        <w:rPr>
          <w:rFonts w:eastAsia="Times New Roman"/>
          <w:szCs w:val="24"/>
          <w:lang w:val="es-ES"/>
        </w:rPr>
        <w:t>Cartagena y de Nagoya para</w:t>
      </w:r>
      <w:r>
        <w:rPr>
          <w:rFonts w:eastAsia="Times New Roman"/>
          <w:color w:val="000000"/>
          <w:szCs w:val="24"/>
          <w:lang w:val="es-ES"/>
        </w:rPr>
        <w:t xml:space="preserve"> el bienio 2019</w:t>
      </w:r>
      <w:r w:rsidR="00205E39">
        <w:rPr>
          <w:rFonts w:eastAsia="Times New Roman"/>
          <w:color w:val="000000"/>
          <w:szCs w:val="24"/>
          <w:lang w:val="es-ES"/>
        </w:rPr>
        <w:t>-</w:t>
      </w:r>
      <w:r>
        <w:rPr>
          <w:rFonts w:eastAsia="Times New Roman"/>
          <w:color w:val="000000"/>
          <w:szCs w:val="24"/>
          <w:lang w:val="es-ES"/>
        </w:rPr>
        <w:t>2020</w:t>
      </w:r>
      <w:r>
        <w:rPr>
          <w:rFonts w:eastAsia="Times New Roman"/>
          <w:szCs w:val="24"/>
          <w:lang w:val="es-ES"/>
        </w:rPr>
        <w:t xml:space="preserve"> (CBD/COP/14/4), así como elementos para un proyecto de decisión sobre el tema (</w:t>
      </w:r>
      <w:r>
        <w:rPr>
          <w:rFonts w:eastAsia="Times New Roman"/>
          <w:color w:val="000000"/>
          <w:szCs w:val="24"/>
          <w:lang w:val="es-ES"/>
        </w:rPr>
        <w:t>CBD/COP/14/2), y un documento de inform</w:t>
      </w:r>
      <w:r>
        <w:rPr>
          <w:rFonts w:eastAsia="Times New Roman"/>
          <w:szCs w:val="24"/>
          <w:lang w:val="es-ES"/>
        </w:rPr>
        <w:t>ación sobre la administración del Convenio y el presupuesto de los fondos fiduciarios del Convenio y los Protocolos de Cartagena y de Nagoya (CBD/COP/14/INF/17).</w:t>
      </w:r>
    </w:p>
    <w:p w:rsidR="00901377" w:rsidRDefault="00901377" w:rsidP="00901377">
      <w:pPr>
        <w:pStyle w:val="Para1"/>
        <w:tabs>
          <w:tab w:val="clear" w:pos="360"/>
        </w:tabs>
        <w:rPr>
          <w:rFonts w:eastAsia="Times New Roman"/>
          <w:szCs w:val="24"/>
          <w:lang w:val="es-ES"/>
        </w:rPr>
      </w:pPr>
      <w:r>
        <w:rPr>
          <w:rFonts w:eastAsia="Times New Roman"/>
          <w:szCs w:val="24"/>
          <w:lang w:val="es-ES"/>
        </w:rPr>
        <w:t>Formuló una declaración el representante del Japón.</w:t>
      </w:r>
    </w:p>
    <w:p w:rsidR="00901377" w:rsidRDefault="00901377" w:rsidP="00901377">
      <w:pPr>
        <w:pStyle w:val="Para1"/>
        <w:tabs>
          <w:tab w:val="clear" w:pos="360"/>
        </w:tabs>
        <w:rPr>
          <w:rFonts w:eastAsia="Times New Roman"/>
          <w:szCs w:val="24"/>
          <w:lang w:val="es-ES"/>
        </w:rPr>
      </w:pPr>
      <w:r>
        <w:rPr>
          <w:rFonts w:eastAsia="Times New Roman"/>
          <w:szCs w:val="24"/>
          <w:lang w:val="es-ES"/>
        </w:rPr>
        <w:t xml:space="preserve">La Conferencia de las Partes que actúa como reunión de las Partes en el Protocolo de Cartagena tomó nota de los informes y decidió establecer un grupo de contacto sobre presupuesto encargado de examinar el tema y preparar un proyecto de presupuesto para el programa de trabajo para el bienio 2019-2020, para </w:t>
      </w:r>
      <w:r w:rsidR="007830A1">
        <w:rPr>
          <w:rFonts w:eastAsia="Times New Roman"/>
          <w:szCs w:val="24"/>
          <w:lang w:val="es-ES"/>
        </w:rPr>
        <w:t xml:space="preserve">que fuera </w:t>
      </w:r>
      <w:r>
        <w:rPr>
          <w:rFonts w:eastAsia="Times New Roman"/>
          <w:szCs w:val="24"/>
          <w:lang w:val="es-ES"/>
        </w:rPr>
        <w:t>considerad</w:t>
      </w:r>
      <w:r w:rsidR="007830A1">
        <w:rPr>
          <w:rFonts w:eastAsia="Times New Roman"/>
          <w:szCs w:val="24"/>
          <w:lang w:val="es-ES"/>
        </w:rPr>
        <w:t>o por</w:t>
      </w:r>
      <w:r>
        <w:rPr>
          <w:rFonts w:eastAsia="Times New Roman"/>
          <w:szCs w:val="24"/>
          <w:lang w:val="es-ES"/>
        </w:rPr>
        <w:t xml:space="preserve"> las Partes. Se designó al Sr. Spencer Thomas (Granada) para presidir el grupo de contacto y se </w:t>
      </w:r>
      <w:r w:rsidR="00205E39">
        <w:rPr>
          <w:rFonts w:eastAsia="Times New Roman"/>
          <w:szCs w:val="24"/>
          <w:lang w:val="es-ES"/>
        </w:rPr>
        <w:t>acord</w:t>
      </w:r>
      <w:r>
        <w:rPr>
          <w:rFonts w:eastAsia="Times New Roman"/>
          <w:szCs w:val="24"/>
          <w:lang w:val="es-ES"/>
        </w:rPr>
        <w:t>ó que el grupo estaría abierto a todas las Partes y se reuniría de manera oficiosa a instancias de su presidente. Las reuniones se anunciarán con antelación en el calendario diario de reuniones.</w:t>
      </w:r>
    </w:p>
    <w:p w:rsidR="00901377" w:rsidRDefault="00901377" w:rsidP="00901377">
      <w:pPr>
        <w:pStyle w:val="Para1"/>
        <w:tabs>
          <w:tab w:val="clear" w:pos="360"/>
        </w:tabs>
        <w:rPr>
          <w:rFonts w:eastAsia="Times New Roman"/>
          <w:szCs w:val="24"/>
          <w:lang w:val="es-ES"/>
        </w:rPr>
      </w:pPr>
      <w:r>
        <w:rPr>
          <w:rFonts w:eastAsia="Times New Roman"/>
          <w:szCs w:val="24"/>
          <w:lang w:val="es-ES"/>
        </w:rPr>
        <w:t>En la cuarta sesión plenaria de la reunión, el 22 de noviembre de 2018, y en la quinta sesión plenaria de la reunión, el 25 de noviembre de 2018, la Conferencia de las Partes que actúa como reunión de las Partes</w:t>
      </w:r>
      <w:r w:rsidR="007830A1">
        <w:rPr>
          <w:rFonts w:eastAsia="Times New Roman"/>
          <w:szCs w:val="24"/>
          <w:lang w:val="es-ES"/>
        </w:rPr>
        <w:t xml:space="preserve"> en el Protocolo de Cartagena</w:t>
      </w:r>
      <w:r>
        <w:rPr>
          <w:rFonts w:eastAsia="Times New Roman"/>
          <w:szCs w:val="24"/>
          <w:lang w:val="es-ES"/>
        </w:rPr>
        <w:t xml:space="preserve"> escuchó informes sobre los progresos </w:t>
      </w:r>
      <w:r w:rsidR="00DC4769">
        <w:rPr>
          <w:rFonts w:eastAsia="Times New Roman"/>
          <w:szCs w:val="24"/>
          <w:lang w:val="es-ES"/>
        </w:rPr>
        <w:t>a cargo</w:t>
      </w:r>
      <w:r>
        <w:rPr>
          <w:rFonts w:eastAsia="Times New Roman"/>
          <w:szCs w:val="24"/>
          <w:lang w:val="es-ES"/>
        </w:rPr>
        <w:t xml:space="preserve"> </w:t>
      </w:r>
      <w:r w:rsidR="00DC4769">
        <w:rPr>
          <w:rFonts w:eastAsia="Times New Roman"/>
          <w:szCs w:val="24"/>
          <w:lang w:val="es-ES"/>
        </w:rPr>
        <w:t>de</w:t>
      </w:r>
      <w:r>
        <w:rPr>
          <w:rFonts w:eastAsia="Times New Roman"/>
          <w:szCs w:val="24"/>
          <w:lang w:val="es-ES"/>
        </w:rPr>
        <w:t>l presiden</w:t>
      </w:r>
      <w:r w:rsidR="00DC4769">
        <w:rPr>
          <w:rFonts w:eastAsia="Times New Roman"/>
          <w:szCs w:val="24"/>
          <w:lang w:val="es-ES"/>
        </w:rPr>
        <w:t>te</w:t>
      </w:r>
      <w:r>
        <w:rPr>
          <w:rFonts w:eastAsia="Times New Roman"/>
          <w:szCs w:val="24"/>
          <w:lang w:val="es-ES"/>
        </w:rPr>
        <w:t xml:space="preserve"> del grupo de contacto de composición abierta sobre presupuesto.</w:t>
      </w:r>
    </w:p>
    <w:p w:rsidR="00901377" w:rsidRDefault="00901377" w:rsidP="00901377">
      <w:pPr>
        <w:pStyle w:val="Para1"/>
        <w:tabs>
          <w:tab w:val="clear" w:pos="360"/>
        </w:tabs>
        <w:rPr>
          <w:rFonts w:eastAsia="Times New Roman"/>
          <w:szCs w:val="24"/>
          <w:lang w:val="es-ES"/>
        </w:rPr>
      </w:pPr>
      <w:r>
        <w:rPr>
          <w:rFonts w:eastAsia="Times New Roman"/>
          <w:szCs w:val="24"/>
          <w:lang w:val="es-ES"/>
        </w:rPr>
        <w:t>En la octava sesión plenaria de la reunión, el 29 de noviembre de 2018, la Conferencia de las Partes que actúa como reunión de las Partes en el Protocolo de Cartagena comenzó a tratar el proyecto de decisión CBD/CP/MOP/9/L.17, sobre el presupuesto para el programa de trabajo integrado de la Secretaría.</w:t>
      </w:r>
    </w:p>
    <w:p w:rsidR="00E23785" w:rsidRPr="00C901E0" w:rsidRDefault="00901377" w:rsidP="00901377">
      <w:pPr>
        <w:pStyle w:val="Para1"/>
        <w:tabs>
          <w:tab w:val="clear" w:pos="360"/>
        </w:tabs>
        <w:rPr>
          <w:lang w:val="es-ES"/>
        </w:rPr>
      </w:pPr>
      <w:r>
        <w:rPr>
          <w:rFonts w:eastAsia="Times New Roman"/>
          <w:szCs w:val="24"/>
          <w:lang w:val="es-ES"/>
        </w:rPr>
        <w:t xml:space="preserve">La Conferencia de las Partes que actúa como reunión de las Partes </w:t>
      </w:r>
      <w:r w:rsidR="00E71DA1">
        <w:rPr>
          <w:rFonts w:eastAsia="Times New Roman"/>
          <w:szCs w:val="24"/>
          <w:lang w:val="es-ES"/>
        </w:rPr>
        <w:t xml:space="preserve">en el Protocolo de Cartagena </w:t>
      </w:r>
      <w:r>
        <w:rPr>
          <w:rFonts w:eastAsia="Times New Roman"/>
          <w:szCs w:val="24"/>
          <w:lang w:val="es-ES"/>
        </w:rPr>
        <w:t>adoptó el proyecto de decisión como decisión CP</w:t>
      </w:r>
      <w:r w:rsidR="00E71DA1">
        <w:rPr>
          <w:rFonts w:eastAsia="Times New Roman"/>
          <w:szCs w:val="24"/>
          <w:lang w:val="es-ES"/>
        </w:rPr>
        <w:t>-</w:t>
      </w:r>
      <w:r>
        <w:rPr>
          <w:rFonts w:eastAsia="Times New Roman"/>
          <w:szCs w:val="24"/>
          <w:lang w:val="es-ES"/>
        </w:rPr>
        <w:t>9/16 (véase el texto en el cap. I).</w:t>
      </w:r>
    </w:p>
    <w:p w:rsidR="002255C8" w:rsidRPr="00C901E0" w:rsidRDefault="00CB5BE7" w:rsidP="00237524">
      <w:pPr>
        <w:pStyle w:val="heading2-item0"/>
        <w:ind w:left="1418" w:hanging="992"/>
        <w:jc w:val="left"/>
        <w:rPr>
          <w:lang w:val="es-ES"/>
        </w:rPr>
      </w:pPr>
      <w:bookmarkStart w:id="70" w:name="_Toc879845"/>
      <w:bookmarkStart w:id="71" w:name="_Toc5922097"/>
      <w:bookmarkEnd w:id="69"/>
      <w:r w:rsidRPr="00C901E0">
        <w:rPr>
          <w:lang w:val="es-ES"/>
        </w:rPr>
        <w:t>TEM</w:t>
      </w:r>
      <w:r w:rsidR="00C91D62">
        <w:rPr>
          <w:lang w:val="es-ES"/>
        </w:rPr>
        <w:t>a</w:t>
      </w:r>
      <w:r w:rsidRPr="00C901E0">
        <w:rPr>
          <w:lang w:val="es-ES"/>
        </w:rPr>
        <w:t xml:space="preserve"> 7</w:t>
      </w:r>
      <w:r w:rsidR="002255C8" w:rsidRPr="00C901E0">
        <w:rPr>
          <w:lang w:val="es-ES"/>
        </w:rPr>
        <w:t xml:space="preserve">. </w:t>
      </w:r>
      <w:r w:rsidR="002255C8" w:rsidRPr="00C901E0">
        <w:rPr>
          <w:lang w:val="es-ES"/>
        </w:rPr>
        <w:tab/>
      </w:r>
      <w:bookmarkEnd w:id="70"/>
      <w:r w:rsidR="00C91D62" w:rsidRPr="00C91D62">
        <w:rPr>
          <w:kern w:val="22"/>
          <w:szCs w:val="22"/>
          <w:lang w:val="es-ES"/>
        </w:rPr>
        <w:t>ASUNTOS RELACIONADOS CON EL MECANISMO FINANCIERO Y LOS RECURSOS FINANCIEROS (ARTÍCULO 28)</w:t>
      </w:r>
      <w:bookmarkEnd w:id="71"/>
    </w:p>
    <w:p w:rsidR="00C91D62" w:rsidRDefault="00C91D62" w:rsidP="00C91D62">
      <w:pPr>
        <w:pStyle w:val="Para1"/>
        <w:tabs>
          <w:tab w:val="clear" w:pos="360"/>
        </w:tabs>
        <w:rPr>
          <w:rFonts w:eastAsia="Times New Roman"/>
          <w:szCs w:val="24"/>
          <w:lang w:val="es-ES"/>
        </w:rPr>
      </w:pPr>
      <w:r>
        <w:rPr>
          <w:rFonts w:eastAsia="Times New Roman"/>
          <w:szCs w:val="24"/>
          <w:lang w:val="es-ES"/>
        </w:rPr>
        <w:t xml:space="preserve">El Grupo de Trabajo I comenzó a tratar el tema 7 del programa en su tercera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 xml:space="preserve">ión, el 19 de noviembre de 2018. Para examinar este tema, el Grupo de Trabajo tuvo ante sí el informe del Consejo del FMAM (CBD/COP/14/7) y una nota de la Secretaria Ejecutiva con un resumen de información pertinente sobre el apoyo </w:t>
      </w:r>
      <w:r w:rsidR="00E71DA1">
        <w:rPr>
          <w:rFonts w:eastAsia="Times New Roman"/>
          <w:szCs w:val="24"/>
          <w:lang w:val="es-ES"/>
        </w:rPr>
        <w:t xml:space="preserve">del FMAM </w:t>
      </w:r>
      <w:r>
        <w:rPr>
          <w:rFonts w:eastAsia="Times New Roman"/>
          <w:szCs w:val="24"/>
          <w:lang w:val="es-ES"/>
        </w:rPr>
        <w:t xml:space="preserve">en materia de seguridad de la biotecnología (CBD/CP/MOP/9/12). También tuvo ante sí un proyecto de decisión </w:t>
      </w:r>
      <w:r w:rsidR="00E71DA1">
        <w:rPr>
          <w:rFonts w:eastAsia="Times New Roman"/>
          <w:szCs w:val="24"/>
          <w:lang w:val="es-ES"/>
        </w:rPr>
        <w:t>incluido</w:t>
      </w:r>
      <w:r>
        <w:rPr>
          <w:rFonts w:eastAsia="Times New Roman"/>
          <w:szCs w:val="24"/>
          <w:lang w:val="es-ES"/>
        </w:rPr>
        <w:t xml:space="preserve"> en la recopilación de proyectos de decisión (CBD/CP/MOP/9/1/Add.2).</w:t>
      </w:r>
    </w:p>
    <w:p w:rsidR="00C91D62" w:rsidRDefault="00C91D62" w:rsidP="00C91D62">
      <w:pPr>
        <w:pStyle w:val="Para1"/>
        <w:tabs>
          <w:tab w:val="clear" w:pos="360"/>
        </w:tabs>
        <w:rPr>
          <w:rFonts w:eastAsia="Times New Roman"/>
          <w:szCs w:val="24"/>
          <w:lang w:val="es-ES"/>
        </w:rPr>
      </w:pPr>
      <w:r>
        <w:rPr>
          <w:rFonts w:eastAsia="Times New Roman"/>
          <w:szCs w:val="24"/>
          <w:lang w:val="es-ES"/>
        </w:rPr>
        <w:t>Formularon declaraciones representantes de la India, México y la Unión Europea y sus 28 Estados miembros.</w:t>
      </w:r>
    </w:p>
    <w:p w:rsidR="00C91D62" w:rsidRDefault="00C91D62" w:rsidP="00C91D62">
      <w:pPr>
        <w:pStyle w:val="Para1"/>
        <w:tabs>
          <w:tab w:val="clear" w:pos="360"/>
        </w:tabs>
        <w:rPr>
          <w:rFonts w:eastAsia="Times New Roman"/>
          <w:szCs w:val="24"/>
          <w:lang w:val="es-ES"/>
        </w:rPr>
      </w:pPr>
      <w:r>
        <w:rPr>
          <w:rFonts w:eastAsia="Times New Roman"/>
          <w:szCs w:val="24"/>
          <w:lang w:val="es-ES"/>
        </w:rPr>
        <w:t xml:space="preserve">En su cuarta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19 de noviembre de 2018, el Grupo de Trabajo retomó la consideración del tema.</w:t>
      </w:r>
    </w:p>
    <w:p w:rsidR="00C91D62" w:rsidRDefault="00C91D62" w:rsidP="00C91D62">
      <w:pPr>
        <w:pStyle w:val="Para1"/>
        <w:tabs>
          <w:tab w:val="clear" w:pos="360"/>
        </w:tabs>
        <w:rPr>
          <w:rFonts w:eastAsia="Times New Roman"/>
          <w:szCs w:val="24"/>
          <w:lang w:val="es-ES"/>
        </w:rPr>
      </w:pPr>
      <w:r>
        <w:rPr>
          <w:rFonts w:eastAsia="Times New Roman"/>
          <w:szCs w:val="24"/>
          <w:lang w:val="es-ES"/>
        </w:rPr>
        <w:t>Formularon declaraciones representantes de la República de Corea, Sudáfrica, Uganda (en nombre del Grupo</w:t>
      </w:r>
      <w:r w:rsidR="00E71DA1">
        <w:rPr>
          <w:rFonts w:eastAsia="Times New Roman"/>
          <w:szCs w:val="24"/>
          <w:lang w:val="es-ES"/>
        </w:rPr>
        <w:t xml:space="preserve"> de </w:t>
      </w:r>
      <w:r>
        <w:rPr>
          <w:rFonts w:eastAsia="Times New Roman"/>
          <w:szCs w:val="24"/>
          <w:lang w:val="es-ES"/>
        </w:rPr>
        <w:t>África) y Venezuela (República Bolivariana de).</w:t>
      </w:r>
    </w:p>
    <w:p w:rsidR="00C91D62" w:rsidRDefault="00C91D62" w:rsidP="00C91D62">
      <w:pPr>
        <w:pStyle w:val="Para1"/>
        <w:tabs>
          <w:tab w:val="clear" w:pos="360"/>
        </w:tabs>
        <w:rPr>
          <w:rFonts w:eastAsia="Times New Roman"/>
          <w:szCs w:val="24"/>
          <w:lang w:val="es-ES"/>
        </w:rPr>
      </w:pPr>
      <w:r>
        <w:rPr>
          <w:rFonts w:eastAsia="Times New Roman"/>
          <w:szCs w:val="24"/>
          <w:lang w:val="es-ES"/>
        </w:rPr>
        <w:lastRenderedPageBreak/>
        <w:t>El Presidente dijo que prepararía un proyecto de decisión revisado sobre esta cuestión, tomando en cuenta las opiniones expresadas oralmente y presentadas por escrito.</w:t>
      </w:r>
    </w:p>
    <w:p w:rsidR="00C91D62" w:rsidRDefault="00C91D62" w:rsidP="00C91D62">
      <w:pPr>
        <w:pStyle w:val="Para1"/>
        <w:tabs>
          <w:tab w:val="clear" w:pos="360"/>
        </w:tabs>
        <w:spacing w:before="0" w:after="0"/>
        <w:rPr>
          <w:rFonts w:eastAsia="Times New Roman"/>
          <w:szCs w:val="24"/>
          <w:lang w:val="es-ES"/>
        </w:rPr>
      </w:pPr>
      <w:r>
        <w:rPr>
          <w:rFonts w:eastAsia="Times New Roman"/>
          <w:szCs w:val="24"/>
          <w:lang w:val="es-ES"/>
        </w:rPr>
        <w:t xml:space="preserve">En su novena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22 de noviembre de 2018, el Grupo de Trabajo consideró el proyecto de decisión revisado preparado por el Presidente y lo aprobó para que fuera transmitido a la sesión plenaria como proyecto de decisión CBD/CP/MOP/9/L.3.</w:t>
      </w:r>
    </w:p>
    <w:p w:rsidR="00C91D62" w:rsidRDefault="00C91D62" w:rsidP="00C91D62">
      <w:pPr>
        <w:pStyle w:val="Para1"/>
        <w:tabs>
          <w:tab w:val="clear" w:pos="360"/>
        </w:tabs>
        <w:rPr>
          <w:rFonts w:eastAsia="Times New Roman"/>
          <w:szCs w:val="24"/>
          <w:lang w:val="es-ES"/>
        </w:rPr>
      </w:pPr>
      <w:r>
        <w:rPr>
          <w:rFonts w:eastAsia="Times New Roman"/>
          <w:szCs w:val="24"/>
          <w:lang w:val="es-ES"/>
        </w:rPr>
        <w:t>En la séptima sesión plenaria de la reunión, el 28 de noviembre de 2018, la Conferencia de las Partes que actúa como reunión de las Partes examinó el proyecto de decisión CBD/CP/MOP/9/L.3.</w:t>
      </w:r>
    </w:p>
    <w:p w:rsidR="006C5568" w:rsidRPr="00C901E0" w:rsidRDefault="00C91D62" w:rsidP="00C91D62">
      <w:pPr>
        <w:pStyle w:val="Para1"/>
        <w:rPr>
          <w:lang w:val="es-ES"/>
        </w:rPr>
      </w:pPr>
      <w:r>
        <w:rPr>
          <w:rFonts w:eastAsia="Times New Roman"/>
          <w:szCs w:val="24"/>
          <w:lang w:val="es-ES"/>
        </w:rPr>
        <w:tab/>
        <w:t>La Conferencia de las Partes que actúa como reunión de las Partes en el Protocolo de Cartagena adoptó el proyecto de decisión CBD/CP/MOP/9/L.3 como decisión CP-9/4 (véase el texto en el cap. I).</w:t>
      </w:r>
    </w:p>
    <w:p w:rsidR="00CB5BE7" w:rsidRPr="00C901E0" w:rsidRDefault="00CB5BE7" w:rsidP="00237524">
      <w:pPr>
        <w:pStyle w:val="heading2-item0"/>
        <w:tabs>
          <w:tab w:val="clear" w:pos="720"/>
          <w:tab w:val="left" w:pos="993"/>
        </w:tabs>
        <w:rPr>
          <w:lang w:val="es-ES"/>
        </w:rPr>
      </w:pPr>
      <w:bookmarkStart w:id="72" w:name="_Toc879846"/>
      <w:bookmarkStart w:id="73" w:name="_Toc5922098"/>
      <w:r w:rsidRPr="00C901E0">
        <w:rPr>
          <w:lang w:val="es-ES"/>
        </w:rPr>
        <w:t>TEM</w:t>
      </w:r>
      <w:r w:rsidR="00C91D62">
        <w:rPr>
          <w:lang w:val="es-ES"/>
        </w:rPr>
        <w:t>A</w:t>
      </w:r>
      <w:r w:rsidRPr="00C901E0">
        <w:rPr>
          <w:lang w:val="es-ES"/>
        </w:rPr>
        <w:t xml:space="preserve"> 8. </w:t>
      </w:r>
      <w:r w:rsidRPr="00C901E0">
        <w:rPr>
          <w:lang w:val="es-ES"/>
        </w:rPr>
        <w:tab/>
      </w:r>
      <w:bookmarkEnd w:id="72"/>
      <w:r w:rsidR="00C91D62" w:rsidRPr="00C91D62">
        <w:rPr>
          <w:kern w:val="22"/>
          <w:szCs w:val="22"/>
          <w:lang w:val="es-ES"/>
        </w:rPr>
        <w:t>CREACIÓN DE CAPACIDAD (ARTÍCULO 22)</w:t>
      </w:r>
      <w:bookmarkEnd w:id="73"/>
    </w:p>
    <w:p w:rsidR="00C91D62" w:rsidRDefault="00C91D62" w:rsidP="00C91D62">
      <w:pPr>
        <w:pStyle w:val="Para1"/>
        <w:tabs>
          <w:tab w:val="clear" w:pos="360"/>
        </w:tabs>
        <w:rPr>
          <w:rFonts w:eastAsia="Times New Roman"/>
          <w:szCs w:val="24"/>
          <w:lang w:val="es-ES"/>
        </w:rPr>
      </w:pPr>
      <w:r>
        <w:rPr>
          <w:rFonts w:eastAsia="Times New Roman"/>
          <w:szCs w:val="24"/>
          <w:lang w:val="es-ES"/>
        </w:rPr>
        <w:t xml:space="preserve">El Grupo de Trabajo I comenzó a tratar el tema 8 del programa en su cuarta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19 de noviembre de 2018. Para examinar este tema, el Grupo de Trabajo tuvo ante sí una nota de la Secretaria Ejecutiva sobre creación de capacidad (CBD/CP/MOP/9/3); el informe de la 12ª reunión del Grupo de Enlace sobre Creación de Capacidad para Seguridad de la Biotecnología (CBD/CP/LG-CB/12/3); una síntesis de los aportes sobre el estado de implementación del Marco y Plan de Acción de Creación de Capacidad para la Aplicación Efectiva del Protocolo de Cartagena sobre Seguridad de la Biotecnología (CBD/CP/MOP/9/INF/1); y un informe sobre los progresos alcanzados en la implementación del Plan de Acción a Corto Plazo para Mejorar y Apoyar la Creación de Capacidad para la Aplicación del Convenio y sus Protocolos (CBD/COP/14/INF/10). También tuvo ante sí un proyecto de decisión incluido en la recopilación de proyectos de decisión (CBD/CP/MOP/9/1/Add.2). Los párrafos 1 y 7 a 11 del proyecto de decisión se tomaron de la recomendación SBI-2/8, parte III, mientras que los párrafos 2 a 6 y 12 y 13 se extrajeron de las conclusiones expuestas en el informe del Grupo de Enlace.</w:t>
      </w:r>
    </w:p>
    <w:p w:rsidR="00C91D62" w:rsidRDefault="00C91D62" w:rsidP="00C91D62">
      <w:pPr>
        <w:pStyle w:val="Para1"/>
        <w:tabs>
          <w:tab w:val="clear" w:pos="360"/>
        </w:tabs>
        <w:rPr>
          <w:rFonts w:eastAsia="Times New Roman"/>
          <w:szCs w:val="24"/>
          <w:lang w:val="es-ES"/>
        </w:rPr>
      </w:pPr>
      <w:r>
        <w:rPr>
          <w:rFonts w:eastAsia="Times New Roman"/>
          <w:szCs w:val="24"/>
          <w:lang w:val="es-ES"/>
        </w:rPr>
        <w:t>Formularon declaraciones representantes de Colombia, la India, Kenya, Malasia, Maldivas, México, Nueva Zelandia, la República Centroafricana, Sudáfrica, Tailandia y la Unión Europea y sus 28 Estados miembros.</w:t>
      </w:r>
    </w:p>
    <w:p w:rsidR="00C91D62" w:rsidRDefault="00C91D62" w:rsidP="00C91D62">
      <w:pPr>
        <w:pStyle w:val="Para1"/>
        <w:tabs>
          <w:tab w:val="clear" w:pos="360"/>
        </w:tabs>
        <w:spacing w:before="0" w:after="0"/>
        <w:rPr>
          <w:rFonts w:eastAsia="Times New Roman"/>
          <w:szCs w:val="24"/>
          <w:lang w:val="es-ES"/>
        </w:rPr>
      </w:pPr>
      <w:r>
        <w:rPr>
          <w:rFonts w:eastAsia="Times New Roman"/>
          <w:szCs w:val="24"/>
          <w:lang w:val="es-ES"/>
        </w:rPr>
        <w:t>Formuló también una declaración un representante de la Argentina.</w:t>
      </w:r>
    </w:p>
    <w:p w:rsidR="00C91D62" w:rsidRDefault="00E71DA1" w:rsidP="00C91D62">
      <w:pPr>
        <w:pStyle w:val="Para1"/>
        <w:tabs>
          <w:tab w:val="clear" w:pos="360"/>
        </w:tabs>
        <w:rPr>
          <w:rFonts w:eastAsia="Times New Roman"/>
          <w:szCs w:val="24"/>
          <w:lang w:val="es-ES"/>
        </w:rPr>
      </w:pPr>
      <w:r>
        <w:rPr>
          <w:rFonts w:eastAsia="Times New Roman"/>
          <w:szCs w:val="24"/>
          <w:lang w:val="es-ES"/>
        </w:rPr>
        <w:t>Un</w:t>
      </w:r>
      <w:r w:rsidR="00C91D62">
        <w:rPr>
          <w:rFonts w:eastAsia="Times New Roman"/>
          <w:szCs w:val="24"/>
          <w:lang w:val="es-ES"/>
        </w:rPr>
        <w:t xml:space="preserve"> representante de la Red del Tercer Mundo formuló asimismo una declaración.</w:t>
      </w:r>
    </w:p>
    <w:p w:rsidR="00C91D62" w:rsidRDefault="00C91D62" w:rsidP="00C91D62">
      <w:pPr>
        <w:pStyle w:val="Para1"/>
        <w:tabs>
          <w:tab w:val="clear" w:pos="360"/>
        </w:tabs>
        <w:rPr>
          <w:rFonts w:eastAsia="Times New Roman"/>
          <w:szCs w:val="24"/>
          <w:lang w:val="es-ES"/>
        </w:rPr>
      </w:pPr>
      <w:r>
        <w:rPr>
          <w:rFonts w:eastAsia="Times New Roman"/>
          <w:szCs w:val="24"/>
          <w:lang w:val="es-ES"/>
        </w:rPr>
        <w:t>El Presidente dijo que prepararía un proyecto de decisión revisado sobre esta cuestión, tomando en cuenta las opiniones expresadas oralmente y presentadas por escrito.</w:t>
      </w:r>
    </w:p>
    <w:p w:rsidR="00C91D62" w:rsidRDefault="00C91D62" w:rsidP="00C91D62">
      <w:pPr>
        <w:pStyle w:val="Para1"/>
        <w:tabs>
          <w:tab w:val="clear" w:pos="360"/>
        </w:tabs>
        <w:rPr>
          <w:rFonts w:eastAsia="Times New Roman"/>
          <w:szCs w:val="24"/>
          <w:lang w:val="es-ES"/>
        </w:rPr>
      </w:pPr>
      <w:r>
        <w:rPr>
          <w:rFonts w:eastAsia="Times New Roman"/>
          <w:szCs w:val="24"/>
          <w:lang w:val="es-ES"/>
        </w:rPr>
        <w:t xml:space="preserve">En su décima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25 de noviembre de 2018, el Grupo de Trabajo examinó un proyecto de decisión revisado preparado por el Presidente y lo aprobó para que fuera transmitido a la sesión plenaria como proyecto de decisión CBD/CP/MOP/9/L.10.</w:t>
      </w:r>
    </w:p>
    <w:p w:rsidR="00C91D62" w:rsidRDefault="00C91D62" w:rsidP="00C91D62">
      <w:pPr>
        <w:pStyle w:val="Para1"/>
        <w:tabs>
          <w:tab w:val="clear" w:pos="360"/>
        </w:tabs>
        <w:rPr>
          <w:rFonts w:eastAsia="Times New Roman"/>
          <w:szCs w:val="24"/>
          <w:lang w:val="es-ES"/>
        </w:rPr>
      </w:pPr>
      <w:r>
        <w:rPr>
          <w:rFonts w:eastAsia="Times New Roman"/>
          <w:szCs w:val="24"/>
          <w:lang w:val="es-ES"/>
        </w:rPr>
        <w:t>En la séptima sesión plenaria de la reunión, el 28 de noviembre de 2018, la Conferencia de las Partes que actúa como reunión de las Partes en el Protocolo de Cartagena examinó el proyecto de decisión CBD/CP/MOP/9/L.10.</w:t>
      </w:r>
    </w:p>
    <w:p w:rsidR="006C5568" w:rsidRPr="00C901E0" w:rsidRDefault="00C91D62" w:rsidP="00C91D62">
      <w:pPr>
        <w:pStyle w:val="Para1"/>
        <w:tabs>
          <w:tab w:val="clear" w:pos="360"/>
        </w:tabs>
        <w:rPr>
          <w:lang w:val="es-ES"/>
        </w:rPr>
      </w:pPr>
      <w:r>
        <w:rPr>
          <w:rFonts w:eastAsia="Times New Roman"/>
          <w:szCs w:val="24"/>
          <w:lang w:val="es-ES"/>
        </w:rPr>
        <w:t>La Conferencia de las Partes que actúa como reunión de las Partes en el Protocolo de Cartagena adoptó el proyecto de decisión CBD/CP/MOP/9/L.10 como decisión CP-9/3 (véase el texto en el cap. I).</w:t>
      </w:r>
    </w:p>
    <w:p w:rsidR="00CB5BE7" w:rsidRPr="00C901E0" w:rsidRDefault="00CB5BE7" w:rsidP="00237524">
      <w:pPr>
        <w:pStyle w:val="heading2-item0"/>
        <w:tabs>
          <w:tab w:val="clear" w:pos="720"/>
        </w:tabs>
        <w:ind w:left="1560" w:hanging="993"/>
        <w:jc w:val="left"/>
        <w:rPr>
          <w:lang w:val="es-ES"/>
        </w:rPr>
      </w:pPr>
      <w:bookmarkStart w:id="74" w:name="_Toc879847"/>
      <w:bookmarkStart w:id="75" w:name="_Toc5922099"/>
      <w:r w:rsidRPr="00C901E0">
        <w:rPr>
          <w:lang w:val="es-ES"/>
        </w:rPr>
        <w:t>TEM</w:t>
      </w:r>
      <w:r w:rsidR="00EB6EB5">
        <w:rPr>
          <w:lang w:val="es-ES"/>
        </w:rPr>
        <w:t>A</w:t>
      </w:r>
      <w:r w:rsidRPr="00C901E0">
        <w:rPr>
          <w:lang w:val="es-ES"/>
        </w:rPr>
        <w:t xml:space="preserve"> 9.</w:t>
      </w:r>
      <w:r w:rsidRPr="00C901E0">
        <w:rPr>
          <w:lang w:val="es-ES"/>
        </w:rPr>
        <w:tab/>
      </w:r>
      <w:bookmarkEnd w:id="74"/>
      <w:r w:rsidR="00EB6EB5" w:rsidRPr="00EB6EB5">
        <w:rPr>
          <w:kern w:val="22"/>
          <w:szCs w:val="22"/>
          <w:lang w:val="es-ES"/>
        </w:rPr>
        <w:t>FUNCIONAMIENTO Y ACTIVIDADES DEL CENTRO DE INTERCAMBIO DE INFORMACIÓN SOBRE SEGURIDAD DE LA BIOTECNOLOGÍA (ARTÍCULO 20)</w:t>
      </w:r>
      <w:bookmarkEnd w:id="75"/>
    </w:p>
    <w:p w:rsidR="006402FF" w:rsidRDefault="006402FF" w:rsidP="006402FF">
      <w:pPr>
        <w:pStyle w:val="Para1"/>
        <w:tabs>
          <w:tab w:val="clear" w:pos="360"/>
        </w:tabs>
        <w:spacing w:before="0" w:after="0"/>
        <w:rPr>
          <w:rFonts w:eastAsia="Times New Roman"/>
          <w:szCs w:val="24"/>
          <w:lang w:val="es-ES"/>
        </w:rPr>
      </w:pPr>
      <w:r>
        <w:rPr>
          <w:rFonts w:eastAsia="Times New Roman"/>
          <w:szCs w:val="24"/>
          <w:lang w:val="es-ES"/>
        </w:rPr>
        <w:t xml:space="preserve">El Grupo de Trabajo I comenzó a tratar el tema 9 del programa en su cuarta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19 de noviembre de 2018.</w:t>
      </w:r>
      <w:r>
        <w:rPr>
          <w:rFonts w:eastAsia="Times New Roman"/>
          <w:szCs w:val="24"/>
        </w:rPr>
        <w:t xml:space="preserve"> </w:t>
      </w:r>
      <w:r>
        <w:rPr>
          <w:rFonts w:eastAsia="Times New Roman"/>
          <w:szCs w:val="24"/>
          <w:lang w:val="es-ES"/>
        </w:rPr>
        <w:t xml:space="preserve">Para examinar este tema, tuvo ante sí una nota de la Secretaria Ejecutiva sobre el funcionamiento y las actividades del Centro de Intercambio de Información sobre Seguridad de la Biotecnología (CBD/CP/MOP/9/4), </w:t>
      </w:r>
      <w:r w:rsidR="009C296D">
        <w:rPr>
          <w:rFonts w:eastAsia="Times New Roman"/>
          <w:szCs w:val="24"/>
          <w:lang w:val="es-ES"/>
        </w:rPr>
        <w:t xml:space="preserve">que incluía </w:t>
      </w:r>
      <w:r>
        <w:rPr>
          <w:rFonts w:eastAsia="Times New Roman"/>
          <w:szCs w:val="24"/>
          <w:lang w:val="es-ES"/>
        </w:rPr>
        <w:t xml:space="preserve">modalidades de funcionamiento conjunto </w:t>
      </w:r>
      <w:r w:rsidR="009C296D">
        <w:rPr>
          <w:rFonts w:eastAsia="Times New Roman"/>
          <w:szCs w:val="24"/>
          <w:lang w:val="es-ES"/>
        </w:rPr>
        <w:t xml:space="preserve">para </w:t>
      </w:r>
      <w:r>
        <w:rPr>
          <w:rFonts w:eastAsia="Times New Roman"/>
          <w:szCs w:val="24"/>
          <w:lang w:val="es-ES"/>
        </w:rPr>
        <w:t xml:space="preserve">el mecanismo de facilitación central, el Centro de Intercambio de Información sobre Seguridad de la </w:t>
      </w:r>
      <w:r>
        <w:rPr>
          <w:rFonts w:eastAsia="Times New Roman"/>
          <w:szCs w:val="24"/>
          <w:lang w:val="es-ES"/>
        </w:rPr>
        <w:lastRenderedPageBreak/>
        <w:t>Biotecnología y el Centro de Intercambio de Información sobre Acceso y Participación en los Beneficios, expuestas en el anexo de la nota de la Secretaria Ejecutiva. El Grupo de Trabajo también tuvo ante sí un proyecto de decisión tomado de la nota de la Secretaria Ejecutiva, que se incluyó en la recopilación de proyectos de decisión en el documento CBD/CP/MOP/9/1/Add.1.</w:t>
      </w:r>
    </w:p>
    <w:p w:rsidR="006402FF" w:rsidRDefault="006402FF" w:rsidP="006402FF">
      <w:pPr>
        <w:pStyle w:val="Para1"/>
        <w:tabs>
          <w:tab w:val="clear" w:pos="360"/>
        </w:tabs>
        <w:rPr>
          <w:rFonts w:eastAsia="Times New Roman"/>
          <w:szCs w:val="24"/>
          <w:lang w:val="es-ES"/>
        </w:rPr>
      </w:pPr>
      <w:r>
        <w:rPr>
          <w:rFonts w:eastAsia="Times New Roman"/>
          <w:szCs w:val="24"/>
          <w:lang w:val="es-ES"/>
        </w:rPr>
        <w:t>Formularon declaraciones representantes de la India, Jordania, Noruega, Sudáfrica, Tailandia y la Unión Europea y sus 28 Estados miembros.</w:t>
      </w:r>
    </w:p>
    <w:p w:rsidR="006402FF" w:rsidRDefault="006402FF" w:rsidP="006402FF">
      <w:pPr>
        <w:pStyle w:val="Para1"/>
        <w:tabs>
          <w:tab w:val="clear" w:pos="360"/>
        </w:tabs>
        <w:rPr>
          <w:rFonts w:eastAsia="Times New Roman"/>
          <w:szCs w:val="24"/>
          <w:lang w:val="es-ES"/>
        </w:rPr>
      </w:pPr>
      <w:r>
        <w:rPr>
          <w:rFonts w:eastAsia="Times New Roman"/>
          <w:szCs w:val="24"/>
          <w:lang w:val="es-ES"/>
        </w:rPr>
        <w:t xml:space="preserve">Formuló también una declaración </w:t>
      </w:r>
      <w:r w:rsidR="009C296D">
        <w:rPr>
          <w:rFonts w:eastAsia="Times New Roman"/>
          <w:szCs w:val="24"/>
          <w:lang w:val="es-ES"/>
        </w:rPr>
        <w:t>un</w:t>
      </w:r>
      <w:r>
        <w:rPr>
          <w:rFonts w:eastAsia="Times New Roman"/>
          <w:szCs w:val="24"/>
          <w:lang w:val="es-ES"/>
        </w:rPr>
        <w:t xml:space="preserve"> representante del Canadá.</w:t>
      </w:r>
    </w:p>
    <w:p w:rsidR="006402FF" w:rsidRDefault="006402FF" w:rsidP="006402FF">
      <w:pPr>
        <w:pStyle w:val="Para1"/>
        <w:tabs>
          <w:tab w:val="clear" w:pos="360"/>
        </w:tabs>
        <w:rPr>
          <w:rFonts w:eastAsia="Times New Roman"/>
          <w:szCs w:val="24"/>
          <w:lang w:val="es-ES"/>
        </w:rPr>
      </w:pPr>
      <w:r>
        <w:rPr>
          <w:rFonts w:eastAsia="Times New Roman"/>
          <w:szCs w:val="24"/>
          <w:lang w:val="es-ES"/>
        </w:rPr>
        <w:t xml:space="preserve">El Grupo de trabajo retomó la consideración de este tema del programa en su quinta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20 de noviembre de 2018.</w:t>
      </w:r>
    </w:p>
    <w:p w:rsidR="006402FF" w:rsidRDefault="006402FF" w:rsidP="006402FF">
      <w:pPr>
        <w:pStyle w:val="Para1"/>
        <w:tabs>
          <w:tab w:val="clear" w:pos="360"/>
        </w:tabs>
        <w:rPr>
          <w:rFonts w:eastAsia="Times New Roman"/>
          <w:szCs w:val="24"/>
          <w:lang w:val="es-ES"/>
        </w:rPr>
      </w:pPr>
      <w:r>
        <w:rPr>
          <w:rFonts w:eastAsia="Times New Roman"/>
          <w:szCs w:val="24"/>
          <w:lang w:val="es-ES"/>
        </w:rPr>
        <w:t xml:space="preserve">Formularon declaraciones representantes de Bahrein, Côte d’Ivoire, Gambia, Ghana, Guatemala, Jordania, Malasia, Marruecos, México, el Níger, Noruega, </w:t>
      </w:r>
      <w:r w:rsidR="00167AF7">
        <w:rPr>
          <w:rFonts w:eastAsia="Times New Roman"/>
          <w:szCs w:val="24"/>
          <w:lang w:val="es-ES"/>
        </w:rPr>
        <w:t xml:space="preserve">Nueva Zelandia, </w:t>
      </w:r>
      <w:r>
        <w:rPr>
          <w:rFonts w:eastAsia="Times New Roman"/>
          <w:szCs w:val="24"/>
          <w:lang w:val="es-ES"/>
        </w:rPr>
        <w:t>el Perú, la República de Corea, la República Unida de Tanzanía, Sudáfrica, Uganda y la Unión Europea y sus 28 Estados miembros.</w:t>
      </w:r>
    </w:p>
    <w:p w:rsidR="006402FF" w:rsidRDefault="006402FF" w:rsidP="006402FF">
      <w:pPr>
        <w:pStyle w:val="Para1"/>
        <w:tabs>
          <w:tab w:val="clear" w:pos="360"/>
        </w:tabs>
        <w:spacing w:before="0" w:after="0"/>
        <w:rPr>
          <w:rFonts w:eastAsia="Times New Roman"/>
          <w:szCs w:val="24"/>
          <w:lang w:val="es-ES"/>
        </w:rPr>
      </w:pPr>
      <w:r>
        <w:rPr>
          <w:rFonts w:eastAsia="Times New Roman"/>
          <w:szCs w:val="24"/>
          <w:lang w:val="es-ES"/>
        </w:rPr>
        <w:t>Formuló otra declaración un representante de la Argentina.</w:t>
      </w:r>
    </w:p>
    <w:p w:rsidR="006402FF" w:rsidRDefault="00167AF7" w:rsidP="006402FF">
      <w:pPr>
        <w:pStyle w:val="Para1"/>
        <w:tabs>
          <w:tab w:val="clear" w:pos="360"/>
        </w:tabs>
        <w:rPr>
          <w:rFonts w:eastAsia="Times New Roman"/>
          <w:szCs w:val="24"/>
          <w:lang w:val="es-ES"/>
        </w:rPr>
      </w:pPr>
      <w:r>
        <w:rPr>
          <w:rFonts w:eastAsia="Times New Roman"/>
          <w:szCs w:val="24"/>
          <w:lang w:val="es-ES"/>
        </w:rPr>
        <w:t>También formuló una declaración u</w:t>
      </w:r>
      <w:r w:rsidR="006402FF">
        <w:rPr>
          <w:rFonts w:eastAsia="Times New Roman"/>
          <w:szCs w:val="24"/>
          <w:lang w:val="es-ES"/>
        </w:rPr>
        <w:t>n representante del Servicio Internacional para la Adquisición de Aplicaciones Agrobiotecnológicas (ISAAA).</w:t>
      </w:r>
    </w:p>
    <w:p w:rsidR="006402FF" w:rsidRDefault="006402FF" w:rsidP="006402FF">
      <w:pPr>
        <w:pStyle w:val="Para1"/>
        <w:tabs>
          <w:tab w:val="clear" w:pos="360"/>
        </w:tabs>
        <w:rPr>
          <w:rFonts w:eastAsia="Times New Roman"/>
          <w:szCs w:val="24"/>
          <w:lang w:val="es-ES"/>
        </w:rPr>
      </w:pPr>
      <w:r>
        <w:rPr>
          <w:rFonts w:eastAsia="Times New Roman"/>
          <w:szCs w:val="24"/>
          <w:lang w:val="es-ES"/>
        </w:rPr>
        <w:t xml:space="preserve">Tras las deliberaciones, el Presidente </w:t>
      </w:r>
      <w:r w:rsidR="00167AF7">
        <w:rPr>
          <w:rFonts w:eastAsia="Times New Roman"/>
          <w:szCs w:val="24"/>
          <w:lang w:val="es-ES"/>
        </w:rPr>
        <w:t>anunció</w:t>
      </w:r>
      <w:r>
        <w:rPr>
          <w:rFonts w:eastAsia="Times New Roman"/>
          <w:szCs w:val="24"/>
          <w:lang w:val="es-ES"/>
        </w:rPr>
        <w:t xml:space="preserve"> que prepararía un proyecto de decisión revisado para </w:t>
      </w:r>
      <w:r w:rsidR="00167AF7">
        <w:rPr>
          <w:rFonts w:eastAsia="Times New Roman"/>
          <w:szCs w:val="24"/>
          <w:lang w:val="es-ES"/>
        </w:rPr>
        <w:t xml:space="preserve">que fuera </w:t>
      </w:r>
      <w:r>
        <w:rPr>
          <w:rFonts w:eastAsia="Times New Roman"/>
          <w:szCs w:val="24"/>
          <w:lang w:val="es-ES"/>
        </w:rPr>
        <w:t>considera</w:t>
      </w:r>
      <w:r w:rsidR="00167AF7">
        <w:rPr>
          <w:rFonts w:eastAsia="Times New Roman"/>
          <w:szCs w:val="24"/>
          <w:lang w:val="es-ES"/>
        </w:rPr>
        <w:t>do</w:t>
      </w:r>
      <w:r>
        <w:rPr>
          <w:rFonts w:eastAsia="Times New Roman"/>
          <w:szCs w:val="24"/>
          <w:lang w:val="es-ES"/>
        </w:rPr>
        <w:t xml:space="preserve"> por el Grupo de Trabajo.</w:t>
      </w:r>
    </w:p>
    <w:p w:rsidR="006402FF" w:rsidRDefault="006402FF" w:rsidP="006402FF">
      <w:pPr>
        <w:pStyle w:val="Para1"/>
        <w:tabs>
          <w:tab w:val="clear" w:pos="360"/>
        </w:tabs>
        <w:rPr>
          <w:rFonts w:eastAsia="Times New Roman"/>
          <w:szCs w:val="24"/>
          <w:lang w:val="es-ES"/>
        </w:rPr>
      </w:pPr>
      <w:r>
        <w:rPr>
          <w:rFonts w:eastAsia="Times New Roman"/>
          <w:szCs w:val="24"/>
          <w:lang w:val="es-ES"/>
        </w:rPr>
        <w:t xml:space="preserve">En su décima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25 de noviembre de 2018, el Grupo de Trabajo consideró un proyecto de decisión revisado presentado por el Presidente.</w:t>
      </w:r>
    </w:p>
    <w:p w:rsidR="006402FF" w:rsidRDefault="006402FF" w:rsidP="006402FF">
      <w:pPr>
        <w:pStyle w:val="Para1"/>
        <w:tabs>
          <w:tab w:val="clear" w:pos="360"/>
        </w:tabs>
        <w:rPr>
          <w:rFonts w:eastAsia="Times New Roman"/>
          <w:szCs w:val="24"/>
          <w:lang w:val="es-ES"/>
        </w:rPr>
      </w:pPr>
      <w:r>
        <w:rPr>
          <w:rFonts w:eastAsia="Times New Roman"/>
          <w:szCs w:val="24"/>
          <w:lang w:val="es-ES"/>
        </w:rPr>
        <w:t>Formularon declaraciones representantes de México y la Unión Europea y sus 28 Estados miembros.</w:t>
      </w:r>
    </w:p>
    <w:p w:rsidR="006402FF" w:rsidRDefault="006402FF" w:rsidP="006402FF">
      <w:pPr>
        <w:pStyle w:val="Para1"/>
        <w:tabs>
          <w:tab w:val="clear" w:pos="360"/>
        </w:tabs>
        <w:rPr>
          <w:rFonts w:eastAsia="Times New Roman"/>
          <w:szCs w:val="24"/>
          <w:lang w:val="es-ES"/>
        </w:rPr>
      </w:pPr>
      <w:r>
        <w:rPr>
          <w:rFonts w:eastAsia="Times New Roman"/>
          <w:szCs w:val="24"/>
          <w:lang w:val="es-ES"/>
        </w:rPr>
        <w:t>El Grupo de Trabajo aprobó el proyecto de decisión revisado, con las enmiendas efectuadas oralmente, para que fuera transmitido a la sesión plenaria como proyecto de decisión CBD/CP/MOP/9/L.8.</w:t>
      </w:r>
    </w:p>
    <w:p w:rsidR="006402FF" w:rsidRDefault="006402FF" w:rsidP="006402FF">
      <w:pPr>
        <w:pStyle w:val="Para1"/>
        <w:tabs>
          <w:tab w:val="clear" w:pos="360"/>
        </w:tabs>
        <w:spacing w:before="0" w:after="0"/>
        <w:rPr>
          <w:rFonts w:eastAsia="Times New Roman"/>
          <w:szCs w:val="24"/>
          <w:lang w:val="es-ES"/>
        </w:rPr>
      </w:pPr>
      <w:r>
        <w:rPr>
          <w:rFonts w:eastAsia="Times New Roman"/>
          <w:szCs w:val="24"/>
          <w:lang w:val="es-ES"/>
        </w:rPr>
        <w:t>En la séptima sesión plenaria de la reunión, el 28 de noviembre de 2018, la Conferencia de las Partes que actúa como reunión de las Partes en el Protocolo de Cartagena examinó el proyecto de decisión CBD/CP/MOP/9/L.8.</w:t>
      </w:r>
    </w:p>
    <w:p w:rsidR="006C5568" w:rsidRPr="00C901E0" w:rsidRDefault="006402FF" w:rsidP="006402FF">
      <w:pPr>
        <w:pStyle w:val="Para1"/>
        <w:tabs>
          <w:tab w:val="clear" w:pos="360"/>
        </w:tabs>
        <w:rPr>
          <w:lang w:val="es-ES"/>
        </w:rPr>
      </w:pPr>
      <w:r>
        <w:rPr>
          <w:rFonts w:eastAsia="Times New Roman"/>
          <w:szCs w:val="24"/>
          <w:lang w:val="es-ES"/>
        </w:rPr>
        <w:t>La Conferencia de las Partes que actúa como reunión de las Partes</w:t>
      </w:r>
      <w:r w:rsidR="00167AF7" w:rsidRPr="00167AF7">
        <w:rPr>
          <w:rFonts w:eastAsia="Times New Roman"/>
          <w:szCs w:val="24"/>
          <w:lang w:val="es-ES"/>
        </w:rPr>
        <w:t xml:space="preserve"> </w:t>
      </w:r>
      <w:r>
        <w:rPr>
          <w:rFonts w:eastAsia="Times New Roman"/>
          <w:szCs w:val="24"/>
          <w:lang w:val="es-ES"/>
        </w:rPr>
        <w:t>adoptó el proyecto de decisión CBD/CP/MOP/9/L.8 como decisión CP-9/2 (véase el texto en el cap. I).</w:t>
      </w:r>
    </w:p>
    <w:p w:rsidR="00CB5BE7" w:rsidRPr="00C901E0" w:rsidRDefault="00CB5BE7" w:rsidP="00237524">
      <w:pPr>
        <w:pStyle w:val="heading2-item0"/>
        <w:ind w:left="1985" w:hanging="1418"/>
        <w:jc w:val="left"/>
        <w:rPr>
          <w:szCs w:val="22"/>
          <w:lang w:val="es-ES"/>
        </w:rPr>
      </w:pPr>
      <w:bookmarkStart w:id="76" w:name="_Toc879848"/>
      <w:bookmarkStart w:id="77" w:name="_Toc5922100"/>
      <w:r w:rsidRPr="00C901E0">
        <w:rPr>
          <w:szCs w:val="22"/>
          <w:lang w:val="es-ES"/>
        </w:rPr>
        <w:t>TEM</w:t>
      </w:r>
      <w:r w:rsidR="006402FF">
        <w:rPr>
          <w:szCs w:val="22"/>
          <w:lang w:val="es-ES"/>
        </w:rPr>
        <w:t>a</w:t>
      </w:r>
      <w:r w:rsidRPr="00C901E0">
        <w:rPr>
          <w:szCs w:val="22"/>
          <w:lang w:val="es-ES"/>
        </w:rPr>
        <w:t xml:space="preserve"> 10.</w:t>
      </w:r>
      <w:r w:rsidRPr="00C901E0">
        <w:rPr>
          <w:szCs w:val="22"/>
          <w:lang w:val="es-ES"/>
        </w:rPr>
        <w:tab/>
      </w:r>
      <w:bookmarkEnd w:id="76"/>
      <w:r w:rsidR="007168FC" w:rsidRPr="007168FC">
        <w:rPr>
          <w:szCs w:val="22"/>
          <w:lang w:val="es-ES"/>
        </w:rPr>
        <w:t>VIGILANCIA Y PRESENTACIÓN DE INFORMES (ARTÍCULO 33) Y EVALUACIÓN Y REVISIÓN DE LA EFICACIA DEL PROTOCOLO (ARTÍCULO 35)</w:t>
      </w:r>
      <w:bookmarkEnd w:id="77"/>
    </w:p>
    <w:p w:rsidR="0079069E" w:rsidRPr="00C901E0" w:rsidRDefault="007168FC" w:rsidP="00167AF7">
      <w:pPr>
        <w:suppressLineNumbers/>
        <w:suppressAutoHyphens/>
        <w:kinsoku w:val="0"/>
        <w:overflowPunct w:val="0"/>
        <w:autoSpaceDE w:val="0"/>
        <w:autoSpaceDN w:val="0"/>
        <w:snapToGrid w:val="0"/>
        <w:spacing w:before="120" w:after="120"/>
        <w:jc w:val="both"/>
        <w:rPr>
          <w:snapToGrid w:val="0"/>
          <w:kern w:val="22"/>
          <w:sz w:val="22"/>
          <w:szCs w:val="22"/>
          <w:lang w:val="es-ES"/>
        </w:rPr>
      </w:pPr>
      <w:r w:rsidRPr="007168FC">
        <w:rPr>
          <w:i/>
          <w:snapToGrid w:val="0"/>
          <w:kern w:val="22"/>
          <w:sz w:val="22"/>
          <w:szCs w:val="22"/>
          <w:lang w:val="es-ES"/>
        </w:rPr>
        <w:t>Cuarta evaluación y revisión de la eficacia del Protocolo de Cartagena y evaluación final del Plan Estratégico para el Protocolo de Cartagena en el período 2011-2020</w:t>
      </w:r>
    </w:p>
    <w:p w:rsidR="007168FC" w:rsidRDefault="007168FC" w:rsidP="007168FC">
      <w:pPr>
        <w:pStyle w:val="Para1"/>
        <w:tabs>
          <w:tab w:val="clear" w:pos="360"/>
        </w:tabs>
        <w:rPr>
          <w:rFonts w:eastAsia="Times New Roman"/>
          <w:szCs w:val="24"/>
          <w:lang w:val="es-ES"/>
        </w:rPr>
      </w:pPr>
      <w:r>
        <w:rPr>
          <w:rFonts w:eastAsia="Times New Roman"/>
          <w:szCs w:val="24"/>
          <w:lang w:val="es-ES"/>
        </w:rPr>
        <w:t xml:space="preserve">El Grupo de Trabajo I comenzó a tratar el primer aspecto del tema 10 del programa en su quinta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20 de noviembre de 2018. Para examinar este tema, el Grupo de Trabajo tuvo ante sí un proyecto de decisión basado en la recomendación SBI-2/12, que figura en la recopilación de proyectos de decisión (CBD/CP/MOP/9/1/Add.2).</w:t>
      </w:r>
    </w:p>
    <w:p w:rsidR="007168FC" w:rsidRDefault="007168FC" w:rsidP="007168FC">
      <w:pPr>
        <w:pStyle w:val="Para1"/>
        <w:tabs>
          <w:tab w:val="clear" w:pos="360"/>
        </w:tabs>
        <w:rPr>
          <w:rFonts w:eastAsia="Times New Roman"/>
          <w:szCs w:val="24"/>
          <w:lang w:val="es-ES"/>
        </w:rPr>
      </w:pPr>
      <w:r>
        <w:rPr>
          <w:rFonts w:eastAsia="Times New Roman"/>
          <w:szCs w:val="24"/>
          <w:lang w:val="es-ES"/>
        </w:rPr>
        <w:t xml:space="preserve">En su novena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22 de noviembre de 2018, el Grupo de Trabajo consideró el proyecto de decisión revisado preparado por el Presidente.</w:t>
      </w:r>
    </w:p>
    <w:p w:rsidR="007168FC" w:rsidRDefault="007168FC" w:rsidP="007168FC">
      <w:pPr>
        <w:pStyle w:val="Para1"/>
        <w:tabs>
          <w:tab w:val="clear" w:pos="360"/>
        </w:tabs>
        <w:rPr>
          <w:rFonts w:eastAsia="Times New Roman"/>
          <w:szCs w:val="24"/>
          <w:lang w:val="es-ES"/>
        </w:rPr>
      </w:pPr>
      <w:r>
        <w:rPr>
          <w:rFonts w:eastAsia="Times New Roman"/>
          <w:szCs w:val="24"/>
          <w:lang w:val="es-ES"/>
        </w:rPr>
        <w:t>El Grupo de Trabajo aprobó el proyecto de decisión revisado para que fuera transmitido a la sesión plenaria como proyecto de decisión CBD/CP/MOP/9/L.6.</w:t>
      </w:r>
    </w:p>
    <w:p w:rsidR="0079069E" w:rsidRPr="00C901E0" w:rsidRDefault="007168FC" w:rsidP="007168FC">
      <w:pPr>
        <w:pStyle w:val="Para1"/>
        <w:tabs>
          <w:tab w:val="clear" w:pos="360"/>
        </w:tabs>
        <w:rPr>
          <w:lang w:val="es-ES"/>
        </w:rPr>
      </w:pPr>
      <w:r>
        <w:rPr>
          <w:rFonts w:eastAsia="Times New Roman"/>
          <w:szCs w:val="24"/>
          <w:lang w:val="es-ES"/>
        </w:rPr>
        <w:lastRenderedPageBreak/>
        <w:t>En la quinta sesión plenaria de la reunión, el 25 de noviembre de 2018, la Conferencia de las Partes que actúa como reunión de las Partes</w:t>
      </w:r>
      <w:r w:rsidR="005E03CD" w:rsidRPr="005E03CD">
        <w:rPr>
          <w:rFonts w:eastAsia="Times New Roman"/>
          <w:szCs w:val="24"/>
          <w:lang w:val="es-ES"/>
        </w:rPr>
        <w:t xml:space="preserve"> </w:t>
      </w:r>
      <w:r>
        <w:rPr>
          <w:rFonts w:eastAsia="Times New Roman"/>
          <w:szCs w:val="24"/>
          <w:lang w:val="es-ES"/>
        </w:rPr>
        <w:t>aprobó el proyecto de decisión CBD/CP/MOP/9/L.6 y lo adoptó como decisión CP-9</w:t>
      </w:r>
      <w:r w:rsidR="005E03CD">
        <w:rPr>
          <w:rFonts w:eastAsia="Times New Roman"/>
          <w:szCs w:val="24"/>
          <w:lang w:val="es-ES"/>
        </w:rPr>
        <w:t>/6</w:t>
      </w:r>
      <w:r>
        <w:rPr>
          <w:rFonts w:eastAsia="Times New Roman"/>
          <w:szCs w:val="24"/>
          <w:lang w:val="es-ES"/>
        </w:rPr>
        <w:t>.</w:t>
      </w:r>
    </w:p>
    <w:p w:rsidR="0079069E" w:rsidRPr="00C901E0" w:rsidRDefault="00041AC8" w:rsidP="006E7F7B">
      <w:pPr>
        <w:keepNext/>
        <w:suppressLineNumbers/>
        <w:suppressAutoHyphens/>
        <w:kinsoku w:val="0"/>
        <w:overflowPunct w:val="0"/>
        <w:autoSpaceDE w:val="0"/>
        <w:autoSpaceDN w:val="0"/>
        <w:spacing w:before="60" w:after="60"/>
        <w:jc w:val="both"/>
        <w:rPr>
          <w:i/>
          <w:snapToGrid w:val="0"/>
          <w:kern w:val="22"/>
          <w:sz w:val="22"/>
          <w:szCs w:val="22"/>
          <w:lang w:val="es-ES"/>
        </w:rPr>
      </w:pPr>
      <w:r w:rsidRPr="00041AC8">
        <w:rPr>
          <w:i/>
          <w:snapToGrid w:val="0"/>
          <w:kern w:val="22"/>
          <w:sz w:val="22"/>
          <w:szCs w:val="22"/>
          <w:lang w:val="es-ES"/>
        </w:rPr>
        <w:t>Vigilancia y presentación de informes, incluido un proyecto de formato revisado para el cuarto informe nacional</w:t>
      </w:r>
    </w:p>
    <w:p w:rsidR="00041AC8" w:rsidRDefault="00041AC8" w:rsidP="00041AC8">
      <w:pPr>
        <w:pStyle w:val="Para1"/>
        <w:tabs>
          <w:tab w:val="clear" w:pos="360"/>
        </w:tabs>
        <w:rPr>
          <w:rFonts w:eastAsia="Times New Roman"/>
          <w:szCs w:val="24"/>
          <w:lang w:val="es-ES"/>
        </w:rPr>
      </w:pPr>
      <w:r>
        <w:rPr>
          <w:rFonts w:eastAsia="Times New Roman"/>
          <w:szCs w:val="24"/>
          <w:lang w:val="es-ES"/>
        </w:rPr>
        <w:t xml:space="preserve">El Grupo de Trabajo I comenzó a tratar el segundo aspecto del tema 10 del programa en su quinta </w:t>
      </w:r>
      <w:r w:rsidR="00D55DA3">
        <w:rPr>
          <w:rFonts w:eastAsia="Times New Roman"/>
          <w:szCs w:val="24"/>
          <w:lang w:val="es-ES"/>
        </w:rPr>
        <w:t>r</w:t>
      </w:r>
      <w:r w:rsidR="006E7F7B">
        <w:rPr>
          <w:rFonts w:eastAsia="Times New Roman"/>
          <w:szCs w:val="24"/>
          <w:lang w:val="es-ES"/>
        </w:rPr>
        <w:t>e</w:t>
      </w:r>
      <w:r w:rsidR="00D55DA3">
        <w:rPr>
          <w:rFonts w:eastAsia="Times New Roman"/>
          <w:szCs w:val="24"/>
          <w:lang w:val="es-ES"/>
        </w:rPr>
        <w:t>un</w:t>
      </w:r>
      <w:r>
        <w:rPr>
          <w:rFonts w:eastAsia="Times New Roman"/>
          <w:szCs w:val="24"/>
          <w:lang w:val="es-ES"/>
        </w:rPr>
        <w:t>ión, el 20 de noviembre de 2018. Para examinar este tema, el Grupo de Trabajo tuvo ante sí un proyecto de decisión basado en las recomendaciones SBI-2/11 y SBI-2/13 y en recomendaciones formuladas en el informe del Comité de Cumplimiento (documento CBD/CP/MOP/9/2, anexo, sección</w:t>
      </w:r>
      <w:r w:rsidR="006E7F7B">
        <w:rPr>
          <w:rFonts w:eastAsia="Times New Roman"/>
          <w:szCs w:val="24"/>
          <w:lang w:val="es-ES"/>
        </w:rPr>
        <w:t> </w:t>
      </w:r>
      <w:r>
        <w:rPr>
          <w:rFonts w:eastAsia="Times New Roman"/>
          <w:szCs w:val="24"/>
          <w:lang w:val="es-ES"/>
        </w:rPr>
        <w:t>D</w:t>
      </w:r>
      <w:r w:rsidR="006E7F7B">
        <w:rPr>
          <w:rFonts w:eastAsia="Times New Roman"/>
          <w:szCs w:val="24"/>
          <w:lang w:val="es-ES"/>
        </w:rPr>
        <w:t xml:space="preserve">), que figura en la recopilación de proyectos de decisión (CBD/CP/MOP/9/1/Add.2) e </w:t>
      </w:r>
      <w:r>
        <w:rPr>
          <w:rFonts w:eastAsia="Times New Roman"/>
          <w:szCs w:val="24"/>
          <w:lang w:val="es-ES"/>
        </w:rPr>
        <w:t>inclu</w:t>
      </w:r>
      <w:r w:rsidR="006E7F7B">
        <w:rPr>
          <w:rFonts w:eastAsia="Times New Roman"/>
          <w:szCs w:val="24"/>
          <w:lang w:val="es-ES"/>
        </w:rPr>
        <w:t>ye</w:t>
      </w:r>
      <w:r>
        <w:rPr>
          <w:rFonts w:eastAsia="Times New Roman"/>
          <w:szCs w:val="24"/>
          <w:lang w:val="es-ES"/>
        </w:rPr>
        <w:t xml:space="preserve"> un proyecto de formato revisado para el cuarto informe nacional. También tuvo ante sí una nota de la Secretaria Ejecutiva sobre el proyecto de formato revisado (CBD/CP/MOP/9/5) y una nota de información para ayudar </w:t>
      </w:r>
      <w:r w:rsidR="006E7F7B">
        <w:rPr>
          <w:rFonts w:eastAsia="Times New Roman"/>
          <w:szCs w:val="24"/>
          <w:lang w:val="es-ES"/>
        </w:rPr>
        <w:t xml:space="preserve">a asociar, mediante referencias cruzadas, </w:t>
      </w:r>
      <w:r>
        <w:rPr>
          <w:rFonts w:eastAsia="Times New Roman"/>
          <w:szCs w:val="24"/>
          <w:lang w:val="es-ES"/>
        </w:rPr>
        <w:t xml:space="preserve">las preguntas del proyecto de formato actualizado para el cuarto informe nacional </w:t>
      </w:r>
      <w:r w:rsidR="006E7F7B">
        <w:rPr>
          <w:rFonts w:eastAsia="Times New Roman"/>
          <w:szCs w:val="24"/>
          <w:lang w:val="es-ES"/>
        </w:rPr>
        <w:t>con</w:t>
      </w:r>
      <w:r>
        <w:rPr>
          <w:rFonts w:eastAsia="Times New Roman"/>
          <w:szCs w:val="24"/>
          <w:lang w:val="es-ES"/>
        </w:rPr>
        <w:t xml:space="preserve"> las preguntas correspondientes del formato para el tercer informe nacional (CBD/CP/MOP/9/INF/5).</w:t>
      </w:r>
    </w:p>
    <w:p w:rsidR="00041AC8" w:rsidRDefault="00041AC8" w:rsidP="00041AC8">
      <w:pPr>
        <w:pStyle w:val="Para1"/>
        <w:tabs>
          <w:tab w:val="clear" w:pos="360"/>
        </w:tabs>
        <w:rPr>
          <w:rFonts w:eastAsia="Times New Roman"/>
          <w:szCs w:val="24"/>
          <w:lang w:val="es-ES"/>
        </w:rPr>
      </w:pPr>
      <w:r>
        <w:rPr>
          <w:rFonts w:eastAsia="Times New Roman"/>
          <w:szCs w:val="24"/>
          <w:lang w:val="es-ES"/>
        </w:rPr>
        <w:t>Formularon declaraciones representantes de Colombia, Egipto, el Estado de Palestina, Eswatini, la India, Jordania, Kenya, el Líbano, Malasia, México, Namibia, Nueva Zelandia, Omán, Suiza, Uganda y la Unión Europea y sus 28 Estados miembros.</w:t>
      </w:r>
    </w:p>
    <w:p w:rsidR="00041AC8" w:rsidRDefault="00041AC8" w:rsidP="00041AC8">
      <w:pPr>
        <w:pStyle w:val="Para1"/>
        <w:tabs>
          <w:tab w:val="clear" w:pos="360"/>
        </w:tabs>
        <w:rPr>
          <w:rFonts w:eastAsia="Times New Roman"/>
          <w:szCs w:val="24"/>
          <w:lang w:val="es-ES"/>
        </w:rPr>
      </w:pPr>
      <w:r>
        <w:rPr>
          <w:rFonts w:eastAsia="Times New Roman"/>
          <w:szCs w:val="24"/>
          <w:lang w:val="es-ES"/>
        </w:rPr>
        <w:t>También formularon declaraciones representantes de la Alianza para la Ciencia de la Universidad de Cornell y el ISAAA.</w:t>
      </w:r>
    </w:p>
    <w:p w:rsidR="00041AC8" w:rsidRDefault="00041AC8" w:rsidP="00041AC8">
      <w:pPr>
        <w:pStyle w:val="Para1"/>
        <w:tabs>
          <w:tab w:val="clear" w:pos="360"/>
        </w:tabs>
        <w:rPr>
          <w:rFonts w:eastAsia="Times New Roman"/>
          <w:szCs w:val="24"/>
          <w:lang w:val="es-ES"/>
        </w:rPr>
      </w:pPr>
      <w:r>
        <w:rPr>
          <w:rFonts w:eastAsia="Times New Roman"/>
          <w:szCs w:val="24"/>
          <w:lang w:val="es-ES"/>
        </w:rPr>
        <w:t xml:space="preserve">El Presidente dijo que prepararía un proyecto de decisión revisado, tomando en cuenta las opiniones expresadas oralmente y presentadas por escrito, con una nota al pie actualizada </w:t>
      </w:r>
      <w:r w:rsidR="0047338B">
        <w:rPr>
          <w:rFonts w:eastAsia="Times New Roman"/>
          <w:szCs w:val="24"/>
          <w:lang w:val="es-ES"/>
        </w:rPr>
        <w:t>para</w:t>
      </w:r>
      <w:r>
        <w:rPr>
          <w:rFonts w:eastAsia="Times New Roman"/>
          <w:szCs w:val="24"/>
          <w:lang w:val="es-ES"/>
        </w:rPr>
        <w:t xml:space="preserve"> </w:t>
      </w:r>
      <w:r w:rsidR="008528A1">
        <w:rPr>
          <w:rFonts w:eastAsia="Times New Roman"/>
          <w:szCs w:val="24"/>
          <w:lang w:val="es-ES"/>
        </w:rPr>
        <w:t>dar cuenta de</w:t>
      </w:r>
      <w:r>
        <w:rPr>
          <w:rFonts w:eastAsia="Times New Roman"/>
          <w:szCs w:val="24"/>
          <w:lang w:val="es-ES"/>
        </w:rPr>
        <w:t xml:space="preserve"> las </w:t>
      </w:r>
      <w:r w:rsidR="008528A1">
        <w:rPr>
          <w:rFonts w:eastAsia="Times New Roman"/>
          <w:szCs w:val="24"/>
          <w:lang w:val="es-ES"/>
        </w:rPr>
        <w:t xml:space="preserve">últimas </w:t>
      </w:r>
      <w:r>
        <w:rPr>
          <w:rFonts w:eastAsia="Times New Roman"/>
          <w:szCs w:val="24"/>
          <w:lang w:val="es-ES"/>
        </w:rPr>
        <w:t>presentaciones de informes nacionales.</w:t>
      </w:r>
    </w:p>
    <w:p w:rsidR="00041AC8" w:rsidRDefault="00041AC8" w:rsidP="00041AC8">
      <w:pPr>
        <w:pStyle w:val="Para1"/>
        <w:tabs>
          <w:tab w:val="clear" w:pos="360"/>
        </w:tabs>
        <w:rPr>
          <w:rFonts w:eastAsia="Times New Roman"/>
          <w:szCs w:val="24"/>
          <w:lang w:val="es-ES"/>
        </w:rPr>
      </w:pPr>
      <w:r>
        <w:rPr>
          <w:rFonts w:eastAsia="Times New Roman"/>
          <w:szCs w:val="24"/>
          <w:lang w:val="es-ES"/>
        </w:rPr>
        <w:t xml:space="preserve">En su novena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22 de noviembre de 2018, el Grupo de Trabajo consideró el proyecto de decisión revisado preparado por el Presidente.</w:t>
      </w:r>
    </w:p>
    <w:p w:rsidR="00041AC8" w:rsidRDefault="00041AC8" w:rsidP="00041AC8">
      <w:pPr>
        <w:pStyle w:val="Para1"/>
        <w:tabs>
          <w:tab w:val="clear" w:pos="360"/>
        </w:tabs>
        <w:rPr>
          <w:rFonts w:eastAsia="Times New Roman"/>
          <w:szCs w:val="24"/>
          <w:lang w:val="es-ES"/>
        </w:rPr>
      </w:pPr>
      <w:r>
        <w:rPr>
          <w:rFonts w:eastAsia="Times New Roman"/>
          <w:szCs w:val="24"/>
          <w:lang w:val="es-ES"/>
        </w:rPr>
        <w:t xml:space="preserve">Un representante de la Secretaría llamó la atención sobre una sección de texto que era necesario modificar para que reflejara comentarios que se habían </w:t>
      </w:r>
      <w:r w:rsidR="0047338B">
        <w:rPr>
          <w:rFonts w:eastAsia="Times New Roman"/>
          <w:szCs w:val="24"/>
          <w:lang w:val="es-ES"/>
        </w:rPr>
        <w:t>hecho</w:t>
      </w:r>
      <w:r>
        <w:rPr>
          <w:rFonts w:eastAsia="Times New Roman"/>
          <w:szCs w:val="24"/>
          <w:lang w:val="es-ES"/>
        </w:rPr>
        <w:t>.</w:t>
      </w:r>
    </w:p>
    <w:p w:rsidR="00041AC8" w:rsidRDefault="00041AC8" w:rsidP="00041AC8">
      <w:pPr>
        <w:pStyle w:val="Para1"/>
        <w:tabs>
          <w:tab w:val="clear" w:pos="360"/>
        </w:tabs>
        <w:rPr>
          <w:rFonts w:eastAsia="Times New Roman"/>
          <w:szCs w:val="24"/>
          <w:lang w:val="es-ES"/>
        </w:rPr>
      </w:pPr>
      <w:r>
        <w:rPr>
          <w:rFonts w:eastAsia="Times New Roman"/>
          <w:szCs w:val="24"/>
          <w:lang w:val="es-ES"/>
        </w:rPr>
        <w:t>Formuló una declaración un representante de la Unión Europea y sus 28 Estados miembros.</w:t>
      </w:r>
    </w:p>
    <w:p w:rsidR="00041AC8" w:rsidRDefault="00041AC8" w:rsidP="00041AC8">
      <w:pPr>
        <w:pStyle w:val="Para1"/>
        <w:tabs>
          <w:tab w:val="clear" w:pos="360"/>
        </w:tabs>
        <w:rPr>
          <w:rFonts w:eastAsia="Times New Roman"/>
          <w:szCs w:val="24"/>
          <w:lang w:val="es-ES"/>
        </w:rPr>
      </w:pPr>
      <w:r>
        <w:rPr>
          <w:rFonts w:eastAsia="Times New Roman"/>
          <w:szCs w:val="24"/>
          <w:lang w:val="es-ES"/>
        </w:rPr>
        <w:t>El Grupo de Trabajo aprobó el proyecto de decisión revisado, con las enmiendas efectuadas oralmente, para que fuera transmitido a la sesión plenaria como proyecto de decisión CBD/CP/MOP/9/L.5.</w:t>
      </w:r>
    </w:p>
    <w:p w:rsidR="007B1618" w:rsidRPr="00041AC8" w:rsidRDefault="00041AC8" w:rsidP="00041AC8">
      <w:pPr>
        <w:pStyle w:val="Para1"/>
        <w:tabs>
          <w:tab w:val="clear" w:pos="360"/>
        </w:tabs>
        <w:rPr>
          <w:lang w:val="es-ES"/>
        </w:rPr>
      </w:pPr>
      <w:r w:rsidRPr="00041AC8">
        <w:rPr>
          <w:rFonts w:eastAsia="Times New Roman"/>
          <w:szCs w:val="24"/>
          <w:lang w:val="es-ES"/>
        </w:rPr>
        <w:t>En la quinta sesión plenaria de la reunión, el 25 de noviembre de 2018, la Conferencia de las Partes que actúa como reunión de las Partes aprobó el proyecto de decisión CBD/CP/MOP/9/L.5 y lo adoptó como decisión CP-9/5 (véase el texto en el cap. I).</w:t>
      </w:r>
    </w:p>
    <w:p w:rsidR="00CB5BE7" w:rsidRPr="00C901E0" w:rsidRDefault="00CB5BE7" w:rsidP="00237524">
      <w:pPr>
        <w:pStyle w:val="heading2-item0"/>
        <w:ind w:left="1985" w:hanging="1418"/>
        <w:jc w:val="left"/>
        <w:rPr>
          <w:lang w:val="es-ES"/>
        </w:rPr>
      </w:pPr>
      <w:bookmarkStart w:id="78" w:name="_Toc879849"/>
      <w:bookmarkStart w:id="79" w:name="_Toc5922101"/>
      <w:r w:rsidRPr="00C901E0">
        <w:rPr>
          <w:lang w:val="es-ES"/>
        </w:rPr>
        <w:t>TEM</w:t>
      </w:r>
      <w:r w:rsidR="00C72DC6">
        <w:rPr>
          <w:lang w:val="es-ES"/>
        </w:rPr>
        <w:t>a</w:t>
      </w:r>
      <w:r w:rsidRPr="00C901E0">
        <w:rPr>
          <w:lang w:val="es-ES"/>
        </w:rPr>
        <w:t xml:space="preserve"> 11. </w:t>
      </w:r>
      <w:r w:rsidRPr="00C901E0">
        <w:rPr>
          <w:lang w:val="es-ES"/>
        </w:rPr>
        <w:tab/>
      </w:r>
      <w:bookmarkEnd w:id="78"/>
      <w:r w:rsidR="00C72DC6" w:rsidRPr="00C72DC6">
        <w:rPr>
          <w:lang w:val="es-ES"/>
        </w:rPr>
        <w:t>MAYOR INTEGRACIÓN EN EL MARCO DEL CONVENIO Y SUS PROTOCOLOS CON RESPECTO A DISPOSICIONES RELACIONADAS CON LA SEGURIDAD DE LA BIOTECNOLOGÍA</w:t>
      </w:r>
      <w:bookmarkEnd w:id="79"/>
    </w:p>
    <w:p w:rsidR="00C72DC6" w:rsidRPr="00C72DC6" w:rsidRDefault="00C72DC6" w:rsidP="00C72DC6">
      <w:pPr>
        <w:pStyle w:val="Para1"/>
        <w:tabs>
          <w:tab w:val="clear" w:pos="360"/>
        </w:tabs>
        <w:rPr>
          <w:lang w:val="es-ES"/>
        </w:rPr>
      </w:pPr>
      <w:r w:rsidRPr="00C72DC6">
        <w:rPr>
          <w:lang w:val="es-ES"/>
        </w:rPr>
        <w:t xml:space="preserve">El Grupo de Trabajo I comenzó a tratar el tema 11 del programa en su sexta </w:t>
      </w:r>
      <w:r w:rsidR="00D55DA3">
        <w:rPr>
          <w:lang w:val="es-ES"/>
        </w:rPr>
        <w:t>r</w:t>
      </w:r>
      <w:r w:rsidRPr="00C72DC6">
        <w:rPr>
          <w:lang w:val="es-ES"/>
        </w:rPr>
        <w:t>e</w:t>
      </w:r>
      <w:r w:rsidR="00D55DA3">
        <w:rPr>
          <w:lang w:val="es-ES"/>
        </w:rPr>
        <w:t>un</w:t>
      </w:r>
      <w:r w:rsidRPr="00C72DC6">
        <w:rPr>
          <w:lang w:val="es-ES"/>
        </w:rPr>
        <w:t>ión, el 21 de noviembre de 2018, conjuntamente con el tema 13 del programa de la Conferencia de las Partes y el</w:t>
      </w:r>
      <w:r w:rsidR="008528A1">
        <w:rPr>
          <w:lang w:val="es-ES"/>
        </w:rPr>
        <w:t> </w:t>
      </w:r>
      <w:r w:rsidRPr="00C72DC6">
        <w:rPr>
          <w:lang w:val="es-ES"/>
        </w:rPr>
        <w:t>tema</w:t>
      </w:r>
      <w:r w:rsidR="008528A1">
        <w:rPr>
          <w:lang w:val="es-ES"/>
        </w:rPr>
        <w:t> </w:t>
      </w:r>
      <w:r w:rsidRPr="00C72DC6">
        <w:rPr>
          <w:lang w:val="es-ES"/>
        </w:rPr>
        <w:t>13 del programa de la Conferencia de las Partes que actúa como reunión de las Partes en el</w:t>
      </w:r>
      <w:r w:rsidR="008528A1">
        <w:rPr>
          <w:lang w:val="es-ES"/>
        </w:rPr>
        <w:t> </w:t>
      </w:r>
      <w:r w:rsidRPr="00C72DC6">
        <w:rPr>
          <w:lang w:val="es-ES"/>
        </w:rPr>
        <w:t>Protocolo de Nagoya. Para examinar este tema, el Grupo de Trabajo tuvo ante sí un proyecto de</w:t>
      </w:r>
      <w:r w:rsidR="008528A1">
        <w:rPr>
          <w:lang w:val="es-ES"/>
        </w:rPr>
        <w:t> </w:t>
      </w:r>
      <w:r w:rsidRPr="00C72DC6">
        <w:rPr>
          <w:lang w:val="es-ES"/>
        </w:rPr>
        <w:t>decisión basado en la recomendación SBI-2/14, que figura en la recopilación de proyectos de decisión (CBD/CP/MOP/9/1/Add.2).</w:t>
      </w:r>
    </w:p>
    <w:p w:rsidR="00C72DC6" w:rsidRPr="00C72DC6" w:rsidRDefault="00C72DC6" w:rsidP="00C72DC6">
      <w:pPr>
        <w:pStyle w:val="Para1"/>
        <w:tabs>
          <w:tab w:val="clear" w:pos="360"/>
        </w:tabs>
        <w:rPr>
          <w:lang w:val="es-ES"/>
        </w:rPr>
      </w:pPr>
      <w:r w:rsidRPr="00C72DC6">
        <w:rPr>
          <w:lang w:val="es-ES"/>
        </w:rPr>
        <w:t>Formularon declaraciones representantes de Colombia, el Gabón, la India, Indonesia, Malawi, Marruecos, la Unión Europea y sus 28 Estados miembros y Venezuela (República Bolivariana de).</w:t>
      </w:r>
    </w:p>
    <w:p w:rsidR="00C72DC6" w:rsidRPr="00C72DC6" w:rsidRDefault="00C72DC6" w:rsidP="00C72DC6">
      <w:pPr>
        <w:pStyle w:val="Para1"/>
        <w:tabs>
          <w:tab w:val="clear" w:pos="360"/>
        </w:tabs>
        <w:rPr>
          <w:lang w:val="es-ES"/>
        </w:rPr>
      </w:pPr>
      <w:r w:rsidRPr="00C72DC6">
        <w:rPr>
          <w:lang w:val="es-ES"/>
        </w:rPr>
        <w:t>También formuló una declaración un representante de la Argentina.</w:t>
      </w:r>
    </w:p>
    <w:p w:rsidR="00C72DC6" w:rsidRPr="00C72DC6" w:rsidRDefault="00C72DC6" w:rsidP="00C72DC6">
      <w:pPr>
        <w:pStyle w:val="Para1"/>
        <w:tabs>
          <w:tab w:val="clear" w:pos="360"/>
        </w:tabs>
        <w:rPr>
          <w:lang w:val="es-ES"/>
        </w:rPr>
      </w:pPr>
      <w:r w:rsidRPr="00C72DC6">
        <w:rPr>
          <w:lang w:val="es-ES"/>
        </w:rPr>
        <w:lastRenderedPageBreak/>
        <w:t>Un representante del ISAAA formuló asimismo una declaración.</w:t>
      </w:r>
    </w:p>
    <w:p w:rsidR="00C72DC6" w:rsidRPr="00C72DC6" w:rsidRDefault="00C72DC6" w:rsidP="00C72DC6">
      <w:pPr>
        <w:pStyle w:val="Para1"/>
        <w:tabs>
          <w:tab w:val="clear" w:pos="360"/>
        </w:tabs>
        <w:rPr>
          <w:lang w:val="es-ES"/>
        </w:rPr>
      </w:pPr>
      <w:r w:rsidRPr="00C72DC6">
        <w:rPr>
          <w:lang w:val="es-ES"/>
        </w:rPr>
        <w:t>El Presidente dijo que prepararía un proyecto de decisión revisado, tomando en cuenta las opiniones expresadas oralmente y presentadas por escrito.</w:t>
      </w:r>
    </w:p>
    <w:p w:rsidR="00C72DC6" w:rsidRPr="00C72DC6" w:rsidRDefault="00C72DC6" w:rsidP="00C72DC6">
      <w:pPr>
        <w:pStyle w:val="Para1"/>
        <w:tabs>
          <w:tab w:val="clear" w:pos="360"/>
        </w:tabs>
        <w:rPr>
          <w:lang w:val="es-ES"/>
        </w:rPr>
      </w:pPr>
      <w:r w:rsidRPr="00C72DC6">
        <w:rPr>
          <w:lang w:val="es-ES"/>
        </w:rPr>
        <w:t>En su 12</w:t>
      </w:r>
      <w:r w:rsidRPr="008528A1">
        <w:rPr>
          <w:vertAlign w:val="superscript"/>
          <w:lang w:val="es-ES"/>
        </w:rPr>
        <w:t>a</w:t>
      </w:r>
      <w:r w:rsidR="0047338B">
        <w:rPr>
          <w:lang w:val="es-ES"/>
        </w:rPr>
        <w:t> </w:t>
      </w:r>
      <w:r w:rsidR="00D55DA3">
        <w:rPr>
          <w:lang w:val="es-ES"/>
        </w:rPr>
        <w:t>r</w:t>
      </w:r>
      <w:r w:rsidRPr="00C72DC6">
        <w:rPr>
          <w:lang w:val="es-ES"/>
        </w:rPr>
        <w:t>e</w:t>
      </w:r>
      <w:r w:rsidR="00D55DA3">
        <w:rPr>
          <w:lang w:val="es-ES"/>
        </w:rPr>
        <w:t>un</w:t>
      </w:r>
      <w:r w:rsidRPr="00C72DC6">
        <w:rPr>
          <w:lang w:val="es-ES"/>
        </w:rPr>
        <w:t>ión, el 28 de noviembre de 2018, el Grupo de Trabajo I consideró un proyecto de decisión revisado preparado por su Presidente.</w:t>
      </w:r>
    </w:p>
    <w:p w:rsidR="00C72DC6" w:rsidRPr="00C72DC6" w:rsidRDefault="00C72DC6" w:rsidP="00C72DC6">
      <w:pPr>
        <w:pStyle w:val="Para1"/>
        <w:tabs>
          <w:tab w:val="clear" w:pos="360"/>
        </w:tabs>
        <w:rPr>
          <w:lang w:val="es-ES"/>
        </w:rPr>
      </w:pPr>
      <w:r w:rsidRPr="00C72DC6">
        <w:rPr>
          <w:lang w:val="es-ES"/>
        </w:rPr>
        <w:t>Formularon declaraciones representantes de Colombia y la Unión Europea y sus 28 Estados miembros.</w:t>
      </w:r>
    </w:p>
    <w:p w:rsidR="00C72DC6" w:rsidRPr="00C72DC6" w:rsidRDefault="00C72DC6" w:rsidP="00C72DC6">
      <w:pPr>
        <w:pStyle w:val="Para1"/>
        <w:tabs>
          <w:tab w:val="clear" w:pos="360"/>
        </w:tabs>
        <w:rPr>
          <w:lang w:val="es-ES"/>
        </w:rPr>
      </w:pPr>
      <w:r w:rsidRPr="00C72DC6">
        <w:rPr>
          <w:lang w:val="es-ES"/>
        </w:rPr>
        <w:t>El Grupo de Trabajo aprobó el proyecto de decisión revisado, con las enmiendas efectuadas oralmente, para que fuera transmitido a la sesión plenaria como proyecto de decisión CBD/COP/14/L.14.</w:t>
      </w:r>
    </w:p>
    <w:p w:rsidR="00C72DC6" w:rsidRPr="00C72DC6" w:rsidRDefault="00C72DC6" w:rsidP="00C72DC6">
      <w:pPr>
        <w:pStyle w:val="Para1"/>
        <w:tabs>
          <w:tab w:val="clear" w:pos="360"/>
        </w:tabs>
        <w:rPr>
          <w:lang w:val="es-ES"/>
        </w:rPr>
      </w:pPr>
      <w:r w:rsidRPr="00C72DC6">
        <w:rPr>
          <w:lang w:val="es-ES"/>
        </w:rPr>
        <w:t>En la séptima sesión plenaria de la reunión, el 28 de noviembre de 2018, la Conferencia de las Partes que actúa como reunión de las Partes examinó el proyecto de decisión CBD/CP/MOP/9/L.14.</w:t>
      </w:r>
    </w:p>
    <w:p w:rsidR="006C5568" w:rsidRPr="00C901E0" w:rsidRDefault="00C72DC6" w:rsidP="00C72DC6">
      <w:pPr>
        <w:pStyle w:val="Para1"/>
        <w:tabs>
          <w:tab w:val="clear" w:pos="360"/>
        </w:tabs>
        <w:rPr>
          <w:lang w:val="es-ES"/>
        </w:rPr>
      </w:pPr>
      <w:r w:rsidRPr="00C72DC6">
        <w:rPr>
          <w:lang w:val="es-ES"/>
        </w:rPr>
        <w:t>La Conferencia de las Partes que actúa como reunión de las Partes adoptó el proyecto de decisión CBD/CP/MOP/9/L.14 como decisión CP-9/9 (véase el texto en el cap. I).</w:t>
      </w:r>
    </w:p>
    <w:p w:rsidR="00CB5BE7" w:rsidRPr="00C901E0" w:rsidRDefault="00CB5BE7" w:rsidP="00237524">
      <w:pPr>
        <w:pStyle w:val="heading2-item0"/>
        <w:ind w:left="1985" w:hanging="1418"/>
        <w:jc w:val="left"/>
        <w:rPr>
          <w:lang w:val="es-ES"/>
        </w:rPr>
      </w:pPr>
      <w:bookmarkStart w:id="80" w:name="_Toc879850"/>
      <w:bookmarkStart w:id="81" w:name="_Toc5922102"/>
      <w:r w:rsidRPr="00C901E0">
        <w:rPr>
          <w:lang w:val="es-ES"/>
        </w:rPr>
        <w:t>TEM</w:t>
      </w:r>
      <w:r w:rsidR="00510CBD">
        <w:rPr>
          <w:lang w:val="es-ES"/>
        </w:rPr>
        <w:t>A</w:t>
      </w:r>
      <w:r w:rsidRPr="00C901E0">
        <w:rPr>
          <w:lang w:val="es-ES"/>
        </w:rPr>
        <w:t xml:space="preserve"> 12.</w:t>
      </w:r>
      <w:r w:rsidRPr="00C901E0">
        <w:rPr>
          <w:lang w:val="es-ES"/>
        </w:rPr>
        <w:tab/>
      </w:r>
      <w:bookmarkEnd w:id="80"/>
      <w:r w:rsidR="00510CBD" w:rsidRPr="00510CBD">
        <w:rPr>
          <w:lang w:val="es-ES"/>
        </w:rPr>
        <w:t>COOPERACIÓN CON OTRAS ORGANIZACIONES, CONVENIOS E INICIATIVAS</w:t>
      </w:r>
      <w:bookmarkEnd w:id="81"/>
    </w:p>
    <w:p w:rsidR="00510CBD" w:rsidRDefault="00510CBD" w:rsidP="00510CBD">
      <w:pPr>
        <w:pStyle w:val="Para1"/>
        <w:tabs>
          <w:tab w:val="clear" w:pos="360"/>
        </w:tabs>
        <w:rPr>
          <w:rFonts w:eastAsia="Times New Roman"/>
          <w:i/>
          <w:szCs w:val="24"/>
          <w:lang w:val="es-ES"/>
        </w:rPr>
      </w:pPr>
      <w:r>
        <w:rPr>
          <w:rFonts w:eastAsia="Times New Roman"/>
          <w:szCs w:val="24"/>
          <w:lang w:val="es-ES"/>
        </w:rPr>
        <w:t xml:space="preserve">El Grupo de Trabajo I comenzó a tratar el tema 12 del programa en su sexta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21 de</w:t>
      </w:r>
      <w:r w:rsidR="008C6BA8">
        <w:rPr>
          <w:rFonts w:eastAsia="Times New Roman"/>
          <w:szCs w:val="24"/>
          <w:lang w:val="es-ES"/>
        </w:rPr>
        <w:t> </w:t>
      </w:r>
      <w:r>
        <w:rPr>
          <w:rFonts w:eastAsia="Times New Roman"/>
          <w:szCs w:val="24"/>
          <w:lang w:val="es-ES"/>
        </w:rPr>
        <w:t>noviembre de 2018. Para examinar este tema, el Grupo de Trabajo tuvo ante sí una nota de la Secretaria Ejecutiva con una puesta al día de las actividades de cooperación entre la Secretaría y otros convenios,</w:t>
      </w:r>
      <w:r w:rsidR="008C6BA8">
        <w:rPr>
          <w:rFonts w:eastAsia="Times New Roman"/>
          <w:szCs w:val="24"/>
          <w:lang w:val="es-ES"/>
        </w:rPr>
        <w:t> </w:t>
      </w:r>
      <w:r>
        <w:rPr>
          <w:rFonts w:eastAsia="Times New Roman"/>
          <w:szCs w:val="24"/>
          <w:lang w:val="es-ES"/>
        </w:rPr>
        <w:t>organizaciones internacionales e iniciativas pertinentes para la aplicación del Protocolo (CBD/CP/MOP/9/6).</w:t>
      </w:r>
    </w:p>
    <w:p w:rsidR="00510CBD" w:rsidRDefault="00510CBD" w:rsidP="00510CBD">
      <w:pPr>
        <w:pStyle w:val="Para1"/>
        <w:tabs>
          <w:tab w:val="clear" w:pos="360"/>
        </w:tabs>
        <w:rPr>
          <w:rFonts w:eastAsia="Times New Roman"/>
          <w:i/>
          <w:szCs w:val="24"/>
          <w:lang w:val="es-ES"/>
        </w:rPr>
      </w:pPr>
      <w:r>
        <w:rPr>
          <w:rFonts w:eastAsia="Times New Roman"/>
          <w:szCs w:val="24"/>
          <w:lang w:val="es-ES"/>
        </w:rPr>
        <w:t>Formuló una declaración un representante de la Organización de Cooperación y Desarrollo Económicos (OCDE).</w:t>
      </w:r>
    </w:p>
    <w:p w:rsidR="006C5568" w:rsidRPr="00C901E0" w:rsidRDefault="00510CBD" w:rsidP="00510CBD">
      <w:pPr>
        <w:pStyle w:val="Para1"/>
        <w:tabs>
          <w:tab w:val="clear" w:pos="360"/>
        </w:tabs>
        <w:rPr>
          <w:lang w:val="es-ES"/>
        </w:rPr>
      </w:pPr>
      <w:r>
        <w:rPr>
          <w:rFonts w:eastAsia="Times New Roman"/>
          <w:szCs w:val="24"/>
          <w:lang w:val="es-ES"/>
        </w:rPr>
        <w:t>El Grupo de Trabajo tomó nota de la información expuesta en el documento CBD/CP/MOP/9/6.</w:t>
      </w:r>
    </w:p>
    <w:p w:rsidR="00CB5BE7" w:rsidRPr="00C901E0" w:rsidRDefault="00CB5BE7" w:rsidP="00237524">
      <w:pPr>
        <w:pStyle w:val="heading2-item0"/>
        <w:ind w:left="1985" w:hanging="1418"/>
        <w:jc w:val="left"/>
        <w:rPr>
          <w:lang w:val="es-ES"/>
        </w:rPr>
      </w:pPr>
      <w:bookmarkStart w:id="82" w:name="_Toc879851"/>
      <w:bookmarkStart w:id="83" w:name="_Toc5922103"/>
      <w:r w:rsidRPr="00C901E0">
        <w:rPr>
          <w:lang w:val="es-ES"/>
        </w:rPr>
        <w:t>TEM</w:t>
      </w:r>
      <w:r w:rsidR="00510CBD">
        <w:rPr>
          <w:lang w:val="es-ES"/>
        </w:rPr>
        <w:t>A</w:t>
      </w:r>
      <w:r w:rsidRPr="00C901E0">
        <w:rPr>
          <w:lang w:val="es-ES"/>
        </w:rPr>
        <w:t xml:space="preserve"> 13.</w:t>
      </w:r>
      <w:r w:rsidRPr="00C901E0">
        <w:rPr>
          <w:lang w:val="es-ES"/>
        </w:rPr>
        <w:tab/>
      </w:r>
      <w:bookmarkEnd w:id="82"/>
      <w:r w:rsidR="00510CBD" w:rsidRPr="00510CBD">
        <w:rPr>
          <w:lang w:val="es-ES"/>
        </w:rPr>
        <w:t>REVISIÓN DE LA EFICACIA DE LAS ESTRUCTURAS Y LOS PROCESOS EN EL MARCO DEL CONVENIO Y SUS PROTOCOLOS</w:t>
      </w:r>
      <w:bookmarkEnd w:id="83"/>
    </w:p>
    <w:p w:rsidR="00D72273" w:rsidRPr="00C901E0" w:rsidRDefault="00510CBD" w:rsidP="008C6BA8">
      <w:pPr>
        <w:pStyle w:val="Heading3"/>
        <w:tabs>
          <w:tab w:val="clear" w:pos="567"/>
        </w:tabs>
        <w:jc w:val="both"/>
        <w:rPr>
          <w:color w:val="000000" w:themeColor="text1"/>
          <w:lang w:val="es-ES"/>
        </w:rPr>
      </w:pPr>
      <w:r w:rsidRPr="00510CBD">
        <w:rPr>
          <w:color w:val="000000" w:themeColor="text1"/>
          <w:lang w:val="es-ES"/>
        </w:rPr>
        <w:t>Revisión de la experiencia en la celebración de reuniones concurrentes en el marco del Convenio y sus Protocolos</w:t>
      </w:r>
    </w:p>
    <w:p w:rsidR="00510CBD" w:rsidRDefault="00510CBD" w:rsidP="00510CBD">
      <w:pPr>
        <w:pStyle w:val="Para1"/>
        <w:rPr>
          <w:rFonts w:eastAsia="Times New Roman"/>
          <w:szCs w:val="24"/>
          <w:lang w:val="es-ES"/>
        </w:rPr>
      </w:pPr>
      <w:r>
        <w:rPr>
          <w:rFonts w:eastAsia="Times New Roman"/>
          <w:szCs w:val="24"/>
          <w:lang w:val="es-ES"/>
        </w:rPr>
        <w:t xml:space="preserve">El Grupo de Trabajo I comenzó a tratar el primer aspecto del tema 13 del programa en su sexta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21 de noviembre de 2018. Para examinar este tema, el Grupo de Trabajo tuvo ante sí un proyecto de decisión basado en la parte A de la recomendación SBI-2/15, que figura en la recopilación de proyectos de decisión (CBD/CP/MOP/9/1/Add.2).</w:t>
      </w:r>
    </w:p>
    <w:p w:rsidR="00510CBD" w:rsidRDefault="00510CBD" w:rsidP="00510CBD">
      <w:pPr>
        <w:pStyle w:val="Para1"/>
        <w:rPr>
          <w:rFonts w:eastAsia="Times New Roman"/>
          <w:i/>
          <w:color w:val="000000"/>
          <w:szCs w:val="24"/>
          <w:lang w:val="es-ES"/>
        </w:rPr>
      </w:pPr>
      <w:r>
        <w:rPr>
          <w:rFonts w:eastAsia="Times New Roman"/>
          <w:szCs w:val="24"/>
          <w:lang w:val="es-ES"/>
        </w:rPr>
        <w:t>Formularon declaraciones representantes de Honduras, la India, Jordania, México, Nueva Zelandia, Panamá, el Paraguay, Suiza, Uganda (en nombre del Grupo</w:t>
      </w:r>
      <w:r w:rsidR="008C6BA8">
        <w:rPr>
          <w:rFonts w:eastAsia="Times New Roman"/>
          <w:szCs w:val="24"/>
          <w:lang w:val="es-ES"/>
        </w:rPr>
        <w:t xml:space="preserve"> </w:t>
      </w:r>
      <w:r>
        <w:rPr>
          <w:rFonts w:eastAsia="Times New Roman"/>
          <w:szCs w:val="24"/>
          <w:lang w:val="es-ES"/>
        </w:rPr>
        <w:t>de África) y la Unión Europea y sus 28 Estados miembros</w:t>
      </w:r>
      <w:r>
        <w:rPr>
          <w:rFonts w:eastAsia="Times New Roman"/>
          <w:color w:val="000000"/>
          <w:szCs w:val="24"/>
          <w:lang w:val="es-ES"/>
        </w:rPr>
        <w:t>.</w:t>
      </w:r>
    </w:p>
    <w:p w:rsidR="00510CBD" w:rsidRDefault="008C6BA8" w:rsidP="00510CBD">
      <w:pPr>
        <w:pStyle w:val="Para1"/>
        <w:rPr>
          <w:rFonts w:eastAsia="Times New Roman"/>
          <w:color w:val="000000"/>
          <w:szCs w:val="24"/>
          <w:lang w:val="es-ES"/>
        </w:rPr>
      </w:pPr>
      <w:r>
        <w:rPr>
          <w:rFonts w:eastAsia="Times New Roman"/>
          <w:szCs w:val="24"/>
          <w:lang w:val="es-ES"/>
        </w:rPr>
        <w:t>R</w:t>
      </w:r>
      <w:r w:rsidR="00510CBD">
        <w:rPr>
          <w:rFonts w:eastAsia="Times New Roman"/>
          <w:szCs w:val="24"/>
          <w:lang w:val="es-ES"/>
        </w:rPr>
        <w:t>epresentantes de la Argentina y el Canadá también formularon declaraciones</w:t>
      </w:r>
      <w:r w:rsidR="00510CBD">
        <w:rPr>
          <w:rFonts w:eastAsia="Times New Roman"/>
          <w:color w:val="000000"/>
          <w:szCs w:val="24"/>
          <w:lang w:val="es-ES"/>
        </w:rPr>
        <w:t>.</w:t>
      </w:r>
    </w:p>
    <w:p w:rsidR="00510CBD" w:rsidRPr="00CC4CB0" w:rsidRDefault="00510CBD" w:rsidP="00510CBD">
      <w:pPr>
        <w:pStyle w:val="Para1"/>
        <w:rPr>
          <w:rFonts w:eastAsia="Times New Roman"/>
          <w:szCs w:val="24"/>
          <w:lang w:val="es-ES"/>
        </w:rPr>
      </w:pPr>
      <w:r w:rsidRPr="00CC4CB0">
        <w:rPr>
          <w:rFonts w:eastAsia="Times New Roman"/>
          <w:szCs w:val="24"/>
          <w:lang w:val="es-ES"/>
        </w:rPr>
        <w:t xml:space="preserve">Asimismo, formularon declaraciones representantes del Instituto J. Craig Venter, </w:t>
      </w:r>
      <w:r w:rsidR="009107CD">
        <w:rPr>
          <w:rFonts w:eastAsia="Times New Roman"/>
          <w:szCs w:val="24"/>
          <w:lang w:val="es-ES"/>
        </w:rPr>
        <w:t xml:space="preserve">la </w:t>
      </w:r>
      <w:r w:rsidRPr="00CC4CB0">
        <w:rPr>
          <w:rFonts w:eastAsia="Times New Roman"/>
          <w:szCs w:val="24"/>
          <w:lang w:val="es-ES"/>
        </w:rPr>
        <w:t xml:space="preserve">Public </w:t>
      </w:r>
      <w:r w:rsidR="00CC4CB0" w:rsidRPr="00CC4CB0">
        <w:rPr>
          <w:color w:val="222222"/>
          <w:shd w:val="clear" w:color="auto" w:fill="FFFFFF"/>
        </w:rPr>
        <w:t xml:space="preserve">Religion </w:t>
      </w:r>
      <w:r w:rsidRPr="00CC4CB0">
        <w:rPr>
          <w:rFonts w:eastAsia="Times New Roman"/>
          <w:szCs w:val="24"/>
          <w:lang w:val="es-ES"/>
        </w:rPr>
        <w:t xml:space="preserve">Research Initiative (PRRI) y la Red del Tercer Mundo (en nombre de Amigos de la Tierra Internacional, </w:t>
      </w:r>
      <w:r w:rsidR="009107CD">
        <w:rPr>
          <w:rFonts w:eastAsia="Times New Roman"/>
          <w:szCs w:val="24"/>
          <w:lang w:val="es-ES"/>
        </w:rPr>
        <w:t xml:space="preserve">el </w:t>
      </w:r>
      <w:r w:rsidRPr="00CC4CB0">
        <w:rPr>
          <w:rFonts w:eastAsia="Times New Roman"/>
          <w:szCs w:val="24"/>
          <w:lang w:val="es-ES"/>
        </w:rPr>
        <w:t xml:space="preserve">Corporate Europe Observatory, EcoNexus, </w:t>
      </w:r>
      <w:r w:rsidR="009107CD">
        <w:rPr>
          <w:rFonts w:eastAsia="Times New Roman"/>
          <w:szCs w:val="24"/>
          <w:lang w:val="es-ES"/>
        </w:rPr>
        <w:t xml:space="preserve">el </w:t>
      </w:r>
      <w:r w:rsidRPr="00CC4CB0">
        <w:rPr>
          <w:rFonts w:eastAsia="Times New Roman"/>
          <w:szCs w:val="24"/>
          <w:lang w:val="es-ES"/>
        </w:rPr>
        <w:t>Grupo ETC y Pro Natura).</w:t>
      </w:r>
    </w:p>
    <w:p w:rsidR="00510CBD" w:rsidRDefault="00510CBD" w:rsidP="00510CBD">
      <w:pPr>
        <w:pStyle w:val="Para1"/>
        <w:rPr>
          <w:rFonts w:eastAsia="Times New Roman"/>
          <w:szCs w:val="24"/>
          <w:lang w:val="es-ES"/>
        </w:rPr>
      </w:pPr>
      <w:r>
        <w:rPr>
          <w:rFonts w:eastAsia="Times New Roman"/>
          <w:szCs w:val="24"/>
          <w:lang w:val="es-ES"/>
        </w:rPr>
        <w:t xml:space="preserve">En su décima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25 de noviembre de 2018, el Grupo de Trabajo examinó un proyecto de decisión revisado preparado por el Presidente y lo aprobó para que fuera transmitido a la sesión plenaria como proyecto de decisión CBD/CP/MOP/9/L.9.</w:t>
      </w:r>
    </w:p>
    <w:p w:rsidR="00510CBD" w:rsidRDefault="00510CBD" w:rsidP="00510CBD">
      <w:pPr>
        <w:pStyle w:val="Para1"/>
        <w:rPr>
          <w:rFonts w:eastAsia="Times New Roman"/>
          <w:szCs w:val="24"/>
          <w:lang w:val="es-ES"/>
        </w:rPr>
      </w:pPr>
      <w:r>
        <w:rPr>
          <w:rFonts w:eastAsia="Times New Roman"/>
          <w:szCs w:val="24"/>
          <w:lang w:val="es-ES"/>
        </w:rPr>
        <w:lastRenderedPageBreak/>
        <w:t>En la séptima sesión plenaria de la reunión, el 28 de noviembre de 2018, la Conferencia de las Partes que actúa como reunión de las Partes en el Protocolo de Cartagena examinó el proyecto de decisión CBD/CP/MOP/9/L.9.</w:t>
      </w:r>
    </w:p>
    <w:p w:rsidR="00D72273" w:rsidRPr="00C901E0" w:rsidRDefault="00510CBD" w:rsidP="00510CBD">
      <w:pPr>
        <w:pStyle w:val="Para1"/>
        <w:rPr>
          <w:lang w:val="es-ES"/>
        </w:rPr>
      </w:pPr>
      <w:r>
        <w:rPr>
          <w:rFonts w:eastAsia="Times New Roman"/>
          <w:szCs w:val="24"/>
          <w:lang w:val="es-ES"/>
        </w:rPr>
        <w:t>La Conferencia de las Partes que actúa como reunión de las Partes en el Protocolo de Cartagena adoptó el proyecto de decisión CBD/CP/MOP/9/L.9 como decisión CP-9/8 (véase el texto en el cap. I).</w:t>
      </w:r>
    </w:p>
    <w:p w:rsidR="00D72273" w:rsidRPr="00C901E0" w:rsidRDefault="00510CBD" w:rsidP="00D72273">
      <w:pPr>
        <w:pStyle w:val="Heading3"/>
        <w:tabs>
          <w:tab w:val="clear" w:pos="567"/>
        </w:tabs>
        <w:rPr>
          <w:color w:val="000000" w:themeColor="text1"/>
          <w:lang w:val="es-ES"/>
        </w:rPr>
      </w:pPr>
      <w:r w:rsidRPr="00510CBD">
        <w:rPr>
          <w:color w:val="000000" w:themeColor="text1"/>
          <w:lang w:val="es-ES"/>
        </w:rPr>
        <w:t>Procedimiento para evitar o tratar conflictos de intereses en los grupos de expertos</w:t>
      </w:r>
    </w:p>
    <w:p w:rsidR="00510CBD" w:rsidRDefault="00510CBD" w:rsidP="00510CBD">
      <w:pPr>
        <w:pStyle w:val="Para1"/>
        <w:tabs>
          <w:tab w:val="clear" w:pos="360"/>
        </w:tabs>
        <w:rPr>
          <w:rFonts w:eastAsia="Times New Roman"/>
          <w:szCs w:val="24"/>
          <w:lang w:val="es-ES"/>
        </w:rPr>
      </w:pPr>
      <w:r>
        <w:rPr>
          <w:rFonts w:eastAsia="Times New Roman"/>
          <w:szCs w:val="24"/>
          <w:lang w:val="es-ES"/>
        </w:rPr>
        <w:t xml:space="preserve">El Grupo de Trabajo I comenzó a tratar el segundo aspecto del tema 13 del programa en su sexta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21 de noviembre de 2018. Para examinar este tema, el Grupo de Trabajo tuvo ante sí un proyecto de decisión basado en la parte B de la recomendación SBI-2/15, que figura en la recopilación de proyectos de decisión (CBD/CP/MOP/9/1/Add.2), y un resumen de opiniones aportadas por las Partes y por observadores sobre el procedimiento para evitar o tratar conflictos de intereses en los grupos de expertos (CBD/COP/14/INF/3).</w:t>
      </w:r>
    </w:p>
    <w:p w:rsidR="00510CBD" w:rsidRDefault="00510CBD" w:rsidP="00510CBD">
      <w:pPr>
        <w:pStyle w:val="Para1"/>
        <w:tabs>
          <w:tab w:val="clear" w:pos="360"/>
        </w:tabs>
        <w:rPr>
          <w:rFonts w:eastAsia="Times New Roman"/>
          <w:i/>
          <w:szCs w:val="24"/>
          <w:lang w:val="es-ES"/>
        </w:rPr>
      </w:pPr>
      <w:r>
        <w:rPr>
          <w:rFonts w:eastAsia="Times New Roman"/>
          <w:szCs w:val="24"/>
          <w:lang w:val="es-ES"/>
        </w:rPr>
        <w:t>Formularon declaraciones representantes de Honduras, la India, Jordania, México, Nueva Zelandia, Panamá, el Paraguay, Suiza, Uganda (en nombre del Grupo</w:t>
      </w:r>
      <w:r w:rsidR="0076745A">
        <w:rPr>
          <w:rFonts w:eastAsia="Times New Roman"/>
          <w:szCs w:val="24"/>
          <w:lang w:val="es-ES"/>
        </w:rPr>
        <w:t xml:space="preserve"> de </w:t>
      </w:r>
      <w:r>
        <w:rPr>
          <w:rFonts w:eastAsia="Times New Roman"/>
          <w:szCs w:val="24"/>
          <w:lang w:val="es-ES"/>
        </w:rPr>
        <w:t>África) y la Unión Europea y sus 28 Estados miembros</w:t>
      </w:r>
      <w:r>
        <w:rPr>
          <w:rFonts w:eastAsia="Times New Roman"/>
          <w:color w:val="000000"/>
          <w:szCs w:val="24"/>
          <w:lang w:val="es-ES"/>
        </w:rPr>
        <w:t>.</w:t>
      </w:r>
    </w:p>
    <w:p w:rsidR="00510CBD" w:rsidRDefault="0076745A" w:rsidP="00510CBD">
      <w:pPr>
        <w:pStyle w:val="Para1"/>
        <w:tabs>
          <w:tab w:val="clear" w:pos="360"/>
        </w:tabs>
        <w:rPr>
          <w:rFonts w:eastAsia="Times New Roman"/>
          <w:szCs w:val="24"/>
          <w:lang w:val="es-ES"/>
        </w:rPr>
      </w:pPr>
      <w:r>
        <w:rPr>
          <w:rFonts w:eastAsia="Times New Roman"/>
          <w:szCs w:val="24"/>
          <w:lang w:val="es-ES"/>
        </w:rPr>
        <w:t>R</w:t>
      </w:r>
      <w:r w:rsidR="00510CBD">
        <w:rPr>
          <w:rFonts w:eastAsia="Times New Roman"/>
          <w:szCs w:val="24"/>
          <w:lang w:val="es-ES"/>
        </w:rPr>
        <w:t>epresentantes de la Argentina y el Canadá también formularon declaraciones</w:t>
      </w:r>
      <w:r w:rsidR="00510CBD">
        <w:rPr>
          <w:rFonts w:eastAsia="Times New Roman"/>
          <w:color w:val="000000"/>
          <w:szCs w:val="24"/>
          <w:lang w:val="es-ES"/>
        </w:rPr>
        <w:t>.</w:t>
      </w:r>
    </w:p>
    <w:p w:rsidR="00510CBD" w:rsidRDefault="00510CBD" w:rsidP="00510CBD">
      <w:pPr>
        <w:pStyle w:val="Para1"/>
        <w:tabs>
          <w:tab w:val="clear" w:pos="360"/>
        </w:tabs>
        <w:rPr>
          <w:rFonts w:eastAsia="Times New Roman"/>
          <w:szCs w:val="24"/>
          <w:lang w:val="es-ES"/>
        </w:rPr>
      </w:pPr>
      <w:r>
        <w:rPr>
          <w:rFonts w:eastAsia="Times New Roman"/>
          <w:szCs w:val="24"/>
          <w:lang w:val="es-ES"/>
        </w:rPr>
        <w:t xml:space="preserve">Asimismo, formularon declaraciones representantes del Instituto J. Craig Venter, PRRI y la Red del Tercer Mundo (en nombre de Amigos de la Tierra Internacional, </w:t>
      </w:r>
      <w:r w:rsidR="009107CD">
        <w:rPr>
          <w:rFonts w:eastAsia="Times New Roman"/>
          <w:szCs w:val="24"/>
          <w:lang w:val="es-ES"/>
        </w:rPr>
        <w:t xml:space="preserve">el </w:t>
      </w:r>
      <w:r>
        <w:rPr>
          <w:rFonts w:eastAsia="Times New Roman"/>
          <w:szCs w:val="24"/>
          <w:lang w:val="es-ES"/>
        </w:rPr>
        <w:t xml:space="preserve">Corporate Europe Observatory, EcoNexus, </w:t>
      </w:r>
      <w:r w:rsidR="009107CD">
        <w:rPr>
          <w:rFonts w:eastAsia="Times New Roman"/>
          <w:szCs w:val="24"/>
          <w:lang w:val="es-ES"/>
        </w:rPr>
        <w:t xml:space="preserve">el </w:t>
      </w:r>
      <w:r>
        <w:rPr>
          <w:rFonts w:eastAsia="Times New Roman"/>
          <w:szCs w:val="24"/>
          <w:lang w:val="es-ES"/>
        </w:rPr>
        <w:t>Grupo ETC y Pro Natura).</w:t>
      </w:r>
    </w:p>
    <w:p w:rsidR="00510CBD" w:rsidRDefault="00510CBD" w:rsidP="00510CBD">
      <w:pPr>
        <w:pStyle w:val="Para1"/>
        <w:tabs>
          <w:tab w:val="clear" w:pos="360"/>
        </w:tabs>
        <w:rPr>
          <w:rFonts w:eastAsia="Times New Roman"/>
          <w:szCs w:val="24"/>
          <w:lang w:val="es-ES"/>
        </w:rPr>
      </w:pPr>
      <w:r>
        <w:rPr>
          <w:rFonts w:eastAsia="Times New Roman"/>
          <w:szCs w:val="24"/>
          <w:lang w:val="es-ES"/>
        </w:rPr>
        <w:t xml:space="preserve">Tras el intercambio de opiniones, el Presidente estableció un grupo de </w:t>
      </w:r>
      <w:r w:rsidR="0076745A">
        <w:rPr>
          <w:rFonts w:eastAsia="Times New Roman"/>
          <w:szCs w:val="24"/>
          <w:lang w:val="es-ES"/>
        </w:rPr>
        <w:t>a</w:t>
      </w:r>
      <w:r>
        <w:rPr>
          <w:rFonts w:eastAsia="Times New Roman"/>
          <w:szCs w:val="24"/>
          <w:lang w:val="es-ES"/>
        </w:rPr>
        <w:t>migos de la Presidencia para que continuara deliberando sobre las cuestiones no resueltas.</w:t>
      </w:r>
    </w:p>
    <w:p w:rsidR="00510CBD" w:rsidRDefault="00510CBD" w:rsidP="00510CBD">
      <w:pPr>
        <w:pStyle w:val="Para1"/>
        <w:tabs>
          <w:tab w:val="clear" w:pos="360"/>
        </w:tabs>
        <w:rPr>
          <w:rFonts w:eastAsia="Times New Roman"/>
          <w:szCs w:val="24"/>
          <w:lang w:val="es-ES"/>
        </w:rPr>
      </w:pPr>
      <w:r>
        <w:rPr>
          <w:rFonts w:eastAsia="Times New Roman"/>
          <w:szCs w:val="24"/>
          <w:lang w:val="es-ES"/>
        </w:rPr>
        <w:t>En su 12</w:t>
      </w:r>
      <w:r>
        <w:rPr>
          <w:rFonts w:eastAsia="Times New Roman"/>
          <w:szCs w:val="24"/>
          <w:vertAlign w:val="superscript"/>
          <w:lang w:val="es-ES"/>
        </w:rPr>
        <w:t>a</w:t>
      </w:r>
      <w:r w:rsidR="00C812AC">
        <w:rPr>
          <w:rFonts w:eastAsia="Times New Roman"/>
          <w:szCs w:val="24"/>
          <w:lang w:val="es-ES"/>
        </w:rPr>
        <w:t>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28 de noviembre de 2018, el Grupo de Trabajo I consideró un proyecto de decisión revisado preparado por su Presidente.</w:t>
      </w:r>
    </w:p>
    <w:p w:rsidR="00510CBD" w:rsidRDefault="00510CBD" w:rsidP="00510CBD">
      <w:pPr>
        <w:pStyle w:val="Para1"/>
        <w:tabs>
          <w:tab w:val="clear" w:pos="360"/>
        </w:tabs>
        <w:rPr>
          <w:rFonts w:eastAsia="Times New Roman"/>
          <w:szCs w:val="24"/>
          <w:lang w:val="es-ES"/>
        </w:rPr>
      </w:pPr>
      <w:r>
        <w:rPr>
          <w:rFonts w:eastAsia="Times New Roman"/>
          <w:szCs w:val="24"/>
          <w:lang w:val="es-ES"/>
        </w:rPr>
        <w:t>Formularon declaraciones representantes de Suiza y la Unión Europea y sus 28 Estados miembros.</w:t>
      </w:r>
    </w:p>
    <w:p w:rsidR="00510CBD" w:rsidRDefault="00510CBD" w:rsidP="00510CBD">
      <w:pPr>
        <w:pStyle w:val="Para1"/>
        <w:tabs>
          <w:tab w:val="clear" w:pos="360"/>
        </w:tabs>
        <w:rPr>
          <w:rFonts w:eastAsia="Times New Roman"/>
          <w:szCs w:val="24"/>
          <w:lang w:val="es-ES"/>
        </w:rPr>
      </w:pPr>
      <w:r>
        <w:rPr>
          <w:rFonts w:eastAsia="Times New Roman"/>
          <w:szCs w:val="24"/>
          <w:lang w:val="es-ES"/>
        </w:rPr>
        <w:t>El Grupo de Trabajo aprobó el proyecto de decisión revisado, con las enmiendas efectuadas oralmente, para que fuera transmitido a la sesión plenaria como proyecto de decisión CBD/CP/MOP/9/L.15.</w:t>
      </w:r>
    </w:p>
    <w:p w:rsidR="00510CBD" w:rsidRDefault="00510CBD" w:rsidP="00510CBD">
      <w:pPr>
        <w:pStyle w:val="Para1"/>
        <w:tabs>
          <w:tab w:val="clear" w:pos="360"/>
        </w:tabs>
        <w:rPr>
          <w:rFonts w:eastAsia="Times New Roman"/>
          <w:szCs w:val="24"/>
          <w:lang w:val="es-ES"/>
        </w:rPr>
      </w:pPr>
      <w:r>
        <w:rPr>
          <w:rFonts w:eastAsia="Times New Roman"/>
          <w:szCs w:val="24"/>
          <w:lang w:val="es-ES"/>
        </w:rPr>
        <w:t>En la séptima sesión plenaria de la reunión, el 28 de noviembre de 2018, la Conferencia de las Partes que actúa como reunión de las Partes en el Protocolo de Cartagena examinó el proyecto de decisión CBD/CP/MOP/9/L.15.</w:t>
      </w:r>
    </w:p>
    <w:p w:rsidR="006C5568" w:rsidRPr="00C901E0" w:rsidRDefault="0076745A" w:rsidP="00510CBD">
      <w:pPr>
        <w:pStyle w:val="Para1"/>
        <w:tabs>
          <w:tab w:val="clear" w:pos="360"/>
        </w:tabs>
        <w:rPr>
          <w:lang w:val="es-ES"/>
        </w:rPr>
      </w:pPr>
      <w:r>
        <w:rPr>
          <w:rFonts w:eastAsia="Times New Roman"/>
          <w:szCs w:val="24"/>
          <w:lang w:val="es-ES"/>
        </w:rPr>
        <w:t xml:space="preserve">Tras algunas </w:t>
      </w:r>
      <w:r w:rsidR="00C812AC">
        <w:rPr>
          <w:rFonts w:eastAsia="Times New Roman"/>
          <w:szCs w:val="24"/>
          <w:lang w:val="es-ES"/>
        </w:rPr>
        <w:t>correcciones</w:t>
      </w:r>
      <w:r>
        <w:rPr>
          <w:rFonts w:eastAsia="Times New Roman"/>
          <w:szCs w:val="24"/>
          <w:lang w:val="es-ES"/>
        </w:rPr>
        <w:t xml:space="preserve"> orales </w:t>
      </w:r>
      <w:r w:rsidR="00C812AC">
        <w:rPr>
          <w:rFonts w:eastAsia="Times New Roman"/>
          <w:szCs w:val="24"/>
          <w:lang w:val="es-ES"/>
        </w:rPr>
        <w:t xml:space="preserve">realizadas </w:t>
      </w:r>
      <w:r>
        <w:rPr>
          <w:rFonts w:eastAsia="Times New Roman"/>
          <w:szCs w:val="24"/>
          <w:lang w:val="es-ES"/>
        </w:rPr>
        <w:t>por la Secretaría</w:t>
      </w:r>
      <w:r w:rsidR="00510CBD">
        <w:rPr>
          <w:rFonts w:eastAsia="Times New Roman"/>
          <w:szCs w:val="24"/>
          <w:lang w:val="es-ES"/>
        </w:rPr>
        <w:t>, la Conferencia de las Partes que actúa como reunión de las Partes en el Protocolo de Cartagena adoptó el proyecto de decisión CBD/CP/MOP/9/L.15 como decisión CP-9/10 (véase el texto en el cap. I).</w:t>
      </w:r>
    </w:p>
    <w:p w:rsidR="00495B7A" w:rsidRPr="00C901E0" w:rsidRDefault="00C20F5D" w:rsidP="00237524">
      <w:pPr>
        <w:pStyle w:val="heading2-item0"/>
        <w:ind w:left="1985" w:hanging="1418"/>
        <w:jc w:val="left"/>
        <w:rPr>
          <w:lang w:val="es-ES"/>
        </w:rPr>
      </w:pPr>
      <w:bookmarkStart w:id="84" w:name="_Toc879854"/>
      <w:bookmarkStart w:id="85" w:name="_Toc5922104"/>
      <w:r w:rsidRPr="00C901E0">
        <w:rPr>
          <w:lang w:val="es-ES"/>
        </w:rPr>
        <w:t>tem</w:t>
      </w:r>
      <w:r w:rsidR="00F83A2C">
        <w:rPr>
          <w:lang w:val="es-ES"/>
        </w:rPr>
        <w:t>A</w:t>
      </w:r>
      <w:r w:rsidRPr="00C901E0">
        <w:rPr>
          <w:lang w:val="es-ES"/>
        </w:rPr>
        <w:t xml:space="preserve"> 14.</w:t>
      </w:r>
      <w:r w:rsidRPr="00C901E0">
        <w:rPr>
          <w:lang w:val="es-ES"/>
        </w:rPr>
        <w:tab/>
      </w:r>
      <w:bookmarkEnd w:id="84"/>
      <w:r w:rsidR="00F83A2C" w:rsidRPr="00F83A2C">
        <w:rPr>
          <w:lang w:val="es-ES"/>
        </w:rPr>
        <w:t>PREPARACIÓN PARA LOS INSTRUMENTOS QUE SUCEDERÁN AL PLAN ESTRATÉGICO PARA LA DIVERSIDAD BIOLÓGICA 2011-2020 Y AL PLAN ESTRATÉGICO PARA EL PROTOCOLO DE CARTAGENA SOBRE</w:t>
      </w:r>
      <w:r w:rsidR="00F83A2C">
        <w:rPr>
          <w:lang w:val="es-ES"/>
        </w:rPr>
        <w:t xml:space="preserve"> SEGURIDAD DE LA BIOTECNOLOGÍA 2011-2020</w:t>
      </w:r>
      <w:bookmarkEnd w:id="85"/>
    </w:p>
    <w:p w:rsidR="00C07F84" w:rsidRDefault="00C07F84" w:rsidP="00C07F84">
      <w:pPr>
        <w:pStyle w:val="Para1"/>
        <w:tabs>
          <w:tab w:val="clear" w:pos="360"/>
        </w:tabs>
        <w:rPr>
          <w:rFonts w:eastAsia="Times New Roman"/>
          <w:szCs w:val="24"/>
          <w:lang w:val="es-ES"/>
        </w:rPr>
      </w:pPr>
      <w:r>
        <w:rPr>
          <w:rFonts w:eastAsia="Times New Roman"/>
          <w:szCs w:val="24"/>
          <w:lang w:val="es-ES"/>
        </w:rPr>
        <w:t xml:space="preserve">El tema 14 del programa se comenzó a tratar en la tercera sesión plenaria de la reunión, el 20 de noviembre de 2018, conjuntamente con el tema 17 del programa de la Conferencia de las Partes y el tema 16 del programa de la Conferencia de las Partes que actúa como reunión de las Partes en el Protocolo de Nagoya. Para examinar este tema, la Conferencia de las Partes que actúa como reunión de las Partes </w:t>
      </w:r>
      <w:r w:rsidR="0076745A">
        <w:rPr>
          <w:rFonts w:eastAsia="Times New Roman"/>
          <w:szCs w:val="24"/>
          <w:lang w:val="es-ES"/>
        </w:rPr>
        <w:t xml:space="preserve">en el Protocolo de Cartagena </w:t>
      </w:r>
      <w:r>
        <w:rPr>
          <w:rFonts w:eastAsia="Times New Roman"/>
          <w:szCs w:val="24"/>
          <w:lang w:val="es-ES"/>
        </w:rPr>
        <w:t xml:space="preserve">tuvo ante sí una nota de la Secretaria Ejecutiva sobre la preparación para la elaboración del instrumento que sucederá al Plan Estratégico para el Protocolo de Cartagena sobre Seguridad de la Biotecnología para el período 2011-2020 (CBD/CP/MOP/9/7) y un proyecto de decisión, que figura en la recopilación de proyectos de decisión (CBD/CP/MOP/9/1/Add.2), </w:t>
      </w:r>
      <w:r>
        <w:rPr>
          <w:rFonts w:eastAsia="Times New Roman"/>
          <w:szCs w:val="24"/>
          <w:lang w:val="es-ES"/>
        </w:rPr>
        <w:lastRenderedPageBreak/>
        <w:t>basado en la recomendación SBI-2/19 y elementos adicionales tomados del documento CBD/CP/MOP/9/7.</w:t>
      </w:r>
    </w:p>
    <w:p w:rsidR="00C07F84" w:rsidRDefault="00C07F84" w:rsidP="00C07F84">
      <w:pPr>
        <w:pStyle w:val="Para1"/>
        <w:tabs>
          <w:tab w:val="clear" w:pos="360"/>
        </w:tabs>
        <w:rPr>
          <w:rFonts w:eastAsia="Times New Roman"/>
          <w:szCs w:val="24"/>
          <w:lang w:val="es-ES"/>
        </w:rPr>
      </w:pPr>
      <w:r>
        <w:rPr>
          <w:rFonts w:eastAsia="Times New Roman"/>
          <w:szCs w:val="24"/>
          <w:lang w:val="es-ES"/>
        </w:rPr>
        <w:t xml:space="preserve">Formularon declaraciones representantes de Antigua y Barbuda, Argelia, Bangladesh, Bosnia y Herzegovina, Botswana, el Brasil, Burkina Faso, Camboya, el Camerún, China, Colombia (en nombre del Grupo de Países Megadiversos Afines), Costa Rica, Côte d’Ivoire, Cuba (en nombre de los pequeños Estados insulares en desarrollo), el Ecuador, Egipto, Etiopía, Filipinas, el Gabón, la India, Iraq, Jamaica, el Japón, Kenya, Malawi, </w:t>
      </w:r>
      <w:r w:rsidR="00E21C55">
        <w:rPr>
          <w:rFonts w:eastAsia="Times New Roman"/>
          <w:szCs w:val="24"/>
          <w:lang w:val="es-ES"/>
        </w:rPr>
        <w:t xml:space="preserve">Marruecos, </w:t>
      </w:r>
      <w:r>
        <w:rPr>
          <w:rFonts w:eastAsia="Times New Roman"/>
          <w:szCs w:val="24"/>
          <w:lang w:val="es-ES"/>
        </w:rPr>
        <w:t>México, Noruega, Nueva Zelandia, Palau (en nombre de los países insulares del Pacífico), el Panamá, la República Dominicana, la República Unida de Tanzanía, Saint Kitts y Nevis (en nombre del Grupo</w:t>
      </w:r>
      <w:r w:rsidR="00E21C55">
        <w:rPr>
          <w:rFonts w:eastAsia="Times New Roman"/>
          <w:szCs w:val="24"/>
          <w:lang w:val="es-ES"/>
        </w:rPr>
        <w:t xml:space="preserve"> de </w:t>
      </w:r>
      <w:r>
        <w:rPr>
          <w:rFonts w:eastAsia="Times New Roman"/>
          <w:szCs w:val="24"/>
          <w:lang w:val="es-ES"/>
        </w:rPr>
        <w:t>América Latina y el Caribe), Sudáfrica (en nombre del Grupo</w:t>
      </w:r>
      <w:r w:rsidR="00E21C55">
        <w:rPr>
          <w:rFonts w:eastAsia="Times New Roman"/>
          <w:szCs w:val="24"/>
          <w:lang w:val="es-ES"/>
        </w:rPr>
        <w:t xml:space="preserve"> de </w:t>
      </w:r>
      <w:r>
        <w:rPr>
          <w:rFonts w:eastAsia="Times New Roman"/>
          <w:szCs w:val="24"/>
          <w:lang w:val="es-ES"/>
        </w:rPr>
        <w:t>África), el Sudán, Suiza, Turquía, Uganda, la Unión Europea y sus 28 Estados miembros, el Uruguay y Venezuela (República Bolivariana de).</w:t>
      </w:r>
    </w:p>
    <w:p w:rsidR="00C07F84" w:rsidRDefault="00E21C55" w:rsidP="00C07F84">
      <w:pPr>
        <w:pStyle w:val="Para1"/>
        <w:tabs>
          <w:tab w:val="clear" w:pos="360"/>
        </w:tabs>
        <w:rPr>
          <w:rFonts w:eastAsia="Times New Roman"/>
          <w:szCs w:val="24"/>
          <w:lang w:val="es-ES"/>
        </w:rPr>
      </w:pPr>
      <w:r>
        <w:rPr>
          <w:rFonts w:eastAsia="Times New Roman"/>
          <w:szCs w:val="24"/>
          <w:lang w:val="es-ES"/>
        </w:rPr>
        <w:t>R</w:t>
      </w:r>
      <w:r w:rsidR="00C07F84">
        <w:rPr>
          <w:rFonts w:eastAsia="Times New Roman"/>
          <w:szCs w:val="24"/>
          <w:lang w:val="es-ES"/>
        </w:rPr>
        <w:t>epresentantes de la Argentina, el Canadá y Nepal también formularon declaraciones</w:t>
      </w:r>
      <w:r w:rsidR="00C07F84">
        <w:rPr>
          <w:rFonts w:eastAsia="Times New Roman"/>
          <w:color w:val="000000"/>
          <w:szCs w:val="24"/>
          <w:lang w:val="es-ES"/>
        </w:rPr>
        <w:t>.</w:t>
      </w:r>
    </w:p>
    <w:p w:rsidR="00C07F84" w:rsidRDefault="00C07F84" w:rsidP="00C07F84">
      <w:pPr>
        <w:pStyle w:val="Para1"/>
        <w:tabs>
          <w:tab w:val="clear" w:pos="360"/>
        </w:tabs>
        <w:rPr>
          <w:rFonts w:eastAsia="Times New Roman"/>
          <w:szCs w:val="24"/>
          <w:lang w:val="es-ES"/>
        </w:rPr>
      </w:pPr>
      <w:r>
        <w:rPr>
          <w:rFonts w:eastAsia="Times New Roman"/>
          <w:szCs w:val="24"/>
          <w:lang w:val="es-ES"/>
        </w:rPr>
        <w:t>Asimismo, formularon declaraciones representantes de la Entidad de las Naciones Unidas para la Igualdad de Género y el Empoderamiento de las Mujeres (ONU</w:t>
      </w:r>
      <w:r>
        <w:rPr>
          <w:rFonts w:eastAsia="Times New Roman"/>
          <w:szCs w:val="24"/>
          <w:lang w:val="es-ES"/>
        </w:rPr>
        <w:noBreakHyphen/>
        <w:t>Mujeres), la Organización de las Naciones Unidas para la Alimentación y la Agricultura (FAO) (también en nombre del Tratado Internacional sobre los Recursos Fitogenéticos para la Alimentación y la Agricultura) y la secretaría de la Convención sobre el Comercio Internacional de Especies Amenazadas de Fauna y Flora Silvestres (CITES) (en nombre del Grupo de Enlace de los Convenios relacionados con la Diversidad Biológica).</w:t>
      </w:r>
    </w:p>
    <w:p w:rsidR="00C07F84" w:rsidRDefault="00C07F84" w:rsidP="00C07F84">
      <w:pPr>
        <w:pStyle w:val="Para1"/>
        <w:tabs>
          <w:tab w:val="clear" w:pos="360"/>
        </w:tabs>
        <w:rPr>
          <w:rFonts w:eastAsia="Times New Roman"/>
          <w:szCs w:val="24"/>
          <w:lang w:val="es-ES"/>
        </w:rPr>
      </w:pPr>
      <w:r>
        <w:rPr>
          <w:rFonts w:eastAsia="Times New Roman"/>
          <w:szCs w:val="24"/>
          <w:lang w:val="es-ES"/>
        </w:rPr>
        <w:t>T</w:t>
      </w:r>
      <w:r w:rsidR="00E21C55">
        <w:rPr>
          <w:rFonts w:eastAsia="Times New Roman"/>
          <w:szCs w:val="24"/>
          <w:lang w:val="es-ES"/>
        </w:rPr>
        <w:t>ambién formularon declaraciones</w:t>
      </w:r>
      <w:r>
        <w:rPr>
          <w:rFonts w:eastAsia="Times New Roman"/>
          <w:szCs w:val="24"/>
          <w:lang w:val="es-ES"/>
        </w:rPr>
        <w:t xml:space="preserve"> representantes de Amigos de la Tierra Internacional (también en nombre de Bosques del Mundo, la Coalición Mundial por los Bosques, EcoNexus, la Fundación Ambiente y Recursos Naturales (FARN) y </w:t>
      </w:r>
      <w:r w:rsidR="009107CD">
        <w:rPr>
          <w:rFonts w:eastAsia="Times New Roman"/>
          <w:szCs w:val="24"/>
          <w:lang w:val="es-ES"/>
        </w:rPr>
        <w:t xml:space="preserve">la </w:t>
      </w:r>
      <w:r>
        <w:rPr>
          <w:rFonts w:eastAsia="Times New Roman"/>
          <w:szCs w:val="24"/>
          <w:lang w:val="es-ES"/>
        </w:rPr>
        <w:t xml:space="preserve">European Network for Ecological Reflection and Action (ECOROPA)), BirdLife International (también en nombre de Conservation International, </w:t>
      </w:r>
      <w:r w:rsidR="009107CD">
        <w:rPr>
          <w:rFonts w:eastAsia="Times New Roman"/>
          <w:szCs w:val="24"/>
          <w:lang w:val="es-ES"/>
        </w:rPr>
        <w:t xml:space="preserve">el </w:t>
      </w:r>
      <w:r>
        <w:rPr>
          <w:rFonts w:eastAsia="Times New Roman"/>
          <w:szCs w:val="24"/>
          <w:lang w:val="es-ES"/>
        </w:rPr>
        <w:t xml:space="preserve">International Fund for Animal Welfare (IFAW), Rare, </w:t>
      </w:r>
      <w:r w:rsidR="00100637">
        <w:rPr>
          <w:rFonts w:eastAsia="Times New Roman"/>
          <w:szCs w:val="24"/>
          <w:lang w:val="es-ES"/>
        </w:rPr>
        <w:t xml:space="preserve">la </w:t>
      </w:r>
      <w:r w:rsidR="00E21C55">
        <w:rPr>
          <w:rFonts w:eastAsia="Times New Roman"/>
          <w:szCs w:val="24"/>
          <w:lang w:val="es-ES"/>
        </w:rPr>
        <w:t>GYBN</w:t>
      </w:r>
      <w:r>
        <w:rPr>
          <w:rFonts w:eastAsia="Times New Roman"/>
          <w:szCs w:val="24"/>
          <w:lang w:val="es-ES"/>
        </w:rPr>
        <w:t xml:space="preserve">, </w:t>
      </w:r>
      <w:r w:rsidR="009107CD">
        <w:rPr>
          <w:rFonts w:eastAsia="Times New Roman"/>
          <w:szCs w:val="24"/>
          <w:lang w:val="es-ES"/>
        </w:rPr>
        <w:t xml:space="preserve">la </w:t>
      </w:r>
      <w:r>
        <w:rPr>
          <w:rFonts w:eastAsia="Times New Roman"/>
          <w:szCs w:val="24"/>
          <w:lang w:val="es-ES"/>
        </w:rPr>
        <w:t xml:space="preserve">Royal Society for the Protection of Birds (RSPB), The Nature Conservancy, The Pew Charitable Trusts y </w:t>
      </w:r>
      <w:r w:rsidR="009107CD">
        <w:rPr>
          <w:rFonts w:eastAsia="Times New Roman"/>
          <w:szCs w:val="24"/>
          <w:lang w:val="es-ES"/>
        </w:rPr>
        <w:t xml:space="preserve">el </w:t>
      </w:r>
      <w:r>
        <w:rPr>
          <w:rFonts w:eastAsia="Times New Roman"/>
          <w:szCs w:val="24"/>
          <w:lang w:val="es-ES"/>
        </w:rPr>
        <w:t xml:space="preserve">WWF), el Comité Internacional para la Soberanía Alimentaria, el FIIB, la GYBN, el Instituto de Estudios Avanzados de Sostenibilidad de la Universidad de las Naciones Unidas (UNU-IAS), la Red de Observación de la Diversidad Biológica del Grupo de Observaciones de la Tierra (GEO BON), la Unión Internacional para la Conservación de la Naturaleza (UICN) y </w:t>
      </w:r>
      <w:r w:rsidR="009107CD">
        <w:rPr>
          <w:rFonts w:eastAsia="Times New Roman"/>
          <w:szCs w:val="24"/>
          <w:lang w:val="es-ES"/>
        </w:rPr>
        <w:t xml:space="preserve">el </w:t>
      </w:r>
      <w:r>
        <w:rPr>
          <w:rFonts w:eastAsia="Times New Roman"/>
          <w:szCs w:val="24"/>
          <w:lang w:val="es-ES"/>
        </w:rPr>
        <w:t>WWF.</w:t>
      </w:r>
    </w:p>
    <w:p w:rsidR="00C07F84" w:rsidRDefault="00C07F84" w:rsidP="00C07F84">
      <w:pPr>
        <w:pStyle w:val="Para1"/>
        <w:tabs>
          <w:tab w:val="clear" w:pos="360"/>
        </w:tabs>
        <w:rPr>
          <w:rFonts w:eastAsia="Times New Roman"/>
          <w:szCs w:val="24"/>
          <w:lang w:val="es-ES"/>
        </w:rPr>
      </w:pPr>
      <w:bookmarkStart w:id="86" w:name="_Hlk1045867"/>
      <w:r>
        <w:rPr>
          <w:rFonts w:eastAsia="Times New Roman"/>
          <w:szCs w:val="24"/>
          <w:lang w:val="es-ES"/>
        </w:rPr>
        <w:t>Teniendo en cuenta las opiniones expresadas, la Conferencia de las Partes que actúa como reunión de las Partes decidió establecer un grupo de contacto, presidido por la Sra. Charlotta Sörqvist (Suecia) y el Sr. Francis Ogwal (Uganda), para deliberar sobre el proceso de preparación del marco mundial de la diversidad biológica posterior a 2020.</w:t>
      </w:r>
    </w:p>
    <w:bookmarkEnd w:id="86"/>
    <w:p w:rsidR="00C07F84" w:rsidRDefault="00C07F84" w:rsidP="00C07F84">
      <w:pPr>
        <w:pStyle w:val="Para1"/>
        <w:tabs>
          <w:tab w:val="clear" w:pos="360"/>
        </w:tabs>
        <w:rPr>
          <w:rFonts w:eastAsia="Times New Roman"/>
          <w:szCs w:val="24"/>
          <w:lang w:val="es-ES"/>
        </w:rPr>
      </w:pPr>
      <w:r>
        <w:rPr>
          <w:rFonts w:eastAsia="Times New Roman"/>
          <w:szCs w:val="24"/>
          <w:lang w:val="es-ES"/>
        </w:rPr>
        <w:t>En la cuarta sesión plenaria de la reunión, el 22 de noviembre de 2018, la presidencia del grupo de contacto informó sobre los progresos logrados en el grupo de contacto.</w:t>
      </w:r>
    </w:p>
    <w:p w:rsidR="00C07F84" w:rsidRDefault="00C07F84" w:rsidP="00C07F84">
      <w:pPr>
        <w:pStyle w:val="Para1"/>
        <w:tabs>
          <w:tab w:val="clear" w:pos="360"/>
        </w:tabs>
        <w:rPr>
          <w:rFonts w:eastAsia="Times New Roman"/>
          <w:color w:val="000000"/>
          <w:szCs w:val="24"/>
          <w:lang w:val="es-ES"/>
        </w:rPr>
      </w:pPr>
      <w:r>
        <w:rPr>
          <w:rFonts w:eastAsia="Times New Roman"/>
          <w:szCs w:val="24"/>
          <w:lang w:val="es-ES"/>
        </w:rPr>
        <w:t>En la quinta sesión plenaria de la reunión, el 25 de noviembre de 2018, la Conferencia de las Partes que actúa como reunión de las Partes en el Protocolo de Cartagena recibió otro informe de la presidencia del grupo de contacto.</w:t>
      </w:r>
    </w:p>
    <w:p w:rsidR="00C07F84" w:rsidRDefault="00C07F84" w:rsidP="00C07F84">
      <w:pPr>
        <w:pStyle w:val="Para1"/>
        <w:tabs>
          <w:tab w:val="clear" w:pos="360"/>
        </w:tabs>
        <w:rPr>
          <w:rFonts w:eastAsia="Times New Roman"/>
          <w:color w:val="000000"/>
          <w:szCs w:val="24"/>
          <w:lang w:val="es-ES"/>
        </w:rPr>
      </w:pPr>
      <w:r>
        <w:rPr>
          <w:rFonts w:eastAsia="Times New Roman"/>
          <w:szCs w:val="24"/>
          <w:lang w:val="es-ES"/>
        </w:rPr>
        <w:t xml:space="preserve">El representante de Noruega informó a la Conferencia de las Partes que actúa como reunión de las Partes en el Protocolo que, sujeto a aprobación parlamentaria, Noruega donaría 350.000 </w:t>
      </w:r>
      <w:r w:rsidR="00846D83">
        <w:rPr>
          <w:rFonts w:eastAsia="Times New Roman"/>
          <w:szCs w:val="24"/>
          <w:lang w:val="es-ES"/>
        </w:rPr>
        <w:t xml:space="preserve">dólares </w:t>
      </w:r>
      <w:r>
        <w:rPr>
          <w:rFonts w:eastAsia="Times New Roman"/>
          <w:szCs w:val="24"/>
          <w:lang w:val="es-ES"/>
        </w:rPr>
        <w:t xml:space="preserve">para la realización de talleres regionales en África, América Latina y el Caribe y Asia y el Pacífico, como su contribución para </w:t>
      </w:r>
      <w:r w:rsidR="00100637">
        <w:rPr>
          <w:rFonts w:eastAsia="Times New Roman"/>
          <w:szCs w:val="24"/>
          <w:lang w:val="es-ES"/>
        </w:rPr>
        <w:t>continuar con</w:t>
      </w:r>
      <w:r>
        <w:rPr>
          <w:rFonts w:eastAsia="Times New Roman"/>
          <w:szCs w:val="24"/>
          <w:lang w:val="es-ES"/>
        </w:rPr>
        <w:t xml:space="preserve"> la</w:t>
      </w:r>
      <w:r w:rsidR="00100637">
        <w:rPr>
          <w:rFonts w:eastAsia="Times New Roman"/>
          <w:szCs w:val="24"/>
          <w:lang w:val="es-ES"/>
        </w:rPr>
        <w:t>s</w:t>
      </w:r>
      <w:r>
        <w:rPr>
          <w:rFonts w:eastAsia="Times New Roman"/>
          <w:szCs w:val="24"/>
          <w:lang w:val="es-ES"/>
        </w:rPr>
        <w:t xml:space="preserve"> d</w:t>
      </w:r>
      <w:r w:rsidR="00100637">
        <w:rPr>
          <w:rFonts w:eastAsia="Times New Roman"/>
          <w:szCs w:val="24"/>
          <w:lang w:val="es-ES"/>
        </w:rPr>
        <w:t>eliberacione</w:t>
      </w:r>
      <w:r>
        <w:rPr>
          <w:rFonts w:eastAsia="Times New Roman"/>
          <w:szCs w:val="24"/>
          <w:lang w:val="es-ES"/>
        </w:rPr>
        <w:t xml:space="preserve">s sobre el marco posterior a 2020. Dijo asimismo que Noruega proporcionaría apoyo para viajes </w:t>
      </w:r>
      <w:r w:rsidR="00E21C55">
        <w:rPr>
          <w:rFonts w:eastAsia="Times New Roman"/>
          <w:szCs w:val="24"/>
          <w:lang w:val="es-ES"/>
        </w:rPr>
        <w:t>de</w:t>
      </w:r>
      <w:r>
        <w:rPr>
          <w:rFonts w:eastAsia="Times New Roman"/>
          <w:szCs w:val="24"/>
          <w:lang w:val="es-ES"/>
        </w:rPr>
        <w:t xml:space="preserve"> delegados de países en desarrollo que participen en la novena Conferencia de Trondheim sobre la Diversidad Biológica, </w:t>
      </w:r>
      <w:r w:rsidR="00E21C55">
        <w:rPr>
          <w:rFonts w:eastAsia="Times New Roman"/>
          <w:szCs w:val="24"/>
          <w:lang w:val="es-ES"/>
        </w:rPr>
        <w:t>prevista</w:t>
      </w:r>
      <w:r>
        <w:rPr>
          <w:rFonts w:eastAsia="Times New Roman"/>
          <w:szCs w:val="24"/>
          <w:lang w:val="es-ES"/>
        </w:rPr>
        <w:t xml:space="preserve"> </w:t>
      </w:r>
      <w:r w:rsidR="00E21C55">
        <w:rPr>
          <w:rFonts w:eastAsia="Times New Roman"/>
          <w:szCs w:val="24"/>
          <w:lang w:val="es-ES"/>
        </w:rPr>
        <w:t>para</w:t>
      </w:r>
      <w:r>
        <w:rPr>
          <w:rFonts w:eastAsia="Times New Roman"/>
          <w:szCs w:val="24"/>
          <w:lang w:val="es-ES"/>
        </w:rPr>
        <w:t xml:space="preserve"> julio de 2019.</w:t>
      </w:r>
    </w:p>
    <w:p w:rsidR="00C07F84" w:rsidRDefault="00C07F84" w:rsidP="00C07F84">
      <w:pPr>
        <w:pStyle w:val="Para1"/>
        <w:tabs>
          <w:tab w:val="clear" w:pos="360"/>
        </w:tabs>
        <w:rPr>
          <w:rFonts w:eastAsia="Times New Roman"/>
          <w:szCs w:val="24"/>
          <w:lang w:val="es-ES"/>
        </w:rPr>
      </w:pPr>
      <w:r>
        <w:rPr>
          <w:rFonts w:eastAsia="Times New Roman"/>
          <w:szCs w:val="24"/>
          <w:lang w:val="es-ES"/>
        </w:rPr>
        <w:t>En la sexta sesión plenaria de la reunión, el 28 de noviembre de 2018, la Conferencia de las Partes que actúa como reunión de las Partes en el Protocolo de Cartagena retomó la consideración del proyecto de decisión sobre este asunto.</w:t>
      </w:r>
    </w:p>
    <w:p w:rsidR="00C07F84" w:rsidRDefault="00C07F84" w:rsidP="00C07F84">
      <w:pPr>
        <w:pStyle w:val="Para1"/>
        <w:tabs>
          <w:tab w:val="clear" w:pos="360"/>
        </w:tabs>
        <w:rPr>
          <w:rFonts w:eastAsia="Times New Roman"/>
          <w:szCs w:val="24"/>
          <w:lang w:val="es-ES"/>
        </w:rPr>
      </w:pPr>
      <w:r>
        <w:rPr>
          <w:rFonts w:eastAsia="Times New Roman"/>
          <w:szCs w:val="24"/>
          <w:lang w:val="es-ES"/>
        </w:rPr>
        <w:t>Formuló una declaración un representante de Sudáfrica.</w:t>
      </w:r>
    </w:p>
    <w:p w:rsidR="00C07F84" w:rsidRDefault="00C07F84" w:rsidP="00C07F84">
      <w:pPr>
        <w:pStyle w:val="Para1"/>
        <w:tabs>
          <w:tab w:val="clear" w:pos="360"/>
        </w:tabs>
        <w:rPr>
          <w:rFonts w:eastAsia="Times New Roman"/>
          <w:szCs w:val="24"/>
          <w:lang w:val="es-ES"/>
        </w:rPr>
      </w:pPr>
      <w:r>
        <w:rPr>
          <w:rFonts w:eastAsia="Times New Roman"/>
          <w:szCs w:val="24"/>
          <w:lang w:val="es-ES"/>
        </w:rPr>
        <w:lastRenderedPageBreak/>
        <w:t>El proyecto de decisión se aprobó, con las enmiendas efectuadas oralmente, para su adopción formal como proyecto de decisión CBD/CP/MOP/9/L.16.</w:t>
      </w:r>
    </w:p>
    <w:p w:rsidR="00C07F84" w:rsidRDefault="00C07F84" w:rsidP="00C07F84">
      <w:pPr>
        <w:pStyle w:val="Para1"/>
        <w:tabs>
          <w:tab w:val="clear" w:pos="360"/>
        </w:tabs>
        <w:rPr>
          <w:rFonts w:eastAsia="Times New Roman"/>
          <w:szCs w:val="24"/>
          <w:lang w:val="es-ES"/>
        </w:rPr>
      </w:pPr>
      <w:r>
        <w:rPr>
          <w:rFonts w:eastAsia="Times New Roman"/>
          <w:szCs w:val="24"/>
          <w:lang w:val="es-ES"/>
        </w:rPr>
        <w:t>En la séptima sesión plenaria de la reunión, el 28 de noviembre de 2018, la Conferencia de las Partes que actúa como reunión de las Partes en el Protocolo de Cartagena examinó el proyecto de decisión CBD/CP/MOP/9/L.16.</w:t>
      </w:r>
    </w:p>
    <w:p w:rsidR="008253D1" w:rsidRPr="00C901E0" w:rsidRDefault="00C07F84" w:rsidP="00C07F84">
      <w:pPr>
        <w:pStyle w:val="Para1"/>
        <w:tabs>
          <w:tab w:val="clear" w:pos="360"/>
        </w:tabs>
        <w:rPr>
          <w:lang w:val="es-ES"/>
        </w:rPr>
      </w:pPr>
      <w:r>
        <w:rPr>
          <w:rFonts w:eastAsia="Times New Roman"/>
          <w:szCs w:val="24"/>
          <w:lang w:val="es-ES"/>
        </w:rPr>
        <w:t>La Conferencia de las Partes que actúa como reunión de las Partes en el Protocolo de Cartagena adoptó el proyecto de decisión CBD/C</w:t>
      </w:r>
      <w:r w:rsidR="008C19DA">
        <w:rPr>
          <w:rFonts w:eastAsia="Times New Roman"/>
          <w:szCs w:val="24"/>
          <w:lang w:val="es-ES"/>
        </w:rPr>
        <w:t>P/MOP/9/L.16 como decisión CP-9</w:t>
      </w:r>
      <w:r>
        <w:rPr>
          <w:rFonts w:eastAsia="Times New Roman"/>
          <w:szCs w:val="24"/>
          <w:lang w:val="es-ES"/>
        </w:rPr>
        <w:t>/7 (véase el texto en el cap. I).</w:t>
      </w:r>
    </w:p>
    <w:p w:rsidR="00636A6E" w:rsidRPr="00C901E0" w:rsidRDefault="00636A6E" w:rsidP="00237524">
      <w:pPr>
        <w:pStyle w:val="heading2-item0"/>
        <w:tabs>
          <w:tab w:val="clear" w:pos="720"/>
        </w:tabs>
        <w:ind w:left="1701" w:hanging="1134"/>
        <w:jc w:val="left"/>
        <w:rPr>
          <w:lang w:val="es-ES"/>
        </w:rPr>
      </w:pPr>
      <w:bookmarkStart w:id="87" w:name="_Toc879855"/>
      <w:bookmarkStart w:id="88" w:name="_Toc5922105"/>
      <w:r w:rsidRPr="00C901E0">
        <w:rPr>
          <w:lang w:val="es-ES"/>
        </w:rPr>
        <w:t>TEM</w:t>
      </w:r>
      <w:r w:rsidR="00C07F84">
        <w:rPr>
          <w:lang w:val="es-ES"/>
        </w:rPr>
        <w:t>A</w:t>
      </w:r>
      <w:r w:rsidRPr="00C901E0">
        <w:rPr>
          <w:lang w:val="es-ES"/>
        </w:rPr>
        <w:t xml:space="preserve"> 15.</w:t>
      </w:r>
      <w:r w:rsidRPr="00C901E0">
        <w:rPr>
          <w:lang w:val="es-ES"/>
        </w:rPr>
        <w:tab/>
      </w:r>
      <w:bookmarkEnd w:id="87"/>
      <w:r w:rsidR="00C07F84" w:rsidRPr="00C07F84">
        <w:rPr>
          <w:lang w:val="es-ES"/>
        </w:rPr>
        <w:t>EVALUACIÓN DEL RIESGO Y GESTIÓN DEL RIESGO</w:t>
      </w:r>
      <w:r w:rsidR="008C19DA">
        <w:rPr>
          <w:lang w:val="es-ES"/>
        </w:rPr>
        <w:br w:type="textWrapping" w:clear="all"/>
      </w:r>
      <w:r w:rsidR="00C07F84" w:rsidRPr="00C07F84">
        <w:rPr>
          <w:lang w:val="es-ES"/>
        </w:rPr>
        <w:t>(ARTÍCULOS 15 Y</w:t>
      </w:r>
      <w:r w:rsidR="00C07F84">
        <w:rPr>
          <w:lang w:val="es-ES"/>
        </w:rPr>
        <w:t> </w:t>
      </w:r>
      <w:r w:rsidR="00C07F84" w:rsidRPr="00C07F84">
        <w:rPr>
          <w:lang w:val="es-ES"/>
        </w:rPr>
        <w:t>16)</w:t>
      </w:r>
      <w:bookmarkEnd w:id="88"/>
    </w:p>
    <w:p w:rsidR="00C07F84" w:rsidRDefault="00C07F84" w:rsidP="00C07F84">
      <w:pPr>
        <w:pStyle w:val="Para1"/>
        <w:tabs>
          <w:tab w:val="clear" w:pos="360"/>
        </w:tabs>
        <w:spacing w:before="0" w:after="0"/>
        <w:rPr>
          <w:rFonts w:eastAsia="Times New Roman"/>
          <w:szCs w:val="24"/>
          <w:lang w:val="es-ES"/>
        </w:rPr>
      </w:pPr>
      <w:r>
        <w:rPr>
          <w:rFonts w:eastAsia="Times New Roman"/>
          <w:szCs w:val="24"/>
          <w:lang w:val="es-ES"/>
        </w:rPr>
        <w:t xml:space="preserve">El Grupo de Trabajo II comenzó a tratar el tema 15 del programa en su primera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18 de noviembre de 2018. Para examinar este tema, el Grupo de Trabajo tuvo ante sí un proyecto de decisión basado en la recomendación SBSTTA-22/2, que figura en la recopilación de proyectos de decisión (CBD/CP/MOP/9/1/Add.2), así como un informe sobre los progresos logrados en las actividades de creación de capacidad en materia de evaluación del riesgo de organismos vivos modificados (CBD/CP/MOP/9/INF/3).</w:t>
      </w:r>
    </w:p>
    <w:p w:rsidR="00C07F84" w:rsidRDefault="00C07F84" w:rsidP="00C07F84">
      <w:pPr>
        <w:pStyle w:val="Para1"/>
        <w:tabs>
          <w:tab w:val="clear" w:pos="360"/>
        </w:tabs>
        <w:rPr>
          <w:rFonts w:eastAsia="Times New Roman"/>
          <w:szCs w:val="24"/>
          <w:lang w:val="es-ES"/>
        </w:rPr>
      </w:pPr>
      <w:r>
        <w:rPr>
          <w:rFonts w:eastAsia="Times New Roman"/>
          <w:szCs w:val="24"/>
          <w:lang w:val="es-ES"/>
        </w:rPr>
        <w:t>Formularon declaraciones representantes de Bolivia (Estado Plurinacional de), Guatemala, Malawi (en nombre del Grupo</w:t>
      </w:r>
      <w:r w:rsidR="008C19DA">
        <w:rPr>
          <w:rFonts w:eastAsia="Times New Roman"/>
          <w:szCs w:val="24"/>
          <w:lang w:val="es-ES"/>
        </w:rPr>
        <w:t xml:space="preserve"> de </w:t>
      </w:r>
      <w:r>
        <w:rPr>
          <w:rFonts w:eastAsia="Times New Roman"/>
          <w:szCs w:val="24"/>
          <w:lang w:val="es-ES"/>
        </w:rPr>
        <w:t>África), Nueva Zelandia, Tailandia y la Unión Europea y sus 28 Estados miembros.</w:t>
      </w:r>
    </w:p>
    <w:p w:rsidR="00C07F84" w:rsidRDefault="00C07F84" w:rsidP="00C07F84">
      <w:pPr>
        <w:pStyle w:val="Para1"/>
        <w:tabs>
          <w:tab w:val="clear" w:pos="360"/>
        </w:tabs>
        <w:rPr>
          <w:rFonts w:eastAsia="Times New Roman"/>
          <w:szCs w:val="24"/>
          <w:lang w:val="es-ES"/>
        </w:rPr>
      </w:pPr>
      <w:r>
        <w:rPr>
          <w:rFonts w:eastAsia="Times New Roman"/>
          <w:szCs w:val="24"/>
          <w:lang w:val="es-ES"/>
        </w:rPr>
        <w:t xml:space="preserve">En su segunda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18 de noviembre de 2018, el Grupo de Trabajo retomó la consideración de este tema.</w:t>
      </w:r>
    </w:p>
    <w:p w:rsidR="00C07F84" w:rsidRDefault="00C07F84" w:rsidP="00C07F84">
      <w:pPr>
        <w:pStyle w:val="Para1"/>
        <w:tabs>
          <w:tab w:val="clear" w:pos="360"/>
        </w:tabs>
        <w:rPr>
          <w:rFonts w:eastAsia="Times New Roman"/>
          <w:szCs w:val="24"/>
          <w:lang w:val="es-ES"/>
        </w:rPr>
      </w:pPr>
      <w:r>
        <w:rPr>
          <w:rFonts w:eastAsia="Times New Roman"/>
          <w:szCs w:val="24"/>
          <w:lang w:val="es-ES"/>
        </w:rPr>
        <w:t>Formularon declaraciones representantes de la Arabia Saudita, Belarús, el Brasil, Chad, China, Colombia, Costa Rica, Eswatini, Filipinas, el Gabón, Ghana, Honduras, la India, el Japón, Kenya, Marruecos, México, Noruega, el Paraguay, el Perú, Suiza, Uganda, el Uruguay y Venezuela (República Bolivariana de).</w:t>
      </w:r>
    </w:p>
    <w:p w:rsidR="00C07F84" w:rsidRDefault="00C07F84" w:rsidP="00C07F84">
      <w:pPr>
        <w:pStyle w:val="Para1"/>
        <w:tabs>
          <w:tab w:val="clear" w:pos="360"/>
        </w:tabs>
        <w:rPr>
          <w:rFonts w:eastAsia="Times New Roman"/>
          <w:szCs w:val="24"/>
          <w:lang w:val="es-ES"/>
        </w:rPr>
      </w:pPr>
      <w:r>
        <w:rPr>
          <w:rFonts w:eastAsia="Times New Roman"/>
          <w:szCs w:val="24"/>
          <w:lang w:val="es-ES"/>
        </w:rPr>
        <w:t>También formuló una declaración un representante de la Argentina.</w:t>
      </w:r>
    </w:p>
    <w:p w:rsidR="00C07F84" w:rsidRDefault="00C07F84" w:rsidP="00C07F84">
      <w:pPr>
        <w:pStyle w:val="Para1"/>
        <w:tabs>
          <w:tab w:val="clear" w:pos="360"/>
        </w:tabs>
        <w:rPr>
          <w:rFonts w:eastAsia="Times New Roman"/>
          <w:b/>
          <w:szCs w:val="24"/>
          <w:lang w:val="es-ES"/>
        </w:rPr>
      </w:pPr>
      <w:r>
        <w:rPr>
          <w:rFonts w:eastAsia="Times New Roman"/>
          <w:szCs w:val="24"/>
          <w:lang w:val="es-ES"/>
        </w:rPr>
        <w:t>Asimismo, formularon declaraciones representantes del Centro para el Apoyo de los Pueblos Indígenas del Norte (CSIPN) (también en nombre del FIIB), la PRRI, Target Malaria y Youth Biotech.</w:t>
      </w:r>
    </w:p>
    <w:p w:rsidR="00C07F84" w:rsidRDefault="00C07F84" w:rsidP="00C07F84">
      <w:pPr>
        <w:pStyle w:val="Para1"/>
        <w:tabs>
          <w:tab w:val="clear" w:pos="360"/>
        </w:tabs>
        <w:rPr>
          <w:rFonts w:eastAsia="Times New Roman"/>
          <w:i/>
          <w:szCs w:val="24"/>
          <w:lang w:val="es-ES"/>
        </w:rPr>
      </w:pPr>
      <w:r>
        <w:rPr>
          <w:rFonts w:eastAsia="Times New Roman"/>
          <w:szCs w:val="24"/>
          <w:lang w:val="es-ES"/>
        </w:rPr>
        <w:t xml:space="preserve">El Grupo de Trabajo retomó la consideración del tema en su octava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 xml:space="preserve">ión, el 22 de noviembre de 2018. </w:t>
      </w:r>
      <w:r w:rsidR="00BD71F7">
        <w:rPr>
          <w:rFonts w:eastAsia="Times New Roman"/>
          <w:szCs w:val="24"/>
          <w:lang w:val="es-ES"/>
        </w:rPr>
        <w:t>D</w:t>
      </w:r>
      <w:r>
        <w:rPr>
          <w:rFonts w:eastAsia="Times New Roman"/>
          <w:szCs w:val="24"/>
          <w:lang w:val="es-ES"/>
        </w:rPr>
        <w:t xml:space="preserve">ada la estrecha relación de algunos elementos del proyecto de decisión sobre evaluación del riesgo y gestión del riesgo con </w:t>
      </w:r>
      <w:r w:rsidR="00BD71F7">
        <w:rPr>
          <w:rFonts w:eastAsia="Times New Roman"/>
          <w:szCs w:val="24"/>
          <w:lang w:val="es-ES"/>
        </w:rPr>
        <w:t>e</w:t>
      </w:r>
      <w:r>
        <w:rPr>
          <w:rFonts w:eastAsia="Times New Roman"/>
          <w:szCs w:val="24"/>
          <w:lang w:val="es-ES"/>
        </w:rPr>
        <w:t>l</w:t>
      </w:r>
      <w:r w:rsidR="00BD71F7">
        <w:rPr>
          <w:rFonts w:eastAsia="Times New Roman"/>
          <w:szCs w:val="24"/>
          <w:lang w:val="es-ES"/>
        </w:rPr>
        <w:t>ement</w:t>
      </w:r>
      <w:r>
        <w:rPr>
          <w:rFonts w:eastAsia="Times New Roman"/>
          <w:szCs w:val="24"/>
          <w:lang w:val="es-ES"/>
        </w:rPr>
        <w:t xml:space="preserve">os del proyecto de decisión sobre biología sintética que estaba considerando la Conferencia de las Partes, </w:t>
      </w:r>
      <w:r w:rsidR="00BD71F7">
        <w:rPr>
          <w:rFonts w:eastAsia="Times New Roman"/>
          <w:szCs w:val="24"/>
          <w:lang w:val="es-ES"/>
        </w:rPr>
        <w:t xml:space="preserve">se decidió </w:t>
      </w:r>
      <w:r>
        <w:rPr>
          <w:rFonts w:eastAsia="Times New Roman"/>
          <w:szCs w:val="24"/>
          <w:lang w:val="es-ES"/>
        </w:rPr>
        <w:t>establecer un grupo de contacto presidido por el Sr. Horst Korn (Alemania), que también presidía el grupo de contacto sobre biología sintética, para resolver el texto del proyecto de decisión</w:t>
      </w:r>
      <w:r w:rsidR="00BD71F7" w:rsidRPr="00BD71F7">
        <w:rPr>
          <w:rFonts w:eastAsia="Times New Roman"/>
          <w:szCs w:val="24"/>
          <w:lang w:val="es-ES"/>
        </w:rPr>
        <w:t xml:space="preserve"> </w:t>
      </w:r>
      <w:r w:rsidR="00BD71F7">
        <w:rPr>
          <w:rFonts w:eastAsia="Times New Roman"/>
          <w:szCs w:val="24"/>
          <w:lang w:val="es-ES"/>
        </w:rPr>
        <w:t>que estaba entre corchetes</w:t>
      </w:r>
      <w:r>
        <w:rPr>
          <w:rFonts w:eastAsia="Times New Roman"/>
          <w:szCs w:val="24"/>
          <w:lang w:val="es-ES"/>
        </w:rPr>
        <w:t>.</w:t>
      </w:r>
    </w:p>
    <w:p w:rsidR="00C07F84" w:rsidRDefault="00C07F84" w:rsidP="00C07F84">
      <w:pPr>
        <w:pStyle w:val="Para1"/>
        <w:tabs>
          <w:tab w:val="clear" w:pos="360"/>
        </w:tabs>
        <w:rPr>
          <w:rFonts w:eastAsia="Times New Roman"/>
          <w:szCs w:val="24"/>
          <w:lang w:val="es-ES"/>
        </w:rPr>
      </w:pPr>
      <w:r>
        <w:rPr>
          <w:rFonts w:eastAsia="Times New Roman"/>
          <w:szCs w:val="24"/>
          <w:lang w:val="es-ES"/>
        </w:rPr>
        <w:t>En su 17</w:t>
      </w:r>
      <w:r>
        <w:rPr>
          <w:rFonts w:eastAsia="Times New Roman"/>
          <w:szCs w:val="24"/>
          <w:vertAlign w:val="superscript"/>
          <w:lang w:val="es-ES"/>
        </w:rPr>
        <w:t>a</w:t>
      </w:r>
      <w:r>
        <w:rPr>
          <w:rFonts w:eastAsia="Times New Roman"/>
          <w:szCs w:val="24"/>
          <w:lang w:val="es-ES"/>
        </w:rPr>
        <w:t xml:space="preserve">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28 de noviembre de 2018, el Grupo de Trabajo aprobó una versión revisada del proyecto de decisión sobre evaluación del riesgo y gestión del riesgo (artículos 15 y 16) para que fuera transmitida a la sesión plenaria como proyecto de decisión CBD/CP/MOP/9/L.13.</w:t>
      </w:r>
    </w:p>
    <w:p w:rsidR="00C07F84" w:rsidRDefault="00C07F84" w:rsidP="00C07F84">
      <w:pPr>
        <w:pStyle w:val="Para1"/>
        <w:tabs>
          <w:tab w:val="clear" w:pos="360"/>
        </w:tabs>
        <w:rPr>
          <w:rFonts w:eastAsia="Times New Roman"/>
          <w:szCs w:val="24"/>
          <w:lang w:val="es-ES"/>
        </w:rPr>
      </w:pPr>
      <w:r>
        <w:rPr>
          <w:rFonts w:eastAsia="Times New Roman"/>
          <w:szCs w:val="24"/>
          <w:lang w:val="es-ES"/>
        </w:rPr>
        <w:t>En la séptima sesión plenaria de la reunión, el 28 de noviembre de 2018, la Conferencia de las Partes que actúa como reunión de las Partes en el Protocolo de Cartagena examinó el proyecto de decisión CBD/CP/MOP/9/L.13.</w:t>
      </w:r>
    </w:p>
    <w:p w:rsidR="006C5568" w:rsidRPr="00C901E0" w:rsidRDefault="00C07F84" w:rsidP="00C07F84">
      <w:pPr>
        <w:pStyle w:val="Para1"/>
        <w:tabs>
          <w:tab w:val="clear" w:pos="360"/>
        </w:tabs>
        <w:rPr>
          <w:lang w:val="es-ES"/>
        </w:rPr>
      </w:pPr>
      <w:r>
        <w:rPr>
          <w:rFonts w:eastAsia="Times New Roman"/>
          <w:szCs w:val="24"/>
          <w:lang w:val="es-ES"/>
        </w:rPr>
        <w:t>La Conferencia de las Partes que actúa como reunión de las Partes en el Protocolo de Cartagena adoptó el proyecto de decisión CBD/CP/MOP/9/L.13 como decisión CP-9/13 (véase el texto en el cap. I).</w:t>
      </w:r>
    </w:p>
    <w:p w:rsidR="00636A6E" w:rsidRPr="00C901E0" w:rsidRDefault="00636A6E" w:rsidP="00237524">
      <w:pPr>
        <w:pStyle w:val="heading2-item0"/>
        <w:tabs>
          <w:tab w:val="clear" w:pos="720"/>
        </w:tabs>
        <w:ind w:left="1985" w:hanging="1418"/>
        <w:jc w:val="left"/>
        <w:rPr>
          <w:lang w:val="es-ES"/>
        </w:rPr>
      </w:pPr>
      <w:bookmarkStart w:id="89" w:name="_Toc879856"/>
      <w:bookmarkStart w:id="90" w:name="_Toc5922106"/>
      <w:r w:rsidRPr="00C901E0">
        <w:rPr>
          <w:lang w:val="es-ES"/>
        </w:rPr>
        <w:t>TEM</w:t>
      </w:r>
      <w:r w:rsidR="00224365">
        <w:rPr>
          <w:lang w:val="es-ES"/>
        </w:rPr>
        <w:t>A</w:t>
      </w:r>
      <w:r w:rsidRPr="00C901E0">
        <w:rPr>
          <w:lang w:val="es-ES"/>
        </w:rPr>
        <w:t xml:space="preserve"> 16.</w:t>
      </w:r>
      <w:r w:rsidRPr="00C901E0">
        <w:rPr>
          <w:lang w:val="es-ES"/>
        </w:rPr>
        <w:tab/>
      </w:r>
      <w:bookmarkEnd w:id="89"/>
      <w:r w:rsidR="00224365" w:rsidRPr="00224365">
        <w:rPr>
          <w:lang w:val="es-ES"/>
        </w:rPr>
        <w:t>MOVIMIENTOS TRANSFRONTERIZOS INVOLUNTARIOS Y MEDIDAS DE EMERGENCIA (ARTÍCULO 17)</w:t>
      </w:r>
      <w:bookmarkEnd w:id="90"/>
    </w:p>
    <w:p w:rsidR="00224365" w:rsidRDefault="00224365" w:rsidP="00224365">
      <w:pPr>
        <w:pStyle w:val="Para1"/>
        <w:tabs>
          <w:tab w:val="clear" w:pos="360"/>
        </w:tabs>
        <w:rPr>
          <w:rFonts w:eastAsia="Times New Roman"/>
          <w:szCs w:val="24"/>
          <w:lang w:val="es-ES"/>
        </w:rPr>
      </w:pPr>
      <w:r>
        <w:rPr>
          <w:rFonts w:eastAsia="Times New Roman"/>
          <w:szCs w:val="24"/>
          <w:lang w:val="es-ES"/>
        </w:rPr>
        <w:t xml:space="preserve">El Grupo de Trabajo II comenzó a tratar el tema 16 del programa en su segunda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 xml:space="preserve">ión, el 18 de noviembre de 2018. Para examinar este tema, el Grupo de Trabajo tuvo ante sí un informe resumido de las </w:t>
      </w:r>
      <w:r>
        <w:rPr>
          <w:rFonts w:eastAsia="Times New Roman"/>
          <w:szCs w:val="24"/>
          <w:lang w:val="es-ES"/>
        </w:rPr>
        <w:lastRenderedPageBreak/>
        <w:t>actividades emprendidas en respuesta a la decisión CP-VIII/16 (CBD/CP/MOP/9/8), incluido un proyecto de decisión; una versión revisada del proyecto de manual de capacitación sobre detección e identificación de organismos vivos modificados (CBD/CP/MOP/9/8/Add.1); y un resumen de las actividades de creación de capacidad en materia de detección e identificación de organismos vivos modificados (CBD/CP/MOP/9/INF/4).</w:t>
      </w:r>
    </w:p>
    <w:p w:rsidR="00224365" w:rsidRDefault="00224365" w:rsidP="00224365">
      <w:pPr>
        <w:pStyle w:val="Para1"/>
        <w:tabs>
          <w:tab w:val="clear" w:pos="360"/>
        </w:tabs>
        <w:rPr>
          <w:rFonts w:eastAsia="Times New Roman"/>
          <w:szCs w:val="24"/>
          <w:lang w:val="es-ES"/>
        </w:rPr>
      </w:pPr>
      <w:r>
        <w:rPr>
          <w:rFonts w:eastAsia="Times New Roman"/>
          <w:szCs w:val="24"/>
          <w:lang w:val="es-ES"/>
        </w:rPr>
        <w:t>Formularon declaraciones representantes de Belarús, Bolivia (Estado Plurinacional de), Costa Rica, el Ecuador, el Gabón, Ghana, Guatemala, Guinea, Honduras, la India, Indonesia, Kenya, Malawi, México, Namibia, Omán, Panamá, el Paraguay, el Perú, la República Centroafricana, la República de Corea, Sri Lanka, Sudáfrica, Tailandia, Tayikistán, la Unión Europea y sus 28 Estados miembros y el Uruguay.</w:t>
      </w:r>
    </w:p>
    <w:p w:rsidR="00224365" w:rsidRDefault="00224365" w:rsidP="00224365">
      <w:pPr>
        <w:pStyle w:val="Para1"/>
        <w:tabs>
          <w:tab w:val="clear" w:pos="360"/>
        </w:tabs>
        <w:rPr>
          <w:rFonts w:eastAsia="Times New Roman"/>
          <w:color w:val="222222"/>
          <w:szCs w:val="24"/>
          <w:shd w:val="clear" w:color="auto" w:fill="FFFFFF"/>
          <w:lang w:val="es-ES"/>
        </w:rPr>
      </w:pPr>
      <w:r>
        <w:rPr>
          <w:rFonts w:eastAsia="Times New Roman"/>
          <w:szCs w:val="24"/>
          <w:lang w:val="es-ES"/>
        </w:rPr>
        <w:t>También formuló una declaración un representante de la Argentina.</w:t>
      </w:r>
    </w:p>
    <w:p w:rsidR="00224365" w:rsidRDefault="00224365" w:rsidP="00224365">
      <w:pPr>
        <w:pStyle w:val="Para1"/>
        <w:tabs>
          <w:tab w:val="clear" w:pos="360"/>
        </w:tabs>
        <w:rPr>
          <w:rFonts w:eastAsia="Times New Roman"/>
          <w:szCs w:val="24"/>
          <w:lang w:val="es-ES"/>
        </w:rPr>
      </w:pPr>
      <w:r>
        <w:rPr>
          <w:rFonts w:eastAsia="Times New Roman"/>
          <w:szCs w:val="24"/>
          <w:lang w:val="es-ES"/>
        </w:rPr>
        <w:t>Tras el intercambio de opiniones, la Presidenta anunció que prepararía un proyecto de decisión revisado, tomando en cuenta las opiniones expresadas oralmente y presentadas por escrito, para que fuera considerado por el Grupo de Trabajo.</w:t>
      </w:r>
    </w:p>
    <w:p w:rsidR="00224365" w:rsidRDefault="00224365" w:rsidP="00224365">
      <w:pPr>
        <w:pStyle w:val="Para1"/>
        <w:tabs>
          <w:tab w:val="clear" w:pos="360"/>
        </w:tabs>
        <w:rPr>
          <w:rFonts w:eastAsia="Times New Roman"/>
          <w:szCs w:val="24"/>
          <w:lang w:val="es-ES"/>
        </w:rPr>
      </w:pPr>
      <w:r>
        <w:rPr>
          <w:rFonts w:eastAsia="Times New Roman"/>
          <w:szCs w:val="24"/>
          <w:lang w:val="es-ES"/>
        </w:rPr>
        <w:t xml:space="preserve">En su séptima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miércoles 21 de noviembre, el Grupo de Trabajo examinó el proyecto de decisión revisado preparado por la Presidenta.</w:t>
      </w:r>
    </w:p>
    <w:p w:rsidR="00224365" w:rsidRDefault="00224365" w:rsidP="00224365">
      <w:pPr>
        <w:pStyle w:val="Para1"/>
        <w:tabs>
          <w:tab w:val="clear" w:pos="360"/>
        </w:tabs>
        <w:rPr>
          <w:rFonts w:eastAsia="Times New Roman"/>
          <w:szCs w:val="24"/>
          <w:lang w:val="es-ES"/>
        </w:rPr>
      </w:pPr>
      <w:r>
        <w:rPr>
          <w:rFonts w:eastAsia="Times New Roman"/>
          <w:szCs w:val="24"/>
          <w:lang w:val="es-ES"/>
        </w:rPr>
        <w:t>Formularon declaraciones representantes de la Arabia Saudita, Belarús, Bolivia (Estado Plurinacional de), el Brasil, el Camerún, Colombia, Costa Rica, Egipto, el Gabón, Honduras, Indonesia, México, Namibia, Panamá, el Paraguay, Sudáfrica, Suiza, Tayikistán, Uganda, la Unión Europea y sus 28 Estados miembros y Venezuela (República Bolivariana de).</w:t>
      </w:r>
    </w:p>
    <w:p w:rsidR="00224365" w:rsidRDefault="00224365" w:rsidP="00224365">
      <w:pPr>
        <w:pStyle w:val="Para1"/>
        <w:tabs>
          <w:tab w:val="clear" w:pos="360"/>
        </w:tabs>
        <w:rPr>
          <w:rFonts w:eastAsia="Times New Roman"/>
          <w:i/>
          <w:szCs w:val="24"/>
          <w:lang w:val="es-ES"/>
        </w:rPr>
      </w:pPr>
      <w:r>
        <w:rPr>
          <w:rFonts w:eastAsia="Times New Roman"/>
          <w:szCs w:val="24"/>
          <w:lang w:val="es-ES"/>
        </w:rPr>
        <w:t xml:space="preserve">Formuló también una declaración </w:t>
      </w:r>
      <w:r w:rsidR="00BD71F7">
        <w:rPr>
          <w:rFonts w:eastAsia="Times New Roman"/>
          <w:szCs w:val="24"/>
          <w:lang w:val="es-ES"/>
        </w:rPr>
        <w:t>un</w:t>
      </w:r>
      <w:r>
        <w:rPr>
          <w:rFonts w:eastAsia="Times New Roman"/>
          <w:szCs w:val="24"/>
          <w:lang w:val="es-ES"/>
        </w:rPr>
        <w:t xml:space="preserve"> representante de la Argentina.</w:t>
      </w:r>
    </w:p>
    <w:p w:rsidR="00224365" w:rsidRDefault="00224365" w:rsidP="00224365">
      <w:pPr>
        <w:pStyle w:val="Para1"/>
        <w:tabs>
          <w:tab w:val="clear" w:pos="360"/>
        </w:tabs>
        <w:rPr>
          <w:rFonts w:eastAsia="Times New Roman"/>
          <w:i/>
          <w:szCs w:val="24"/>
          <w:lang w:val="es-ES"/>
        </w:rPr>
      </w:pPr>
      <w:r>
        <w:rPr>
          <w:rFonts w:eastAsia="Times New Roman"/>
          <w:szCs w:val="24"/>
          <w:lang w:val="es-ES"/>
        </w:rPr>
        <w:t xml:space="preserve">El Grupo de Trabajo </w:t>
      </w:r>
      <w:r w:rsidR="00BD71F7">
        <w:rPr>
          <w:rFonts w:eastAsia="Times New Roman"/>
          <w:szCs w:val="24"/>
          <w:lang w:val="es-ES"/>
        </w:rPr>
        <w:t>resolvió</w:t>
      </w:r>
      <w:r>
        <w:rPr>
          <w:rFonts w:eastAsia="Times New Roman"/>
          <w:szCs w:val="24"/>
          <w:lang w:val="es-ES"/>
        </w:rPr>
        <w:t xml:space="preserve"> mantener deliberaciones informales sobre el texto no resuelto.</w:t>
      </w:r>
    </w:p>
    <w:p w:rsidR="00224365" w:rsidRDefault="00224365" w:rsidP="00224365">
      <w:pPr>
        <w:pStyle w:val="Para1"/>
        <w:tabs>
          <w:tab w:val="clear" w:pos="360"/>
        </w:tabs>
        <w:rPr>
          <w:rFonts w:eastAsia="Times New Roman"/>
          <w:szCs w:val="24"/>
          <w:lang w:val="es-ES"/>
        </w:rPr>
      </w:pPr>
      <w:r>
        <w:rPr>
          <w:rFonts w:eastAsia="Times New Roman"/>
          <w:szCs w:val="24"/>
          <w:lang w:val="es-ES"/>
        </w:rPr>
        <w:t xml:space="preserve">En su octava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22 de noviembre de 2018, el Grupo de Trabajo retomó la consideración del proyecto de decisión revisado, incluidas las enmiendas propuestas sobre la base de las deliberaciones informales.</w:t>
      </w:r>
    </w:p>
    <w:p w:rsidR="00224365" w:rsidRDefault="00224365" w:rsidP="00224365">
      <w:pPr>
        <w:pStyle w:val="Para1"/>
        <w:tabs>
          <w:tab w:val="clear" w:pos="360"/>
        </w:tabs>
        <w:rPr>
          <w:rFonts w:eastAsia="Times New Roman"/>
          <w:szCs w:val="24"/>
          <w:lang w:val="es-ES"/>
        </w:rPr>
      </w:pPr>
      <w:r>
        <w:rPr>
          <w:rFonts w:eastAsia="Times New Roman"/>
          <w:szCs w:val="24"/>
          <w:lang w:val="es-ES"/>
        </w:rPr>
        <w:t>Formularon declaraciones representantes del Brasil, Panamá, el Paraguay y Uganda.</w:t>
      </w:r>
    </w:p>
    <w:p w:rsidR="00224365" w:rsidRDefault="00224365" w:rsidP="00224365">
      <w:pPr>
        <w:pStyle w:val="Para1"/>
        <w:tabs>
          <w:tab w:val="clear" w:pos="360"/>
        </w:tabs>
        <w:rPr>
          <w:rFonts w:eastAsia="Times New Roman"/>
          <w:szCs w:val="24"/>
          <w:lang w:val="es-ES"/>
        </w:rPr>
      </w:pPr>
      <w:r>
        <w:rPr>
          <w:rFonts w:eastAsia="Times New Roman"/>
          <w:szCs w:val="24"/>
          <w:lang w:val="es-ES"/>
        </w:rPr>
        <w:t>Tras el intercambio de opiniones, se aprobó el proyecto de decisión, con las enmiendas efectuadas oralmente, para que fuera transmitido a la sesión plenaria como proyecto de decisión CBD/CP/MOP/9/L.2.</w:t>
      </w:r>
    </w:p>
    <w:p w:rsidR="005878B8" w:rsidRPr="00C901E0" w:rsidRDefault="00224365" w:rsidP="00224365">
      <w:pPr>
        <w:pStyle w:val="Para1"/>
        <w:tabs>
          <w:tab w:val="clear" w:pos="360"/>
        </w:tabs>
        <w:rPr>
          <w:lang w:val="es-ES"/>
        </w:rPr>
      </w:pPr>
      <w:r>
        <w:rPr>
          <w:rFonts w:eastAsia="Times New Roman"/>
          <w:szCs w:val="24"/>
          <w:lang w:val="es-ES"/>
        </w:rPr>
        <w:t>En la quinta sesión plenaria de la reunión, el 25 de noviembre de 2018, la Conferencia de las Partes que actúa como reunión de las Partes en el Protocolo de Cartagena aprobó el proyecto de decisión CBD/CP/MOP/9/L.2, con las enmiendas efectuadas oralmente, y lo adoptó como decisión CP-9/11 (véase el texto en el cap. I).</w:t>
      </w:r>
    </w:p>
    <w:p w:rsidR="00636A6E" w:rsidRPr="00C901E0" w:rsidRDefault="00636A6E" w:rsidP="00237524">
      <w:pPr>
        <w:pStyle w:val="heading2-item0"/>
        <w:tabs>
          <w:tab w:val="clear" w:pos="720"/>
        </w:tabs>
        <w:ind w:left="1701" w:hanging="1134"/>
        <w:jc w:val="left"/>
        <w:rPr>
          <w:lang w:val="es-ES"/>
        </w:rPr>
      </w:pPr>
      <w:bookmarkStart w:id="91" w:name="_Toc879857"/>
      <w:bookmarkStart w:id="92" w:name="_Toc5922107"/>
      <w:r w:rsidRPr="00C901E0">
        <w:rPr>
          <w:lang w:val="es-ES"/>
        </w:rPr>
        <w:t>TEM</w:t>
      </w:r>
      <w:r w:rsidR="00782D91">
        <w:rPr>
          <w:lang w:val="es-ES"/>
        </w:rPr>
        <w:t>A</w:t>
      </w:r>
      <w:r w:rsidRPr="00C901E0">
        <w:rPr>
          <w:lang w:val="es-ES"/>
        </w:rPr>
        <w:t xml:space="preserve"> 17.</w:t>
      </w:r>
      <w:r w:rsidRPr="00C901E0">
        <w:rPr>
          <w:lang w:val="es-ES"/>
        </w:rPr>
        <w:tab/>
      </w:r>
      <w:bookmarkEnd w:id="91"/>
      <w:r w:rsidR="00782D91" w:rsidRPr="00782D91">
        <w:rPr>
          <w:lang w:val="es-ES"/>
        </w:rPr>
        <w:t>TRÁNSITO Y USO CONFINADO DE ORGANISMOS VIVOS MODIFICADOS (ARTÍCULO 6)</w:t>
      </w:r>
      <w:bookmarkEnd w:id="92"/>
    </w:p>
    <w:p w:rsidR="00782D91" w:rsidRPr="00782D91" w:rsidRDefault="00782D91" w:rsidP="00782D91">
      <w:pPr>
        <w:pStyle w:val="Para1"/>
        <w:tabs>
          <w:tab w:val="clear" w:pos="360"/>
        </w:tabs>
        <w:rPr>
          <w:lang w:val="es-ES"/>
        </w:rPr>
      </w:pPr>
      <w:r w:rsidRPr="00782D91">
        <w:rPr>
          <w:lang w:val="es-ES"/>
        </w:rPr>
        <w:t xml:space="preserve">El Grupo de Trabajo II comenzó a tratar el tema 17 del programa en su segunda </w:t>
      </w:r>
      <w:r w:rsidR="00D55DA3">
        <w:rPr>
          <w:lang w:val="es-ES"/>
        </w:rPr>
        <w:t>r</w:t>
      </w:r>
      <w:r w:rsidRPr="00782D91">
        <w:rPr>
          <w:lang w:val="es-ES"/>
        </w:rPr>
        <w:t>e</w:t>
      </w:r>
      <w:r w:rsidR="00D55DA3">
        <w:rPr>
          <w:lang w:val="es-ES"/>
        </w:rPr>
        <w:t>un</w:t>
      </w:r>
      <w:r w:rsidRPr="00782D91">
        <w:rPr>
          <w:lang w:val="es-ES"/>
        </w:rPr>
        <w:t>ión, el 18 de noviembre de 2018. Para examinar este tema, el Grupo de Trabajo tuvo ante sí un documento con un resumen de la evaluación de la información ingresada en el Centro de Intercambio de Información sobre Seguridad de la Biotecnología en la categoría de uso confinado, realizada por el Comité de Cumplimiento del Protocolo de Cartagena; una recopilación de aportes sobre uso confinado de organismos vivos modificados presentados por las Partes en el Protocolo y otros Gobiernos; y elementos propuestos para un proyecto de decisión (CBD/CP/MOP/9/9).</w:t>
      </w:r>
    </w:p>
    <w:p w:rsidR="00782D91" w:rsidRPr="00782D91" w:rsidRDefault="00782D91" w:rsidP="00782D91">
      <w:pPr>
        <w:pStyle w:val="Para1"/>
        <w:tabs>
          <w:tab w:val="clear" w:pos="360"/>
        </w:tabs>
        <w:rPr>
          <w:lang w:val="es-ES"/>
        </w:rPr>
      </w:pPr>
      <w:r w:rsidRPr="00782D91">
        <w:rPr>
          <w:lang w:val="es-ES"/>
        </w:rPr>
        <w:t>Formularon declaraciones representantes de Bolivia (Estado Plurinacional de), Burundi, el Ecuador, el Gabón, Guatemala, Honduras, la India, Indonesia, Kenya, Malawi, Marruecos, México, Namibia, el Níger, Nigeria, el Perú, Senegal, Suiza, Tailandia, Togo, Uganda y la Unión Europea y sus 28 Estados miembros.</w:t>
      </w:r>
    </w:p>
    <w:p w:rsidR="00782D91" w:rsidRPr="00782D91" w:rsidRDefault="00782D91" w:rsidP="00782D91">
      <w:pPr>
        <w:pStyle w:val="Para1"/>
        <w:tabs>
          <w:tab w:val="clear" w:pos="360"/>
        </w:tabs>
        <w:rPr>
          <w:lang w:val="es-ES"/>
        </w:rPr>
      </w:pPr>
      <w:r w:rsidRPr="00782D91">
        <w:rPr>
          <w:lang w:val="es-ES"/>
        </w:rPr>
        <w:lastRenderedPageBreak/>
        <w:t xml:space="preserve">También formuló una declaración </w:t>
      </w:r>
      <w:r w:rsidR="003A4586">
        <w:rPr>
          <w:lang w:val="es-ES"/>
        </w:rPr>
        <w:t>un</w:t>
      </w:r>
      <w:r w:rsidRPr="00782D91">
        <w:rPr>
          <w:lang w:val="es-ES"/>
        </w:rPr>
        <w:t xml:space="preserve"> representante de la Red del Tercer Mundo.</w:t>
      </w:r>
    </w:p>
    <w:p w:rsidR="00782D91" w:rsidRPr="00782D91" w:rsidRDefault="00782D91" w:rsidP="00782D91">
      <w:pPr>
        <w:pStyle w:val="Para1"/>
        <w:tabs>
          <w:tab w:val="clear" w:pos="360"/>
        </w:tabs>
        <w:rPr>
          <w:lang w:val="es-ES"/>
        </w:rPr>
      </w:pPr>
      <w:r w:rsidRPr="00782D91">
        <w:rPr>
          <w:lang w:val="es-ES"/>
        </w:rPr>
        <w:t>Tras el intercambio de opiniones, la Presidenta anunció que prepararía un proyecto de decisión revisado, tomando en cuenta las opiniones expresadas oralmente y presentadas por escrito, y posiblemente en consulta con Partes interesadas, para que fuera considerado por el Grupo de Trabajo.</w:t>
      </w:r>
    </w:p>
    <w:p w:rsidR="00782D91" w:rsidRPr="00782D91" w:rsidRDefault="00782D91" w:rsidP="00782D91">
      <w:pPr>
        <w:pStyle w:val="Para1"/>
        <w:tabs>
          <w:tab w:val="clear" w:pos="360"/>
        </w:tabs>
        <w:rPr>
          <w:lang w:val="es-ES"/>
        </w:rPr>
      </w:pPr>
      <w:r w:rsidRPr="00782D91">
        <w:rPr>
          <w:lang w:val="es-ES"/>
        </w:rPr>
        <w:t xml:space="preserve">En su décima </w:t>
      </w:r>
      <w:r w:rsidR="00D55DA3">
        <w:rPr>
          <w:lang w:val="es-ES"/>
        </w:rPr>
        <w:t>r</w:t>
      </w:r>
      <w:r w:rsidRPr="00782D91">
        <w:rPr>
          <w:lang w:val="es-ES"/>
        </w:rPr>
        <w:t>e</w:t>
      </w:r>
      <w:r w:rsidR="00D55DA3">
        <w:rPr>
          <w:lang w:val="es-ES"/>
        </w:rPr>
        <w:t>un</w:t>
      </w:r>
      <w:r w:rsidRPr="00782D91">
        <w:rPr>
          <w:lang w:val="es-ES"/>
        </w:rPr>
        <w:t>ión, el 25 de noviembre de 2018, el Grupo de Trabajo consideró un proyecto de decisión revisado presentado por la Presidenta.</w:t>
      </w:r>
    </w:p>
    <w:p w:rsidR="00782D91" w:rsidRPr="00782D91" w:rsidRDefault="00782D91" w:rsidP="00782D91">
      <w:pPr>
        <w:pStyle w:val="Para1"/>
        <w:tabs>
          <w:tab w:val="clear" w:pos="360"/>
        </w:tabs>
        <w:rPr>
          <w:lang w:val="es-ES"/>
        </w:rPr>
      </w:pPr>
      <w:r w:rsidRPr="00782D91">
        <w:rPr>
          <w:lang w:val="es-ES"/>
        </w:rPr>
        <w:t>Formularon declaraciones representantes de Bolivia (Estado Plurinacional de), el Gabón, Honduras, México, Panamá y Suiza.</w:t>
      </w:r>
    </w:p>
    <w:p w:rsidR="00782D91" w:rsidRPr="00782D91" w:rsidRDefault="00782D91" w:rsidP="00782D91">
      <w:pPr>
        <w:pStyle w:val="Para1"/>
        <w:tabs>
          <w:tab w:val="clear" w:pos="360"/>
        </w:tabs>
        <w:rPr>
          <w:lang w:val="es-ES"/>
        </w:rPr>
      </w:pPr>
      <w:r w:rsidRPr="00782D91">
        <w:rPr>
          <w:lang w:val="es-ES"/>
        </w:rPr>
        <w:t>Tras el intercambio de opiniones, se aprobó el proyecto de decisión, con las enmiendas efectuadas oralmente, para que fuera transmitido a la sesión plenaria como proyecto de decisión CBD/CP/MOP/9/L.7.</w:t>
      </w:r>
    </w:p>
    <w:p w:rsidR="00782D91" w:rsidRPr="00782D91" w:rsidRDefault="00782D91" w:rsidP="00782D91">
      <w:pPr>
        <w:pStyle w:val="Para1"/>
        <w:tabs>
          <w:tab w:val="clear" w:pos="360"/>
        </w:tabs>
        <w:rPr>
          <w:lang w:val="es-ES"/>
        </w:rPr>
      </w:pPr>
      <w:r w:rsidRPr="00782D91">
        <w:rPr>
          <w:lang w:val="es-ES"/>
        </w:rPr>
        <w:t>En la séptima sesión plenaria de la reunión, el 28 de noviembre de 2018, la Conferencia de las Partes que actúa como reunión de las Partes en el Protocolo de Cartagena examinó el proyecto de decisión CBD/CP/MOP/9/L.7.</w:t>
      </w:r>
    </w:p>
    <w:p w:rsidR="006C5568" w:rsidRPr="00C901E0" w:rsidRDefault="00782D91" w:rsidP="00782D91">
      <w:pPr>
        <w:pStyle w:val="Para1"/>
        <w:tabs>
          <w:tab w:val="clear" w:pos="360"/>
        </w:tabs>
        <w:rPr>
          <w:lang w:val="es-ES"/>
        </w:rPr>
      </w:pPr>
      <w:r w:rsidRPr="00782D91">
        <w:rPr>
          <w:lang w:val="es-ES"/>
        </w:rPr>
        <w:t>La Conferencia de las Partes que actúa como reunión de las Partes en el Protocolo de Cartagena adoptó el proyecto de decisión CBD/CP/MOP/9/L.7 como decisión CP-9/12 (véase el texto en el cap. I).</w:t>
      </w:r>
    </w:p>
    <w:p w:rsidR="00636A6E" w:rsidRPr="00C901E0" w:rsidRDefault="00636A6E" w:rsidP="00237524">
      <w:pPr>
        <w:pStyle w:val="heading2-item0"/>
        <w:rPr>
          <w:lang w:val="es-ES"/>
        </w:rPr>
      </w:pPr>
      <w:bookmarkStart w:id="93" w:name="_Toc879858"/>
      <w:bookmarkStart w:id="94" w:name="_Toc5922108"/>
      <w:r w:rsidRPr="00C901E0">
        <w:rPr>
          <w:lang w:val="es-ES"/>
        </w:rPr>
        <w:t>TEM</w:t>
      </w:r>
      <w:r w:rsidR="00C0576A">
        <w:rPr>
          <w:lang w:val="es-ES"/>
        </w:rPr>
        <w:t>A</w:t>
      </w:r>
      <w:r w:rsidRPr="00C901E0">
        <w:rPr>
          <w:lang w:val="es-ES"/>
        </w:rPr>
        <w:t xml:space="preserve"> 18.</w:t>
      </w:r>
      <w:r w:rsidRPr="00C901E0">
        <w:rPr>
          <w:lang w:val="es-ES"/>
        </w:rPr>
        <w:tab/>
      </w:r>
      <w:bookmarkEnd w:id="93"/>
      <w:r w:rsidR="00C0576A" w:rsidRPr="00C0576A">
        <w:rPr>
          <w:lang w:val="es-ES"/>
        </w:rPr>
        <w:t>CONSIDERACIONES SOCIOECONÓMICAS (ARTÍCULO 26)</w:t>
      </w:r>
      <w:bookmarkEnd w:id="94"/>
    </w:p>
    <w:p w:rsidR="00C0576A" w:rsidRDefault="00C0576A" w:rsidP="00C0576A">
      <w:pPr>
        <w:pStyle w:val="Para1"/>
        <w:tabs>
          <w:tab w:val="clear" w:pos="360"/>
        </w:tabs>
        <w:rPr>
          <w:rFonts w:eastAsia="Times New Roman"/>
          <w:szCs w:val="24"/>
          <w:lang w:val="es-ES"/>
        </w:rPr>
      </w:pPr>
      <w:r>
        <w:rPr>
          <w:rFonts w:eastAsia="Times New Roman"/>
          <w:szCs w:val="24"/>
          <w:lang w:val="es-ES"/>
        </w:rPr>
        <w:t xml:space="preserve">El Grupo de Trabajo II comenzó a tratar el tema 18 del programa en su segunda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18 de noviembre de 2018. Para examinar este tema, el Grupo de Trabajo tuvo ante sí un documento con un resumen de la reunión presencial del Grupo Especial de Expertos Técnicos en Consideraciones Socioeconómicas, celebrada en Liubliana del 9 al 13 de octubre de 2017, así como elementos de un proyecto de decisión (CBD/CP/MOP/9/10).</w:t>
      </w:r>
      <w:r w:rsidR="0054065F">
        <w:rPr>
          <w:rFonts w:eastAsia="Times New Roman"/>
          <w:szCs w:val="24"/>
          <w:lang w:val="es-ES"/>
        </w:rPr>
        <w:t xml:space="preserve"> </w:t>
      </w:r>
      <w:r>
        <w:rPr>
          <w:rFonts w:eastAsia="Times New Roman"/>
          <w:szCs w:val="24"/>
          <w:lang w:val="es-ES"/>
        </w:rPr>
        <w:t>En el documento CBD/CP/SEC/AHTEG/2017/1/3 se brinda el informe completo de la reunión del Grupo Especial de Expertos Técnicos.</w:t>
      </w:r>
    </w:p>
    <w:p w:rsidR="00C0576A" w:rsidRDefault="00C0576A" w:rsidP="00C0576A">
      <w:pPr>
        <w:pStyle w:val="Para1"/>
        <w:tabs>
          <w:tab w:val="clear" w:pos="360"/>
        </w:tabs>
        <w:rPr>
          <w:rFonts w:eastAsia="Times New Roman"/>
          <w:szCs w:val="24"/>
          <w:lang w:val="es-ES"/>
        </w:rPr>
      </w:pPr>
      <w:r>
        <w:rPr>
          <w:rFonts w:eastAsia="Times New Roman"/>
          <w:szCs w:val="24"/>
          <w:lang w:val="es-ES"/>
        </w:rPr>
        <w:t>Formularon declaraciones representantes del Brasil, el Camerún, Colombia, Filipinas, Honduras, Kenya, México, Noruega, Sudáfrica y la Unión Europea y sus 28 Estados miembros.</w:t>
      </w:r>
    </w:p>
    <w:p w:rsidR="00C0576A" w:rsidRDefault="00C0576A" w:rsidP="00C0576A">
      <w:pPr>
        <w:pStyle w:val="Para1"/>
        <w:tabs>
          <w:tab w:val="clear" w:pos="360"/>
        </w:tabs>
        <w:rPr>
          <w:rFonts w:eastAsia="Times New Roman"/>
          <w:szCs w:val="24"/>
          <w:lang w:val="es-ES"/>
        </w:rPr>
      </w:pPr>
      <w:r>
        <w:rPr>
          <w:rFonts w:eastAsia="Times New Roman"/>
          <w:szCs w:val="24"/>
          <w:lang w:val="es-ES"/>
        </w:rPr>
        <w:t xml:space="preserve">El Grupo de Trabajo retomó la consideración del tema en su tercera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19 de noviembre de 2018.</w:t>
      </w:r>
    </w:p>
    <w:p w:rsidR="00C0576A" w:rsidRDefault="00C0576A" w:rsidP="00C0576A">
      <w:pPr>
        <w:pStyle w:val="Para1"/>
        <w:tabs>
          <w:tab w:val="clear" w:pos="360"/>
        </w:tabs>
        <w:rPr>
          <w:rFonts w:eastAsia="Times New Roman"/>
          <w:szCs w:val="24"/>
          <w:lang w:val="es-ES"/>
        </w:rPr>
      </w:pPr>
      <w:r>
        <w:rPr>
          <w:rFonts w:eastAsia="Times New Roman"/>
          <w:szCs w:val="24"/>
          <w:lang w:val="es-ES"/>
        </w:rPr>
        <w:t>Formularon declaraciones representantes de Bolivia (Estado Plurinacional de), China, Costa Rica, Cuba, el Ecuador, Etiopía, Gambia, Guatemala, la India, el Japón, Malasia, Malí, Marruecos, Namibia, el Níger, Panamá, el Paraguay, el Perú, la República Dominicana, la República Unida de Tanzanía, Tailandia, el Uruguay y Venezuela (República Bolivariana de).</w:t>
      </w:r>
    </w:p>
    <w:p w:rsidR="00C0576A" w:rsidRDefault="00C0576A" w:rsidP="00C0576A">
      <w:pPr>
        <w:pStyle w:val="Para1"/>
        <w:tabs>
          <w:tab w:val="clear" w:pos="360"/>
        </w:tabs>
        <w:rPr>
          <w:rFonts w:eastAsia="Times New Roman"/>
          <w:szCs w:val="24"/>
          <w:lang w:val="es-ES"/>
        </w:rPr>
      </w:pPr>
      <w:r>
        <w:rPr>
          <w:rFonts w:eastAsia="Times New Roman"/>
          <w:szCs w:val="24"/>
          <w:lang w:val="es-ES"/>
        </w:rPr>
        <w:t>También formuló una declaración un representante de la Argentina.</w:t>
      </w:r>
    </w:p>
    <w:p w:rsidR="00C0576A" w:rsidRDefault="00C0576A" w:rsidP="00C0576A">
      <w:pPr>
        <w:pStyle w:val="Para1"/>
        <w:tabs>
          <w:tab w:val="clear" w:pos="360"/>
        </w:tabs>
        <w:rPr>
          <w:rFonts w:eastAsia="Times New Roman"/>
          <w:szCs w:val="24"/>
          <w:lang w:val="es-ES"/>
        </w:rPr>
      </w:pPr>
      <w:r>
        <w:rPr>
          <w:rFonts w:eastAsia="Times New Roman"/>
          <w:szCs w:val="24"/>
          <w:lang w:val="es-ES"/>
        </w:rPr>
        <w:t>Asimismo, formularon declaraciones representantes del FIIB, el ISAAA, La Vía Campesina y la PRRI.</w:t>
      </w:r>
    </w:p>
    <w:p w:rsidR="00C0576A" w:rsidRDefault="00C0576A" w:rsidP="00C0576A">
      <w:pPr>
        <w:pStyle w:val="Para1"/>
        <w:tabs>
          <w:tab w:val="clear" w:pos="360"/>
        </w:tabs>
        <w:rPr>
          <w:rFonts w:eastAsia="Times New Roman"/>
          <w:szCs w:val="24"/>
          <w:lang w:val="es-ES"/>
        </w:rPr>
      </w:pPr>
      <w:r>
        <w:rPr>
          <w:rFonts w:eastAsia="Times New Roman"/>
          <w:szCs w:val="24"/>
          <w:lang w:val="es-ES"/>
        </w:rPr>
        <w:t xml:space="preserve">El Grupo de Trabajo </w:t>
      </w:r>
      <w:r w:rsidR="003A4586">
        <w:rPr>
          <w:rFonts w:eastAsia="Times New Roman"/>
          <w:szCs w:val="24"/>
          <w:lang w:val="es-ES"/>
        </w:rPr>
        <w:t>decidi</w:t>
      </w:r>
      <w:r>
        <w:rPr>
          <w:rFonts w:eastAsia="Times New Roman"/>
          <w:szCs w:val="24"/>
          <w:lang w:val="es-ES"/>
        </w:rPr>
        <w:t>ó establecer un grupo de contacto, presidido por la Sra. Nathalie Campos Reales (México), para continuar con las deliberaciones.</w:t>
      </w:r>
    </w:p>
    <w:p w:rsidR="00C0576A" w:rsidRDefault="00C0576A" w:rsidP="00C0576A">
      <w:pPr>
        <w:pStyle w:val="Para1"/>
        <w:tabs>
          <w:tab w:val="clear" w:pos="360"/>
        </w:tabs>
        <w:rPr>
          <w:rFonts w:eastAsia="Times New Roman"/>
          <w:szCs w:val="24"/>
          <w:lang w:val="es-ES"/>
        </w:rPr>
      </w:pPr>
      <w:r>
        <w:rPr>
          <w:rFonts w:eastAsia="Times New Roman"/>
          <w:szCs w:val="24"/>
          <w:lang w:val="es-ES"/>
        </w:rPr>
        <w:t xml:space="preserve"> En su 17</w:t>
      </w:r>
      <w:r>
        <w:rPr>
          <w:rFonts w:eastAsia="Times New Roman"/>
          <w:szCs w:val="24"/>
          <w:vertAlign w:val="superscript"/>
          <w:lang w:val="es-ES"/>
        </w:rPr>
        <w:t>a</w:t>
      </w:r>
      <w:r w:rsidR="00265965">
        <w:rPr>
          <w:rFonts w:eastAsia="Times New Roman"/>
          <w:szCs w:val="24"/>
          <w:lang w:val="es-ES"/>
        </w:rPr>
        <w:t>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28 de noviembre de 2018, el Grupo de Trabajo consideró una versión revisada del proyecto de decisión y la aprobó para que fuera transmitida a la sesión plenaria como proyecto de decisión CBD/CP-MOP/9/L.12.</w:t>
      </w:r>
    </w:p>
    <w:p w:rsidR="00C0576A" w:rsidRDefault="00C0576A" w:rsidP="00C0576A">
      <w:pPr>
        <w:pStyle w:val="Para1"/>
        <w:tabs>
          <w:tab w:val="clear" w:pos="360"/>
        </w:tabs>
        <w:rPr>
          <w:rFonts w:eastAsia="Times New Roman"/>
          <w:szCs w:val="24"/>
          <w:lang w:val="es-ES"/>
        </w:rPr>
      </w:pPr>
      <w:r>
        <w:rPr>
          <w:rFonts w:eastAsia="Times New Roman"/>
          <w:szCs w:val="24"/>
          <w:lang w:val="es-ES"/>
        </w:rPr>
        <w:t>En la séptima sesión plenaria de la reunión, el 28 de noviembre de 2018, la Conferencia de las Partes que actúa como reunión de las Partes en el Protocolo de Cartagena examinó el proyecto de decisión CBD/CP/MOP/9/L.12.</w:t>
      </w:r>
    </w:p>
    <w:p w:rsidR="006C5568" w:rsidRPr="00C901E0" w:rsidRDefault="00C0576A" w:rsidP="00C0576A">
      <w:pPr>
        <w:pStyle w:val="Para1"/>
        <w:tabs>
          <w:tab w:val="clear" w:pos="360"/>
        </w:tabs>
        <w:rPr>
          <w:lang w:val="es-ES"/>
        </w:rPr>
      </w:pPr>
      <w:r>
        <w:rPr>
          <w:rFonts w:eastAsia="Times New Roman"/>
          <w:szCs w:val="24"/>
          <w:lang w:val="es-ES"/>
        </w:rPr>
        <w:t>La Conferencia de las Partes que actúa como reunión de las Partes en el Protocolo de Cartagena adoptó el proyecto de decisión CBD/CP/MOP/9/L.12 como decisión CP-9/14 (véase el texto en el cap. I).</w:t>
      </w:r>
    </w:p>
    <w:p w:rsidR="00636A6E" w:rsidRPr="00265965" w:rsidRDefault="00636A6E" w:rsidP="00237524">
      <w:pPr>
        <w:pStyle w:val="heading2-item0"/>
        <w:ind w:left="1985" w:hanging="1418"/>
        <w:jc w:val="left"/>
        <w:rPr>
          <w:rFonts w:ascii="Times New Roman Bold" w:hAnsi="Times New Roman Bold" w:hint="eastAsia"/>
          <w:spacing w:val="2"/>
          <w:lang w:val="es-ES"/>
        </w:rPr>
      </w:pPr>
      <w:bookmarkStart w:id="95" w:name="_Toc879859"/>
      <w:bookmarkStart w:id="96" w:name="_Toc5922109"/>
      <w:r w:rsidRPr="00C901E0">
        <w:rPr>
          <w:lang w:val="es-ES"/>
        </w:rPr>
        <w:lastRenderedPageBreak/>
        <w:t>TEM</w:t>
      </w:r>
      <w:r w:rsidR="00C0576A">
        <w:rPr>
          <w:lang w:val="es-ES"/>
        </w:rPr>
        <w:t>a</w:t>
      </w:r>
      <w:r w:rsidRPr="00C901E0">
        <w:rPr>
          <w:lang w:val="es-ES"/>
        </w:rPr>
        <w:t xml:space="preserve"> 19.</w:t>
      </w:r>
      <w:r w:rsidRPr="00C901E0">
        <w:rPr>
          <w:lang w:val="es-ES"/>
        </w:rPr>
        <w:tab/>
      </w:r>
      <w:bookmarkEnd w:id="95"/>
      <w:r w:rsidR="00C0576A" w:rsidRPr="00265965">
        <w:rPr>
          <w:rFonts w:ascii="Times New Roman Bold" w:hAnsi="Times New Roman Bold"/>
          <w:spacing w:val="2"/>
          <w:lang w:val="es-ES"/>
        </w:rPr>
        <w:t>PROTOCOLO</w:t>
      </w:r>
      <w:r w:rsidR="00265965" w:rsidRPr="00265965">
        <w:rPr>
          <w:rFonts w:ascii="Times New Roman Bold" w:hAnsi="Times New Roman Bold"/>
          <w:spacing w:val="2"/>
          <w:lang w:val="es-ES"/>
        </w:rPr>
        <w:t xml:space="preserve"> </w:t>
      </w:r>
      <w:r w:rsidR="00C0576A" w:rsidRPr="00265965">
        <w:rPr>
          <w:rFonts w:ascii="Times New Roman Bold" w:hAnsi="Times New Roman Bold"/>
          <w:spacing w:val="2"/>
          <w:lang w:val="es-ES"/>
        </w:rPr>
        <w:t>SUPLEMENTARIO DE NAGOYA–KUALA LUMPUR SOBRE RESPONSABILIDAD Y COMPENSACIÓN</w:t>
      </w:r>
      <w:bookmarkEnd w:id="96"/>
    </w:p>
    <w:p w:rsidR="00C0576A" w:rsidRDefault="00C0576A" w:rsidP="00C0576A">
      <w:pPr>
        <w:pStyle w:val="Para1"/>
        <w:tabs>
          <w:tab w:val="clear" w:pos="360"/>
        </w:tabs>
        <w:rPr>
          <w:rFonts w:eastAsia="Times New Roman"/>
          <w:szCs w:val="24"/>
          <w:lang w:val="es-ES"/>
        </w:rPr>
      </w:pPr>
      <w:r>
        <w:rPr>
          <w:rFonts w:eastAsia="Times New Roman"/>
          <w:szCs w:val="24"/>
          <w:lang w:val="es-ES"/>
        </w:rPr>
        <w:t xml:space="preserve">El Grupo de Trabajo II comenzó a tratar el tema 19 del programa en su segunda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ión, el 18 de noviembre de 2018. Para examinar este tema, el Grupo de Trabajo tuvo ante sí una nota de la Secretaria Ejecutiva con un panorama del estado actual del Protocolo Suplementario de Nagoya</w:t>
      </w:r>
      <w:r w:rsidR="000F0553">
        <w:rPr>
          <w:rFonts w:eastAsia="Times New Roman"/>
          <w:szCs w:val="24"/>
          <w:lang w:val="es-ES"/>
        </w:rPr>
        <w:t>–</w:t>
      </w:r>
      <w:r>
        <w:rPr>
          <w:rFonts w:eastAsia="Times New Roman"/>
          <w:szCs w:val="24"/>
          <w:lang w:val="es-ES"/>
        </w:rPr>
        <w:t>Kuala Lumpur sobre Responsabilidad y Compensación; un resumen de las actividades emprendidas por la Secretaría para concientizar y apoyar la aplicación del Protocolo Suplementario; un esbozo de los pasos que siguen a la entrada en vigor; y elementos de un proyecto de decisión (CBD/CP/MOP/9/11).</w:t>
      </w:r>
    </w:p>
    <w:p w:rsidR="00C0576A" w:rsidRDefault="00C0576A" w:rsidP="00C0576A">
      <w:pPr>
        <w:pStyle w:val="Para1"/>
        <w:tabs>
          <w:tab w:val="clear" w:pos="360"/>
        </w:tabs>
        <w:rPr>
          <w:rFonts w:eastAsia="Times New Roman"/>
          <w:szCs w:val="24"/>
          <w:lang w:val="es-ES"/>
        </w:rPr>
      </w:pPr>
      <w:r>
        <w:rPr>
          <w:rFonts w:eastAsia="Times New Roman"/>
          <w:szCs w:val="24"/>
          <w:lang w:val="es-ES"/>
        </w:rPr>
        <w:t>Formularon declaraciones representantes de México, Tayikistán y la Unión Europea y sus 28 Estados miembros.</w:t>
      </w:r>
    </w:p>
    <w:p w:rsidR="00C0576A" w:rsidRDefault="00C0576A" w:rsidP="00C0576A">
      <w:pPr>
        <w:pStyle w:val="Para1"/>
        <w:tabs>
          <w:tab w:val="clear" w:pos="360"/>
        </w:tabs>
        <w:rPr>
          <w:rFonts w:eastAsia="Times New Roman"/>
          <w:szCs w:val="24"/>
          <w:lang w:val="es-ES"/>
        </w:rPr>
      </w:pPr>
      <w:r>
        <w:rPr>
          <w:rFonts w:eastAsia="Times New Roman"/>
          <w:szCs w:val="24"/>
          <w:lang w:val="es-ES"/>
        </w:rPr>
        <w:t>Tras el intercambio de opiniones, la Presidenta anunció que prepararía un proyecto de decisión, tomando en cuenta las opiniones expresadas oralmente y presentadas por escrito, para que fuera considerado por el Grupo de Trabajo.</w:t>
      </w:r>
    </w:p>
    <w:p w:rsidR="00C0576A" w:rsidRDefault="00C0576A" w:rsidP="00C0576A">
      <w:pPr>
        <w:pStyle w:val="Para1"/>
        <w:tabs>
          <w:tab w:val="clear" w:pos="360"/>
        </w:tabs>
        <w:rPr>
          <w:rStyle w:val="normaltextrun"/>
          <w:rFonts w:eastAsia="Times New Roman"/>
          <w:szCs w:val="24"/>
          <w:lang w:val="es-ES"/>
        </w:rPr>
      </w:pPr>
      <w:r>
        <w:rPr>
          <w:rStyle w:val="normaltextrun"/>
          <w:rFonts w:eastAsia="Times New Roman"/>
          <w:szCs w:val="24"/>
          <w:lang w:val="es-ES"/>
        </w:rPr>
        <w:t xml:space="preserve">En su séptima </w:t>
      </w:r>
      <w:r w:rsidR="00D55DA3">
        <w:rPr>
          <w:rStyle w:val="normaltextrun"/>
          <w:rFonts w:eastAsia="Times New Roman"/>
          <w:szCs w:val="24"/>
          <w:lang w:val="es-ES"/>
        </w:rPr>
        <w:t>r</w:t>
      </w:r>
      <w:r>
        <w:rPr>
          <w:rStyle w:val="normaltextrun"/>
          <w:rFonts w:eastAsia="Times New Roman"/>
          <w:szCs w:val="24"/>
          <w:lang w:val="es-ES"/>
        </w:rPr>
        <w:t>e</w:t>
      </w:r>
      <w:r w:rsidR="00D55DA3">
        <w:rPr>
          <w:rStyle w:val="normaltextrun"/>
          <w:rFonts w:eastAsia="Times New Roman"/>
          <w:szCs w:val="24"/>
          <w:lang w:val="es-ES"/>
        </w:rPr>
        <w:t>un</w:t>
      </w:r>
      <w:r>
        <w:rPr>
          <w:rStyle w:val="normaltextrun"/>
          <w:rFonts w:eastAsia="Times New Roman"/>
          <w:szCs w:val="24"/>
          <w:lang w:val="es-ES"/>
        </w:rPr>
        <w:t>ión, el 21 de noviembre de 2018, el Grupo de Trabajo comenzó a considerar el proyecto de decisión presentado por la Presidenta.</w:t>
      </w:r>
    </w:p>
    <w:p w:rsidR="00C0576A" w:rsidRDefault="00C0576A" w:rsidP="00C0576A">
      <w:pPr>
        <w:pStyle w:val="Para1"/>
        <w:tabs>
          <w:tab w:val="clear" w:pos="360"/>
        </w:tabs>
        <w:rPr>
          <w:rStyle w:val="normaltextrun"/>
          <w:rFonts w:eastAsia="Times New Roman"/>
          <w:szCs w:val="24"/>
          <w:lang w:val="es-ES"/>
        </w:rPr>
      </w:pPr>
      <w:r>
        <w:rPr>
          <w:rStyle w:val="normaltextrun"/>
          <w:rFonts w:eastAsia="Times New Roman"/>
          <w:szCs w:val="24"/>
          <w:lang w:val="es-ES"/>
        </w:rPr>
        <w:t>Formularon declaraciones representantes del Brasil y Venezuela (República Bolivariana de).</w:t>
      </w:r>
    </w:p>
    <w:p w:rsidR="00C0576A" w:rsidRDefault="00C0576A" w:rsidP="00C0576A">
      <w:pPr>
        <w:pStyle w:val="Para1"/>
        <w:tabs>
          <w:tab w:val="clear" w:pos="360"/>
        </w:tabs>
        <w:rPr>
          <w:rStyle w:val="normaltextrun"/>
          <w:rFonts w:eastAsia="Times New Roman"/>
          <w:szCs w:val="24"/>
          <w:lang w:val="es-ES"/>
        </w:rPr>
      </w:pPr>
      <w:r>
        <w:rPr>
          <w:rStyle w:val="normaltextrun"/>
          <w:rFonts w:eastAsia="Times New Roman"/>
          <w:szCs w:val="24"/>
          <w:lang w:val="es-ES"/>
        </w:rPr>
        <w:t>Formuló asimismo una declaración un representante de la Argentina.</w:t>
      </w:r>
    </w:p>
    <w:p w:rsidR="00C0576A" w:rsidRDefault="00C0576A" w:rsidP="00C0576A">
      <w:pPr>
        <w:pStyle w:val="Para1"/>
        <w:tabs>
          <w:tab w:val="clear" w:pos="360"/>
        </w:tabs>
        <w:rPr>
          <w:rFonts w:eastAsia="Times New Roman"/>
          <w:szCs w:val="24"/>
          <w:lang w:val="es-ES"/>
        </w:rPr>
      </w:pPr>
      <w:r>
        <w:rPr>
          <w:rFonts w:eastAsia="Times New Roman"/>
          <w:szCs w:val="24"/>
          <w:lang w:val="es-ES"/>
        </w:rPr>
        <w:t xml:space="preserve">En su octava </w:t>
      </w:r>
      <w:r w:rsidR="00D55DA3">
        <w:rPr>
          <w:rFonts w:eastAsia="Times New Roman"/>
          <w:szCs w:val="24"/>
          <w:lang w:val="es-ES"/>
        </w:rPr>
        <w:t>r</w:t>
      </w:r>
      <w:r>
        <w:rPr>
          <w:rFonts w:eastAsia="Times New Roman"/>
          <w:szCs w:val="24"/>
          <w:lang w:val="es-ES"/>
        </w:rPr>
        <w:t>e</w:t>
      </w:r>
      <w:r w:rsidR="00D55DA3">
        <w:rPr>
          <w:rFonts w:eastAsia="Times New Roman"/>
          <w:szCs w:val="24"/>
          <w:lang w:val="es-ES"/>
        </w:rPr>
        <w:t>un</w:t>
      </w:r>
      <w:r>
        <w:rPr>
          <w:rFonts w:eastAsia="Times New Roman"/>
          <w:szCs w:val="24"/>
          <w:lang w:val="es-ES"/>
        </w:rPr>
        <w:t xml:space="preserve">ión, el 22 de noviembre de 2018, el Grupo de Trabajo retomó </w:t>
      </w:r>
      <w:r w:rsidR="003A4586">
        <w:rPr>
          <w:rFonts w:eastAsia="Times New Roman"/>
          <w:szCs w:val="24"/>
          <w:lang w:val="es-ES"/>
        </w:rPr>
        <w:t>la</w:t>
      </w:r>
      <w:r>
        <w:rPr>
          <w:rFonts w:eastAsia="Times New Roman"/>
          <w:szCs w:val="24"/>
          <w:lang w:val="es-ES"/>
        </w:rPr>
        <w:t xml:space="preserve"> consideración del proyecto de decisión.</w:t>
      </w:r>
    </w:p>
    <w:p w:rsidR="00C0576A" w:rsidRDefault="00C0576A" w:rsidP="00C0576A">
      <w:pPr>
        <w:pStyle w:val="Para1"/>
        <w:tabs>
          <w:tab w:val="clear" w:pos="360"/>
        </w:tabs>
        <w:rPr>
          <w:rFonts w:eastAsia="Times New Roman"/>
          <w:szCs w:val="24"/>
          <w:lang w:val="es-ES"/>
        </w:rPr>
      </w:pPr>
      <w:r>
        <w:rPr>
          <w:rFonts w:eastAsia="Times New Roman"/>
          <w:szCs w:val="24"/>
          <w:lang w:val="es-ES"/>
        </w:rPr>
        <w:t>Hicieron comentarios representantes del Brasil, Cuba, el Gabón, Suiza, la Unión Europea y sus 28 Estados miembros, Venezuela (República Bolivariana de) y Viet Nam.</w:t>
      </w:r>
    </w:p>
    <w:p w:rsidR="00C0576A" w:rsidRDefault="003A4586" w:rsidP="00C0576A">
      <w:pPr>
        <w:pStyle w:val="Para1"/>
        <w:tabs>
          <w:tab w:val="clear" w:pos="360"/>
        </w:tabs>
        <w:rPr>
          <w:rFonts w:eastAsia="Times New Roman"/>
          <w:szCs w:val="24"/>
          <w:lang w:val="es-ES"/>
        </w:rPr>
      </w:pPr>
      <w:r>
        <w:rPr>
          <w:rFonts w:eastAsia="Times New Roman"/>
          <w:szCs w:val="24"/>
          <w:lang w:val="es-ES"/>
        </w:rPr>
        <w:t>T</w:t>
      </w:r>
      <w:r w:rsidR="00C0576A">
        <w:rPr>
          <w:rFonts w:eastAsia="Times New Roman"/>
          <w:szCs w:val="24"/>
          <w:lang w:val="es-ES"/>
        </w:rPr>
        <w:t xml:space="preserve">ambién </w:t>
      </w:r>
      <w:r>
        <w:rPr>
          <w:rFonts w:eastAsia="Times New Roman"/>
          <w:szCs w:val="24"/>
          <w:lang w:val="es-ES"/>
        </w:rPr>
        <w:t xml:space="preserve">hubo </w:t>
      </w:r>
      <w:r w:rsidR="00C0576A">
        <w:rPr>
          <w:rFonts w:eastAsia="Times New Roman"/>
          <w:szCs w:val="24"/>
          <w:lang w:val="es-ES"/>
        </w:rPr>
        <w:t xml:space="preserve">comentarios </w:t>
      </w:r>
      <w:r>
        <w:rPr>
          <w:rFonts w:eastAsia="Times New Roman"/>
          <w:szCs w:val="24"/>
          <w:lang w:val="es-ES"/>
        </w:rPr>
        <w:t>de</w:t>
      </w:r>
      <w:r w:rsidR="00C0576A">
        <w:rPr>
          <w:rFonts w:eastAsia="Times New Roman"/>
          <w:szCs w:val="24"/>
          <w:lang w:val="es-ES"/>
        </w:rPr>
        <w:t xml:space="preserve"> representantes de la Argentina.</w:t>
      </w:r>
    </w:p>
    <w:p w:rsidR="00C0576A" w:rsidRDefault="003A4586" w:rsidP="00C0576A">
      <w:pPr>
        <w:pStyle w:val="Para1"/>
        <w:tabs>
          <w:tab w:val="clear" w:pos="360"/>
        </w:tabs>
        <w:rPr>
          <w:rFonts w:eastAsia="Times New Roman"/>
          <w:szCs w:val="24"/>
          <w:lang w:val="es-ES"/>
        </w:rPr>
      </w:pPr>
      <w:r>
        <w:rPr>
          <w:rFonts w:eastAsia="Times New Roman"/>
          <w:szCs w:val="24"/>
          <w:lang w:val="es-ES"/>
        </w:rPr>
        <w:t xml:space="preserve">El Grupo de Trabajo </w:t>
      </w:r>
      <w:r w:rsidR="00C0576A">
        <w:rPr>
          <w:rFonts w:eastAsia="Times New Roman"/>
          <w:szCs w:val="24"/>
          <w:lang w:val="es-ES"/>
        </w:rPr>
        <w:t>d</w:t>
      </w:r>
      <w:r>
        <w:rPr>
          <w:rFonts w:eastAsia="Times New Roman"/>
          <w:szCs w:val="24"/>
          <w:lang w:val="es-ES"/>
        </w:rPr>
        <w:t>ecidi</w:t>
      </w:r>
      <w:r w:rsidR="00C0576A">
        <w:rPr>
          <w:rFonts w:eastAsia="Times New Roman"/>
          <w:szCs w:val="24"/>
          <w:lang w:val="es-ES"/>
        </w:rPr>
        <w:t xml:space="preserve">ó mantener deliberaciones informales sobre el texto en el que </w:t>
      </w:r>
      <w:r w:rsidR="00A61D2D">
        <w:rPr>
          <w:rFonts w:eastAsia="Times New Roman"/>
          <w:szCs w:val="24"/>
          <w:lang w:val="es-ES"/>
        </w:rPr>
        <w:t xml:space="preserve">aún </w:t>
      </w:r>
      <w:r w:rsidR="00C0576A">
        <w:rPr>
          <w:rFonts w:eastAsia="Times New Roman"/>
          <w:szCs w:val="24"/>
          <w:lang w:val="es-ES"/>
        </w:rPr>
        <w:t>no se</w:t>
      </w:r>
      <w:r w:rsidR="00CC4CB0">
        <w:rPr>
          <w:rFonts w:eastAsia="Times New Roman"/>
          <w:szCs w:val="24"/>
          <w:lang w:val="es-ES"/>
        </w:rPr>
        <w:t xml:space="preserve"> </w:t>
      </w:r>
      <w:r>
        <w:rPr>
          <w:rFonts w:eastAsia="Times New Roman"/>
          <w:szCs w:val="24"/>
          <w:lang w:val="es-ES"/>
        </w:rPr>
        <w:t xml:space="preserve">había </w:t>
      </w:r>
      <w:r w:rsidR="00C0576A">
        <w:rPr>
          <w:rFonts w:eastAsia="Times New Roman"/>
          <w:szCs w:val="24"/>
          <w:lang w:val="es-ES"/>
        </w:rPr>
        <w:t>logr</w:t>
      </w:r>
      <w:r>
        <w:rPr>
          <w:rFonts w:eastAsia="Times New Roman"/>
          <w:szCs w:val="24"/>
          <w:lang w:val="es-ES"/>
        </w:rPr>
        <w:t>ado</w:t>
      </w:r>
      <w:r w:rsidR="00C0576A">
        <w:rPr>
          <w:rFonts w:eastAsia="Times New Roman"/>
          <w:szCs w:val="24"/>
          <w:lang w:val="es-ES"/>
        </w:rPr>
        <w:t xml:space="preserve"> acuerdo.</w:t>
      </w:r>
    </w:p>
    <w:p w:rsidR="00C0576A" w:rsidRDefault="00C0576A" w:rsidP="00C0576A">
      <w:pPr>
        <w:pStyle w:val="Para1"/>
        <w:tabs>
          <w:tab w:val="clear" w:pos="360"/>
        </w:tabs>
        <w:rPr>
          <w:rFonts w:eastAsia="Times New Roman"/>
          <w:szCs w:val="24"/>
          <w:lang w:val="es-ES"/>
        </w:rPr>
      </w:pPr>
      <w:r>
        <w:rPr>
          <w:rFonts w:eastAsia="Times New Roman"/>
          <w:szCs w:val="24"/>
          <w:lang w:val="es-ES"/>
        </w:rPr>
        <w:t>Tras las deliberaciones informales, el Grupo de Trabajo aprobó el proyecto de decisión, con las enmiendas efectuadas oralmente, para que fuera transmitido a la sesión plenaria como proyecto de decisión CBD/CP/MOP/9/L.4.</w:t>
      </w:r>
    </w:p>
    <w:p w:rsidR="00C0576A" w:rsidRDefault="00C0576A" w:rsidP="00C0576A">
      <w:pPr>
        <w:pStyle w:val="Para1"/>
        <w:tabs>
          <w:tab w:val="clear" w:pos="360"/>
        </w:tabs>
        <w:rPr>
          <w:rFonts w:eastAsia="Times New Roman"/>
          <w:szCs w:val="24"/>
          <w:lang w:val="es-ES"/>
        </w:rPr>
      </w:pPr>
      <w:r>
        <w:rPr>
          <w:rFonts w:eastAsia="Times New Roman"/>
          <w:szCs w:val="24"/>
          <w:lang w:val="es-ES"/>
        </w:rPr>
        <w:t>En la séptima sesión plenaria de la reunión, el 28 de noviembre de 2018, la Conferencia de las Partes que actúa como reunión de las Partes en el Protocolo de Cartagena examinó el proyecto de decisión CBD/CP/MOP/9/L.4.</w:t>
      </w:r>
    </w:p>
    <w:p w:rsidR="006C5568" w:rsidRPr="00C901E0" w:rsidRDefault="00C0576A" w:rsidP="00C0576A">
      <w:pPr>
        <w:pStyle w:val="Para1"/>
        <w:tabs>
          <w:tab w:val="clear" w:pos="360"/>
        </w:tabs>
        <w:rPr>
          <w:lang w:val="es-ES"/>
        </w:rPr>
      </w:pPr>
      <w:r>
        <w:rPr>
          <w:rFonts w:eastAsia="Times New Roman"/>
          <w:szCs w:val="24"/>
          <w:lang w:val="es-ES"/>
        </w:rPr>
        <w:t>La Conferencia de las Partes que actúa como reunión de las Partes en el Protocolo de Cartagena adoptó el proyecto de decisión CBD/CP/MOP/9/L.4 como decisión CP-9/15 (véase el texto en el cap. I).</w:t>
      </w:r>
    </w:p>
    <w:p w:rsidR="00495B7A" w:rsidRPr="00C901E0" w:rsidRDefault="00F43C9E" w:rsidP="00237524">
      <w:pPr>
        <w:pStyle w:val="heading2-item0"/>
        <w:tabs>
          <w:tab w:val="clear" w:pos="720"/>
          <w:tab w:val="left" w:pos="1134"/>
        </w:tabs>
        <w:rPr>
          <w:lang w:val="es-ES"/>
        </w:rPr>
      </w:pPr>
      <w:bookmarkStart w:id="97" w:name="_Toc879860"/>
      <w:bookmarkStart w:id="98" w:name="_Toc5922110"/>
      <w:r w:rsidRPr="00C901E0">
        <w:rPr>
          <w:lang w:val="es-ES"/>
        </w:rPr>
        <w:t>tem</w:t>
      </w:r>
      <w:r w:rsidR="00C0576A">
        <w:rPr>
          <w:lang w:val="es-ES"/>
        </w:rPr>
        <w:t>a</w:t>
      </w:r>
      <w:r w:rsidRPr="00C901E0">
        <w:rPr>
          <w:lang w:val="es-ES"/>
        </w:rPr>
        <w:t xml:space="preserve"> 20.</w:t>
      </w:r>
      <w:r w:rsidRPr="00C901E0">
        <w:rPr>
          <w:lang w:val="es-ES"/>
        </w:rPr>
        <w:tab/>
      </w:r>
      <w:bookmarkEnd w:id="97"/>
      <w:r w:rsidR="00C0576A">
        <w:rPr>
          <w:rFonts w:eastAsia="Times New Roman" w:cs="Times New Roman"/>
          <w:lang w:val="es-ES"/>
        </w:rPr>
        <w:t>Otros asuntos</w:t>
      </w:r>
      <w:bookmarkEnd w:id="98"/>
    </w:p>
    <w:p w:rsidR="006C5568" w:rsidRPr="00C901E0" w:rsidRDefault="00C0576A" w:rsidP="00237524">
      <w:pPr>
        <w:pStyle w:val="Para1"/>
        <w:tabs>
          <w:tab w:val="clear" w:pos="360"/>
        </w:tabs>
        <w:rPr>
          <w:lang w:val="es-ES"/>
        </w:rPr>
      </w:pPr>
      <w:r>
        <w:rPr>
          <w:rFonts w:eastAsia="Times New Roman"/>
          <w:szCs w:val="24"/>
          <w:lang w:val="es-ES"/>
        </w:rPr>
        <w:t>No se trataron otros asuntos</w:t>
      </w:r>
      <w:r w:rsidR="00CA6ECD" w:rsidRPr="00C901E0">
        <w:rPr>
          <w:lang w:val="es-ES"/>
        </w:rPr>
        <w:t>.</w:t>
      </w:r>
    </w:p>
    <w:p w:rsidR="00495B7A" w:rsidRPr="00C901E0" w:rsidRDefault="00C20F5D" w:rsidP="00237524">
      <w:pPr>
        <w:pStyle w:val="heading2-item0"/>
        <w:tabs>
          <w:tab w:val="clear" w:pos="720"/>
          <w:tab w:val="left" w:pos="1134"/>
        </w:tabs>
        <w:rPr>
          <w:lang w:val="es-ES"/>
        </w:rPr>
      </w:pPr>
      <w:bookmarkStart w:id="99" w:name="_Toc879861"/>
      <w:bookmarkStart w:id="100" w:name="_Toc5922111"/>
      <w:r w:rsidRPr="00C901E0">
        <w:rPr>
          <w:lang w:val="es-ES"/>
        </w:rPr>
        <w:t>tem</w:t>
      </w:r>
      <w:r w:rsidR="00C0576A">
        <w:rPr>
          <w:lang w:val="es-ES"/>
        </w:rPr>
        <w:t>a</w:t>
      </w:r>
      <w:r w:rsidRPr="00C901E0">
        <w:rPr>
          <w:lang w:val="es-ES"/>
        </w:rPr>
        <w:t xml:space="preserve"> 21.</w:t>
      </w:r>
      <w:r w:rsidRPr="00C901E0">
        <w:rPr>
          <w:lang w:val="es-ES"/>
        </w:rPr>
        <w:tab/>
      </w:r>
      <w:bookmarkEnd w:id="99"/>
      <w:r w:rsidR="00C0576A" w:rsidRPr="00C0576A">
        <w:rPr>
          <w:lang w:val="es-ES"/>
        </w:rPr>
        <w:t>ADOPCIÓN DEL INFORME</w:t>
      </w:r>
      <w:bookmarkEnd w:id="100"/>
    </w:p>
    <w:p w:rsidR="00975058" w:rsidRPr="00C901E0" w:rsidRDefault="00C0576A" w:rsidP="00237524">
      <w:pPr>
        <w:pStyle w:val="Para1"/>
        <w:tabs>
          <w:tab w:val="clear" w:pos="360"/>
        </w:tabs>
        <w:rPr>
          <w:lang w:val="es-ES"/>
        </w:rPr>
      </w:pPr>
      <w:r>
        <w:rPr>
          <w:rFonts w:eastAsia="Times New Roman"/>
          <w:szCs w:val="24"/>
          <w:lang w:val="es-ES"/>
        </w:rPr>
        <w:t>El presente informe se adoptó en la octava sesión de la reunión, el 29 de noviembre de 2018, sobre la base del proyecto de informe preparado po</w:t>
      </w:r>
      <w:r w:rsidR="000F0553">
        <w:rPr>
          <w:rFonts w:eastAsia="Times New Roman"/>
          <w:szCs w:val="24"/>
          <w:lang w:val="es-ES"/>
        </w:rPr>
        <w:t>r el Relator (CBD/CP/MOP/9/L.1)</w:t>
      </w:r>
      <w:r>
        <w:rPr>
          <w:rFonts w:eastAsia="Times New Roman"/>
          <w:szCs w:val="24"/>
          <w:lang w:val="es-ES"/>
        </w:rPr>
        <w:t xml:space="preserve"> y en el entendido de que se encargaría su finalización al Relator</w:t>
      </w:r>
      <w:r w:rsidR="00975058" w:rsidRPr="00C901E0">
        <w:rPr>
          <w:lang w:val="es-ES"/>
        </w:rPr>
        <w:t>.</w:t>
      </w:r>
    </w:p>
    <w:p w:rsidR="00495B7A" w:rsidRPr="00C901E0" w:rsidRDefault="00C20F5D" w:rsidP="00237524">
      <w:pPr>
        <w:pStyle w:val="heading2-item0"/>
        <w:tabs>
          <w:tab w:val="clear" w:pos="720"/>
          <w:tab w:val="left" w:pos="1134"/>
        </w:tabs>
        <w:rPr>
          <w:lang w:val="es-ES"/>
        </w:rPr>
      </w:pPr>
      <w:bookmarkStart w:id="101" w:name="_Toc879862"/>
      <w:bookmarkStart w:id="102" w:name="_Toc5922112"/>
      <w:r w:rsidRPr="00C901E0">
        <w:rPr>
          <w:lang w:val="es-ES"/>
        </w:rPr>
        <w:t>tem</w:t>
      </w:r>
      <w:r w:rsidR="00C0576A">
        <w:rPr>
          <w:lang w:val="es-ES"/>
        </w:rPr>
        <w:t>a</w:t>
      </w:r>
      <w:r w:rsidRPr="00C901E0">
        <w:rPr>
          <w:lang w:val="es-ES"/>
        </w:rPr>
        <w:t xml:space="preserve"> 22.</w:t>
      </w:r>
      <w:r w:rsidR="004A7881" w:rsidRPr="00C901E0">
        <w:rPr>
          <w:lang w:val="es-ES"/>
        </w:rPr>
        <w:tab/>
      </w:r>
      <w:bookmarkEnd w:id="101"/>
      <w:r w:rsidR="00C0576A" w:rsidRPr="00C0576A">
        <w:rPr>
          <w:lang w:val="es-ES"/>
        </w:rPr>
        <w:t>CLAUSURA DE LA REUNIÓN</w:t>
      </w:r>
      <w:bookmarkEnd w:id="102"/>
    </w:p>
    <w:p w:rsidR="00121663" w:rsidRPr="00C901E0" w:rsidRDefault="00C0576A" w:rsidP="004934FA">
      <w:pPr>
        <w:pStyle w:val="Para1"/>
        <w:tabs>
          <w:tab w:val="clear" w:pos="360"/>
        </w:tabs>
        <w:rPr>
          <w:i/>
          <w:lang w:val="es-ES"/>
        </w:rPr>
      </w:pPr>
      <w:r>
        <w:rPr>
          <w:rFonts w:eastAsia="Times New Roman"/>
          <w:color w:val="000000"/>
          <w:szCs w:val="24"/>
          <w:lang w:val="es-ES"/>
        </w:rPr>
        <w:t>L</w:t>
      </w:r>
      <w:r>
        <w:rPr>
          <w:rFonts w:eastAsia="Times New Roman"/>
          <w:szCs w:val="24"/>
          <w:lang w:val="es-ES"/>
        </w:rPr>
        <w:t>a Presidenta declaró clausurada la novena reunión de la Conferencia de las Partes que actúa como reunión de las Partes en el Protocolo de Cartagena</w:t>
      </w:r>
      <w:r>
        <w:rPr>
          <w:rFonts w:eastAsia="Times New Roman"/>
          <w:color w:val="000000"/>
          <w:szCs w:val="24"/>
          <w:lang w:val="es-ES"/>
        </w:rPr>
        <w:t xml:space="preserve"> el 29 de noviembre de 2018 a las 21 horas.</w:t>
      </w:r>
    </w:p>
    <w:p w:rsidR="00DA6E4C" w:rsidRPr="00C901E0" w:rsidRDefault="00DA6E4C" w:rsidP="00237524">
      <w:pPr>
        <w:pStyle w:val="Para1"/>
        <w:numPr>
          <w:ilvl w:val="0"/>
          <w:numId w:val="0"/>
        </w:numPr>
        <w:jc w:val="center"/>
        <w:rPr>
          <w:i/>
          <w:lang w:val="es-ES"/>
        </w:rPr>
      </w:pPr>
      <w:r w:rsidRPr="00C901E0">
        <w:rPr>
          <w:lang w:val="es-ES"/>
        </w:rPr>
        <w:t>__________</w:t>
      </w:r>
    </w:p>
    <w:sectPr w:rsidR="00DA6E4C" w:rsidRPr="00C901E0" w:rsidSect="00237524">
      <w:type w:val="continuous"/>
      <w:pgSz w:w="12240" w:h="15840" w:code="1"/>
      <w:pgMar w:top="1021" w:right="1440" w:bottom="1134" w:left="1440" w:header="459"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34" w:rsidRDefault="00DD3B34">
      <w:r>
        <w:separator/>
      </w:r>
    </w:p>
  </w:endnote>
  <w:endnote w:type="continuationSeparator" w:id="0">
    <w:p w:rsidR="00DD3B34" w:rsidRDefault="00DD3B34">
      <w:r>
        <w:continuationSeparator/>
      </w:r>
    </w:p>
  </w:endnote>
  <w:endnote w:type="continuationNotice" w:id="1">
    <w:p w:rsidR="00DD3B34" w:rsidRDefault="00DD3B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0B" w:rsidRDefault="0095510B">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0B" w:rsidRDefault="0095510B">
    <w:pPr>
      <w:pStyle w:val="Footer"/>
      <w:tabs>
        <w:tab w:val="clear" w:pos="4320"/>
        <w:tab w:val="clear" w:pos="8640"/>
      </w:tabs>
      <w:jc w:val="cen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34" w:rsidRDefault="00DD3B34">
      <w:r>
        <w:separator/>
      </w:r>
    </w:p>
  </w:footnote>
  <w:footnote w:type="continuationSeparator" w:id="0">
    <w:p w:rsidR="00DD3B34" w:rsidRDefault="00DD3B34">
      <w:r>
        <w:continuationSeparator/>
      </w:r>
    </w:p>
  </w:footnote>
  <w:footnote w:type="continuationNotice" w:id="1">
    <w:p w:rsidR="00DD3B34" w:rsidRDefault="00DD3B34"/>
  </w:footnote>
  <w:footnote w:id="2">
    <w:p w:rsidR="0095510B" w:rsidRDefault="0095510B" w:rsidP="00B25EF0">
      <w:pPr>
        <w:pStyle w:val="FootnoteText"/>
        <w:ind w:firstLine="0"/>
      </w:pPr>
      <w:r w:rsidRPr="00B25EF0">
        <w:rPr>
          <w:rStyle w:val="FootnoteReference"/>
          <w:u w:val="none"/>
          <w:vertAlign w:val="superscript"/>
        </w:rPr>
        <w:footnoteRef/>
      </w:r>
      <w:r>
        <w:t xml:space="preserve"> </w:t>
      </w:r>
      <w:r>
        <w:rPr>
          <w:lang w:val="es-ES"/>
        </w:rPr>
        <w:t>CBD/CP/MOP/9/2.</w:t>
      </w:r>
    </w:p>
  </w:footnote>
  <w:footnote w:id="3">
    <w:p w:rsidR="0095510B" w:rsidRDefault="0095510B" w:rsidP="001B1C78">
      <w:pPr>
        <w:pStyle w:val="FootnoteText"/>
        <w:suppressLineNumbers/>
        <w:suppressAutoHyphens/>
        <w:kinsoku w:val="0"/>
        <w:overflowPunct w:val="0"/>
        <w:autoSpaceDE w:val="0"/>
        <w:autoSpaceDN w:val="0"/>
        <w:ind w:firstLine="0"/>
        <w:jc w:val="left"/>
      </w:pPr>
      <w:r w:rsidRPr="00B25EF0">
        <w:rPr>
          <w:rStyle w:val="FootnoteReference"/>
          <w:kern w:val="18"/>
          <w:u w:val="none"/>
          <w:vertAlign w:val="superscript"/>
        </w:rPr>
        <w:footnoteRef/>
      </w:r>
      <w:r>
        <w:rPr>
          <w:kern w:val="18"/>
        </w:rPr>
        <w:t xml:space="preserve"> </w:t>
      </w:r>
      <w:r>
        <w:rPr>
          <w:kern w:val="18"/>
          <w:lang w:val="es-ES"/>
        </w:rPr>
        <w:t>El informe actualizado está disponible en el documento de información CBD/COP/14/INF/10.</w:t>
      </w:r>
    </w:p>
  </w:footnote>
  <w:footnote w:id="4">
    <w:p w:rsidR="0095510B" w:rsidRDefault="0095510B" w:rsidP="001B1C78">
      <w:pPr>
        <w:pStyle w:val="FootnoteText"/>
        <w:suppressLineNumbers/>
        <w:suppressAutoHyphens/>
        <w:ind w:firstLine="0"/>
        <w:jc w:val="left"/>
      </w:pPr>
      <w:r w:rsidRPr="00B25EF0">
        <w:rPr>
          <w:rStyle w:val="FootnoteReference"/>
          <w:kern w:val="18"/>
          <w:u w:val="none"/>
          <w:vertAlign w:val="superscript"/>
        </w:rPr>
        <w:footnoteRef/>
      </w:r>
      <w:r>
        <w:rPr>
          <w:kern w:val="18"/>
        </w:rPr>
        <w:t xml:space="preserve"> </w:t>
      </w:r>
      <w:r>
        <w:rPr>
          <w:kern w:val="18"/>
          <w:lang w:val="es-ES"/>
        </w:rPr>
        <w:t>CBD/CP/MOP/9/3, secc. II.</w:t>
      </w:r>
    </w:p>
  </w:footnote>
  <w:footnote w:id="5">
    <w:p w:rsidR="0095510B" w:rsidRPr="004167C2" w:rsidRDefault="0095510B" w:rsidP="001B1C78">
      <w:pPr>
        <w:pStyle w:val="FootnoteText"/>
        <w:suppressLineNumbers/>
        <w:suppressAutoHyphens/>
        <w:ind w:firstLine="0"/>
        <w:jc w:val="left"/>
        <w:rPr>
          <w:szCs w:val="18"/>
        </w:rPr>
      </w:pPr>
      <w:r w:rsidRPr="004167C2">
        <w:rPr>
          <w:rStyle w:val="FootnoteReference"/>
          <w:szCs w:val="18"/>
          <w:u w:val="none"/>
          <w:vertAlign w:val="superscript"/>
        </w:rPr>
        <w:footnoteRef/>
      </w:r>
      <w:r w:rsidRPr="004167C2">
        <w:rPr>
          <w:szCs w:val="18"/>
        </w:rPr>
        <w:t xml:space="preserve"> </w:t>
      </w:r>
      <w:r w:rsidRPr="004167C2">
        <w:rPr>
          <w:szCs w:val="18"/>
          <w:lang w:val="es-ES"/>
        </w:rPr>
        <w:t>Antes llamado Grupo de Enlace sobre Creación de Capacidad</w:t>
      </w:r>
      <w:r w:rsidRPr="004167C2">
        <w:rPr>
          <w:rStyle w:val="CommentReference"/>
          <w:sz w:val="18"/>
          <w:szCs w:val="18"/>
          <w:lang w:val="es-ES"/>
        </w:rPr>
        <w:t>.</w:t>
      </w:r>
    </w:p>
  </w:footnote>
  <w:footnote w:id="6">
    <w:p w:rsidR="0095510B" w:rsidRPr="004167C2" w:rsidRDefault="0095510B" w:rsidP="001B1C78">
      <w:pPr>
        <w:pStyle w:val="FootnoteText"/>
        <w:suppressLineNumbers/>
        <w:suppressAutoHyphens/>
        <w:ind w:firstLine="0"/>
        <w:jc w:val="left"/>
        <w:rPr>
          <w:szCs w:val="18"/>
        </w:rPr>
      </w:pPr>
      <w:r w:rsidRPr="004167C2">
        <w:rPr>
          <w:rStyle w:val="FootnoteReference"/>
          <w:szCs w:val="18"/>
          <w:u w:val="none"/>
          <w:vertAlign w:val="superscript"/>
        </w:rPr>
        <w:footnoteRef/>
      </w:r>
      <w:r w:rsidRPr="004167C2">
        <w:rPr>
          <w:szCs w:val="18"/>
        </w:rPr>
        <w:t xml:space="preserve"> </w:t>
      </w:r>
      <w:r w:rsidRPr="004167C2">
        <w:rPr>
          <w:szCs w:val="18"/>
          <w:lang w:val="es-ES"/>
        </w:rPr>
        <w:t>Véase la decisión 14/24, párr. 1 d).</w:t>
      </w:r>
    </w:p>
  </w:footnote>
  <w:footnote w:id="7">
    <w:p w:rsidR="0095510B" w:rsidRDefault="0095510B" w:rsidP="003A27FC">
      <w:pPr>
        <w:pStyle w:val="FootnoteText"/>
        <w:ind w:firstLine="0"/>
        <w:jc w:val="left"/>
      </w:pPr>
      <w:r w:rsidRPr="00B25EF0">
        <w:rPr>
          <w:rStyle w:val="FootnoteReference"/>
          <w:kern w:val="18"/>
          <w:u w:val="none"/>
          <w:vertAlign w:val="superscript"/>
        </w:rPr>
        <w:footnoteRef/>
      </w:r>
      <w:r w:rsidRPr="00B25EF0">
        <w:rPr>
          <w:kern w:val="18"/>
          <w:vertAlign w:val="superscript"/>
        </w:rPr>
        <w:t xml:space="preserve"> </w:t>
      </w:r>
      <w:r>
        <w:rPr>
          <w:kern w:val="18"/>
          <w:lang w:val="es-ES"/>
        </w:rPr>
        <w:t>Decisión BS-V/16, anexo I.</w:t>
      </w:r>
    </w:p>
  </w:footnote>
  <w:footnote w:id="8">
    <w:p w:rsidR="0095510B" w:rsidRDefault="0095510B" w:rsidP="003A27FC">
      <w:pPr>
        <w:pStyle w:val="FootnoteText"/>
        <w:ind w:firstLine="0"/>
        <w:jc w:val="left"/>
      </w:pPr>
      <w:r w:rsidRPr="00B25EF0">
        <w:rPr>
          <w:rStyle w:val="FootnoteReference"/>
          <w:kern w:val="18"/>
          <w:u w:val="none"/>
          <w:vertAlign w:val="superscript"/>
        </w:rPr>
        <w:footnoteRef/>
      </w:r>
      <w:r>
        <w:rPr>
          <w:kern w:val="18"/>
        </w:rPr>
        <w:t xml:space="preserve"> </w:t>
      </w:r>
      <w:r>
        <w:rPr>
          <w:kern w:val="18"/>
          <w:lang w:val="es-ES"/>
        </w:rPr>
        <w:t>Véase CBD/CP/MOP/9/2.</w:t>
      </w:r>
    </w:p>
  </w:footnote>
  <w:footnote w:id="9">
    <w:p w:rsidR="0095510B" w:rsidRPr="00C641B4" w:rsidRDefault="0095510B" w:rsidP="0052214A">
      <w:pPr>
        <w:pStyle w:val="FootnoteText"/>
        <w:suppressLineNumbers/>
        <w:suppressAutoHyphens/>
        <w:ind w:firstLine="0"/>
        <w:jc w:val="left"/>
        <w:rPr>
          <w:szCs w:val="18"/>
        </w:rPr>
      </w:pPr>
      <w:r w:rsidRPr="00B06065">
        <w:rPr>
          <w:rStyle w:val="FootnoteReference"/>
          <w:kern w:val="18"/>
          <w:szCs w:val="18"/>
          <w:u w:val="none"/>
          <w:vertAlign w:val="superscript"/>
          <w:lang w:val="es-ES"/>
        </w:rPr>
        <w:footnoteRef/>
      </w:r>
      <w:r w:rsidRPr="00C641B4">
        <w:rPr>
          <w:kern w:val="18"/>
          <w:szCs w:val="18"/>
          <w:lang w:val="es-ES"/>
        </w:rPr>
        <w:t xml:space="preserve"> Véase </w:t>
      </w:r>
      <w:hyperlink r:id="rId1" w:history="1">
        <w:r w:rsidRPr="00C641B4">
          <w:rPr>
            <w:rStyle w:val="Hyperlink"/>
            <w:kern w:val="18"/>
            <w:szCs w:val="18"/>
            <w:lang w:val="es-ES"/>
          </w:rPr>
          <w:t>CBD/SBI/2/22</w:t>
        </w:r>
      </w:hyperlink>
      <w:r w:rsidRPr="00C641B4">
        <w:rPr>
          <w:kern w:val="18"/>
          <w:szCs w:val="18"/>
          <w:lang w:val="es-ES"/>
        </w:rPr>
        <w:t>, secc. I, recomendación 2/13.</w:t>
      </w:r>
    </w:p>
  </w:footnote>
  <w:footnote w:id="10">
    <w:p w:rsidR="0095510B" w:rsidRPr="00C641B4" w:rsidRDefault="0095510B" w:rsidP="0052214A">
      <w:pPr>
        <w:pStyle w:val="FootnoteText"/>
        <w:suppressLineNumbers/>
        <w:suppressAutoHyphens/>
        <w:kinsoku w:val="0"/>
        <w:overflowPunct w:val="0"/>
        <w:autoSpaceDE w:val="0"/>
        <w:autoSpaceDN w:val="0"/>
        <w:ind w:firstLine="0"/>
        <w:jc w:val="left"/>
        <w:rPr>
          <w:szCs w:val="18"/>
        </w:rPr>
      </w:pPr>
      <w:r w:rsidRPr="00B06065">
        <w:rPr>
          <w:rStyle w:val="FootnoteReference"/>
          <w:kern w:val="18"/>
          <w:szCs w:val="18"/>
          <w:u w:val="none"/>
          <w:vertAlign w:val="superscript"/>
          <w:lang w:val="es-ES"/>
        </w:rPr>
        <w:footnoteRef/>
      </w:r>
      <w:r w:rsidRPr="00B06065">
        <w:rPr>
          <w:kern w:val="18"/>
          <w:szCs w:val="18"/>
          <w:vertAlign w:val="superscript"/>
          <w:lang w:val="es-ES"/>
        </w:rPr>
        <w:t xml:space="preserve"> </w:t>
      </w:r>
      <w:r w:rsidRPr="00C641B4">
        <w:rPr>
          <w:kern w:val="18"/>
          <w:szCs w:val="18"/>
          <w:lang w:val="es-ES"/>
        </w:rPr>
        <w:t>Resolución 70/1 de la Asamblea General, de 25 de septiembre de 2015.</w:t>
      </w:r>
    </w:p>
  </w:footnote>
  <w:footnote w:id="11">
    <w:p w:rsidR="0095510B" w:rsidRPr="00C641B4" w:rsidRDefault="0095510B" w:rsidP="0052214A">
      <w:pPr>
        <w:pStyle w:val="FootnoteText"/>
        <w:suppressLineNumbers/>
        <w:suppressAutoHyphens/>
        <w:ind w:firstLine="0"/>
        <w:jc w:val="left"/>
        <w:rPr>
          <w:szCs w:val="18"/>
        </w:rPr>
      </w:pPr>
      <w:r w:rsidRPr="00B06065">
        <w:rPr>
          <w:rStyle w:val="FootnoteReference"/>
          <w:kern w:val="18"/>
          <w:szCs w:val="18"/>
          <w:u w:val="none"/>
          <w:vertAlign w:val="superscript"/>
          <w:lang w:val="es-ES"/>
        </w:rPr>
        <w:footnoteRef/>
      </w:r>
      <w:r w:rsidRPr="00B06065">
        <w:rPr>
          <w:kern w:val="18"/>
          <w:szCs w:val="18"/>
          <w:vertAlign w:val="superscript"/>
          <w:lang w:val="es-ES"/>
        </w:rPr>
        <w:t xml:space="preserve"> </w:t>
      </w:r>
      <w:r w:rsidRPr="00C641B4">
        <w:rPr>
          <w:kern w:val="18"/>
          <w:szCs w:val="18"/>
          <w:lang w:val="es-ES"/>
        </w:rPr>
        <w:t>Angola, Arabia Saudita, Azerbaiyán, Belice, Cabo Verde, Djibouti, Estado de Palestina, Jordania, Libia, Montenegro, Nauru, Papua Nueva Guinea, Qatar, República Árabe Siria, Serbia y Seychelles.</w:t>
      </w:r>
    </w:p>
  </w:footnote>
  <w:footnote w:id="12">
    <w:p w:rsidR="0095510B" w:rsidRPr="00C641B4" w:rsidRDefault="0095510B" w:rsidP="0052214A">
      <w:pPr>
        <w:pStyle w:val="FootnoteText"/>
        <w:suppressLineNumbers/>
        <w:suppressAutoHyphens/>
        <w:kinsoku w:val="0"/>
        <w:overflowPunct w:val="0"/>
        <w:autoSpaceDE w:val="0"/>
        <w:autoSpaceDN w:val="0"/>
        <w:ind w:firstLine="0"/>
        <w:jc w:val="left"/>
      </w:pPr>
      <w:r w:rsidRPr="00B06065">
        <w:rPr>
          <w:rStyle w:val="FootnoteReference"/>
          <w:rFonts w:eastAsia="MS Gothic"/>
          <w:kern w:val="18"/>
          <w:szCs w:val="18"/>
          <w:u w:val="none"/>
          <w:vertAlign w:val="superscript"/>
          <w:lang w:val="es-ES"/>
        </w:rPr>
        <w:footnoteRef/>
      </w:r>
      <w:r w:rsidRPr="00C641B4">
        <w:rPr>
          <w:kern w:val="18"/>
          <w:szCs w:val="18"/>
          <w:lang w:val="es-ES"/>
        </w:rPr>
        <w:t xml:space="preserve"> Decisión </w:t>
      </w:r>
      <w:hyperlink r:id="rId2" w:history="1">
        <w:r w:rsidRPr="00C641B4">
          <w:rPr>
            <w:rStyle w:val="Hyperlink"/>
            <w:kern w:val="18"/>
            <w:szCs w:val="18"/>
            <w:lang w:val="es-ES"/>
          </w:rPr>
          <w:t>BS-V/16</w:t>
        </w:r>
      </w:hyperlink>
      <w:r w:rsidRPr="00C641B4">
        <w:rPr>
          <w:kern w:val="18"/>
          <w:szCs w:val="18"/>
          <w:lang w:val="es-ES"/>
        </w:rPr>
        <w:t>, anexo I.</w:t>
      </w:r>
    </w:p>
  </w:footnote>
  <w:footnote w:id="13">
    <w:p w:rsidR="0095510B" w:rsidRPr="00C641B4" w:rsidRDefault="0095510B" w:rsidP="0052214A">
      <w:pPr>
        <w:pStyle w:val="FootnoteText"/>
        <w:ind w:firstLine="0"/>
        <w:rPr>
          <w:spacing w:val="-2"/>
          <w:lang w:val="es-ES"/>
        </w:rPr>
      </w:pPr>
      <w:r w:rsidRPr="00B06065">
        <w:rPr>
          <w:rStyle w:val="FootnoteReference"/>
          <w:spacing w:val="-2"/>
          <w:kern w:val="18"/>
          <w:u w:val="none"/>
          <w:vertAlign w:val="superscript"/>
          <w:lang w:val="es-ES"/>
        </w:rPr>
        <w:footnoteRef/>
      </w:r>
      <w:r w:rsidRPr="00B06065">
        <w:rPr>
          <w:spacing w:val="-2"/>
          <w:kern w:val="18"/>
          <w:vertAlign w:val="superscript"/>
          <w:lang w:val="es-ES"/>
        </w:rPr>
        <w:t xml:space="preserve"> </w:t>
      </w:r>
      <w:r w:rsidRPr="00C641B4">
        <w:rPr>
          <w:spacing w:val="-2"/>
          <w:kern w:val="18"/>
          <w:lang w:val="es-ES"/>
        </w:rPr>
        <w:t>El presente documento es un formulario protegido en formato MS Word que permite que la información que contiene sea posteriormente procesada por la Secretaría del CDB. Solo pueden modificarse los campos preparados para introducir texto y las casillas de verificación. Cuando haya completado el formulario, guárdelo e imprima esta primera página para firmarla. Este formulario también está disponible para presentación electrónica en el CIISB, en la siguiente dirección: [SE AGREGARÁ ENLACE]</w:t>
      </w:r>
    </w:p>
    <w:p w:rsidR="0095510B" w:rsidRPr="008C05D8" w:rsidRDefault="0095510B" w:rsidP="0052214A">
      <w:pPr>
        <w:pStyle w:val="FootnoteText"/>
        <w:suppressLineNumbers/>
        <w:suppressAutoHyphens/>
        <w:kinsoku w:val="0"/>
        <w:overflowPunct w:val="0"/>
        <w:autoSpaceDE w:val="0"/>
        <w:autoSpaceDN w:val="0"/>
        <w:spacing w:after="0"/>
        <w:ind w:firstLine="0"/>
        <w:jc w:val="left"/>
        <w:rPr>
          <w:kern w:val="18"/>
          <w:szCs w:val="18"/>
        </w:rPr>
      </w:pPr>
    </w:p>
    <w:p w:rsidR="0095510B" w:rsidRPr="00C641B4" w:rsidRDefault="0095510B" w:rsidP="0052214A">
      <w:pPr>
        <w:pStyle w:val="FootnoteText"/>
        <w:pBdr>
          <w:top w:val="single" w:sz="4" w:space="1" w:color="auto"/>
          <w:left w:val="single" w:sz="4" w:space="4" w:color="auto"/>
          <w:bottom w:val="single" w:sz="4" w:space="1" w:color="auto"/>
          <w:right w:val="single" w:sz="4" w:space="4" w:color="auto"/>
        </w:pBdr>
        <w:ind w:firstLine="0"/>
        <w:rPr>
          <w:b/>
          <w:kern w:val="18"/>
          <w:lang w:val="es-ES"/>
        </w:rPr>
      </w:pPr>
      <w:r w:rsidRPr="00C641B4">
        <w:rPr>
          <w:b/>
          <w:kern w:val="18"/>
          <w:lang w:val="es-ES"/>
        </w:rPr>
        <w:t xml:space="preserve">IMPORTANTE: Para facilitar el análisis de la información que figura en este informe, se recomienda que las Partes lo presenten en línea a través del Centro de Intercambio de Información sobre Seguridad de la Biotecnología o lo envíen por correo electrónico en un archivo adjunto en formato MS Word, junto con una copia escaneada de la primera página firmada, dirigido a la Secretaría a: </w:t>
      </w:r>
      <w:hyperlink r:id="rId3" w:history="1">
        <w:r w:rsidRPr="00C641B4">
          <w:rPr>
            <w:rStyle w:val="Hyperlink"/>
            <w:b/>
            <w:kern w:val="18"/>
            <w:lang w:val="es-ES"/>
          </w:rPr>
          <w:t>secretariat@cbd.int</w:t>
        </w:r>
      </w:hyperlink>
      <w:r w:rsidRPr="00C641B4">
        <w:rPr>
          <w:b/>
          <w:kern w:val="18"/>
          <w:lang w:val="es-ES"/>
        </w:rPr>
        <w:t>.</w:t>
      </w:r>
    </w:p>
    <w:p w:rsidR="0095510B" w:rsidRPr="00C641B4" w:rsidRDefault="0095510B" w:rsidP="0052214A">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pPr>
      <w:r w:rsidRPr="00C641B4">
        <w:rPr>
          <w:b/>
          <w:i/>
          <w:kern w:val="18"/>
          <w:lang w:val="es-ES"/>
        </w:rPr>
        <w:t>No</w:t>
      </w:r>
      <w:r w:rsidRPr="00C641B4">
        <w:rPr>
          <w:b/>
          <w:kern w:val="18"/>
          <w:lang w:val="es-ES"/>
        </w:rPr>
        <w:t xml:space="preserve"> envíe este informe por fax o por correo postal ni en un formato electrónico que no sea MS Word</w:t>
      </w:r>
      <w:r w:rsidRPr="008C05D8">
        <w:rPr>
          <w:b/>
          <w:kern w:val="18"/>
          <w:szCs w:val="18"/>
        </w:rPr>
        <w:t>.</w:t>
      </w:r>
    </w:p>
  </w:footnote>
  <w:footnote w:id="14">
    <w:p w:rsidR="0095510B" w:rsidRPr="00F40BA4" w:rsidRDefault="0095510B" w:rsidP="0052214A">
      <w:pPr>
        <w:pStyle w:val="FootnoteText"/>
        <w:suppressLineNumbers/>
        <w:suppressAutoHyphens/>
        <w:kinsoku w:val="0"/>
        <w:overflowPunct w:val="0"/>
        <w:autoSpaceDE w:val="0"/>
        <w:autoSpaceDN w:val="0"/>
        <w:ind w:firstLine="0"/>
        <w:jc w:val="left"/>
        <w:rPr>
          <w:szCs w:val="18"/>
        </w:rPr>
      </w:pPr>
      <w:r w:rsidRPr="000B7E35">
        <w:rPr>
          <w:rStyle w:val="FootnoteReference"/>
          <w:kern w:val="18"/>
          <w:szCs w:val="18"/>
          <w:u w:val="none"/>
          <w:vertAlign w:val="superscript"/>
          <w:lang w:val="es-ES"/>
        </w:rPr>
        <w:footnoteRef/>
      </w:r>
      <w:r w:rsidRPr="00F40BA4">
        <w:rPr>
          <w:kern w:val="18"/>
          <w:szCs w:val="18"/>
          <w:lang w:val="es-ES"/>
        </w:rPr>
        <w:t xml:space="preserve"> De conformidad con la definición operacional adoptada en la decisión CP-VIII/16, “El ‘movimiento transfronterizo involuntario’ es un movimiento transfronterizo de un organismo vivo modificado que ha cruzado involuntariamente las fronteras nacionales de una Parte, a través del cual el organismo vivo modificado fue liberado, siendo de aplicación las prescripciones del artículo 17 del Protocolo en tales casos de movimientos transfronterizos tan solo si cabe la posibilidad de que el organismo vivo modificado en cuestión ejerza o pudiera ejercer una repercusión adversa significativa en la conservación y la utilización sostenible de la diversidad biológica, habida cuenta además de los riesgos para la salud humana, en el marco de los Estados afectados o que pudieran estar afectados”.</w:t>
      </w:r>
    </w:p>
  </w:footnote>
  <w:footnote w:id="15">
    <w:p w:rsidR="0095510B" w:rsidRPr="00C641B4" w:rsidRDefault="0095510B" w:rsidP="0052214A">
      <w:pPr>
        <w:pStyle w:val="FootnoteText"/>
        <w:suppressLineNumbers/>
        <w:suppressAutoHyphens/>
        <w:kinsoku w:val="0"/>
        <w:overflowPunct w:val="0"/>
        <w:autoSpaceDE w:val="0"/>
        <w:autoSpaceDN w:val="0"/>
        <w:ind w:firstLine="0"/>
        <w:jc w:val="left"/>
      </w:pPr>
      <w:r w:rsidRPr="000B7E35">
        <w:rPr>
          <w:rStyle w:val="FootnoteReference"/>
          <w:kern w:val="18"/>
          <w:u w:val="none"/>
          <w:vertAlign w:val="superscript"/>
          <w:lang w:val="es-ES"/>
        </w:rPr>
        <w:footnoteRef/>
      </w:r>
      <w:r w:rsidRPr="00C641B4">
        <w:rPr>
          <w:kern w:val="18"/>
          <w:vertAlign w:val="superscript"/>
          <w:lang w:val="es-ES"/>
        </w:rPr>
        <w:t xml:space="preserve"> </w:t>
      </w:r>
      <w:r w:rsidRPr="00C641B4">
        <w:rPr>
          <w:kern w:val="18"/>
          <w:lang w:val="es-ES"/>
        </w:rPr>
        <w:t>De conformidad con la definición operacional adoptada en la decisión CP-VIII/16, “‘Movimiento transfronterizo ilícito’ es un movimiento transfronterizo de organismos vivos modificados realizado en contravención de las medidas nacionales para aplicar el Protocolo que hayan sido adoptadas por la Parte afectada”.</w:t>
      </w:r>
    </w:p>
  </w:footnote>
  <w:footnote w:id="16">
    <w:p w:rsidR="0095510B" w:rsidRDefault="0095510B" w:rsidP="0064207A">
      <w:pPr>
        <w:pStyle w:val="FootnoteText"/>
        <w:ind w:firstLine="0"/>
        <w:jc w:val="left"/>
      </w:pPr>
      <w:r w:rsidRPr="006C3E75">
        <w:rPr>
          <w:rStyle w:val="FootnoteReference"/>
          <w:kern w:val="18"/>
          <w:u w:val="none"/>
          <w:vertAlign w:val="superscript"/>
          <w:lang w:val="es-ES"/>
        </w:rPr>
        <w:footnoteRef/>
      </w:r>
      <w:r>
        <w:rPr>
          <w:kern w:val="18"/>
          <w:lang w:val="es-ES"/>
        </w:rPr>
        <w:t xml:space="preserve"> Decisión 14/34, anexo</w:t>
      </w:r>
    </w:p>
  </w:footnote>
  <w:footnote w:id="17">
    <w:p w:rsidR="0095510B" w:rsidRDefault="0095510B" w:rsidP="006C3E75">
      <w:pPr>
        <w:pStyle w:val="FootnoteText"/>
        <w:ind w:firstLine="0"/>
        <w:jc w:val="left"/>
      </w:pPr>
      <w:r w:rsidRPr="006C3E75">
        <w:rPr>
          <w:rStyle w:val="FootnoteReference"/>
          <w:u w:val="none"/>
          <w:vertAlign w:val="superscript"/>
        </w:rPr>
        <w:footnoteRef/>
      </w:r>
      <w:r>
        <w:t xml:space="preserve"> </w:t>
      </w:r>
      <w:hyperlink r:id="rId4" w:history="1">
        <w:r>
          <w:rPr>
            <w:rStyle w:val="Hyperlink"/>
            <w:lang w:val="es-ES"/>
          </w:rPr>
          <w:t>CBD/SBI/2/16</w:t>
        </w:r>
      </w:hyperlink>
      <w:r>
        <w:rPr>
          <w:lang w:val="es-ES"/>
        </w:rPr>
        <w:t xml:space="preserve"> y </w:t>
      </w:r>
      <w:hyperlink r:id="rId5" w:history="1">
        <w:r>
          <w:rPr>
            <w:rStyle w:val="Hyperlink"/>
            <w:lang w:val="es-ES"/>
          </w:rPr>
          <w:t>Add.1</w:t>
        </w:r>
      </w:hyperlink>
      <w:r>
        <w:rPr>
          <w:lang w:val="es-ES"/>
        </w:rPr>
        <w:t>.</w:t>
      </w:r>
    </w:p>
  </w:footnote>
  <w:footnote w:id="18">
    <w:p w:rsidR="0095510B" w:rsidRPr="000E772A" w:rsidRDefault="0095510B" w:rsidP="005E7957">
      <w:pPr>
        <w:pStyle w:val="FootnoteText"/>
        <w:ind w:firstLine="0"/>
        <w:jc w:val="left"/>
        <w:rPr>
          <w:szCs w:val="18"/>
        </w:rPr>
      </w:pPr>
      <w:r w:rsidRPr="005E7957">
        <w:rPr>
          <w:rStyle w:val="FootnoteReference"/>
          <w:rFonts w:eastAsia="MS Gothic"/>
          <w:kern w:val="18"/>
          <w:szCs w:val="18"/>
          <w:u w:val="none"/>
          <w:vertAlign w:val="superscript"/>
          <w:lang w:val="es-ES"/>
        </w:rPr>
        <w:footnoteRef/>
      </w:r>
      <w:r w:rsidRPr="005E7957">
        <w:rPr>
          <w:kern w:val="18"/>
          <w:szCs w:val="18"/>
          <w:vertAlign w:val="superscript"/>
          <w:lang w:val="es-ES"/>
        </w:rPr>
        <w:t xml:space="preserve"> </w:t>
      </w:r>
      <w:r>
        <w:rPr>
          <w:kern w:val="18"/>
          <w:szCs w:val="18"/>
          <w:lang w:val="es-ES"/>
        </w:rPr>
        <w:t>El proyecto de manual figura</w:t>
      </w:r>
      <w:r w:rsidRPr="000E772A">
        <w:rPr>
          <w:kern w:val="18"/>
          <w:szCs w:val="18"/>
          <w:lang w:val="es-ES"/>
        </w:rPr>
        <w:t xml:space="preserve"> en el documento </w:t>
      </w:r>
      <w:r w:rsidRPr="000E772A">
        <w:rPr>
          <w:color w:val="000000"/>
          <w:kern w:val="22"/>
          <w:szCs w:val="18"/>
          <w:lang w:val="es-ES"/>
        </w:rPr>
        <w:t>CBD/CP/MOP/9/8/Add.1.</w:t>
      </w:r>
    </w:p>
  </w:footnote>
  <w:footnote w:id="19">
    <w:p w:rsidR="0095510B" w:rsidRPr="000E772A" w:rsidRDefault="0095510B" w:rsidP="005E7957">
      <w:pPr>
        <w:pStyle w:val="FootnoteText"/>
        <w:ind w:firstLine="0"/>
        <w:jc w:val="left"/>
        <w:rPr>
          <w:szCs w:val="18"/>
        </w:rPr>
      </w:pPr>
      <w:r w:rsidRPr="005E7957">
        <w:rPr>
          <w:rStyle w:val="FootnoteReference"/>
          <w:kern w:val="18"/>
          <w:szCs w:val="18"/>
          <w:u w:val="none"/>
          <w:vertAlign w:val="superscript"/>
          <w:lang w:val="es-ES"/>
        </w:rPr>
        <w:footnoteRef/>
      </w:r>
      <w:r w:rsidRPr="005E7957">
        <w:rPr>
          <w:kern w:val="18"/>
          <w:szCs w:val="18"/>
          <w:vertAlign w:val="superscript"/>
          <w:lang w:val="es-ES"/>
        </w:rPr>
        <w:t xml:space="preserve"> </w:t>
      </w:r>
      <w:r w:rsidRPr="000E772A">
        <w:rPr>
          <w:kern w:val="18"/>
          <w:szCs w:val="18"/>
          <w:lang w:val="es-ES"/>
        </w:rPr>
        <w:t xml:space="preserve">Por “operador” se entiende toda persona que tenga control directo o indirecto del organismo vivo modificado, lo que </w:t>
      </w:r>
      <w:r>
        <w:rPr>
          <w:kern w:val="18"/>
          <w:szCs w:val="18"/>
          <w:lang w:val="es-ES"/>
        </w:rPr>
        <w:t xml:space="preserve">podría </w:t>
      </w:r>
      <w:r w:rsidRPr="000E772A">
        <w:rPr>
          <w:kern w:val="18"/>
          <w:szCs w:val="18"/>
          <w:lang w:val="es-ES"/>
        </w:rPr>
        <w:t>incluir, según proceda y conforme a lo establecido en la legislación nacional, entre otros</w:t>
      </w:r>
      <w:r>
        <w:rPr>
          <w:kern w:val="18"/>
          <w:szCs w:val="18"/>
          <w:lang w:val="es-ES"/>
        </w:rPr>
        <w:t>,</w:t>
      </w:r>
      <w:r w:rsidRPr="000E772A">
        <w:rPr>
          <w:kern w:val="18"/>
          <w:szCs w:val="18"/>
          <w:lang w:val="es-ES"/>
        </w:rPr>
        <w:t xml:space="preserve"> al titular del permiso, la persona que introdujo el organismo vivo modificado en el mercado, el que lo desarrolló, el productor, el notificador, el exportador, el importador, el transportista o el proveedor.</w:t>
      </w:r>
    </w:p>
  </w:footnote>
  <w:footnote w:id="20">
    <w:p w:rsidR="0095510B" w:rsidRDefault="0095510B" w:rsidP="00FE6D0D">
      <w:pPr>
        <w:pStyle w:val="FootnoteText"/>
        <w:ind w:firstLine="0"/>
        <w:jc w:val="left"/>
      </w:pPr>
      <w:r w:rsidRPr="00FE6D0D">
        <w:rPr>
          <w:rStyle w:val="FootnoteReference"/>
          <w:kern w:val="18"/>
          <w:u w:val="none"/>
          <w:vertAlign w:val="superscript"/>
          <w:lang w:val="es-ES"/>
        </w:rPr>
        <w:footnoteRef/>
      </w:r>
      <w:r>
        <w:rPr>
          <w:kern w:val="18"/>
          <w:lang w:val="es-ES"/>
        </w:rPr>
        <w:t xml:space="preserve"> Véase el documento CBD/CP/MOP/9/2.</w:t>
      </w:r>
    </w:p>
  </w:footnote>
  <w:footnote w:id="21">
    <w:p w:rsidR="0095510B" w:rsidRPr="00297A81" w:rsidRDefault="0095510B" w:rsidP="007E08BF">
      <w:pPr>
        <w:pStyle w:val="FootnoteText"/>
        <w:kinsoku w:val="0"/>
        <w:overflowPunct w:val="0"/>
        <w:autoSpaceDE w:val="0"/>
        <w:autoSpaceDN w:val="0"/>
        <w:ind w:firstLine="0"/>
        <w:jc w:val="left"/>
        <w:rPr>
          <w:szCs w:val="18"/>
        </w:rPr>
      </w:pPr>
      <w:r w:rsidRPr="00CD2D82">
        <w:rPr>
          <w:rStyle w:val="FootnoteReference"/>
          <w:rFonts w:eastAsia="MS Gothic"/>
          <w:kern w:val="18"/>
          <w:szCs w:val="18"/>
          <w:u w:val="none"/>
          <w:vertAlign w:val="superscript"/>
        </w:rPr>
        <w:footnoteRef/>
      </w:r>
      <w:r w:rsidRPr="00297A81">
        <w:rPr>
          <w:kern w:val="18"/>
          <w:szCs w:val="18"/>
        </w:rPr>
        <w:t xml:space="preserve"> </w:t>
      </w:r>
      <w:hyperlink r:id="rId6" w:history="1">
        <w:r w:rsidRPr="00297A81">
          <w:rPr>
            <w:rStyle w:val="Hyperlink"/>
            <w:szCs w:val="18"/>
            <w:lang w:val="es-ES"/>
          </w:rPr>
          <w:t>Decisión VIII/10</w:t>
        </w:r>
      </w:hyperlink>
      <w:r w:rsidRPr="00297A81">
        <w:rPr>
          <w:szCs w:val="18"/>
          <w:lang w:val="es-ES"/>
        </w:rPr>
        <w:t>, anexo III.</w:t>
      </w:r>
    </w:p>
  </w:footnote>
  <w:footnote w:id="22">
    <w:p w:rsidR="0095510B" w:rsidRDefault="0095510B" w:rsidP="00CD2D82">
      <w:pPr>
        <w:pStyle w:val="FootnoteText"/>
        <w:ind w:firstLine="0"/>
        <w:jc w:val="left"/>
      </w:pPr>
      <w:r w:rsidRPr="00CD2D82">
        <w:rPr>
          <w:rStyle w:val="FootnoteReference"/>
          <w:u w:val="none"/>
          <w:vertAlign w:val="superscript"/>
          <w:lang w:val="es-ES"/>
        </w:rPr>
        <w:footnoteRef/>
      </w:r>
      <w:r w:rsidRPr="00CD2D82">
        <w:rPr>
          <w:vertAlign w:val="superscript"/>
          <w:lang w:val="es-ES"/>
        </w:rPr>
        <w:t xml:space="preserve"> </w:t>
      </w:r>
      <w:r>
        <w:rPr>
          <w:lang w:val="es-ES"/>
        </w:rPr>
        <w:t xml:space="preserve">Que figura en el </w:t>
      </w:r>
      <w:r>
        <w:rPr>
          <w:color w:val="000000"/>
          <w:lang w:val="es-ES"/>
        </w:rPr>
        <w:t>anexo</w:t>
      </w:r>
      <w:r>
        <w:rPr>
          <w:lang w:val="es-ES"/>
        </w:rPr>
        <w:t xml:space="preserve"> del documento CBD/CP/MOP/9/10.</w:t>
      </w:r>
    </w:p>
  </w:footnote>
  <w:footnote w:id="23">
    <w:p w:rsidR="0095510B" w:rsidRPr="00B963CB" w:rsidRDefault="0095510B" w:rsidP="00354577">
      <w:pPr>
        <w:pStyle w:val="Para1"/>
        <w:keepLines/>
        <w:numPr>
          <w:ilvl w:val="0"/>
          <w:numId w:val="0"/>
        </w:numPr>
        <w:spacing w:before="0" w:after="60"/>
        <w:jc w:val="left"/>
        <w:rPr>
          <w:sz w:val="18"/>
        </w:rPr>
      </w:pPr>
      <w:r w:rsidRPr="00B963CB">
        <w:rPr>
          <w:kern w:val="18"/>
          <w:sz w:val="18"/>
          <w:vertAlign w:val="superscript"/>
        </w:rPr>
        <w:footnoteRef/>
      </w:r>
      <w:r w:rsidRPr="00B963CB">
        <w:rPr>
          <w:kern w:val="18"/>
          <w:sz w:val="18"/>
        </w:rPr>
        <w:t xml:space="preserve"> </w:t>
      </w:r>
      <w:r w:rsidRPr="00B963CB">
        <w:rPr>
          <w:kern w:val="18"/>
          <w:sz w:val="18"/>
          <w:lang w:val="es-ES"/>
        </w:rPr>
        <w:t>De conformidad con el artículo 14, párrafo 1, del Protoc</w:t>
      </w:r>
      <w:r>
        <w:rPr>
          <w:kern w:val="18"/>
          <w:sz w:val="18"/>
          <w:lang w:val="es-ES"/>
        </w:rPr>
        <w:t>olo Suplementario y</w:t>
      </w:r>
      <w:r w:rsidRPr="00B963CB">
        <w:rPr>
          <w:kern w:val="18"/>
          <w:sz w:val="18"/>
          <w:lang w:val="es-ES"/>
        </w:rPr>
        <w:t xml:space="preserve"> sujeto al párrafo 2 del artículo 32 del Convenio, la Conferencia de las Partes que actúa como reunión de las Partes en el Protocolo actuará como reunión de las Partes en el Protocolo Suplementario.</w:t>
      </w:r>
      <w:r w:rsidRPr="00B963CB">
        <w:rPr>
          <w:kern w:val="18"/>
          <w:sz w:val="18"/>
        </w:rPr>
        <w:t xml:space="preserve"> </w:t>
      </w:r>
      <w:r w:rsidRPr="00B963CB">
        <w:rPr>
          <w:kern w:val="18"/>
          <w:sz w:val="18"/>
          <w:lang w:val="es-ES"/>
        </w:rPr>
        <w:t>Por consiguiente, la presente decisión fue adoptada por las Partes en el Protocolo Suplementario.</w:t>
      </w:r>
    </w:p>
  </w:footnote>
  <w:footnote w:id="24">
    <w:p w:rsidR="0095510B" w:rsidRDefault="0095510B" w:rsidP="002D4B57">
      <w:pPr>
        <w:pStyle w:val="FootnoteText"/>
        <w:ind w:firstLine="0"/>
        <w:jc w:val="left"/>
        <w:rPr>
          <w:rFonts w:eastAsia="Times New Roman"/>
        </w:rPr>
      </w:pPr>
      <w:r w:rsidRPr="002D4B57">
        <w:rPr>
          <w:rStyle w:val="FootnoteReference"/>
          <w:rFonts w:eastAsia="Times New Roman"/>
          <w:kern w:val="18"/>
          <w:szCs w:val="18"/>
          <w:u w:val="none"/>
          <w:vertAlign w:val="superscript"/>
        </w:rPr>
        <w:footnoteRef/>
      </w:r>
      <w:r w:rsidRPr="00D21E29">
        <w:rPr>
          <w:rFonts w:eastAsia="Times New Roman"/>
          <w:kern w:val="18"/>
          <w:szCs w:val="18"/>
        </w:rPr>
        <w:t xml:space="preserve"> </w:t>
      </w:r>
      <w:r w:rsidRPr="00D21E29">
        <w:rPr>
          <w:rFonts w:eastAsia="Times New Roman"/>
          <w:kern w:val="18"/>
          <w:szCs w:val="18"/>
          <w:lang w:val="es-ES"/>
        </w:rPr>
        <w:t>Véase la nota del cuadro 2. Con arreglo a la resolución 70/245 de la Asamblea General de las Naciones Unidas.</w:t>
      </w:r>
    </w:p>
  </w:footnote>
  <w:footnote w:id="25">
    <w:p w:rsidR="0095510B" w:rsidRPr="0095510B" w:rsidRDefault="0095510B" w:rsidP="0008472F">
      <w:pPr>
        <w:pStyle w:val="FootnoteText"/>
        <w:suppressLineNumbers/>
        <w:suppressAutoHyphens/>
        <w:ind w:firstLine="0"/>
        <w:jc w:val="left"/>
        <w:rPr>
          <w:color w:val="000000" w:themeColor="text1"/>
          <w:kern w:val="18"/>
          <w:szCs w:val="18"/>
          <w:lang w:val="es-ES"/>
        </w:rPr>
      </w:pPr>
      <w:r w:rsidRPr="0095510B">
        <w:rPr>
          <w:rStyle w:val="FootnoteReference"/>
          <w:snapToGrid w:val="0"/>
          <w:kern w:val="22"/>
          <w:szCs w:val="18"/>
          <w:u w:val="none"/>
          <w:vertAlign w:val="superscript"/>
          <w:lang w:val="es-ES"/>
        </w:rPr>
        <w:footnoteRef/>
      </w:r>
      <w:r w:rsidRPr="0095510B">
        <w:rPr>
          <w:rStyle w:val="FootnoteReference"/>
          <w:snapToGrid w:val="0"/>
          <w:kern w:val="22"/>
          <w:szCs w:val="18"/>
          <w:u w:val="none"/>
          <w:vertAlign w:val="superscript"/>
          <w:lang w:val="es-ES"/>
        </w:rPr>
        <w:t xml:space="preserve"> </w:t>
      </w:r>
      <w:r w:rsidR="00500276">
        <w:rPr>
          <w:rFonts w:eastAsia="Times New Roman"/>
          <w:lang w:val="es-ES"/>
        </w:rPr>
        <w:t>Con arreglo a la resolución 70/245 de la Asamblea General de Naciones Unidas.</w:t>
      </w:r>
      <w:r w:rsidR="00500276">
        <w:rPr>
          <w:rFonts w:eastAsia="Times New Roman"/>
          <w:kern w:val="18"/>
          <w:lang w:val="es-ES"/>
        </w:rPr>
        <w:t xml:space="preserve"> Cuando se emita una escala revisada de cuotas para el trienio esta se aplicará para calcular las contribuciones prorrateadas para el bienio 2019-2020 (véase la notificación </w:t>
      </w:r>
      <w:hyperlink r:id="rId7" w:history="1">
        <w:r w:rsidRPr="0095510B">
          <w:rPr>
            <w:rStyle w:val="Hyperlink"/>
            <w:szCs w:val="18"/>
            <w:lang w:val="es-ES"/>
          </w:rPr>
          <w:t>https://www.cbd.int/doc/notifications/2019/ntf-2019-016-budget-cp-en.pdf</w:t>
        </w:r>
      </w:hyperlink>
      <w:r w:rsidRPr="0095510B">
        <w:rPr>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lang w:val="es-ES"/>
      </w:rPr>
      <w:alias w:val="Subject"/>
      <w:tag w:val=""/>
      <w:id w:val="-1885015078"/>
      <w:placeholder>
        <w:docPart w:val="D78D5438D86D4A71BBE6089CEEBFFBDE"/>
      </w:placeholder>
      <w:dataBinding w:prefixMappings="xmlns:ns0='http://purl.org/dc/elements/1.1/' xmlns:ns1='http://schemas.openxmlformats.org/package/2006/metadata/core-properties' " w:xpath="/ns1:coreProperties[1]/ns0:subject[1]" w:storeItemID="{6C3C8BC8-F283-45AE-878A-BAB7291924A1}"/>
      <w:text/>
    </w:sdtPr>
    <w:sdtContent>
      <w:p w:rsidR="0095510B" w:rsidRPr="000B1C16" w:rsidRDefault="0095510B" w:rsidP="00EF0503">
        <w:pPr>
          <w:pStyle w:val="Header"/>
          <w:tabs>
            <w:tab w:val="clear" w:pos="4320"/>
            <w:tab w:val="clear" w:pos="8640"/>
          </w:tabs>
          <w:jc w:val="left"/>
          <w:rPr>
            <w:kern w:val="22"/>
            <w:lang w:val="es-ES"/>
          </w:rPr>
        </w:pPr>
        <w:r w:rsidRPr="000B1C16">
          <w:rPr>
            <w:kern w:val="22"/>
            <w:lang w:val="es-ES"/>
          </w:rPr>
          <w:t>CBD/CP/MOP/9/13</w:t>
        </w:r>
      </w:p>
    </w:sdtContent>
  </w:sdt>
  <w:p w:rsidR="0095510B" w:rsidRPr="000B1C16" w:rsidRDefault="0095510B" w:rsidP="00EF0503">
    <w:pPr>
      <w:pStyle w:val="Header"/>
      <w:tabs>
        <w:tab w:val="clear" w:pos="4320"/>
        <w:tab w:val="clear" w:pos="8640"/>
      </w:tabs>
      <w:jc w:val="left"/>
      <w:rPr>
        <w:kern w:val="22"/>
        <w:lang w:val="es-ES"/>
      </w:rPr>
    </w:pPr>
    <w:r w:rsidRPr="000B1C16">
      <w:rPr>
        <w:kern w:val="22"/>
        <w:lang w:val="es-ES"/>
      </w:rPr>
      <w:t>P</w:t>
    </w:r>
    <w:r>
      <w:rPr>
        <w:kern w:val="22"/>
        <w:lang w:val="es-ES"/>
      </w:rPr>
      <w:t>á</w:t>
    </w:r>
    <w:r w:rsidRPr="000B1C16">
      <w:rPr>
        <w:kern w:val="22"/>
        <w:lang w:val="es-ES"/>
      </w:rPr>
      <w:t>g</w:t>
    </w:r>
    <w:r>
      <w:rPr>
        <w:kern w:val="22"/>
        <w:lang w:val="es-ES"/>
      </w:rPr>
      <w:t>ina</w:t>
    </w:r>
    <w:r w:rsidRPr="000B1C16">
      <w:rPr>
        <w:kern w:val="22"/>
        <w:lang w:val="es-ES"/>
      </w:rPr>
      <w:t xml:space="preserve"> </w:t>
    </w:r>
    <w:r w:rsidRPr="000B1C16">
      <w:rPr>
        <w:kern w:val="22"/>
        <w:lang w:val="es-ES"/>
      </w:rPr>
      <w:fldChar w:fldCharType="begin"/>
    </w:r>
    <w:r w:rsidRPr="000B1C16">
      <w:rPr>
        <w:kern w:val="22"/>
        <w:lang w:val="es-ES"/>
      </w:rPr>
      <w:instrText xml:space="preserve"> PAGE   \* MERGEFORMAT </w:instrText>
    </w:r>
    <w:r w:rsidRPr="000B1C16">
      <w:rPr>
        <w:kern w:val="22"/>
        <w:lang w:val="es-ES"/>
      </w:rPr>
      <w:fldChar w:fldCharType="separate"/>
    </w:r>
    <w:r w:rsidR="00500276">
      <w:rPr>
        <w:noProof/>
        <w:kern w:val="22"/>
        <w:lang w:val="es-ES"/>
      </w:rPr>
      <w:t>2</w:t>
    </w:r>
    <w:r w:rsidRPr="000B1C16">
      <w:rPr>
        <w:kern w:val="22"/>
        <w:lang w:val="es-ES"/>
      </w:rPr>
      <w:fldChar w:fldCharType="end"/>
    </w:r>
  </w:p>
  <w:p w:rsidR="0095510B" w:rsidRPr="000B1C16" w:rsidRDefault="0095510B" w:rsidP="00EF0503">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lang w:val="es-ES"/>
      </w:rPr>
      <w:alias w:val="Subject"/>
      <w:tag w:val=""/>
      <w:id w:val="851227268"/>
      <w:placeholder>
        <w:docPart w:val="44258BF6970D4CC59FE855240C8C7AF3"/>
      </w:placeholder>
      <w:dataBinding w:prefixMappings="xmlns:ns0='http://purl.org/dc/elements/1.1/' xmlns:ns1='http://schemas.openxmlformats.org/package/2006/metadata/core-properties' " w:xpath="/ns1:coreProperties[1]/ns0:subject[1]" w:storeItemID="{6C3C8BC8-F283-45AE-878A-BAB7291924A1}"/>
      <w:text/>
    </w:sdtPr>
    <w:sdtContent>
      <w:p w:rsidR="0095510B" w:rsidRPr="000B1C16" w:rsidRDefault="0095510B" w:rsidP="00EF0503">
        <w:pPr>
          <w:pStyle w:val="Header"/>
          <w:tabs>
            <w:tab w:val="clear" w:pos="4320"/>
            <w:tab w:val="clear" w:pos="8640"/>
          </w:tabs>
          <w:jc w:val="right"/>
          <w:rPr>
            <w:kern w:val="22"/>
            <w:lang w:val="es-ES"/>
          </w:rPr>
        </w:pPr>
        <w:r w:rsidRPr="000B1C16">
          <w:rPr>
            <w:kern w:val="22"/>
            <w:lang w:val="es-ES"/>
          </w:rPr>
          <w:t>CBD/CP/MOP/9/13</w:t>
        </w:r>
      </w:p>
    </w:sdtContent>
  </w:sdt>
  <w:p w:rsidR="0095510B" w:rsidRPr="000B1C16" w:rsidRDefault="0095510B" w:rsidP="00EF0503">
    <w:pPr>
      <w:pStyle w:val="Header"/>
      <w:tabs>
        <w:tab w:val="clear" w:pos="4320"/>
        <w:tab w:val="clear" w:pos="8640"/>
      </w:tabs>
      <w:jc w:val="right"/>
      <w:rPr>
        <w:kern w:val="22"/>
        <w:lang w:val="es-ES"/>
      </w:rPr>
    </w:pPr>
    <w:r w:rsidRPr="000B1C16">
      <w:rPr>
        <w:kern w:val="22"/>
        <w:lang w:val="es-ES"/>
      </w:rPr>
      <w:t>P</w:t>
    </w:r>
    <w:r>
      <w:rPr>
        <w:kern w:val="22"/>
        <w:lang w:val="es-ES"/>
      </w:rPr>
      <w:t>á</w:t>
    </w:r>
    <w:r w:rsidRPr="000B1C16">
      <w:rPr>
        <w:kern w:val="22"/>
        <w:lang w:val="es-ES"/>
      </w:rPr>
      <w:t>g</w:t>
    </w:r>
    <w:r>
      <w:rPr>
        <w:kern w:val="22"/>
        <w:lang w:val="es-ES"/>
      </w:rPr>
      <w:t>ina</w:t>
    </w:r>
    <w:r w:rsidRPr="000B1C16">
      <w:rPr>
        <w:kern w:val="22"/>
        <w:lang w:val="es-ES"/>
      </w:rPr>
      <w:t xml:space="preserve"> </w:t>
    </w:r>
    <w:r w:rsidRPr="000B1C16">
      <w:rPr>
        <w:kern w:val="22"/>
        <w:lang w:val="es-ES"/>
      </w:rPr>
      <w:fldChar w:fldCharType="begin"/>
    </w:r>
    <w:r w:rsidRPr="000B1C16">
      <w:rPr>
        <w:kern w:val="22"/>
        <w:lang w:val="es-ES"/>
      </w:rPr>
      <w:instrText xml:space="preserve"> PAGE   \* MERGEFORMAT </w:instrText>
    </w:r>
    <w:r w:rsidRPr="000B1C16">
      <w:rPr>
        <w:kern w:val="22"/>
        <w:lang w:val="es-ES"/>
      </w:rPr>
      <w:fldChar w:fldCharType="separate"/>
    </w:r>
    <w:r w:rsidR="00500276">
      <w:rPr>
        <w:noProof/>
        <w:kern w:val="22"/>
        <w:lang w:val="es-ES"/>
      </w:rPr>
      <w:t>57</w:t>
    </w:r>
    <w:r w:rsidRPr="000B1C16">
      <w:rPr>
        <w:kern w:val="22"/>
        <w:lang w:val="es-ES"/>
      </w:rPr>
      <w:fldChar w:fldCharType="end"/>
    </w:r>
  </w:p>
  <w:p w:rsidR="0095510B" w:rsidRPr="000B1C16" w:rsidRDefault="0095510B" w:rsidP="00EF0503">
    <w:pPr>
      <w:pStyle w:val="Header"/>
      <w:tabs>
        <w:tab w:val="clear" w:pos="4320"/>
        <w:tab w:val="clear" w:pos="8640"/>
      </w:tabs>
      <w:jc w:val="right"/>
      <w:rPr>
        <w:kern w:val="22"/>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0B" w:rsidRPr="00B8020C" w:rsidRDefault="0095510B">
    <w:pPr>
      <w:pStyle w:val="Header"/>
      <w:tabs>
        <w:tab w:val="clear" w:pos="4320"/>
        <w:tab w:val="clear" w:pos="8640"/>
      </w:tabs>
      <w:jc w:val="left"/>
      <w:rPr>
        <w:kern w:val="22"/>
        <w:szCs w:val="22"/>
        <w:lang w:val="es-ES"/>
      </w:rPr>
    </w:pPr>
    <w:r w:rsidRPr="00B8020C">
      <w:rPr>
        <w:bCs/>
        <w:szCs w:val="22"/>
        <w:lang w:val="es-ES"/>
      </w:rPr>
      <w:t>CBD/CP/MOP/9/13</w:t>
    </w:r>
  </w:p>
  <w:p w:rsidR="0095510B" w:rsidRPr="00B8020C" w:rsidRDefault="0095510B">
    <w:pPr>
      <w:pStyle w:val="Header"/>
      <w:tabs>
        <w:tab w:val="clear" w:pos="4320"/>
        <w:tab w:val="clear" w:pos="8640"/>
      </w:tabs>
      <w:jc w:val="left"/>
      <w:rPr>
        <w:kern w:val="22"/>
        <w:szCs w:val="22"/>
        <w:lang w:val="es-ES"/>
      </w:rPr>
    </w:pPr>
    <w:r w:rsidRPr="00B8020C">
      <w:rPr>
        <w:kern w:val="22"/>
        <w:szCs w:val="22"/>
        <w:lang w:val="es-ES"/>
      </w:rPr>
      <w:t>P</w:t>
    </w:r>
    <w:r>
      <w:rPr>
        <w:kern w:val="22"/>
        <w:szCs w:val="22"/>
        <w:lang w:val="es-ES"/>
      </w:rPr>
      <w:t>á</w:t>
    </w:r>
    <w:r w:rsidRPr="00B8020C">
      <w:rPr>
        <w:kern w:val="22"/>
        <w:szCs w:val="22"/>
        <w:lang w:val="es-ES"/>
      </w:rPr>
      <w:t>g</w:t>
    </w:r>
    <w:r>
      <w:rPr>
        <w:kern w:val="22"/>
        <w:szCs w:val="22"/>
        <w:lang w:val="es-ES"/>
      </w:rPr>
      <w:t>ina</w:t>
    </w:r>
    <w:r w:rsidRPr="00B8020C">
      <w:rPr>
        <w:kern w:val="22"/>
        <w:szCs w:val="22"/>
        <w:lang w:val="es-ES"/>
      </w:rPr>
      <w:t xml:space="preserve"> </w:t>
    </w:r>
    <w:r w:rsidRPr="00B8020C">
      <w:rPr>
        <w:bCs/>
        <w:kern w:val="22"/>
        <w:szCs w:val="22"/>
        <w:lang w:val="es-ES"/>
      </w:rPr>
      <w:fldChar w:fldCharType="begin"/>
    </w:r>
    <w:r w:rsidRPr="00B8020C">
      <w:rPr>
        <w:bCs/>
        <w:kern w:val="22"/>
        <w:szCs w:val="22"/>
        <w:lang w:val="es-ES"/>
      </w:rPr>
      <w:instrText xml:space="preserve"> PAGE </w:instrText>
    </w:r>
    <w:r w:rsidRPr="00B8020C">
      <w:rPr>
        <w:bCs/>
        <w:kern w:val="22"/>
        <w:szCs w:val="22"/>
        <w:lang w:val="es-ES"/>
      </w:rPr>
      <w:fldChar w:fldCharType="separate"/>
    </w:r>
    <w:r w:rsidR="00500276">
      <w:rPr>
        <w:bCs/>
        <w:noProof/>
        <w:kern w:val="22"/>
        <w:szCs w:val="22"/>
        <w:lang w:val="es-ES"/>
      </w:rPr>
      <w:t>64</w:t>
    </w:r>
    <w:r w:rsidRPr="00B8020C">
      <w:rPr>
        <w:bCs/>
        <w:kern w:val="22"/>
        <w:szCs w:val="22"/>
        <w:lang w:val="es-ES"/>
      </w:rPr>
      <w:fldChar w:fldCharType="end"/>
    </w:r>
  </w:p>
  <w:p w:rsidR="0095510B" w:rsidRPr="00237524" w:rsidRDefault="0095510B">
    <w:pPr>
      <w:pStyle w:val="Header"/>
      <w:tabs>
        <w:tab w:val="clear" w:pos="4320"/>
        <w:tab w:val="clear" w:pos="8640"/>
      </w:tabs>
      <w:jc w:val="left"/>
      <w:rPr>
        <w:kern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0B" w:rsidRPr="00B8020C" w:rsidRDefault="0095510B">
    <w:pPr>
      <w:pStyle w:val="Header"/>
      <w:tabs>
        <w:tab w:val="clear" w:pos="4320"/>
        <w:tab w:val="clear" w:pos="8640"/>
      </w:tabs>
      <w:jc w:val="right"/>
      <w:rPr>
        <w:kern w:val="22"/>
        <w:szCs w:val="22"/>
        <w:lang w:val="es-ES"/>
      </w:rPr>
    </w:pPr>
    <w:r w:rsidRPr="00B8020C">
      <w:rPr>
        <w:bCs/>
        <w:szCs w:val="22"/>
        <w:lang w:val="es-ES"/>
      </w:rPr>
      <w:t>CBD/CP/MOP/9/13</w:t>
    </w:r>
  </w:p>
  <w:p w:rsidR="0095510B" w:rsidRPr="00B8020C" w:rsidRDefault="0095510B">
    <w:pPr>
      <w:pStyle w:val="Header"/>
      <w:tabs>
        <w:tab w:val="clear" w:pos="4320"/>
        <w:tab w:val="clear" w:pos="8640"/>
      </w:tabs>
      <w:jc w:val="right"/>
      <w:rPr>
        <w:kern w:val="22"/>
        <w:szCs w:val="22"/>
        <w:lang w:val="es-ES"/>
      </w:rPr>
    </w:pPr>
    <w:r w:rsidRPr="00B8020C">
      <w:rPr>
        <w:kern w:val="22"/>
        <w:szCs w:val="22"/>
        <w:lang w:val="es-ES"/>
      </w:rPr>
      <w:t>P</w:t>
    </w:r>
    <w:r>
      <w:rPr>
        <w:kern w:val="22"/>
        <w:szCs w:val="22"/>
        <w:lang w:val="es-ES"/>
      </w:rPr>
      <w:t>á</w:t>
    </w:r>
    <w:r w:rsidRPr="00B8020C">
      <w:rPr>
        <w:kern w:val="22"/>
        <w:szCs w:val="22"/>
        <w:lang w:val="es-ES"/>
      </w:rPr>
      <w:t>g</w:t>
    </w:r>
    <w:r>
      <w:rPr>
        <w:kern w:val="22"/>
        <w:szCs w:val="22"/>
        <w:lang w:val="es-ES"/>
      </w:rPr>
      <w:t>ina</w:t>
    </w:r>
    <w:r w:rsidRPr="00B8020C">
      <w:rPr>
        <w:kern w:val="22"/>
        <w:szCs w:val="22"/>
        <w:lang w:val="es-ES"/>
      </w:rPr>
      <w:t xml:space="preserve"> </w:t>
    </w:r>
    <w:r w:rsidRPr="00B8020C">
      <w:rPr>
        <w:bCs/>
        <w:kern w:val="22"/>
        <w:szCs w:val="22"/>
        <w:lang w:val="es-ES"/>
      </w:rPr>
      <w:fldChar w:fldCharType="begin"/>
    </w:r>
    <w:r w:rsidRPr="00B8020C">
      <w:rPr>
        <w:bCs/>
        <w:kern w:val="22"/>
        <w:szCs w:val="22"/>
        <w:lang w:val="es-ES"/>
      </w:rPr>
      <w:instrText xml:space="preserve"> PAGE </w:instrText>
    </w:r>
    <w:r w:rsidRPr="00B8020C">
      <w:rPr>
        <w:bCs/>
        <w:kern w:val="22"/>
        <w:szCs w:val="22"/>
        <w:lang w:val="es-ES"/>
      </w:rPr>
      <w:fldChar w:fldCharType="separate"/>
    </w:r>
    <w:r w:rsidR="00500276">
      <w:rPr>
        <w:bCs/>
        <w:noProof/>
        <w:kern w:val="22"/>
        <w:szCs w:val="22"/>
        <w:lang w:val="es-ES"/>
      </w:rPr>
      <w:t>63</w:t>
    </w:r>
    <w:r w:rsidRPr="00B8020C">
      <w:rPr>
        <w:bCs/>
        <w:kern w:val="22"/>
        <w:szCs w:val="22"/>
        <w:lang w:val="es-ES"/>
      </w:rPr>
      <w:fldChar w:fldCharType="end"/>
    </w:r>
  </w:p>
  <w:p w:rsidR="0095510B" w:rsidRPr="00B8020C" w:rsidRDefault="0095510B">
    <w:pPr>
      <w:pStyle w:val="Header"/>
      <w:tabs>
        <w:tab w:val="clear" w:pos="4320"/>
        <w:tab w:val="clear" w:pos="8640"/>
      </w:tabs>
      <w:jc w:val="right"/>
      <w:rPr>
        <w:kern w:val="22"/>
        <w:szCs w:val="22"/>
        <w:lang w:val="es-E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0B" w:rsidRPr="00B8020C" w:rsidRDefault="0095510B">
    <w:pPr>
      <w:pStyle w:val="Header"/>
      <w:tabs>
        <w:tab w:val="clear" w:pos="4320"/>
        <w:tab w:val="clear" w:pos="8640"/>
      </w:tabs>
      <w:jc w:val="right"/>
      <w:rPr>
        <w:kern w:val="22"/>
        <w:szCs w:val="22"/>
        <w:lang w:val="es-ES"/>
      </w:rPr>
    </w:pPr>
    <w:r w:rsidRPr="00B8020C">
      <w:rPr>
        <w:bCs/>
        <w:szCs w:val="22"/>
        <w:lang w:val="es-ES"/>
      </w:rPr>
      <w:t>CBD/CP/MOP/9/13</w:t>
    </w:r>
  </w:p>
  <w:p w:rsidR="0095510B" w:rsidRPr="00B8020C" w:rsidRDefault="0095510B">
    <w:pPr>
      <w:pStyle w:val="Header"/>
      <w:tabs>
        <w:tab w:val="clear" w:pos="4320"/>
        <w:tab w:val="clear" w:pos="8640"/>
      </w:tabs>
      <w:jc w:val="right"/>
      <w:rPr>
        <w:kern w:val="22"/>
        <w:szCs w:val="22"/>
        <w:lang w:val="es-ES"/>
      </w:rPr>
    </w:pPr>
    <w:r w:rsidRPr="00B8020C">
      <w:rPr>
        <w:kern w:val="22"/>
        <w:szCs w:val="22"/>
        <w:lang w:val="es-ES"/>
      </w:rPr>
      <w:t>P</w:t>
    </w:r>
    <w:r>
      <w:rPr>
        <w:kern w:val="22"/>
        <w:szCs w:val="22"/>
        <w:lang w:val="es-ES"/>
      </w:rPr>
      <w:t>á</w:t>
    </w:r>
    <w:r w:rsidRPr="00B8020C">
      <w:rPr>
        <w:kern w:val="22"/>
        <w:szCs w:val="22"/>
        <w:lang w:val="es-ES"/>
      </w:rPr>
      <w:t>g</w:t>
    </w:r>
    <w:r>
      <w:rPr>
        <w:kern w:val="22"/>
        <w:szCs w:val="22"/>
        <w:lang w:val="es-ES"/>
      </w:rPr>
      <w:t>ina</w:t>
    </w:r>
    <w:r w:rsidRPr="00B8020C">
      <w:rPr>
        <w:kern w:val="22"/>
        <w:szCs w:val="22"/>
        <w:lang w:val="es-ES"/>
      </w:rPr>
      <w:t xml:space="preserve"> </w:t>
    </w:r>
    <w:r w:rsidRPr="00B8020C">
      <w:rPr>
        <w:bCs/>
        <w:kern w:val="22"/>
        <w:szCs w:val="22"/>
        <w:lang w:val="es-ES"/>
      </w:rPr>
      <w:fldChar w:fldCharType="begin"/>
    </w:r>
    <w:r w:rsidRPr="00B8020C">
      <w:rPr>
        <w:bCs/>
        <w:kern w:val="22"/>
        <w:szCs w:val="22"/>
        <w:lang w:val="es-ES"/>
      </w:rPr>
      <w:instrText xml:space="preserve"> PAGE </w:instrText>
    </w:r>
    <w:r w:rsidRPr="00B8020C">
      <w:rPr>
        <w:bCs/>
        <w:kern w:val="22"/>
        <w:szCs w:val="22"/>
        <w:lang w:val="es-ES"/>
      </w:rPr>
      <w:fldChar w:fldCharType="separate"/>
    </w:r>
    <w:r>
      <w:rPr>
        <w:bCs/>
        <w:noProof/>
        <w:kern w:val="22"/>
        <w:szCs w:val="22"/>
        <w:lang w:val="es-ES"/>
      </w:rPr>
      <w:t>85</w:t>
    </w:r>
    <w:r w:rsidRPr="00B8020C">
      <w:rPr>
        <w:bCs/>
        <w:kern w:val="22"/>
        <w:szCs w:val="22"/>
        <w:lang w:val="es-ES"/>
      </w:rPr>
      <w:fldChar w:fldCharType="end"/>
    </w:r>
  </w:p>
  <w:p w:rsidR="0095510B" w:rsidRPr="00B8020C" w:rsidRDefault="0095510B">
    <w:pPr>
      <w:pStyle w:val="Header"/>
      <w:tabs>
        <w:tab w:val="clear" w:pos="4320"/>
        <w:tab w:val="clear" w:pos="8640"/>
      </w:tabs>
      <w:jc w:val="right"/>
      <w:rPr>
        <w:kern w:val="22"/>
        <w:szCs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5D9"/>
    <w:multiLevelType w:val="hybridMultilevel"/>
    <w:tmpl w:val="4978CCDE"/>
    <w:lvl w:ilvl="0" w:tplc="B704B318">
      <w:start w:val="1"/>
      <w:numFmt w:val="lowerLetter"/>
      <w:lvlText w:val="%1)"/>
      <w:lvlJc w:val="left"/>
      <w:pPr>
        <w:tabs>
          <w:tab w:val="num" w:pos="-76"/>
        </w:tabs>
        <w:ind w:left="644"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567868"/>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nsid w:val="05B22F1E"/>
    <w:multiLevelType w:val="hybridMultilevel"/>
    <w:tmpl w:val="E836EAA8"/>
    <w:lvl w:ilvl="0" w:tplc="6310EFF2">
      <w:start w:val="1"/>
      <w:numFmt w:val="lowerLetter"/>
      <w:lvlText w:val="%1)"/>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6310EFF2">
      <w:start w:val="1"/>
      <w:numFmt w:val="lowerLetter"/>
      <w:lvlText w:val="%2)"/>
      <w:lvlJc w:val="left"/>
      <w:pPr>
        <w:tabs>
          <w:tab w:val="num" w:pos="1440"/>
        </w:tabs>
        <w:ind w:left="21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120F6B08"/>
    <w:multiLevelType w:val="multilevel"/>
    <w:tmpl w:val="DACEA4D8"/>
    <w:lvl w:ilvl="0">
      <w:start w:val="1"/>
      <w:numFmt w:val="lowerLetter"/>
      <w:lvlText w:val="%1)"/>
      <w:lvlJc w:val="left"/>
      <w:pPr>
        <w:tabs>
          <w:tab w:val="num" w:pos="360"/>
        </w:tabs>
        <w:ind w:left="0" w:firstLine="0"/>
      </w:pPr>
      <w:rPr>
        <w:rFonts w:ascii="Times New Roman" w:hAnsi="Times New Roman" w:cs="Courier"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C841FC4"/>
    <w:multiLevelType w:val="hybridMultilevel"/>
    <w:tmpl w:val="3DD46BF0"/>
    <w:lvl w:ilvl="0" w:tplc="111CCE32">
      <w:start w:val="8"/>
      <w:numFmt w:val="decimal"/>
      <w:lvlText w:val="%1."/>
      <w:lvlJc w:val="left"/>
      <w:pPr>
        <w:ind w:left="720" w:hanging="360"/>
      </w:pPr>
      <w:rPr>
        <w:rFonts w:hint="default"/>
        <w:i w:val="0"/>
        <w:color w:val="000000" w:themeColor="text1"/>
      </w:rPr>
    </w:lvl>
    <w:lvl w:ilvl="1" w:tplc="1D28E470">
      <w:start w:val="1"/>
      <w:numFmt w:val="lowerLetter"/>
      <w:lvlText w:val="%2)"/>
      <w:lvlJc w:val="left"/>
      <w:pPr>
        <w:ind w:left="144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2F564472"/>
    <w:multiLevelType w:val="hybridMultilevel"/>
    <w:tmpl w:val="5874DED4"/>
    <w:lvl w:ilvl="0" w:tplc="87CAB59E">
      <w:start w:val="1"/>
      <w:numFmt w:val="lowerLetter"/>
      <w:lvlText w:val="%1)"/>
      <w:lvlJc w:val="left"/>
      <w:pPr>
        <w:tabs>
          <w:tab w:val="num" w:pos="1440"/>
        </w:tabs>
        <w:ind w:left="2160" w:hanging="36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tplc="87CAB59E">
      <w:start w:val="1"/>
      <w:numFmt w:val="lowerLetter"/>
      <w:lvlText w:val="%2)"/>
      <w:lvlJc w:val="left"/>
      <w:pPr>
        <w:tabs>
          <w:tab w:val="num" w:pos="1440"/>
        </w:tabs>
        <w:ind w:left="2160" w:hanging="36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7">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9">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76777F8"/>
    <w:multiLevelType w:val="hybridMultilevel"/>
    <w:tmpl w:val="CE1EDFBE"/>
    <w:lvl w:ilvl="0" w:tplc="380A56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8285D89"/>
    <w:multiLevelType w:val="hybridMultilevel"/>
    <w:tmpl w:val="4E6CFC06"/>
    <w:lvl w:ilvl="0" w:tplc="6310EFF2">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4B8F7FB2"/>
    <w:multiLevelType w:val="hybridMultilevel"/>
    <w:tmpl w:val="0D362D94"/>
    <w:lvl w:ilvl="0" w:tplc="111CCE32">
      <w:start w:val="8"/>
      <w:numFmt w:val="decimal"/>
      <w:lvlText w:val="%1."/>
      <w:lvlJc w:val="left"/>
      <w:pPr>
        <w:ind w:left="720" w:hanging="360"/>
      </w:pPr>
      <w:rPr>
        <w:rFonts w:hint="default"/>
        <w:i w:val="0"/>
        <w:color w:val="000000" w:themeColor="text1"/>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0442B4"/>
    <w:multiLevelType w:val="multilevel"/>
    <w:tmpl w:val="AA5278B6"/>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7C089F"/>
    <w:multiLevelType w:val="hybridMultilevel"/>
    <w:tmpl w:val="03CCE134"/>
    <w:lvl w:ilvl="0" w:tplc="049C0C58">
      <w:start w:val="1"/>
      <w:numFmt w:val="decimal"/>
      <w:pStyle w:val="ListParagrap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30">
    <w:nsid w:val="554B56F3"/>
    <w:multiLevelType w:val="hybridMultilevel"/>
    <w:tmpl w:val="4502EA30"/>
    <w:lvl w:ilvl="0" w:tplc="65443C36">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3">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98645C3"/>
    <w:multiLevelType w:val="hybridMultilevel"/>
    <w:tmpl w:val="23F4D254"/>
    <w:lvl w:ilvl="0" w:tplc="EE968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B38FF"/>
    <w:multiLevelType w:val="hybridMultilevel"/>
    <w:tmpl w:val="8900706E"/>
    <w:lvl w:ilvl="0" w:tplc="6310EFF2">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20D6AEB"/>
    <w:multiLevelType w:val="multilevel"/>
    <w:tmpl w:val="AD6EDCE6"/>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2306935"/>
    <w:multiLevelType w:val="hybridMultilevel"/>
    <w:tmpl w:val="DA00B332"/>
    <w:lvl w:ilvl="0" w:tplc="1D28E470">
      <w:start w:val="1"/>
      <w:numFmt w:val="lowerLetter"/>
      <w:lvlText w:val="%1)"/>
      <w:lvlJc w:val="left"/>
      <w:pPr>
        <w:ind w:left="216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45">
    <w:nsid w:val="784D753F"/>
    <w:multiLevelType w:val="hybridMultilevel"/>
    <w:tmpl w:val="7D42E2E6"/>
    <w:lvl w:ilvl="0" w:tplc="022CD2EA">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34155B"/>
    <w:multiLevelType w:val="hybridMultilevel"/>
    <w:tmpl w:val="74B247CE"/>
    <w:lvl w:ilvl="0" w:tplc="03124590">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AE56B66"/>
    <w:multiLevelType w:val="hybridMultilevel"/>
    <w:tmpl w:val="EADEE3C4"/>
    <w:lvl w:ilvl="0" w:tplc="1844455A">
      <w:start w:val="1"/>
      <w:numFmt w:val="lowerLetter"/>
      <w:lvlText w:val="%1)"/>
      <w:lvlJc w:val="left"/>
      <w:pPr>
        <w:tabs>
          <w:tab w:val="num" w:pos="1353"/>
        </w:tabs>
        <w:ind w:left="2073"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4"/>
  </w:num>
  <w:num w:numId="3">
    <w:abstractNumId w:val="20"/>
    <w:lvlOverride w:ilvl="0">
      <w:startOverride w:val="1"/>
    </w:lvlOverride>
  </w:num>
  <w:num w:numId="4">
    <w:abstractNumId w:val="5"/>
  </w:num>
  <w:num w:numId="5">
    <w:abstractNumId w:val="15"/>
  </w:num>
  <w:num w:numId="6">
    <w:abstractNumId w:val="40"/>
  </w:num>
  <w:num w:numId="7">
    <w:abstractNumId w:val="28"/>
  </w:num>
  <w:num w:numId="8">
    <w:abstractNumId w:val="17"/>
  </w:num>
  <w:num w:numId="9">
    <w:abstractNumId w:val="23"/>
  </w:num>
  <w:num w:numId="10">
    <w:abstractNumId w:val="18"/>
  </w:num>
  <w:num w:numId="11">
    <w:abstractNumId w:val="33"/>
  </w:num>
  <w:num w:numId="12">
    <w:abstractNumId w:val="9"/>
  </w:num>
  <w:num w:numId="13">
    <w:abstractNumId w:val="26"/>
  </w:num>
  <w:num w:numId="14">
    <w:abstractNumId w:val="38"/>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27"/>
  </w:num>
  <w:num w:numId="17">
    <w:abstractNumId w:val="4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2"/>
  </w:num>
  <w:num w:numId="22">
    <w:abstractNumId w:val="14"/>
  </w:num>
  <w:num w:numId="23">
    <w:abstractNumId w:val="13"/>
  </w:num>
  <w:num w:numId="24">
    <w:abstractNumId w:val="11"/>
  </w:num>
  <w:num w:numId="25">
    <w:abstractNumId w:val="44"/>
  </w:num>
  <w:num w:numId="26">
    <w:abstractNumId w:val="19"/>
  </w:num>
  <w:num w:numId="27">
    <w:abstractNumId w:val="39"/>
  </w:num>
  <w:num w:numId="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5"/>
  </w:num>
  <w:num w:numId="33">
    <w:abstractNumId w:val="2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0"/>
  </w:num>
  <w:num w:numId="40">
    <w:abstractNumId w:val="42"/>
  </w:num>
  <w:num w:numId="41">
    <w:abstractNumId w:val="47"/>
  </w:num>
  <w:num w:numId="42">
    <w:abstractNumId w:val="30"/>
  </w:num>
  <w:num w:numId="43">
    <w:abstractNumId w:val="35"/>
  </w:num>
  <w:num w:numId="44">
    <w:abstractNumId w:val="22"/>
  </w:num>
  <w:num w:numId="45">
    <w:abstractNumId w:val="2"/>
  </w:num>
  <w:num w:numId="46">
    <w:abstractNumId w:val="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
  </w:num>
  <w:num w:numId="50">
    <w:abstractNumId w:val="7"/>
  </w:num>
  <w:num w:numId="51">
    <w:abstractNumId w:val="37"/>
  </w:num>
  <w:num w:numId="52">
    <w:abstractNumId w:val="31"/>
  </w:num>
  <w:num w:numId="53">
    <w:abstractNumId w:val="4"/>
  </w:num>
  <w:num w:numId="54">
    <w:abstractNumId w:val="43"/>
  </w:num>
  <w:num w:numId="55">
    <w:abstractNumId w:val="48"/>
  </w:num>
  <w:num w:numId="56">
    <w:abstractNumId w:val="45"/>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131078" w:nlCheck="1" w:checkStyle="1"/>
  <w:proofState w:spelling="clean"/>
  <w:stylePaneFormatFilter w:val="3F01"/>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82">
      <v:textbox inset="5.85pt,.7pt,5.85pt,.7pt"/>
    </o:shapedefaults>
  </w:hdrShapeDefaults>
  <w:footnotePr>
    <w:footnote w:id="-1"/>
    <w:footnote w:id="0"/>
    <w:footnote w:id="1"/>
  </w:footnotePr>
  <w:endnotePr>
    <w:endnote w:id="-1"/>
    <w:endnote w:id="0"/>
    <w:endnote w:id="1"/>
  </w:endnotePr>
  <w:compat>
    <w:useFELayout/>
  </w:compat>
  <w:rsids>
    <w:rsidRoot w:val="00495B7A"/>
    <w:rsid w:val="0000403C"/>
    <w:rsid w:val="00005A92"/>
    <w:rsid w:val="00010BA5"/>
    <w:rsid w:val="00011502"/>
    <w:rsid w:val="00011644"/>
    <w:rsid w:val="000134AE"/>
    <w:rsid w:val="00016614"/>
    <w:rsid w:val="00017E49"/>
    <w:rsid w:val="00020F94"/>
    <w:rsid w:val="00022CD2"/>
    <w:rsid w:val="00030162"/>
    <w:rsid w:val="00034466"/>
    <w:rsid w:val="000362A4"/>
    <w:rsid w:val="00036674"/>
    <w:rsid w:val="00041AC8"/>
    <w:rsid w:val="00042D4B"/>
    <w:rsid w:val="000504CF"/>
    <w:rsid w:val="00050AEB"/>
    <w:rsid w:val="00050B06"/>
    <w:rsid w:val="00053093"/>
    <w:rsid w:val="000534BB"/>
    <w:rsid w:val="00061745"/>
    <w:rsid w:val="00066006"/>
    <w:rsid w:val="0007300F"/>
    <w:rsid w:val="000739BA"/>
    <w:rsid w:val="00076E21"/>
    <w:rsid w:val="00077CAA"/>
    <w:rsid w:val="0008301D"/>
    <w:rsid w:val="0008472F"/>
    <w:rsid w:val="00090F24"/>
    <w:rsid w:val="000937E8"/>
    <w:rsid w:val="00093D3B"/>
    <w:rsid w:val="00094641"/>
    <w:rsid w:val="00096E06"/>
    <w:rsid w:val="000A59A5"/>
    <w:rsid w:val="000A5F8B"/>
    <w:rsid w:val="000A745C"/>
    <w:rsid w:val="000B1C16"/>
    <w:rsid w:val="000B212C"/>
    <w:rsid w:val="000B3BA8"/>
    <w:rsid w:val="000B61CA"/>
    <w:rsid w:val="000B6984"/>
    <w:rsid w:val="000B7E35"/>
    <w:rsid w:val="000C2153"/>
    <w:rsid w:val="000C4625"/>
    <w:rsid w:val="000C6BDC"/>
    <w:rsid w:val="000C72EA"/>
    <w:rsid w:val="000C7D0D"/>
    <w:rsid w:val="000D30A1"/>
    <w:rsid w:val="000D339A"/>
    <w:rsid w:val="000D4041"/>
    <w:rsid w:val="000D7A93"/>
    <w:rsid w:val="000E0019"/>
    <w:rsid w:val="000E483F"/>
    <w:rsid w:val="000F0553"/>
    <w:rsid w:val="000F338F"/>
    <w:rsid w:val="000F35A4"/>
    <w:rsid w:val="000F4DBB"/>
    <w:rsid w:val="000F4F43"/>
    <w:rsid w:val="000F6EAB"/>
    <w:rsid w:val="00100637"/>
    <w:rsid w:val="001007BC"/>
    <w:rsid w:val="00100E7E"/>
    <w:rsid w:val="001012CC"/>
    <w:rsid w:val="00102778"/>
    <w:rsid w:val="00103CE7"/>
    <w:rsid w:val="00104446"/>
    <w:rsid w:val="00111698"/>
    <w:rsid w:val="00114CF1"/>
    <w:rsid w:val="001163BB"/>
    <w:rsid w:val="00117A7B"/>
    <w:rsid w:val="0012071F"/>
    <w:rsid w:val="00121663"/>
    <w:rsid w:val="001250D3"/>
    <w:rsid w:val="001301D9"/>
    <w:rsid w:val="00132116"/>
    <w:rsid w:val="00132D6F"/>
    <w:rsid w:val="00133124"/>
    <w:rsid w:val="00133EFC"/>
    <w:rsid w:val="00136B0F"/>
    <w:rsid w:val="00136FDC"/>
    <w:rsid w:val="001407F3"/>
    <w:rsid w:val="0014276A"/>
    <w:rsid w:val="0014389A"/>
    <w:rsid w:val="00145962"/>
    <w:rsid w:val="00146606"/>
    <w:rsid w:val="00150A29"/>
    <w:rsid w:val="001514B9"/>
    <w:rsid w:val="001516BD"/>
    <w:rsid w:val="00151A18"/>
    <w:rsid w:val="00153D79"/>
    <w:rsid w:val="0015763B"/>
    <w:rsid w:val="00161A3B"/>
    <w:rsid w:val="0016209E"/>
    <w:rsid w:val="0016231A"/>
    <w:rsid w:val="001629EB"/>
    <w:rsid w:val="00163E5A"/>
    <w:rsid w:val="00165ADA"/>
    <w:rsid w:val="0016711F"/>
    <w:rsid w:val="00167AF7"/>
    <w:rsid w:val="00167BAE"/>
    <w:rsid w:val="001739F0"/>
    <w:rsid w:val="00174489"/>
    <w:rsid w:val="00174D43"/>
    <w:rsid w:val="001766AB"/>
    <w:rsid w:val="00180A2D"/>
    <w:rsid w:val="00181AE0"/>
    <w:rsid w:val="0018763A"/>
    <w:rsid w:val="001910C6"/>
    <w:rsid w:val="00193F57"/>
    <w:rsid w:val="001947D5"/>
    <w:rsid w:val="001A1D93"/>
    <w:rsid w:val="001A1DD2"/>
    <w:rsid w:val="001A546B"/>
    <w:rsid w:val="001B1C78"/>
    <w:rsid w:val="001B4DB9"/>
    <w:rsid w:val="001B5780"/>
    <w:rsid w:val="001B7186"/>
    <w:rsid w:val="001B7DA0"/>
    <w:rsid w:val="001C1FAB"/>
    <w:rsid w:val="001C631B"/>
    <w:rsid w:val="001C663A"/>
    <w:rsid w:val="001C70D0"/>
    <w:rsid w:val="001D0B45"/>
    <w:rsid w:val="001D2DAD"/>
    <w:rsid w:val="001D46E2"/>
    <w:rsid w:val="001D7C05"/>
    <w:rsid w:val="001E1302"/>
    <w:rsid w:val="001E2E33"/>
    <w:rsid w:val="001F24B4"/>
    <w:rsid w:val="001F32A5"/>
    <w:rsid w:val="001F54A1"/>
    <w:rsid w:val="001F59AF"/>
    <w:rsid w:val="001F61C3"/>
    <w:rsid w:val="001F63FE"/>
    <w:rsid w:val="001F7C30"/>
    <w:rsid w:val="002000A3"/>
    <w:rsid w:val="00205E39"/>
    <w:rsid w:val="002108AF"/>
    <w:rsid w:val="0021698D"/>
    <w:rsid w:val="002221A3"/>
    <w:rsid w:val="00223DC7"/>
    <w:rsid w:val="00224365"/>
    <w:rsid w:val="002255C8"/>
    <w:rsid w:val="0022707B"/>
    <w:rsid w:val="0022797D"/>
    <w:rsid w:val="00232B90"/>
    <w:rsid w:val="00237524"/>
    <w:rsid w:val="002378BF"/>
    <w:rsid w:val="00242445"/>
    <w:rsid w:val="00243C9F"/>
    <w:rsid w:val="00243E22"/>
    <w:rsid w:val="00244545"/>
    <w:rsid w:val="00245A61"/>
    <w:rsid w:val="00247069"/>
    <w:rsid w:val="00250AD4"/>
    <w:rsid w:val="002514D0"/>
    <w:rsid w:val="00252BE3"/>
    <w:rsid w:val="00253427"/>
    <w:rsid w:val="00256463"/>
    <w:rsid w:val="00256AF5"/>
    <w:rsid w:val="00260233"/>
    <w:rsid w:val="0026531E"/>
    <w:rsid w:val="00265965"/>
    <w:rsid w:val="00266A39"/>
    <w:rsid w:val="00271A59"/>
    <w:rsid w:val="00273CA8"/>
    <w:rsid w:val="002740F2"/>
    <w:rsid w:val="00275234"/>
    <w:rsid w:val="002800A5"/>
    <w:rsid w:val="00290EA0"/>
    <w:rsid w:val="00292AFA"/>
    <w:rsid w:val="0029353A"/>
    <w:rsid w:val="00293674"/>
    <w:rsid w:val="00296D8E"/>
    <w:rsid w:val="002A0003"/>
    <w:rsid w:val="002A1CF9"/>
    <w:rsid w:val="002A211E"/>
    <w:rsid w:val="002A2B33"/>
    <w:rsid w:val="002A49EF"/>
    <w:rsid w:val="002A5062"/>
    <w:rsid w:val="002A6F3B"/>
    <w:rsid w:val="002B0A56"/>
    <w:rsid w:val="002B10B5"/>
    <w:rsid w:val="002B3560"/>
    <w:rsid w:val="002B37C2"/>
    <w:rsid w:val="002B3AC5"/>
    <w:rsid w:val="002B6204"/>
    <w:rsid w:val="002C1136"/>
    <w:rsid w:val="002C3055"/>
    <w:rsid w:val="002C39AF"/>
    <w:rsid w:val="002C4064"/>
    <w:rsid w:val="002C6919"/>
    <w:rsid w:val="002C69D0"/>
    <w:rsid w:val="002C6C47"/>
    <w:rsid w:val="002D0B1C"/>
    <w:rsid w:val="002D238E"/>
    <w:rsid w:val="002D4B57"/>
    <w:rsid w:val="002D4BCB"/>
    <w:rsid w:val="002D6BF3"/>
    <w:rsid w:val="002E07B5"/>
    <w:rsid w:val="002E089C"/>
    <w:rsid w:val="002E26B7"/>
    <w:rsid w:val="002E51AB"/>
    <w:rsid w:val="002F08FF"/>
    <w:rsid w:val="002F5720"/>
    <w:rsid w:val="002F5797"/>
    <w:rsid w:val="002F5A25"/>
    <w:rsid w:val="002F5AC4"/>
    <w:rsid w:val="002F5E61"/>
    <w:rsid w:val="0030111E"/>
    <w:rsid w:val="00301285"/>
    <w:rsid w:val="00301DC9"/>
    <w:rsid w:val="0030329D"/>
    <w:rsid w:val="00304A4B"/>
    <w:rsid w:val="00305918"/>
    <w:rsid w:val="003075B3"/>
    <w:rsid w:val="00307A71"/>
    <w:rsid w:val="003114F0"/>
    <w:rsid w:val="00312D83"/>
    <w:rsid w:val="003138F2"/>
    <w:rsid w:val="0031480C"/>
    <w:rsid w:val="00317417"/>
    <w:rsid w:val="003179D8"/>
    <w:rsid w:val="00317AE1"/>
    <w:rsid w:val="00323F14"/>
    <w:rsid w:val="00326958"/>
    <w:rsid w:val="00333FA7"/>
    <w:rsid w:val="00342810"/>
    <w:rsid w:val="00345586"/>
    <w:rsid w:val="0035184E"/>
    <w:rsid w:val="003534DE"/>
    <w:rsid w:val="00354577"/>
    <w:rsid w:val="00356871"/>
    <w:rsid w:val="00362979"/>
    <w:rsid w:val="0036509D"/>
    <w:rsid w:val="003705CC"/>
    <w:rsid w:val="003725DA"/>
    <w:rsid w:val="00372DBF"/>
    <w:rsid w:val="003739F4"/>
    <w:rsid w:val="00376CED"/>
    <w:rsid w:val="00377177"/>
    <w:rsid w:val="00377484"/>
    <w:rsid w:val="00380EFC"/>
    <w:rsid w:val="00381999"/>
    <w:rsid w:val="00384200"/>
    <w:rsid w:val="00384296"/>
    <w:rsid w:val="0038668E"/>
    <w:rsid w:val="0039145A"/>
    <w:rsid w:val="0039451C"/>
    <w:rsid w:val="00394CAA"/>
    <w:rsid w:val="00395494"/>
    <w:rsid w:val="00395981"/>
    <w:rsid w:val="003960CF"/>
    <w:rsid w:val="003962A5"/>
    <w:rsid w:val="003A1FC1"/>
    <w:rsid w:val="003A27FC"/>
    <w:rsid w:val="003A2921"/>
    <w:rsid w:val="003A3B0C"/>
    <w:rsid w:val="003A4586"/>
    <w:rsid w:val="003B0CDB"/>
    <w:rsid w:val="003B3E88"/>
    <w:rsid w:val="003B4489"/>
    <w:rsid w:val="003B6D8F"/>
    <w:rsid w:val="003C3484"/>
    <w:rsid w:val="003C3485"/>
    <w:rsid w:val="003C4EA4"/>
    <w:rsid w:val="003C5C02"/>
    <w:rsid w:val="003C6DED"/>
    <w:rsid w:val="003D6979"/>
    <w:rsid w:val="003D7D4B"/>
    <w:rsid w:val="003E780E"/>
    <w:rsid w:val="003F05F6"/>
    <w:rsid w:val="003F57B0"/>
    <w:rsid w:val="003F7075"/>
    <w:rsid w:val="00400007"/>
    <w:rsid w:val="00401468"/>
    <w:rsid w:val="00404C56"/>
    <w:rsid w:val="0040531A"/>
    <w:rsid w:val="00406402"/>
    <w:rsid w:val="00416093"/>
    <w:rsid w:val="004167C2"/>
    <w:rsid w:val="00420C67"/>
    <w:rsid w:val="004210C6"/>
    <w:rsid w:val="00430A25"/>
    <w:rsid w:val="00433940"/>
    <w:rsid w:val="00435982"/>
    <w:rsid w:val="00436603"/>
    <w:rsid w:val="0043666E"/>
    <w:rsid w:val="0044242D"/>
    <w:rsid w:val="00442B33"/>
    <w:rsid w:val="004447D6"/>
    <w:rsid w:val="00445C01"/>
    <w:rsid w:val="00447111"/>
    <w:rsid w:val="00451672"/>
    <w:rsid w:val="0045303C"/>
    <w:rsid w:val="00456995"/>
    <w:rsid w:val="00460924"/>
    <w:rsid w:val="00460F90"/>
    <w:rsid w:val="00461380"/>
    <w:rsid w:val="0046488F"/>
    <w:rsid w:val="00465032"/>
    <w:rsid w:val="00465C6E"/>
    <w:rsid w:val="00471A55"/>
    <w:rsid w:val="0047338B"/>
    <w:rsid w:val="00474230"/>
    <w:rsid w:val="00475985"/>
    <w:rsid w:val="004760B3"/>
    <w:rsid w:val="00477094"/>
    <w:rsid w:val="00480224"/>
    <w:rsid w:val="00480743"/>
    <w:rsid w:val="004867D1"/>
    <w:rsid w:val="00486E42"/>
    <w:rsid w:val="00492CA4"/>
    <w:rsid w:val="004934FA"/>
    <w:rsid w:val="004947BA"/>
    <w:rsid w:val="00495B7A"/>
    <w:rsid w:val="0049732D"/>
    <w:rsid w:val="00497D1A"/>
    <w:rsid w:val="004A3455"/>
    <w:rsid w:val="004A41D1"/>
    <w:rsid w:val="004A60BE"/>
    <w:rsid w:val="004A64C0"/>
    <w:rsid w:val="004A73AD"/>
    <w:rsid w:val="004A7881"/>
    <w:rsid w:val="004B0478"/>
    <w:rsid w:val="004B1BB2"/>
    <w:rsid w:val="004B72F5"/>
    <w:rsid w:val="004C043B"/>
    <w:rsid w:val="004C13E7"/>
    <w:rsid w:val="004C1746"/>
    <w:rsid w:val="004C1D3E"/>
    <w:rsid w:val="004C61A5"/>
    <w:rsid w:val="004D2EBD"/>
    <w:rsid w:val="004D6468"/>
    <w:rsid w:val="004E1A7F"/>
    <w:rsid w:val="004E1CA8"/>
    <w:rsid w:val="004E3659"/>
    <w:rsid w:val="004E4D41"/>
    <w:rsid w:val="004E707E"/>
    <w:rsid w:val="004F4779"/>
    <w:rsid w:val="004F6314"/>
    <w:rsid w:val="004F64C5"/>
    <w:rsid w:val="004F7583"/>
    <w:rsid w:val="004F7FAA"/>
    <w:rsid w:val="00500276"/>
    <w:rsid w:val="005014DE"/>
    <w:rsid w:val="005018EE"/>
    <w:rsid w:val="0050326F"/>
    <w:rsid w:val="00503B73"/>
    <w:rsid w:val="00503E8A"/>
    <w:rsid w:val="005051AD"/>
    <w:rsid w:val="00506210"/>
    <w:rsid w:val="00506232"/>
    <w:rsid w:val="0050773C"/>
    <w:rsid w:val="00507DF8"/>
    <w:rsid w:val="00510CBD"/>
    <w:rsid w:val="00512012"/>
    <w:rsid w:val="005169D1"/>
    <w:rsid w:val="00517400"/>
    <w:rsid w:val="00520822"/>
    <w:rsid w:val="00520E18"/>
    <w:rsid w:val="0052214A"/>
    <w:rsid w:val="0052674C"/>
    <w:rsid w:val="00531F46"/>
    <w:rsid w:val="00533D1A"/>
    <w:rsid w:val="00533DC4"/>
    <w:rsid w:val="00533EF4"/>
    <w:rsid w:val="00534479"/>
    <w:rsid w:val="00535805"/>
    <w:rsid w:val="00537E44"/>
    <w:rsid w:val="0054065F"/>
    <w:rsid w:val="0054198F"/>
    <w:rsid w:val="00543F26"/>
    <w:rsid w:val="00550CBD"/>
    <w:rsid w:val="00551ED8"/>
    <w:rsid w:val="00554406"/>
    <w:rsid w:val="00556061"/>
    <w:rsid w:val="00556572"/>
    <w:rsid w:val="0055711E"/>
    <w:rsid w:val="00560610"/>
    <w:rsid w:val="00562179"/>
    <w:rsid w:val="0056670D"/>
    <w:rsid w:val="0057070B"/>
    <w:rsid w:val="00585104"/>
    <w:rsid w:val="005855A9"/>
    <w:rsid w:val="005857DF"/>
    <w:rsid w:val="00585F74"/>
    <w:rsid w:val="00587211"/>
    <w:rsid w:val="005878B8"/>
    <w:rsid w:val="00591D7E"/>
    <w:rsid w:val="00593DA5"/>
    <w:rsid w:val="00595349"/>
    <w:rsid w:val="00595FC4"/>
    <w:rsid w:val="005A19BD"/>
    <w:rsid w:val="005A20F8"/>
    <w:rsid w:val="005A5671"/>
    <w:rsid w:val="005B18F1"/>
    <w:rsid w:val="005B39B7"/>
    <w:rsid w:val="005B5E88"/>
    <w:rsid w:val="005B63F3"/>
    <w:rsid w:val="005C0734"/>
    <w:rsid w:val="005C0FF9"/>
    <w:rsid w:val="005C4016"/>
    <w:rsid w:val="005C6210"/>
    <w:rsid w:val="005C721D"/>
    <w:rsid w:val="005D0615"/>
    <w:rsid w:val="005D3803"/>
    <w:rsid w:val="005D3BD4"/>
    <w:rsid w:val="005D4920"/>
    <w:rsid w:val="005D4B86"/>
    <w:rsid w:val="005D4C9C"/>
    <w:rsid w:val="005D5ED7"/>
    <w:rsid w:val="005D6676"/>
    <w:rsid w:val="005D77E4"/>
    <w:rsid w:val="005D7996"/>
    <w:rsid w:val="005E03CD"/>
    <w:rsid w:val="005E5FE4"/>
    <w:rsid w:val="005E7957"/>
    <w:rsid w:val="005F1D9A"/>
    <w:rsid w:val="005F2121"/>
    <w:rsid w:val="005F3F82"/>
    <w:rsid w:val="005F4A61"/>
    <w:rsid w:val="006010F3"/>
    <w:rsid w:val="00601125"/>
    <w:rsid w:val="00615863"/>
    <w:rsid w:val="00616C89"/>
    <w:rsid w:val="0062198E"/>
    <w:rsid w:val="0062273F"/>
    <w:rsid w:val="00622850"/>
    <w:rsid w:val="006241C9"/>
    <w:rsid w:val="00630E6F"/>
    <w:rsid w:val="00632FBE"/>
    <w:rsid w:val="00635018"/>
    <w:rsid w:val="00636A6E"/>
    <w:rsid w:val="006402FF"/>
    <w:rsid w:val="00641697"/>
    <w:rsid w:val="00641810"/>
    <w:rsid w:val="0064207A"/>
    <w:rsid w:val="00642358"/>
    <w:rsid w:val="006436B7"/>
    <w:rsid w:val="00643E9B"/>
    <w:rsid w:val="00645391"/>
    <w:rsid w:val="00645EFB"/>
    <w:rsid w:val="00647C90"/>
    <w:rsid w:val="00647FA5"/>
    <w:rsid w:val="00651707"/>
    <w:rsid w:val="00653977"/>
    <w:rsid w:val="0065410C"/>
    <w:rsid w:val="00654C68"/>
    <w:rsid w:val="00655DBA"/>
    <w:rsid w:val="006616DE"/>
    <w:rsid w:val="00663479"/>
    <w:rsid w:val="00663793"/>
    <w:rsid w:val="006673D6"/>
    <w:rsid w:val="00672EF6"/>
    <w:rsid w:val="006734A2"/>
    <w:rsid w:val="006809EA"/>
    <w:rsid w:val="006811C0"/>
    <w:rsid w:val="00684A14"/>
    <w:rsid w:val="006921E8"/>
    <w:rsid w:val="00692FB2"/>
    <w:rsid w:val="0069332A"/>
    <w:rsid w:val="006A0217"/>
    <w:rsid w:val="006A592A"/>
    <w:rsid w:val="006A5AC9"/>
    <w:rsid w:val="006A6D72"/>
    <w:rsid w:val="006A7199"/>
    <w:rsid w:val="006B006D"/>
    <w:rsid w:val="006B022F"/>
    <w:rsid w:val="006B06A7"/>
    <w:rsid w:val="006B0946"/>
    <w:rsid w:val="006B6104"/>
    <w:rsid w:val="006B6593"/>
    <w:rsid w:val="006B774E"/>
    <w:rsid w:val="006C2977"/>
    <w:rsid w:val="006C3AD6"/>
    <w:rsid w:val="006C3C9C"/>
    <w:rsid w:val="006C3E75"/>
    <w:rsid w:val="006C542B"/>
    <w:rsid w:val="006C5568"/>
    <w:rsid w:val="006C59C4"/>
    <w:rsid w:val="006C60BB"/>
    <w:rsid w:val="006C61AB"/>
    <w:rsid w:val="006C7009"/>
    <w:rsid w:val="006D326F"/>
    <w:rsid w:val="006D6742"/>
    <w:rsid w:val="006D70D0"/>
    <w:rsid w:val="006E4996"/>
    <w:rsid w:val="006E7F7B"/>
    <w:rsid w:val="006F250A"/>
    <w:rsid w:val="006F4805"/>
    <w:rsid w:val="007010A2"/>
    <w:rsid w:val="00701263"/>
    <w:rsid w:val="007035F3"/>
    <w:rsid w:val="007036F9"/>
    <w:rsid w:val="00705B40"/>
    <w:rsid w:val="007066B3"/>
    <w:rsid w:val="007124B4"/>
    <w:rsid w:val="00713D17"/>
    <w:rsid w:val="007168FC"/>
    <w:rsid w:val="0072356D"/>
    <w:rsid w:val="0072407A"/>
    <w:rsid w:val="00725967"/>
    <w:rsid w:val="00726242"/>
    <w:rsid w:val="00727417"/>
    <w:rsid w:val="00730BA6"/>
    <w:rsid w:val="00737A26"/>
    <w:rsid w:val="007406DC"/>
    <w:rsid w:val="00745A0D"/>
    <w:rsid w:val="00747FCB"/>
    <w:rsid w:val="00750105"/>
    <w:rsid w:val="007508EF"/>
    <w:rsid w:val="0075208D"/>
    <w:rsid w:val="00753814"/>
    <w:rsid w:val="0075395F"/>
    <w:rsid w:val="00753D50"/>
    <w:rsid w:val="00754C5B"/>
    <w:rsid w:val="00757DBF"/>
    <w:rsid w:val="0076249F"/>
    <w:rsid w:val="0076481B"/>
    <w:rsid w:val="00765EA5"/>
    <w:rsid w:val="0076745A"/>
    <w:rsid w:val="00767AEF"/>
    <w:rsid w:val="00771974"/>
    <w:rsid w:val="0077354A"/>
    <w:rsid w:val="00774079"/>
    <w:rsid w:val="00774C94"/>
    <w:rsid w:val="00774E2E"/>
    <w:rsid w:val="00777BEE"/>
    <w:rsid w:val="0078047D"/>
    <w:rsid w:val="007804AF"/>
    <w:rsid w:val="00782D91"/>
    <w:rsid w:val="007830A1"/>
    <w:rsid w:val="0078399B"/>
    <w:rsid w:val="0078452A"/>
    <w:rsid w:val="007869D4"/>
    <w:rsid w:val="0079069E"/>
    <w:rsid w:val="00795662"/>
    <w:rsid w:val="007959C2"/>
    <w:rsid w:val="007960C1"/>
    <w:rsid w:val="007A05FD"/>
    <w:rsid w:val="007A53C7"/>
    <w:rsid w:val="007A5455"/>
    <w:rsid w:val="007B1618"/>
    <w:rsid w:val="007B2C3A"/>
    <w:rsid w:val="007C265B"/>
    <w:rsid w:val="007C56E3"/>
    <w:rsid w:val="007C6C03"/>
    <w:rsid w:val="007D08D2"/>
    <w:rsid w:val="007D1281"/>
    <w:rsid w:val="007D17F1"/>
    <w:rsid w:val="007D224B"/>
    <w:rsid w:val="007D46E7"/>
    <w:rsid w:val="007D75E2"/>
    <w:rsid w:val="007E08BF"/>
    <w:rsid w:val="007E2A17"/>
    <w:rsid w:val="007F05BB"/>
    <w:rsid w:val="007F3FF4"/>
    <w:rsid w:val="007F75A9"/>
    <w:rsid w:val="008019E9"/>
    <w:rsid w:val="00802076"/>
    <w:rsid w:val="00802C23"/>
    <w:rsid w:val="00803769"/>
    <w:rsid w:val="00805D7A"/>
    <w:rsid w:val="008145F7"/>
    <w:rsid w:val="00814921"/>
    <w:rsid w:val="008253D1"/>
    <w:rsid w:val="00826436"/>
    <w:rsid w:val="00833DE1"/>
    <w:rsid w:val="008341EA"/>
    <w:rsid w:val="008378A8"/>
    <w:rsid w:val="0084107C"/>
    <w:rsid w:val="008427BF"/>
    <w:rsid w:val="00842AA8"/>
    <w:rsid w:val="0084417F"/>
    <w:rsid w:val="00844310"/>
    <w:rsid w:val="00844A18"/>
    <w:rsid w:val="00846D83"/>
    <w:rsid w:val="00850DA7"/>
    <w:rsid w:val="008517B4"/>
    <w:rsid w:val="008528A1"/>
    <w:rsid w:val="00852A8B"/>
    <w:rsid w:val="0086020B"/>
    <w:rsid w:val="00860A25"/>
    <w:rsid w:val="00860CD0"/>
    <w:rsid w:val="00860E30"/>
    <w:rsid w:val="00862827"/>
    <w:rsid w:val="00863258"/>
    <w:rsid w:val="00865E8E"/>
    <w:rsid w:val="00873809"/>
    <w:rsid w:val="008738B6"/>
    <w:rsid w:val="008801A6"/>
    <w:rsid w:val="00880B51"/>
    <w:rsid w:val="00880B80"/>
    <w:rsid w:val="0088490E"/>
    <w:rsid w:val="00884D99"/>
    <w:rsid w:val="00886F8E"/>
    <w:rsid w:val="008910CA"/>
    <w:rsid w:val="00894996"/>
    <w:rsid w:val="00895EE2"/>
    <w:rsid w:val="008A4E8A"/>
    <w:rsid w:val="008A53A2"/>
    <w:rsid w:val="008B0347"/>
    <w:rsid w:val="008B5DAA"/>
    <w:rsid w:val="008B6D9B"/>
    <w:rsid w:val="008C19DA"/>
    <w:rsid w:val="008C33E3"/>
    <w:rsid w:val="008C5A09"/>
    <w:rsid w:val="008C63E9"/>
    <w:rsid w:val="008C6BA8"/>
    <w:rsid w:val="008D7552"/>
    <w:rsid w:val="008F21EF"/>
    <w:rsid w:val="008F2645"/>
    <w:rsid w:val="008F469E"/>
    <w:rsid w:val="00901377"/>
    <w:rsid w:val="009035B3"/>
    <w:rsid w:val="00904CE4"/>
    <w:rsid w:val="009062D4"/>
    <w:rsid w:val="009107CD"/>
    <w:rsid w:val="00910907"/>
    <w:rsid w:val="00910D9A"/>
    <w:rsid w:val="00913A04"/>
    <w:rsid w:val="009167C6"/>
    <w:rsid w:val="00916DF6"/>
    <w:rsid w:val="00917AEA"/>
    <w:rsid w:val="00920295"/>
    <w:rsid w:val="0092032C"/>
    <w:rsid w:val="00920638"/>
    <w:rsid w:val="00923B37"/>
    <w:rsid w:val="0092727D"/>
    <w:rsid w:val="00930FDC"/>
    <w:rsid w:val="00931BEC"/>
    <w:rsid w:val="00932E3A"/>
    <w:rsid w:val="00935F6B"/>
    <w:rsid w:val="00942F02"/>
    <w:rsid w:val="009445D0"/>
    <w:rsid w:val="009503AA"/>
    <w:rsid w:val="00951F0B"/>
    <w:rsid w:val="00953C1E"/>
    <w:rsid w:val="009549BF"/>
    <w:rsid w:val="0095510B"/>
    <w:rsid w:val="00964983"/>
    <w:rsid w:val="009655AA"/>
    <w:rsid w:val="00965CA0"/>
    <w:rsid w:val="0097307B"/>
    <w:rsid w:val="00975058"/>
    <w:rsid w:val="009761F7"/>
    <w:rsid w:val="009765D0"/>
    <w:rsid w:val="00976FE4"/>
    <w:rsid w:val="0098141B"/>
    <w:rsid w:val="00982F71"/>
    <w:rsid w:val="00983363"/>
    <w:rsid w:val="0098483F"/>
    <w:rsid w:val="00986E09"/>
    <w:rsid w:val="00987E72"/>
    <w:rsid w:val="00991732"/>
    <w:rsid w:val="009A18AE"/>
    <w:rsid w:val="009A33D5"/>
    <w:rsid w:val="009A45FF"/>
    <w:rsid w:val="009A5409"/>
    <w:rsid w:val="009A7839"/>
    <w:rsid w:val="009B688D"/>
    <w:rsid w:val="009B6AE3"/>
    <w:rsid w:val="009B7F22"/>
    <w:rsid w:val="009C1105"/>
    <w:rsid w:val="009C296D"/>
    <w:rsid w:val="009C3FC3"/>
    <w:rsid w:val="009C5CE8"/>
    <w:rsid w:val="009C72A9"/>
    <w:rsid w:val="009D100F"/>
    <w:rsid w:val="009D40EC"/>
    <w:rsid w:val="009D4CE3"/>
    <w:rsid w:val="009E33CC"/>
    <w:rsid w:val="009E450A"/>
    <w:rsid w:val="009F153E"/>
    <w:rsid w:val="009F39BD"/>
    <w:rsid w:val="009F3BBF"/>
    <w:rsid w:val="009F6937"/>
    <w:rsid w:val="009F76B8"/>
    <w:rsid w:val="00A0333A"/>
    <w:rsid w:val="00A0342F"/>
    <w:rsid w:val="00A04979"/>
    <w:rsid w:val="00A07286"/>
    <w:rsid w:val="00A11E0E"/>
    <w:rsid w:val="00A122A9"/>
    <w:rsid w:val="00A12D8F"/>
    <w:rsid w:val="00A14152"/>
    <w:rsid w:val="00A15B4A"/>
    <w:rsid w:val="00A16165"/>
    <w:rsid w:val="00A20517"/>
    <w:rsid w:val="00A21826"/>
    <w:rsid w:val="00A220A2"/>
    <w:rsid w:val="00A22FD5"/>
    <w:rsid w:val="00A23BFB"/>
    <w:rsid w:val="00A2725C"/>
    <w:rsid w:val="00A27966"/>
    <w:rsid w:val="00A30D94"/>
    <w:rsid w:val="00A34C41"/>
    <w:rsid w:val="00A36735"/>
    <w:rsid w:val="00A40A1F"/>
    <w:rsid w:val="00A4130B"/>
    <w:rsid w:val="00A42A79"/>
    <w:rsid w:val="00A471E8"/>
    <w:rsid w:val="00A527B5"/>
    <w:rsid w:val="00A5281C"/>
    <w:rsid w:val="00A52F44"/>
    <w:rsid w:val="00A537F2"/>
    <w:rsid w:val="00A54D0A"/>
    <w:rsid w:val="00A5506E"/>
    <w:rsid w:val="00A57204"/>
    <w:rsid w:val="00A57228"/>
    <w:rsid w:val="00A5723F"/>
    <w:rsid w:val="00A61D2D"/>
    <w:rsid w:val="00A61EE3"/>
    <w:rsid w:val="00A64F33"/>
    <w:rsid w:val="00A6554A"/>
    <w:rsid w:val="00A66857"/>
    <w:rsid w:val="00A70FBD"/>
    <w:rsid w:val="00A72019"/>
    <w:rsid w:val="00A73A72"/>
    <w:rsid w:val="00A77AAD"/>
    <w:rsid w:val="00A81328"/>
    <w:rsid w:val="00A85C3E"/>
    <w:rsid w:val="00A94FF6"/>
    <w:rsid w:val="00A95DA2"/>
    <w:rsid w:val="00A97947"/>
    <w:rsid w:val="00AA411A"/>
    <w:rsid w:val="00AA41A4"/>
    <w:rsid w:val="00AA4921"/>
    <w:rsid w:val="00AB0EEB"/>
    <w:rsid w:val="00AB495A"/>
    <w:rsid w:val="00AB54B5"/>
    <w:rsid w:val="00AB6F68"/>
    <w:rsid w:val="00AC0518"/>
    <w:rsid w:val="00AC2340"/>
    <w:rsid w:val="00AC25E8"/>
    <w:rsid w:val="00AD1196"/>
    <w:rsid w:val="00AD5A1C"/>
    <w:rsid w:val="00AD6692"/>
    <w:rsid w:val="00AE6E67"/>
    <w:rsid w:val="00AF4E36"/>
    <w:rsid w:val="00AF6172"/>
    <w:rsid w:val="00AF61B5"/>
    <w:rsid w:val="00AF76A0"/>
    <w:rsid w:val="00B00E5B"/>
    <w:rsid w:val="00B01BFD"/>
    <w:rsid w:val="00B058F4"/>
    <w:rsid w:val="00B06065"/>
    <w:rsid w:val="00B073C0"/>
    <w:rsid w:val="00B10120"/>
    <w:rsid w:val="00B112F4"/>
    <w:rsid w:val="00B21E39"/>
    <w:rsid w:val="00B21F95"/>
    <w:rsid w:val="00B2244C"/>
    <w:rsid w:val="00B25EF0"/>
    <w:rsid w:val="00B271DD"/>
    <w:rsid w:val="00B32DBE"/>
    <w:rsid w:val="00B32EBB"/>
    <w:rsid w:val="00B33A4A"/>
    <w:rsid w:val="00B3702B"/>
    <w:rsid w:val="00B40D62"/>
    <w:rsid w:val="00B40F25"/>
    <w:rsid w:val="00B423BE"/>
    <w:rsid w:val="00B447C5"/>
    <w:rsid w:val="00B450F5"/>
    <w:rsid w:val="00B467C0"/>
    <w:rsid w:val="00B5052F"/>
    <w:rsid w:val="00B536B7"/>
    <w:rsid w:val="00B53C10"/>
    <w:rsid w:val="00B541EA"/>
    <w:rsid w:val="00B5479F"/>
    <w:rsid w:val="00B5628C"/>
    <w:rsid w:val="00B5655E"/>
    <w:rsid w:val="00B56B4C"/>
    <w:rsid w:val="00B614A3"/>
    <w:rsid w:val="00B6400C"/>
    <w:rsid w:val="00B649E5"/>
    <w:rsid w:val="00B67309"/>
    <w:rsid w:val="00B673F8"/>
    <w:rsid w:val="00B67888"/>
    <w:rsid w:val="00B7029C"/>
    <w:rsid w:val="00B71C9B"/>
    <w:rsid w:val="00B73F47"/>
    <w:rsid w:val="00B76174"/>
    <w:rsid w:val="00B7743A"/>
    <w:rsid w:val="00B8020C"/>
    <w:rsid w:val="00B80446"/>
    <w:rsid w:val="00B8227C"/>
    <w:rsid w:val="00B8279C"/>
    <w:rsid w:val="00B861DF"/>
    <w:rsid w:val="00B9054C"/>
    <w:rsid w:val="00B93823"/>
    <w:rsid w:val="00B94DBF"/>
    <w:rsid w:val="00B96272"/>
    <w:rsid w:val="00B96443"/>
    <w:rsid w:val="00BA24A0"/>
    <w:rsid w:val="00BA33D5"/>
    <w:rsid w:val="00BA374D"/>
    <w:rsid w:val="00BA40A0"/>
    <w:rsid w:val="00BA4528"/>
    <w:rsid w:val="00BA657A"/>
    <w:rsid w:val="00BB17C9"/>
    <w:rsid w:val="00BB33D0"/>
    <w:rsid w:val="00BB6E9E"/>
    <w:rsid w:val="00BC1508"/>
    <w:rsid w:val="00BC220D"/>
    <w:rsid w:val="00BC3767"/>
    <w:rsid w:val="00BC57AC"/>
    <w:rsid w:val="00BC5EEA"/>
    <w:rsid w:val="00BD036E"/>
    <w:rsid w:val="00BD3B38"/>
    <w:rsid w:val="00BD64FB"/>
    <w:rsid w:val="00BD6793"/>
    <w:rsid w:val="00BD71F7"/>
    <w:rsid w:val="00BE04C1"/>
    <w:rsid w:val="00BE4018"/>
    <w:rsid w:val="00BE575F"/>
    <w:rsid w:val="00BF3BC0"/>
    <w:rsid w:val="00BF4E37"/>
    <w:rsid w:val="00BF5795"/>
    <w:rsid w:val="00BF599C"/>
    <w:rsid w:val="00BF5D35"/>
    <w:rsid w:val="00BF7A5A"/>
    <w:rsid w:val="00C02084"/>
    <w:rsid w:val="00C03986"/>
    <w:rsid w:val="00C0576A"/>
    <w:rsid w:val="00C07F84"/>
    <w:rsid w:val="00C149F9"/>
    <w:rsid w:val="00C1558B"/>
    <w:rsid w:val="00C17333"/>
    <w:rsid w:val="00C20F5D"/>
    <w:rsid w:val="00C20F60"/>
    <w:rsid w:val="00C21F06"/>
    <w:rsid w:val="00C2362D"/>
    <w:rsid w:val="00C25277"/>
    <w:rsid w:val="00C301AB"/>
    <w:rsid w:val="00C30BE2"/>
    <w:rsid w:val="00C31366"/>
    <w:rsid w:val="00C315B0"/>
    <w:rsid w:val="00C33E80"/>
    <w:rsid w:val="00C3482F"/>
    <w:rsid w:val="00C43499"/>
    <w:rsid w:val="00C4525B"/>
    <w:rsid w:val="00C46D26"/>
    <w:rsid w:val="00C4788B"/>
    <w:rsid w:val="00C50D14"/>
    <w:rsid w:val="00C5600A"/>
    <w:rsid w:val="00C56E85"/>
    <w:rsid w:val="00C61C4E"/>
    <w:rsid w:val="00C63904"/>
    <w:rsid w:val="00C654ED"/>
    <w:rsid w:val="00C6644B"/>
    <w:rsid w:val="00C729F6"/>
    <w:rsid w:val="00C72DC6"/>
    <w:rsid w:val="00C74906"/>
    <w:rsid w:val="00C80CBB"/>
    <w:rsid w:val="00C812AC"/>
    <w:rsid w:val="00C83C59"/>
    <w:rsid w:val="00C86B79"/>
    <w:rsid w:val="00C8755A"/>
    <w:rsid w:val="00C901E0"/>
    <w:rsid w:val="00C91D62"/>
    <w:rsid w:val="00C92FE8"/>
    <w:rsid w:val="00C93A02"/>
    <w:rsid w:val="00C95D4E"/>
    <w:rsid w:val="00C95D8C"/>
    <w:rsid w:val="00C96D2F"/>
    <w:rsid w:val="00C978E9"/>
    <w:rsid w:val="00CA03DD"/>
    <w:rsid w:val="00CA0E00"/>
    <w:rsid w:val="00CA0EDD"/>
    <w:rsid w:val="00CA1784"/>
    <w:rsid w:val="00CA3898"/>
    <w:rsid w:val="00CA5D63"/>
    <w:rsid w:val="00CA6ECD"/>
    <w:rsid w:val="00CA7857"/>
    <w:rsid w:val="00CB2D27"/>
    <w:rsid w:val="00CB383D"/>
    <w:rsid w:val="00CB50FA"/>
    <w:rsid w:val="00CB5BE7"/>
    <w:rsid w:val="00CC1CD0"/>
    <w:rsid w:val="00CC4721"/>
    <w:rsid w:val="00CC4CB0"/>
    <w:rsid w:val="00CC5060"/>
    <w:rsid w:val="00CD0B85"/>
    <w:rsid w:val="00CD1761"/>
    <w:rsid w:val="00CD1C52"/>
    <w:rsid w:val="00CD2D82"/>
    <w:rsid w:val="00CD532C"/>
    <w:rsid w:val="00CE39CB"/>
    <w:rsid w:val="00CE5081"/>
    <w:rsid w:val="00CE67CD"/>
    <w:rsid w:val="00CE6FFE"/>
    <w:rsid w:val="00CF43BA"/>
    <w:rsid w:val="00D0015A"/>
    <w:rsid w:val="00D00A02"/>
    <w:rsid w:val="00D054CC"/>
    <w:rsid w:val="00D130CC"/>
    <w:rsid w:val="00D13FD8"/>
    <w:rsid w:val="00D1482B"/>
    <w:rsid w:val="00D14869"/>
    <w:rsid w:val="00D25699"/>
    <w:rsid w:val="00D262CF"/>
    <w:rsid w:val="00D324D4"/>
    <w:rsid w:val="00D32C75"/>
    <w:rsid w:val="00D35C9B"/>
    <w:rsid w:val="00D35EF0"/>
    <w:rsid w:val="00D3670C"/>
    <w:rsid w:val="00D3778C"/>
    <w:rsid w:val="00D43E0A"/>
    <w:rsid w:val="00D44825"/>
    <w:rsid w:val="00D44A29"/>
    <w:rsid w:val="00D46F3B"/>
    <w:rsid w:val="00D47251"/>
    <w:rsid w:val="00D54B51"/>
    <w:rsid w:val="00D55DA3"/>
    <w:rsid w:val="00D67892"/>
    <w:rsid w:val="00D67B6C"/>
    <w:rsid w:val="00D716EE"/>
    <w:rsid w:val="00D720E1"/>
    <w:rsid w:val="00D72273"/>
    <w:rsid w:val="00D742D9"/>
    <w:rsid w:val="00D77BF2"/>
    <w:rsid w:val="00D804A3"/>
    <w:rsid w:val="00D80A57"/>
    <w:rsid w:val="00D852CD"/>
    <w:rsid w:val="00D91A89"/>
    <w:rsid w:val="00D9479D"/>
    <w:rsid w:val="00D95465"/>
    <w:rsid w:val="00D954E5"/>
    <w:rsid w:val="00D95F01"/>
    <w:rsid w:val="00D96799"/>
    <w:rsid w:val="00DA2E03"/>
    <w:rsid w:val="00DA5638"/>
    <w:rsid w:val="00DA581B"/>
    <w:rsid w:val="00DA671F"/>
    <w:rsid w:val="00DA6E4C"/>
    <w:rsid w:val="00DB23B3"/>
    <w:rsid w:val="00DB2843"/>
    <w:rsid w:val="00DB2EC3"/>
    <w:rsid w:val="00DB5AC4"/>
    <w:rsid w:val="00DC063D"/>
    <w:rsid w:val="00DC262F"/>
    <w:rsid w:val="00DC2F89"/>
    <w:rsid w:val="00DC350A"/>
    <w:rsid w:val="00DC3F68"/>
    <w:rsid w:val="00DC4769"/>
    <w:rsid w:val="00DC6049"/>
    <w:rsid w:val="00DD2E5C"/>
    <w:rsid w:val="00DD3B34"/>
    <w:rsid w:val="00DD6C4D"/>
    <w:rsid w:val="00DD6CE4"/>
    <w:rsid w:val="00DE029C"/>
    <w:rsid w:val="00DE0F85"/>
    <w:rsid w:val="00DE3E08"/>
    <w:rsid w:val="00DE4366"/>
    <w:rsid w:val="00DE48F5"/>
    <w:rsid w:val="00DE58C8"/>
    <w:rsid w:val="00DE60DA"/>
    <w:rsid w:val="00DE6B25"/>
    <w:rsid w:val="00DF0BBB"/>
    <w:rsid w:val="00DF0E08"/>
    <w:rsid w:val="00DF2ADF"/>
    <w:rsid w:val="00DF2E22"/>
    <w:rsid w:val="00DF7280"/>
    <w:rsid w:val="00E01E02"/>
    <w:rsid w:val="00E02201"/>
    <w:rsid w:val="00E02557"/>
    <w:rsid w:val="00E030C5"/>
    <w:rsid w:val="00E07FB5"/>
    <w:rsid w:val="00E14BB2"/>
    <w:rsid w:val="00E17DD1"/>
    <w:rsid w:val="00E20610"/>
    <w:rsid w:val="00E2118E"/>
    <w:rsid w:val="00E21C55"/>
    <w:rsid w:val="00E23785"/>
    <w:rsid w:val="00E254F9"/>
    <w:rsid w:val="00E35F04"/>
    <w:rsid w:val="00E379C4"/>
    <w:rsid w:val="00E428D5"/>
    <w:rsid w:val="00E5015B"/>
    <w:rsid w:val="00E50864"/>
    <w:rsid w:val="00E50E56"/>
    <w:rsid w:val="00E51710"/>
    <w:rsid w:val="00E5274B"/>
    <w:rsid w:val="00E5632A"/>
    <w:rsid w:val="00E608EC"/>
    <w:rsid w:val="00E61709"/>
    <w:rsid w:val="00E647E8"/>
    <w:rsid w:val="00E64A20"/>
    <w:rsid w:val="00E65C64"/>
    <w:rsid w:val="00E67FF4"/>
    <w:rsid w:val="00E71DA1"/>
    <w:rsid w:val="00E724D0"/>
    <w:rsid w:val="00E72A3E"/>
    <w:rsid w:val="00E75C14"/>
    <w:rsid w:val="00E76113"/>
    <w:rsid w:val="00E7678F"/>
    <w:rsid w:val="00E82DA6"/>
    <w:rsid w:val="00E915A0"/>
    <w:rsid w:val="00E93632"/>
    <w:rsid w:val="00E95DEC"/>
    <w:rsid w:val="00EA15EA"/>
    <w:rsid w:val="00EA1677"/>
    <w:rsid w:val="00EA3B12"/>
    <w:rsid w:val="00EA547F"/>
    <w:rsid w:val="00EA5ECD"/>
    <w:rsid w:val="00EA6E97"/>
    <w:rsid w:val="00EB1943"/>
    <w:rsid w:val="00EB2230"/>
    <w:rsid w:val="00EB4B4B"/>
    <w:rsid w:val="00EB561A"/>
    <w:rsid w:val="00EB5CC6"/>
    <w:rsid w:val="00EB6D81"/>
    <w:rsid w:val="00EB6EB5"/>
    <w:rsid w:val="00EB7CC8"/>
    <w:rsid w:val="00EC1E26"/>
    <w:rsid w:val="00EC22EB"/>
    <w:rsid w:val="00EC72F3"/>
    <w:rsid w:val="00EC7444"/>
    <w:rsid w:val="00EC7857"/>
    <w:rsid w:val="00ED11EF"/>
    <w:rsid w:val="00ED453D"/>
    <w:rsid w:val="00ED50E9"/>
    <w:rsid w:val="00ED6BC5"/>
    <w:rsid w:val="00ED78BE"/>
    <w:rsid w:val="00ED7E6E"/>
    <w:rsid w:val="00EE1976"/>
    <w:rsid w:val="00EE263F"/>
    <w:rsid w:val="00EF0503"/>
    <w:rsid w:val="00EF3B74"/>
    <w:rsid w:val="00EF475F"/>
    <w:rsid w:val="00EF58F8"/>
    <w:rsid w:val="00F00E8A"/>
    <w:rsid w:val="00F03291"/>
    <w:rsid w:val="00F04947"/>
    <w:rsid w:val="00F04C08"/>
    <w:rsid w:val="00F0508D"/>
    <w:rsid w:val="00F05E16"/>
    <w:rsid w:val="00F16B85"/>
    <w:rsid w:val="00F16FB6"/>
    <w:rsid w:val="00F175C1"/>
    <w:rsid w:val="00F17D01"/>
    <w:rsid w:val="00F21BA2"/>
    <w:rsid w:val="00F228FF"/>
    <w:rsid w:val="00F258A2"/>
    <w:rsid w:val="00F26E04"/>
    <w:rsid w:val="00F358C6"/>
    <w:rsid w:val="00F35AEC"/>
    <w:rsid w:val="00F4122A"/>
    <w:rsid w:val="00F41EC3"/>
    <w:rsid w:val="00F42F2F"/>
    <w:rsid w:val="00F43C9E"/>
    <w:rsid w:val="00F47C57"/>
    <w:rsid w:val="00F500C0"/>
    <w:rsid w:val="00F51747"/>
    <w:rsid w:val="00F51CA3"/>
    <w:rsid w:val="00F52DE5"/>
    <w:rsid w:val="00F55EFB"/>
    <w:rsid w:val="00F56BE8"/>
    <w:rsid w:val="00F61FC0"/>
    <w:rsid w:val="00F632F2"/>
    <w:rsid w:val="00F67B66"/>
    <w:rsid w:val="00F70BF1"/>
    <w:rsid w:val="00F7488C"/>
    <w:rsid w:val="00F74963"/>
    <w:rsid w:val="00F83A2C"/>
    <w:rsid w:val="00F84A19"/>
    <w:rsid w:val="00F90B2E"/>
    <w:rsid w:val="00F931EF"/>
    <w:rsid w:val="00F95787"/>
    <w:rsid w:val="00F957F6"/>
    <w:rsid w:val="00F95CA7"/>
    <w:rsid w:val="00FA0668"/>
    <w:rsid w:val="00FA0CE4"/>
    <w:rsid w:val="00FA12B9"/>
    <w:rsid w:val="00FA1543"/>
    <w:rsid w:val="00FA166F"/>
    <w:rsid w:val="00FA1ACD"/>
    <w:rsid w:val="00FA21B9"/>
    <w:rsid w:val="00FA4098"/>
    <w:rsid w:val="00FA54DF"/>
    <w:rsid w:val="00FA5B56"/>
    <w:rsid w:val="00FB3975"/>
    <w:rsid w:val="00FB484B"/>
    <w:rsid w:val="00FB636B"/>
    <w:rsid w:val="00FB6BCC"/>
    <w:rsid w:val="00FB7124"/>
    <w:rsid w:val="00FC31F8"/>
    <w:rsid w:val="00FC7D0D"/>
    <w:rsid w:val="00FD03E2"/>
    <w:rsid w:val="00FD5212"/>
    <w:rsid w:val="00FD66F1"/>
    <w:rsid w:val="00FD7B33"/>
    <w:rsid w:val="00FE1BC0"/>
    <w:rsid w:val="00FE54DF"/>
    <w:rsid w:val="00FE58DE"/>
    <w:rsid w:val="00FE6D0D"/>
    <w:rsid w:val="00FF25C8"/>
    <w:rsid w:val="00FF3C3B"/>
    <w:rsid w:val="00FF496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footnote reference" w:qFormat="1"/>
    <w:lsdException w:name="List Bullet" w:uiPriority="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DE"/>
    <w:rPr>
      <w:rFonts w:eastAsia="Times New Roman"/>
      <w:sz w:val="24"/>
      <w:szCs w:val="24"/>
      <w:lang w:val="en-CA"/>
    </w:rPr>
  </w:style>
  <w:style w:type="paragraph" w:styleId="Heading1">
    <w:name w:val="heading 1"/>
    <w:basedOn w:val="Normal"/>
    <w:next w:val="Heading2"/>
    <w:link w:val="Heading1Char"/>
    <w:qFormat/>
    <w:rsid w:val="004210C6"/>
    <w:pPr>
      <w:keepNext/>
      <w:tabs>
        <w:tab w:val="left" w:pos="720"/>
      </w:tabs>
      <w:spacing w:before="240" w:after="120"/>
      <w:jc w:val="center"/>
      <w:outlineLvl w:val="0"/>
    </w:pPr>
    <w:rPr>
      <w:rFonts w:eastAsia="MS Mincho" w:cs="Angsana New"/>
      <w:b/>
      <w:caps/>
      <w:sz w:val="22"/>
      <w:lang w:val="en-GB"/>
    </w:rPr>
  </w:style>
  <w:style w:type="paragraph" w:styleId="Heading2">
    <w:name w:val="heading 2"/>
    <w:basedOn w:val="Normal"/>
    <w:qFormat/>
    <w:rsid w:val="00B058F4"/>
    <w:pPr>
      <w:keepNext/>
      <w:tabs>
        <w:tab w:val="left" w:pos="720"/>
      </w:tabs>
      <w:spacing w:before="120" w:after="120"/>
      <w:jc w:val="center"/>
      <w:outlineLvl w:val="1"/>
    </w:pPr>
    <w:rPr>
      <w:rFonts w:eastAsia="MS Mincho" w:cs="Angsana New"/>
      <w:b/>
      <w:bCs/>
      <w:iCs/>
      <w:snapToGrid w:val="0"/>
      <w:sz w:val="22"/>
      <w:lang w:val="en-GB"/>
    </w:rPr>
  </w:style>
  <w:style w:type="paragraph" w:styleId="Heading3">
    <w:name w:val="heading 3"/>
    <w:basedOn w:val="Normal"/>
    <w:next w:val="Normal"/>
    <w:link w:val="Heading3Char"/>
    <w:qFormat/>
    <w:rsid w:val="00BF5795"/>
    <w:pPr>
      <w:keepNext/>
      <w:tabs>
        <w:tab w:val="left" w:pos="567"/>
      </w:tabs>
      <w:spacing w:before="120" w:after="120"/>
      <w:outlineLvl w:val="2"/>
    </w:pPr>
    <w:rPr>
      <w:rFonts w:eastAsia="MS Mincho" w:cs="Angsana New"/>
      <w:i/>
      <w:iCs/>
      <w:sz w:val="22"/>
      <w:lang w:val="en-GB"/>
    </w:rPr>
  </w:style>
  <w:style w:type="paragraph" w:styleId="Heading40">
    <w:name w:val="heading 4"/>
    <w:basedOn w:val="Normal"/>
    <w:link w:val="Heading4Char"/>
    <w:qFormat/>
    <w:rsid w:val="004210C6"/>
    <w:pPr>
      <w:keepNext/>
      <w:spacing w:before="120" w:after="120"/>
      <w:jc w:val="both"/>
      <w:outlineLvl w:val="3"/>
    </w:pPr>
    <w:rPr>
      <w:rFonts w:ascii="Times New Roman Bold" w:eastAsia="Arial Unicode MS" w:hAnsi="Times New Roman Bold" w:cs="Arial"/>
      <w:b/>
      <w:bCs/>
      <w:i/>
      <w:iCs/>
      <w:sz w:val="22"/>
      <w:lang w:val="en-GB"/>
    </w:rPr>
  </w:style>
  <w:style w:type="paragraph" w:styleId="Heading5">
    <w:name w:val="heading 5"/>
    <w:aliases w:val="Heading 5 - GTI,Heading 5 Char1"/>
    <w:basedOn w:val="Normal"/>
    <w:next w:val="Normal"/>
    <w:link w:val="Heading5Char"/>
    <w:qFormat/>
    <w:rsid w:val="004210C6"/>
    <w:pPr>
      <w:keepNext/>
      <w:numPr>
        <w:ilvl w:val="4"/>
        <w:numId w:val="5"/>
      </w:numPr>
      <w:spacing w:before="120" w:after="120"/>
      <w:outlineLvl w:val="4"/>
    </w:pPr>
    <w:rPr>
      <w:rFonts w:eastAsia="MS Mincho" w:cs="Angsana New"/>
      <w:bCs/>
      <w:i/>
      <w:sz w:val="22"/>
      <w:szCs w:val="26"/>
    </w:rPr>
  </w:style>
  <w:style w:type="paragraph" w:styleId="Heading6">
    <w:name w:val="heading 6"/>
    <w:basedOn w:val="Normal"/>
    <w:next w:val="Normal"/>
    <w:link w:val="Heading6Char"/>
    <w:qFormat/>
    <w:rsid w:val="004210C6"/>
    <w:pPr>
      <w:keepNext/>
      <w:spacing w:after="240" w:line="240" w:lineRule="exact"/>
      <w:ind w:left="720"/>
      <w:jc w:val="both"/>
      <w:outlineLvl w:val="5"/>
    </w:pPr>
    <w:rPr>
      <w:rFonts w:eastAsia="MS Mincho" w:cs="Angsana New"/>
      <w:sz w:val="22"/>
      <w:u w:val="single"/>
      <w:lang w:val="en-GB"/>
    </w:rPr>
  </w:style>
  <w:style w:type="paragraph" w:styleId="Heading7">
    <w:name w:val="heading 7"/>
    <w:basedOn w:val="Normal"/>
    <w:next w:val="Normal"/>
    <w:link w:val="Heading7Char"/>
    <w:qFormat/>
    <w:rsid w:val="004210C6"/>
    <w:pPr>
      <w:keepNext/>
      <w:jc w:val="right"/>
      <w:outlineLvl w:val="6"/>
    </w:pPr>
    <w:rPr>
      <w:rFonts w:ascii="Univers" w:eastAsia="MS Mincho" w:hAnsi="Univers" w:cs="Angsana New"/>
      <w:b/>
      <w:sz w:val="28"/>
      <w:lang w:val="en-GB"/>
    </w:rPr>
  </w:style>
  <w:style w:type="paragraph" w:styleId="Heading8">
    <w:name w:val="heading 8"/>
    <w:basedOn w:val="Normal"/>
    <w:next w:val="Normal"/>
    <w:link w:val="Heading8Char"/>
    <w:qFormat/>
    <w:rsid w:val="004210C6"/>
    <w:pPr>
      <w:keepNext/>
      <w:jc w:val="right"/>
      <w:outlineLvl w:val="7"/>
    </w:pPr>
    <w:rPr>
      <w:rFonts w:ascii="Univers" w:eastAsia="MS Mincho" w:hAnsi="Univers" w:cs="Angsana New"/>
      <w:b/>
      <w:sz w:val="32"/>
      <w:lang w:val="en-GB"/>
    </w:rPr>
  </w:style>
  <w:style w:type="paragraph" w:styleId="Heading9">
    <w:name w:val="heading 9"/>
    <w:basedOn w:val="Normal"/>
    <w:next w:val="Normal"/>
    <w:link w:val="Heading9Char"/>
    <w:qFormat/>
    <w:rsid w:val="004210C6"/>
    <w:pPr>
      <w:keepNext/>
      <w:spacing w:before="100" w:beforeAutospacing="1" w:after="120"/>
      <w:jc w:val="both"/>
      <w:outlineLvl w:val="8"/>
    </w:pPr>
    <w:rPr>
      <w:rFonts w:eastAsia="MS Mincho" w:cs="Angsana New"/>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10C6"/>
    <w:rPr>
      <w:sz w:val="18"/>
      <w:u w:val="single"/>
      <w:vertAlign w:val="baseline"/>
    </w:rPr>
  </w:style>
  <w:style w:type="character" w:styleId="PageNumber">
    <w:name w:val="page number"/>
    <w:rsid w:val="004210C6"/>
    <w:rPr>
      <w:rFonts w:ascii="Times New Roman" w:hAnsi="Times New Roman"/>
      <w:sz w:val="22"/>
    </w:rPr>
  </w:style>
  <w:style w:type="paragraph" w:styleId="BodyText">
    <w:name w:val="Body Text"/>
    <w:basedOn w:val="Normal"/>
    <w:rsid w:val="004210C6"/>
    <w:pPr>
      <w:spacing w:before="120" w:after="120"/>
      <w:ind w:firstLine="720"/>
      <w:jc w:val="both"/>
    </w:pPr>
    <w:rPr>
      <w:rFonts w:eastAsia="MS Mincho" w:cs="Angsana New"/>
      <w:iCs/>
      <w:sz w:val="22"/>
      <w:lang w:val="en-GB"/>
    </w:rPr>
  </w:style>
  <w:style w:type="paragraph" w:styleId="Caption">
    <w:name w:val="caption"/>
    <w:basedOn w:val="Normal"/>
    <w:next w:val="Normal"/>
    <w:qFormat/>
    <w:rsid w:val="004210C6"/>
    <w:pPr>
      <w:widowControl w:val="0"/>
      <w:jc w:val="both"/>
    </w:pPr>
    <w:rPr>
      <w:rFonts w:ascii="Courier New" w:eastAsia="MS Mincho" w:hAnsi="Courier New" w:cs="Angsana New"/>
      <w:sz w:val="22"/>
      <w:lang w:val="en-GB"/>
    </w:rPr>
  </w:style>
  <w:style w:type="paragraph" w:styleId="Header">
    <w:name w:val="header"/>
    <w:basedOn w:val="Normal"/>
    <w:link w:val="HeaderChar"/>
    <w:rsid w:val="004210C6"/>
    <w:pPr>
      <w:tabs>
        <w:tab w:val="center" w:pos="4320"/>
        <w:tab w:val="right" w:pos="8640"/>
      </w:tabs>
      <w:jc w:val="both"/>
    </w:pPr>
    <w:rPr>
      <w:rFonts w:eastAsia="MS Mincho"/>
      <w:sz w:val="22"/>
      <w:lang w:val="en-GB"/>
    </w:rPr>
  </w:style>
  <w:style w:type="paragraph" w:styleId="Footer">
    <w:name w:val="footer"/>
    <w:basedOn w:val="Normal"/>
    <w:link w:val="FooterChar"/>
    <w:rsid w:val="004210C6"/>
    <w:pPr>
      <w:tabs>
        <w:tab w:val="center" w:pos="4320"/>
        <w:tab w:val="right" w:pos="8640"/>
      </w:tabs>
      <w:ind w:firstLine="720"/>
      <w:jc w:val="right"/>
    </w:pPr>
    <w:rPr>
      <w:rFonts w:eastAsia="MS Mincho"/>
      <w:sz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10C6"/>
    <w:pPr>
      <w:keepLines/>
      <w:spacing w:after="60"/>
      <w:ind w:firstLine="720"/>
      <w:jc w:val="both"/>
    </w:pPr>
    <w:rPr>
      <w:rFonts w:eastAsia="MS Mincho"/>
      <w:sz w:val="18"/>
      <w:lang w:val="en-GB"/>
    </w:rPr>
  </w:style>
  <w:style w:type="paragraph" w:styleId="BodyText2">
    <w:name w:val="Body Text 2"/>
    <w:basedOn w:val="Normal"/>
    <w:rsid w:val="004210C6"/>
    <w:pPr>
      <w:jc w:val="both"/>
    </w:pPr>
    <w:rPr>
      <w:rFonts w:eastAsia="MS Mincho" w:cs="Angsana New"/>
      <w:i/>
      <w:iCs/>
      <w:sz w:val="22"/>
      <w:lang w:val="en-GB"/>
    </w:rPr>
  </w:style>
  <w:style w:type="paragraph" w:styleId="BodyText3">
    <w:name w:val="Body Text 3"/>
    <w:basedOn w:val="Normal"/>
    <w:link w:val="BodyText3Char"/>
    <w:rsid w:val="004210C6"/>
    <w:pPr>
      <w:jc w:val="center"/>
    </w:pPr>
    <w:rPr>
      <w:rFonts w:eastAsia="MS Mincho" w:cs="Angsana New"/>
      <w:sz w:val="28"/>
      <w:lang w:val="en-GB"/>
    </w:rPr>
  </w:style>
  <w:style w:type="paragraph" w:styleId="BodyTextIndent2">
    <w:name w:val="Body Text Indent 2"/>
    <w:basedOn w:val="Normal"/>
    <w:link w:val="BodyTextIndent2Char"/>
    <w:rsid w:val="004210C6"/>
    <w:pPr>
      <w:ind w:firstLine="720"/>
      <w:jc w:val="both"/>
    </w:pPr>
    <w:rPr>
      <w:rFonts w:eastAsia="MS Mincho" w:cs="Angsana New"/>
      <w:sz w:val="22"/>
      <w:lang w:val="en-GB"/>
    </w:rPr>
  </w:style>
  <w:style w:type="paragraph" w:styleId="BodyTextIndent3">
    <w:name w:val="Body Text Indent 3"/>
    <w:basedOn w:val="Normal"/>
    <w:link w:val="BodyTextIndent3Char"/>
    <w:rsid w:val="004210C6"/>
    <w:pPr>
      <w:ind w:left="1080" w:hanging="360"/>
      <w:jc w:val="both"/>
    </w:pPr>
    <w:rPr>
      <w:rFonts w:ascii="Courier" w:eastAsia="MS Mincho" w:hAnsi="Courier" w:cs="Angsana New"/>
      <w:sz w:val="20"/>
      <w:lang w:val="en-GB"/>
    </w:rPr>
  </w:style>
  <w:style w:type="paragraph" w:customStyle="1" w:styleId="BodyText21">
    <w:name w:val="Body Text 21"/>
    <w:basedOn w:val="Normal"/>
    <w:rsid w:val="004210C6"/>
    <w:pPr>
      <w:jc w:val="both"/>
    </w:pPr>
    <w:rPr>
      <w:rFonts w:eastAsia="MS Mincho" w:cs="Angsana New"/>
      <w:sz w:val="22"/>
      <w:lang w:val="en-GB"/>
    </w:rPr>
  </w:style>
  <w:style w:type="paragraph" w:styleId="BlockText">
    <w:name w:val="Block Text"/>
    <w:basedOn w:val="Normal"/>
    <w:rsid w:val="004210C6"/>
    <w:pPr>
      <w:tabs>
        <w:tab w:val="left" w:leader="dot" w:pos="8100"/>
        <w:tab w:val="left" w:pos="8370"/>
      </w:tabs>
      <w:suppressAutoHyphens/>
      <w:ind w:left="720" w:right="1440" w:hanging="720"/>
      <w:jc w:val="both"/>
    </w:pPr>
    <w:rPr>
      <w:rFonts w:ascii="Courier New" w:eastAsia="MS Mincho" w:hAnsi="Courier New" w:cs="Angsana New"/>
      <w:sz w:val="20"/>
      <w:lang w:val="en-GB"/>
    </w:rPr>
  </w:style>
  <w:style w:type="paragraph" w:customStyle="1" w:styleId="Para">
    <w:name w:val="Para"/>
    <w:basedOn w:val="Normal"/>
    <w:rsid w:val="004210C6"/>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eastAsia="MS Mincho" w:cs="Angsana New"/>
      <w:sz w:val="22"/>
      <w:lang w:val="en-GB"/>
    </w:rPr>
  </w:style>
  <w:style w:type="paragraph" w:styleId="BodyTextIndent">
    <w:name w:val="Body Text Indent"/>
    <w:basedOn w:val="Normal"/>
    <w:link w:val="BodyTextIndentChar"/>
    <w:rsid w:val="004210C6"/>
    <w:pPr>
      <w:spacing w:before="120" w:after="120"/>
      <w:ind w:left="1440" w:hanging="720"/>
    </w:pPr>
    <w:rPr>
      <w:rFonts w:eastAsia="MS Mincho" w:cs="Angsana New"/>
      <w:sz w:val="22"/>
      <w:lang w:val="en-GB"/>
    </w:rPr>
  </w:style>
  <w:style w:type="character" w:styleId="EndnoteReference">
    <w:name w:val="endnote reference"/>
    <w:semiHidden/>
    <w:rsid w:val="004210C6"/>
    <w:rPr>
      <w:vertAlign w:val="superscript"/>
    </w:rPr>
  </w:style>
  <w:style w:type="paragraph" w:styleId="Title">
    <w:name w:val="Title"/>
    <w:basedOn w:val="Normal"/>
    <w:link w:val="TitleChar"/>
    <w:qFormat/>
    <w:rsid w:val="004210C6"/>
    <w:pPr>
      <w:jc w:val="center"/>
    </w:pPr>
    <w:rPr>
      <w:rFonts w:eastAsia="MS Mincho" w:cs="Angsana New"/>
      <w:i/>
      <w:iCs/>
      <w:sz w:val="22"/>
      <w:lang w:val="en-GB"/>
    </w:rPr>
  </w:style>
  <w:style w:type="character" w:styleId="Hyperlink">
    <w:name w:val="Hyperlink"/>
    <w:uiPriority w:val="99"/>
    <w:rsid w:val="004210C6"/>
    <w:rPr>
      <w:color w:val="0000FF"/>
      <w:u w:val="single"/>
    </w:rPr>
  </w:style>
  <w:style w:type="paragraph" w:styleId="DocumentMap">
    <w:name w:val="Document Map"/>
    <w:basedOn w:val="Normal"/>
    <w:link w:val="DocumentMapChar"/>
    <w:semiHidden/>
    <w:rsid w:val="004210C6"/>
    <w:pPr>
      <w:shd w:val="clear" w:color="auto" w:fill="000080"/>
    </w:pPr>
    <w:rPr>
      <w:rFonts w:ascii="Tahoma" w:hAnsi="Tahoma"/>
    </w:rPr>
  </w:style>
  <w:style w:type="paragraph" w:customStyle="1" w:styleId="HEADING">
    <w:name w:val="HEADING"/>
    <w:basedOn w:val="Normal"/>
    <w:rsid w:val="004210C6"/>
    <w:pPr>
      <w:keepNext/>
      <w:tabs>
        <w:tab w:val="left" w:pos="426"/>
      </w:tabs>
      <w:spacing w:before="120" w:after="120"/>
      <w:jc w:val="center"/>
    </w:pPr>
    <w:rPr>
      <w:rFonts w:ascii="Times New Roman Bold" w:eastAsia="MS Mincho" w:hAnsi="Times New Roman Bold"/>
      <w:b/>
      <w:bCs/>
      <w:caps/>
      <w:sz w:val="22"/>
      <w:lang w:val="en-GB"/>
    </w:rPr>
  </w:style>
  <w:style w:type="paragraph" w:customStyle="1" w:styleId="Cornernotation">
    <w:name w:val="Corner notation"/>
    <w:basedOn w:val="Normal"/>
    <w:rsid w:val="004210C6"/>
    <w:pPr>
      <w:ind w:left="284" w:right="4398" w:hanging="284"/>
    </w:pPr>
    <w:rPr>
      <w:rFonts w:eastAsia="MS Mincho" w:cs="Angsana New"/>
      <w:sz w:val="22"/>
      <w:lang w:val="en-GB"/>
    </w:rPr>
  </w:style>
  <w:style w:type="paragraph" w:customStyle="1" w:styleId="Para1">
    <w:name w:val="Para1"/>
    <w:basedOn w:val="Normal"/>
    <w:link w:val="Para1Char1"/>
    <w:rsid w:val="006C5568"/>
    <w:pPr>
      <w:numPr>
        <w:numId w:val="14"/>
      </w:numPr>
      <w:spacing w:before="120" w:after="120"/>
      <w:jc w:val="both"/>
    </w:pPr>
    <w:rPr>
      <w:rFonts w:eastAsia="MS Mincho"/>
      <w:snapToGrid w:val="0"/>
      <w:kern w:val="22"/>
      <w:sz w:val="22"/>
      <w:szCs w:val="22"/>
      <w:lang w:val="en-GB"/>
    </w:rPr>
  </w:style>
  <w:style w:type="paragraph" w:customStyle="1" w:styleId="para2">
    <w:name w:val="para2"/>
    <w:basedOn w:val="Normal"/>
    <w:rsid w:val="004210C6"/>
    <w:pPr>
      <w:numPr>
        <w:numId w:val="8"/>
      </w:numPr>
      <w:spacing w:before="120" w:after="120"/>
      <w:jc w:val="both"/>
    </w:pPr>
    <w:rPr>
      <w:rFonts w:eastAsia="MS Mincho" w:cs="Angsana New"/>
      <w:sz w:val="22"/>
      <w:szCs w:val="20"/>
      <w:lang w:val="en-GB"/>
    </w:rPr>
  </w:style>
  <w:style w:type="paragraph" w:customStyle="1" w:styleId="Para3">
    <w:name w:val="Para3"/>
    <w:basedOn w:val="Normal"/>
    <w:rsid w:val="004210C6"/>
    <w:pPr>
      <w:numPr>
        <w:ilvl w:val="2"/>
        <w:numId w:val="13"/>
      </w:numPr>
      <w:tabs>
        <w:tab w:val="left" w:pos="1980"/>
      </w:tabs>
      <w:spacing w:before="80" w:after="80"/>
      <w:jc w:val="both"/>
    </w:pPr>
    <w:rPr>
      <w:rFonts w:eastAsia="MS Mincho" w:cs="Angsana New"/>
      <w:sz w:val="22"/>
      <w:szCs w:val="20"/>
      <w:lang w:val="en-GB"/>
    </w:rPr>
  </w:style>
  <w:style w:type="paragraph" w:customStyle="1" w:styleId="para4">
    <w:name w:val="para4"/>
    <w:basedOn w:val="Normal"/>
    <w:rsid w:val="004210C6"/>
    <w:pPr>
      <w:numPr>
        <w:ilvl w:val="3"/>
        <w:numId w:val="9"/>
      </w:numPr>
      <w:overflowPunct w:val="0"/>
      <w:autoSpaceDE w:val="0"/>
      <w:autoSpaceDN w:val="0"/>
      <w:adjustRightInd w:val="0"/>
      <w:spacing w:after="120" w:line="240" w:lineRule="atLeast"/>
      <w:jc w:val="both"/>
      <w:textAlignment w:val="baseline"/>
    </w:pPr>
    <w:rPr>
      <w:rFonts w:ascii="Courier" w:eastAsia="MS Mincho" w:hAnsi="Courier" w:cs="Angsana New"/>
      <w:color w:val="000000"/>
      <w:sz w:val="20"/>
      <w:szCs w:val="20"/>
      <w:lang w:val="en-GB"/>
    </w:rPr>
  </w:style>
  <w:style w:type="paragraph" w:customStyle="1" w:styleId="Heading2-center">
    <w:name w:val="Heading 2-center"/>
    <w:basedOn w:val="Heading2"/>
    <w:rsid w:val="004210C6"/>
  </w:style>
  <w:style w:type="paragraph" w:customStyle="1" w:styleId="Heading4indent">
    <w:name w:val="Heading 4 indent"/>
    <w:basedOn w:val="Heading40"/>
    <w:rsid w:val="004210C6"/>
    <w:pPr>
      <w:ind w:left="720"/>
    </w:pPr>
  </w:style>
  <w:style w:type="paragraph" w:styleId="PlainText">
    <w:name w:val="Plain Text"/>
    <w:basedOn w:val="Normal"/>
    <w:link w:val="PlainTextChar"/>
    <w:rsid w:val="004210C6"/>
    <w:pPr>
      <w:jc w:val="both"/>
    </w:pPr>
    <w:rPr>
      <w:rFonts w:ascii="Courier New" w:eastAsia="MS Mincho" w:hAnsi="Courier New"/>
      <w:sz w:val="20"/>
    </w:rPr>
  </w:style>
  <w:style w:type="paragraph" w:customStyle="1" w:styleId="xl24">
    <w:name w:val="xl24"/>
    <w:basedOn w:val="Normal"/>
    <w:rsid w:val="004210C6"/>
    <w:pPr>
      <w:spacing w:before="100" w:beforeAutospacing="1" w:after="100" w:afterAutospacing="1"/>
      <w:jc w:val="both"/>
    </w:pPr>
    <w:rPr>
      <w:rFonts w:eastAsia="Arial Unicode MS" w:cs="Angsana New"/>
      <w:b/>
      <w:bCs/>
      <w:sz w:val="22"/>
      <w:szCs w:val="22"/>
      <w:lang w:val="en-GB"/>
    </w:rPr>
  </w:style>
  <w:style w:type="paragraph" w:customStyle="1" w:styleId="xl25">
    <w:name w:val="xl25"/>
    <w:basedOn w:val="Normal"/>
    <w:rsid w:val="004210C6"/>
    <w:pPr>
      <w:spacing w:before="100" w:beforeAutospacing="1" w:after="100" w:afterAutospacing="1"/>
      <w:jc w:val="both"/>
    </w:pPr>
    <w:rPr>
      <w:rFonts w:eastAsia="Arial Unicode MS" w:cs="Angsana New"/>
      <w:b/>
      <w:bCs/>
      <w:sz w:val="22"/>
      <w:szCs w:val="22"/>
      <w:lang w:val="en-GB"/>
    </w:rPr>
  </w:style>
  <w:style w:type="paragraph" w:customStyle="1" w:styleId="xl26">
    <w:name w:val="xl26"/>
    <w:basedOn w:val="Normal"/>
    <w:rsid w:val="004210C6"/>
    <w:pPr>
      <w:spacing w:before="100" w:beforeAutospacing="1" w:after="100" w:afterAutospacing="1"/>
      <w:jc w:val="center"/>
    </w:pPr>
    <w:rPr>
      <w:rFonts w:eastAsia="Arial Unicode MS" w:cs="Angsana New"/>
      <w:b/>
      <w:bCs/>
      <w:sz w:val="22"/>
      <w:szCs w:val="22"/>
      <w:lang w:val="en-GB"/>
    </w:rPr>
  </w:style>
  <w:style w:type="paragraph" w:customStyle="1" w:styleId="xl27">
    <w:name w:val="xl27"/>
    <w:basedOn w:val="Normal"/>
    <w:rsid w:val="004210C6"/>
    <w:pPr>
      <w:pBdr>
        <w:left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28">
    <w:name w:val="xl28"/>
    <w:basedOn w:val="Normal"/>
    <w:rsid w:val="004210C6"/>
    <w:pPr>
      <w:pBdr>
        <w:left w:val="single" w:sz="8" w:space="0" w:color="auto"/>
        <w:right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xl29">
    <w:name w:val="xl29"/>
    <w:basedOn w:val="Normal"/>
    <w:rsid w:val="004210C6"/>
    <w:pPr>
      <w:pBdr>
        <w:lef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30">
    <w:name w:val="xl30"/>
    <w:basedOn w:val="Normal"/>
    <w:rsid w:val="004210C6"/>
    <w:pPr>
      <w:pBdr>
        <w:left w:val="single" w:sz="4"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31">
    <w:name w:val="xl31"/>
    <w:basedOn w:val="Normal"/>
    <w:rsid w:val="004210C6"/>
    <w:pPr>
      <w:pBdr>
        <w:left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32">
    <w:name w:val="xl32"/>
    <w:basedOn w:val="Normal"/>
    <w:rsid w:val="004210C6"/>
    <w:pPr>
      <w:pBdr>
        <w:left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33">
    <w:name w:val="xl33"/>
    <w:basedOn w:val="Normal"/>
    <w:rsid w:val="004210C6"/>
    <w:pPr>
      <w:pBdr>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34">
    <w:name w:val="xl34"/>
    <w:basedOn w:val="Normal"/>
    <w:rsid w:val="004210C6"/>
    <w:pPr>
      <w:pBdr>
        <w:lef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5">
    <w:name w:val="xl35"/>
    <w:basedOn w:val="Normal"/>
    <w:rsid w:val="004210C6"/>
    <w:pPr>
      <w:pBdr>
        <w:left w:val="single" w:sz="4" w:space="0" w:color="auto"/>
        <w:right w:val="single" w:sz="4" w:space="0" w:color="auto"/>
      </w:pBdr>
      <w:spacing w:before="100" w:beforeAutospacing="1" w:after="100" w:afterAutospacing="1"/>
      <w:jc w:val="center"/>
      <w:textAlignment w:val="top"/>
    </w:pPr>
    <w:rPr>
      <w:rFonts w:eastAsia="Arial Unicode MS" w:cs="Angsana New"/>
      <w:sz w:val="22"/>
      <w:szCs w:val="22"/>
      <w:lang w:val="en-GB"/>
    </w:rPr>
  </w:style>
  <w:style w:type="paragraph" w:customStyle="1" w:styleId="xl36">
    <w:name w:val="xl36"/>
    <w:basedOn w:val="Normal"/>
    <w:rsid w:val="004210C6"/>
    <w:pPr>
      <w:pBdr>
        <w:left w:val="single" w:sz="4" w:space="0" w:color="auto"/>
        <w:righ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7">
    <w:name w:val="xl37"/>
    <w:basedOn w:val="Normal"/>
    <w:rsid w:val="004210C6"/>
    <w:pPr>
      <w:pBdr>
        <w:left w:val="single" w:sz="8" w:space="0" w:color="auto"/>
        <w:bottom w:val="single" w:sz="4"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8">
    <w:name w:val="xl38"/>
    <w:basedOn w:val="Normal"/>
    <w:rsid w:val="00421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 w:val="22"/>
      <w:szCs w:val="22"/>
      <w:lang w:val="en-GB"/>
    </w:rPr>
  </w:style>
  <w:style w:type="paragraph" w:customStyle="1" w:styleId="xl39">
    <w:name w:val="xl39"/>
    <w:basedOn w:val="Normal"/>
    <w:rsid w:val="004210C6"/>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40">
    <w:name w:val="xl40"/>
    <w:basedOn w:val="Normal"/>
    <w:rsid w:val="004210C6"/>
    <w:pPr>
      <w:spacing w:before="100" w:beforeAutospacing="1" w:after="100" w:afterAutospacing="1"/>
      <w:jc w:val="center"/>
      <w:textAlignment w:val="top"/>
    </w:pPr>
    <w:rPr>
      <w:rFonts w:eastAsia="Arial Unicode MS" w:cs="Angsana New"/>
      <w:sz w:val="22"/>
      <w:szCs w:val="22"/>
      <w:lang w:val="en-GB"/>
    </w:rPr>
  </w:style>
  <w:style w:type="paragraph" w:customStyle="1" w:styleId="xl41">
    <w:name w:val="xl41"/>
    <w:basedOn w:val="Normal"/>
    <w:rsid w:val="004210C6"/>
    <w:pPr>
      <w:spacing w:before="100" w:beforeAutospacing="1" w:after="100" w:afterAutospacing="1"/>
      <w:jc w:val="both"/>
      <w:textAlignment w:val="top"/>
    </w:pPr>
    <w:rPr>
      <w:rFonts w:eastAsia="Arial Unicode MS" w:cs="Angsana New"/>
      <w:sz w:val="22"/>
      <w:szCs w:val="22"/>
      <w:lang w:val="en-GB"/>
    </w:rPr>
  </w:style>
  <w:style w:type="paragraph" w:customStyle="1" w:styleId="xl42">
    <w:name w:val="xl42"/>
    <w:basedOn w:val="Normal"/>
    <w:rsid w:val="004210C6"/>
    <w:pPr>
      <w:spacing w:before="100" w:beforeAutospacing="1" w:after="100" w:afterAutospacing="1"/>
      <w:jc w:val="center"/>
    </w:pPr>
    <w:rPr>
      <w:rFonts w:eastAsia="Arial Unicode MS" w:cs="Angsana New"/>
      <w:sz w:val="22"/>
      <w:szCs w:val="22"/>
      <w:lang w:val="en-GB"/>
    </w:rPr>
  </w:style>
  <w:style w:type="paragraph" w:customStyle="1" w:styleId="xl43">
    <w:name w:val="xl43"/>
    <w:basedOn w:val="Normal"/>
    <w:rsid w:val="004210C6"/>
    <w:pPr>
      <w:pBdr>
        <w:top w:val="single" w:sz="8" w:space="0" w:color="auto"/>
        <w:left w:val="single" w:sz="8" w:space="0" w:color="auto"/>
        <w:bottom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44">
    <w:name w:val="xl44"/>
    <w:basedOn w:val="Normal"/>
    <w:rsid w:val="004210C6"/>
    <w:pPr>
      <w:pBdr>
        <w:top w:val="single" w:sz="8" w:space="0" w:color="auto"/>
        <w:bottom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xl45">
    <w:name w:val="xl45"/>
    <w:basedOn w:val="Normal"/>
    <w:rsid w:val="004210C6"/>
    <w:pPr>
      <w:pBdr>
        <w:top w:val="single" w:sz="8" w:space="0" w:color="auto"/>
        <w:left w:val="single" w:sz="4" w:space="0" w:color="auto"/>
        <w:bottom w:val="single" w:sz="8" w:space="0" w:color="auto"/>
        <w:right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46">
    <w:name w:val="xl46"/>
    <w:basedOn w:val="Normal"/>
    <w:rsid w:val="004210C6"/>
    <w:pPr>
      <w:pBdr>
        <w:left w:val="single" w:sz="4" w:space="0" w:color="auto"/>
      </w:pBdr>
      <w:spacing w:before="100" w:beforeAutospacing="1" w:after="100" w:afterAutospacing="1"/>
      <w:jc w:val="both"/>
    </w:pPr>
    <w:rPr>
      <w:rFonts w:eastAsia="Arial Unicode MS" w:cs="Angsana New"/>
      <w:sz w:val="22"/>
      <w:szCs w:val="22"/>
      <w:lang w:val="en-GB"/>
    </w:rPr>
  </w:style>
  <w:style w:type="paragraph" w:customStyle="1" w:styleId="xl47">
    <w:name w:val="xl47"/>
    <w:basedOn w:val="Normal"/>
    <w:rsid w:val="004210C6"/>
    <w:pPr>
      <w:pBdr>
        <w:left w:val="single" w:sz="8" w:space="0" w:color="auto"/>
        <w:bottom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48">
    <w:name w:val="xl48"/>
    <w:basedOn w:val="Normal"/>
    <w:rsid w:val="004210C6"/>
    <w:pPr>
      <w:pBdr>
        <w:bottom w:val="single" w:sz="8" w:space="0" w:color="auto"/>
      </w:pBdr>
      <w:spacing w:before="100" w:beforeAutospacing="1" w:after="100" w:afterAutospacing="1"/>
      <w:jc w:val="center"/>
    </w:pPr>
    <w:rPr>
      <w:rFonts w:eastAsia="Arial Unicode MS" w:cs="Angsana New"/>
      <w:sz w:val="22"/>
      <w:szCs w:val="22"/>
      <w:lang w:val="en-GB"/>
    </w:rPr>
  </w:style>
  <w:style w:type="paragraph" w:customStyle="1" w:styleId="xl49">
    <w:name w:val="xl49"/>
    <w:basedOn w:val="Normal"/>
    <w:rsid w:val="004210C6"/>
    <w:pPr>
      <w:pBdr>
        <w:left w:val="single" w:sz="4" w:space="0" w:color="auto"/>
        <w:bottom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0">
    <w:name w:val="xl50"/>
    <w:basedOn w:val="Normal"/>
    <w:rsid w:val="004210C6"/>
    <w:pPr>
      <w:pBdr>
        <w:left w:val="single" w:sz="8" w:space="0" w:color="auto"/>
        <w:right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51">
    <w:name w:val="xl51"/>
    <w:basedOn w:val="Normal"/>
    <w:rsid w:val="004210C6"/>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2">
    <w:name w:val="xl52"/>
    <w:basedOn w:val="Normal"/>
    <w:rsid w:val="004210C6"/>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3">
    <w:name w:val="xl53"/>
    <w:basedOn w:val="Normal"/>
    <w:rsid w:val="004210C6"/>
    <w:pPr>
      <w:pBdr>
        <w:left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4">
    <w:name w:val="xl54"/>
    <w:basedOn w:val="Normal"/>
    <w:rsid w:val="004210C6"/>
    <w:pPr>
      <w:pBdr>
        <w:top w:val="single" w:sz="4" w:space="0" w:color="auto"/>
        <w:left w:val="single" w:sz="8" w:space="0" w:color="auto"/>
        <w:bottom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5">
    <w:name w:val="xl55"/>
    <w:basedOn w:val="Normal"/>
    <w:rsid w:val="004210C6"/>
    <w:pPr>
      <w:pBdr>
        <w:top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6">
    <w:name w:val="xl56"/>
    <w:basedOn w:val="Normal"/>
    <w:rsid w:val="004210C6"/>
    <w:pPr>
      <w:spacing w:before="100" w:beforeAutospacing="1" w:after="100" w:afterAutospacing="1"/>
      <w:jc w:val="both"/>
    </w:pPr>
    <w:rPr>
      <w:rFonts w:eastAsia="Arial Unicode MS" w:cs="Angsana New"/>
      <w:sz w:val="22"/>
      <w:szCs w:val="22"/>
      <w:lang w:val="en-GB"/>
    </w:rPr>
  </w:style>
  <w:style w:type="paragraph" w:customStyle="1" w:styleId="xl57">
    <w:name w:val="xl57"/>
    <w:basedOn w:val="Normal"/>
    <w:rsid w:val="004210C6"/>
    <w:pPr>
      <w:pBdr>
        <w:bottom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8">
    <w:name w:val="xl58"/>
    <w:basedOn w:val="Normal"/>
    <w:rsid w:val="004210C6"/>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59">
    <w:name w:val="xl59"/>
    <w:basedOn w:val="Normal"/>
    <w:rsid w:val="004210C6"/>
    <w:pPr>
      <w:pBdr>
        <w:left w:val="single" w:sz="8" w:space="0" w:color="auto"/>
        <w:bottom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0">
    <w:name w:val="xl60"/>
    <w:basedOn w:val="Normal"/>
    <w:rsid w:val="004210C6"/>
    <w:pPr>
      <w:pBdr>
        <w:left w:val="single" w:sz="8" w:space="0" w:color="auto"/>
        <w:bottom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1">
    <w:name w:val="xl61"/>
    <w:basedOn w:val="Normal"/>
    <w:rsid w:val="004210C6"/>
    <w:pPr>
      <w:pBdr>
        <w:left w:val="single" w:sz="8" w:space="0" w:color="auto"/>
        <w:bottom w:val="single" w:sz="4" w:space="0" w:color="auto"/>
      </w:pBdr>
      <w:spacing w:before="100" w:beforeAutospacing="1" w:after="100" w:afterAutospacing="1"/>
      <w:jc w:val="both"/>
    </w:pPr>
    <w:rPr>
      <w:rFonts w:eastAsia="Arial Unicode MS" w:cs="Angsana New"/>
      <w:sz w:val="22"/>
      <w:szCs w:val="22"/>
      <w:lang w:val="en-GB"/>
    </w:rPr>
  </w:style>
  <w:style w:type="paragraph" w:customStyle="1" w:styleId="xl62">
    <w:name w:val="xl62"/>
    <w:basedOn w:val="Normal"/>
    <w:rsid w:val="004210C6"/>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63">
    <w:name w:val="xl63"/>
    <w:basedOn w:val="Normal"/>
    <w:rsid w:val="004210C6"/>
    <w:pPr>
      <w:pBdr>
        <w:left w:val="single" w:sz="4" w:space="0" w:color="auto"/>
        <w:bottom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4">
    <w:name w:val="xl64"/>
    <w:basedOn w:val="Normal"/>
    <w:rsid w:val="004210C6"/>
    <w:pPr>
      <w:pBdr>
        <w:left w:val="single" w:sz="4" w:space="0" w:color="auto"/>
      </w:pBdr>
      <w:spacing w:before="100" w:beforeAutospacing="1" w:after="100" w:afterAutospacing="1"/>
      <w:jc w:val="both"/>
    </w:pPr>
    <w:rPr>
      <w:rFonts w:eastAsia="Arial Unicode MS" w:cs="Angsana New"/>
      <w:sz w:val="22"/>
      <w:szCs w:val="22"/>
      <w:lang w:val="en-GB"/>
    </w:rPr>
  </w:style>
  <w:style w:type="paragraph" w:customStyle="1" w:styleId="xl65">
    <w:name w:val="xl65"/>
    <w:basedOn w:val="Normal"/>
    <w:rsid w:val="004210C6"/>
    <w:pPr>
      <w:pBdr>
        <w:top w:val="single" w:sz="4" w:space="0" w:color="auto"/>
        <w:left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6">
    <w:name w:val="xl66"/>
    <w:basedOn w:val="Normal"/>
    <w:rsid w:val="004210C6"/>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67">
    <w:name w:val="xl67"/>
    <w:basedOn w:val="Normal"/>
    <w:rsid w:val="004210C6"/>
    <w:pPr>
      <w:pBdr>
        <w:left w:val="single" w:sz="4" w:space="0" w:color="auto"/>
        <w:bottom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8">
    <w:name w:val="xl68"/>
    <w:basedOn w:val="Normal"/>
    <w:rsid w:val="00421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Texte">
    <w:name w:val="Texte"/>
    <w:basedOn w:val="Normal"/>
    <w:rsid w:val="004210C6"/>
    <w:pPr>
      <w:widowControl w:val="0"/>
      <w:tabs>
        <w:tab w:val="left" w:pos="720"/>
      </w:tabs>
      <w:spacing w:before="120" w:after="120"/>
      <w:jc w:val="both"/>
    </w:pPr>
    <w:rPr>
      <w:rFonts w:eastAsia="MS Mincho" w:cs="Angsana New"/>
      <w:sz w:val="22"/>
      <w:lang w:val="en-GB"/>
    </w:rPr>
  </w:style>
  <w:style w:type="paragraph" w:styleId="NormalWeb">
    <w:name w:val="Normal (Web)"/>
    <w:basedOn w:val="Normal"/>
    <w:rsid w:val="004210C6"/>
    <w:pPr>
      <w:spacing w:before="100" w:beforeAutospacing="1" w:after="100" w:afterAutospacing="1"/>
    </w:pPr>
    <w:rPr>
      <w:rFonts w:ascii="Verdana" w:eastAsia="MS Mincho" w:hAnsi="Verdana" w:cs="Angsana New"/>
      <w:color w:val="000000"/>
      <w:sz w:val="18"/>
      <w:szCs w:val="18"/>
      <w:lang w:val="en-US"/>
    </w:rPr>
  </w:style>
  <w:style w:type="paragraph" w:customStyle="1" w:styleId="Para-decision">
    <w:name w:val="Para-decision"/>
    <w:basedOn w:val="Normal"/>
    <w:rsid w:val="004210C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both"/>
      <w:textAlignment w:val="baseline"/>
    </w:pPr>
    <w:rPr>
      <w:rFonts w:ascii="Courier" w:eastAsia="MS Mincho" w:hAnsi="Courier" w:cs="Angsana New"/>
      <w:color w:val="000000"/>
      <w:sz w:val="20"/>
      <w:lang w:val="en-GB"/>
    </w:rPr>
  </w:style>
  <w:style w:type="character" w:styleId="FollowedHyperlink">
    <w:name w:val="FollowedHyperlink"/>
    <w:rsid w:val="004210C6"/>
    <w:rPr>
      <w:color w:val="800080"/>
      <w:u w:val="single"/>
    </w:rPr>
  </w:style>
  <w:style w:type="paragraph" w:customStyle="1" w:styleId="xl22">
    <w:name w:val="xl22"/>
    <w:basedOn w:val="Normal"/>
    <w:rsid w:val="004210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sz w:val="22"/>
      <w:lang w:val="en-GB"/>
    </w:rPr>
  </w:style>
  <w:style w:type="paragraph" w:customStyle="1" w:styleId="xl23">
    <w:name w:val="xl23"/>
    <w:basedOn w:val="Normal"/>
    <w:rsid w:val="004210C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000000"/>
      <w:sz w:val="22"/>
      <w:lang w:val="en-GB"/>
    </w:rPr>
  </w:style>
  <w:style w:type="paragraph" w:customStyle="1" w:styleId="content">
    <w:name w:val="content"/>
    <w:basedOn w:val="Normal"/>
    <w:rsid w:val="004210C6"/>
    <w:pPr>
      <w:spacing w:before="100" w:beforeAutospacing="1" w:after="100" w:afterAutospacing="1" w:line="260" w:lineRule="atLeast"/>
      <w:jc w:val="both"/>
    </w:pPr>
    <w:rPr>
      <w:rFonts w:ascii="Arial Unicode MS" w:eastAsia="Arial Unicode MS" w:hAnsi="Arial Unicode MS" w:cs="Arial Unicode MS"/>
      <w:sz w:val="18"/>
      <w:szCs w:val="18"/>
      <w:lang w:val="en-GB"/>
    </w:rPr>
  </w:style>
  <w:style w:type="paragraph" w:customStyle="1" w:styleId="Para20">
    <w:name w:val="Para2"/>
    <w:basedOn w:val="Para1"/>
    <w:rsid w:val="004210C6"/>
  </w:style>
  <w:style w:type="paragraph" w:customStyle="1" w:styleId="HEADINGNOTFORTOC">
    <w:name w:val="HEADING (NOT FOR TOC)"/>
    <w:basedOn w:val="Heading1"/>
    <w:next w:val="Heading2"/>
    <w:link w:val="HEADINGNOTFORTOCChar"/>
    <w:rsid w:val="004210C6"/>
  </w:style>
  <w:style w:type="paragraph" w:styleId="Subtitle">
    <w:name w:val="Subtitle"/>
    <w:basedOn w:val="Normal"/>
    <w:link w:val="SubtitleChar"/>
    <w:qFormat/>
    <w:rsid w:val="004210C6"/>
    <w:pPr>
      <w:jc w:val="both"/>
    </w:pPr>
    <w:rPr>
      <w:rFonts w:eastAsia="MS Mincho" w:cs="Angsana New"/>
      <w:b/>
      <w:bCs/>
      <w:sz w:val="22"/>
      <w:lang w:val="en-GB"/>
    </w:rPr>
  </w:style>
  <w:style w:type="character" w:styleId="Strong">
    <w:name w:val="Strong"/>
    <w:qFormat/>
    <w:rsid w:val="004210C6"/>
    <w:rPr>
      <w:b/>
      <w:bCs/>
    </w:rPr>
  </w:style>
  <w:style w:type="paragraph" w:customStyle="1" w:styleId="Para10">
    <w:name w:val="Para 1"/>
    <w:basedOn w:val="Para1"/>
    <w:rsid w:val="00BF5795"/>
  </w:style>
  <w:style w:type="paragraph" w:customStyle="1" w:styleId="Style1">
    <w:name w:val="Style1"/>
    <w:basedOn w:val="Para10"/>
    <w:qFormat/>
    <w:rsid w:val="004210C6"/>
    <w:pPr>
      <w:numPr>
        <w:ilvl w:val="1"/>
        <w:numId w:val="2"/>
      </w:numPr>
      <w:tabs>
        <w:tab w:val="clear" w:pos="1800"/>
        <w:tab w:val="num" w:pos="360"/>
      </w:tabs>
    </w:pPr>
  </w:style>
  <w:style w:type="paragraph" w:customStyle="1" w:styleId="aident">
    <w:name w:val="(a) ident"/>
    <w:basedOn w:val="Normal"/>
    <w:rsid w:val="004210C6"/>
    <w:pPr>
      <w:numPr>
        <w:numId w:val="3"/>
      </w:numPr>
      <w:autoSpaceDE w:val="0"/>
      <w:autoSpaceDN w:val="0"/>
      <w:spacing w:before="120" w:after="120"/>
      <w:jc w:val="both"/>
    </w:pPr>
    <w:rPr>
      <w:rFonts w:eastAsia="MS Mincho" w:cs="Angsana New"/>
      <w:snapToGrid w:val="0"/>
      <w:sz w:val="22"/>
      <w:szCs w:val="18"/>
      <w:lang w:val="en-GB"/>
    </w:rPr>
  </w:style>
  <w:style w:type="paragraph" w:styleId="BalloonText">
    <w:name w:val="Balloon Text"/>
    <w:basedOn w:val="Normal"/>
    <w:link w:val="BalloonTextChar"/>
    <w:semiHidden/>
    <w:rsid w:val="004210C6"/>
    <w:pPr>
      <w:jc w:val="both"/>
    </w:pPr>
    <w:rPr>
      <w:rFonts w:ascii="Tahoma" w:eastAsia="MS Mincho" w:hAnsi="Tahoma" w:cs="Tahoma"/>
      <w:sz w:val="16"/>
      <w:szCs w:val="16"/>
      <w:lang w:val="en-GB"/>
    </w:rPr>
  </w:style>
  <w:style w:type="paragraph" w:customStyle="1" w:styleId="Paranum">
    <w:name w:val="Paranum"/>
    <w:basedOn w:val="Para1"/>
    <w:rsid w:val="004210C6"/>
    <w:pPr>
      <w:numPr>
        <w:numId w:val="10"/>
      </w:numPr>
      <w:spacing w:line="240" w:lineRule="exact"/>
    </w:pPr>
    <w:rPr>
      <w:snapToGrid/>
      <w:szCs w:val="20"/>
      <w:lang w:val="en-US"/>
    </w:rPr>
  </w:style>
  <w:style w:type="paragraph" w:customStyle="1" w:styleId="Document1">
    <w:name w:val="Document 1"/>
    <w:basedOn w:val="Normal"/>
    <w:next w:val="Normal"/>
    <w:rsid w:val="004210C6"/>
    <w:pPr>
      <w:suppressAutoHyphens/>
      <w:overflowPunct w:val="0"/>
      <w:autoSpaceDE w:val="0"/>
      <w:autoSpaceDN w:val="0"/>
      <w:adjustRightInd w:val="0"/>
      <w:spacing w:after="120" w:line="240" w:lineRule="exact"/>
      <w:jc w:val="both"/>
      <w:textAlignment w:val="baseline"/>
    </w:pPr>
    <w:rPr>
      <w:rFonts w:ascii="Courier" w:eastAsia="MS Mincho" w:hAnsi="Courier" w:cs="Angsana New"/>
      <w:sz w:val="20"/>
      <w:lang w:val="en-GB"/>
    </w:rPr>
  </w:style>
  <w:style w:type="paragraph" w:customStyle="1" w:styleId="Head2">
    <w:name w:val="Head2"/>
    <w:basedOn w:val="Normal"/>
    <w:rsid w:val="004210C6"/>
    <w:pPr>
      <w:keepNext/>
      <w:overflowPunct w:val="0"/>
      <w:autoSpaceDE w:val="0"/>
      <w:autoSpaceDN w:val="0"/>
      <w:adjustRightInd w:val="0"/>
      <w:spacing w:line="240" w:lineRule="exact"/>
      <w:jc w:val="center"/>
      <w:textAlignment w:val="baseline"/>
    </w:pPr>
    <w:rPr>
      <w:rFonts w:ascii="Courier" w:eastAsia="MS Mincho" w:hAnsi="Courier" w:cs="Angsana New"/>
      <w:sz w:val="20"/>
      <w:lang w:val="en-GB"/>
    </w:rPr>
  </w:style>
  <w:style w:type="paragraph" w:customStyle="1" w:styleId="Masthead">
    <w:name w:val="Masthead"/>
    <w:basedOn w:val="Normal"/>
    <w:next w:val="Normal"/>
    <w:rsid w:val="004210C6"/>
    <w:pPr>
      <w:overflowPunct w:val="0"/>
      <w:autoSpaceDE w:val="0"/>
      <w:autoSpaceDN w:val="0"/>
      <w:adjustRightInd w:val="0"/>
      <w:jc w:val="both"/>
      <w:textAlignment w:val="baseline"/>
    </w:pPr>
    <w:rPr>
      <w:rFonts w:ascii="Courier" w:eastAsia="MS Mincho" w:hAnsi="Courier" w:cs="Angsana New"/>
      <w:sz w:val="20"/>
      <w:lang w:val="en-GB"/>
    </w:rPr>
  </w:style>
  <w:style w:type="paragraph" w:customStyle="1" w:styleId="para1indent">
    <w:name w:val="para1indent"/>
    <w:basedOn w:val="Para1"/>
    <w:rsid w:val="004210C6"/>
    <w:pPr>
      <w:tabs>
        <w:tab w:val="left" w:pos="360"/>
      </w:tabs>
      <w:adjustRightInd w:val="0"/>
      <w:textAlignment w:val="baseline"/>
    </w:pPr>
    <w:rPr>
      <w:rFonts w:ascii="Courier" w:hAnsi="Courier"/>
      <w:sz w:val="20"/>
      <w:szCs w:val="20"/>
      <w:lang w:val="en-US"/>
    </w:rPr>
  </w:style>
  <w:style w:type="paragraph" w:customStyle="1" w:styleId="Paranumbered">
    <w:name w:val="Paranumbered"/>
    <w:basedOn w:val="Normal"/>
    <w:rsid w:val="004210C6"/>
    <w:pPr>
      <w:tabs>
        <w:tab w:val="left" w:pos="720"/>
      </w:tabs>
      <w:overflowPunct w:val="0"/>
      <w:autoSpaceDE w:val="0"/>
      <w:autoSpaceDN w:val="0"/>
      <w:adjustRightInd w:val="0"/>
      <w:spacing w:before="120" w:after="120" w:line="240" w:lineRule="exact"/>
      <w:jc w:val="both"/>
      <w:textAlignment w:val="baseline"/>
    </w:pPr>
    <w:rPr>
      <w:rFonts w:ascii="Courier" w:eastAsia="MS Mincho" w:hAnsi="Courier" w:cs="Angsana New"/>
      <w:sz w:val="20"/>
      <w:lang w:val="en-GB"/>
    </w:rPr>
  </w:style>
  <w:style w:type="paragraph" w:customStyle="1" w:styleId="p3">
    <w:name w:val="p3"/>
    <w:basedOn w:val="Normal"/>
    <w:rsid w:val="004210C6"/>
    <w:pPr>
      <w:widowControl w:val="0"/>
      <w:tabs>
        <w:tab w:val="left" w:pos="204"/>
      </w:tabs>
      <w:autoSpaceDE w:val="0"/>
      <w:autoSpaceDN w:val="0"/>
      <w:adjustRightInd w:val="0"/>
      <w:spacing w:line="260" w:lineRule="atLeast"/>
      <w:jc w:val="both"/>
    </w:pPr>
    <w:rPr>
      <w:rFonts w:eastAsia="MS Mincho" w:cs="Angsana New"/>
      <w:sz w:val="20"/>
      <w:lang w:val="en-GB"/>
    </w:rPr>
  </w:style>
  <w:style w:type="character" w:customStyle="1" w:styleId="BodyTextChar">
    <w:name w:val="Body Text Char"/>
    <w:rsid w:val="004210C6"/>
    <w:rPr>
      <w:iCs/>
      <w:sz w:val="22"/>
      <w:szCs w:val="24"/>
      <w:lang w:val="en-GB" w:eastAsia="en-US" w:bidi="ar-SA"/>
    </w:rPr>
  </w:style>
  <w:style w:type="paragraph" w:styleId="HTMLPreformatted">
    <w:name w:val="HTML Preformatted"/>
    <w:basedOn w:val="Normal"/>
    <w:link w:val="HTMLPreformattedChar"/>
    <w:rsid w:val="0042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MS Mincho" w:hAnsi="Courier New" w:cs="Courier New"/>
      <w:sz w:val="20"/>
      <w:lang w:val="en-GB"/>
    </w:rPr>
  </w:style>
  <w:style w:type="paragraph" w:customStyle="1" w:styleId="Para1alternative">
    <w:name w:val="Para1 (alternative)"/>
    <w:basedOn w:val="Normal"/>
    <w:rsid w:val="004210C6"/>
    <w:pPr>
      <w:numPr>
        <w:numId w:val="4"/>
      </w:numPr>
      <w:spacing w:before="120" w:after="120"/>
      <w:jc w:val="both"/>
    </w:pPr>
    <w:rPr>
      <w:rFonts w:eastAsia="MS Mincho" w:cs="Angsana New"/>
      <w:snapToGrid w:val="0"/>
      <w:sz w:val="22"/>
      <w:szCs w:val="18"/>
      <w:lang w:val="en-GB"/>
    </w:rPr>
  </w:style>
  <w:style w:type="paragraph" w:customStyle="1" w:styleId="MainParanoChapter">
    <w:name w:val="Main Para no Chapter #"/>
    <w:basedOn w:val="Normal"/>
    <w:rsid w:val="004210C6"/>
    <w:pPr>
      <w:tabs>
        <w:tab w:val="left" w:pos="810"/>
      </w:tabs>
      <w:overflowPunct w:val="0"/>
      <w:autoSpaceDE w:val="0"/>
      <w:autoSpaceDN w:val="0"/>
      <w:adjustRightInd w:val="0"/>
      <w:spacing w:after="240"/>
      <w:jc w:val="both"/>
      <w:textAlignment w:val="baseline"/>
    </w:pPr>
    <w:rPr>
      <w:rFonts w:eastAsia="MS Mincho" w:cs="Angsana New"/>
      <w:sz w:val="22"/>
      <w:lang w:val="en-GB"/>
    </w:rPr>
  </w:style>
  <w:style w:type="character" w:customStyle="1" w:styleId="content1">
    <w:name w:val="content1"/>
    <w:rsid w:val="004210C6"/>
    <w:rPr>
      <w:rFonts w:ascii="Arial" w:hAnsi="Arial" w:cs="Arial" w:hint="default"/>
      <w:b w:val="0"/>
      <w:bCs w:val="0"/>
      <w:color w:val="000000"/>
      <w:sz w:val="24"/>
      <w:szCs w:val="24"/>
    </w:rPr>
  </w:style>
  <w:style w:type="character" w:styleId="CommentReference">
    <w:name w:val="annotation reference"/>
    <w:aliases w:val="Heading 5 Char2,Heading 5 Char1 Char"/>
    <w:semiHidden/>
    <w:rsid w:val="004210C6"/>
    <w:rPr>
      <w:sz w:val="16"/>
      <w:szCs w:val="16"/>
    </w:rPr>
  </w:style>
  <w:style w:type="paragraph" w:styleId="CommentText">
    <w:name w:val="annotation text"/>
    <w:basedOn w:val="Normal"/>
    <w:link w:val="CommentTextChar"/>
    <w:rsid w:val="004210C6"/>
    <w:pPr>
      <w:jc w:val="both"/>
    </w:pPr>
    <w:rPr>
      <w:rFonts w:eastAsia="MS Mincho" w:cs="Angsana New"/>
      <w:sz w:val="20"/>
      <w:lang w:val="en-GB"/>
    </w:rPr>
  </w:style>
  <w:style w:type="character" w:customStyle="1" w:styleId="BodyText2Char">
    <w:name w:val="Body Text 2 Char"/>
    <w:rsid w:val="004210C6"/>
    <w:rPr>
      <w:sz w:val="22"/>
      <w:lang w:val="en-US" w:eastAsia="en-US" w:bidi="ar-SA"/>
    </w:rPr>
  </w:style>
  <w:style w:type="character" w:customStyle="1" w:styleId="BodyText2CharCharChar">
    <w:name w:val="Body Text 2 Char Char Char"/>
    <w:rsid w:val="00421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4210C6"/>
    <w:rPr>
      <w:sz w:val="22"/>
      <w:lang w:val="en-US" w:eastAsia="en-US" w:bidi="ar-SA"/>
    </w:rPr>
  </w:style>
  <w:style w:type="paragraph" w:customStyle="1" w:styleId="StylePara1Firstline127cm">
    <w:name w:val="Style Para1 + First line:  1.27 cm"/>
    <w:basedOn w:val="Para1"/>
    <w:rsid w:val="004210C6"/>
    <w:rPr>
      <w:szCs w:val="20"/>
    </w:rPr>
  </w:style>
  <w:style w:type="character" w:customStyle="1" w:styleId="Heading2Char">
    <w:name w:val="Heading 2 Char"/>
    <w:rsid w:val="004210C6"/>
    <w:rPr>
      <w:b/>
      <w:bCs/>
      <w:i/>
      <w:iCs/>
      <w:sz w:val="22"/>
      <w:szCs w:val="24"/>
      <w:lang w:val="en-GB" w:eastAsia="en-US" w:bidi="ar-SA"/>
    </w:rPr>
  </w:style>
  <w:style w:type="paragraph" w:customStyle="1" w:styleId="subhead">
    <w:name w:val="subhead"/>
    <w:basedOn w:val="Normal"/>
    <w:next w:val="Para1"/>
    <w:rsid w:val="004210C6"/>
    <w:pPr>
      <w:spacing w:before="120" w:after="120"/>
      <w:jc w:val="center"/>
    </w:pPr>
    <w:rPr>
      <w:rFonts w:eastAsia="MS Mincho" w:cs="Angsana New"/>
      <w:i/>
      <w:sz w:val="22"/>
      <w:lang w:val="en-GB"/>
    </w:rPr>
  </w:style>
  <w:style w:type="character" w:styleId="Emphasis">
    <w:name w:val="Emphasis"/>
    <w:qFormat/>
    <w:rsid w:val="004210C6"/>
    <w:rPr>
      <w:i/>
      <w:iCs/>
    </w:rPr>
  </w:style>
  <w:style w:type="character" w:customStyle="1" w:styleId="BlockTextChar">
    <w:name w:val="Block Text Char"/>
    <w:rsid w:val="004210C6"/>
    <w:rPr>
      <w:sz w:val="24"/>
      <w:szCs w:val="24"/>
      <w:lang w:val="en-US" w:eastAsia="en-US" w:bidi="ar-SA"/>
    </w:rPr>
  </w:style>
  <w:style w:type="paragraph" w:customStyle="1" w:styleId="bodytext210">
    <w:name w:val="bodytext21"/>
    <w:basedOn w:val="Normal"/>
    <w:rsid w:val="004210C6"/>
    <w:pPr>
      <w:spacing w:before="100" w:beforeAutospacing="1" w:after="100" w:afterAutospacing="1"/>
      <w:jc w:val="both"/>
    </w:pPr>
    <w:rPr>
      <w:rFonts w:ascii="Arial Unicode MS" w:eastAsia="Arial Unicode MS" w:hAnsi="Arial Unicode MS" w:cs="Arial Unicode MS"/>
      <w:sz w:val="22"/>
      <w:lang w:val="en-GB"/>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4210C6"/>
    <w:rPr>
      <w:sz w:val="22"/>
      <w:lang w:val="en-US" w:eastAsia="en-US" w:bidi="ar-SA"/>
    </w:rPr>
  </w:style>
  <w:style w:type="paragraph" w:styleId="TOC1">
    <w:name w:val="toc 1"/>
    <w:basedOn w:val="Normal"/>
    <w:next w:val="Normal"/>
    <w:autoRedefine/>
    <w:uiPriority w:val="39"/>
    <w:rsid w:val="00916DF6"/>
    <w:pPr>
      <w:tabs>
        <w:tab w:val="left" w:pos="567"/>
        <w:tab w:val="right" w:leader="dot" w:pos="9360"/>
      </w:tabs>
      <w:spacing w:before="60" w:after="60"/>
      <w:ind w:left="1276" w:right="539" w:hanging="992"/>
    </w:pPr>
    <w:rPr>
      <w:rFonts w:eastAsia="MS Mincho" w:cs="Angsana New"/>
      <w:noProof/>
      <w:sz w:val="22"/>
      <w:szCs w:val="22"/>
      <w:lang w:val="en-GB"/>
    </w:rPr>
  </w:style>
  <w:style w:type="paragraph" w:styleId="CommentSubject">
    <w:name w:val="annotation subject"/>
    <w:basedOn w:val="CommentText"/>
    <w:next w:val="CommentText"/>
    <w:link w:val="CommentSubjectChar"/>
    <w:semiHidden/>
    <w:rsid w:val="004210C6"/>
    <w:rPr>
      <w:b/>
      <w:bCs/>
    </w:rPr>
  </w:style>
  <w:style w:type="character" w:customStyle="1" w:styleId="MathieuRgnier">
    <w:name w:val="Mathieu Régnier"/>
    <w:semiHidden/>
    <w:rsid w:val="004210C6"/>
    <w:rPr>
      <w:rFonts w:ascii="Arial" w:hAnsi="Arial" w:cs="Arial"/>
      <w:color w:val="auto"/>
      <w:sz w:val="20"/>
      <w:szCs w:val="20"/>
    </w:rPr>
  </w:style>
  <w:style w:type="paragraph" w:customStyle="1" w:styleId="bodytextnoindent">
    <w:name w:val="body text (no indent)"/>
    <w:basedOn w:val="Normal"/>
    <w:rsid w:val="004210C6"/>
    <w:pPr>
      <w:widowControl w:val="0"/>
      <w:overflowPunct w:val="0"/>
      <w:autoSpaceDE w:val="0"/>
      <w:autoSpaceDN w:val="0"/>
      <w:adjustRightInd w:val="0"/>
      <w:spacing w:before="120" w:after="120"/>
      <w:jc w:val="both"/>
      <w:textAlignment w:val="baseline"/>
    </w:pPr>
    <w:rPr>
      <w:rFonts w:eastAsia="MS Mincho" w:cs="Angsana New"/>
      <w:sz w:val="22"/>
      <w:szCs w:val="20"/>
      <w:lang w:val="en-GB" w:eastAsia="de-DE"/>
    </w:rPr>
  </w:style>
  <w:style w:type="paragraph" w:customStyle="1" w:styleId="Bodytextitalic">
    <w:name w:val="Body text italic"/>
    <w:basedOn w:val="BodyText"/>
    <w:rsid w:val="004210C6"/>
    <w:rPr>
      <w:i/>
      <w:iCs w:val="0"/>
    </w:rPr>
  </w:style>
  <w:style w:type="paragraph" w:customStyle="1" w:styleId="boxbody">
    <w:name w:val="boxbody"/>
    <w:basedOn w:val="Normal"/>
    <w:rsid w:val="004210C6"/>
    <w:pPr>
      <w:spacing w:before="100" w:beforeAutospacing="1" w:after="100" w:afterAutospacing="1"/>
      <w:ind w:left="612" w:right="612"/>
      <w:jc w:val="both"/>
    </w:pPr>
    <w:rPr>
      <w:rFonts w:ascii="Helvetica" w:eastAsia="Arial Unicode MS" w:hAnsi="Helvetica" w:cs="Arial Unicode MS"/>
      <w:sz w:val="18"/>
      <w:szCs w:val="18"/>
      <w:lang w:val="en-GB"/>
    </w:rPr>
  </w:style>
  <w:style w:type="paragraph" w:styleId="EndnoteText">
    <w:name w:val="endnote text"/>
    <w:basedOn w:val="Normal"/>
    <w:link w:val="EndnoteTextChar"/>
    <w:semiHidden/>
    <w:rsid w:val="004210C6"/>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10C6"/>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10C6"/>
    <w:pPr>
      <w:ind w:left="1843" w:hanging="1134"/>
      <w:jc w:val="left"/>
    </w:pPr>
  </w:style>
  <w:style w:type="paragraph" w:customStyle="1" w:styleId="Heading1multiline">
    <w:name w:val="Heading 1 (multiline)"/>
    <w:basedOn w:val="Heading1"/>
    <w:link w:val="Heading1multilineChar"/>
    <w:rsid w:val="00B058F4"/>
    <w:pPr>
      <w:tabs>
        <w:tab w:val="clear" w:pos="720"/>
        <w:tab w:val="left" w:pos="1701"/>
      </w:tabs>
      <w:ind w:left="1701" w:right="571" w:hanging="1134"/>
      <w:jc w:val="left"/>
    </w:pPr>
    <w:rPr>
      <w:snapToGrid w:val="0"/>
    </w:rPr>
  </w:style>
  <w:style w:type="paragraph" w:customStyle="1" w:styleId="Heading2multiline">
    <w:name w:val="Heading 2 (multiline)"/>
    <w:basedOn w:val="Heading1"/>
    <w:next w:val="Normal"/>
    <w:rsid w:val="004210C6"/>
    <w:pPr>
      <w:spacing w:before="120"/>
      <w:ind w:left="1843" w:right="998" w:hanging="567"/>
      <w:jc w:val="left"/>
    </w:pPr>
    <w:rPr>
      <w:i/>
      <w:iCs/>
      <w:caps w:val="0"/>
    </w:rPr>
  </w:style>
  <w:style w:type="paragraph" w:customStyle="1" w:styleId="Heading2longmultiline">
    <w:name w:val="Heading 2 (long multiline)"/>
    <w:basedOn w:val="Heading2multiline"/>
    <w:rsid w:val="004210C6"/>
    <w:pPr>
      <w:ind w:left="2127" w:hanging="1276"/>
    </w:pPr>
  </w:style>
  <w:style w:type="paragraph" w:customStyle="1" w:styleId="Heading2noletter">
    <w:name w:val="Heading 2 (no letter)"/>
    <w:basedOn w:val="Heading2"/>
    <w:rsid w:val="004210C6"/>
    <w:pPr>
      <w:tabs>
        <w:tab w:val="clear" w:pos="720"/>
      </w:tabs>
    </w:pPr>
    <w:rPr>
      <w:rFonts w:cs="Times New Roman"/>
    </w:rPr>
  </w:style>
  <w:style w:type="character" w:customStyle="1" w:styleId="Heading2CharChar">
    <w:name w:val="Heading 2 Char Char"/>
    <w:rsid w:val="004210C6"/>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10C6"/>
    <w:pPr>
      <w:ind w:left="1418" w:hanging="425"/>
    </w:pPr>
  </w:style>
  <w:style w:type="paragraph" w:customStyle="1" w:styleId="Heading-plain0">
    <w:name w:val="Heading-plain"/>
    <w:basedOn w:val="Normal"/>
    <w:rsid w:val="004210C6"/>
    <w:pPr>
      <w:spacing w:before="120" w:after="120"/>
      <w:jc w:val="center"/>
      <w:outlineLvl w:val="0"/>
    </w:pPr>
    <w:rPr>
      <w:rFonts w:eastAsia="MS Mincho" w:cs="Angsana New"/>
      <w:i/>
      <w:sz w:val="22"/>
      <w:szCs w:val="20"/>
      <w:lang w:val="en-GB"/>
    </w:rPr>
  </w:style>
  <w:style w:type="paragraph" w:customStyle="1" w:styleId="Heading-plainbold">
    <w:name w:val="Heading-plain bold"/>
    <w:basedOn w:val="BodyText"/>
    <w:rsid w:val="004210C6"/>
    <w:pPr>
      <w:ind w:firstLine="0"/>
      <w:jc w:val="center"/>
    </w:pPr>
    <w:rPr>
      <w:b/>
      <w:bCs/>
      <w:i/>
      <w:iCs w:val="0"/>
    </w:rPr>
  </w:style>
  <w:style w:type="paragraph" w:customStyle="1" w:styleId="Heading-plainitalic">
    <w:name w:val="Heading-plain italic"/>
    <w:basedOn w:val="Heading-plainbold"/>
    <w:rsid w:val="004210C6"/>
    <w:rPr>
      <w:b w:val="0"/>
      <w:bCs w:val="0"/>
    </w:rPr>
  </w:style>
  <w:style w:type="character" w:customStyle="1" w:styleId="Para1Char">
    <w:name w:val="Para 1 Char"/>
    <w:rsid w:val="004210C6"/>
    <w:rPr>
      <w:rFonts w:eastAsia="MS Mincho"/>
      <w:bCs/>
      <w:iCs/>
      <w:sz w:val="22"/>
      <w:szCs w:val="22"/>
      <w:lang w:val="en-GB" w:eastAsia="en-US" w:bidi="ar-SA"/>
    </w:rPr>
  </w:style>
  <w:style w:type="paragraph" w:customStyle="1" w:styleId="Para2rev">
    <w:name w:val="Para 2 (rev)"/>
    <w:basedOn w:val="Normal"/>
    <w:rsid w:val="004210C6"/>
    <w:pPr>
      <w:tabs>
        <w:tab w:val="num" w:pos="720"/>
      </w:tabs>
      <w:spacing w:after="120"/>
      <w:ind w:left="720" w:hanging="360"/>
      <w:jc w:val="both"/>
    </w:pPr>
    <w:rPr>
      <w:rFonts w:eastAsia="MS Mincho" w:cs="Angsana New"/>
      <w:sz w:val="22"/>
      <w:lang w:val="en-GB"/>
    </w:rPr>
  </w:style>
  <w:style w:type="paragraph" w:customStyle="1" w:styleId="Paraofficial">
    <w:name w:val="Para official"/>
    <w:basedOn w:val="Normal"/>
    <w:rsid w:val="004210C6"/>
    <w:pPr>
      <w:framePr w:hSpace="187" w:vSpace="187" w:wrap="notBeside" w:vAnchor="text" w:hAnchor="text" w:y="1"/>
      <w:numPr>
        <w:numId w:val="6"/>
      </w:numPr>
      <w:spacing w:before="240" w:after="240"/>
    </w:pPr>
    <w:rPr>
      <w:rFonts w:eastAsia="MS Mincho" w:cs="Angsana New"/>
      <w:sz w:val="22"/>
      <w:szCs w:val="20"/>
      <w:lang w:val="en-GB"/>
    </w:rPr>
  </w:style>
  <w:style w:type="paragraph" w:customStyle="1" w:styleId="Para1Char0">
    <w:name w:val="Para1 Char"/>
    <w:basedOn w:val="Normal"/>
    <w:rsid w:val="004210C6"/>
    <w:pPr>
      <w:tabs>
        <w:tab w:val="num" w:pos="720"/>
      </w:tabs>
      <w:spacing w:before="120" w:after="120"/>
      <w:ind w:left="360"/>
      <w:jc w:val="both"/>
    </w:pPr>
    <w:rPr>
      <w:rFonts w:eastAsia="MS Mincho" w:cs="Angsana New"/>
      <w:snapToGrid w:val="0"/>
      <w:sz w:val="22"/>
      <w:szCs w:val="18"/>
      <w:lang w:val="en-GB"/>
    </w:rPr>
  </w:style>
  <w:style w:type="paragraph" w:customStyle="1" w:styleId="Para1-Annex">
    <w:name w:val="Para1-Annex"/>
    <w:basedOn w:val="Normal"/>
    <w:rsid w:val="004210C6"/>
    <w:pPr>
      <w:numPr>
        <w:numId w:val="7"/>
      </w:numPr>
      <w:spacing w:after="120"/>
      <w:jc w:val="both"/>
    </w:pPr>
    <w:rPr>
      <w:rFonts w:eastAsia="MS Mincho"/>
      <w:sz w:val="22"/>
      <w:szCs w:val="22"/>
      <w:lang w:val="en-US"/>
    </w:rPr>
  </w:style>
  <w:style w:type="paragraph" w:customStyle="1" w:styleId="Para40">
    <w:name w:val="Para4"/>
    <w:basedOn w:val="Para3"/>
    <w:rsid w:val="004210C6"/>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10C6"/>
    <w:rPr>
      <w:iCs w:val="0"/>
      <w:snapToGrid w:val="0"/>
      <w:color w:val="000000"/>
      <w:szCs w:val="22"/>
      <w:lang w:val="en-US"/>
    </w:rPr>
  </w:style>
  <w:style w:type="character" w:customStyle="1" w:styleId="StyleBodyTextTimesNewRoman11ptCharCharChar">
    <w:name w:val="Style Body Text + Times New Roman 11 pt Char Char Char"/>
    <w:rsid w:val="004210C6"/>
    <w:rPr>
      <w:rFonts w:cs="Angsana New"/>
      <w:iCs/>
      <w:snapToGrid w:val="0"/>
      <w:color w:val="000000"/>
      <w:sz w:val="22"/>
      <w:szCs w:val="22"/>
      <w:lang w:val="en-US" w:eastAsia="en-US" w:bidi="ar-SA"/>
    </w:rPr>
  </w:style>
  <w:style w:type="paragraph" w:styleId="TOC2">
    <w:name w:val="toc 2"/>
    <w:basedOn w:val="Normal"/>
    <w:next w:val="Normal"/>
    <w:autoRedefine/>
    <w:uiPriority w:val="39"/>
    <w:rsid w:val="007959C2"/>
    <w:pPr>
      <w:tabs>
        <w:tab w:val="left" w:pos="993"/>
        <w:tab w:val="right" w:leader="dot" w:pos="9360"/>
      </w:tabs>
      <w:ind w:left="993" w:right="248" w:hanging="709"/>
    </w:pPr>
    <w:rPr>
      <w:rFonts w:eastAsia="MS Mincho" w:cs="Angsana New"/>
      <w:noProof/>
      <w:sz w:val="22"/>
      <w:szCs w:val="22"/>
      <w:lang w:val="en-GB"/>
    </w:rPr>
  </w:style>
  <w:style w:type="paragraph" w:styleId="TOC3">
    <w:name w:val="toc 3"/>
    <w:basedOn w:val="Normal"/>
    <w:next w:val="Normal"/>
    <w:autoRedefine/>
    <w:rsid w:val="004210C6"/>
    <w:pPr>
      <w:ind w:left="2160" w:hanging="720"/>
      <w:jc w:val="both"/>
    </w:pPr>
    <w:rPr>
      <w:rFonts w:eastAsia="MS Mincho" w:cs="Angsana New"/>
      <w:sz w:val="22"/>
      <w:lang w:val="en-GB"/>
    </w:rPr>
  </w:style>
  <w:style w:type="paragraph" w:styleId="TOC5">
    <w:name w:val="toc 5"/>
    <w:basedOn w:val="Normal"/>
    <w:next w:val="Normal"/>
    <w:autoRedefine/>
    <w:semiHidden/>
    <w:rsid w:val="004210C6"/>
    <w:pPr>
      <w:ind w:left="880"/>
    </w:pPr>
  </w:style>
  <w:style w:type="character" w:customStyle="1" w:styleId="Heading1Char">
    <w:name w:val="Heading 1 Char"/>
    <w:link w:val="Heading1"/>
    <w:rsid w:val="004210C6"/>
    <w:rPr>
      <w:rFonts w:cs="Angsana New"/>
      <w:b/>
      <w:caps/>
      <w:sz w:val="22"/>
      <w:szCs w:val="24"/>
      <w:lang w:val="en-GB" w:eastAsia="en-US" w:bidi="ar-SA"/>
    </w:rPr>
  </w:style>
  <w:style w:type="numbering" w:styleId="111111">
    <w:name w:val="Outline List 2"/>
    <w:basedOn w:val="NoList"/>
    <w:rsid w:val="004210C6"/>
    <w:pPr>
      <w:numPr>
        <w:numId w:val="11"/>
      </w:numPr>
    </w:pPr>
  </w:style>
  <w:style w:type="numbering" w:customStyle="1" w:styleId="Style2">
    <w:name w:val="Style2"/>
    <w:rsid w:val="004210C6"/>
    <w:pPr>
      <w:numPr>
        <w:numId w:val="12"/>
      </w:numPr>
    </w:pPr>
  </w:style>
  <w:style w:type="character" w:customStyle="1" w:styleId="Heading1longmultilineChar">
    <w:name w:val="Heading 1 (long multiline) Char"/>
    <w:basedOn w:val="Heading1Char"/>
    <w:link w:val="Heading1longmultiline"/>
    <w:rsid w:val="004210C6"/>
    <w:rPr>
      <w:rFonts w:cs="Angsana New"/>
      <w:b/>
      <w:caps/>
      <w:sz w:val="22"/>
      <w:szCs w:val="24"/>
      <w:lang w:val="en-GB" w:eastAsia="en-US" w:bidi="ar-SA"/>
    </w:rPr>
  </w:style>
  <w:style w:type="paragraph" w:customStyle="1" w:styleId="ColorfulList-Accent11">
    <w:name w:val="Colorful List - Accent 11"/>
    <w:basedOn w:val="Normal"/>
    <w:qFormat/>
    <w:rsid w:val="004210C6"/>
    <w:pPr>
      <w:ind w:left="720"/>
      <w:jc w:val="both"/>
    </w:pPr>
    <w:rPr>
      <w:rFonts w:eastAsia="MS Mincho" w:cs="Angsana New"/>
      <w:sz w:val="22"/>
      <w:lang w:val="en-GB"/>
    </w:rPr>
  </w:style>
  <w:style w:type="paragraph" w:customStyle="1" w:styleId="Default">
    <w:name w:val="Default"/>
    <w:basedOn w:val="Normal"/>
    <w:rsid w:val="004210C6"/>
    <w:pPr>
      <w:autoSpaceDE w:val="0"/>
      <w:autoSpaceDN w:val="0"/>
    </w:pPr>
    <w:rPr>
      <w:rFonts w:eastAsia="Calibri"/>
      <w:color w:val="000000"/>
      <w:lang w:val="en-US"/>
    </w:rPr>
  </w:style>
  <w:style w:type="character" w:customStyle="1" w:styleId="apple-style-span">
    <w:name w:val="apple-style-span"/>
    <w:rsid w:val="004210C6"/>
  </w:style>
  <w:style w:type="character" w:customStyle="1" w:styleId="HeaderChar">
    <w:name w:val="Header Char"/>
    <w:link w:val="Header"/>
    <w:rsid w:val="004210C6"/>
    <w:rPr>
      <w:rFonts w:cs="Angsana New"/>
      <w:sz w:val="22"/>
      <w:szCs w:val="24"/>
      <w:lang w:val="en-GB" w:eastAsia="en-US"/>
    </w:rPr>
  </w:style>
  <w:style w:type="character" w:customStyle="1" w:styleId="PlainTextChar">
    <w:name w:val="Plain Text Char"/>
    <w:link w:val="PlainText"/>
    <w:rsid w:val="004210C6"/>
    <w:rPr>
      <w:rFonts w:ascii="Courier New" w:hAnsi="Courier New" w:cs="Courier New"/>
      <w:szCs w:val="24"/>
      <w:lang w:eastAsia="en-US"/>
    </w:rPr>
  </w:style>
  <w:style w:type="character" w:customStyle="1" w:styleId="FooterChar">
    <w:name w:val="Footer Char"/>
    <w:link w:val="Footer"/>
    <w:rsid w:val="004210C6"/>
    <w:rPr>
      <w:rFonts w:cs="Angsana New"/>
      <w:sz w:val="22"/>
      <w:szCs w:val="24"/>
      <w:lang w:eastAsia="en-US"/>
    </w:rPr>
  </w:style>
  <w:style w:type="paragraph" w:customStyle="1" w:styleId="SubtleEmphasis1">
    <w:name w:val="Subtle Emphasis1"/>
    <w:basedOn w:val="Normal"/>
    <w:qFormat/>
    <w:rsid w:val="004210C6"/>
    <w:pPr>
      <w:ind w:left="720"/>
      <w:jc w:val="both"/>
    </w:pPr>
    <w:rPr>
      <w:rFonts w:eastAsia="MS Mincho" w:cs="Angsana New"/>
      <w:sz w:val="22"/>
      <w:lang w:val="en-GB"/>
    </w:rPr>
  </w:style>
  <w:style w:type="paragraph" w:customStyle="1" w:styleId="StyleHeading3TimesNewRomanBoldBoldNotItalicAllcaps">
    <w:name w:val="Style Heading 3 + Times New Roman Bold Bold Not Italic All caps"/>
    <w:basedOn w:val="Heading3"/>
    <w:next w:val="Heading2"/>
    <w:rsid w:val="004210C6"/>
    <w:rPr>
      <w:rFonts w:ascii="Times New Roman Bold" w:hAnsi="Times New Roman Bold"/>
      <w:b/>
      <w:bCs/>
      <w:i w:val="0"/>
      <w:iCs w:val="0"/>
      <w:caps/>
    </w:rPr>
  </w:style>
  <w:style w:type="paragraph" w:customStyle="1" w:styleId="DarkList-Accent61">
    <w:name w:val="Dark List - Accent 61"/>
    <w:qFormat/>
    <w:rsid w:val="004210C6"/>
    <w:rPr>
      <w:rFonts w:ascii="Calibri" w:hAnsi="Calibri"/>
      <w:sz w:val="22"/>
      <w:szCs w:val="22"/>
    </w:rPr>
  </w:style>
  <w:style w:type="paragraph" w:customStyle="1" w:styleId="Paraa">
    <w:name w:val="Para (a)"/>
    <w:basedOn w:val="Normal"/>
    <w:rsid w:val="00421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 w:val="22"/>
      <w:szCs w:val="20"/>
      <w:lang w:val="en-GB"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210C6"/>
    <w:rPr>
      <w:rFonts w:cs="Angsana New"/>
      <w:sz w:val="18"/>
      <w:szCs w:val="24"/>
      <w:lang w:val="en-GB"/>
    </w:rPr>
  </w:style>
  <w:style w:type="character" w:customStyle="1" w:styleId="StyleFootnoteReferenceNounderlineSuperscriptKernat10pt">
    <w:name w:val="Style Footnote Reference + No underline Superscript Kern at 10 pt"/>
    <w:rsid w:val="004210C6"/>
    <w:rPr>
      <w:kern w:val="20"/>
      <w:sz w:val="22"/>
      <w:u w:val="none"/>
      <w:vertAlign w:val="superscript"/>
    </w:rPr>
  </w:style>
  <w:style w:type="character" w:customStyle="1" w:styleId="s13">
    <w:name w:val="s13"/>
    <w:rsid w:val="004210C6"/>
  </w:style>
  <w:style w:type="paragraph" w:customStyle="1" w:styleId="ColorfulGrid-Accent61">
    <w:name w:val="Colorful Grid - Accent 61"/>
    <w:hidden/>
    <w:semiHidden/>
    <w:rsid w:val="004210C6"/>
    <w:rPr>
      <w:rFonts w:cs="Angsana New"/>
      <w:sz w:val="22"/>
      <w:szCs w:val="24"/>
      <w:lang w:val="en-GB"/>
    </w:rPr>
  </w:style>
  <w:style w:type="paragraph" w:customStyle="1" w:styleId="ColorfulGrid-Accent62">
    <w:name w:val="Colorful Grid - Accent 62"/>
    <w:hidden/>
    <w:semiHidden/>
    <w:rsid w:val="004210C6"/>
    <w:rPr>
      <w:rFonts w:cs="Angsana New"/>
      <w:sz w:val="22"/>
      <w:szCs w:val="24"/>
      <w:lang w:val="en-GB"/>
    </w:rPr>
  </w:style>
  <w:style w:type="paragraph" w:customStyle="1" w:styleId="SubtleEmphasis2">
    <w:name w:val="Subtle Emphasis2"/>
    <w:basedOn w:val="Normal"/>
    <w:qFormat/>
    <w:rsid w:val="004210C6"/>
    <w:pPr>
      <w:ind w:left="720"/>
      <w:jc w:val="both"/>
    </w:pPr>
    <w:rPr>
      <w:rFonts w:eastAsia="MS Mincho" w:cs="Angsana New"/>
      <w:sz w:val="22"/>
      <w:lang w:val="en-GB"/>
    </w:rPr>
  </w:style>
  <w:style w:type="paragraph" w:customStyle="1" w:styleId="LightGrid-Accent31">
    <w:name w:val="Light Grid - Accent 31"/>
    <w:basedOn w:val="Normal"/>
    <w:qFormat/>
    <w:rsid w:val="004210C6"/>
    <w:pPr>
      <w:ind w:left="720"/>
      <w:jc w:val="both"/>
    </w:pPr>
    <w:rPr>
      <w:rFonts w:eastAsia="MS Mincho" w:cs="Angsana New"/>
      <w:sz w:val="22"/>
      <w:lang w:val="en-GB"/>
    </w:rPr>
  </w:style>
  <w:style w:type="paragraph" w:styleId="Revision">
    <w:name w:val="Revision"/>
    <w:hidden/>
    <w:rsid w:val="004210C6"/>
    <w:rPr>
      <w:rFonts w:cs="Angsana New"/>
      <w:sz w:val="22"/>
      <w:szCs w:val="24"/>
      <w:lang w:val="en-GB"/>
    </w:rPr>
  </w:style>
  <w:style w:type="paragraph" w:customStyle="1" w:styleId="meetingname">
    <w:name w:val="meeting name"/>
    <w:basedOn w:val="Normal"/>
    <w:qFormat/>
    <w:rsid w:val="004210C6"/>
    <w:pPr>
      <w:ind w:left="170" w:right="3119" w:hanging="170"/>
    </w:pPr>
    <w:rPr>
      <w:rFonts w:eastAsia="Malgun Gothic"/>
      <w:caps/>
      <w:snapToGrid w:val="0"/>
      <w:sz w:val="22"/>
      <w:lang w:val="en-GB"/>
    </w:rPr>
  </w:style>
  <w:style w:type="paragraph" w:styleId="TOC9">
    <w:name w:val="toc 9"/>
    <w:basedOn w:val="Normal"/>
    <w:next w:val="Normal"/>
    <w:autoRedefine/>
    <w:rsid w:val="004210C6"/>
    <w:pPr>
      <w:tabs>
        <w:tab w:val="num" w:pos="1440"/>
      </w:tabs>
      <w:spacing w:before="120" w:after="120"/>
      <w:ind w:left="1440" w:hanging="360"/>
    </w:pPr>
    <w:rPr>
      <w:sz w:val="22"/>
      <w:lang w:val="en-GB"/>
    </w:rPr>
  </w:style>
  <w:style w:type="paragraph" w:styleId="ListParagraph">
    <w:name w:val="List Paragraph"/>
    <w:basedOn w:val="Normal"/>
    <w:link w:val="ListParagraphChar"/>
    <w:qFormat/>
    <w:rsid w:val="004210C6"/>
    <w:pPr>
      <w:ind w:left="720"/>
      <w:jc w:val="both"/>
    </w:pPr>
    <w:rPr>
      <w:rFonts w:eastAsia="MS Mincho" w:cs="Angsana New"/>
      <w:sz w:val="22"/>
      <w:lang w:val="en-GB"/>
    </w:rPr>
  </w:style>
  <w:style w:type="character" w:customStyle="1" w:styleId="CommentTextChar">
    <w:name w:val="Comment Text Char"/>
    <w:link w:val="CommentText"/>
    <w:rsid w:val="004210C6"/>
    <w:rPr>
      <w:rFonts w:cs="Angsana New"/>
      <w:szCs w:val="24"/>
      <w:lang w:val="en-GB"/>
    </w:rPr>
  </w:style>
  <w:style w:type="table" w:styleId="TableGrid">
    <w:name w:val="Table Grid"/>
    <w:basedOn w:val="TableNormal"/>
    <w:rsid w:val="004210C6"/>
    <w:rPr>
      <w:rFonts w:ascii="Cambria"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unhideWhenUsed/>
    <w:rsid w:val="004210C6"/>
    <w:rPr>
      <w:i/>
      <w:iCs/>
    </w:rPr>
  </w:style>
  <w:style w:type="character" w:customStyle="1" w:styleId="apple-converted-space">
    <w:name w:val="apple-converted-space"/>
    <w:rsid w:val="004210C6"/>
  </w:style>
  <w:style w:type="character" w:customStyle="1" w:styleId="st">
    <w:name w:val="st"/>
    <w:rsid w:val="004210C6"/>
  </w:style>
  <w:style w:type="character" w:customStyle="1" w:styleId="Para1Char1">
    <w:name w:val="Para1 Char1"/>
    <w:link w:val="Para1"/>
    <w:rsid w:val="006C5568"/>
    <w:rPr>
      <w:snapToGrid w:val="0"/>
      <w:kern w:val="22"/>
      <w:sz w:val="22"/>
      <w:szCs w:val="22"/>
      <w:lang w:val="en-GB"/>
    </w:rPr>
  </w:style>
  <w:style w:type="character" w:styleId="PlaceholderText">
    <w:name w:val="Placeholder Text"/>
    <w:basedOn w:val="DefaultParagraphFont"/>
    <w:rsid w:val="0084107C"/>
    <w:rPr>
      <w:color w:val="808080"/>
    </w:rPr>
  </w:style>
  <w:style w:type="table" w:customStyle="1" w:styleId="TableGrid1">
    <w:name w:val="Table Grid1"/>
    <w:basedOn w:val="TableNormal"/>
    <w:next w:val="TableGrid"/>
    <w:rsid w:val="0084107C"/>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semiHidden/>
    <w:unhideWhenUsed/>
    <w:rsid w:val="00EA1677"/>
    <w:rPr>
      <w:color w:val="808080"/>
      <w:shd w:val="clear" w:color="auto" w:fill="E6E6E6"/>
    </w:rPr>
  </w:style>
  <w:style w:type="character" w:customStyle="1" w:styleId="UnresolvedMention2">
    <w:name w:val="Unresolved Mention2"/>
    <w:basedOn w:val="DefaultParagraphFont"/>
    <w:semiHidden/>
    <w:unhideWhenUsed/>
    <w:rsid w:val="008B0347"/>
    <w:rPr>
      <w:color w:val="808080"/>
      <w:shd w:val="clear" w:color="auto" w:fill="E6E6E6"/>
    </w:rPr>
  </w:style>
  <w:style w:type="paragraph" w:customStyle="1" w:styleId="ListParagraph1">
    <w:name w:val="List Paragraph1"/>
    <w:basedOn w:val="Normal"/>
    <w:qFormat/>
    <w:rsid w:val="008517B4"/>
    <w:pPr>
      <w:numPr>
        <w:numId w:val="16"/>
      </w:numPr>
      <w:tabs>
        <w:tab w:val="left" w:pos="720"/>
      </w:tabs>
      <w:spacing w:before="120" w:after="120"/>
      <w:ind w:left="0" w:firstLine="0"/>
      <w:jc w:val="both"/>
    </w:pPr>
    <w:rPr>
      <w:sz w:val="22"/>
      <w:szCs w:val="22"/>
      <w:lang w:val="en-US" w:eastAsia="en-CA"/>
    </w:rPr>
  </w:style>
  <w:style w:type="character" w:customStyle="1" w:styleId="normaltextrun">
    <w:name w:val="normaltextrun"/>
    <w:rsid w:val="008517B4"/>
  </w:style>
  <w:style w:type="paragraph" w:customStyle="1" w:styleId="recommendationheader">
    <w:name w:val="recommendation header"/>
    <w:basedOn w:val="Heading2"/>
    <w:qFormat/>
    <w:rsid w:val="00376CED"/>
    <w:rPr>
      <w:rFonts w:eastAsia="Times New Roman" w:cs="Times New Roman"/>
      <w:snapToGri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76CED"/>
    <w:pPr>
      <w:spacing w:after="160" w:line="240" w:lineRule="exact"/>
    </w:pPr>
    <w:rPr>
      <w:rFonts w:eastAsia="MS Mincho"/>
      <w:sz w:val="18"/>
      <w:szCs w:val="20"/>
      <w:u w:val="single"/>
      <w:lang w:val="en-US"/>
    </w:rPr>
  </w:style>
  <w:style w:type="paragraph" w:customStyle="1" w:styleId="heading2-item">
    <w:name w:val="heading 2 - item"/>
    <w:basedOn w:val="recommendationheader"/>
    <w:qFormat/>
    <w:rsid w:val="00376CED"/>
    <w:pPr>
      <w:tabs>
        <w:tab w:val="clear" w:pos="720"/>
        <w:tab w:val="left" w:pos="567"/>
      </w:tabs>
    </w:pPr>
    <w:rPr>
      <w:kern w:val="22"/>
    </w:rPr>
  </w:style>
  <w:style w:type="paragraph" w:customStyle="1" w:styleId="Body">
    <w:name w:val="Body"/>
    <w:rsid w:val="00376CED"/>
    <w:pPr>
      <w:jc w:val="both"/>
    </w:pPr>
    <w:rPr>
      <w:rFonts w:eastAsia="Times New Roman"/>
      <w:color w:val="000000"/>
      <w:sz w:val="22"/>
      <w:szCs w:val="22"/>
      <w:u w:color="000000"/>
      <w:lang w:val="en-CA" w:eastAsia="en-CA"/>
    </w:rPr>
  </w:style>
  <w:style w:type="character" w:customStyle="1" w:styleId="Hyperlink0">
    <w:name w:val="Hyperlink.0"/>
    <w:basedOn w:val="DefaultParagraphFont"/>
    <w:rsid w:val="00376CED"/>
    <w:rPr>
      <w:color w:val="0000FF"/>
      <w:kern w:val="22"/>
      <w:sz w:val="22"/>
      <w:szCs w:val="22"/>
      <w:u w:val="single" w:color="0000FF"/>
    </w:rPr>
  </w:style>
  <w:style w:type="character" w:customStyle="1" w:styleId="Hyperlink1">
    <w:name w:val="Hyperlink.1"/>
    <w:basedOn w:val="DefaultParagraphFont"/>
    <w:rsid w:val="00376CED"/>
    <w:rPr>
      <w:kern w:val="22"/>
    </w:rPr>
  </w:style>
  <w:style w:type="character" w:customStyle="1" w:styleId="None">
    <w:name w:val="None"/>
    <w:rsid w:val="00376CED"/>
  </w:style>
  <w:style w:type="character" w:customStyle="1" w:styleId="ListParagraphChar">
    <w:name w:val="List Paragraph Char"/>
    <w:link w:val="ListParagraph"/>
    <w:uiPriority w:val="34"/>
    <w:locked/>
    <w:rsid w:val="00376CED"/>
    <w:rPr>
      <w:rFonts w:cs="Angsana New"/>
      <w:sz w:val="22"/>
      <w:szCs w:val="24"/>
      <w:lang w:val="en-GB"/>
    </w:rPr>
  </w:style>
  <w:style w:type="character" w:customStyle="1" w:styleId="StyleFootnoteReferencenumberFootnoteReferenceSuperscript-EF">
    <w:name w:val="Style Footnote ReferencenumberFootnote Reference Superscript-E F..."/>
    <w:rsid w:val="00376CED"/>
    <w:rPr>
      <w:strike w:val="0"/>
      <w:dstrike w:val="0"/>
      <w:kern w:val="22"/>
      <w:sz w:val="18"/>
      <w:u w:val="none"/>
      <w:effect w:val="none"/>
      <w:vertAlign w:val="superscript"/>
    </w:rPr>
  </w:style>
  <w:style w:type="character" w:customStyle="1" w:styleId="BalloonTextChar">
    <w:name w:val="Balloon Text Char"/>
    <w:basedOn w:val="DefaultParagraphFont"/>
    <w:link w:val="BalloonText"/>
    <w:semiHidden/>
    <w:rsid w:val="00376CED"/>
    <w:rPr>
      <w:rFonts w:ascii="Tahoma" w:hAnsi="Tahoma" w:cs="Tahoma"/>
      <w:sz w:val="16"/>
      <w:szCs w:val="16"/>
      <w:lang w:val="en-GB"/>
    </w:rPr>
  </w:style>
  <w:style w:type="character" w:customStyle="1" w:styleId="TitleChar">
    <w:name w:val="Title Char"/>
    <w:basedOn w:val="DefaultParagraphFont"/>
    <w:link w:val="Title"/>
    <w:rsid w:val="00376CED"/>
    <w:rPr>
      <w:rFonts w:cs="Angsana New"/>
      <w:i/>
      <w:iCs/>
      <w:sz w:val="22"/>
      <w:szCs w:val="24"/>
      <w:lang w:val="en-GB"/>
    </w:rPr>
  </w:style>
  <w:style w:type="character" w:customStyle="1" w:styleId="SubtitleChar">
    <w:name w:val="Subtitle Char"/>
    <w:basedOn w:val="DefaultParagraphFont"/>
    <w:link w:val="Subtitle"/>
    <w:rsid w:val="00376CED"/>
    <w:rPr>
      <w:rFonts w:cs="Angsana New"/>
      <w:b/>
      <w:bCs/>
      <w:sz w:val="22"/>
      <w:szCs w:val="24"/>
      <w:lang w:val="en-GB"/>
    </w:rPr>
  </w:style>
  <w:style w:type="character" w:customStyle="1" w:styleId="BodyTextIndentChar">
    <w:name w:val="Body Text Indent Char"/>
    <w:basedOn w:val="DefaultParagraphFont"/>
    <w:link w:val="BodyTextIndent"/>
    <w:rsid w:val="00376CED"/>
    <w:rPr>
      <w:rFonts w:cs="Angsana New"/>
      <w:sz w:val="22"/>
      <w:szCs w:val="24"/>
      <w:lang w:val="en-GB"/>
    </w:rPr>
  </w:style>
  <w:style w:type="character" w:customStyle="1" w:styleId="EndnoteTextChar">
    <w:name w:val="Endnote Text Char"/>
    <w:basedOn w:val="DefaultParagraphFont"/>
    <w:link w:val="EndnoteText"/>
    <w:rsid w:val="00376CED"/>
    <w:rPr>
      <w:rFonts w:ascii="Courier New" w:hAnsi="Courier New" w:cs="Angsana New"/>
      <w:sz w:val="22"/>
      <w:szCs w:val="24"/>
      <w:lang w:val="en-GB"/>
    </w:rPr>
  </w:style>
  <w:style w:type="character" w:customStyle="1" w:styleId="Heading3Char">
    <w:name w:val="Heading 3 Char"/>
    <w:basedOn w:val="DefaultParagraphFont"/>
    <w:link w:val="Heading3"/>
    <w:rsid w:val="00376CED"/>
    <w:rPr>
      <w:rFonts w:cs="Angsana New"/>
      <w:i/>
      <w:iCs/>
      <w:sz w:val="22"/>
      <w:szCs w:val="24"/>
      <w:lang w:val="en-GB"/>
    </w:rPr>
  </w:style>
  <w:style w:type="paragraph" w:customStyle="1" w:styleId="heading2notforTOC">
    <w:name w:val="heading 2 not for TOC"/>
    <w:basedOn w:val="Heading3"/>
    <w:rsid w:val="00376CED"/>
    <w:pPr>
      <w:jc w:val="center"/>
    </w:pPr>
    <w:rPr>
      <w:rFonts w:eastAsia="Times New Roman" w:cs="Times New Roman"/>
    </w:rPr>
  </w:style>
  <w:style w:type="character" w:customStyle="1" w:styleId="Heading4Char">
    <w:name w:val="Heading 4 Char"/>
    <w:basedOn w:val="DefaultParagraphFont"/>
    <w:link w:val="Heading40"/>
    <w:rsid w:val="00376CE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Heading 5 Char1 Char1"/>
    <w:basedOn w:val="DefaultParagraphFont"/>
    <w:link w:val="Heading5"/>
    <w:rsid w:val="00376CED"/>
    <w:rPr>
      <w:rFonts w:cs="Angsana New"/>
      <w:bCs/>
      <w:i/>
      <w:sz w:val="22"/>
      <w:szCs w:val="26"/>
      <w:lang w:val="en-CA"/>
    </w:rPr>
  </w:style>
  <w:style w:type="character" w:customStyle="1" w:styleId="Heading6Char">
    <w:name w:val="Heading 6 Char"/>
    <w:basedOn w:val="DefaultParagraphFont"/>
    <w:link w:val="Heading6"/>
    <w:rsid w:val="00376CED"/>
    <w:rPr>
      <w:rFonts w:cs="Angsana New"/>
      <w:sz w:val="22"/>
      <w:szCs w:val="24"/>
      <w:u w:val="single"/>
      <w:lang w:val="en-GB"/>
    </w:rPr>
  </w:style>
  <w:style w:type="character" w:customStyle="1" w:styleId="Heading7Char">
    <w:name w:val="Heading 7 Char"/>
    <w:basedOn w:val="DefaultParagraphFont"/>
    <w:link w:val="Heading7"/>
    <w:rsid w:val="00376CED"/>
    <w:rPr>
      <w:rFonts w:ascii="Univers" w:hAnsi="Univers" w:cs="Angsana New"/>
      <w:b/>
      <w:sz w:val="28"/>
      <w:szCs w:val="24"/>
      <w:lang w:val="en-GB"/>
    </w:rPr>
  </w:style>
  <w:style w:type="character" w:customStyle="1" w:styleId="Heading8Char">
    <w:name w:val="Heading 8 Char"/>
    <w:basedOn w:val="DefaultParagraphFont"/>
    <w:link w:val="Heading8"/>
    <w:rsid w:val="00376CED"/>
    <w:rPr>
      <w:rFonts w:ascii="Univers" w:hAnsi="Univers" w:cs="Angsana New"/>
      <w:b/>
      <w:sz w:val="32"/>
      <w:szCs w:val="24"/>
      <w:lang w:val="en-GB"/>
    </w:rPr>
  </w:style>
  <w:style w:type="character" w:customStyle="1" w:styleId="Heading9Char">
    <w:name w:val="Heading 9 Char"/>
    <w:basedOn w:val="DefaultParagraphFont"/>
    <w:link w:val="Heading9"/>
    <w:rsid w:val="00376CED"/>
    <w:rPr>
      <w:rFonts w:cs="Angsana New"/>
      <w:i/>
      <w:iCs/>
      <w:sz w:val="22"/>
      <w:szCs w:val="24"/>
      <w:lang w:val="en-GB"/>
    </w:rPr>
  </w:style>
  <w:style w:type="paragraph" w:customStyle="1" w:styleId="Quotationtextindented">
    <w:name w:val="Quotation text (indented)"/>
    <w:basedOn w:val="Normal"/>
    <w:qFormat/>
    <w:rsid w:val="00376CED"/>
    <w:pPr>
      <w:spacing w:before="120" w:after="120"/>
      <w:ind w:left="720" w:right="720"/>
      <w:jc w:val="both"/>
    </w:pPr>
    <w:rPr>
      <w:bCs/>
      <w:sz w:val="22"/>
      <w:lang w:val="en-GB"/>
    </w:rPr>
  </w:style>
  <w:style w:type="paragraph" w:customStyle="1" w:styleId="recommendationheaderlong">
    <w:name w:val="recommendation header long"/>
    <w:basedOn w:val="Heading2longmultiline"/>
    <w:qFormat/>
    <w:rsid w:val="00376CED"/>
    <w:rPr>
      <w:rFonts w:eastAsia="Times New Roman" w:cs="Times New Roman"/>
    </w:rPr>
  </w:style>
  <w:style w:type="paragraph" w:customStyle="1" w:styleId="reference">
    <w:name w:val="reference"/>
    <w:basedOn w:val="Heading9"/>
    <w:qFormat/>
    <w:rsid w:val="00376CED"/>
    <w:rPr>
      <w:rFonts w:eastAsia="Times New Roman" w:cs="Times New Roman"/>
      <w:i w:val="0"/>
      <w:sz w:val="18"/>
    </w:rPr>
  </w:style>
  <w:style w:type="character" w:customStyle="1" w:styleId="StyleFootnoteReferenceNounderline">
    <w:name w:val="Style Footnote Reference + No underline"/>
    <w:rsid w:val="00376CED"/>
    <w:rPr>
      <w:sz w:val="18"/>
      <w:u w:val="none"/>
      <w:vertAlign w:val="baseline"/>
    </w:rPr>
  </w:style>
  <w:style w:type="paragraph" w:customStyle="1" w:styleId="tabletitle">
    <w:name w:val="table title"/>
    <w:basedOn w:val="Heading2"/>
    <w:qFormat/>
    <w:rsid w:val="00376CED"/>
    <w:pPr>
      <w:jc w:val="left"/>
      <w:outlineLvl w:val="9"/>
    </w:pPr>
    <w:rPr>
      <w:rFonts w:eastAsia="Times New Roman" w:cs="Times New Roman"/>
      <w:i/>
      <w:snapToGrid/>
    </w:rPr>
  </w:style>
  <w:style w:type="paragraph" w:styleId="TOAHeading">
    <w:name w:val="toa heading"/>
    <w:basedOn w:val="Normal"/>
    <w:next w:val="Normal"/>
    <w:semiHidden/>
    <w:rsid w:val="00376CED"/>
    <w:pPr>
      <w:spacing w:before="120"/>
    </w:pPr>
    <w:rPr>
      <w:rFonts w:cs="Arial"/>
      <w:b/>
      <w:bCs/>
    </w:rPr>
  </w:style>
  <w:style w:type="paragraph" w:styleId="TOC4">
    <w:name w:val="toc 4"/>
    <w:basedOn w:val="Normal"/>
    <w:next w:val="Normal"/>
    <w:autoRedefine/>
    <w:semiHidden/>
    <w:rsid w:val="00376CED"/>
    <w:pPr>
      <w:spacing w:before="120" w:after="120"/>
      <w:ind w:left="660"/>
    </w:pPr>
  </w:style>
  <w:style w:type="paragraph" w:styleId="TOC6">
    <w:name w:val="toc 6"/>
    <w:basedOn w:val="Normal"/>
    <w:next w:val="Normal"/>
    <w:autoRedefine/>
    <w:semiHidden/>
    <w:rsid w:val="00376CED"/>
    <w:pPr>
      <w:spacing w:before="120" w:after="120"/>
      <w:ind w:left="1100"/>
    </w:pPr>
  </w:style>
  <w:style w:type="paragraph" w:styleId="TOC7">
    <w:name w:val="toc 7"/>
    <w:basedOn w:val="Normal"/>
    <w:next w:val="Normal"/>
    <w:autoRedefine/>
    <w:semiHidden/>
    <w:rsid w:val="00376CED"/>
    <w:pPr>
      <w:spacing w:before="120" w:after="120"/>
      <w:ind w:left="1320"/>
    </w:pPr>
  </w:style>
  <w:style w:type="paragraph" w:styleId="TOC8">
    <w:name w:val="toc 8"/>
    <w:basedOn w:val="Normal"/>
    <w:next w:val="Normal"/>
    <w:autoRedefine/>
    <w:semiHidden/>
    <w:rsid w:val="00376CED"/>
    <w:pPr>
      <w:spacing w:before="120" w:after="120"/>
      <w:ind w:left="1540"/>
    </w:pPr>
  </w:style>
  <w:style w:type="paragraph" w:customStyle="1" w:styleId="CBD-Doc-Type">
    <w:name w:val="CBD-Doc-Type"/>
    <w:basedOn w:val="Normal"/>
    <w:rsid w:val="00376CED"/>
    <w:pPr>
      <w:keepLines/>
      <w:spacing w:before="240" w:after="120"/>
      <w:jc w:val="both"/>
    </w:pPr>
    <w:rPr>
      <w:rFonts w:cs="Angsana New"/>
      <w:b/>
      <w:i/>
      <w:lang w:val="en-GB"/>
    </w:rPr>
  </w:style>
  <w:style w:type="paragraph" w:customStyle="1" w:styleId="CBD-Doc">
    <w:name w:val="CBD-Doc"/>
    <w:basedOn w:val="Normal"/>
    <w:rsid w:val="00376CED"/>
    <w:pPr>
      <w:keepLines/>
      <w:numPr>
        <w:numId w:val="20"/>
      </w:numPr>
      <w:spacing w:after="120"/>
      <w:jc w:val="both"/>
    </w:pPr>
    <w:rPr>
      <w:rFonts w:cs="Angsana New"/>
      <w:sz w:val="22"/>
      <w:lang w:val="en-GB"/>
    </w:rPr>
  </w:style>
  <w:style w:type="paragraph" w:styleId="NoSpacing">
    <w:name w:val="No Spacing"/>
    <w:link w:val="NoSpacingChar"/>
    <w:qFormat/>
    <w:rsid w:val="00376CED"/>
    <w:rPr>
      <w:rFonts w:ascii="Calibri" w:eastAsia="Calibri" w:hAnsi="Calibri"/>
      <w:sz w:val="22"/>
      <w:szCs w:val="22"/>
    </w:rPr>
  </w:style>
  <w:style w:type="character" w:customStyle="1" w:styleId="NoSpacingChar">
    <w:name w:val="No Spacing Char"/>
    <w:basedOn w:val="DefaultParagraphFont"/>
    <w:link w:val="NoSpacing"/>
    <w:rsid w:val="00376CED"/>
    <w:rPr>
      <w:rFonts w:ascii="Calibri" w:eastAsia="Calibri" w:hAnsi="Calibri"/>
      <w:sz w:val="22"/>
      <w:szCs w:val="22"/>
    </w:rPr>
  </w:style>
  <w:style w:type="character" w:customStyle="1" w:styleId="BodyText3Char">
    <w:name w:val="Body Text 3 Char"/>
    <w:basedOn w:val="DefaultParagraphFont"/>
    <w:link w:val="BodyText3"/>
    <w:rsid w:val="00376CED"/>
    <w:rPr>
      <w:rFonts w:cs="Angsana New"/>
      <w:sz w:val="28"/>
      <w:szCs w:val="24"/>
      <w:lang w:val="en-GB"/>
    </w:rPr>
  </w:style>
  <w:style w:type="character" w:customStyle="1" w:styleId="BodyTextIndent2Char">
    <w:name w:val="Body Text Indent 2 Char"/>
    <w:basedOn w:val="DefaultParagraphFont"/>
    <w:link w:val="BodyTextIndent2"/>
    <w:rsid w:val="00376CED"/>
    <w:rPr>
      <w:rFonts w:cs="Angsana New"/>
      <w:sz w:val="22"/>
      <w:szCs w:val="24"/>
      <w:lang w:val="en-GB"/>
    </w:rPr>
  </w:style>
  <w:style w:type="character" w:customStyle="1" w:styleId="BodyTextIndent3Char">
    <w:name w:val="Body Text Indent 3 Char"/>
    <w:basedOn w:val="DefaultParagraphFont"/>
    <w:link w:val="BodyTextIndent3"/>
    <w:rsid w:val="00376CED"/>
    <w:rPr>
      <w:rFonts w:ascii="Courier" w:hAnsi="Courier" w:cs="Angsana New"/>
      <w:szCs w:val="24"/>
      <w:lang w:val="en-GB"/>
    </w:rPr>
  </w:style>
  <w:style w:type="character" w:customStyle="1" w:styleId="DocumentMapChar">
    <w:name w:val="Document Map Char"/>
    <w:basedOn w:val="DefaultParagraphFont"/>
    <w:link w:val="DocumentMap"/>
    <w:semiHidden/>
    <w:rsid w:val="00376CED"/>
    <w:rPr>
      <w:rFonts w:ascii="Tahoma" w:hAnsi="Tahoma" w:cs="Angsana New"/>
      <w:sz w:val="22"/>
      <w:szCs w:val="24"/>
      <w:shd w:val="clear" w:color="auto" w:fill="000080"/>
      <w:lang w:val="en-GB"/>
    </w:rPr>
  </w:style>
  <w:style w:type="character" w:customStyle="1" w:styleId="HTMLPreformattedChar">
    <w:name w:val="HTML Preformatted Char"/>
    <w:basedOn w:val="DefaultParagraphFont"/>
    <w:link w:val="HTMLPreformatted"/>
    <w:uiPriority w:val="99"/>
    <w:rsid w:val="00376CED"/>
    <w:rPr>
      <w:rFonts w:ascii="Courier New" w:hAnsi="Courier New" w:cs="Courier New"/>
      <w:szCs w:val="24"/>
      <w:lang w:val="en-GB"/>
    </w:rPr>
  </w:style>
  <w:style w:type="character" w:customStyle="1" w:styleId="CommentSubjectChar">
    <w:name w:val="Comment Subject Char"/>
    <w:basedOn w:val="CommentTextChar"/>
    <w:link w:val="CommentSubject"/>
    <w:semiHidden/>
    <w:rsid w:val="00376CED"/>
    <w:rPr>
      <w:rFonts w:cs="Angsana New"/>
      <w:b/>
      <w:bCs/>
      <w:szCs w:val="24"/>
      <w:lang w:val="en-GB"/>
    </w:rPr>
  </w:style>
  <w:style w:type="paragraph" w:customStyle="1" w:styleId="item-compilation">
    <w:name w:val="item-compilation"/>
    <w:basedOn w:val="Normal"/>
    <w:qFormat/>
    <w:rsid w:val="00376CED"/>
    <w:pPr>
      <w:spacing w:after="120"/>
      <w:jc w:val="center"/>
    </w:pPr>
    <w:rPr>
      <w:rFonts w:eastAsia="Malgun Gothic"/>
      <w:b/>
      <w:sz w:val="22"/>
      <w:lang w:val="en-GB"/>
    </w:rPr>
  </w:style>
  <w:style w:type="numbering" w:customStyle="1" w:styleId="ImportedStyle6">
    <w:name w:val="Imported Style 6"/>
    <w:rsid w:val="00376CED"/>
    <w:pPr>
      <w:numPr>
        <w:numId w:val="21"/>
      </w:numPr>
    </w:pPr>
  </w:style>
  <w:style w:type="character" w:customStyle="1" w:styleId="HEADINGNOTFORTOCChar">
    <w:name w:val="HEADING (NOT FOR TOC) Char"/>
    <w:link w:val="HEADINGNOTFORTOC"/>
    <w:locked/>
    <w:rsid w:val="00376CED"/>
    <w:rPr>
      <w:rFonts w:cs="Angsana New"/>
      <w:b/>
      <w:caps/>
      <w:sz w:val="22"/>
      <w:szCs w:val="24"/>
      <w:lang w:val="en-GB"/>
    </w:rPr>
  </w:style>
  <w:style w:type="paragraph" w:customStyle="1" w:styleId="Heading-replies">
    <w:name w:val="Heading -replies"/>
    <w:basedOn w:val="Heading1"/>
    <w:rsid w:val="00376CED"/>
    <w:pPr>
      <w:spacing w:before="0" w:after="0"/>
      <w:jc w:val="right"/>
    </w:pPr>
    <w:rPr>
      <w:rFonts w:eastAsia="Times New Roman" w:cs="Times New Roman"/>
      <w:b w:val="0"/>
      <w:bCs/>
    </w:rPr>
  </w:style>
  <w:style w:type="paragraph" w:customStyle="1" w:styleId="Paragraph">
    <w:name w:val="Paragraph"/>
    <w:basedOn w:val="Normal"/>
    <w:rsid w:val="00376CED"/>
    <w:pPr>
      <w:spacing w:before="120" w:after="120"/>
      <w:jc w:val="both"/>
    </w:pPr>
    <w:rPr>
      <w:sz w:val="22"/>
      <w:lang w:val="en-GB"/>
    </w:rPr>
  </w:style>
  <w:style w:type="paragraph" w:customStyle="1" w:styleId="Title1">
    <w:name w:val="Title1"/>
    <w:basedOn w:val="HEADING"/>
    <w:rsid w:val="00376CED"/>
    <w:pPr>
      <w:tabs>
        <w:tab w:val="clear" w:pos="426"/>
      </w:tabs>
      <w:overflowPunct w:val="0"/>
      <w:autoSpaceDE w:val="0"/>
      <w:autoSpaceDN w:val="0"/>
      <w:adjustRightInd w:val="0"/>
      <w:spacing w:before="240"/>
      <w:textAlignment w:val="baseline"/>
    </w:pPr>
    <w:rPr>
      <w:rFonts w:ascii="Times New Roman" w:eastAsia="Times New Roman" w:hAnsi="Times New Roman"/>
      <w:szCs w:val="20"/>
    </w:rPr>
  </w:style>
  <w:style w:type="paragraph" w:customStyle="1" w:styleId="ReplyForwardHeaders">
    <w:name w:val="Reply/Forward Headers"/>
    <w:basedOn w:val="Normal"/>
    <w:next w:val="Normal"/>
    <w:rsid w:val="00376CED"/>
    <w:pPr>
      <w:pBdr>
        <w:left w:val="single" w:sz="18" w:space="1" w:color="auto"/>
      </w:pBdr>
      <w:shd w:val="pct10" w:color="auto" w:fill="FFFFFF"/>
      <w:ind w:left="1080" w:hanging="1080"/>
      <w:outlineLvl w:val="0"/>
    </w:pPr>
    <w:rPr>
      <w:rFonts w:ascii="Arial" w:hAnsi="Arial"/>
      <w:b/>
      <w:noProof/>
      <w:sz w:val="20"/>
      <w:szCs w:val="20"/>
      <w:lang w:val="en-US" w:bidi="he-IL"/>
    </w:rPr>
  </w:style>
  <w:style w:type="character" w:customStyle="1" w:styleId="underline">
    <w:name w:val="underline"/>
    <w:rsid w:val="00376CED"/>
    <w:rPr>
      <w:rFonts w:ascii="Courier" w:hAnsi="Courier"/>
      <w:sz w:val="20"/>
      <w:u w:val="single"/>
    </w:rPr>
  </w:style>
  <w:style w:type="character" w:customStyle="1" w:styleId="titlex1">
    <w:name w:val="titlex1"/>
    <w:basedOn w:val="DefaultParagraphFont"/>
    <w:rsid w:val="00376CED"/>
  </w:style>
  <w:style w:type="numbering" w:customStyle="1" w:styleId="NoList1">
    <w:name w:val="No List1"/>
    <w:next w:val="NoList"/>
    <w:uiPriority w:val="99"/>
    <w:semiHidden/>
    <w:unhideWhenUsed/>
    <w:rsid w:val="00376CED"/>
  </w:style>
  <w:style w:type="paragraph" w:customStyle="1" w:styleId="small">
    <w:name w:val="small"/>
    <w:basedOn w:val="FootnoteText"/>
    <w:rsid w:val="00376CED"/>
    <w:pPr>
      <w:keepLines w:val="0"/>
      <w:tabs>
        <w:tab w:val="left" w:pos="720"/>
      </w:tabs>
      <w:spacing w:after="120"/>
      <w:ind w:firstLine="0"/>
      <w:jc w:val="left"/>
    </w:pPr>
    <w:rPr>
      <w:rFonts w:ascii="Courier" w:eastAsia="Times New Roman" w:hAnsi="Courier"/>
      <w:szCs w:val="20"/>
    </w:rPr>
  </w:style>
  <w:style w:type="character" w:customStyle="1" w:styleId="cmsbold">
    <w:name w:val="cmsbold"/>
    <w:rsid w:val="00376CED"/>
  </w:style>
  <w:style w:type="paragraph" w:customStyle="1" w:styleId="ColorfulShading-Accent11">
    <w:name w:val="Colorful Shading - Accent 11"/>
    <w:hidden/>
    <w:semiHidden/>
    <w:rsid w:val="00376CED"/>
    <w:rPr>
      <w:rFonts w:eastAsia="Times New Roman"/>
      <w:sz w:val="22"/>
      <w:szCs w:val="24"/>
      <w:lang w:val="en-GB"/>
    </w:rPr>
  </w:style>
  <w:style w:type="paragraph" w:customStyle="1" w:styleId="ColorfulShading-Accent12">
    <w:name w:val="Colorful Shading - Accent 12"/>
    <w:hidden/>
    <w:semiHidden/>
    <w:rsid w:val="00376CED"/>
    <w:rPr>
      <w:rFonts w:eastAsia="Times New Roman"/>
      <w:sz w:val="22"/>
      <w:szCs w:val="24"/>
      <w:lang w:val="en-GB"/>
    </w:rPr>
  </w:style>
  <w:style w:type="paragraph" w:customStyle="1" w:styleId="ColorfulList-Accent12">
    <w:name w:val="Colorful List - Accent 12"/>
    <w:basedOn w:val="Normal"/>
    <w:qFormat/>
    <w:rsid w:val="00376CED"/>
    <w:pPr>
      <w:ind w:left="720"/>
      <w:jc w:val="both"/>
    </w:pPr>
    <w:rPr>
      <w:sz w:val="22"/>
      <w:lang w:val="en-GB"/>
    </w:rPr>
  </w:style>
  <w:style w:type="character" w:customStyle="1" w:styleId="Heading1multilineChar">
    <w:name w:val="Heading 1 (multiline) Char"/>
    <w:link w:val="Heading1multiline"/>
    <w:locked/>
    <w:rsid w:val="00376CED"/>
    <w:rPr>
      <w:rFonts w:cs="Angsana New"/>
      <w:b/>
      <w:caps/>
      <w:snapToGrid w:val="0"/>
      <w:sz w:val="22"/>
      <w:szCs w:val="24"/>
      <w:lang w:val="en-GB"/>
    </w:rPr>
  </w:style>
  <w:style w:type="paragraph" w:customStyle="1" w:styleId="Para-no-num">
    <w:name w:val="Para-no-num"/>
    <w:basedOn w:val="Normal"/>
    <w:rsid w:val="00376CED"/>
    <w:pPr>
      <w:tabs>
        <w:tab w:val="left" w:pos="720"/>
      </w:tabs>
      <w:spacing w:before="120" w:after="120"/>
      <w:jc w:val="both"/>
    </w:pPr>
    <w:rPr>
      <w:sz w:val="22"/>
      <w:szCs w:val="18"/>
      <w:lang w:val="en-GB"/>
    </w:rPr>
  </w:style>
  <w:style w:type="paragraph" w:customStyle="1" w:styleId="ProgElemt">
    <w:name w:val="ProgElemt"/>
    <w:basedOn w:val="HEADINGNOTFORTOC"/>
    <w:rsid w:val="00376CED"/>
    <w:rPr>
      <w:rFonts w:ascii="Times New Roman Bold" w:eastAsia="Times New Roman" w:hAnsi="Times New Roman Bold" w:cs="Times New Roman"/>
      <w:caps w:val="0"/>
      <w:szCs w:val="22"/>
    </w:rPr>
  </w:style>
  <w:style w:type="character" w:customStyle="1" w:styleId="mainheader">
    <w:name w:val="main_header"/>
    <w:rsid w:val="00376CED"/>
  </w:style>
  <w:style w:type="character" w:customStyle="1" w:styleId="BodyTextIndent3Char1">
    <w:name w:val="Body Text Indent 3 Char1"/>
    <w:basedOn w:val="DefaultParagraphFont"/>
    <w:rsid w:val="00376CED"/>
    <w:rPr>
      <w:rFonts w:ascii="Times New Roman" w:eastAsia="Times New Roman" w:hAnsi="Times New Roman" w:cs="Times New Roman"/>
      <w:sz w:val="16"/>
      <w:szCs w:val="16"/>
      <w:lang w:val="en-GB"/>
    </w:rPr>
  </w:style>
  <w:style w:type="paragraph" w:customStyle="1" w:styleId="AbstractText">
    <w:name w:val="Abstract Text"/>
    <w:rsid w:val="00376CED"/>
    <w:pPr>
      <w:tabs>
        <w:tab w:val="left" w:pos="1680"/>
      </w:tabs>
      <w:spacing w:line="280" w:lineRule="exact"/>
      <w:ind w:left="360"/>
    </w:pPr>
    <w:rPr>
      <w:rFonts w:ascii="Arial" w:eastAsia="Times New Roman" w:hAnsi="Arial"/>
      <w:sz w:val="19"/>
    </w:rPr>
  </w:style>
  <w:style w:type="paragraph" w:customStyle="1" w:styleId="ActivityPoint">
    <w:name w:val="Activity Point"/>
    <w:basedOn w:val="Normal"/>
    <w:rsid w:val="00376CED"/>
    <w:pPr>
      <w:tabs>
        <w:tab w:val="left" w:pos="1080"/>
      </w:tabs>
      <w:spacing w:line="360" w:lineRule="auto"/>
      <w:ind w:left="1440" w:hanging="1440"/>
      <w:jc w:val="both"/>
    </w:pPr>
    <w:rPr>
      <w:kern w:val="28"/>
      <w:sz w:val="22"/>
    </w:rPr>
  </w:style>
  <w:style w:type="paragraph" w:customStyle="1" w:styleId="BodytextforICCP">
    <w:name w:val="Body text for ICCP"/>
    <w:basedOn w:val="BodyText"/>
    <w:rsid w:val="00376CED"/>
    <w:pPr>
      <w:tabs>
        <w:tab w:val="left" w:pos="-720"/>
      </w:tabs>
      <w:suppressAutoHyphens/>
      <w:overflowPunct w:val="0"/>
      <w:autoSpaceDE w:val="0"/>
      <w:autoSpaceDN w:val="0"/>
      <w:adjustRightInd w:val="0"/>
    </w:pPr>
    <w:rPr>
      <w:rFonts w:eastAsia="Times New Roman" w:cs="Times New Roman"/>
    </w:rPr>
  </w:style>
  <w:style w:type="paragraph" w:customStyle="1" w:styleId="HEAD-2lines">
    <w:name w:val="HEAD-2lines"/>
    <w:basedOn w:val="Heading2"/>
    <w:rsid w:val="00376CED"/>
    <w:pPr>
      <w:ind w:left="1944" w:right="864" w:hanging="1080"/>
      <w:outlineLvl w:val="9"/>
    </w:pPr>
    <w:rPr>
      <w:rFonts w:eastAsia="Times New Roman" w:cs="Times New Roman"/>
      <w:b w:val="0"/>
      <w:bCs w:val="0"/>
      <w:i/>
      <w:snapToGrid/>
    </w:rPr>
  </w:style>
  <w:style w:type="paragraph" w:customStyle="1" w:styleId="Heading2-lines">
    <w:name w:val="Heading 2 - lines"/>
    <w:basedOn w:val="Heading2-center"/>
    <w:next w:val="Normal"/>
    <w:rsid w:val="00376CED"/>
    <w:pPr>
      <w:tabs>
        <w:tab w:val="left" w:pos="284"/>
      </w:tabs>
      <w:spacing w:before="240"/>
      <w:ind w:left="1400" w:right="573" w:hanging="408"/>
      <w:jc w:val="left"/>
      <w:outlineLvl w:val="9"/>
    </w:pPr>
    <w:rPr>
      <w:rFonts w:eastAsia="Times New Roman" w:cs="Times New Roman"/>
      <w:b w:val="0"/>
      <w:bCs w:val="0"/>
      <w:i/>
      <w:snapToGrid/>
    </w:rPr>
  </w:style>
  <w:style w:type="paragraph" w:customStyle="1" w:styleId="Heading51">
    <w:name w:val="Heading 51"/>
    <w:rsid w:val="00376CE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eastAsia="Times New Roman"/>
      <w:b/>
    </w:rPr>
  </w:style>
  <w:style w:type="paragraph" w:customStyle="1" w:styleId="Heading10">
    <w:name w:val="Heading1"/>
    <w:basedOn w:val="Normal"/>
    <w:rsid w:val="00376CED"/>
    <w:pPr>
      <w:keepNext/>
      <w:keepLines/>
      <w:ind w:left="1702" w:right="998" w:hanging="284"/>
      <w:jc w:val="both"/>
    </w:pPr>
    <w:rPr>
      <w:i/>
      <w:iCs/>
      <w:sz w:val="22"/>
      <w:lang w:val="en-GB"/>
    </w:rPr>
  </w:style>
  <w:style w:type="paragraph" w:customStyle="1" w:styleId="Heading4">
    <w:name w:val="Heading4"/>
    <w:basedOn w:val="Normal"/>
    <w:rsid w:val="00376CED"/>
    <w:pPr>
      <w:keepNext/>
      <w:numPr>
        <w:numId w:val="22"/>
      </w:numPr>
      <w:jc w:val="both"/>
    </w:pPr>
    <w:rPr>
      <w:i/>
      <w:iCs/>
      <w:sz w:val="22"/>
      <w:lang w:val="en-GB"/>
    </w:rPr>
  </w:style>
  <w:style w:type="paragraph" w:customStyle="1" w:styleId="HEADINGII">
    <w:name w:val="HEADINGII"/>
    <w:basedOn w:val="Normal"/>
    <w:rsid w:val="00376CED"/>
    <w:pPr>
      <w:spacing w:before="240"/>
      <w:ind w:left="1474" w:right="856" w:hanging="340"/>
      <w:jc w:val="both"/>
    </w:pPr>
    <w:rPr>
      <w:b/>
      <w:bCs/>
      <w:caps/>
      <w:sz w:val="22"/>
      <w:lang w:val="en-GB"/>
    </w:rPr>
  </w:style>
  <w:style w:type="paragraph" w:customStyle="1" w:styleId="headingoneline">
    <w:name w:val="headingoneline"/>
    <w:basedOn w:val="Normal"/>
    <w:next w:val="Normal"/>
    <w:rsid w:val="00376CED"/>
    <w:pPr>
      <w:keepNext/>
      <w:tabs>
        <w:tab w:val="left" w:pos="567"/>
      </w:tabs>
      <w:spacing w:before="120" w:after="120"/>
      <w:jc w:val="center"/>
    </w:pPr>
    <w:rPr>
      <w:b/>
      <w:bCs/>
      <w:i/>
      <w:sz w:val="22"/>
      <w:lang w:val="en-GB"/>
    </w:rPr>
  </w:style>
  <w:style w:type="paragraph" w:customStyle="1" w:styleId="list3">
    <w:name w:val="list3"/>
    <w:basedOn w:val="Normal"/>
    <w:autoRedefine/>
    <w:rsid w:val="00376CED"/>
    <w:pPr>
      <w:numPr>
        <w:numId w:val="23"/>
      </w:numPr>
      <w:jc w:val="both"/>
    </w:pPr>
    <w:rPr>
      <w:sz w:val="22"/>
      <w:lang w:val="en-GB"/>
    </w:rPr>
  </w:style>
  <w:style w:type="paragraph" w:customStyle="1" w:styleId="Numberedparagraph">
    <w:name w:val="Numbered paragraph"/>
    <w:basedOn w:val="Normal"/>
    <w:rsid w:val="00376CED"/>
    <w:pPr>
      <w:numPr>
        <w:numId w:val="24"/>
      </w:numPr>
      <w:jc w:val="both"/>
    </w:pPr>
    <w:rPr>
      <w:kern w:val="28"/>
      <w:sz w:val="22"/>
      <w:lang w:val="en-GB"/>
    </w:rPr>
  </w:style>
  <w:style w:type="paragraph" w:customStyle="1" w:styleId="Activity">
    <w:name w:val="Activity"/>
    <w:basedOn w:val="Normal"/>
    <w:rsid w:val="00376CED"/>
    <w:pPr>
      <w:numPr>
        <w:ilvl w:val="1"/>
        <w:numId w:val="25"/>
      </w:numPr>
      <w:tabs>
        <w:tab w:val="num" w:pos="360"/>
      </w:tabs>
      <w:spacing w:before="120" w:after="120"/>
      <w:ind w:left="0" w:firstLine="0"/>
      <w:jc w:val="both"/>
    </w:pPr>
    <w:rPr>
      <w:sz w:val="22"/>
      <w:szCs w:val="20"/>
      <w:lang w:val="en-GB"/>
    </w:rPr>
  </w:style>
  <w:style w:type="paragraph" w:customStyle="1" w:styleId="bodytextnoindent0">
    <w:name w:val="bodytextnoindent"/>
    <w:basedOn w:val="Normal"/>
    <w:rsid w:val="00376CED"/>
    <w:pPr>
      <w:overflowPunct w:val="0"/>
      <w:autoSpaceDE w:val="0"/>
      <w:autoSpaceDN w:val="0"/>
      <w:spacing w:before="120" w:after="120"/>
      <w:jc w:val="both"/>
    </w:pPr>
    <w:rPr>
      <w:rFonts w:eastAsia="Arial Unicode MS"/>
      <w:sz w:val="22"/>
      <w:szCs w:val="22"/>
      <w:lang w:val="en-US"/>
    </w:rPr>
  </w:style>
  <w:style w:type="paragraph" w:customStyle="1" w:styleId="Heading1centred">
    <w:name w:val="Heading 1 (centred)"/>
    <w:basedOn w:val="Normal"/>
    <w:next w:val="Para1"/>
    <w:rsid w:val="00376CED"/>
    <w:pPr>
      <w:keepNext/>
      <w:tabs>
        <w:tab w:val="left" w:pos="709"/>
      </w:tabs>
      <w:overflowPunct w:val="0"/>
      <w:autoSpaceDE w:val="0"/>
      <w:autoSpaceDN w:val="0"/>
      <w:adjustRightInd w:val="0"/>
      <w:spacing w:before="240" w:after="120"/>
      <w:jc w:val="center"/>
    </w:pPr>
    <w:rPr>
      <w:b/>
      <w:caps/>
      <w:sz w:val="22"/>
      <w:szCs w:val="20"/>
      <w:lang w:val="en-GB"/>
    </w:rPr>
  </w:style>
  <w:style w:type="paragraph" w:customStyle="1" w:styleId="paraa0">
    <w:name w:val="para (a)"/>
    <w:basedOn w:val="para4"/>
    <w:rsid w:val="00376CED"/>
    <w:pPr>
      <w:numPr>
        <w:ilvl w:val="0"/>
        <w:numId w:val="0"/>
      </w:numPr>
      <w:tabs>
        <w:tab w:val="num" w:pos="720"/>
      </w:tabs>
      <w:ind w:left="720" w:hanging="720"/>
      <w:textAlignment w:val="auto"/>
    </w:pPr>
    <w:rPr>
      <w:rFonts w:ascii="Times New Roman" w:eastAsia="Times New Roman" w:hAnsi="Times New Roman" w:cs="Times New Roman"/>
      <w:sz w:val="22"/>
    </w:rPr>
  </w:style>
  <w:style w:type="paragraph" w:customStyle="1" w:styleId="Paranormal">
    <w:name w:val="Para normal"/>
    <w:basedOn w:val="Normal"/>
    <w:rsid w:val="00376CED"/>
    <w:pPr>
      <w:framePr w:hSpace="187" w:vSpace="187" w:wrap="notBeside" w:vAnchor="text" w:hAnchor="text" w:y="1"/>
      <w:numPr>
        <w:numId w:val="26"/>
      </w:numPr>
      <w:spacing w:before="120" w:after="120"/>
      <w:jc w:val="both"/>
    </w:pPr>
    <w:rPr>
      <w:sz w:val="22"/>
      <w:szCs w:val="20"/>
      <w:lang w:val="en-GB"/>
    </w:rPr>
  </w:style>
  <w:style w:type="paragraph" w:customStyle="1" w:styleId="para11">
    <w:name w:val="para1"/>
    <w:basedOn w:val="Normal"/>
    <w:rsid w:val="00376CED"/>
    <w:pPr>
      <w:spacing w:before="100" w:beforeAutospacing="1" w:after="100" w:afterAutospacing="1"/>
    </w:pPr>
    <w:rPr>
      <w:rFonts w:ascii="Arial Unicode MS" w:eastAsia="Arial Unicode MS" w:hAnsi="Arial Unicode MS" w:cs="Arial Unicode MS"/>
      <w:lang w:val="en-US"/>
    </w:rPr>
  </w:style>
  <w:style w:type="paragraph" w:customStyle="1" w:styleId="Reference0">
    <w:name w:val="Reference"/>
    <w:basedOn w:val="Normal"/>
    <w:rsid w:val="00376CED"/>
    <w:pPr>
      <w:spacing w:before="60" w:after="60"/>
      <w:ind w:left="288" w:hanging="288"/>
      <w:jc w:val="both"/>
    </w:pPr>
    <w:rPr>
      <w:sz w:val="22"/>
      <w:lang w:val="en-US"/>
    </w:rPr>
  </w:style>
  <w:style w:type="paragraph" w:customStyle="1" w:styleId="Dec-titleoneline">
    <w:name w:val="Dec-title one line"/>
    <w:basedOn w:val="Heading2"/>
    <w:rsid w:val="00376CED"/>
    <w:rPr>
      <w:rFonts w:eastAsia="Times New Roman" w:cs="Times New Roman"/>
      <w:i/>
      <w:snapToGrid/>
    </w:rPr>
  </w:style>
  <w:style w:type="paragraph" w:customStyle="1" w:styleId="Decheadmuliline">
    <w:name w:val="Dec_head muliline"/>
    <w:basedOn w:val="BodyText"/>
    <w:next w:val="BodyText"/>
    <w:rsid w:val="00376CED"/>
    <w:pPr>
      <w:ind w:left="2127" w:hanging="1276"/>
    </w:pPr>
    <w:rPr>
      <w:rFonts w:eastAsia="Times New Roman" w:cs="Times New Roman"/>
      <w:b/>
      <w:i/>
    </w:rPr>
  </w:style>
  <w:style w:type="paragraph" w:customStyle="1" w:styleId="Numbering">
    <w:name w:val="Numbering"/>
    <w:basedOn w:val="Normal"/>
    <w:rsid w:val="00376CED"/>
    <w:pPr>
      <w:tabs>
        <w:tab w:val="num" w:pos="720"/>
      </w:tabs>
      <w:jc w:val="both"/>
    </w:pPr>
    <w:rPr>
      <w:sz w:val="22"/>
      <w:szCs w:val="20"/>
      <w:lang w:val="en-GB"/>
    </w:rPr>
  </w:style>
  <w:style w:type="paragraph" w:customStyle="1" w:styleId="msolistparagraph0">
    <w:name w:val="msolistparagraph"/>
    <w:basedOn w:val="Normal"/>
    <w:rsid w:val="00376CED"/>
    <w:pPr>
      <w:ind w:left="720"/>
    </w:pPr>
    <w:rPr>
      <w:rFonts w:ascii="Calibri" w:hAnsi="Calibri"/>
      <w:sz w:val="22"/>
      <w:szCs w:val="22"/>
      <w:lang w:val="en-US"/>
    </w:rPr>
  </w:style>
  <w:style w:type="paragraph" w:customStyle="1" w:styleId="StylePara1Before6ptAfter6pt">
    <w:name w:val="Style Para 1 + Before:  6 pt After:  6 pt"/>
    <w:basedOn w:val="Para10"/>
    <w:rsid w:val="00376CED"/>
    <w:pPr>
      <w:numPr>
        <w:numId w:val="0"/>
      </w:numPr>
      <w:tabs>
        <w:tab w:val="num" w:pos="360"/>
      </w:tabs>
    </w:pPr>
    <w:rPr>
      <w:rFonts w:eastAsia="Times New Roman"/>
      <w:snapToGrid/>
      <w:kern w:val="0"/>
      <w:szCs w:val="20"/>
    </w:rPr>
  </w:style>
  <w:style w:type="character" w:customStyle="1" w:styleId="Hyperlink10">
    <w:name w:val="Hyperlink1"/>
    <w:rsid w:val="00376CED"/>
    <w:rPr>
      <w:color w:val="0000FF"/>
      <w:u w:val="single"/>
    </w:rPr>
  </w:style>
  <w:style w:type="character" w:customStyle="1" w:styleId="maintextbldleft1">
    <w:name w:val="maintextbldleft1"/>
    <w:rsid w:val="00376CED"/>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376CED"/>
    <w:rPr>
      <w:b/>
      <w:bCs w:val="0"/>
      <w:caps/>
      <w:sz w:val="22"/>
      <w:szCs w:val="24"/>
      <w:lang w:eastAsia="en-US"/>
    </w:rPr>
  </w:style>
  <w:style w:type="character" w:customStyle="1" w:styleId="longtext">
    <w:name w:val="long_text"/>
    <w:rsid w:val="00376CED"/>
  </w:style>
  <w:style w:type="character" w:customStyle="1" w:styleId="A8">
    <w:name w:val="A8"/>
    <w:rsid w:val="00376CED"/>
    <w:rPr>
      <w:rFonts w:ascii="Myriad Pro" w:hAnsi="Myriad Pro" w:cs="Myriad Pro" w:hint="default"/>
      <w:color w:val="000000"/>
      <w:sz w:val="30"/>
      <w:szCs w:val="30"/>
    </w:rPr>
  </w:style>
  <w:style w:type="character" w:customStyle="1" w:styleId="A3">
    <w:name w:val="A3"/>
    <w:rsid w:val="00376CED"/>
    <w:rPr>
      <w:rFonts w:ascii="Myriad Pro" w:hAnsi="Myriad Pro" w:cs="Myriad Pro" w:hint="default"/>
      <w:color w:val="000000"/>
      <w:sz w:val="21"/>
      <w:szCs w:val="21"/>
    </w:rPr>
  </w:style>
  <w:style w:type="character" w:customStyle="1" w:styleId="A11">
    <w:name w:val="A11"/>
    <w:rsid w:val="00376CED"/>
    <w:rPr>
      <w:rFonts w:ascii="Myriad Pro" w:hAnsi="Myriad Pro" w:cs="Myriad Pro" w:hint="default"/>
      <w:color w:val="000000"/>
      <w:sz w:val="13"/>
      <w:szCs w:val="13"/>
    </w:rPr>
  </w:style>
  <w:style w:type="character" w:customStyle="1" w:styleId="CharChar20">
    <w:name w:val="Char Char20"/>
    <w:rsid w:val="00376CED"/>
    <w:rPr>
      <w:rFonts w:ascii="Times New Roman" w:eastAsia="Times New Roman" w:hAnsi="Times New Roman" w:cs="Times New Roman" w:hint="default"/>
      <w:b/>
      <w:bCs w:val="0"/>
      <w:caps/>
      <w:szCs w:val="24"/>
      <w:lang w:val="en-GB"/>
    </w:rPr>
  </w:style>
  <w:style w:type="character" w:customStyle="1" w:styleId="CharChar19">
    <w:name w:val="Char Char19"/>
    <w:rsid w:val="00376CED"/>
    <w:rPr>
      <w:rFonts w:ascii="Times New Roman" w:eastAsia="Times New Roman" w:hAnsi="Times New Roman" w:cs="Times New Roman" w:hint="default"/>
      <w:b/>
      <w:bCs/>
      <w:i/>
      <w:iCs/>
      <w:szCs w:val="24"/>
      <w:lang w:val="en-GB"/>
    </w:rPr>
  </w:style>
  <w:style w:type="character" w:customStyle="1" w:styleId="CharChar10">
    <w:name w:val="Char Char10"/>
    <w:rsid w:val="00376CED"/>
    <w:rPr>
      <w:rFonts w:ascii="Times New Roman" w:eastAsia="Times New Roman" w:hAnsi="Times New Roman" w:cs="Times New Roman" w:hint="default"/>
      <w:szCs w:val="24"/>
      <w:lang w:val="en-GB"/>
    </w:rPr>
  </w:style>
  <w:style w:type="character" w:customStyle="1" w:styleId="ipa">
    <w:name w:val="ipa"/>
    <w:rsid w:val="00376CED"/>
  </w:style>
  <w:style w:type="character" w:customStyle="1" w:styleId="shorttext">
    <w:name w:val="short_text"/>
    <w:rsid w:val="00376CED"/>
  </w:style>
  <w:style w:type="character" w:customStyle="1" w:styleId="StyleFootnoteReferenceBoldAllcaps">
    <w:name w:val="Style Footnote Reference + Bold All caps"/>
    <w:rsid w:val="00376CED"/>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376CED"/>
    <w:rPr>
      <w:b/>
      <w:bCs/>
      <w:i/>
      <w:iCs/>
      <w:sz w:val="22"/>
      <w:szCs w:val="24"/>
      <w:lang w:val="en-GB" w:eastAsia="en-US" w:bidi="ar-SA"/>
    </w:rPr>
  </w:style>
  <w:style w:type="character" w:customStyle="1" w:styleId="titlex11">
    <w:name w:val="titlex11"/>
    <w:rsid w:val="00376CED"/>
    <w:rPr>
      <w:rFonts w:ascii="Trebuchet MS" w:hAnsi="Trebuchet MS" w:hint="default"/>
      <w:color w:val="003344"/>
      <w:sz w:val="36"/>
      <w:szCs w:val="36"/>
    </w:rPr>
  </w:style>
  <w:style w:type="character" w:customStyle="1" w:styleId="Heading2Char1">
    <w:name w:val="Heading 2 Char1"/>
    <w:rsid w:val="00376CED"/>
    <w:rPr>
      <w:b/>
      <w:bCs/>
      <w:i/>
      <w:iCs/>
      <w:sz w:val="22"/>
      <w:szCs w:val="24"/>
      <w:lang w:val="en-GB" w:eastAsia="en-US" w:bidi="ar-SA"/>
    </w:rPr>
  </w:style>
  <w:style w:type="character" w:customStyle="1" w:styleId="UnresolvedMention3">
    <w:name w:val="Unresolved Mention3"/>
    <w:basedOn w:val="DefaultParagraphFont"/>
    <w:semiHidden/>
    <w:unhideWhenUsed/>
    <w:rsid w:val="00376CED"/>
    <w:rPr>
      <w:color w:val="808080"/>
      <w:shd w:val="clear" w:color="auto" w:fill="E6E6E6"/>
    </w:rPr>
  </w:style>
  <w:style w:type="character" w:customStyle="1" w:styleId="UnresolvedMention4">
    <w:name w:val="Unresolved Mention4"/>
    <w:basedOn w:val="DefaultParagraphFont"/>
    <w:uiPriority w:val="99"/>
    <w:semiHidden/>
    <w:unhideWhenUsed/>
    <w:rsid w:val="00376CED"/>
    <w:rPr>
      <w:color w:val="808080"/>
      <w:shd w:val="clear" w:color="auto" w:fill="E6E6E6"/>
    </w:rPr>
  </w:style>
  <w:style w:type="paragraph" w:styleId="ListBullet">
    <w:name w:val="List Bullet"/>
    <w:aliases w:val="UL 1"/>
    <w:basedOn w:val="Normal"/>
    <w:uiPriority w:val="9"/>
    <w:qFormat/>
    <w:rsid w:val="00376CED"/>
    <w:pPr>
      <w:tabs>
        <w:tab w:val="num" w:pos="360"/>
      </w:tabs>
      <w:spacing w:line="276" w:lineRule="auto"/>
      <w:contextualSpacing/>
      <w:jc w:val="both"/>
    </w:pPr>
    <w:rPr>
      <w:rFonts w:ascii="Arial" w:hAnsi="Arial"/>
      <w:sz w:val="22"/>
      <w:lang w:val="de-AT" w:eastAsia="de-AT"/>
    </w:rPr>
  </w:style>
  <w:style w:type="paragraph" w:customStyle="1" w:styleId="xl69">
    <w:name w:val="xl69"/>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0">
    <w:name w:val="xl70"/>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1">
    <w:name w:val="xl71"/>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2">
    <w:name w:val="xl72"/>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3">
    <w:name w:val="xl73"/>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n-CA"/>
    </w:rPr>
  </w:style>
  <w:style w:type="paragraph" w:customStyle="1" w:styleId="xl74">
    <w:name w:val="xl74"/>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n-CA"/>
    </w:rPr>
  </w:style>
  <w:style w:type="paragraph" w:customStyle="1" w:styleId="xl75">
    <w:name w:val="xl75"/>
    <w:basedOn w:val="Normal"/>
    <w:rsid w:val="00253427"/>
    <w:pPr>
      <w:spacing w:before="100" w:beforeAutospacing="1" w:after="100" w:afterAutospacing="1"/>
      <w:textAlignment w:val="center"/>
    </w:pPr>
    <w:rPr>
      <w:lang w:eastAsia="en-CA"/>
    </w:rPr>
  </w:style>
  <w:style w:type="paragraph" w:customStyle="1" w:styleId="xl76">
    <w:name w:val="xl76"/>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n-CA"/>
    </w:rPr>
  </w:style>
  <w:style w:type="paragraph" w:customStyle="1" w:styleId="xl77">
    <w:name w:val="xl77"/>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8">
    <w:name w:val="xl78"/>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n-CA"/>
    </w:rPr>
  </w:style>
  <w:style w:type="paragraph" w:customStyle="1" w:styleId="xl79">
    <w:name w:val="xl79"/>
    <w:basedOn w:val="Normal"/>
    <w:rsid w:val="00253427"/>
    <w:pPr>
      <w:spacing w:before="100" w:beforeAutospacing="1" w:after="100" w:afterAutospacing="1"/>
      <w:textAlignment w:val="center"/>
    </w:pPr>
    <w:rPr>
      <w:lang w:eastAsia="en-CA"/>
    </w:rPr>
  </w:style>
  <w:style w:type="paragraph" w:customStyle="1" w:styleId="HeadingIreport">
    <w:name w:val="Heading I report"/>
    <w:basedOn w:val="Heading1"/>
    <w:qFormat/>
    <w:rsid w:val="00EF0503"/>
  </w:style>
  <w:style w:type="paragraph" w:customStyle="1" w:styleId="Heading1report">
    <w:name w:val="Heading 1 report"/>
    <w:basedOn w:val="Heading1"/>
    <w:qFormat/>
    <w:rsid w:val="00DF0E08"/>
    <w:pPr>
      <w:suppressLineNumbers/>
      <w:tabs>
        <w:tab w:val="clear" w:pos="720"/>
      </w:tabs>
      <w:suppressAutoHyphens/>
      <w:kinsoku w:val="0"/>
      <w:overflowPunct w:val="0"/>
      <w:autoSpaceDE w:val="0"/>
      <w:autoSpaceDN w:val="0"/>
      <w:ind w:left="1080" w:right="6" w:hanging="720"/>
    </w:pPr>
    <w:rPr>
      <w:rFonts w:ascii="Times New Roman Bold" w:eastAsia="Malgun Gothic" w:hAnsi="Times New Roman Bold" w:cs="Times New Roman Bold"/>
      <w:bCs/>
      <w:snapToGrid w:val="0"/>
      <w:kern w:val="22"/>
      <w:szCs w:val="22"/>
    </w:rPr>
  </w:style>
  <w:style w:type="paragraph" w:customStyle="1" w:styleId="heading2-item0">
    <w:name w:val="heading2-item"/>
    <w:basedOn w:val="Heading1"/>
    <w:qFormat/>
    <w:rsid w:val="00DF0E08"/>
    <w:rPr>
      <w:snapToGrid w:val="0"/>
    </w:rPr>
  </w:style>
  <w:style w:type="paragraph" w:styleId="TOCHeading">
    <w:name w:val="TOC Heading"/>
    <w:basedOn w:val="Heading1"/>
    <w:next w:val="Normal"/>
    <w:uiPriority w:val="39"/>
    <w:unhideWhenUsed/>
    <w:qFormat/>
    <w:rsid w:val="00B614A3"/>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CharChar16">
    <w:name w:val="Char Char16"/>
    <w:basedOn w:val="DefaultParagraphFont"/>
    <w:semiHidden/>
    <w:locked/>
    <w:rsid w:val="0052214A"/>
    <w:rPr>
      <w:rFonts w:ascii="Times New Roman" w:hAnsi="Times New Roman" w:cs="Times New Roman"/>
      <w:sz w:val="18"/>
      <w:szCs w:val="18"/>
      <w:lang w:val="en-US"/>
    </w:rPr>
  </w:style>
  <w:style w:type="character" w:customStyle="1" w:styleId="CharChar15">
    <w:name w:val="Char Char15"/>
    <w:basedOn w:val="DefaultParagraphFont"/>
    <w:locked/>
    <w:rsid w:val="0052214A"/>
    <w:rPr>
      <w:rFonts w:ascii="Times New Roman" w:eastAsia="Times New Roman" w:hAnsi="Times New Roman" w:cs="Times New Roman"/>
      <w:sz w:val="22"/>
      <w:lang w:val="en-GB"/>
    </w:rPr>
  </w:style>
  <w:style w:type="character" w:customStyle="1" w:styleId="CharChar14">
    <w:name w:val="Char Char14"/>
    <w:basedOn w:val="DefaultParagraphFont"/>
    <w:locked/>
    <w:rsid w:val="0052214A"/>
    <w:rPr>
      <w:rFonts w:ascii="Times New Roman" w:eastAsia="Times New Roman" w:hAnsi="Times New Roman" w:cs="Times New Roman"/>
      <w:sz w:val="22"/>
      <w:lang w:val="en-GB"/>
    </w:rPr>
  </w:style>
  <w:style w:type="character" w:customStyle="1" w:styleId="CharChar13">
    <w:name w:val="Char Char13"/>
    <w:basedOn w:val="DefaultParagraphFont"/>
    <w:locked/>
    <w:rsid w:val="0052214A"/>
    <w:rPr>
      <w:rFonts w:ascii="Times New Roman" w:eastAsia="MS Gothic" w:hAnsi="Times New Roman" w:cs="Times New Roman"/>
      <w:color w:val="17365D"/>
      <w:spacing w:val="5"/>
      <w:kern w:val="28"/>
      <w:sz w:val="52"/>
      <w:szCs w:val="52"/>
      <w:lang w:val="en-US"/>
    </w:rPr>
  </w:style>
  <w:style w:type="character" w:customStyle="1" w:styleId="CharChar12">
    <w:name w:val="Char Char12"/>
    <w:basedOn w:val="DefaultParagraphFont"/>
    <w:locked/>
    <w:rsid w:val="0052214A"/>
    <w:rPr>
      <w:rFonts w:ascii="Times New Roman" w:eastAsia="MS Gothic" w:hAnsi="Times New Roman" w:cs="Times New Roman"/>
      <w:i/>
      <w:iCs/>
      <w:color w:val="4F81BD"/>
      <w:spacing w:val="15"/>
      <w:lang w:val="en-US"/>
    </w:rPr>
  </w:style>
  <w:style w:type="character" w:customStyle="1" w:styleId="CharChar24">
    <w:name w:val="Char Char24"/>
    <w:basedOn w:val="DefaultParagraphFont"/>
    <w:locked/>
    <w:rsid w:val="0052214A"/>
    <w:rPr>
      <w:rFonts w:ascii="Times New Roman" w:eastAsia="Times New Roman" w:hAnsi="Times New Roman" w:cs="Times New Roman"/>
      <w:b/>
      <w:caps/>
      <w:sz w:val="22"/>
      <w:lang w:val="en-GB"/>
    </w:rPr>
  </w:style>
  <w:style w:type="character" w:customStyle="1" w:styleId="CharChar11">
    <w:name w:val="Char Char11"/>
    <w:basedOn w:val="DefaultParagraphFont"/>
    <w:locked/>
    <w:rsid w:val="0052214A"/>
    <w:rPr>
      <w:rFonts w:ascii="Times New Roman" w:eastAsia="Times New Roman" w:hAnsi="Times New Roman" w:cs="Times New Roman"/>
      <w:iCs/>
      <w:sz w:val="22"/>
      <w:lang w:val="en-GB"/>
    </w:rPr>
  </w:style>
  <w:style w:type="character" w:customStyle="1" w:styleId="CharChar9">
    <w:name w:val="Char Char9"/>
    <w:basedOn w:val="DefaultParagraphFont"/>
    <w:locked/>
    <w:rsid w:val="0052214A"/>
    <w:rPr>
      <w:rFonts w:ascii="Times New Roman" w:eastAsia="Times New Roman" w:hAnsi="Times New Roman" w:cs="Times New Roman"/>
      <w:sz w:val="22"/>
      <w:lang w:val="en-GB"/>
    </w:rPr>
  </w:style>
  <w:style w:type="character" w:customStyle="1" w:styleId="CharChar8">
    <w:name w:val="Char Char8"/>
    <w:basedOn w:val="DefaultParagraphFont"/>
    <w:semiHidden/>
    <w:locked/>
    <w:rsid w:val="0052214A"/>
    <w:rPr>
      <w:rFonts w:ascii="Courier New" w:eastAsia="Times New Roman" w:hAnsi="Courier New" w:cs="Times New Roman"/>
      <w:sz w:val="22"/>
      <w:lang w:val="en-GB"/>
    </w:rPr>
  </w:style>
  <w:style w:type="character" w:customStyle="1" w:styleId="CharChar23">
    <w:name w:val="Char Char23"/>
    <w:basedOn w:val="DefaultParagraphFont"/>
    <w:locked/>
    <w:rsid w:val="0052214A"/>
    <w:rPr>
      <w:rFonts w:ascii="Times New Roman" w:eastAsia="Times New Roman" w:hAnsi="Times New Roman" w:cs="Times New Roman"/>
      <w:b/>
      <w:bCs/>
      <w:iCs/>
      <w:sz w:val="22"/>
      <w:lang w:val="en-GB"/>
    </w:rPr>
  </w:style>
  <w:style w:type="character" w:customStyle="1" w:styleId="CharChar22">
    <w:name w:val="Char Char22"/>
    <w:basedOn w:val="DefaultParagraphFont"/>
    <w:locked/>
    <w:rsid w:val="0052214A"/>
    <w:rPr>
      <w:rFonts w:ascii="Times New Roman" w:eastAsia="Times New Roman" w:hAnsi="Times New Roman" w:cs="Times New Roman"/>
      <w:i/>
      <w:iCs/>
      <w:sz w:val="22"/>
      <w:lang w:val="en-GB"/>
    </w:rPr>
  </w:style>
  <w:style w:type="character" w:customStyle="1" w:styleId="CharChar21">
    <w:name w:val="Char Char21"/>
    <w:basedOn w:val="DefaultParagraphFont"/>
    <w:locked/>
    <w:rsid w:val="0052214A"/>
    <w:rPr>
      <w:rFonts w:ascii="Times New Roman" w:eastAsia="Arial Unicode MS" w:hAnsi="Times New Roman" w:cs="Arial"/>
      <w:b/>
      <w:bCs/>
      <w:i/>
      <w:sz w:val="22"/>
      <w:lang w:val="en-GB"/>
    </w:rPr>
  </w:style>
  <w:style w:type="character" w:customStyle="1" w:styleId="Heading5-GTICharChar">
    <w:name w:val="Heading 5 - GTI Char Char"/>
    <w:basedOn w:val="DefaultParagraphFont"/>
    <w:locked/>
    <w:rsid w:val="0052214A"/>
    <w:rPr>
      <w:rFonts w:ascii="Times New Roman" w:eastAsia="Times New Roman" w:hAnsi="Times New Roman" w:cs="Times New Roman"/>
      <w:bCs/>
      <w:i/>
      <w:sz w:val="26"/>
      <w:szCs w:val="26"/>
      <w:lang w:val="en-CA"/>
    </w:rPr>
  </w:style>
  <w:style w:type="character" w:customStyle="1" w:styleId="CharChar18">
    <w:name w:val="Char Char18"/>
    <w:basedOn w:val="DefaultParagraphFont"/>
    <w:locked/>
    <w:rsid w:val="0052214A"/>
    <w:rPr>
      <w:rFonts w:ascii="Times New Roman" w:eastAsia="Times New Roman" w:hAnsi="Times New Roman" w:cs="Times New Roman"/>
      <w:b/>
      <w:sz w:val="32"/>
      <w:lang w:val="en-GB"/>
    </w:rPr>
  </w:style>
  <w:style w:type="character" w:customStyle="1" w:styleId="CharChar17">
    <w:name w:val="Char Char17"/>
    <w:basedOn w:val="DefaultParagraphFont"/>
    <w:locked/>
    <w:rsid w:val="0052214A"/>
    <w:rPr>
      <w:rFonts w:ascii="Times New Roman" w:eastAsia="Times New Roman" w:hAnsi="Times New Roman" w:cs="Times New Roman"/>
      <w:i/>
      <w:iCs/>
      <w:sz w:val="22"/>
      <w:lang w:val="en-GB"/>
    </w:rPr>
  </w:style>
  <w:style w:type="character" w:customStyle="1" w:styleId="CharChar6">
    <w:name w:val="Char Char6"/>
    <w:basedOn w:val="DefaultParagraphFont"/>
    <w:locked/>
    <w:rsid w:val="0052214A"/>
    <w:rPr>
      <w:rFonts w:ascii="Times New Roman" w:eastAsia="Times New Roman" w:hAnsi="Times New Roman" w:cs="Times New Roman"/>
      <w:sz w:val="28"/>
      <w:lang w:val="en-GB"/>
    </w:rPr>
  </w:style>
  <w:style w:type="character" w:customStyle="1" w:styleId="CharChar5">
    <w:name w:val="Char Char5"/>
    <w:basedOn w:val="DefaultParagraphFont"/>
    <w:locked/>
    <w:rsid w:val="0052214A"/>
    <w:rPr>
      <w:rFonts w:ascii="Times New Roman" w:eastAsia="Times New Roman" w:hAnsi="Times New Roman" w:cs="Times New Roman"/>
      <w:sz w:val="22"/>
      <w:lang w:val="en-GB"/>
    </w:rPr>
  </w:style>
  <w:style w:type="character" w:customStyle="1" w:styleId="CharChar4">
    <w:name w:val="Char Char4"/>
    <w:basedOn w:val="DefaultParagraphFont"/>
    <w:locked/>
    <w:rsid w:val="0052214A"/>
    <w:rPr>
      <w:rFonts w:ascii="Times New Roman" w:eastAsia="Times New Roman" w:hAnsi="Times New Roman" w:cs="Times New Roman"/>
      <w:sz w:val="20"/>
      <w:lang w:val="en-GB"/>
    </w:rPr>
  </w:style>
  <w:style w:type="character" w:customStyle="1" w:styleId="CharChar3">
    <w:name w:val="Char Char3"/>
    <w:basedOn w:val="DefaultParagraphFont"/>
    <w:semiHidden/>
    <w:locked/>
    <w:rsid w:val="0052214A"/>
    <w:rPr>
      <w:rFonts w:ascii="Times New Roman" w:eastAsia="Times New Roman" w:hAnsi="Times New Roman" w:cs="Times New Roman"/>
      <w:sz w:val="22"/>
      <w:shd w:val="clear" w:color="auto" w:fill="000080"/>
      <w:lang w:val="en-GB"/>
    </w:rPr>
  </w:style>
  <w:style w:type="character" w:customStyle="1" w:styleId="CharChar1">
    <w:name w:val="Char Char1"/>
    <w:basedOn w:val="DefaultParagraphFont"/>
    <w:locked/>
    <w:rsid w:val="0052214A"/>
    <w:rPr>
      <w:rFonts w:ascii="Courier New" w:eastAsia="Times New Roman" w:hAnsi="Courier New" w:cs="Courier New"/>
      <w:sz w:val="20"/>
      <w:lang w:val="en-GB"/>
    </w:rPr>
  </w:style>
  <w:style w:type="character" w:customStyle="1" w:styleId="CharChar">
    <w:name w:val="Char Char"/>
    <w:basedOn w:val="CharChar9"/>
    <w:semiHidden/>
    <w:locked/>
    <w:rsid w:val="0052214A"/>
    <w:rPr>
      <w:b/>
      <w:bCs/>
      <w:sz w:val="20"/>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rsid w:val="0052214A"/>
    <w:pPr>
      <w:spacing w:after="160" w:line="240" w:lineRule="exact"/>
    </w:pPr>
    <w:rPr>
      <w:snapToGrid w:val="0"/>
      <w:sz w:val="22"/>
      <w:szCs w:val="20"/>
      <w:vertAlign w:val="superscript"/>
      <w:lang w:val="es-ES" w:eastAsia="es-ES"/>
    </w:rPr>
  </w:style>
  <w:style w:type="character" w:customStyle="1" w:styleId="UnresolvedMention">
    <w:name w:val="Unresolved Mention"/>
    <w:basedOn w:val="DefaultParagraphFont"/>
    <w:semiHidden/>
    <w:rsid w:val="0052214A"/>
    <w:rPr>
      <w:rFonts w:cs="Times New Roman"/>
      <w:color w:val="808080"/>
      <w:shd w:val="clear" w:color="auto" w:fill="E6E6E6"/>
    </w:rPr>
  </w:style>
  <w:style w:type="character" w:customStyle="1" w:styleId="tw4winMark">
    <w:name w:val="tw4winMark"/>
    <w:rsid w:val="0052214A"/>
    <w:rPr>
      <w:rFonts w:ascii="Courier New" w:hAnsi="Courier New"/>
      <w:vanish/>
      <w:color w:val="800080"/>
      <w:sz w:val="24"/>
      <w:vertAlign w:val="subscript"/>
    </w:rPr>
  </w:style>
  <w:style w:type="character" w:customStyle="1" w:styleId="tw4winError">
    <w:name w:val="tw4winError"/>
    <w:rsid w:val="0052214A"/>
    <w:rPr>
      <w:rFonts w:ascii="Courier New" w:hAnsi="Courier New"/>
      <w:color w:val="00FF00"/>
      <w:sz w:val="40"/>
    </w:rPr>
  </w:style>
  <w:style w:type="character" w:customStyle="1" w:styleId="tw4winTerm">
    <w:name w:val="tw4winTerm"/>
    <w:rsid w:val="0052214A"/>
    <w:rPr>
      <w:color w:val="0000FF"/>
    </w:rPr>
  </w:style>
  <w:style w:type="character" w:customStyle="1" w:styleId="tw4winPopup">
    <w:name w:val="tw4winPopup"/>
    <w:rsid w:val="0052214A"/>
    <w:rPr>
      <w:rFonts w:ascii="Courier New" w:hAnsi="Courier New"/>
      <w:noProof/>
      <w:color w:val="008000"/>
    </w:rPr>
  </w:style>
  <w:style w:type="character" w:customStyle="1" w:styleId="tw4winJump">
    <w:name w:val="tw4winJump"/>
    <w:rsid w:val="0052214A"/>
    <w:rPr>
      <w:rFonts w:ascii="Courier New" w:hAnsi="Courier New"/>
      <w:noProof/>
      <w:color w:val="008080"/>
    </w:rPr>
  </w:style>
  <w:style w:type="character" w:customStyle="1" w:styleId="tw4winExternal">
    <w:name w:val="tw4winExternal"/>
    <w:rsid w:val="0052214A"/>
    <w:rPr>
      <w:rFonts w:ascii="Courier New" w:hAnsi="Courier New"/>
      <w:noProof/>
      <w:color w:val="808080"/>
    </w:rPr>
  </w:style>
  <w:style w:type="character" w:customStyle="1" w:styleId="tw4winInternal">
    <w:name w:val="tw4winInternal"/>
    <w:rsid w:val="0052214A"/>
    <w:rPr>
      <w:rFonts w:ascii="Courier New" w:hAnsi="Courier New"/>
      <w:noProof/>
      <w:color w:val="FF0000"/>
    </w:rPr>
  </w:style>
  <w:style w:type="character" w:customStyle="1" w:styleId="DONOTTRANSLATE">
    <w:name w:val="DO_NOT_TRANSLATE"/>
    <w:rsid w:val="0052214A"/>
    <w:rPr>
      <w:rFonts w:ascii="Courier New" w:hAnsi="Courier New"/>
      <w:noProof/>
      <w:color w:val="800000"/>
    </w:rPr>
  </w:style>
  <w:style w:type="character" w:customStyle="1" w:styleId="Heading9Char1">
    <w:name w:val="Heading 9 Char1"/>
    <w:basedOn w:val="DefaultParagraphFont"/>
    <w:locked/>
    <w:rsid w:val="00F500C0"/>
    <w:rPr>
      <w:rFonts w:ascii="Times New Roman" w:hAnsi="Times New Roman" w:cs="Times New Roman"/>
      <w:b/>
      <w:bCs/>
      <w:iCs/>
      <w:sz w:val="22"/>
      <w:lang w:val="en-GB"/>
    </w:rPr>
  </w:style>
  <w:style w:type="character" w:customStyle="1" w:styleId="TitleChar1">
    <w:name w:val="Title Char1"/>
    <w:basedOn w:val="DefaultParagraphFont"/>
    <w:locked/>
    <w:rsid w:val="00F500C0"/>
    <w:rPr>
      <w:rFonts w:ascii="Times New Roman" w:hAnsi="Times New Roman" w:cs="Times New Roman"/>
      <w:sz w:val="22"/>
      <w:lang w:val="en-GB"/>
    </w:rPr>
  </w:style>
  <w:style w:type="character" w:customStyle="1" w:styleId="SubtitleChar1">
    <w:name w:val="Subtitle Char1"/>
    <w:basedOn w:val="DefaultParagraphFont"/>
    <w:locked/>
    <w:rsid w:val="00F500C0"/>
    <w:rPr>
      <w:rFonts w:ascii="Times New Roman" w:hAnsi="Times New Roman" w:cs="Times New Roman"/>
      <w:sz w:val="22"/>
      <w:lang w:val="en-GB"/>
    </w:rPr>
  </w:style>
  <w:style w:type="character" w:customStyle="1" w:styleId="Heading3Char1">
    <w:name w:val="Heading 3 Char1"/>
    <w:basedOn w:val="DefaultParagraphFont"/>
    <w:locked/>
    <w:rsid w:val="00F500C0"/>
    <w:rPr>
      <w:rFonts w:ascii="Times New Roman" w:hAnsi="Times New Roman" w:cs="Times New Roman"/>
      <w:iCs/>
      <w:sz w:val="22"/>
      <w:lang w:val="en-GB"/>
    </w:rPr>
  </w:style>
  <w:style w:type="character" w:customStyle="1" w:styleId="BodyTextIndentChar1">
    <w:name w:val="Body Text Indent Char1"/>
    <w:basedOn w:val="DefaultParagraphFont"/>
    <w:semiHidden/>
    <w:locked/>
    <w:rsid w:val="00F500C0"/>
    <w:rPr>
      <w:rFonts w:ascii="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26431583">
      <w:bodyDiv w:val="1"/>
      <w:marLeft w:val="0"/>
      <w:marRight w:val="0"/>
      <w:marTop w:val="0"/>
      <w:marBottom w:val="0"/>
      <w:divBdr>
        <w:top w:val="none" w:sz="0" w:space="0" w:color="auto"/>
        <w:left w:val="none" w:sz="0" w:space="0" w:color="auto"/>
        <w:bottom w:val="none" w:sz="0" w:space="0" w:color="auto"/>
        <w:right w:val="none" w:sz="0" w:space="0" w:color="auto"/>
      </w:divBdr>
      <w:divsChild>
        <w:div w:id="1313480743">
          <w:marLeft w:val="0"/>
          <w:marRight w:val="0"/>
          <w:marTop w:val="0"/>
          <w:marBottom w:val="0"/>
          <w:divBdr>
            <w:top w:val="none" w:sz="0" w:space="0" w:color="auto"/>
            <w:left w:val="none" w:sz="0" w:space="0" w:color="auto"/>
            <w:bottom w:val="none" w:sz="0" w:space="0" w:color="auto"/>
            <w:right w:val="none" w:sz="0" w:space="0" w:color="auto"/>
          </w:divBdr>
          <w:divsChild>
            <w:div w:id="276059701">
              <w:marLeft w:val="0"/>
              <w:marRight w:val="0"/>
              <w:marTop w:val="0"/>
              <w:marBottom w:val="0"/>
              <w:divBdr>
                <w:top w:val="none" w:sz="0" w:space="0" w:color="auto"/>
                <w:left w:val="none" w:sz="0" w:space="0" w:color="auto"/>
                <w:bottom w:val="none" w:sz="0" w:space="0" w:color="auto"/>
                <w:right w:val="none" w:sz="0" w:space="0" w:color="auto"/>
              </w:divBdr>
              <w:divsChild>
                <w:div w:id="1246495077">
                  <w:marLeft w:val="0"/>
                  <w:marRight w:val="300"/>
                  <w:marTop w:val="0"/>
                  <w:marBottom w:val="0"/>
                  <w:divBdr>
                    <w:top w:val="none" w:sz="0" w:space="0" w:color="auto"/>
                    <w:left w:val="none" w:sz="0" w:space="0" w:color="auto"/>
                    <w:bottom w:val="none" w:sz="0" w:space="0" w:color="auto"/>
                    <w:right w:val="none" w:sz="0" w:space="0" w:color="auto"/>
                  </w:divBdr>
                  <w:divsChild>
                    <w:div w:id="110783501">
                      <w:marLeft w:val="0"/>
                      <w:marRight w:val="0"/>
                      <w:marTop w:val="0"/>
                      <w:marBottom w:val="0"/>
                      <w:divBdr>
                        <w:top w:val="none" w:sz="0" w:space="0" w:color="auto"/>
                        <w:left w:val="none" w:sz="0" w:space="0" w:color="auto"/>
                        <w:bottom w:val="none" w:sz="0" w:space="0" w:color="auto"/>
                        <w:right w:val="none" w:sz="0" w:space="0" w:color="auto"/>
                      </w:divBdr>
                      <w:divsChild>
                        <w:div w:id="221454745">
                          <w:marLeft w:val="0"/>
                          <w:marRight w:val="0"/>
                          <w:marTop w:val="0"/>
                          <w:marBottom w:val="0"/>
                          <w:divBdr>
                            <w:top w:val="none" w:sz="0" w:space="0" w:color="auto"/>
                            <w:left w:val="none" w:sz="0" w:space="0" w:color="auto"/>
                            <w:bottom w:val="none" w:sz="0" w:space="0" w:color="auto"/>
                            <w:right w:val="none" w:sz="0" w:space="0" w:color="auto"/>
                          </w:divBdr>
                          <w:divsChild>
                            <w:div w:id="2112582171">
                              <w:marLeft w:val="0"/>
                              <w:marRight w:val="0"/>
                              <w:marTop w:val="0"/>
                              <w:marBottom w:val="0"/>
                              <w:divBdr>
                                <w:top w:val="none" w:sz="0" w:space="0" w:color="auto"/>
                                <w:left w:val="none" w:sz="0" w:space="0" w:color="auto"/>
                                <w:bottom w:val="none" w:sz="0" w:space="0" w:color="auto"/>
                                <w:right w:val="none" w:sz="0" w:space="0" w:color="auto"/>
                              </w:divBdr>
                              <w:divsChild>
                                <w:div w:id="1082291725">
                                  <w:marLeft w:val="0"/>
                                  <w:marRight w:val="0"/>
                                  <w:marTop w:val="0"/>
                                  <w:marBottom w:val="0"/>
                                  <w:divBdr>
                                    <w:top w:val="none" w:sz="0" w:space="0" w:color="auto"/>
                                    <w:left w:val="none" w:sz="0" w:space="0" w:color="auto"/>
                                    <w:bottom w:val="none" w:sz="0" w:space="0" w:color="auto"/>
                                    <w:right w:val="none" w:sz="0" w:space="0" w:color="auto"/>
                                  </w:divBdr>
                                  <w:divsChild>
                                    <w:div w:id="372581071">
                                      <w:marLeft w:val="0"/>
                                      <w:marRight w:val="0"/>
                                      <w:marTop w:val="0"/>
                                      <w:marBottom w:val="0"/>
                                      <w:divBdr>
                                        <w:top w:val="none" w:sz="0" w:space="0" w:color="auto"/>
                                        <w:left w:val="none" w:sz="0" w:space="0" w:color="auto"/>
                                        <w:bottom w:val="none" w:sz="0" w:space="0" w:color="auto"/>
                                        <w:right w:val="none" w:sz="0" w:space="0" w:color="auto"/>
                                      </w:divBdr>
                                    </w:div>
                                    <w:div w:id="462119864">
                                      <w:marLeft w:val="0"/>
                                      <w:marRight w:val="0"/>
                                      <w:marTop w:val="0"/>
                                      <w:marBottom w:val="0"/>
                                      <w:divBdr>
                                        <w:top w:val="none" w:sz="0" w:space="0" w:color="auto"/>
                                        <w:left w:val="none" w:sz="0" w:space="0" w:color="auto"/>
                                        <w:bottom w:val="none" w:sz="0" w:space="0" w:color="auto"/>
                                        <w:right w:val="none" w:sz="0" w:space="0" w:color="auto"/>
                                      </w:divBdr>
                                    </w:div>
                                    <w:div w:id="937447470">
                                      <w:marLeft w:val="0"/>
                                      <w:marRight w:val="0"/>
                                      <w:marTop w:val="0"/>
                                      <w:marBottom w:val="0"/>
                                      <w:divBdr>
                                        <w:top w:val="none" w:sz="0" w:space="0" w:color="auto"/>
                                        <w:left w:val="none" w:sz="0" w:space="0" w:color="auto"/>
                                        <w:bottom w:val="none" w:sz="0" w:space="0" w:color="auto"/>
                                        <w:right w:val="none" w:sz="0" w:space="0" w:color="auto"/>
                                      </w:divBdr>
                                    </w:div>
                                    <w:div w:id="16443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1375">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515731297">
      <w:bodyDiv w:val="1"/>
      <w:marLeft w:val="0"/>
      <w:marRight w:val="0"/>
      <w:marTop w:val="0"/>
      <w:marBottom w:val="0"/>
      <w:divBdr>
        <w:top w:val="none" w:sz="0" w:space="0" w:color="auto"/>
        <w:left w:val="none" w:sz="0" w:space="0" w:color="auto"/>
        <w:bottom w:val="none" w:sz="0" w:space="0" w:color="auto"/>
        <w:right w:val="none" w:sz="0" w:space="0" w:color="auto"/>
      </w:divBdr>
    </w:div>
    <w:div w:id="656422072">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86913672">
      <w:bodyDiv w:val="1"/>
      <w:marLeft w:val="0"/>
      <w:marRight w:val="0"/>
      <w:marTop w:val="0"/>
      <w:marBottom w:val="0"/>
      <w:divBdr>
        <w:top w:val="none" w:sz="0" w:space="0" w:color="auto"/>
        <w:left w:val="none" w:sz="0" w:space="0" w:color="auto"/>
        <w:bottom w:val="none" w:sz="0" w:space="0" w:color="auto"/>
        <w:right w:val="none" w:sz="0" w:space="0" w:color="auto"/>
      </w:divBdr>
    </w:div>
    <w:div w:id="943533640">
      <w:bodyDiv w:val="1"/>
      <w:marLeft w:val="0"/>
      <w:marRight w:val="0"/>
      <w:marTop w:val="0"/>
      <w:marBottom w:val="0"/>
      <w:divBdr>
        <w:top w:val="none" w:sz="0" w:space="0" w:color="auto"/>
        <w:left w:val="none" w:sz="0" w:space="0" w:color="auto"/>
        <w:bottom w:val="none" w:sz="0" w:space="0" w:color="auto"/>
        <w:right w:val="none" w:sz="0" w:space="0" w:color="auto"/>
      </w:divBdr>
      <w:divsChild>
        <w:div w:id="64888195">
          <w:marLeft w:val="0"/>
          <w:marRight w:val="0"/>
          <w:marTop w:val="0"/>
          <w:marBottom w:val="0"/>
          <w:divBdr>
            <w:top w:val="none" w:sz="0" w:space="0" w:color="auto"/>
            <w:left w:val="none" w:sz="0" w:space="0" w:color="auto"/>
            <w:bottom w:val="none" w:sz="0" w:space="0" w:color="auto"/>
            <w:right w:val="none" w:sz="0" w:space="0" w:color="auto"/>
          </w:divBdr>
          <w:divsChild>
            <w:div w:id="2127695923">
              <w:marLeft w:val="0"/>
              <w:marRight w:val="0"/>
              <w:marTop w:val="0"/>
              <w:marBottom w:val="0"/>
              <w:divBdr>
                <w:top w:val="none" w:sz="0" w:space="0" w:color="auto"/>
                <w:left w:val="none" w:sz="0" w:space="0" w:color="auto"/>
                <w:bottom w:val="none" w:sz="0" w:space="0" w:color="auto"/>
                <w:right w:val="none" w:sz="0" w:space="0" w:color="auto"/>
              </w:divBdr>
              <w:divsChild>
                <w:div w:id="1073308312">
                  <w:marLeft w:val="0"/>
                  <w:marRight w:val="300"/>
                  <w:marTop w:val="0"/>
                  <w:marBottom w:val="0"/>
                  <w:divBdr>
                    <w:top w:val="none" w:sz="0" w:space="0" w:color="auto"/>
                    <w:left w:val="none" w:sz="0" w:space="0" w:color="auto"/>
                    <w:bottom w:val="none" w:sz="0" w:space="0" w:color="auto"/>
                    <w:right w:val="none" w:sz="0" w:space="0" w:color="auto"/>
                  </w:divBdr>
                  <w:divsChild>
                    <w:div w:id="320500646">
                      <w:marLeft w:val="0"/>
                      <w:marRight w:val="0"/>
                      <w:marTop w:val="0"/>
                      <w:marBottom w:val="0"/>
                      <w:divBdr>
                        <w:top w:val="none" w:sz="0" w:space="0" w:color="auto"/>
                        <w:left w:val="none" w:sz="0" w:space="0" w:color="auto"/>
                        <w:bottom w:val="none" w:sz="0" w:space="0" w:color="auto"/>
                        <w:right w:val="none" w:sz="0" w:space="0" w:color="auto"/>
                      </w:divBdr>
                      <w:divsChild>
                        <w:div w:id="1805270024">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sChild>
                                <w:div w:id="773549218">
                                  <w:marLeft w:val="0"/>
                                  <w:marRight w:val="0"/>
                                  <w:marTop w:val="0"/>
                                  <w:marBottom w:val="0"/>
                                  <w:divBdr>
                                    <w:top w:val="none" w:sz="0" w:space="0" w:color="auto"/>
                                    <w:left w:val="none" w:sz="0" w:space="0" w:color="auto"/>
                                    <w:bottom w:val="none" w:sz="0" w:space="0" w:color="auto"/>
                                    <w:right w:val="none" w:sz="0" w:space="0" w:color="auto"/>
                                  </w:divBdr>
                                  <w:divsChild>
                                    <w:div w:id="1506045567">
                                      <w:marLeft w:val="0"/>
                                      <w:marRight w:val="0"/>
                                      <w:marTop w:val="0"/>
                                      <w:marBottom w:val="0"/>
                                      <w:divBdr>
                                        <w:top w:val="none" w:sz="0" w:space="0" w:color="auto"/>
                                        <w:left w:val="none" w:sz="0" w:space="0" w:color="auto"/>
                                        <w:bottom w:val="none" w:sz="0" w:space="0" w:color="auto"/>
                                        <w:right w:val="none" w:sz="0" w:space="0" w:color="auto"/>
                                      </w:divBdr>
                                      <w:divsChild>
                                        <w:div w:id="726731402">
                                          <w:marLeft w:val="0"/>
                                          <w:marRight w:val="0"/>
                                          <w:marTop w:val="0"/>
                                          <w:marBottom w:val="0"/>
                                          <w:divBdr>
                                            <w:top w:val="none" w:sz="0" w:space="0" w:color="auto"/>
                                            <w:left w:val="none" w:sz="0" w:space="0" w:color="auto"/>
                                            <w:bottom w:val="none" w:sz="0" w:space="0" w:color="auto"/>
                                            <w:right w:val="none" w:sz="0" w:space="0" w:color="auto"/>
                                          </w:divBdr>
                                          <w:divsChild>
                                            <w:div w:id="348289330">
                                              <w:marLeft w:val="0"/>
                                              <w:marRight w:val="0"/>
                                              <w:marTop w:val="105"/>
                                              <w:marBottom w:val="105"/>
                                              <w:divBdr>
                                                <w:top w:val="none" w:sz="0" w:space="0" w:color="auto"/>
                                                <w:left w:val="none" w:sz="0" w:space="0" w:color="auto"/>
                                                <w:bottom w:val="none" w:sz="0" w:space="0" w:color="auto"/>
                                                <w:right w:val="none" w:sz="0" w:space="0" w:color="auto"/>
                                              </w:divBdr>
                                              <w:divsChild>
                                                <w:div w:id="362943196">
                                                  <w:marLeft w:val="0"/>
                                                  <w:marRight w:val="0"/>
                                                  <w:marTop w:val="105"/>
                                                  <w:marBottom w:val="105"/>
                                                  <w:divBdr>
                                                    <w:top w:val="none" w:sz="0" w:space="0" w:color="auto"/>
                                                    <w:left w:val="none" w:sz="0" w:space="0" w:color="auto"/>
                                                    <w:bottom w:val="none" w:sz="0" w:space="0" w:color="auto"/>
                                                    <w:right w:val="none" w:sz="0" w:space="0" w:color="auto"/>
                                                  </w:divBdr>
                                                </w:div>
                                                <w:div w:id="530921151">
                                                  <w:marLeft w:val="0"/>
                                                  <w:marRight w:val="0"/>
                                                  <w:marTop w:val="105"/>
                                                  <w:marBottom w:val="105"/>
                                                  <w:divBdr>
                                                    <w:top w:val="none" w:sz="0" w:space="0" w:color="auto"/>
                                                    <w:left w:val="none" w:sz="0" w:space="0" w:color="auto"/>
                                                    <w:bottom w:val="none" w:sz="0" w:space="0" w:color="auto"/>
                                                    <w:right w:val="none" w:sz="0" w:space="0" w:color="auto"/>
                                                  </w:divBdr>
                                                </w:div>
                                                <w:div w:id="619531423">
                                                  <w:marLeft w:val="0"/>
                                                  <w:marRight w:val="0"/>
                                                  <w:marTop w:val="105"/>
                                                  <w:marBottom w:val="105"/>
                                                  <w:divBdr>
                                                    <w:top w:val="none" w:sz="0" w:space="0" w:color="auto"/>
                                                    <w:left w:val="none" w:sz="0" w:space="0" w:color="auto"/>
                                                    <w:bottom w:val="none" w:sz="0" w:space="0" w:color="auto"/>
                                                    <w:right w:val="none" w:sz="0" w:space="0" w:color="auto"/>
                                                  </w:divBdr>
                                                </w:div>
                                                <w:div w:id="165964956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78289086">
      <w:bodyDiv w:val="1"/>
      <w:marLeft w:val="0"/>
      <w:marRight w:val="0"/>
      <w:marTop w:val="0"/>
      <w:marBottom w:val="0"/>
      <w:divBdr>
        <w:top w:val="none" w:sz="0" w:space="0" w:color="auto"/>
        <w:left w:val="none" w:sz="0" w:space="0" w:color="auto"/>
        <w:bottom w:val="none" w:sz="0" w:space="0" w:color="auto"/>
        <w:right w:val="none" w:sz="0" w:space="0" w:color="auto"/>
      </w:divBdr>
    </w:div>
    <w:div w:id="1116946770">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206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48605843">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8284" TargetMode="External"/><Relationship Id="rId18" Type="http://schemas.openxmlformats.org/officeDocument/2006/relationships/hyperlink" Target="http://bch.cbd.int/protocol/decisions/?decisionID=12329" TargetMode="External"/><Relationship Id="rId26" Type="http://schemas.openxmlformats.org/officeDocument/2006/relationships/hyperlink" Target="https://www.cbd.int/doc/decisions/mop-06/full/mop-06-dec-es.pdf" TargetMode="External"/><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bch.cbd.int/protocol/decisions/?decisionID=12315" TargetMode="External"/><Relationship Id="rId34" Type="http://schemas.openxmlformats.org/officeDocument/2006/relationships/header" Target="header2.xml"/><Relationship Id="rId42" Type="http://schemas.openxmlformats.org/officeDocument/2006/relationships/header" Target="header5.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mop-08/mop-08-dec-02-es.pdf" TargetMode="External"/><Relationship Id="rId17" Type="http://schemas.openxmlformats.org/officeDocument/2006/relationships/hyperlink" Target="https://www.cbd.int/doc/decisions/mop-06/full/mop-06-dec-es.pdf" TargetMode="External"/><Relationship Id="rId25" Type="http://schemas.openxmlformats.org/officeDocument/2006/relationships/hyperlink" Target="https://www.cbd.int/doc/decisions/cop-12/cop-12-dec-24-es.pdf"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mop-08/mop-08-dec-14-es.pdf" TargetMode="External"/><Relationship Id="rId20" Type="http://schemas.openxmlformats.org/officeDocument/2006/relationships/hyperlink" Target="https://www.cbd.int/doc/decisions/mop-08/mop-08-dec-10-es.pdf" TargetMode="External"/><Relationship Id="rId29" Type="http://schemas.openxmlformats.org/officeDocument/2006/relationships/hyperlink" Target="http://bch.cbd.int/protocol/decisions/?decisionID=1351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decisions/mop-07/mop-07-dec-12-es.pdf" TargetMode="External"/><Relationship Id="rId32" Type="http://schemas.openxmlformats.org/officeDocument/2006/relationships/hyperlink" Target="https://www.cbd.int/decision/cop/default.shtml?id=7097" TargetMode="External"/><Relationship Id="rId37" Type="http://schemas.openxmlformats.org/officeDocument/2006/relationships/hyperlink" Target="https://www.cbd.int/world/map.shtml?country=vc" TargetMode="External"/><Relationship Id="rId40" Type="http://schemas.openxmlformats.org/officeDocument/2006/relationships/footer" Target="footer1.xml"/><Relationship Id="rId45" Type="http://schemas.openxmlformats.org/officeDocument/2006/relationships/hyperlink" Target="https://www.cbd.int/world/map.shtml?country=vc" TargetMode="External"/><Relationship Id="rId5" Type="http://schemas.openxmlformats.org/officeDocument/2006/relationships/settings" Target="settings.xml"/><Relationship Id="rId15" Type="http://schemas.openxmlformats.org/officeDocument/2006/relationships/hyperlink" Target="https://www.cbd.int/doc/decisions/mop-08/mop-08-dec-03-es.pdf" TargetMode="External"/><Relationship Id="rId23" Type="http://schemas.openxmlformats.org/officeDocument/2006/relationships/hyperlink" Target="https://www.cbd.int/doc/decisions/mop-08/mop-08-dec-17-es.pdf" TargetMode="External"/><Relationship Id="rId28" Type="http://schemas.openxmlformats.org/officeDocument/2006/relationships/hyperlink" Target="https://www.cbd.int/doc/decisions/mop-08/mop-08-dec-13-es.pdf" TargetMode="External"/><Relationship Id="rId36" Type="http://schemas.openxmlformats.org/officeDocument/2006/relationships/hyperlink" Target="https://www.cbd.int/world/map.shtml?country=kn" TargetMode="External"/><Relationship Id="rId10" Type="http://schemas.openxmlformats.org/officeDocument/2006/relationships/image" Target="media/image2.emf"/><Relationship Id="rId19" Type="http://schemas.openxmlformats.org/officeDocument/2006/relationships/hyperlink" Target="https://www.cbd.int/doc/decisions/mop-07/mop-07-dec-09-es.pdf" TargetMode="External"/><Relationship Id="rId31" Type="http://schemas.openxmlformats.org/officeDocument/2006/relationships/hyperlink" Target="https://www.cbd.int/doc/decisions/np-mop-02/np-mop-02-dec-13-es.pdf" TargetMode="External"/><Relationship Id="rId44" Type="http://schemas.openxmlformats.org/officeDocument/2006/relationships/hyperlink" Target="https://www.cbd.int/world/map.shtml?country=kn"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mop-06/full/mop-06-dec-es.pdf" TargetMode="External"/><Relationship Id="rId22" Type="http://schemas.openxmlformats.org/officeDocument/2006/relationships/hyperlink" Target="https://www.cbd.int/doc/decisions/mop-07/mop-07-dec-02-es.pdf" TargetMode="External"/><Relationship Id="rId27" Type="http://schemas.openxmlformats.org/officeDocument/2006/relationships/hyperlink" Target="https://www.cbd.int/doc/decisions/mop-07/mop-07-dec-13-es.pdf" TargetMode="External"/><Relationship Id="rId30" Type="http://schemas.openxmlformats.org/officeDocument/2006/relationships/hyperlink" Target="https://www.cbd.int/doc/decisions/cop-13/cop-13-dec-32-es.pdf" TargetMode="External"/><Relationship Id="rId35" Type="http://schemas.openxmlformats.org/officeDocument/2006/relationships/hyperlink" Target="https://www.cbd.int/world/map.shtml?country=kp" TargetMode="External"/><Relationship Id="rId43" Type="http://schemas.openxmlformats.org/officeDocument/2006/relationships/hyperlink" Target="https://www.cbd.int/world/map.shtml?country=kp"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secretariat@cbd.int" TargetMode="External"/><Relationship Id="rId7" Type="http://schemas.openxmlformats.org/officeDocument/2006/relationships/hyperlink" Target="https://www.cbd.int/doc/notifications/2019/ntf-2019-016-budget-cp-en.pdf" TargetMode="External"/><Relationship Id="rId2" Type="http://schemas.openxmlformats.org/officeDocument/2006/relationships/hyperlink" Target="https://bch.cbd.int/protocol/decisions/decision.shtml?decisionID=12329" TargetMode="External"/><Relationship Id="rId1" Type="http://schemas.openxmlformats.org/officeDocument/2006/relationships/hyperlink" Target="https://www.cbd.int/doc/c/43ac/7ff3/fee412b823b3466ca25fcef9/sbi-02-22-es.pdf" TargetMode="External"/><Relationship Id="rId6" Type="http://schemas.openxmlformats.org/officeDocument/2006/relationships/hyperlink" Target="https://www.cbd.int/doc/decisions/cop-08/full/cop-08-dec-es.pdf" TargetMode="External"/><Relationship Id="rId5" Type="http://schemas.openxmlformats.org/officeDocument/2006/relationships/hyperlink" Target="https://www.cbd.int/doc/c/0069/ee5c/e2cdfdb1252f37b6e10bb6af/sbi-02-16-add1-es.pdf" TargetMode="External"/><Relationship Id="rId4" Type="http://schemas.openxmlformats.org/officeDocument/2006/relationships/hyperlink" Target="https://www.cbd.int/doc/c/cfe8/c72a/59a488b075654335f58f3673/sbi-02-16-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8D5438D86D4A71BBE6089CEEBFFBDE"/>
        <w:category>
          <w:name w:val="General"/>
          <w:gallery w:val="placeholder"/>
        </w:category>
        <w:types>
          <w:type w:val="bbPlcHdr"/>
        </w:types>
        <w:behaviors>
          <w:behavior w:val="content"/>
        </w:behaviors>
        <w:guid w:val="{30DD45C2-5FCE-4116-BB42-E06BE614BA81}"/>
      </w:docPartPr>
      <w:docPartBody>
        <w:p w:rsidR="00230542" w:rsidRDefault="00230542" w:rsidP="00230542">
          <w:pPr>
            <w:pStyle w:val="D78D5438D86D4A71BBE6089CEEBFFBDE"/>
          </w:pPr>
          <w:r w:rsidRPr="007E02EB">
            <w:rPr>
              <w:rStyle w:val="PlaceholderText"/>
            </w:rPr>
            <w:t>[Status]</w:t>
          </w:r>
        </w:p>
      </w:docPartBody>
    </w:docPart>
    <w:docPart>
      <w:docPartPr>
        <w:name w:val="44258BF6970D4CC59FE855240C8C7AF3"/>
        <w:category>
          <w:name w:val="General"/>
          <w:gallery w:val="placeholder"/>
        </w:category>
        <w:types>
          <w:type w:val="bbPlcHdr"/>
        </w:types>
        <w:behaviors>
          <w:behavior w:val="content"/>
        </w:behaviors>
        <w:guid w:val="{796A718C-F9C5-483E-9056-90CEBE9E37E4}"/>
      </w:docPartPr>
      <w:docPartBody>
        <w:p w:rsidR="00230542" w:rsidRDefault="00230542" w:rsidP="00230542">
          <w:pPr>
            <w:pStyle w:val="44258BF6970D4CC59FE855240C8C7AF3"/>
          </w:pPr>
          <w:r w:rsidRPr="007E02EB">
            <w:rPr>
              <w:rStyle w:val="PlaceholderText"/>
            </w:rPr>
            <w:t>[Subject]</w:t>
          </w:r>
        </w:p>
      </w:docPartBody>
    </w:docPart>
    <w:docPart>
      <w:docPartPr>
        <w:name w:val="9E8E2A4135FA43898FBCA955F7910517"/>
        <w:category>
          <w:name w:val="General"/>
          <w:gallery w:val="placeholder"/>
        </w:category>
        <w:types>
          <w:type w:val="bbPlcHdr"/>
        </w:types>
        <w:behaviors>
          <w:behavior w:val="content"/>
        </w:behaviors>
        <w:guid w:val="{7BCC79FF-A610-4B44-B051-9B25FCD843F5}"/>
      </w:docPartPr>
      <w:docPartBody>
        <w:p w:rsidR="00774A6F" w:rsidRDefault="00774A6F">
          <w:r w:rsidRPr="00C23C16">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230542"/>
    <w:rsid w:val="00050D11"/>
    <w:rsid w:val="00074019"/>
    <w:rsid w:val="00230542"/>
    <w:rsid w:val="002A49CA"/>
    <w:rsid w:val="003226CA"/>
    <w:rsid w:val="00330AF8"/>
    <w:rsid w:val="00344D4E"/>
    <w:rsid w:val="003479F5"/>
    <w:rsid w:val="003A5BC4"/>
    <w:rsid w:val="003C67AE"/>
    <w:rsid w:val="00465665"/>
    <w:rsid w:val="004712C3"/>
    <w:rsid w:val="00477BE1"/>
    <w:rsid w:val="004A49D1"/>
    <w:rsid w:val="005008DE"/>
    <w:rsid w:val="00507D43"/>
    <w:rsid w:val="005106AF"/>
    <w:rsid w:val="006B0156"/>
    <w:rsid w:val="006B1068"/>
    <w:rsid w:val="006C4372"/>
    <w:rsid w:val="006E614F"/>
    <w:rsid w:val="00774A6F"/>
    <w:rsid w:val="00860C40"/>
    <w:rsid w:val="008A08EB"/>
    <w:rsid w:val="008B3CDB"/>
    <w:rsid w:val="008E3B7B"/>
    <w:rsid w:val="009310FF"/>
    <w:rsid w:val="00976D44"/>
    <w:rsid w:val="00A01AEF"/>
    <w:rsid w:val="00A52D72"/>
    <w:rsid w:val="00A718BD"/>
    <w:rsid w:val="00A83287"/>
    <w:rsid w:val="00B06793"/>
    <w:rsid w:val="00B54946"/>
    <w:rsid w:val="00BF0596"/>
    <w:rsid w:val="00C07AA5"/>
    <w:rsid w:val="00D77485"/>
    <w:rsid w:val="00D8192A"/>
    <w:rsid w:val="00DC0067"/>
    <w:rsid w:val="00E66889"/>
    <w:rsid w:val="00F24F57"/>
    <w:rsid w:val="00FA7455"/>
    <w:rsid w:val="00FF4DE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3287"/>
    <w:rPr>
      <w:color w:val="808080"/>
    </w:rPr>
  </w:style>
  <w:style w:type="paragraph" w:customStyle="1" w:styleId="D78D5438D86D4A71BBE6089CEEBFFBDE">
    <w:name w:val="D78D5438D86D4A71BBE6089CEEBFFBDE"/>
    <w:rsid w:val="00230542"/>
  </w:style>
  <w:style w:type="paragraph" w:customStyle="1" w:styleId="44258BF6970D4CC59FE855240C8C7AF3">
    <w:name w:val="44258BF6970D4CC59FE855240C8C7AF3"/>
    <w:rsid w:val="00230542"/>
  </w:style>
  <w:style w:type="paragraph" w:customStyle="1" w:styleId="8CDFAA1EFF984817A8F23316EBBCEA15">
    <w:name w:val="8CDFAA1EFF984817A8F23316EBBCEA15"/>
    <w:rsid w:val="00230542"/>
  </w:style>
  <w:style w:type="paragraph" w:customStyle="1" w:styleId="10C6755F202446B9BB7D7DB4A32425ED">
    <w:name w:val="10C6755F202446B9BB7D7DB4A32425ED"/>
    <w:rsid w:val="00A83287"/>
    <w:rPr>
      <w:lang w:val="en-CA" w:eastAsia="en-CA"/>
    </w:rPr>
  </w:style>
  <w:style w:type="paragraph" w:customStyle="1" w:styleId="C51287BAB33D4525949843A812E88887">
    <w:name w:val="C51287BAB33D4525949843A812E88887"/>
    <w:rsid w:val="00A83287"/>
    <w:rPr>
      <w:lang w:val="en-CA" w:eastAsia="en-CA"/>
    </w:rPr>
  </w:style>
  <w:style w:type="paragraph" w:customStyle="1" w:styleId="6ADB49FDB9BA4A68A6D062B604E85051">
    <w:name w:val="6ADB49FDB9BA4A68A6D062B604E85051"/>
    <w:rsid w:val="00A83287"/>
    <w:rPr>
      <w:lang w:val="en-CA" w:eastAsia="en-CA"/>
    </w:rPr>
  </w:style>
  <w:style w:type="paragraph" w:customStyle="1" w:styleId="5808F111724C47C99623803746D24336">
    <w:name w:val="5808F111724C47C99623803746D24336"/>
    <w:rsid w:val="00A83287"/>
    <w:rPr>
      <w:lang w:val="en-CA" w:eastAsia="en-CA"/>
    </w:rPr>
  </w:style>
  <w:style w:type="paragraph" w:customStyle="1" w:styleId="2087796A328D40958DE955492D14D811">
    <w:name w:val="2087796A328D40958DE955492D14D811"/>
    <w:rsid w:val="00A83287"/>
    <w:rPr>
      <w:lang w:val="en-CA" w:eastAsia="en-CA"/>
    </w:rPr>
  </w:style>
  <w:style w:type="paragraph" w:customStyle="1" w:styleId="F35E635BA3E24B96BAC25CB82B797E0C">
    <w:name w:val="F35E635BA3E24B96BAC25CB82B797E0C"/>
    <w:rsid w:val="00A83287"/>
    <w:rPr>
      <w:lang w:val="en-CA" w:eastAsia="en-CA"/>
    </w:rPr>
  </w:style>
  <w:style w:type="paragraph" w:customStyle="1" w:styleId="76A3FC51D56D4DA5BCDAC96A3372FD97">
    <w:name w:val="76A3FC51D56D4DA5BCDAC96A3372FD97"/>
    <w:rsid w:val="00A83287"/>
    <w:rPr>
      <w:lang w:val="en-CA" w:eastAsia="en-CA"/>
    </w:rPr>
  </w:style>
  <w:style w:type="paragraph" w:customStyle="1" w:styleId="F429BE387B044A5085EA00B2DC81E2E7">
    <w:name w:val="F429BE387B044A5085EA00B2DC81E2E7"/>
    <w:rsid w:val="00A83287"/>
    <w:rPr>
      <w:lang w:val="en-CA" w:eastAsia="en-CA"/>
    </w:rPr>
  </w:style>
  <w:style w:type="paragraph" w:customStyle="1" w:styleId="A55F41C7F68C4743AF689AF566365684">
    <w:name w:val="A55F41C7F68C4743AF689AF566365684"/>
    <w:rsid w:val="00A83287"/>
    <w:rPr>
      <w:lang w:val="en-CA" w:eastAsia="en-CA"/>
    </w:rPr>
  </w:style>
  <w:style w:type="paragraph" w:customStyle="1" w:styleId="686451210A4A476F8A908C1A16721885">
    <w:name w:val="686451210A4A476F8A908C1A16721885"/>
    <w:rsid w:val="00A83287"/>
    <w:rPr>
      <w:lang w:val="en-CA" w:eastAsia="en-CA"/>
    </w:rPr>
  </w:style>
  <w:style w:type="paragraph" w:customStyle="1" w:styleId="136CF0477D9F44F2B2A1EB6536CDB397">
    <w:name w:val="136CF0477D9F44F2B2A1EB6536CDB397"/>
    <w:rsid w:val="00A83287"/>
    <w:rPr>
      <w:lang w:val="en-CA" w:eastAsia="en-CA"/>
    </w:rPr>
  </w:style>
  <w:style w:type="paragraph" w:customStyle="1" w:styleId="8E0FD17E8033404EB4E2694AFD99CE61">
    <w:name w:val="8E0FD17E8033404EB4E2694AFD99CE61"/>
    <w:rsid w:val="00A83287"/>
    <w:rPr>
      <w:lang w:val="en-CA" w:eastAsia="en-CA"/>
    </w:rPr>
  </w:style>
  <w:style w:type="paragraph" w:customStyle="1" w:styleId="7A644EB3755546128747FC0DDB16B766">
    <w:name w:val="7A644EB3755546128747FC0DDB16B766"/>
    <w:rsid w:val="00A83287"/>
    <w:rPr>
      <w:lang w:val="en-CA" w:eastAsia="en-CA"/>
    </w:rPr>
  </w:style>
  <w:style w:type="paragraph" w:customStyle="1" w:styleId="1693C0743E15452088E57111AD27DD09">
    <w:name w:val="1693C0743E15452088E57111AD27DD09"/>
    <w:rsid w:val="00A83287"/>
    <w:rPr>
      <w:lang w:val="en-CA" w:eastAsia="en-CA"/>
    </w:rPr>
  </w:style>
  <w:style w:type="paragraph" w:customStyle="1" w:styleId="AE8074789A984446BB8841774D078C8E">
    <w:name w:val="AE8074789A984446BB8841774D078C8E"/>
    <w:rsid w:val="00A83287"/>
    <w:rPr>
      <w:lang w:val="en-CA" w:eastAsia="en-CA"/>
    </w:rPr>
  </w:style>
  <w:style w:type="paragraph" w:customStyle="1" w:styleId="F7F2A671D16A4A7F90C4B6D6D115EF6C">
    <w:name w:val="F7F2A671D16A4A7F90C4B6D6D115EF6C"/>
    <w:rsid w:val="00A83287"/>
    <w:rPr>
      <w:lang w:val="en-CA" w:eastAsia="en-CA"/>
    </w:rPr>
  </w:style>
  <w:style w:type="paragraph" w:customStyle="1" w:styleId="C32BDA30C35D49A5B34327E7D48FE9F2">
    <w:name w:val="C32BDA30C35D49A5B34327E7D48FE9F2"/>
    <w:rsid w:val="00A83287"/>
    <w:rPr>
      <w:lang w:val="en-CA" w:eastAsia="en-CA"/>
    </w:rPr>
  </w:style>
  <w:style w:type="paragraph" w:customStyle="1" w:styleId="3B84A4BC84134E0286E2B9A0774EBB59">
    <w:name w:val="3B84A4BC84134E0286E2B9A0774EBB59"/>
    <w:rsid w:val="00A83287"/>
    <w:rPr>
      <w:lang w:val="en-CA" w:eastAsia="en-CA"/>
    </w:rPr>
  </w:style>
  <w:style w:type="paragraph" w:customStyle="1" w:styleId="4DA4DE38CE6C48DEA79DE23CDB9B2BB8">
    <w:name w:val="4DA4DE38CE6C48DEA79DE23CDB9B2BB8"/>
    <w:rsid w:val="00A83287"/>
    <w:rPr>
      <w:lang w:val="en-CA" w:eastAsia="en-CA"/>
    </w:rPr>
  </w:style>
  <w:style w:type="paragraph" w:customStyle="1" w:styleId="3B9B29EE144F4309BE230DB5009846ED">
    <w:name w:val="3B9B29EE144F4309BE230DB5009846ED"/>
    <w:rsid w:val="00A83287"/>
    <w:rPr>
      <w:lang w:val="en-CA" w:eastAsia="en-CA"/>
    </w:rPr>
  </w:style>
  <w:style w:type="paragraph" w:customStyle="1" w:styleId="226E4885CD4E4EB685BBC57425C3135E">
    <w:name w:val="226E4885CD4E4EB685BBC57425C3135E"/>
    <w:rsid w:val="00A83287"/>
    <w:rPr>
      <w:lang w:val="en-CA" w:eastAsia="en-CA"/>
    </w:rPr>
  </w:style>
  <w:style w:type="paragraph" w:customStyle="1" w:styleId="73DFE32BB4EB4B72BE961EDD7DF4E11C">
    <w:name w:val="73DFE32BB4EB4B72BE961EDD7DF4E11C"/>
    <w:rsid w:val="00A83287"/>
    <w:rPr>
      <w:lang w:val="en-CA" w:eastAsia="en-CA"/>
    </w:rPr>
  </w:style>
  <w:style w:type="paragraph" w:customStyle="1" w:styleId="76D1BFB1127D41719DBE65004CF88432">
    <w:name w:val="76D1BFB1127D41719DBE65004CF88432"/>
    <w:rsid w:val="00A83287"/>
    <w:rPr>
      <w:lang w:val="en-CA" w:eastAsia="en-CA"/>
    </w:rPr>
  </w:style>
  <w:style w:type="paragraph" w:customStyle="1" w:styleId="490767F1897D473EAF757BA2EB490B63">
    <w:name w:val="490767F1897D473EAF757BA2EB490B63"/>
    <w:rsid w:val="00A83287"/>
    <w:rPr>
      <w:lang w:val="en-CA" w:eastAsia="en-CA"/>
    </w:rPr>
  </w:style>
  <w:style w:type="paragraph" w:customStyle="1" w:styleId="DC628B83FE8B4152A97B43FDE993A73C">
    <w:name w:val="DC628B83FE8B4152A97B43FDE993A73C"/>
    <w:rsid w:val="00A83287"/>
    <w:rPr>
      <w:lang w:val="en-CA" w:eastAsia="en-CA"/>
    </w:rPr>
  </w:style>
  <w:style w:type="paragraph" w:customStyle="1" w:styleId="E9256184352C4916917C1F9CC08421A6">
    <w:name w:val="E9256184352C4916917C1F9CC08421A6"/>
    <w:rsid w:val="00A83287"/>
    <w:rPr>
      <w:lang w:val="en-CA" w:eastAsia="en-CA"/>
    </w:rPr>
  </w:style>
  <w:style w:type="paragraph" w:customStyle="1" w:styleId="912FB8C68B744C60AD6812F026EC6FC6">
    <w:name w:val="912FB8C68B744C60AD6812F026EC6FC6"/>
    <w:rsid w:val="00A83287"/>
    <w:rPr>
      <w:lang w:val="en-CA" w:eastAsia="en-CA"/>
    </w:rPr>
  </w:style>
  <w:style w:type="paragraph" w:customStyle="1" w:styleId="BAFFE8714AF44ED2A359201B994BEC8A">
    <w:name w:val="BAFFE8714AF44ED2A359201B994BEC8A"/>
    <w:rsid w:val="00A83287"/>
    <w:rPr>
      <w:lang w:val="en-CA" w:eastAsia="en-CA"/>
    </w:rPr>
  </w:style>
  <w:style w:type="paragraph" w:customStyle="1" w:styleId="49ECFE0C94E84D2EBC81DF903D4197CD">
    <w:name w:val="49ECFE0C94E84D2EBC81DF903D4197CD"/>
    <w:rsid w:val="00A83287"/>
    <w:rPr>
      <w:lang w:val="en-CA" w:eastAsia="en-CA"/>
    </w:rPr>
  </w:style>
  <w:style w:type="paragraph" w:customStyle="1" w:styleId="C21F96B3EEDE4F1F9E6D8DBDE518698D">
    <w:name w:val="C21F96B3EEDE4F1F9E6D8DBDE518698D"/>
    <w:rsid w:val="00A83287"/>
    <w:rPr>
      <w:lang w:val="en-CA" w:eastAsia="en-CA"/>
    </w:rPr>
  </w:style>
  <w:style w:type="paragraph" w:customStyle="1" w:styleId="6C14A237C45A4B05AA15C910776EB33D">
    <w:name w:val="6C14A237C45A4B05AA15C910776EB33D"/>
    <w:rsid w:val="00A83287"/>
    <w:rPr>
      <w:lang w:val="en-CA" w:eastAsia="en-CA"/>
    </w:rPr>
  </w:style>
  <w:style w:type="paragraph" w:customStyle="1" w:styleId="9DACD883D7BB42018BA418E09835B636">
    <w:name w:val="9DACD883D7BB42018BA418E09835B636"/>
    <w:rsid w:val="00A83287"/>
    <w:rPr>
      <w:lang w:val="en-CA" w:eastAsia="en-CA"/>
    </w:rPr>
  </w:style>
  <w:style w:type="paragraph" w:customStyle="1" w:styleId="F0D8548E12C04219AA96FCCF03F06234">
    <w:name w:val="F0D8548E12C04219AA96FCCF03F06234"/>
    <w:rsid w:val="00A83287"/>
    <w:rPr>
      <w:lang w:val="en-CA" w:eastAsia="en-CA"/>
    </w:rPr>
  </w:style>
  <w:style w:type="paragraph" w:customStyle="1" w:styleId="DE2E2EFCBE66491F845B13D4701C75C8">
    <w:name w:val="DE2E2EFCBE66491F845B13D4701C75C8"/>
    <w:rsid w:val="00A83287"/>
    <w:rPr>
      <w:lang w:val="en-CA" w:eastAsia="en-CA"/>
    </w:rPr>
  </w:style>
  <w:style w:type="paragraph" w:customStyle="1" w:styleId="612739DE687B40A6B1FC4777314E5EC8">
    <w:name w:val="612739DE687B40A6B1FC4777314E5EC8"/>
    <w:rsid w:val="00A83287"/>
    <w:rPr>
      <w:lang w:val="en-CA" w:eastAsia="en-CA"/>
    </w:rPr>
  </w:style>
  <w:style w:type="paragraph" w:customStyle="1" w:styleId="EE990C65DC2C47DDBE7B3B3EE02A8016">
    <w:name w:val="EE990C65DC2C47DDBE7B3B3EE02A8016"/>
    <w:rsid w:val="00A83287"/>
    <w:rPr>
      <w:lang w:val="en-CA" w:eastAsia="en-CA"/>
    </w:rPr>
  </w:style>
  <w:style w:type="paragraph" w:customStyle="1" w:styleId="32F710296454475A9C575718F23D8547">
    <w:name w:val="32F710296454475A9C575718F23D8547"/>
    <w:rsid w:val="00A83287"/>
    <w:rPr>
      <w:lang w:val="en-CA" w:eastAsia="en-CA"/>
    </w:rPr>
  </w:style>
  <w:style w:type="paragraph" w:customStyle="1" w:styleId="5DC210858F6D417D964A364DB2F3D386">
    <w:name w:val="5DC210858F6D417D964A364DB2F3D386"/>
    <w:rsid w:val="00A83287"/>
    <w:rPr>
      <w:lang w:val="en-CA" w:eastAsia="en-CA"/>
    </w:rPr>
  </w:style>
  <w:style w:type="paragraph" w:customStyle="1" w:styleId="7C30233ED231402B8227BB78A5FCD563">
    <w:name w:val="7C30233ED231402B8227BB78A5FCD563"/>
    <w:rsid w:val="00A83287"/>
    <w:rPr>
      <w:lang w:val="en-CA" w:eastAsia="en-CA"/>
    </w:rPr>
  </w:style>
  <w:style w:type="paragraph" w:customStyle="1" w:styleId="D212AB5EDC5C4628B28887884C9CD1B0">
    <w:name w:val="D212AB5EDC5C4628B28887884C9CD1B0"/>
    <w:rsid w:val="00A83287"/>
    <w:rPr>
      <w:lang w:val="en-CA" w:eastAsia="en-CA"/>
    </w:rPr>
  </w:style>
  <w:style w:type="paragraph" w:customStyle="1" w:styleId="149526E663B64A229DAB403F321D5E1F">
    <w:name w:val="149526E663B64A229DAB403F321D5E1F"/>
    <w:rsid w:val="00A83287"/>
    <w:rPr>
      <w:lang w:val="en-CA" w:eastAsia="en-CA"/>
    </w:rPr>
  </w:style>
  <w:style w:type="paragraph" w:customStyle="1" w:styleId="17692868493147F98D0B95779E8CA31F">
    <w:name w:val="17692868493147F98D0B95779E8CA31F"/>
    <w:rsid w:val="00A83287"/>
    <w:rPr>
      <w:lang w:val="en-CA" w:eastAsia="en-CA"/>
    </w:rPr>
  </w:style>
  <w:style w:type="paragraph" w:customStyle="1" w:styleId="2121CB961A154586A4AD642D3EE46F05">
    <w:name w:val="2121CB961A154586A4AD642D3EE46F05"/>
    <w:rsid w:val="00A83287"/>
    <w:rPr>
      <w:lang w:val="en-CA" w:eastAsia="en-CA"/>
    </w:rPr>
  </w:style>
  <w:style w:type="paragraph" w:customStyle="1" w:styleId="17687C8C1DEF4C1C82E153B8285B5A55">
    <w:name w:val="17687C8C1DEF4C1C82E153B8285B5A55"/>
    <w:rsid w:val="00A83287"/>
    <w:rPr>
      <w:lang w:val="en-CA" w:eastAsia="en-CA"/>
    </w:rPr>
  </w:style>
  <w:style w:type="paragraph" w:customStyle="1" w:styleId="CAE1DA31981049B082F961DC332E336F">
    <w:name w:val="CAE1DA31981049B082F961DC332E336F"/>
    <w:rsid w:val="00A83287"/>
    <w:rPr>
      <w:lang w:val="en-CA" w:eastAsia="en-CA"/>
    </w:rPr>
  </w:style>
  <w:style w:type="paragraph" w:customStyle="1" w:styleId="8769C4B0F9244AE4878D7E7FA3CEC67B">
    <w:name w:val="8769C4B0F9244AE4878D7E7FA3CEC67B"/>
    <w:rsid w:val="00A83287"/>
    <w:rPr>
      <w:lang w:val="en-CA" w:eastAsia="en-CA"/>
    </w:rPr>
  </w:style>
  <w:style w:type="paragraph" w:customStyle="1" w:styleId="1FD3A2213BC54B3BA7F5F2D2F621F540">
    <w:name w:val="1FD3A2213BC54B3BA7F5F2D2F621F540"/>
    <w:rsid w:val="00A83287"/>
    <w:rPr>
      <w:lang w:val="en-CA" w:eastAsia="en-CA"/>
    </w:rPr>
  </w:style>
  <w:style w:type="paragraph" w:customStyle="1" w:styleId="9495BCBF372843B682080F24197A114C">
    <w:name w:val="9495BCBF372843B682080F24197A114C"/>
    <w:rsid w:val="00A83287"/>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October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C8620-A2B2-403D-BDA0-05E924F8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86</Pages>
  <Words>33348</Words>
  <Characters>183420</Characters>
  <Application>Microsoft Office Word</Application>
  <DocSecurity>0</DocSecurity>
  <Lines>1528</Lines>
  <Paragraphs>432</Paragraphs>
  <ScaleCrop>false</ScaleCrop>
  <HeadingPairs>
    <vt:vector size="2" baseType="variant">
      <vt:variant>
        <vt:lpstr>Title</vt:lpstr>
      </vt:variant>
      <vt:variant>
        <vt:i4>1</vt:i4>
      </vt:variant>
    </vt:vector>
  </HeadingPairs>
  <TitlesOfParts>
    <vt:vector size="1" baseType="lpstr">
      <vt:lpstr>INFORMe DE LA NOVENA REUNIÓN de LA ConferencIA De LAS Partes QUE ACTÚA COMO REUNIÓN DE LAS PARTEs eN EL Protocolo DE CARTAGENA SOBRE SEGURIDAD DE LA BioTeCNOLOGÍA</vt:lpstr>
    </vt:vector>
  </TitlesOfParts>
  <Company>SCBD</Company>
  <LinksUpToDate>false</LinksUpToDate>
  <CharactersWithSpaces>216336</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NOVENA REUNIÓN de LA ConferencIA De LAS Partes QUE ACTÚA COMO REUNIÓN DE LAS PARTEs eN EL Protocolo DE CARTAGENA SOBRE SEGURIDAD DE LA BioTeCNOLOGÍA</dc:title>
  <dc:subject>CBD/CP/MOP/9/13</dc:subject>
  <dc:creator>CP MOP 9</dc:creator>
  <dc:description>Cartagena Protocol on Biosafety, ninth meeting</dc:description>
  <cp:lastModifiedBy>Laura Perez</cp:lastModifiedBy>
  <cp:revision>84</cp:revision>
  <cp:lastPrinted>2019-04-28T14:07:00Z</cp:lastPrinted>
  <dcterms:created xsi:type="dcterms:W3CDTF">2019-04-11T22:39:00Z</dcterms:created>
  <dcterms:modified xsi:type="dcterms:W3CDTF">2020-01-13T18:05:00Z</dcterms:modified>
  <cp:contentStatus>GENERAL</cp:contentStatus>
</cp:coreProperties>
</file>