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11A86" w:rsidRPr="004F3944" w14:paraId="1662BF36" w14:textId="77777777" w:rsidTr="00011A86">
        <w:trPr>
          <w:trHeight w:val="850"/>
        </w:trPr>
        <w:tc>
          <w:tcPr>
            <w:tcW w:w="975" w:type="dxa"/>
            <w:vAlign w:val="bottom"/>
          </w:tcPr>
          <w:p w14:paraId="71C4BF6D" w14:textId="644D6976" w:rsidR="00011A86" w:rsidRPr="004F3944" w:rsidRDefault="00011A86" w:rsidP="00011A86">
            <w:pPr>
              <w:pStyle w:val="AASmallLogo"/>
            </w:pPr>
            <w:r w:rsidRPr="004F3944">
              <w:drawing>
                <wp:inline distT="0" distB="0" distL="0" distR="0" wp14:anchorId="08D3B4D4" wp14:editId="4385CB66">
                  <wp:extent cx="474727" cy="402337"/>
                  <wp:effectExtent l="0" t="0" r="1905" b="0"/>
                  <wp:docPr id="1816227530" name="Picture 4"/>
                  <wp:cNvGraphicFramePr/>
                  <a:graphic xmlns:a="http://schemas.openxmlformats.org/drawingml/2006/main">
                    <a:graphicData uri="http://schemas.openxmlformats.org/drawingml/2006/picture">
                      <pic:pic xmlns:pic="http://schemas.openxmlformats.org/drawingml/2006/picture">
                        <pic:nvPicPr>
                          <pic:cNvPr id="181622753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F3944">
              <w:t xml:space="preserve"> </w:t>
            </w:r>
          </w:p>
          <w:p w14:paraId="734C544F" w14:textId="7F44141E" w:rsidR="00011A86" w:rsidRPr="004F3944" w:rsidRDefault="00011A86" w:rsidP="00011A86">
            <w:pPr>
              <w:pStyle w:val="AASmallLogo"/>
            </w:pPr>
          </w:p>
        </w:tc>
        <w:tc>
          <w:tcPr>
            <w:tcW w:w="1434" w:type="dxa"/>
            <w:noWrap/>
            <w:vAlign w:val="bottom"/>
          </w:tcPr>
          <w:p w14:paraId="60DD85AE" w14:textId="183C53D2" w:rsidR="00011A86" w:rsidRPr="004F3944" w:rsidRDefault="00011A86" w:rsidP="00011A86">
            <w:pPr>
              <w:pStyle w:val="AASmallLogo"/>
            </w:pPr>
            <w:r w:rsidRPr="004F3944">
              <w:drawing>
                <wp:inline distT="0" distB="0" distL="0" distR="0" wp14:anchorId="5D686BF0" wp14:editId="5F09EDD8">
                  <wp:extent cx="498788" cy="285021"/>
                  <wp:effectExtent l="0" t="0" r="0" b="1270"/>
                  <wp:docPr id="659336537" name="Picture 5"/>
                  <wp:cNvGraphicFramePr/>
                  <a:graphic xmlns:a="http://schemas.openxmlformats.org/drawingml/2006/main">
                    <a:graphicData uri="http://schemas.openxmlformats.org/drawingml/2006/picture">
                      <pic:pic xmlns:pic="http://schemas.openxmlformats.org/drawingml/2006/picture">
                        <pic:nvPicPr>
                          <pic:cNvPr id="659336537"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Pr="004F3944">
              <w:t xml:space="preserve"> </w:t>
            </w:r>
          </w:p>
          <w:p w14:paraId="524B4373" w14:textId="7ED8DE85" w:rsidR="00011A86" w:rsidRPr="004F3944" w:rsidRDefault="00011A86" w:rsidP="00011A86">
            <w:pPr>
              <w:pStyle w:val="AASmallLogo"/>
            </w:pPr>
          </w:p>
        </w:tc>
        <w:tc>
          <w:tcPr>
            <w:tcW w:w="8073" w:type="dxa"/>
            <w:vAlign w:val="bottom"/>
          </w:tcPr>
          <w:p w14:paraId="59308B2F" w14:textId="77777777" w:rsidR="00E53D4F" w:rsidRPr="004F3944" w:rsidRDefault="00AF1A55" w:rsidP="00E53D4F">
            <w:pPr>
              <w:pStyle w:val="AEDistrNormal"/>
              <w:jc w:val="right"/>
              <w:rPr>
                <w:sz w:val="20"/>
              </w:rPr>
            </w:pPr>
            <w:r w:rsidRPr="004F3944">
              <w:rPr>
                <w:sz w:val="40"/>
              </w:rPr>
              <w:t>CBD</w:t>
            </w:r>
            <w:r w:rsidRPr="004F3944">
              <w:rPr>
                <w:sz w:val="20"/>
              </w:rPr>
              <w:t>/SBSTTA/27/3</w:t>
            </w:r>
            <w:r w:rsidR="00E53D4F" w:rsidRPr="004F3944">
              <w:rPr>
                <w:sz w:val="20"/>
                <w:vertAlign w:val="superscript"/>
              </w:rPr>
              <w:footnoteReference w:customMarkFollows="1" w:id="2"/>
              <w:t>*</w:t>
            </w:r>
            <w:r w:rsidR="00E53D4F" w:rsidRPr="004F3944">
              <w:rPr>
                <w:sz w:val="20"/>
              </w:rPr>
              <w:t xml:space="preserve"> </w:t>
            </w:r>
          </w:p>
          <w:p w14:paraId="2C676A38" w14:textId="365877C5" w:rsidR="00011A86" w:rsidRPr="004F3944" w:rsidRDefault="00011A86" w:rsidP="00691A68">
            <w:pPr>
              <w:pStyle w:val="AEDistrNormal"/>
              <w:jc w:val="right"/>
            </w:pPr>
          </w:p>
        </w:tc>
      </w:tr>
    </w:tbl>
    <w:p w14:paraId="685C3BE7" w14:textId="77777777" w:rsidR="00011A86" w:rsidRPr="004F3944" w:rsidRDefault="00011A86" w:rsidP="00011A86">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11A86" w:rsidRPr="004F3944" w14:paraId="3DE89875" w14:textId="77777777" w:rsidTr="00011A86">
        <w:trPr>
          <w:trHeight w:val="1814"/>
        </w:trPr>
        <w:tc>
          <w:tcPr>
            <w:tcW w:w="7370" w:type="dxa"/>
          </w:tcPr>
          <w:p w14:paraId="7F286C05" w14:textId="3E0D6615" w:rsidR="00011A86" w:rsidRPr="004F3944" w:rsidRDefault="00011A86" w:rsidP="00011A86">
            <w:pPr>
              <w:pStyle w:val="ACLargeLogo"/>
            </w:pPr>
            <w:r w:rsidRPr="004F3944">
              <w:drawing>
                <wp:inline distT="0" distB="0" distL="0" distR="0" wp14:anchorId="2311FC03" wp14:editId="3771E862">
                  <wp:extent cx="2755631" cy="1013099"/>
                  <wp:effectExtent l="0" t="0" r="6985" b="0"/>
                  <wp:docPr id="370336840"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Pr="004F3944">
              <w:t xml:space="preserve"> </w:t>
            </w:r>
          </w:p>
          <w:p w14:paraId="58ABBEA6" w14:textId="296768B3" w:rsidR="00011A86" w:rsidRPr="004F3944" w:rsidRDefault="00011A86" w:rsidP="00011A86">
            <w:pPr>
              <w:pStyle w:val="ACLargeLogo"/>
            </w:pPr>
          </w:p>
        </w:tc>
        <w:tc>
          <w:tcPr>
            <w:tcW w:w="3112" w:type="dxa"/>
          </w:tcPr>
          <w:p w14:paraId="5F1366CB" w14:textId="283D4E9C" w:rsidR="00011A86" w:rsidRPr="004F3944" w:rsidRDefault="00011A86" w:rsidP="00011A86">
            <w:pPr>
              <w:pStyle w:val="AEDistrNormal"/>
            </w:pPr>
            <w:r w:rsidRPr="004F3944">
              <w:t>Distr. general</w:t>
            </w:r>
          </w:p>
          <w:p w14:paraId="7B072967" w14:textId="400D2B52" w:rsidR="00F679BD" w:rsidRPr="004F3944" w:rsidRDefault="00AF1A55" w:rsidP="00F679BD">
            <w:pPr>
              <w:pStyle w:val="AEDistrNormal"/>
            </w:pPr>
            <w:r w:rsidRPr="004F3944">
              <w:t>29 de junio de 202</w:t>
            </w:r>
            <w:r w:rsidR="00E53D4F" w:rsidRPr="004F3944">
              <w:t>5</w:t>
            </w:r>
          </w:p>
          <w:p w14:paraId="239DEA1B" w14:textId="018233BA" w:rsidR="00011A86" w:rsidRPr="004F3944" w:rsidRDefault="00011A86" w:rsidP="00F679BD">
            <w:pPr>
              <w:pStyle w:val="AEDistrNormal"/>
            </w:pPr>
            <w:r w:rsidRPr="004F3944">
              <w:t>Español</w:t>
            </w:r>
            <w:r w:rsidRPr="004F3944">
              <w:br/>
              <w:t>Original: inglés</w:t>
            </w:r>
          </w:p>
          <w:p w14:paraId="4FBDC2D7" w14:textId="2F4FCDFB" w:rsidR="00011A86" w:rsidRPr="004F3944" w:rsidRDefault="00011A86" w:rsidP="00011A86">
            <w:pPr>
              <w:pStyle w:val="AEDistrNormal6pt"/>
            </w:pPr>
          </w:p>
        </w:tc>
      </w:tr>
    </w:tbl>
    <w:p w14:paraId="5CAC1A4B" w14:textId="77777777" w:rsidR="00011A86" w:rsidRPr="004F3944" w:rsidRDefault="00011A86" w:rsidP="00011A86">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11A86" w:rsidRPr="004F3944" w14:paraId="52CEEC3C" w14:textId="77777777" w:rsidTr="00415670">
        <w:trPr>
          <w:trHeight w:val="57"/>
        </w:trPr>
        <w:tc>
          <w:tcPr>
            <w:tcW w:w="6094" w:type="dxa"/>
          </w:tcPr>
          <w:p w14:paraId="0BDCEF76" w14:textId="0E078998" w:rsidR="00011A86" w:rsidRPr="004F3944" w:rsidRDefault="00691A68" w:rsidP="00011A86">
            <w:pPr>
              <w:pStyle w:val="AFCorN12Bold"/>
            </w:pPr>
            <w:r w:rsidRPr="004F3944">
              <w:t>Órgano Subsidiario de Asesoramiento</w:t>
            </w:r>
            <w:r w:rsidRPr="004F3944">
              <w:br/>
              <w:t>Científico, Técnico y Tecnológico</w:t>
            </w:r>
          </w:p>
          <w:p w14:paraId="1B051ED6" w14:textId="77777777" w:rsidR="00691A68" w:rsidRPr="004F3944" w:rsidRDefault="00691A68" w:rsidP="00691A68">
            <w:pPr>
              <w:pStyle w:val="AFCorNBold"/>
            </w:pPr>
            <w:r w:rsidRPr="004F3944">
              <w:t xml:space="preserve">27ª reunión </w:t>
            </w:r>
          </w:p>
          <w:p w14:paraId="2E7CC9B7" w14:textId="6D90E169" w:rsidR="00691A68" w:rsidRPr="004F3944" w:rsidRDefault="00691A68" w:rsidP="00691A68">
            <w:pPr>
              <w:pStyle w:val="AFCorNNormal"/>
            </w:pPr>
            <w:r w:rsidRPr="004F3944">
              <w:t>Panamá, 20 a 24 de octubre de 2025</w:t>
            </w:r>
          </w:p>
          <w:p w14:paraId="04534062" w14:textId="1C6E2203" w:rsidR="00691A68" w:rsidRPr="004F3944" w:rsidRDefault="00691A68" w:rsidP="00AF1A55">
            <w:pPr>
              <w:pStyle w:val="AEDistrNormal6pt"/>
              <w:spacing w:before="0"/>
              <w:rPr>
                <w:b/>
                <w:bCs/>
              </w:rPr>
            </w:pPr>
            <w:r w:rsidRPr="004F3944">
              <w:t>Tema 4 del programa provisional</w:t>
            </w:r>
            <w:r w:rsidR="00E53D4F" w:rsidRPr="004F3944">
              <w:rPr>
                <w:rStyle w:val="Refdenotaalpie"/>
              </w:rPr>
              <w:footnoteReference w:customMarkFollows="1" w:id="3"/>
              <w:t>**</w:t>
            </w:r>
          </w:p>
          <w:p w14:paraId="4D17A4E5" w14:textId="352B794D" w:rsidR="00011A86" w:rsidRPr="004F3944" w:rsidRDefault="00C9241D" w:rsidP="00415670">
            <w:pPr>
              <w:pStyle w:val="AFCorNBold"/>
              <w:spacing w:after="120"/>
            </w:pPr>
            <w:r w:rsidRPr="004F3944">
              <w:t xml:space="preserve">Cuestiones relacionadas con el programa de trabajo de la Plataforma Intergubernamental </w:t>
            </w:r>
            <w:r w:rsidR="00C177E6" w:rsidRPr="004F3944">
              <w:t>Científico</w:t>
            </w:r>
            <w:r w:rsidR="00C177E6" w:rsidRPr="004F3944">
              <w:noBreakHyphen/>
            </w:r>
            <w:r w:rsidRPr="004F3944">
              <w:t>Normativa sobre Diversidad Biológica y Servicios de los Ecosistemas</w:t>
            </w:r>
          </w:p>
        </w:tc>
        <w:tc>
          <w:tcPr>
            <w:tcW w:w="4388" w:type="dxa"/>
          </w:tcPr>
          <w:p w14:paraId="1F1DBC56" w14:textId="77777777" w:rsidR="00011A86" w:rsidRPr="004F3944" w:rsidRDefault="00011A86" w:rsidP="00011A86">
            <w:pPr>
              <w:pStyle w:val="CBDNormal"/>
              <w:jc w:val="left"/>
            </w:pPr>
          </w:p>
        </w:tc>
      </w:tr>
    </w:tbl>
    <w:p w14:paraId="7DA9922D" w14:textId="2C821FA8" w:rsidR="00A96B21" w:rsidRPr="004F3944" w:rsidRDefault="00AF1A55" w:rsidP="00AF1A55">
      <w:pPr>
        <w:pStyle w:val="CBDTitle"/>
      </w:pPr>
      <w:r w:rsidRPr="004F3944">
        <w:t xml:space="preserve">Cuestiones relacionadas con el programa de trabajo de la Plataforma Intergubernamental </w:t>
      </w:r>
      <w:r w:rsidR="00C177E6" w:rsidRPr="004F3944">
        <w:t>Científico</w:t>
      </w:r>
      <w:r w:rsidR="00C177E6" w:rsidRPr="004F3944">
        <w:noBreakHyphen/>
      </w:r>
      <w:r w:rsidRPr="004F3944">
        <w:t>Normativa sobre Diversidad Biológica y Servicios de los Ecosistemas e implicaciones de sus evaluaciones para la labor realizada en el contexto del Convenio</w:t>
      </w:r>
    </w:p>
    <w:p w14:paraId="6D59BFC8" w14:textId="77777777" w:rsidR="00A96B21" w:rsidRPr="004F3944" w:rsidRDefault="00A96B21" w:rsidP="00AF1A55">
      <w:pPr>
        <w:pStyle w:val="CBDSubTitle"/>
      </w:pPr>
      <w:r w:rsidRPr="004F3944">
        <w:t>Nota de la Secretaría</w:t>
      </w:r>
    </w:p>
    <w:p w14:paraId="271F4A2D" w14:textId="364BC663" w:rsidR="00FA18C9" w:rsidRPr="004F3944" w:rsidRDefault="00AF1A55" w:rsidP="00AF1A55">
      <w:pPr>
        <w:pStyle w:val="CBDH1"/>
      </w:pPr>
      <w:r w:rsidRPr="004F3944">
        <w:t>I.</w:t>
      </w:r>
      <w:r w:rsidRPr="004F3944">
        <w:tab/>
        <w:t>Antecedentes</w:t>
      </w:r>
    </w:p>
    <w:p w14:paraId="6D9A5FBF" w14:textId="3C77B528" w:rsidR="40AB95D6" w:rsidRPr="004F3944" w:rsidRDefault="422EDE45" w:rsidP="00706178">
      <w:pPr>
        <w:pStyle w:val="CBDNormalNumber"/>
      </w:pPr>
      <w:r w:rsidRPr="004F3944">
        <w:t>En su decisión </w:t>
      </w:r>
      <w:hyperlink r:id="rId14" w:history="1">
        <w:r w:rsidRPr="004F3944">
          <w:rPr>
            <w:rStyle w:val="Hipervnculo"/>
          </w:rPr>
          <w:t>16/11</w:t>
        </w:r>
      </w:hyperlink>
      <w:r w:rsidRPr="004F3944">
        <w:t xml:space="preserve"> sobre cuestiones relacionadas con el programa de trabajo de la Plataforma Intergubernamental </w:t>
      </w:r>
      <w:r w:rsidR="00C177E6" w:rsidRPr="004F3944">
        <w:t>Científico</w:t>
      </w:r>
      <w:r w:rsidR="00C177E6" w:rsidRPr="004F3944">
        <w:noBreakHyphen/>
      </w:r>
      <w:r w:rsidRPr="004F3944">
        <w:t xml:space="preserve">Normativa sobre Diversidad Biológica y Servicios de los Ecosistemas, la Conferencia de las Partes en el Convenio sobre la Diversidad Biológica sugirió varios temas a fin de que la Plataforma los considerara para posibles evaluaciones adicionales en su programa de trabajo renovable. La Conferencia de las Partes tomó nota de la información que figuraba en el panorama general de las evaluaciones anteriores y futuras y, según procediera, otros productos previstos de la Plataforma, y pidió a la Secretaria Ejecutiva del Convenio, entre otras cosas, que actualizara el panorama general de productos previstos anteriores y futuros de la Plataforma y su pertinencia para la toma de decisiones en el contexto del Convenio, y que proporcionara información actualizada sobre las actividades conjuntas entre la Secretaría y la Plataforma en una reunión del Órgano Subsidiario sobre Asesoramiento Científico, Técnico y Tecnológico en cada período entre reuniones. </w:t>
      </w:r>
    </w:p>
    <w:p w14:paraId="31F821AA" w14:textId="73AA0E52" w:rsidR="78553A9A" w:rsidRPr="004F3944" w:rsidRDefault="78553A9A" w:rsidP="00C6690D">
      <w:pPr>
        <w:pStyle w:val="CBDNormalNumber"/>
      </w:pPr>
      <w:r w:rsidRPr="004F3944">
        <w:t xml:space="preserve">En su 11º período de sesiones, celebrado en diciembre de 2024, el Plenario de la Plataforma aprobó los resúmenes para los encargados de la formulación de políticas de las evaluaciones temáticas de los vínculos entre la diversidad biológica, el agua, la alimentación y la salud (“evaluación del nexo”) y de las causas subyacentes de la pérdida de la diversidad biológica y los factores determinantes del cambio transformador y las opciones para hacer realidad la Visión 2050 para la Diversidad Biológica (“evaluación del cambio transformador”), así como la realización de </w:t>
      </w:r>
      <w:r w:rsidRPr="004F3944">
        <w:lastRenderedPageBreak/>
        <w:t>una segunda evaluación mundial de la diversidad biológica y los servicios de los ecosistemas, como se indicaba en el informe de análisis inicial para la evaluación</w:t>
      </w:r>
      <w:r w:rsidR="00516A2A" w:rsidRPr="004F3944">
        <w:rPr>
          <w:rStyle w:val="Refdenotaalpie"/>
        </w:rPr>
        <w:footnoteReference w:id="4"/>
      </w:r>
      <w:r w:rsidRPr="004F3944">
        <w:t>.</w:t>
      </w:r>
    </w:p>
    <w:p w14:paraId="641C1EA8" w14:textId="472CA3A7" w:rsidR="27794D81" w:rsidRPr="004F3944" w:rsidRDefault="007F0082" w:rsidP="003A1829">
      <w:pPr>
        <w:pStyle w:val="CBDNormalNumber"/>
      </w:pPr>
      <w:r w:rsidRPr="004F3944">
        <w:t>En su decisión </w:t>
      </w:r>
      <w:hyperlink r:id="rId15" w:history="1">
        <w:r w:rsidRPr="004F3944">
          <w:rPr>
            <w:rStyle w:val="Hipervnculo"/>
          </w:rPr>
          <w:t>16/11</w:t>
        </w:r>
      </w:hyperlink>
      <w:r w:rsidRPr="004F3944">
        <w:t>, la Conferencia de las Partes pidió al Órgano Subsidiario de Asesoramiento Científico, Técnico y Tecnológico que examinara los productos futuros de la Plataforma con arreglo al calendario que figuraba en el anexo de la decisión. Ese examen, tanto para la evaluación del nexo como de la evaluación del cambio transformador, debía realizarse en una reunión que se celebrara antes de la 17ª reunión de la Conferencia de las Partes. La consideración del informe de análisis inicial para la segunda evaluación mundial de la diversidad biológica y los servicios de los ecosistemas no estaba prevista en el calendario, pero también se llevará a cabo en la presente reunión, considerando que el informe de evaluación inicial fue incluido en la decisión IPBES-11/1.</w:t>
      </w:r>
    </w:p>
    <w:p w14:paraId="6766BAE9" w14:textId="314A131F" w:rsidR="1238548E" w:rsidRPr="004F3944" w:rsidRDefault="1238548E" w:rsidP="00AF1A55">
      <w:pPr>
        <w:pStyle w:val="CBDNormalNumber"/>
      </w:pPr>
      <w:r w:rsidRPr="004F3944">
        <w:t xml:space="preserve">La presente nota contiene un panorama general de los productos previstos de la Plataforma recientemente adoptados (secc. II), un resumen de la colaboración entre la Plataforma y el Convenio (secc. III y un anexo, que contiene un calendario actualizado) y recomendaciones para que sean consideradas por el Órgano Subsidiario (secc. IV). En tres adiciones de la presente nota se incluye información adicional sobre cada producto previsto, a saber: </w:t>
      </w:r>
    </w:p>
    <w:p w14:paraId="550B5BA1" w14:textId="1790C554" w:rsidR="005A6F28" w:rsidRPr="004F3944" w:rsidRDefault="00F8291A">
      <w:pPr>
        <w:pStyle w:val="CBDNormalNumber"/>
        <w:numPr>
          <w:ilvl w:val="0"/>
          <w:numId w:val="8"/>
        </w:numPr>
        <w:ind w:left="567" w:firstLine="567"/>
      </w:pPr>
      <w:r w:rsidRPr="004F3944">
        <w:t xml:space="preserve">Revisión de las conclusiones de la evaluación del nexo y sus implicaciones para la labor realizada en el contexto del Convenio (CBD/SBSTTA/27/3/Add.1); </w:t>
      </w:r>
    </w:p>
    <w:p w14:paraId="13871C4D" w14:textId="679EAE32" w:rsidR="000C34A2" w:rsidRPr="004F3944" w:rsidRDefault="008226D4">
      <w:pPr>
        <w:pStyle w:val="CBDNormalNumber"/>
        <w:numPr>
          <w:ilvl w:val="0"/>
          <w:numId w:val="8"/>
        </w:numPr>
        <w:ind w:left="567" w:firstLine="567"/>
      </w:pPr>
      <w:r w:rsidRPr="004F3944">
        <w:t>Revisión de las conclusiones de la evaluación del cambio transformador y sus implicaciones para la labor realizada en el contexto del Convenio (CBD/SBSTTA/27/3/Add.2);</w:t>
      </w:r>
    </w:p>
    <w:p w14:paraId="6A2F6E90" w14:textId="173C7E8B" w:rsidR="005A6F28" w:rsidRPr="004F3944" w:rsidRDefault="00AA5D21">
      <w:pPr>
        <w:pStyle w:val="CBDNormalNumber"/>
        <w:numPr>
          <w:ilvl w:val="0"/>
          <w:numId w:val="8"/>
        </w:numPr>
        <w:ind w:left="567" w:firstLine="567"/>
      </w:pPr>
      <w:r w:rsidRPr="004F3944">
        <w:t>Revisión del informe de análisis inicial de una segunda evaluación mundial de la diversidad biológica y los servicios de los ecosistemas y sus implicaciones para la labor realizada en el contexto del Convenio (CBD/SBSTTA/27/3/Add.3).</w:t>
      </w:r>
    </w:p>
    <w:p w14:paraId="57763713" w14:textId="21263442" w:rsidR="4AAD68D7" w:rsidRPr="004F3944" w:rsidRDefault="00253689" w:rsidP="00415670">
      <w:pPr>
        <w:pStyle w:val="CBDH1"/>
      </w:pPr>
      <w:r w:rsidRPr="004F3944">
        <w:t>II.</w:t>
      </w:r>
      <w:r w:rsidRPr="004F3944">
        <w:tab/>
        <w:t xml:space="preserve">Panorama general de los productos previstos recientemente adoptados de la Plataforma Intergubernamental </w:t>
      </w:r>
      <w:r w:rsidR="00C177E6" w:rsidRPr="004F3944">
        <w:t>Científico</w:t>
      </w:r>
      <w:r w:rsidR="00C177E6" w:rsidRPr="004F3944">
        <w:noBreakHyphen/>
      </w:r>
      <w:r w:rsidRPr="004F3944">
        <w:t xml:space="preserve">Normativa sobre Diversidad Biológica y Servicios de los Ecosistemas </w:t>
      </w:r>
    </w:p>
    <w:p w14:paraId="2CEE7195" w14:textId="137EAC34" w:rsidR="00702CEE" w:rsidRPr="004F3944" w:rsidRDefault="00856C10" w:rsidP="00AF1A55">
      <w:pPr>
        <w:pStyle w:val="CBDNormalNumber"/>
      </w:pPr>
      <w:r w:rsidRPr="004F3944">
        <w:t>En su decisión IPBES-11/1, el Plenario de la Plataforma aprobó el resumen para los encargados de la formulación de políticas de la evaluación del nexo y aceptó los capítulos de la evaluación, incluidos sus resúmenes. En el resumen para los encargados de la formulación de políticas, los autores analizaron las interrelaciones entre la pérdida de diversidad biológica, la inseguridad hídrica y alimentaria, los riesgos sanitarios y el cambio climático. En el documento CBD/SBSTTA/27/3/Add.1 se presenta una síntesis del resumen y su pertinencia para la labor realizada en el contexto del Convenio.</w:t>
      </w:r>
    </w:p>
    <w:p w14:paraId="3DBC3332" w14:textId="0365552E" w:rsidR="00864677" w:rsidRPr="004F3944" w:rsidRDefault="00994DE2" w:rsidP="001E2A32">
      <w:pPr>
        <w:pStyle w:val="CBDNormalNumber"/>
      </w:pPr>
      <w:r w:rsidRPr="004F3944">
        <w:t>En la misma decisión, el Plenario de la Plataforma aprobó el resumen para los encargados de la formulación de políticas de la evaluación del cambio transformador y aceptó los capítulos de la evaluación, incluidos sus resúmenes. En el resumen para los encargados de la formulación de políticas, los autores presentaron una definición del cambio transformador y analizaron soluciones para promoverlo. En el documento CBD/SBSTTA/27/3/Add.2 se presenta una síntesis del resumen y su pertinencia para la labor realizada en el contexto del Convenio.</w:t>
      </w:r>
    </w:p>
    <w:p w14:paraId="399B6099" w14:textId="73B8DB05" w:rsidR="2EDDF16E" w:rsidRPr="004F3944" w:rsidRDefault="00994DE2" w:rsidP="00225964">
      <w:pPr>
        <w:pStyle w:val="CBDNormalNumber"/>
      </w:pPr>
      <w:r w:rsidRPr="004F3944">
        <w:t xml:space="preserve">También en la misma decisión, el Plenario de la Plataforma aprobó la realización de una segunda evaluación mundial de la diversidad biológica y los servicios de los ecosistemas, como se indicaba en el informe de análisis inicial para la evaluación expuesto en el anexo de la decisión. El objetivo general de la segunda evaluación mundial es evaluar los conocimientos pertinentes que se hayan obtenido desde la publicación de la primera evaluación mundial, en 2019, hacia la consecución de los objetivos de sostenibilidad y vida en armonía con la naturaleza. Está previsto que el Plenario </w:t>
      </w:r>
      <w:r w:rsidRPr="004F3944">
        <w:lastRenderedPageBreak/>
        <w:t>considere la segunda evaluación mundial en su 15º período de sesiones, en 2028. Por lo tanto, se podrán considerar las conclusiones de la segunda evaluación mundial en la revisión mundial de los progresos colectivos en la implementación del Marco Mundial de Biodiversidad de Kunming-Montreal, que se llevará a cabo en la 19ª reunión de la Conferencia de las Partes, en 2030. En el documento CBD/SBSTTA/27/3/Add.3 se presenta una síntesis del informe de análisis inicial y su pertinencia para la labor realizada en el contexto del Convenio.</w:t>
      </w:r>
    </w:p>
    <w:p w14:paraId="4F0EF72D" w14:textId="086C2016" w:rsidR="00B8525C" w:rsidRPr="004F3944" w:rsidRDefault="005E29E7" w:rsidP="00C72D26">
      <w:pPr>
        <w:pStyle w:val="CBDNormalNumber"/>
      </w:pPr>
      <w:r w:rsidRPr="004F3944">
        <w:t xml:space="preserve">En la misma decisión, el Plenario de la Plataforma adoptó disposiciones sobre la colaboración de la Plataforma con el Grupo Intergubernamental de Expertos sobre el Cambio Climático. Las disposiciones se basan en sugerencias adicionales presentadas por los miembros de la Plataforma para las cuestiones temáticas o metodológicas asociadas a la diversidad biológica y el cambio climático a las que beneficiaría la colaboración entre las dos entidades. El Plenario también decidió organizar un taller de la Plataforma sobre diversidad biológica y cambio climático en apoyo de la segunda evaluación mundial. Invitó a la Secretaria Ejecutiva de la Plataforma a que estudiara las posibilidades de que la Plataforma comparta información pertinente con miras a contribuir a la aplicación de la decisión </w:t>
      </w:r>
      <w:hyperlink r:id="rId16" w:history="1">
        <w:r w:rsidRPr="004F3944">
          <w:rPr>
            <w:rStyle w:val="Hipervnculo"/>
          </w:rPr>
          <w:t>16/22</w:t>
        </w:r>
      </w:hyperlink>
      <w:r w:rsidRPr="004F3944">
        <w:t xml:space="preserve"> de la Conferencia de las Partes, sobre diversidad biológica y cambio climático.</w:t>
      </w:r>
    </w:p>
    <w:p w14:paraId="7C022201" w14:textId="39F7E735" w:rsidR="00586425" w:rsidRPr="004F3944" w:rsidRDefault="00731C3F" w:rsidP="00C96C7C">
      <w:pPr>
        <w:pStyle w:val="CBDNormalNumber"/>
      </w:pPr>
      <w:r w:rsidRPr="004F3944">
        <w:t xml:space="preserve">El Plenario de la Plataforma aprobó los planes de trabajo para la aplicación del programa de trabajo renovable hasta 2030 en el intervalo entre los períodos de sesiones 11º y 12º (es decir, entre 2024 y 2026). Los planes de trabajo incluyen lo siguiente: </w:t>
      </w:r>
    </w:p>
    <w:p w14:paraId="5C6AB629" w14:textId="3F892379" w:rsidR="00AE582B" w:rsidRPr="004F3944" w:rsidRDefault="00AE582B">
      <w:pPr>
        <w:pStyle w:val="CBDNormalNumber"/>
        <w:numPr>
          <w:ilvl w:val="0"/>
          <w:numId w:val="9"/>
        </w:numPr>
        <w:ind w:left="567" w:firstLine="567"/>
      </w:pPr>
      <w:r w:rsidRPr="004F3944">
        <w:t xml:space="preserve">La organización de diálogos en línea en apoyo del examen externo del resumen para los encargados de la formulación de políticas de la evaluación de las empresas y la diversidad biológica y de la evaluación metodológica sobre la vigilancia de la diversidad biológica y las contribuciones de la naturaleza a las personas (“evaluación sobre la vigilancia”), así como la organización de la octava reunión del foro sobre creación de capacidad sobre un tema que se determinaría en el tercer trimestre de 2025 (plan de trabajo para el objetivo 2: creación de capacidad); </w:t>
      </w:r>
    </w:p>
    <w:p w14:paraId="18DCEC98" w14:textId="6953A27B" w:rsidR="00586425" w:rsidRPr="004F3944" w:rsidRDefault="00586425">
      <w:pPr>
        <w:pStyle w:val="CBDNormalNumber"/>
        <w:numPr>
          <w:ilvl w:val="0"/>
          <w:numId w:val="9"/>
        </w:numPr>
        <w:ind w:left="567" w:firstLine="567"/>
      </w:pPr>
      <w:r w:rsidRPr="004F3944">
        <w:t>Actividades para el mantenimiento de la política sobre datos y gestión de conocimientos y para la continuación del examen de la aplicación del enfoque para reconocer y utilizar los conocimientos indígenas y locales en la Plataforma (plan de trabajo para el objetivo</w:t>
      </w:r>
      <w:r w:rsidR="00F679BD" w:rsidRPr="004F3944">
        <w:t> </w:t>
      </w:r>
      <w:r w:rsidRPr="004F3944">
        <w:t xml:space="preserve">3: labor adelantada en materia de conocimientos y datos); </w:t>
      </w:r>
    </w:p>
    <w:p w14:paraId="33EF4628" w14:textId="5B5FBBD7" w:rsidR="00704F1A" w:rsidRPr="004F3944" w:rsidRDefault="00C2026E">
      <w:pPr>
        <w:pStyle w:val="CBDNormalNumber"/>
        <w:numPr>
          <w:ilvl w:val="0"/>
          <w:numId w:val="9"/>
        </w:numPr>
        <w:ind w:left="567" w:firstLine="567"/>
      </w:pPr>
      <w:r w:rsidRPr="004F3944">
        <w:t>Actividades destinadas a velar por que los informes de evaluación y otros productos de la Plataforma sean pertinentes a efectos normativos, para que los responsables de la toma de decisiones utilicen los informes de evaluación y otros productos, para brindar apoyo en relación con las hipótesis y modelos para las evaluaciones y para catalizar la formulación de más hipótesis y modelos para futuras evaluaciones (objetivo 4: apoyo a las políticas).</w:t>
      </w:r>
    </w:p>
    <w:p w14:paraId="46AF9A32" w14:textId="1BED2E7A" w:rsidR="004C1B88" w:rsidRPr="004F3944" w:rsidRDefault="00406B05" w:rsidP="006A16C8">
      <w:pPr>
        <w:pStyle w:val="CBDNormalNumber"/>
      </w:pPr>
      <w:r w:rsidRPr="004F3944">
        <w:t>Está previsto que el Plenario de la Plataforma considere, en su 12</w:t>
      </w:r>
      <w:r w:rsidR="00F679BD" w:rsidRPr="004F3944">
        <w:t>º</w:t>
      </w:r>
      <w:r w:rsidRPr="004F3944">
        <w:t xml:space="preserve"> período de sesiones, programado para 2026, la evaluación metodológica de los efectos de las empresas en la diversidad biológica y las contribuciones de la naturaleza a las personas, y de su dependencia respecto de aquella y de estas (“evaluación de las empresas y la diversidad biológica”). Está previsto que la Plataforma, en su 13º período de sesiones, programado para el segundo semestre de 2026, considere la evaluación de la vigilancia.</w:t>
      </w:r>
    </w:p>
    <w:p w14:paraId="2FE60839" w14:textId="178EBF88" w:rsidR="1B74D37B" w:rsidRPr="004F3944" w:rsidRDefault="1B74D37B" w:rsidP="00AF1A55">
      <w:pPr>
        <w:pStyle w:val="CBDNormalNumber"/>
      </w:pPr>
      <w:r w:rsidRPr="004F3944">
        <w:t>El informe del Plenario de la Plataforma sobre la labor realizada en su 11º período de sesiones está disponible en línea en los seis idiomas oficiales de las Naciones Unidas</w:t>
      </w:r>
      <w:r w:rsidRPr="004F3944">
        <w:rPr>
          <w:rStyle w:val="Refdenotaalpie"/>
        </w:rPr>
        <w:footnoteReference w:id="5"/>
      </w:r>
      <w:r w:rsidRPr="004F3944">
        <w:t>.</w:t>
      </w:r>
    </w:p>
    <w:p w14:paraId="65B9BD1A" w14:textId="65DF686D" w:rsidR="00E94374" w:rsidRPr="004F3944" w:rsidRDefault="00253689" w:rsidP="00415670">
      <w:pPr>
        <w:pStyle w:val="CBDH1"/>
      </w:pPr>
      <w:r w:rsidRPr="004F3944">
        <w:lastRenderedPageBreak/>
        <w:t>III.</w:t>
      </w:r>
      <w:r w:rsidRPr="004F3944">
        <w:tab/>
        <w:t xml:space="preserve">Colaboración entre la Plataforma Intergubernamental </w:t>
      </w:r>
      <w:r w:rsidR="00C177E6" w:rsidRPr="004F3944">
        <w:t>Científico</w:t>
      </w:r>
      <w:r w:rsidR="00C177E6" w:rsidRPr="004F3944">
        <w:noBreakHyphen/>
      </w:r>
      <w:r w:rsidR="008F77DD" w:rsidRPr="004F3944">
        <w:t>Normativa</w:t>
      </w:r>
      <w:r w:rsidRPr="004F3944">
        <w:t xml:space="preserve"> sobre Diversidad Biológica y Servicios de los Ecosistemas y el Convenio sobre la Diversidad Biológica</w:t>
      </w:r>
    </w:p>
    <w:p w14:paraId="79D6EF87" w14:textId="4F7F81CC" w:rsidR="003671D2" w:rsidRPr="004F3944" w:rsidRDefault="45A5527B" w:rsidP="00A96B75">
      <w:pPr>
        <w:pStyle w:val="CBDNormalNumber"/>
      </w:pPr>
      <w:r w:rsidRPr="004F3944">
        <w:t>En la decisión</w:t>
      </w:r>
      <w:r w:rsidR="00F1521C" w:rsidRPr="004F3944">
        <w:t> </w:t>
      </w:r>
      <w:hyperlink r:id="rId17" w:history="1">
        <w:r w:rsidRPr="004F3944">
          <w:rPr>
            <w:rStyle w:val="Hipervnculo"/>
          </w:rPr>
          <w:t>16/11</w:t>
        </w:r>
      </w:hyperlink>
      <w:r w:rsidRPr="004F3944">
        <w:t xml:space="preserve">, la Conferencia de las Partes invitó a la Plataforma a considerar una solicitud relativa a posibles evaluaciones adicionales en su programa de trabajo renovable, que la Secretaría del Convenio transmitió a la Secretaría de la Plataforma para su consideración en el 12º período de sesiones del Plenario de la Plataforma. </w:t>
      </w:r>
    </w:p>
    <w:p w14:paraId="0BAFEF83" w14:textId="7F42BFAB" w:rsidR="003671D2" w:rsidRPr="004F3944" w:rsidRDefault="3B7BC6A3" w:rsidP="00A70BF4">
      <w:pPr>
        <w:pStyle w:val="CBDNormalNumber"/>
      </w:pPr>
      <w:r w:rsidRPr="004F3944">
        <w:t xml:space="preserve">Las secretarías del Convenio y la Plataforma han continuado realizando actividades conjuntas y manteniendo su apoyo mutuo. En particular, la Secretaría del Convenio hizo presentaciones en dos actos celebrados por la Plataforma: una presentación sobre el marco de seguimiento para el Marco Mundial de Biodiversidad de Kunming-Montreal, en un seminario web para los autores de la evaluación de la vigilancia, y una presentación sobre la pertinencia de la planificación territorial y la conectividad ecológica integradas que tengan en cuenta la diversidad biológica para la preservación de la diversidad biológica, así como los vínculos con la evaluación, en un seminario web para el Grupo Multidisciplinario de Expertos de la Plataforma. El autor principal encargado de la coordinación de la evaluación del nexo presentó las conclusiones de la evaluación en un seminario acerca del Plan de Acción Mundial sobre Diversidad Biológica y Salud organizado por la Secretaría del Convenio. Un representante de la Plataforma también participó en una reunión del Grupo de Enlace de los Convenios Relacionados con la Diversidad Biológica celebrada el 21 de febrero de 2025. </w:t>
      </w:r>
    </w:p>
    <w:p w14:paraId="21D36BAB" w14:textId="69753131" w:rsidR="003671D2" w:rsidRPr="004F3944" w:rsidRDefault="70428B16" w:rsidP="005770ED">
      <w:pPr>
        <w:pStyle w:val="CBDNormalNumber"/>
      </w:pPr>
      <w:r w:rsidRPr="004F3944">
        <w:t>La Presidencia del Órgano Subsidiario y representantes de la Secretaría del Convenio participaron en el 11º período de sesiones del Plenario de la Plataforma, celebrado del 10 al 16 de diciembre de 2024, así como en las reuniones 23ª y 24ª del Grupo Multidisciplinario de Expertos, celebradas del 7 al 14 de abril y del 8 al 14 de julio de 2025, respectivamente. Además, la Secretaría del Convenio hizo aportaciones para los documentos de reunión relacionados con el tema relativo a la participación de los interesados preparados para las reuniones 23ª y 24ª del Grupo Multidisciplinario de Expertos.</w:t>
      </w:r>
    </w:p>
    <w:p w14:paraId="565C4CEB" w14:textId="6C7AD598" w:rsidR="003671D2" w:rsidRPr="004F3944" w:rsidRDefault="505C8C64" w:rsidP="00812AD2">
      <w:pPr>
        <w:pStyle w:val="CBDNormalNumber"/>
      </w:pPr>
      <w:r w:rsidRPr="004F3944">
        <w:t>La Secretaría del Convenio emitió varias notificaciones con el fin de compartir la información relacionada con la labor realizada en el contexto de la Plataforma y mantendrá esta práctica.</w:t>
      </w:r>
    </w:p>
    <w:p w14:paraId="288442A1" w14:textId="77777777" w:rsidR="00B47429" w:rsidRPr="004F3944" w:rsidRDefault="1AA97C11" w:rsidP="00AF1A55">
      <w:pPr>
        <w:pStyle w:val="CBDNormalNumber"/>
        <w:sectPr w:rsidR="00B47429" w:rsidRPr="004F3944" w:rsidSect="001B269A">
          <w:headerReference w:type="even" r:id="rId18"/>
          <w:headerReference w:type="default" r:id="rId19"/>
          <w:footerReference w:type="even" r:id="rId20"/>
          <w:footerReference w:type="default" r:id="rId21"/>
          <w:footnotePr>
            <w:numRestart w:val="eachSect"/>
          </w:footnotePr>
          <w:type w:val="continuous"/>
          <w:pgSz w:w="12240" w:h="15840"/>
          <w:pgMar w:top="1134" w:right="1440" w:bottom="1134" w:left="1440" w:header="709" w:footer="709" w:gutter="0"/>
          <w:cols w:space="708"/>
          <w:titlePg/>
          <w:docGrid w:linePitch="360"/>
        </w:sectPr>
      </w:pPr>
      <w:r w:rsidRPr="004F3944">
        <w:t xml:space="preserve">El 18 de octubre de 2025, justo antes de la presente reunión, se llevará a cabo un taller sobre las evaluaciones aprobadas por la Plataforma en 2025 y las próximas evaluaciones. </w:t>
      </w:r>
    </w:p>
    <w:p w14:paraId="61ACD958" w14:textId="4EB5068F" w:rsidR="009D06C7" w:rsidRPr="004F3944" w:rsidRDefault="00912FB4" w:rsidP="00415670">
      <w:pPr>
        <w:pStyle w:val="CBDH1"/>
      </w:pPr>
      <w:r w:rsidRPr="004F3944">
        <w:t>IV.</w:t>
      </w:r>
      <w:r w:rsidRPr="004F3944">
        <w:tab/>
        <w:t>Recomendaciones</w:t>
      </w:r>
    </w:p>
    <w:p w14:paraId="3F1AFBCE" w14:textId="301CB34F" w:rsidR="009D06C7" w:rsidRPr="004F3944" w:rsidRDefault="44EC2DF0" w:rsidP="00AF1A55">
      <w:pPr>
        <w:pStyle w:val="CBDNormalNumber"/>
      </w:pPr>
      <w:r w:rsidRPr="004F3944">
        <w:t xml:space="preserve">El Órgano Subsidiario podría estimar oportuno recomendar que, en su 17ª reunión, la Conferencia de las Partes adopte una decisión del siguiente tenor: </w:t>
      </w:r>
    </w:p>
    <w:p w14:paraId="093AEAD3" w14:textId="77777777" w:rsidR="009D06C7" w:rsidRPr="004F3944" w:rsidRDefault="009D06C7" w:rsidP="00415670">
      <w:pPr>
        <w:pStyle w:val="CBDNormalNoNumber"/>
        <w:tabs>
          <w:tab w:val="clear" w:pos="567"/>
        </w:tabs>
        <w:ind w:left="1134" w:firstLine="567"/>
      </w:pPr>
      <w:r w:rsidRPr="004F3944">
        <w:rPr>
          <w:i/>
        </w:rPr>
        <w:t>La Conferencia de las Partes</w:t>
      </w:r>
      <w:r w:rsidRPr="004F3944">
        <w:t>,</w:t>
      </w:r>
    </w:p>
    <w:p w14:paraId="344F6417" w14:textId="4B3F276B" w:rsidR="009D06C7" w:rsidRPr="004F3944" w:rsidRDefault="009D06C7" w:rsidP="00415670">
      <w:pPr>
        <w:pStyle w:val="CBDNormalNoNumber"/>
        <w:tabs>
          <w:tab w:val="clear" w:pos="567"/>
        </w:tabs>
        <w:ind w:left="1134" w:firstLine="567"/>
        <w:rPr>
          <w:i/>
          <w:iCs/>
        </w:rPr>
      </w:pPr>
      <w:r w:rsidRPr="004F3944">
        <w:rPr>
          <w:i/>
        </w:rPr>
        <w:t>Recordando</w:t>
      </w:r>
      <w:r w:rsidRPr="004F3944">
        <w:t xml:space="preserve"> sus</w:t>
      </w:r>
      <w:r w:rsidRPr="004F3944">
        <w:rPr>
          <w:i/>
        </w:rPr>
        <w:t xml:space="preserve"> </w:t>
      </w:r>
      <w:r w:rsidRPr="004F3944">
        <w:t xml:space="preserve">decisiones </w:t>
      </w:r>
      <w:hyperlink r:id="rId22" w:history="1">
        <w:r w:rsidRPr="004F3944">
          <w:rPr>
            <w:rStyle w:val="Hipervnculo"/>
          </w:rPr>
          <w:t>XII/25</w:t>
        </w:r>
      </w:hyperlink>
      <w:r w:rsidRPr="004F3944">
        <w:t xml:space="preserve">, de 17 de octubre de 2014, </w:t>
      </w:r>
      <w:hyperlink r:id="rId23" w:history="1">
        <w:r w:rsidRPr="004F3944">
          <w:rPr>
            <w:rStyle w:val="Hipervnculo"/>
          </w:rPr>
          <w:t>15/13</w:t>
        </w:r>
      </w:hyperlink>
      <w:r w:rsidRPr="004F3944">
        <w:t xml:space="preserve"> y </w:t>
      </w:r>
      <w:hyperlink r:id="rId24" w:history="1">
        <w:r w:rsidRPr="004F3944">
          <w:rPr>
            <w:rStyle w:val="Hipervnculo"/>
          </w:rPr>
          <w:t>15/19</w:t>
        </w:r>
      </w:hyperlink>
      <w:r w:rsidRPr="004F3944">
        <w:t xml:space="preserve">, de 19 de diciembre de 2022, y </w:t>
      </w:r>
      <w:hyperlink r:id="rId25" w:history="1">
        <w:r w:rsidRPr="004F3944">
          <w:rPr>
            <w:rStyle w:val="Hipervnculo"/>
          </w:rPr>
          <w:t>16/11</w:t>
        </w:r>
      </w:hyperlink>
      <w:r w:rsidRPr="004F3944">
        <w:t>, de 1 de noviembre de 2024,</w:t>
      </w:r>
    </w:p>
    <w:p w14:paraId="1E5BF7FE" w14:textId="3E80BCFF" w:rsidR="0078335B" w:rsidRPr="004F3944" w:rsidRDefault="1AD38400" w:rsidP="00415670">
      <w:pPr>
        <w:pStyle w:val="CBDNormalNoNumber"/>
        <w:tabs>
          <w:tab w:val="clear" w:pos="567"/>
        </w:tabs>
        <w:ind w:left="1134" w:firstLine="567"/>
      </w:pPr>
      <w:r w:rsidRPr="004F3944">
        <w:rPr>
          <w:i/>
        </w:rPr>
        <w:t>Observando</w:t>
      </w:r>
      <w:r w:rsidRPr="004F3944">
        <w:t xml:space="preserve"> que el Marco Mundial de Biodiversidad de Kunming-Montreal</w:t>
      </w:r>
      <w:r w:rsidR="65A93A4D" w:rsidRPr="004F3944">
        <w:rPr>
          <w:vertAlign w:val="superscript"/>
        </w:rPr>
        <w:footnoteReference w:id="6"/>
      </w:r>
      <w:r w:rsidRPr="004F3944">
        <w:t xml:space="preserve"> busca responder al </w:t>
      </w:r>
      <w:r w:rsidRPr="004F3944">
        <w:rPr>
          <w:i/>
          <w:iCs/>
        </w:rPr>
        <w:t>Informe de la Evaluación Mundial sobre la Diversidad Biológica y los Servicios de los Ecosistemas</w:t>
      </w:r>
      <w:r w:rsidRPr="004F3944">
        <w:t xml:space="preserve"> de la Plataforma Intergubernamental </w:t>
      </w:r>
      <w:r w:rsidR="00C177E6" w:rsidRPr="004F3944">
        <w:t>Científico</w:t>
      </w:r>
      <w:r w:rsidR="00C177E6" w:rsidRPr="004F3944">
        <w:noBreakHyphen/>
      </w:r>
      <w:r w:rsidR="008F77DD" w:rsidRPr="004F3944">
        <w:t>Normativa</w:t>
      </w:r>
      <w:r w:rsidRPr="004F3944">
        <w:t xml:space="preserve"> sobre Diversidad Biológica y Servicios de los Ecosistemas,</w:t>
      </w:r>
    </w:p>
    <w:p w14:paraId="2985766A" w14:textId="6D0B30F5" w:rsidR="00F24239" w:rsidRPr="004F3944" w:rsidRDefault="00F24239" w:rsidP="00415670">
      <w:pPr>
        <w:pStyle w:val="CBDNormalNoNumber"/>
        <w:tabs>
          <w:tab w:val="clear" w:pos="567"/>
        </w:tabs>
        <w:ind w:left="1134" w:firstLine="567"/>
      </w:pPr>
      <w:r w:rsidRPr="004F3944">
        <w:rPr>
          <w:i/>
        </w:rPr>
        <w:t>Recordando</w:t>
      </w:r>
      <w:r w:rsidRPr="004F3944">
        <w:t xml:space="preserve"> que en el Marco se citan algunos de los mensajes principales del informe de la primera evaluación mundial, en particular: </w:t>
      </w:r>
      <w:r w:rsidRPr="004F3944">
        <w:rPr>
          <w:i/>
          <w:iCs/>
        </w:rPr>
        <w:t xml:space="preserve">Es posible conservar, restaurar y usar la </w:t>
      </w:r>
      <w:r w:rsidRPr="004F3944">
        <w:rPr>
          <w:i/>
          <w:iCs/>
        </w:rPr>
        <w:lastRenderedPageBreak/>
        <w:t>naturaleza de manera sostenible a la vez que se alcanzan otras metas sociales mundiales si se emprenden con urgencia iniciativas coordinadas que promuevan un cambio transformador</w:t>
      </w:r>
      <w:r w:rsidRPr="004F3944">
        <w:t xml:space="preserve">. </w:t>
      </w:r>
    </w:p>
    <w:p w14:paraId="243062CF" w14:textId="70E33D66" w:rsidR="009D06C7" w:rsidRPr="004F3944" w:rsidRDefault="00253689" w:rsidP="00415670">
      <w:pPr>
        <w:pStyle w:val="CBDNormalNoNumber"/>
        <w:tabs>
          <w:tab w:val="clear" w:pos="567"/>
        </w:tabs>
        <w:ind w:left="1134" w:firstLine="567"/>
      </w:pPr>
      <w:r w:rsidRPr="004F3944">
        <w:t>1.</w:t>
      </w:r>
      <w:r w:rsidRPr="004F3944">
        <w:tab/>
      </w:r>
      <w:r w:rsidRPr="004F3944">
        <w:rPr>
          <w:i/>
          <w:iCs/>
        </w:rPr>
        <w:t>Acoge con satisfacción</w:t>
      </w:r>
      <w:r w:rsidRPr="004F3944">
        <w:t xml:space="preserve"> el </w:t>
      </w:r>
      <w:r w:rsidRPr="004F3944">
        <w:rPr>
          <w:i/>
          <w:iCs/>
        </w:rPr>
        <w:t>Informe de la evaluación temática de los vínculos entre la diversidad biológica, el agua, la alimentación y la salud</w:t>
      </w:r>
      <w:r w:rsidRPr="004F3944">
        <w:t xml:space="preserve"> (“evaluación del nexo”) de la Plataforma Intergubernamental </w:t>
      </w:r>
      <w:r w:rsidR="00C177E6" w:rsidRPr="004F3944">
        <w:t>Científico</w:t>
      </w:r>
      <w:r w:rsidR="00C177E6" w:rsidRPr="004F3944">
        <w:noBreakHyphen/>
      </w:r>
      <w:r w:rsidR="008F77DD" w:rsidRPr="004F3944">
        <w:t>Normativa</w:t>
      </w:r>
      <w:r w:rsidRPr="004F3944">
        <w:t xml:space="preserve"> sobre Diversidad Biológica y Servicios de los Ecosistemas;</w:t>
      </w:r>
    </w:p>
    <w:p w14:paraId="7406E949" w14:textId="77AD1696" w:rsidR="005A78B3" w:rsidRPr="004F3944" w:rsidRDefault="00253689" w:rsidP="00415670">
      <w:pPr>
        <w:pStyle w:val="CBDNormalNoNumber"/>
        <w:tabs>
          <w:tab w:val="clear" w:pos="567"/>
        </w:tabs>
        <w:ind w:left="1134" w:firstLine="567"/>
      </w:pPr>
      <w:r w:rsidRPr="004F3944">
        <w:t>2</w:t>
      </w:r>
      <w:r w:rsidRPr="004F3944">
        <w:rPr>
          <w:i/>
        </w:rPr>
        <w:t>.</w:t>
      </w:r>
      <w:r w:rsidRPr="004F3944">
        <w:rPr>
          <w:i/>
        </w:rPr>
        <w:tab/>
        <w:t>Alienta</w:t>
      </w:r>
      <w:r w:rsidRPr="004F3944">
        <w:t xml:space="preserve"> a las Partes, otros Gobiernos, los pueblos indígenas y las comunidades locales, las organizaciones pertinentes y los interesados a que adopten medidas para promover y aplicar un enfoque sinérgico y holístico para la diversidad biológica y los otros elementos del nexo, según proceda; </w:t>
      </w:r>
    </w:p>
    <w:p w14:paraId="7F5CFA95" w14:textId="6B1B5258" w:rsidR="00FC54F9" w:rsidRPr="004F3944" w:rsidRDefault="00253689" w:rsidP="00415670">
      <w:pPr>
        <w:pStyle w:val="CBDNormalNoNumber"/>
        <w:tabs>
          <w:tab w:val="clear" w:pos="567"/>
        </w:tabs>
        <w:ind w:left="1134" w:firstLine="567"/>
      </w:pPr>
      <w:r w:rsidRPr="004F3944">
        <w:t>3.</w:t>
      </w:r>
      <w:r w:rsidRPr="004F3944">
        <w:rPr>
          <w:i/>
        </w:rPr>
        <w:tab/>
        <w:t xml:space="preserve">Alienta </w:t>
      </w:r>
      <w:r w:rsidRPr="004F3944">
        <w:t>a las Partes y a otros interesados pertinentes a lo siguiente:</w:t>
      </w:r>
    </w:p>
    <w:p w14:paraId="5CF092C8" w14:textId="1232F8AD" w:rsidR="003A7522" w:rsidRPr="004F3944" w:rsidRDefault="00D24A1B" w:rsidP="00415670">
      <w:pPr>
        <w:pStyle w:val="CBDNormalNoNumber"/>
        <w:tabs>
          <w:tab w:val="clear" w:pos="567"/>
        </w:tabs>
        <w:ind w:left="1134" w:firstLine="567"/>
      </w:pPr>
      <w:r w:rsidRPr="004F3944">
        <w:t>a)</w:t>
      </w:r>
      <w:r w:rsidRPr="004F3944">
        <w:tab/>
        <w:t>Sensibilizar sobre las interrelaciones entre los distintos elementos del nexo;</w:t>
      </w:r>
    </w:p>
    <w:p w14:paraId="3BBC30B8" w14:textId="7332A44B" w:rsidR="00E34F28" w:rsidRPr="004F3944" w:rsidRDefault="00D24A1B" w:rsidP="00415670">
      <w:pPr>
        <w:pStyle w:val="CBDNormalNoNumber"/>
        <w:tabs>
          <w:tab w:val="clear" w:pos="567"/>
        </w:tabs>
        <w:ind w:left="1134" w:firstLine="567"/>
      </w:pPr>
      <w:r w:rsidRPr="004F3944">
        <w:t>b)</w:t>
      </w:r>
      <w:r w:rsidRPr="004F3944">
        <w:tab/>
        <w:t>Apoyar la futura investigación y recopilación de datos destinados a comprender mejor la situación y las tendencias de las interacciones entre los elementos del nexo y las posibles compensaciones</w:t>
      </w:r>
      <w:r w:rsidR="00C74D68" w:rsidRPr="004F3944">
        <w:rPr>
          <w:rStyle w:val="Refdenotaalpie"/>
        </w:rPr>
        <w:footnoteReference w:id="7"/>
      </w:r>
      <w:r w:rsidRPr="004F3944">
        <w:t>;</w:t>
      </w:r>
    </w:p>
    <w:p w14:paraId="3DA5E513" w14:textId="4E5586B5" w:rsidR="00E34F28" w:rsidRPr="004F3944" w:rsidRDefault="00D24A1B" w:rsidP="00415670">
      <w:pPr>
        <w:pStyle w:val="CBDNormalNoNumber"/>
        <w:tabs>
          <w:tab w:val="clear" w:pos="567"/>
        </w:tabs>
        <w:ind w:left="1134" w:firstLine="567"/>
      </w:pPr>
      <w:r w:rsidRPr="004F3944">
        <w:t>c)</w:t>
      </w:r>
      <w:r w:rsidRPr="004F3944">
        <w:tab/>
        <w:t>Identificar opciones de políticas y financiación para promover sinergias entre los elementos del nexo</w:t>
      </w:r>
      <w:r w:rsidR="002D04C6" w:rsidRPr="004F3944">
        <w:rPr>
          <w:rStyle w:val="Refdenotaalpie"/>
        </w:rPr>
        <w:footnoteReference w:id="8"/>
      </w:r>
      <w:r w:rsidRPr="004F3944">
        <w:t xml:space="preserve">; </w:t>
      </w:r>
    </w:p>
    <w:p w14:paraId="11DD70EF" w14:textId="100F167F" w:rsidR="00C473D4" w:rsidRPr="004F3944" w:rsidRDefault="00D24A1B" w:rsidP="00415670">
      <w:pPr>
        <w:pStyle w:val="CBDNormalNoNumber"/>
        <w:tabs>
          <w:tab w:val="clear" w:pos="567"/>
        </w:tabs>
        <w:ind w:left="1134" w:firstLine="567"/>
      </w:pPr>
      <w:r w:rsidRPr="004F3944">
        <w:t>d)</w:t>
      </w:r>
      <w:r w:rsidRPr="004F3944">
        <w:tab/>
        <w:t>Promover la colaboración con un amplio abanico de autoridades gubernamentales de nivel nacional, así como con otros interesados, entre ellos, agentes subnacionales, los pueblos indígenas y l</w:t>
      </w:r>
      <w:r w:rsidR="008F77DD" w:rsidRPr="004F3944">
        <w:t>a</w:t>
      </w:r>
      <w:r w:rsidRPr="004F3944">
        <w:t>s comunidades locales, las mujeres, la juventud y el sector privado;</w:t>
      </w:r>
    </w:p>
    <w:p w14:paraId="32E263EC" w14:textId="7755483F" w:rsidR="006C75F8" w:rsidRPr="004F3944" w:rsidRDefault="00D24A1B" w:rsidP="00415670">
      <w:pPr>
        <w:pStyle w:val="CBDNormalNoNumber"/>
        <w:tabs>
          <w:tab w:val="clear" w:pos="567"/>
        </w:tabs>
        <w:ind w:left="1134" w:firstLine="567"/>
      </w:pPr>
      <w:r w:rsidRPr="004F3944">
        <w:t>4.</w:t>
      </w:r>
      <w:r w:rsidRPr="004F3944">
        <w:rPr>
          <w:i/>
        </w:rPr>
        <w:tab/>
        <w:t>Alienta</w:t>
      </w:r>
      <w:r w:rsidRPr="004F3944">
        <w:t xml:space="preserve"> la coordinación entre las organizaciones internacionales pertinentes y los interesados que trabajan en relación con diferentes elementos del nexo; </w:t>
      </w:r>
    </w:p>
    <w:p w14:paraId="16D6D942" w14:textId="0AB2A918" w:rsidR="00CE30AF" w:rsidRPr="004F3944" w:rsidRDefault="00D24A1B" w:rsidP="00415670">
      <w:pPr>
        <w:pStyle w:val="CBDNormalNoNumber"/>
        <w:tabs>
          <w:tab w:val="clear" w:pos="567"/>
        </w:tabs>
        <w:ind w:left="1134" w:firstLine="567"/>
      </w:pPr>
      <w:r w:rsidRPr="004F3944">
        <w:t>5.</w:t>
      </w:r>
      <w:r w:rsidRPr="004F3944">
        <w:tab/>
      </w:r>
      <w:r w:rsidRPr="004F3944">
        <w:rPr>
          <w:i/>
          <w:iCs/>
        </w:rPr>
        <w:t>Acoge con satisfacción</w:t>
      </w:r>
      <w:r w:rsidRPr="004F3944">
        <w:t xml:space="preserve"> el </w:t>
      </w:r>
      <w:r w:rsidRPr="004F3944">
        <w:rPr>
          <w:i/>
          <w:iCs/>
        </w:rPr>
        <w:t>Informe de la evaluación temática de las causas subyacentes de la pérdida de la diversidad biológica y los factores determinantes del cambio transformador y las opciones para hacer realidad la Visión 2050 para la Diversidad Biológica</w:t>
      </w:r>
      <w:r w:rsidRPr="004F3944">
        <w:t xml:space="preserve"> (“evaluación del cambio transformador”) </w:t>
      </w:r>
      <w:r w:rsidR="00C177E6" w:rsidRPr="004F3944">
        <w:t>de la</w:t>
      </w:r>
      <w:r w:rsidRPr="004F3944">
        <w:t xml:space="preserve"> Plataforma Intergubernamental </w:t>
      </w:r>
      <w:r w:rsidR="00C177E6" w:rsidRPr="004F3944">
        <w:t>Científico</w:t>
      </w:r>
      <w:r w:rsidR="00C177E6" w:rsidRPr="004F3944">
        <w:noBreakHyphen/>
      </w:r>
      <w:r w:rsidR="008F77DD" w:rsidRPr="004F3944">
        <w:t>Normativa</w:t>
      </w:r>
      <w:r w:rsidRPr="004F3944">
        <w:t xml:space="preserve"> sobre Diversidad Biológica y Servicios de los Ecosistemas;</w:t>
      </w:r>
    </w:p>
    <w:p w14:paraId="707CE1A2" w14:textId="7147AF89" w:rsidR="00345DBC" w:rsidRPr="004F3944" w:rsidRDefault="00D24A1B" w:rsidP="00415670">
      <w:pPr>
        <w:pStyle w:val="CBDNormalNoNumber"/>
        <w:tabs>
          <w:tab w:val="clear" w:pos="567"/>
        </w:tabs>
        <w:ind w:left="1134" w:firstLine="567"/>
      </w:pPr>
      <w:r w:rsidRPr="004F3944">
        <w:t>6.</w:t>
      </w:r>
      <w:r w:rsidRPr="004F3944">
        <w:rPr>
          <w:i/>
        </w:rPr>
        <w:tab/>
        <w:t>Alienta</w:t>
      </w:r>
      <w:r w:rsidRPr="004F3944">
        <w:t xml:space="preserve"> a las Partes, otros Gobiernos, los pueblos indígenas y las comunidades locales, las organizaciones pertinentes y los interesados a que adopten medidas para incluir los principios clave del cambio transformador en sus estrategias y medidas, según proceda; </w:t>
      </w:r>
    </w:p>
    <w:p w14:paraId="01E8FCDD" w14:textId="5F80CD38" w:rsidR="00345DBC" w:rsidRPr="004F3944" w:rsidRDefault="00D24A1B" w:rsidP="00415670">
      <w:pPr>
        <w:pStyle w:val="CBDNormalNoNumber"/>
        <w:tabs>
          <w:tab w:val="clear" w:pos="567"/>
        </w:tabs>
        <w:ind w:left="1134" w:firstLine="567"/>
      </w:pPr>
      <w:r w:rsidRPr="004F3944">
        <w:t>7.</w:t>
      </w:r>
      <w:r w:rsidRPr="004F3944">
        <w:rPr>
          <w:i/>
        </w:rPr>
        <w:tab/>
        <w:t xml:space="preserve">Alienta </w:t>
      </w:r>
      <w:r w:rsidRPr="004F3944">
        <w:t>a las Partes y a los interesados pertinentes, en particular, a lo siguiente:</w:t>
      </w:r>
    </w:p>
    <w:p w14:paraId="13E966D6" w14:textId="21989F4E" w:rsidR="00704AD4" w:rsidRPr="004F3944" w:rsidRDefault="00D24A1B" w:rsidP="00415670">
      <w:pPr>
        <w:pStyle w:val="CBDNormalNoNumber"/>
        <w:tabs>
          <w:tab w:val="clear" w:pos="567"/>
        </w:tabs>
        <w:ind w:left="1134" w:firstLine="567"/>
      </w:pPr>
      <w:r w:rsidRPr="004F3944">
        <w:t>a)</w:t>
      </w:r>
      <w:r w:rsidRPr="004F3944">
        <w:tab/>
        <w:t>Sensibilizar sobre la necesidad de un cambio transformador para alcanzar las metas del Marco Mundial de Biodiversidad de Kunming-Montreal para 2030, a fin de alcanzar la Visión de la Diversidad Biológica para 2050;</w:t>
      </w:r>
    </w:p>
    <w:p w14:paraId="7C1AD636" w14:textId="44E59DB6" w:rsidR="00704AD4" w:rsidRPr="004F3944" w:rsidRDefault="00D24A1B" w:rsidP="00415670">
      <w:pPr>
        <w:pStyle w:val="CBDNormalNoNumber"/>
        <w:tabs>
          <w:tab w:val="clear" w:pos="567"/>
        </w:tabs>
        <w:ind w:left="1134" w:firstLine="567"/>
      </w:pPr>
      <w:r w:rsidRPr="004F3944">
        <w:t>b)</w:t>
      </w:r>
      <w:r w:rsidRPr="004F3944">
        <w:tab/>
        <w:t>Promover y apoyar el uso por parte de todos los Gobiernos y los interesados pertinentes de las estrategias y medidas conexas señaladas en la evaluación para lograr un cambio transformador;</w:t>
      </w:r>
    </w:p>
    <w:p w14:paraId="2C98D7D8" w14:textId="0E7FE074" w:rsidR="00704AD4" w:rsidRPr="004F3944" w:rsidRDefault="00D24A1B" w:rsidP="00415670">
      <w:pPr>
        <w:pStyle w:val="CBDNormalNoNumber"/>
        <w:tabs>
          <w:tab w:val="clear" w:pos="567"/>
        </w:tabs>
        <w:ind w:left="1134" w:firstLine="567"/>
      </w:pPr>
      <w:r w:rsidRPr="004F3944">
        <w:t>c)</w:t>
      </w:r>
      <w:r w:rsidRPr="004F3944">
        <w:tab/>
        <w:t>Evaluar la contribución de las políticas de conservación al cambio transformador y, si es necesario, hacerlas más inclusivas, dotarlas de más recursos y centrarlas en lugares de gran valor para la naturaleza y las personas y dar un mayor reconocimiento a los derechos de los pueblos indígenas y las comunidades locales;</w:t>
      </w:r>
    </w:p>
    <w:p w14:paraId="7E9D479E" w14:textId="6853016B" w:rsidR="00704AD4" w:rsidRPr="004F3944" w:rsidRDefault="00D24A1B" w:rsidP="00415670">
      <w:pPr>
        <w:pStyle w:val="CBDNormalNoNumber"/>
        <w:tabs>
          <w:tab w:val="clear" w:pos="567"/>
        </w:tabs>
        <w:ind w:left="1134" w:firstLine="567"/>
      </w:pPr>
      <w:r w:rsidRPr="004F3944">
        <w:lastRenderedPageBreak/>
        <w:t>d)</w:t>
      </w:r>
      <w:r w:rsidRPr="004F3944">
        <w:tab/>
        <w:t>Alentar a los Gobiernos y a las organizaciones pertinentes a poner en práctica un cambio transformador en los sectores más responsables de la pérdida de diversidad biológica;</w:t>
      </w:r>
    </w:p>
    <w:p w14:paraId="72D1638B" w14:textId="045D9844" w:rsidR="00704AD4" w:rsidRPr="004F3944" w:rsidRDefault="00D24A1B" w:rsidP="00415670">
      <w:pPr>
        <w:pStyle w:val="CBDNormalNoNumber"/>
        <w:tabs>
          <w:tab w:val="clear" w:pos="567"/>
        </w:tabs>
        <w:ind w:left="1134" w:firstLine="567"/>
      </w:pPr>
      <w:r w:rsidRPr="004F3944">
        <w:t>e)</w:t>
      </w:r>
      <w:r w:rsidRPr="004F3944">
        <w:tab/>
        <w:t>Alentar a los Gobiernos, a las organizaciones de la sociedad civil y a todas las demás organizaciones pertinentes a que tengan en consideración las conclusiones de la evaluación del cambio transformador, ya que se trata de un enfoque de todo el sistema que requiere la participación de todos los agentes y sectores;</w:t>
      </w:r>
    </w:p>
    <w:p w14:paraId="52EC42A8" w14:textId="593F95FA" w:rsidR="009D06C7" w:rsidRPr="004F3944" w:rsidRDefault="00D24A1B" w:rsidP="00415670">
      <w:pPr>
        <w:pStyle w:val="CBDNormalNoNumber"/>
        <w:tabs>
          <w:tab w:val="clear" w:pos="567"/>
        </w:tabs>
        <w:ind w:left="1134" w:firstLine="567"/>
      </w:pPr>
      <w:r w:rsidRPr="004F3944">
        <w:t>8.</w:t>
      </w:r>
      <w:r w:rsidRPr="004F3944">
        <w:tab/>
      </w:r>
      <w:r w:rsidRPr="004F3944">
        <w:rPr>
          <w:i/>
          <w:iCs/>
        </w:rPr>
        <w:t>Acoge con satisfacción</w:t>
      </w:r>
      <w:r w:rsidRPr="004F3944">
        <w:t xml:space="preserve"> la aprobación de la realización de una segunda evaluación mundial de la diversidad biológica y los servicios de los ecosistemas, cuyo resumen para los encargados de la formulación de políticas será considerado por el Plataforma Intergubernamental </w:t>
      </w:r>
      <w:r w:rsidR="00C177E6" w:rsidRPr="004F3944">
        <w:t>Científico</w:t>
      </w:r>
      <w:r w:rsidR="00C177E6" w:rsidRPr="004F3944">
        <w:noBreakHyphen/>
      </w:r>
      <w:r w:rsidR="008F77DD" w:rsidRPr="004F3944">
        <w:t>Normativa</w:t>
      </w:r>
      <w:r w:rsidRPr="004F3944">
        <w:t xml:space="preserve"> sobre Diversidad Biológica y Servicios de los Ecosistemas en 2028;</w:t>
      </w:r>
    </w:p>
    <w:p w14:paraId="5CC4A4F4" w14:textId="7D324D7D" w:rsidR="009D06C7" w:rsidRPr="004F3944" w:rsidRDefault="00D24A1B">
      <w:pPr>
        <w:pStyle w:val="CBDNormalNoNumber"/>
        <w:tabs>
          <w:tab w:val="clear" w:pos="567"/>
        </w:tabs>
        <w:ind w:left="1134" w:firstLine="567"/>
      </w:pPr>
      <w:r w:rsidRPr="004F3944">
        <w:t>9.</w:t>
      </w:r>
      <w:r w:rsidRPr="004F3944">
        <w:rPr>
          <w:i/>
        </w:rPr>
        <w:tab/>
        <w:t xml:space="preserve">Alienta </w:t>
      </w:r>
      <w:r w:rsidRPr="004F3944">
        <w:t>a las Partes</w:t>
      </w:r>
      <w:r w:rsidRPr="004F3944">
        <w:rPr>
          <w:i/>
        </w:rPr>
        <w:t xml:space="preserve"> </w:t>
      </w:r>
      <w:r w:rsidRPr="004F3944">
        <w:t>a participar en el proceso que conduce a la publicación de la segunda evaluación mundial, observando la pertinencia de la evaluación para la labor realizada en el contexto del Convenio sobre la Diversidad Biológica</w:t>
      </w:r>
      <w:r w:rsidR="0062525F" w:rsidRPr="004F3944">
        <w:rPr>
          <w:rStyle w:val="Refdenotaalpie"/>
        </w:rPr>
        <w:footnoteReference w:id="9"/>
      </w:r>
      <w:r w:rsidRPr="004F3944">
        <w:t>, incluida la revisión mundial de los progresos colectivos en la implementación del Marco Mundial de Biodiversidad de Kunming-Montreal que se examinará en la 19ª reunión de la Conferencia de las Partes;</w:t>
      </w:r>
    </w:p>
    <w:p w14:paraId="39EA2A09" w14:textId="24BE409C" w:rsidR="00355FDE" w:rsidRPr="004F3944" w:rsidRDefault="00355FDE" w:rsidP="00364097">
      <w:pPr>
        <w:pStyle w:val="CBDNormalNoNumber"/>
        <w:tabs>
          <w:tab w:val="clear" w:pos="567"/>
        </w:tabs>
        <w:ind w:left="1134" w:firstLine="567"/>
      </w:pPr>
      <w:r w:rsidRPr="004F3944">
        <w:t>10.</w:t>
      </w:r>
      <w:r w:rsidRPr="004F3944">
        <w:tab/>
      </w:r>
      <w:r w:rsidRPr="004F3944">
        <w:rPr>
          <w:i/>
          <w:color w:val="212121"/>
          <w:shd w:val="clear" w:color="auto" w:fill="FFFFFF" w:themeFill="background1"/>
        </w:rPr>
        <w:t>Invita</w:t>
      </w:r>
      <w:r w:rsidRPr="004F3944">
        <w:rPr>
          <w:color w:val="212121"/>
          <w:shd w:val="clear" w:color="auto" w:fill="FFFFFF" w:themeFill="background1"/>
        </w:rPr>
        <w:t xml:space="preserve"> a la </w:t>
      </w:r>
      <w:r w:rsidRPr="004F3944">
        <w:rPr>
          <w:shd w:val="clear" w:color="auto" w:fill="FFFFFF" w:themeFill="background1"/>
        </w:rPr>
        <w:t xml:space="preserve">Plataforma Intergubernamental </w:t>
      </w:r>
      <w:r w:rsidR="00C177E6" w:rsidRPr="004F3944">
        <w:rPr>
          <w:shd w:val="clear" w:color="auto" w:fill="FFFFFF" w:themeFill="background1"/>
        </w:rPr>
        <w:t>Científico</w:t>
      </w:r>
      <w:r w:rsidR="00C177E6" w:rsidRPr="004F3944">
        <w:rPr>
          <w:shd w:val="clear" w:color="auto" w:fill="FFFFFF" w:themeFill="background1"/>
        </w:rPr>
        <w:noBreakHyphen/>
      </w:r>
      <w:r w:rsidR="008F77DD" w:rsidRPr="004F3944">
        <w:rPr>
          <w:shd w:val="clear" w:color="auto" w:fill="FFFFFF" w:themeFill="background1"/>
        </w:rPr>
        <w:t>Normativa</w:t>
      </w:r>
      <w:r w:rsidRPr="004F3944">
        <w:rPr>
          <w:shd w:val="clear" w:color="auto" w:fill="FFFFFF" w:themeFill="background1"/>
        </w:rPr>
        <w:t xml:space="preserve"> sobre Diversidad Biológica y Servicios de los Ecosistemas </w:t>
      </w:r>
      <w:r w:rsidRPr="004F3944">
        <w:rPr>
          <w:color w:val="212121"/>
          <w:shd w:val="clear" w:color="auto" w:fill="FFFFFF" w:themeFill="background1"/>
        </w:rPr>
        <w:t>a preparar mensajes sencillos y adaptados, que sean pertinentes para las políticas, a fin de facilitar el uso de las evaluaciones a nivel nacional por las Partes.</w:t>
      </w:r>
    </w:p>
    <w:p w14:paraId="4F3DD8D0" w14:textId="2E6CEC1A" w:rsidR="00990D9B" w:rsidRPr="004F3944" w:rsidRDefault="00990D9B" w:rsidP="00415670">
      <w:pPr>
        <w:pStyle w:val="CBDNormalNumber"/>
      </w:pPr>
      <w:r w:rsidRPr="004F3944">
        <w:t>Además, el Órgano Subsidiario podría estimar oportuno considerar la inclusión de texto relacionado con las evaluaciones del nexo y del cambio transformador en otras recomendaciones pertinentes, tales como aquellas relacionadas con el cambio climático, la agricultura y la salud.</w:t>
      </w:r>
    </w:p>
    <w:p w14:paraId="01BE309B" w14:textId="77777777" w:rsidR="009A2AD0" w:rsidRPr="004F3944" w:rsidRDefault="009A2AD0" w:rsidP="002D1224">
      <w:pPr>
        <w:pStyle w:val="Para1"/>
        <w:tabs>
          <w:tab w:val="clear" w:pos="1134"/>
        </w:tabs>
        <w:ind w:left="0"/>
        <w:jc w:val="center"/>
        <w:sectPr w:rsidR="009A2AD0" w:rsidRPr="004F3944" w:rsidSect="001B269A">
          <w:footnotePr>
            <w:numRestart w:val="eachSect"/>
          </w:footnotePr>
          <w:type w:val="continuous"/>
          <w:pgSz w:w="12240" w:h="15840"/>
          <w:pgMar w:top="1134" w:right="1440" w:bottom="1134" w:left="1440" w:header="709" w:footer="709" w:gutter="0"/>
          <w:cols w:space="708"/>
          <w:titlePg/>
          <w:docGrid w:linePitch="360"/>
        </w:sectPr>
      </w:pPr>
    </w:p>
    <w:p w14:paraId="4D6748DB" w14:textId="6394A725" w:rsidR="009A2AD0" w:rsidRPr="004F3944" w:rsidRDefault="009A2AD0" w:rsidP="00D4087C">
      <w:pPr>
        <w:pStyle w:val="CBDAnnex"/>
      </w:pPr>
      <w:bookmarkStart w:id="0" w:name="_Hlk161737352"/>
      <w:r w:rsidRPr="004F3944">
        <w:lastRenderedPageBreak/>
        <w:t xml:space="preserve">Anexo </w:t>
      </w:r>
      <w:r w:rsidRPr="004F3944">
        <w:br/>
        <w:t xml:space="preserve">Calendario de evaluaciones de la Plataforma Intergubernamental </w:t>
      </w:r>
      <w:r w:rsidR="00C177E6" w:rsidRPr="004F3944">
        <w:t>Científico</w:t>
      </w:r>
      <w:r w:rsidR="00C177E6" w:rsidRPr="004F3944">
        <w:noBreakHyphen/>
      </w:r>
      <w:r w:rsidRPr="004F3944">
        <w:t>Normativa sobre Diversidad Biológica y Servicios de los Ecosistemas y de su consideración en el contexto del Convenio sobre la Diversidad Biológica (2024-2030), según la actualización realizada después de la 11º período de sesiones del Plenario de la Plataforma</w:t>
      </w:r>
      <w:r w:rsidRPr="004F3944">
        <w:rPr>
          <w:rStyle w:val="Refdenotaalpie"/>
        </w:rPr>
        <w:footnoteReference w:customMarkFollows="1" w:id="10"/>
        <w:t>*</w:t>
      </w:r>
    </w:p>
    <w:tbl>
      <w:tblPr>
        <w:tblStyle w:val="Tablaconcuadrcula"/>
        <w:tblW w:w="5000" w:type="pct"/>
        <w:jc w:val="center"/>
        <w:tblLayout w:type="fixed"/>
        <w:tblLook w:val="04A0" w:firstRow="1" w:lastRow="0" w:firstColumn="1" w:lastColumn="0" w:noHBand="0" w:noVBand="1"/>
      </w:tblPr>
      <w:tblGrid>
        <w:gridCol w:w="2263"/>
        <w:gridCol w:w="3469"/>
        <w:gridCol w:w="3618"/>
      </w:tblGrid>
      <w:tr w:rsidR="009A2AD0" w:rsidRPr="004F3944" w14:paraId="31618212" w14:textId="77777777" w:rsidTr="00D4087C">
        <w:trPr>
          <w:tblHeader/>
          <w:jc w:val="center"/>
        </w:trPr>
        <w:tc>
          <w:tcPr>
            <w:tcW w:w="2263" w:type="dxa"/>
            <w:shd w:val="clear" w:color="auto" w:fill="FFFFFF" w:themeFill="background1"/>
          </w:tcPr>
          <w:bookmarkEnd w:id="0"/>
          <w:p w14:paraId="0E62D56D" w14:textId="36AE70FC" w:rsidR="009A2AD0" w:rsidRPr="004F3944"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F3944">
              <w:rPr>
                <w:rFonts w:asciiTheme="majorBidi" w:hAnsiTheme="majorBidi"/>
                <w:i/>
                <w:snapToGrid w:val="0"/>
                <w:sz w:val="20"/>
              </w:rPr>
              <w:t xml:space="preserve">Número de período de sesiones y fecha de consideración por el Plenario de la Plataforma Intergubernamental </w:t>
            </w:r>
            <w:r w:rsidR="00C177E6" w:rsidRPr="004F3944">
              <w:rPr>
                <w:rFonts w:asciiTheme="majorBidi" w:hAnsiTheme="majorBidi"/>
                <w:i/>
                <w:snapToGrid w:val="0"/>
                <w:sz w:val="20"/>
              </w:rPr>
              <w:t>Científico</w:t>
            </w:r>
            <w:r w:rsidR="00C177E6" w:rsidRPr="004F3944">
              <w:rPr>
                <w:rFonts w:asciiTheme="majorBidi" w:hAnsiTheme="majorBidi"/>
                <w:i/>
                <w:snapToGrid w:val="0"/>
                <w:sz w:val="20"/>
              </w:rPr>
              <w:noBreakHyphen/>
            </w:r>
            <w:r w:rsidRPr="004F3944">
              <w:rPr>
                <w:rFonts w:asciiTheme="majorBidi" w:hAnsiTheme="majorBidi"/>
                <w:i/>
                <w:snapToGrid w:val="0"/>
                <w:sz w:val="20"/>
              </w:rPr>
              <w:t>Normativa sobre Diversidad Biológica y Servicios de los Ecosistemas</w:t>
            </w:r>
            <w:r w:rsidRPr="004F3944">
              <w:rPr>
                <w:rFonts w:asciiTheme="majorBidi" w:hAnsiTheme="majorBidi"/>
                <w:i/>
                <w:snapToGrid w:val="0"/>
                <w:sz w:val="20"/>
                <w:vertAlign w:val="superscript"/>
              </w:rPr>
              <w:t>a</w:t>
            </w:r>
          </w:p>
        </w:tc>
        <w:tc>
          <w:tcPr>
            <w:tcW w:w="3469" w:type="dxa"/>
            <w:shd w:val="clear" w:color="auto" w:fill="FFFFFF" w:themeFill="background1"/>
          </w:tcPr>
          <w:p w14:paraId="00A25E3D" w14:textId="5CA816F2" w:rsidR="009A2AD0" w:rsidRPr="004F3944"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F3944">
              <w:rPr>
                <w:rFonts w:asciiTheme="majorBidi" w:hAnsiTheme="majorBidi"/>
                <w:i/>
                <w:snapToGrid w:val="0"/>
                <w:sz w:val="20"/>
              </w:rPr>
              <w:t>Evaluación</w:t>
            </w:r>
          </w:p>
        </w:tc>
        <w:tc>
          <w:tcPr>
            <w:tcW w:w="3618" w:type="dxa"/>
            <w:shd w:val="clear" w:color="auto" w:fill="FFFFFF" w:themeFill="background1"/>
          </w:tcPr>
          <w:p w14:paraId="70060101" w14:textId="77777777" w:rsidR="009A2AD0" w:rsidRPr="004F3944"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F3944">
              <w:rPr>
                <w:rFonts w:asciiTheme="majorBidi" w:hAnsiTheme="majorBidi"/>
                <w:i/>
                <w:snapToGrid w:val="0"/>
                <w:sz w:val="20"/>
              </w:rPr>
              <w:t>Fecha de consideración por el Órgano Subsidiario de Asesoramiento Científico, Técnico y Tecnológico y por la Conferencia de las Partes en el Convenio</w:t>
            </w:r>
          </w:p>
        </w:tc>
      </w:tr>
      <w:tr w:rsidR="00F7085E" w:rsidRPr="004F3944" w14:paraId="7A23CB33" w14:textId="77777777" w:rsidTr="00D4087C">
        <w:trPr>
          <w:jc w:val="center"/>
        </w:trPr>
        <w:tc>
          <w:tcPr>
            <w:tcW w:w="2263" w:type="dxa"/>
            <w:vMerge w:val="restart"/>
          </w:tcPr>
          <w:p w14:paraId="04C7B18D" w14:textId="77777777" w:rsidR="00F7085E" w:rsidRPr="004F3944" w:rsidRDefault="00F7085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t>11º período de sesiones (2024)</w:t>
            </w:r>
          </w:p>
        </w:tc>
        <w:tc>
          <w:tcPr>
            <w:tcW w:w="3469" w:type="dxa"/>
          </w:tcPr>
          <w:p w14:paraId="7BF32CDC" w14:textId="5EEA1780" w:rsidR="00F7085E" w:rsidRPr="004F3944" w:rsidRDefault="00F7085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t>Evaluación temática sobre los vínculos entre la diversidad biológica, el agua, la alimentación y la salud (“evaluación del nexo”)</w:t>
            </w:r>
            <w:r w:rsidRPr="004F3944">
              <w:rPr>
                <w:rFonts w:asciiTheme="majorBidi" w:hAnsiTheme="majorBidi"/>
                <w:i/>
                <w:snapToGrid w:val="0"/>
                <w:sz w:val="20"/>
                <w:vertAlign w:val="superscript"/>
              </w:rPr>
              <w:t>b</w:t>
            </w:r>
          </w:p>
        </w:tc>
        <w:tc>
          <w:tcPr>
            <w:tcW w:w="3618" w:type="dxa"/>
            <w:vMerge w:val="restart"/>
          </w:tcPr>
          <w:p w14:paraId="3B0CEE6E" w14:textId="3ACBF664" w:rsidR="00F7085E" w:rsidRPr="004F3944" w:rsidRDefault="00F7085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t>27ª reunión del Órgano Subsidiario (2025)</w:t>
            </w:r>
          </w:p>
        </w:tc>
      </w:tr>
      <w:tr w:rsidR="00F7085E" w:rsidRPr="004F3944" w14:paraId="7E3344E3" w14:textId="77777777" w:rsidTr="00D4087C">
        <w:trPr>
          <w:trHeight w:val="994"/>
          <w:jc w:val="center"/>
        </w:trPr>
        <w:tc>
          <w:tcPr>
            <w:tcW w:w="2263" w:type="dxa"/>
            <w:vMerge/>
          </w:tcPr>
          <w:p w14:paraId="4A374A2E" w14:textId="77777777" w:rsidR="00F7085E" w:rsidRPr="004F3944" w:rsidRDefault="00F7085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
        </w:tc>
        <w:tc>
          <w:tcPr>
            <w:tcW w:w="3469" w:type="dxa"/>
          </w:tcPr>
          <w:p w14:paraId="46259ADB" w14:textId="3DB81AFE" w:rsidR="00F7085E" w:rsidRPr="004F3944" w:rsidRDefault="00F7085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t>Evaluación temática de las causas subyacentes de la pérdida de diversidad biológica, los factores determinantes de un cambio transformador y opciones para hacer realidad la Visión 2050 para la Diversidad Biológica (“evaluación del cambio transformador”)</w:t>
            </w:r>
            <w:r w:rsidRPr="004F3944">
              <w:rPr>
                <w:rFonts w:asciiTheme="majorBidi" w:hAnsiTheme="majorBidi"/>
                <w:i/>
                <w:snapToGrid w:val="0"/>
                <w:sz w:val="20"/>
                <w:vertAlign w:val="superscript"/>
              </w:rPr>
              <w:t>c</w:t>
            </w:r>
          </w:p>
        </w:tc>
        <w:tc>
          <w:tcPr>
            <w:tcW w:w="3618" w:type="dxa"/>
            <w:vMerge/>
          </w:tcPr>
          <w:p w14:paraId="2BB29CBA" w14:textId="08E0108D" w:rsidR="00F7085E" w:rsidRPr="004F3944" w:rsidRDefault="00F7085E" w:rsidP="00E82F4D">
            <w:pPr>
              <w:suppressLineNumbers/>
              <w:spacing w:before="40" w:after="80"/>
              <w:jc w:val="left"/>
              <w:rPr>
                <w:rFonts w:asciiTheme="majorBidi" w:hAnsiTheme="majorBidi" w:cstheme="majorBidi"/>
                <w:snapToGrid w:val="0"/>
                <w:kern w:val="22"/>
                <w:sz w:val="20"/>
                <w:szCs w:val="20"/>
              </w:rPr>
            </w:pPr>
          </w:p>
        </w:tc>
      </w:tr>
      <w:tr w:rsidR="00F7085E" w:rsidRPr="004F3944" w14:paraId="581D9AA4" w14:textId="77777777" w:rsidTr="00D4087C">
        <w:trPr>
          <w:trHeight w:val="300"/>
          <w:jc w:val="center"/>
        </w:trPr>
        <w:tc>
          <w:tcPr>
            <w:tcW w:w="2263" w:type="dxa"/>
            <w:vMerge/>
          </w:tcPr>
          <w:p w14:paraId="11FA58BD" w14:textId="70F86B72" w:rsidR="00F7085E" w:rsidRPr="004F3944" w:rsidRDefault="00F7085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
        </w:tc>
        <w:tc>
          <w:tcPr>
            <w:tcW w:w="3469" w:type="dxa"/>
          </w:tcPr>
          <w:p w14:paraId="5FC2B58B" w14:textId="107986D3" w:rsidR="00F7085E" w:rsidRPr="004F3944" w:rsidRDefault="00F7085E" w:rsidP="00E82F4D">
            <w:pPr>
              <w:pStyle w:val="Para1"/>
              <w:suppressLineNumbers/>
              <w:suppressAutoHyphens/>
              <w:kinsoku w:val="0"/>
              <w:overflowPunct w:val="0"/>
              <w:autoSpaceDE w:val="0"/>
              <w:autoSpaceDN w:val="0"/>
              <w:adjustRightInd w:val="0"/>
              <w:snapToGrid w:val="0"/>
              <w:spacing w:before="40" w:after="80"/>
              <w:ind w:left="0"/>
              <w:jc w:val="left"/>
              <w:rPr>
                <w:rFonts w:asciiTheme="majorBidi" w:hAnsiTheme="majorBidi" w:cstheme="majorBidi"/>
                <w:snapToGrid w:val="0"/>
                <w:kern w:val="22"/>
                <w:sz w:val="20"/>
                <w:szCs w:val="20"/>
              </w:rPr>
            </w:pPr>
            <w:r w:rsidRPr="004F3944">
              <w:rPr>
                <w:rFonts w:asciiTheme="majorBidi" w:hAnsiTheme="majorBidi"/>
                <w:snapToGrid w:val="0"/>
                <w:sz w:val="20"/>
              </w:rPr>
              <w:t>Informe de análisis inicial de una segunda evaluación mundial de la diversidad biológica y los servicios de los ecosistemas</w:t>
            </w:r>
            <w:r w:rsidRPr="004F3944">
              <w:rPr>
                <w:rFonts w:asciiTheme="majorBidi" w:hAnsiTheme="majorBidi"/>
                <w:i/>
                <w:snapToGrid w:val="0"/>
                <w:sz w:val="20"/>
                <w:vertAlign w:val="superscript"/>
              </w:rPr>
              <w:t>d</w:t>
            </w:r>
          </w:p>
        </w:tc>
        <w:tc>
          <w:tcPr>
            <w:tcW w:w="3618" w:type="dxa"/>
            <w:vMerge/>
          </w:tcPr>
          <w:p w14:paraId="0BD71082" w14:textId="61DCF532" w:rsidR="00F7085E" w:rsidRPr="004F3944" w:rsidRDefault="00F7085E" w:rsidP="00E82F4D">
            <w:pPr>
              <w:suppressLineNumbers/>
              <w:spacing w:before="40" w:after="80"/>
              <w:jc w:val="left"/>
              <w:rPr>
                <w:rFonts w:asciiTheme="majorBidi" w:hAnsiTheme="majorBidi" w:cstheme="majorBidi"/>
                <w:sz w:val="20"/>
                <w:szCs w:val="20"/>
              </w:rPr>
            </w:pPr>
          </w:p>
        </w:tc>
      </w:tr>
      <w:tr w:rsidR="009A2AD0" w:rsidRPr="004F3944" w14:paraId="530A3A47" w14:textId="77777777" w:rsidTr="00D4087C">
        <w:trPr>
          <w:jc w:val="center"/>
        </w:trPr>
        <w:tc>
          <w:tcPr>
            <w:tcW w:w="2263" w:type="dxa"/>
          </w:tcPr>
          <w:p w14:paraId="0FE6B6F2" w14:textId="77777777" w:rsidR="009A2AD0" w:rsidRPr="004F3944"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t>12º período de sesiones (2025)</w:t>
            </w:r>
          </w:p>
        </w:tc>
        <w:tc>
          <w:tcPr>
            <w:tcW w:w="3469" w:type="dxa"/>
          </w:tcPr>
          <w:p w14:paraId="21052CC5" w14:textId="304DDC8C" w:rsidR="009A2AD0" w:rsidRPr="004F3944"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t>Evaluación metodológica de los efectos y la dependencia de las empresas en relación con la diversidad biológica y las contribuciones de la naturaleza para las personas (“evaluación de las empresas y la diversidad biológica”)</w:t>
            </w:r>
            <w:r w:rsidRPr="004F3944">
              <w:rPr>
                <w:i/>
                <w:vertAlign w:val="superscript"/>
              </w:rPr>
              <w:t>e</w:t>
            </w:r>
          </w:p>
        </w:tc>
        <w:tc>
          <w:tcPr>
            <w:tcW w:w="3618" w:type="dxa"/>
          </w:tcPr>
          <w:p w14:paraId="5E9346A6" w14:textId="77777777" w:rsidR="009A2AD0" w:rsidRPr="004F3944"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t>28ª reunión del Órgano Subsidiario (2026)</w:t>
            </w:r>
          </w:p>
        </w:tc>
      </w:tr>
      <w:tr w:rsidR="009A2AD0" w:rsidRPr="004F3944" w14:paraId="54F18F5A" w14:textId="77777777" w:rsidTr="00D4087C">
        <w:trPr>
          <w:jc w:val="center"/>
        </w:trPr>
        <w:tc>
          <w:tcPr>
            <w:tcW w:w="2263" w:type="dxa"/>
          </w:tcPr>
          <w:p w14:paraId="4A6A85D1" w14:textId="3612C3C5" w:rsidR="009A2AD0" w:rsidRPr="004F3944"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t>13º período de sesiones (2027)</w:t>
            </w:r>
          </w:p>
        </w:tc>
        <w:tc>
          <w:tcPr>
            <w:tcW w:w="3469" w:type="dxa"/>
          </w:tcPr>
          <w:p w14:paraId="739C7C76" w14:textId="08ED3F67" w:rsidR="009A2AD0" w:rsidRPr="004F3944"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t>Evaluación metodológica sobre la vigilancia de la diversidad biológica y las contribuciones de la naturaleza a las personas (“evaluación de la vigilancia”)</w:t>
            </w:r>
            <w:r w:rsidRPr="004F3944">
              <w:rPr>
                <w:rFonts w:asciiTheme="majorBidi" w:hAnsiTheme="majorBidi"/>
                <w:i/>
                <w:snapToGrid w:val="0"/>
                <w:sz w:val="20"/>
                <w:vertAlign w:val="superscript"/>
              </w:rPr>
              <w:t>f</w:t>
            </w:r>
          </w:p>
        </w:tc>
        <w:tc>
          <w:tcPr>
            <w:tcW w:w="3618" w:type="dxa"/>
          </w:tcPr>
          <w:p w14:paraId="555FBD64" w14:textId="49D8AF69" w:rsidR="009A2AD0" w:rsidRPr="004F3944" w:rsidRDefault="00E854A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t xml:space="preserve">En una reunión del Órgano Subsidiario que se celebre antes de la 18ª reunión de la Conferencia de las Partes y en la 18ª reunión de la Conferencia de las Partes (2028) </w:t>
            </w:r>
          </w:p>
        </w:tc>
      </w:tr>
      <w:tr w:rsidR="009A2AD0" w:rsidRPr="004F3944" w14:paraId="3E3D2582" w14:textId="77777777" w:rsidTr="00D4087C">
        <w:trPr>
          <w:jc w:val="center"/>
        </w:trPr>
        <w:tc>
          <w:tcPr>
            <w:tcW w:w="2263" w:type="dxa"/>
          </w:tcPr>
          <w:p w14:paraId="52154A5C" w14:textId="77777777" w:rsidR="009A2AD0" w:rsidRPr="004F3944"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t>14º período de sesiones (2027)</w:t>
            </w:r>
          </w:p>
        </w:tc>
        <w:tc>
          <w:tcPr>
            <w:tcW w:w="3469" w:type="dxa"/>
          </w:tcPr>
          <w:p w14:paraId="15D27D06" w14:textId="77777777" w:rsidR="009A2AD0" w:rsidRPr="004F3944"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t>Evaluación metodológica de la planificación territorial y la conectividad ecológica integradas que tengan en cuenta la diversidad biológica</w:t>
            </w:r>
          </w:p>
        </w:tc>
        <w:tc>
          <w:tcPr>
            <w:tcW w:w="3618" w:type="dxa"/>
          </w:tcPr>
          <w:p w14:paraId="4712FB3D" w14:textId="77777777" w:rsidR="009A2AD0" w:rsidRPr="004F3944"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t xml:space="preserve">En una reunión del Órgano Subsidiario que se celebre antes de la 18ª reunión de la Conferencia de las Partes y en la 18ª </w:t>
            </w:r>
            <w:r w:rsidRPr="004F3944">
              <w:rPr>
                <w:rFonts w:asciiTheme="majorBidi" w:hAnsiTheme="majorBidi"/>
                <w:snapToGrid w:val="0"/>
                <w:sz w:val="20"/>
              </w:rPr>
              <w:lastRenderedPageBreak/>
              <w:t>reunión de la Conferencia de las Partes (2028)</w:t>
            </w:r>
          </w:p>
        </w:tc>
      </w:tr>
      <w:tr w:rsidR="009A2AD0" w:rsidRPr="004F3944" w14:paraId="168CEACD" w14:textId="77777777" w:rsidTr="00D4087C">
        <w:trPr>
          <w:jc w:val="center"/>
        </w:trPr>
        <w:tc>
          <w:tcPr>
            <w:tcW w:w="2263" w:type="dxa"/>
          </w:tcPr>
          <w:p w14:paraId="4AD4B79B" w14:textId="77777777" w:rsidR="009A2AD0" w:rsidRPr="004F3944"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lastRenderedPageBreak/>
              <w:t>15º período de sesiones (2028)</w:t>
            </w:r>
          </w:p>
        </w:tc>
        <w:tc>
          <w:tcPr>
            <w:tcW w:w="3469" w:type="dxa"/>
          </w:tcPr>
          <w:p w14:paraId="5D9484CE" w14:textId="77777777" w:rsidR="009A2AD0" w:rsidRPr="004F3944"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t>Segunda evaluación mundial de la diversidad biológica y los servicios de los ecosistemas</w:t>
            </w:r>
          </w:p>
        </w:tc>
        <w:tc>
          <w:tcPr>
            <w:tcW w:w="3618" w:type="dxa"/>
          </w:tcPr>
          <w:p w14:paraId="25B7C853" w14:textId="77777777" w:rsidR="009A2AD0" w:rsidRPr="004F3944"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t>En una reunión del Órgano Subsidiario que se celebre antes de la 19ª reunión de la Conferencia de las Partes y en la 19ª reunión de la Conferencia de las Partes (2030)</w:t>
            </w:r>
          </w:p>
        </w:tc>
      </w:tr>
      <w:tr w:rsidR="009A2AD0" w:rsidRPr="004F3944" w14:paraId="51324DA4" w14:textId="77777777" w:rsidTr="00D4087C">
        <w:trPr>
          <w:jc w:val="center"/>
        </w:trPr>
        <w:tc>
          <w:tcPr>
            <w:tcW w:w="2263" w:type="dxa"/>
          </w:tcPr>
          <w:p w14:paraId="37187B5D" w14:textId="77777777" w:rsidR="009A2AD0" w:rsidRPr="004F3944"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t>16º período de sesiones (2029)</w:t>
            </w:r>
          </w:p>
        </w:tc>
        <w:tc>
          <w:tcPr>
            <w:tcW w:w="3469" w:type="dxa"/>
          </w:tcPr>
          <w:p w14:paraId="41415DCD" w14:textId="440E87B1" w:rsidR="009A2AD0" w:rsidRPr="004F3944"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t xml:space="preserve">Tema de evaluación que se determinará en el 12º período de sesiones del Plenario de la Plataforma Intergubernamental </w:t>
            </w:r>
            <w:r w:rsidR="00C177E6" w:rsidRPr="004F3944">
              <w:rPr>
                <w:rFonts w:asciiTheme="majorBidi" w:hAnsiTheme="majorBidi"/>
                <w:snapToGrid w:val="0"/>
                <w:sz w:val="20"/>
              </w:rPr>
              <w:t>Científico</w:t>
            </w:r>
            <w:r w:rsidR="00C177E6" w:rsidRPr="004F3944">
              <w:rPr>
                <w:rFonts w:asciiTheme="majorBidi" w:hAnsiTheme="majorBidi"/>
                <w:snapToGrid w:val="0"/>
                <w:sz w:val="20"/>
              </w:rPr>
              <w:noBreakHyphen/>
            </w:r>
            <w:r w:rsidRPr="004F3944">
              <w:rPr>
                <w:rFonts w:asciiTheme="majorBidi" w:hAnsiTheme="majorBidi"/>
                <w:snapToGrid w:val="0"/>
                <w:sz w:val="20"/>
              </w:rPr>
              <w:t>Normativa sobre Diversidad Biológica y Servicios de los Ecosistemas</w:t>
            </w:r>
          </w:p>
        </w:tc>
        <w:tc>
          <w:tcPr>
            <w:tcW w:w="3618" w:type="dxa"/>
          </w:tcPr>
          <w:p w14:paraId="03B85219" w14:textId="77777777" w:rsidR="009A2AD0" w:rsidRPr="004F3944"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4F3944">
              <w:rPr>
                <w:rFonts w:asciiTheme="majorBidi" w:hAnsiTheme="majorBidi"/>
                <w:snapToGrid w:val="0"/>
                <w:sz w:val="20"/>
              </w:rPr>
              <w:t>En una reunión del Órgano Subsidiario que se celebre antes de la 19ª reunión de la Conferencia de las Partes y en la 19ª reunión de la Conferencia de las Partes (2030)</w:t>
            </w:r>
          </w:p>
        </w:tc>
      </w:tr>
    </w:tbl>
    <w:p w14:paraId="25EC42B9" w14:textId="24A4EF8F" w:rsidR="00057905" w:rsidRPr="004F3944" w:rsidRDefault="009A2AD0" w:rsidP="00057905">
      <w:pPr>
        <w:snapToGrid w:val="0"/>
        <w:ind w:left="567"/>
        <w:rPr>
          <w:rFonts w:eastAsia="MS Mincho"/>
          <w:kern w:val="22"/>
          <w:sz w:val="18"/>
          <w:szCs w:val="18"/>
        </w:rPr>
      </w:pPr>
      <w:r w:rsidRPr="004F3944">
        <w:rPr>
          <w:i/>
          <w:sz w:val="18"/>
          <w:vertAlign w:val="superscript"/>
        </w:rPr>
        <w:t>a</w:t>
      </w:r>
      <w:r w:rsidRPr="004F3944">
        <w:rPr>
          <w:sz w:val="18"/>
        </w:rPr>
        <w:t xml:space="preserve"> Las fechas de los períodos de sesiones futuros son indicativas.</w:t>
      </w:r>
    </w:p>
    <w:p w14:paraId="11D96E23" w14:textId="0D6A3B95" w:rsidR="009A2AD0" w:rsidRPr="004F3944" w:rsidRDefault="00057905" w:rsidP="009A2AD0">
      <w:pPr>
        <w:snapToGrid w:val="0"/>
        <w:ind w:left="567"/>
        <w:rPr>
          <w:rStyle w:val="Hipervnculo"/>
          <w:rFonts w:asciiTheme="majorBidi" w:hAnsiTheme="majorBidi" w:cstheme="majorBidi"/>
          <w:snapToGrid w:val="0"/>
          <w:kern w:val="22"/>
          <w:sz w:val="18"/>
          <w:szCs w:val="18"/>
        </w:rPr>
      </w:pPr>
      <w:r w:rsidRPr="004F3944">
        <w:rPr>
          <w:i/>
          <w:sz w:val="18"/>
          <w:vertAlign w:val="superscript"/>
        </w:rPr>
        <w:t>b</w:t>
      </w:r>
      <w:r w:rsidRPr="004F3944">
        <w:rPr>
          <w:sz w:val="18"/>
        </w:rPr>
        <w:t xml:space="preserve"> Véase </w:t>
      </w:r>
      <w:hyperlink r:id="rId26" w:history="1">
        <w:r w:rsidRPr="004F3944">
          <w:rPr>
            <w:rStyle w:val="Hipervnculo"/>
            <w:rFonts w:asciiTheme="majorBidi" w:hAnsiTheme="majorBidi"/>
            <w:snapToGrid w:val="0"/>
            <w:sz w:val="18"/>
          </w:rPr>
          <w:t>www.ipbes.net/nexus-assessment</w:t>
        </w:r>
      </w:hyperlink>
      <w:r w:rsidRPr="004F3944">
        <w:rPr>
          <w:rStyle w:val="Hipervnculo"/>
          <w:rFonts w:asciiTheme="majorBidi" w:hAnsiTheme="majorBidi"/>
          <w:snapToGrid w:val="0"/>
          <w:sz w:val="18"/>
        </w:rPr>
        <w:t>.</w:t>
      </w:r>
    </w:p>
    <w:p w14:paraId="5D62FB39" w14:textId="27011169" w:rsidR="009A2AD0" w:rsidRPr="004F3944" w:rsidRDefault="00311622" w:rsidP="009A2AD0">
      <w:pPr>
        <w:snapToGrid w:val="0"/>
        <w:ind w:left="567"/>
        <w:rPr>
          <w:rStyle w:val="Hipervnculo"/>
          <w:rFonts w:asciiTheme="majorBidi" w:hAnsiTheme="majorBidi" w:cstheme="majorBidi"/>
          <w:snapToGrid w:val="0"/>
          <w:kern w:val="22"/>
          <w:sz w:val="18"/>
          <w:szCs w:val="18"/>
        </w:rPr>
      </w:pPr>
      <w:r w:rsidRPr="004F3944">
        <w:rPr>
          <w:i/>
          <w:sz w:val="18"/>
          <w:vertAlign w:val="superscript"/>
        </w:rPr>
        <w:t>c</w:t>
      </w:r>
      <w:r w:rsidRPr="004F3944">
        <w:rPr>
          <w:sz w:val="18"/>
        </w:rPr>
        <w:t xml:space="preserve"> Véase </w:t>
      </w:r>
      <w:hyperlink r:id="rId27" w:history="1">
        <w:r w:rsidRPr="004F3944">
          <w:rPr>
            <w:rStyle w:val="Hipervnculo"/>
            <w:rFonts w:asciiTheme="majorBidi" w:hAnsiTheme="majorBidi"/>
            <w:snapToGrid w:val="0"/>
            <w:sz w:val="18"/>
          </w:rPr>
          <w:t>www.ipbes.net/transformative-change-assessment</w:t>
        </w:r>
      </w:hyperlink>
      <w:r w:rsidRPr="004F3944">
        <w:rPr>
          <w:rStyle w:val="Hipervnculo"/>
          <w:rFonts w:asciiTheme="majorBidi" w:hAnsiTheme="majorBidi"/>
          <w:snapToGrid w:val="0"/>
          <w:sz w:val="18"/>
        </w:rPr>
        <w:t>.</w:t>
      </w:r>
    </w:p>
    <w:p w14:paraId="142C6E66" w14:textId="48A92B27" w:rsidR="00144F2F" w:rsidRPr="004F3944" w:rsidRDefault="00311622" w:rsidP="0073730D">
      <w:pPr>
        <w:snapToGrid w:val="0"/>
        <w:ind w:left="567"/>
        <w:rPr>
          <w:rFonts w:eastAsia="MS Mincho"/>
          <w:kern w:val="22"/>
          <w:sz w:val="18"/>
          <w:szCs w:val="18"/>
        </w:rPr>
      </w:pPr>
      <w:r w:rsidRPr="004F3944">
        <w:rPr>
          <w:i/>
          <w:sz w:val="18"/>
          <w:vertAlign w:val="superscript"/>
        </w:rPr>
        <w:t>d</w:t>
      </w:r>
      <w:r w:rsidRPr="004F3944">
        <w:rPr>
          <w:sz w:val="18"/>
        </w:rPr>
        <w:t xml:space="preserve"> Véase </w:t>
      </w:r>
      <w:hyperlink r:id="rId28" w:history="1">
        <w:r w:rsidRPr="004F3944">
          <w:rPr>
            <w:rStyle w:val="Hipervnculo"/>
            <w:sz w:val="18"/>
          </w:rPr>
          <w:t>www.ipbes.net/second-global-assessment</w:t>
        </w:r>
      </w:hyperlink>
      <w:r w:rsidRPr="004F3944">
        <w:rPr>
          <w:sz w:val="18"/>
        </w:rPr>
        <w:t>.</w:t>
      </w:r>
    </w:p>
    <w:p w14:paraId="778A0820" w14:textId="3EF4FE77" w:rsidR="001E7F2B" w:rsidRPr="004F3944" w:rsidRDefault="00311622" w:rsidP="005332E1">
      <w:pPr>
        <w:snapToGrid w:val="0"/>
        <w:ind w:left="567"/>
        <w:rPr>
          <w:rStyle w:val="Hipervnculo"/>
          <w:rFonts w:asciiTheme="majorBidi" w:hAnsiTheme="majorBidi" w:cstheme="majorBidi"/>
          <w:snapToGrid w:val="0"/>
          <w:kern w:val="22"/>
          <w:sz w:val="18"/>
          <w:szCs w:val="18"/>
        </w:rPr>
      </w:pPr>
      <w:proofErr w:type="spellStart"/>
      <w:r w:rsidRPr="004F3944">
        <w:rPr>
          <w:i/>
          <w:sz w:val="18"/>
          <w:vertAlign w:val="superscript"/>
        </w:rPr>
        <w:t>e</w:t>
      </w:r>
      <w:proofErr w:type="spellEnd"/>
      <w:r w:rsidRPr="004F3944">
        <w:rPr>
          <w:sz w:val="18"/>
        </w:rPr>
        <w:t xml:space="preserve"> Véase </w:t>
      </w:r>
      <w:hyperlink r:id="rId29" w:history="1">
        <w:r w:rsidRPr="004F3944">
          <w:rPr>
            <w:rStyle w:val="Hipervnculo"/>
            <w:rFonts w:asciiTheme="majorBidi" w:hAnsiTheme="majorBidi"/>
            <w:snapToGrid w:val="0"/>
            <w:sz w:val="18"/>
          </w:rPr>
          <w:t>www.ipbes.net/business-impact</w:t>
        </w:r>
      </w:hyperlink>
      <w:r w:rsidRPr="004F3944">
        <w:rPr>
          <w:rStyle w:val="Hipervnculo"/>
          <w:rFonts w:asciiTheme="majorBidi" w:hAnsiTheme="majorBidi"/>
          <w:snapToGrid w:val="0"/>
          <w:sz w:val="18"/>
        </w:rPr>
        <w:t>.</w:t>
      </w:r>
    </w:p>
    <w:p w14:paraId="27B6630F" w14:textId="547AB4EA" w:rsidR="004F5DD8" w:rsidRPr="004F3944" w:rsidRDefault="00311622" w:rsidP="005332E1">
      <w:pPr>
        <w:snapToGrid w:val="0"/>
        <w:ind w:left="567"/>
        <w:rPr>
          <w:rStyle w:val="Hipervnculo"/>
          <w:rFonts w:asciiTheme="majorBidi" w:hAnsiTheme="majorBidi" w:cstheme="majorBidi"/>
          <w:snapToGrid w:val="0"/>
          <w:kern w:val="22"/>
          <w:sz w:val="18"/>
          <w:szCs w:val="18"/>
        </w:rPr>
      </w:pPr>
      <w:r w:rsidRPr="004F3944">
        <w:rPr>
          <w:i/>
          <w:sz w:val="18"/>
          <w:vertAlign w:val="superscript"/>
        </w:rPr>
        <w:t>f</w:t>
      </w:r>
      <w:r w:rsidRPr="004F3944">
        <w:rPr>
          <w:sz w:val="18"/>
        </w:rPr>
        <w:t xml:space="preserve"> Véase </w:t>
      </w:r>
      <w:hyperlink r:id="rId30" w:history="1">
        <w:r w:rsidRPr="004F3944">
          <w:rPr>
            <w:rStyle w:val="Hipervnculo"/>
            <w:sz w:val="18"/>
          </w:rPr>
          <w:t>www.ipbes.net/monitoring-assessment</w:t>
        </w:r>
      </w:hyperlink>
      <w:r w:rsidRPr="004F3944">
        <w:rPr>
          <w:sz w:val="18"/>
        </w:rPr>
        <w:t>.</w:t>
      </w:r>
    </w:p>
    <w:p w14:paraId="342FDCF0" w14:textId="162E7876" w:rsidR="009A2AD0" w:rsidRPr="004F3944" w:rsidRDefault="004F5DD8" w:rsidP="00415670">
      <w:pPr>
        <w:snapToGrid w:val="0"/>
        <w:ind w:left="567"/>
        <w:jc w:val="center"/>
      </w:pPr>
      <w:r w:rsidRPr="004F3944">
        <w:t>__________</w:t>
      </w:r>
    </w:p>
    <w:sectPr w:rsidR="009A2AD0" w:rsidRPr="004F3944" w:rsidSect="0055255B">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B89EF" w14:textId="77777777" w:rsidR="0001574C" w:rsidRPr="00011A86" w:rsidRDefault="0001574C" w:rsidP="00A96B21">
      <w:r w:rsidRPr="00011A86">
        <w:separator/>
      </w:r>
    </w:p>
  </w:endnote>
  <w:endnote w:type="continuationSeparator" w:id="0">
    <w:p w14:paraId="7CAD6875" w14:textId="77777777" w:rsidR="0001574C" w:rsidRPr="00011A86" w:rsidRDefault="0001574C" w:rsidP="00A96B21">
      <w:r w:rsidRPr="00011A86">
        <w:continuationSeparator/>
      </w:r>
    </w:p>
  </w:endnote>
  <w:endnote w:type="continuationNotice" w:id="1">
    <w:p w14:paraId="7ECB6805" w14:textId="77777777" w:rsidR="0001574C" w:rsidRPr="00011A86" w:rsidRDefault="000157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457B" w14:textId="3196B322" w:rsidR="00815FE2" w:rsidRPr="00011A86" w:rsidRDefault="00011A86" w:rsidP="00011A86">
    <w:pPr>
      <w:pStyle w:val="Piedepgina"/>
    </w:pPr>
    <w:r w:rsidRPr="00011A86">
      <w:fldChar w:fldCharType="begin"/>
    </w:r>
    <w:r w:rsidRPr="00011A86">
      <w:instrText xml:space="preserve"> PAGE </w:instrText>
    </w:r>
    <w:r w:rsidRPr="00011A86">
      <w:fldChar w:fldCharType="separate"/>
    </w:r>
    <w:r w:rsidRPr="00011A86">
      <w:t>1</w:t>
    </w:r>
    <w:r w:rsidRPr="00011A86">
      <w:fldChar w:fldCharType="end"/>
    </w:r>
    <w:r>
      <w:t>/</w:t>
    </w:r>
    <w:fldSimple w:instr=" NUMPAGES \* MERGEFORMAT ">
      <w:r w:rsidRPr="00011A86">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247A" w14:textId="39533BC5" w:rsidR="00815FE2" w:rsidRPr="00011A86" w:rsidRDefault="00011A86" w:rsidP="00011A86">
    <w:pPr>
      <w:pStyle w:val="CBDFooter"/>
      <w:jc w:val="right"/>
    </w:pPr>
    <w:r w:rsidRPr="00011A86">
      <w:fldChar w:fldCharType="begin"/>
    </w:r>
    <w:r w:rsidRPr="00011A86">
      <w:instrText xml:space="preserve"> PAGE \* MERGEFORMAT </w:instrText>
    </w:r>
    <w:r w:rsidRPr="00011A86">
      <w:fldChar w:fldCharType="separate"/>
    </w:r>
    <w:r w:rsidRPr="00011A86">
      <w:t>1</w:t>
    </w:r>
    <w:r w:rsidRPr="00011A86">
      <w:fldChar w:fldCharType="end"/>
    </w:r>
    <w:r>
      <w:t>/</w:t>
    </w:r>
    <w:fldSimple w:instr=" NUMPAGES \* MERGEFORMAT ">
      <w:r w:rsidRPr="00011A86">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1CEA7" w14:textId="77777777" w:rsidR="0001574C" w:rsidRPr="00011A86" w:rsidRDefault="0001574C" w:rsidP="00011A86">
      <w:pPr>
        <w:pStyle w:val="CBDNormal"/>
      </w:pPr>
      <w:r w:rsidRPr="00011A86">
        <w:separator/>
      </w:r>
    </w:p>
  </w:footnote>
  <w:footnote w:type="continuationSeparator" w:id="0">
    <w:p w14:paraId="48F12884" w14:textId="77777777" w:rsidR="0001574C" w:rsidRPr="00011A86" w:rsidRDefault="0001574C" w:rsidP="00011A86">
      <w:pPr>
        <w:pStyle w:val="CBDNormal"/>
      </w:pPr>
      <w:r w:rsidRPr="00011A86">
        <w:continuationSeparator/>
      </w:r>
    </w:p>
  </w:footnote>
  <w:footnote w:type="continuationNotice" w:id="1">
    <w:p w14:paraId="736D9DB4" w14:textId="77777777" w:rsidR="0001574C" w:rsidRPr="00011A86" w:rsidRDefault="0001574C" w:rsidP="00011A86">
      <w:pPr>
        <w:pStyle w:val="CBDNormal"/>
      </w:pPr>
    </w:p>
  </w:footnote>
  <w:footnote w:id="2">
    <w:p w14:paraId="7AF79768" w14:textId="77777777" w:rsidR="00E53D4F" w:rsidRDefault="00E53D4F" w:rsidP="00E53D4F">
      <w:pPr>
        <w:pStyle w:val="Textonotapie"/>
      </w:pPr>
      <w:r>
        <w:rPr>
          <w:rStyle w:val="Refdenotaalpie"/>
        </w:rPr>
        <w:t>*</w:t>
      </w:r>
      <w:r>
        <w:t xml:space="preserve"> Publicado nuevamente por razones técnicas el 13 de agosto de 2025.</w:t>
      </w:r>
    </w:p>
  </w:footnote>
  <w:footnote w:id="3">
    <w:p w14:paraId="481BA13C" w14:textId="77777777" w:rsidR="00E53D4F" w:rsidRPr="00BD0609" w:rsidRDefault="00E53D4F" w:rsidP="00E53D4F">
      <w:pPr>
        <w:pStyle w:val="Textonotapie"/>
        <w:rPr>
          <w:lang w:val="fr-FR"/>
        </w:rPr>
      </w:pPr>
      <w:r>
        <w:rPr>
          <w:rStyle w:val="Refdenotaalpie"/>
        </w:rPr>
        <w:t>**</w:t>
      </w:r>
      <w:r w:rsidRPr="00BD0609">
        <w:rPr>
          <w:lang w:val="fr-FR"/>
        </w:rPr>
        <w:t xml:space="preserve"> </w:t>
      </w:r>
      <w:r w:rsidRPr="00BD0609">
        <w:rPr>
          <w:snapToGrid w:val="0"/>
          <w:kern w:val="22"/>
          <w:lang w:val="fr-FR"/>
        </w:rPr>
        <w:t>CBD/SBSTTA/27/1.</w:t>
      </w:r>
    </w:p>
  </w:footnote>
  <w:footnote w:id="4">
    <w:p w14:paraId="6780ACA1" w14:textId="7438B86B" w:rsidR="00516A2A" w:rsidRPr="003F4975" w:rsidRDefault="00516A2A">
      <w:pPr>
        <w:pStyle w:val="Textonotapie"/>
      </w:pPr>
      <w:r>
        <w:rPr>
          <w:rStyle w:val="Refdenotaalpie"/>
        </w:rPr>
        <w:footnoteRef/>
      </w:r>
      <w:r>
        <w:t xml:space="preserve"> Decisión IPBES-11/1 de la Plataforma Intergubernamental Científico-Normativa sobre Diversidad Biológica y Servicios de los Ecosistemas, párrs. 3 a 5.</w:t>
      </w:r>
    </w:p>
  </w:footnote>
  <w:footnote w:id="5">
    <w:p w14:paraId="2869EF0A" w14:textId="52278E80" w:rsidR="751680A0" w:rsidRPr="003F4975" w:rsidRDefault="00011A86" w:rsidP="00011A86">
      <w:pPr>
        <w:pStyle w:val="CBDFootnoteText"/>
      </w:pPr>
      <w:r>
        <w:rPr>
          <w:rStyle w:val="Refdenotaalpie"/>
          <w:szCs w:val="18"/>
        </w:rPr>
        <w:footnoteRef/>
      </w:r>
      <w:r>
        <w:t xml:space="preserve"> Véase </w:t>
      </w:r>
      <w:hyperlink r:id="rId1" w:history="1">
        <w:r>
          <w:rPr>
            <w:rStyle w:val="Hipervnculo"/>
          </w:rPr>
          <w:t>www.ipbes.net/events/ipbes-11</w:t>
        </w:r>
      </w:hyperlink>
      <w:r>
        <w:t xml:space="preserve">. </w:t>
      </w:r>
    </w:p>
  </w:footnote>
  <w:footnote w:id="6">
    <w:p w14:paraId="0B0BB5F9" w14:textId="743EC9B4" w:rsidR="56F56498" w:rsidRPr="003F4975" w:rsidRDefault="00011A86" w:rsidP="00011A86">
      <w:pPr>
        <w:pStyle w:val="CBDFootnoteText"/>
      </w:pPr>
      <w:r>
        <w:rPr>
          <w:vertAlign w:val="superscript"/>
        </w:rPr>
        <w:footnoteRef/>
      </w:r>
      <w:r>
        <w:t xml:space="preserve"> Decisión 15/4, anexo.</w:t>
      </w:r>
    </w:p>
  </w:footnote>
  <w:footnote w:id="7">
    <w:p w14:paraId="61F35F40" w14:textId="631A46B0" w:rsidR="00C74D68" w:rsidRPr="003F4975" w:rsidRDefault="00C74D68" w:rsidP="00750A13">
      <w:pPr>
        <w:pStyle w:val="Textonotapie"/>
      </w:pPr>
      <w:r>
        <w:rPr>
          <w:rStyle w:val="Refdenotaalpie"/>
        </w:rPr>
        <w:footnoteRef/>
      </w:r>
      <w:r>
        <w:t xml:space="preserve"> En el resumen para los encargados de la formulación de políticas de la evaluación del nexo, se entiende una compensación como la mejora de un resultado deseable en un elemento que conduce al deterioro de otro elemento.</w:t>
      </w:r>
    </w:p>
  </w:footnote>
  <w:footnote w:id="8">
    <w:p w14:paraId="421D9F0D" w14:textId="1B98892B" w:rsidR="002D04C6" w:rsidRPr="003F4975" w:rsidRDefault="002D04C6" w:rsidP="002D04C6">
      <w:pPr>
        <w:pStyle w:val="Textonotapie"/>
      </w:pPr>
      <w:r>
        <w:rPr>
          <w:rStyle w:val="Refdenotaalpie"/>
        </w:rPr>
        <w:footnoteRef/>
      </w:r>
      <w:r>
        <w:t xml:space="preserve"> En el resumen para los encargados de la formulación de políticas de la evaluación del nexo se entiende la sinergia como la mejora de un resultado deseable en un elemento que conduce a la mejora de otro elemento.</w:t>
      </w:r>
    </w:p>
  </w:footnote>
  <w:footnote w:id="9">
    <w:p w14:paraId="0F0F624A" w14:textId="4930E0DD" w:rsidR="0062525F" w:rsidRPr="003F4975" w:rsidRDefault="0062525F" w:rsidP="0062525F">
      <w:pPr>
        <w:pStyle w:val="Textonotapie"/>
      </w:pPr>
      <w:r>
        <w:rPr>
          <w:rStyle w:val="Refdenotaalpie"/>
        </w:rPr>
        <w:footnoteRef/>
      </w:r>
      <w:r>
        <w:t xml:space="preserve"> Naciones Unidas, </w:t>
      </w:r>
      <w:r>
        <w:rPr>
          <w:i/>
        </w:rPr>
        <w:t>Treaty Series</w:t>
      </w:r>
      <w:r>
        <w:t>, vol. 1760, núm. 30619.</w:t>
      </w:r>
    </w:p>
  </w:footnote>
  <w:footnote w:id="10">
    <w:p w14:paraId="2EB11EA3" w14:textId="3E6407E0" w:rsidR="00985CF4" w:rsidRPr="003F4975" w:rsidRDefault="00985CF4" w:rsidP="00985CF4">
      <w:pPr>
        <w:pStyle w:val="Textonotapie"/>
      </w:pPr>
      <w:r>
        <w:rPr>
          <w:rStyle w:val="Refdenotaalpie"/>
        </w:rPr>
        <w:t>*</w:t>
      </w:r>
      <w:r>
        <w:t xml:space="preserve"> El calendario original se publicó como anexo de la decisión 16/11.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9A3A" w14:textId="5A75074F" w:rsidR="00815FE2" w:rsidRPr="00415670" w:rsidRDefault="00AF1A55" w:rsidP="00415670">
    <w:pPr>
      <w:pStyle w:val="CBDNormal"/>
      <w:pBdr>
        <w:bottom w:val="single" w:sz="4" w:space="1" w:color="auto"/>
      </w:pBdr>
    </w:pPr>
    <w:r>
      <w:rPr>
        <w:sz w:val="20"/>
      </w:rPr>
      <w:t>CBD/SBSTTA/27/3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12FA" w14:textId="71D9531B" w:rsidR="00815FE2" w:rsidRPr="00415670" w:rsidRDefault="00AF1A55" w:rsidP="00415670">
    <w:pPr>
      <w:pStyle w:val="CBDNormal"/>
      <w:pBdr>
        <w:bottom w:val="single" w:sz="4" w:space="1" w:color="auto"/>
      </w:pBdr>
      <w:jc w:val="right"/>
    </w:pPr>
    <w:r>
      <w:rPr>
        <w:sz w:val="20"/>
      </w:rPr>
      <w:t>CBD/SBSTTA/27/3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F691D"/>
    <w:multiLevelType w:val="hybridMultilevel"/>
    <w:tmpl w:val="9E629472"/>
    <w:lvl w:ilvl="0" w:tplc="0C0A0017">
      <w:start w:val="1"/>
      <w:numFmt w:val="lowerLetter"/>
      <w:lvlText w:val="%1)"/>
      <w:lvlJc w:val="left"/>
      <w:pPr>
        <w:ind w:left="1854" w:hanging="360"/>
      </w:p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1" w15:restartNumberingAfterBreak="0">
    <w:nsid w:val="2E5356EC"/>
    <w:multiLevelType w:val="multilevel"/>
    <w:tmpl w:val="07D269C8"/>
    <w:numStyleLink w:val="CBDHeadings"/>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5966749D"/>
    <w:multiLevelType w:val="hybridMultilevel"/>
    <w:tmpl w:val="10C0142E"/>
    <w:lvl w:ilvl="0" w:tplc="0C0A0017">
      <w:start w:val="1"/>
      <w:numFmt w:val="lowerLetter"/>
      <w:lvlText w:val="%1)"/>
      <w:lvlJc w:val="left"/>
      <w:pPr>
        <w:ind w:left="1854" w:hanging="360"/>
      </w:p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4" w15:restartNumberingAfterBreak="0">
    <w:nsid w:val="5D943BEE"/>
    <w:multiLevelType w:val="multilevel"/>
    <w:tmpl w:val="222A08B4"/>
    <w:numStyleLink w:val="ListCBD"/>
  </w:abstractNum>
  <w:abstractNum w:abstractNumId="5" w15:restartNumberingAfterBreak="0">
    <w:nsid w:val="5E180578"/>
    <w:multiLevelType w:val="hybridMultilevel"/>
    <w:tmpl w:val="9FBC5876"/>
    <w:lvl w:ilvl="0" w:tplc="8862B882">
      <w:start w:val="1"/>
      <w:numFmt w:val="lowerLetter"/>
      <w:pStyle w:val="Para2"/>
      <w:lvlText w:val="(%1)"/>
      <w:lvlJc w:val="left"/>
      <w:pPr>
        <w:ind w:left="1692"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231" w:hanging="360"/>
      </w:pPr>
    </w:lvl>
    <w:lvl w:ilvl="2" w:tplc="1009001B" w:tentative="1">
      <w:start w:val="1"/>
      <w:numFmt w:val="lowerRoman"/>
      <w:lvlText w:val="%3."/>
      <w:lvlJc w:val="right"/>
      <w:pPr>
        <w:ind w:left="3951" w:hanging="180"/>
      </w:pPr>
    </w:lvl>
    <w:lvl w:ilvl="3" w:tplc="1009000F" w:tentative="1">
      <w:start w:val="1"/>
      <w:numFmt w:val="decimal"/>
      <w:lvlText w:val="%4."/>
      <w:lvlJc w:val="left"/>
      <w:pPr>
        <w:ind w:left="4671" w:hanging="360"/>
      </w:pPr>
    </w:lvl>
    <w:lvl w:ilvl="4" w:tplc="10090019" w:tentative="1">
      <w:start w:val="1"/>
      <w:numFmt w:val="lowerLetter"/>
      <w:lvlText w:val="%5."/>
      <w:lvlJc w:val="left"/>
      <w:pPr>
        <w:ind w:left="5391" w:hanging="360"/>
      </w:pPr>
    </w:lvl>
    <w:lvl w:ilvl="5" w:tplc="1009001B" w:tentative="1">
      <w:start w:val="1"/>
      <w:numFmt w:val="lowerRoman"/>
      <w:lvlText w:val="%6."/>
      <w:lvlJc w:val="right"/>
      <w:pPr>
        <w:ind w:left="6111" w:hanging="180"/>
      </w:pPr>
    </w:lvl>
    <w:lvl w:ilvl="6" w:tplc="1009000F" w:tentative="1">
      <w:start w:val="1"/>
      <w:numFmt w:val="decimal"/>
      <w:lvlText w:val="%7."/>
      <w:lvlJc w:val="left"/>
      <w:pPr>
        <w:ind w:left="6831" w:hanging="360"/>
      </w:pPr>
    </w:lvl>
    <w:lvl w:ilvl="7" w:tplc="10090019" w:tentative="1">
      <w:start w:val="1"/>
      <w:numFmt w:val="lowerLetter"/>
      <w:lvlText w:val="%8."/>
      <w:lvlJc w:val="left"/>
      <w:pPr>
        <w:ind w:left="7551" w:hanging="360"/>
      </w:pPr>
    </w:lvl>
    <w:lvl w:ilvl="8" w:tplc="1009001B" w:tentative="1">
      <w:start w:val="1"/>
      <w:numFmt w:val="lowerRoman"/>
      <w:lvlText w:val="%9."/>
      <w:lvlJc w:val="right"/>
      <w:pPr>
        <w:ind w:left="8271" w:hanging="180"/>
      </w:pPr>
    </w:lvl>
  </w:abstractNum>
  <w:abstractNum w:abstractNumId="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22061789">
    <w:abstractNumId w:val="8"/>
  </w:num>
  <w:num w:numId="2" w16cid:durableId="2015179783">
    <w:abstractNumId w:val="5"/>
  </w:num>
  <w:num w:numId="3" w16cid:durableId="1072390599">
    <w:abstractNumId w:val="7"/>
  </w:num>
  <w:num w:numId="4" w16cid:durableId="960385107">
    <w:abstractNumId w:val="2"/>
  </w:num>
  <w:num w:numId="5" w16cid:durableId="893932166">
    <w:abstractNumId w:val="6"/>
  </w:num>
  <w:num w:numId="6" w16cid:durableId="1627851340">
    <w:abstractNumId w:val="1"/>
  </w:num>
  <w:num w:numId="7" w16cid:durableId="2043968835">
    <w:abstractNumId w:val="4"/>
  </w:num>
  <w:num w:numId="8" w16cid:durableId="258953501">
    <w:abstractNumId w:val="0"/>
  </w:num>
  <w:num w:numId="9" w16cid:durableId="155755070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ctiveWritingStyle w:appName="MSWord" w:lang="en-GB" w:vendorID="64" w:dllVersion="0" w:nlCheck="1" w:checkStyle="0"/>
  <w:activeWritingStyle w:appName="MSWord" w:lang="en-CA"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BC5"/>
    <w:rsid w:val="00001BC9"/>
    <w:rsid w:val="0000244D"/>
    <w:rsid w:val="000026C7"/>
    <w:rsid w:val="00002E96"/>
    <w:rsid w:val="000038AD"/>
    <w:rsid w:val="00003A26"/>
    <w:rsid w:val="00003D95"/>
    <w:rsid w:val="00004070"/>
    <w:rsid w:val="000042CE"/>
    <w:rsid w:val="0000514E"/>
    <w:rsid w:val="00011903"/>
    <w:rsid w:val="00011A86"/>
    <w:rsid w:val="00012412"/>
    <w:rsid w:val="000125BA"/>
    <w:rsid w:val="000129FE"/>
    <w:rsid w:val="00014310"/>
    <w:rsid w:val="000151BC"/>
    <w:rsid w:val="0001574C"/>
    <w:rsid w:val="0001612B"/>
    <w:rsid w:val="00016566"/>
    <w:rsid w:val="000178CC"/>
    <w:rsid w:val="000178F5"/>
    <w:rsid w:val="00020975"/>
    <w:rsid w:val="00022B49"/>
    <w:rsid w:val="00023E88"/>
    <w:rsid w:val="00024291"/>
    <w:rsid w:val="00024B2C"/>
    <w:rsid w:val="00025E34"/>
    <w:rsid w:val="000273A8"/>
    <w:rsid w:val="000274F4"/>
    <w:rsid w:val="0002772C"/>
    <w:rsid w:val="00027B5E"/>
    <w:rsid w:val="00031078"/>
    <w:rsid w:val="00031946"/>
    <w:rsid w:val="00033887"/>
    <w:rsid w:val="00035EB8"/>
    <w:rsid w:val="00035EE5"/>
    <w:rsid w:val="000362AA"/>
    <w:rsid w:val="0003647B"/>
    <w:rsid w:val="00037AD8"/>
    <w:rsid w:val="00037F55"/>
    <w:rsid w:val="00040440"/>
    <w:rsid w:val="00040598"/>
    <w:rsid w:val="00040DD9"/>
    <w:rsid w:val="00041A60"/>
    <w:rsid w:val="00042653"/>
    <w:rsid w:val="00043FB8"/>
    <w:rsid w:val="00044DE4"/>
    <w:rsid w:val="00045B7C"/>
    <w:rsid w:val="0004669E"/>
    <w:rsid w:val="00046E1B"/>
    <w:rsid w:val="00047325"/>
    <w:rsid w:val="00047DE9"/>
    <w:rsid w:val="000500AF"/>
    <w:rsid w:val="00052186"/>
    <w:rsid w:val="000539FA"/>
    <w:rsid w:val="00054DA5"/>
    <w:rsid w:val="00054FD7"/>
    <w:rsid w:val="00055F71"/>
    <w:rsid w:val="00056F75"/>
    <w:rsid w:val="00057905"/>
    <w:rsid w:val="00060E17"/>
    <w:rsid w:val="000621AB"/>
    <w:rsid w:val="00062FCB"/>
    <w:rsid w:val="0006480E"/>
    <w:rsid w:val="00067193"/>
    <w:rsid w:val="00067CDC"/>
    <w:rsid w:val="000704FA"/>
    <w:rsid w:val="00070C0E"/>
    <w:rsid w:val="00072B23"/>
    <w:rsid w:val="00072D3A"/>
    <w:rsid w:val="0007513B"/>
    <w:rsid w:val="00075298"/>
    <w:rsid w:val="0007567E"/>
    <w:rsid w:val="00075769"/>
    <w:rsid w:val="00075E35"/>
    <w:rsid w:val="00077069"/>
    <w:rsid w:val="000773B9"/>
    <w:rsid w:val="00077B93"/>
    <w:rsid w:val="00080AB0"/>
    <w:rsid w:val="00080D0B"/>
    <w:rsid w:val="000847A6"/>
    <w:rsid w:val="000853CA"/>
    <w:rsid w:val="00085835"/>
    <w:rsid w:val="00085BC1"/>
    <w:rsid w:val="000862F9"/>
    <w:rsid w:val="00087275"/>
    <w:rsid w:val="000901F6"/>
    <w:rsid w:val="00090B10"/>
    <w:rsid w:val="000928D9"/>
    <w:rsid w:val="00092B78"/>
    <w:rsid w:val="00092BE3"/>
    <w:rsid w:val="00094623"/>
    <w:rsid w:val="00095C8F"/>
    <w:rsid w:val="000960F5"/>
    <w:rsid w:val="0009610A"/>
    <w:rsid w:val="000A02B5"/>
    <w:rsid w:val="000A0E6C"/>
    <w:rsid w:val="000A1731"/>
    <w:rsid w:val="000A369E"/>
    <w:rsid w:val="000A42F2"/>
    <w:rsid w:val="000A4413"/>
    <w:rsid w:val="000A4965"/>
    <w:rsid w:val="000A7938"/>
    <w:rsid w:val="000A7DB2"/>
    <w:rsid w:val="000B0E66"/>
    <w:rsid w:val="000B1F0E"/>
    <w:rsid w:val="000B2D0B"/>
    <w:rsid w:val="000B2EF8"/>
    <w:rsid w:val="000B3845"/>
    <w:rsid w:val="000B4812"/>
    <w:rsid w:val="000B5D60"/>
    <w:rsid w:val="000B5EB2"/>
    <w:rsid w:val="000B6AD9"/>
    <w:rsid w:val="000B790C"/>
    <w:rsid w:val="000B7A57"/>
    <w:rsid w:val="000C0706"/>
    <w:rsid w:val="000C11C0"/>
    <w:rsid w:val="000C1721"/>
    <w:rsid w:val="000C1BB3"/>
    <w:rsid w:val="000C34A2"/>
    <w:rsid w:val="000C3FA3"/>
    <w:rsid w:val="000C4401"/>
    <w:rsid w:val="000C4658"/>
    <w:rsid w:val="000C49B9"/>
    <w:rsid w:val="000C6719"/>
    <w:rsid w:val="000C72C4"/>
    <w:rsid w:val="000D22C2"/>
    <w:rsid w:val="000D32EC"/>
    <w:rsid w:val="000D4507"/>
    <w:rsid w:val="000D4E67"/>
    <w:rsid w:val="000D54E5"/>
    <w:rsid w:val="000D5F16"/>
    <w:rsid w:val="000E01F1"/>
    <w:rsid w:val="000E0AE4"/>
    <w:rsid w:val="000E1A95"/>
    <w:rsid w:val="000E245F"/>
    <w:rsid w:val="000E2594"/>
    <w:rsid w:val="000E28D2"/>
    <w:rsid w:val="000E39E6"/>
    <w:rsid w:val="000E4292"/>
    <w:rsid w:val="000E5037"/>
    <w:rsid w:val="000E5499"/>
    <w:rsid w:val="000E55D8"/>
    <w:rsid w:val="000E65F9"/>
    <w:rsid w:val="000F1588"/>
    <w:rsid w:val="000F2321"/>
    <w:rsid w:val="000F3149"/>
    <w:rsid w:val="000F31BC"/>
    <w:rsid w:val="000F3341"/>
    <w:rsid w:val="000F42A1"/>
    <w:rsid w:val="000F5E7B"/>
    <w:rsid w:val="000F63DB"/>
    <w:rsid w:val="000F7276"/>
    <w:rsid w:val="000F7A13"/>
    <w:rsid w:val="0010015F"/>
    <w:rsid w:val="001005B8"/>
    <w:rsid w:val="00102825"/>
    <w:rsid w:val="00102D09"/>
    <w:rsid w:val="00103EE6"/>
    <w:rsid w:val="001044C0"/>
    <w:rsid w:val="00104855"/>
    <w:rsid w:val="001048CA"/>
    <w:rsid w:val="0010542B"/>
    <w:rsid w:val="0010710C"/>
    <w:rsid w:val="00107273"/>
    <w:rsid w:val="00107753"/>
    <w:rsid w:val="001114D8"/>
    <w:rsid w:val="00111E3D"/>
    <w:rsid w:val="00114FDD"/>
    <w:rsid w:val="00115077"/>
    <w:rsid w:val="00115911"/>
    <w:rsid w:val="00115E53"/>
    <w:rsid w:val="001172D7"/>
    <w:rsid w:val="0011799B"/>
    <w:rsid w:val="00117FB8"/>
    <w:rsid w:val="001201A1"/>
    <w:rsid w:val="00120B35"/>
    <w:rsid w:val="00122D9D"/>
    <w:rsid w:val="001231C5"/>
    <w:rsid w:val="00124FE6"/>
    <w:rsid w:val="00125ADA"/>
    <w:rsid w:val="00125C66"/>
    <w:rsid w:val="00126503"/>
    <w:rsid w:val="0012651E"/>
    <w:rsid w:val="00126A6A"/>
    <w:rsid w:val="00126DAB"/>
    <w:rsid w:val="001272B6"/>
    <w:rsid w:val="00130323"/>
    <w:rsid w:val="00130352"/>
    <w:rsid w:val="00130D03"/>
    <w:rsid w:val="00131B62"/>
    <w:rsid w:val="00131E46"/>
    <w:rsid w:val="00132581"/>
    <w:rsid w:val="001325FE"/>
    <w:rsid w:val="00133104"/>
    <w:rsid w:val="00133670"/>
    <w:rsid w:val="001339AF"/>
    <w:rsid w:val="00134220"/>
    <w:rsid w:val="00136696"/>
    <w:rsid w:val="00137357"/>
    <w:rsid w:val="0014007A"/>
    <w:rsid w:val="00140E79"/>
    <w:rsid w:val="00141AD0"/>
    <w:rsid w:val="001439CC"/>
    <w:rsid w:val="00143BE1"/>
    <w:rsid w:val="00144DB6"/>
    <w:rsid w:val="00144F2F"/>
    <w:rsid w:val="0014689B"/>
    <w:rsid w:val="00147099"/>
    <w:rsid w:val="00147AA3"/>
    <w:rsid w:val="0015007D"/>
    <w:rsid w:val="00150F01"/>
    <w:rsid w:val="00151365"/>
    <w:rsid w:val="0015153D"/>
    <w:rsid w:val="001536E1"/>
    <w:rsid w:val="001564D9"/>
    <w:rsid w:val="00157475"/>
    <w:rsid w:val="00157FF1"/>
    <w:rsid w:val="001614DB"/>
    <w:rsid w:val="001620F5"/>
    <w:rsid w:val="00164FCB"/>
    <w:rsid w:val="00165AB0"/>
    <w:rsid w:val="0016630B"/>
    <w:rsid w:val="00166390"/>
    <w:rsid w:val="00166593"/>
    <w:rsid w:val="0016674D"/>
    <w:rsid w:val="0017159E"/>
    <w:rsid w:val="00171676"/>
    <w:rsid w:val="00172756"/>
    <w:rsid w:val="001733DA"/>
    <w:rsid w:val="00174BF3"/>
    <w:rsid w:val="0017552B"/>
    <w:rsid w:val="00175B4A"/>
    <w:rsid w:val="00175D19"/>
    <w:rsid w:val="001802A7"/>
    <w:rsid w:val="00182155"/>
    <w:rsid w:val="00182F41"/>
    <w:rsid w:val="001842FB"/>
    <w:rsid w:val="00184909"/>
    <w:rsid w:val="001851B8"/>
    <w:rsid w:val="00185BA5"/>
    <w:rsid w:val="00186198"/>
    <w:rsid w:val="001862F2"/>
    <w:rsid w:val="00186581"/>
    <w:rsid w:val="00187023"/>
    <w:rsid w:val="00187738"/>
    <w:rsid w:val="001879FF"/>
    <w:rsid w:val="001913F1"/>
    <w:rsid w:val="001924EC"/>
    <w:rsid w:val="00194541"/>
    <w:rsid w:val="00194775"/>
    <w:rsid w:val="001963F8"/>
    <w:rsid w:val="001965D6"/>
    <w:rsid w:val="0019763F"/>
    <w:rsid w:val="001978B0"/>
    <w:rsid w:val="001A02B9"/>
    <w:rsid w:val="001A098A"/>
    <w:rsid w:val="001A0C38"/>
    <w:rsid w:val="001A1CE8"/>
    <w:rsid w:val="001A1FBB"/>
    <w:rsid w:val="001A2887"/>
    <w:rsid w:val="001A29B0"/>
    <w:rsid w:val="001A4033"/>
    <w:rsid w:val="001A54C4"/>
    <w:rsid w:val="001A5745"/>
    <w:rsid w:val="001B00DF"/>
    <w:rsid w:val="001B1A12"/>
    <w:rsid w:val="001B1EE8"/>
    <w:rsid w:val="001B261E"/>
    <w:rsid w:val="001B2673"/>
    <w:rsid w:val="001B269A"/>
    <w:rsid w:val="001B285B"/>
    <w:rsid w:val="001B28A9"/>
    <w:rsid w:val="001B33C5"/>
    <w:rsid w:val="001B34D8"/>
    <w:rsid w:val="001B4457"/>
    <w:rsid w:val="001B4CEF"/>
    <w:rsid w:val="001B518D"/>
    <w:rsid w:val="001B7AAE"/>
    <w:rsid w:val="001B7C6F"/>
    <w:rsid w:val="001C0768"/>
    <w:rsid w:val="001C08DB"/>
    <w:rsid w:val="001C20D4"/>
    <w:rsid w:val="001C21A0"/>
    <w:rsid w:val="001C675F"/>
    <w:rsid w:val="001C7C5A"/>
    <w:rsid w:val="001D064A"/>
    <w:rsid w:val="001D0C25"/>
    <w:rsid w:val="001D1CE8"/>
    <w:rsid w:val="001D27AE"/>
    <w:rsid w:val="001D339C"/>
    <w:rsid w:val="001D4E99"/>
    <w:rsid w:val="001D5ACE"/>
    <w:rsid w:val="001D6B97"/>
    <w:rsid w:val="001E17CA"/>
    <w:rsid w:val="001E1987"/>
    <w:rsid w:val="001E2053"/>
    <w:rsid w:val="001E2A32"/>
    <w:rsid w:val="001E2FE5"/>
    <w:rsid w:val="001E50C0"/>
    <w:rsid w:val="001E50E7"/>
    <w:rsid w:val="001E514D"/>
    <w:rsid w:val="001E5D8B"/>
    <w:rsid w:val="001E6F29"/>
    <w:rsid w:val="001E714F"/>
    <w:rsid w:val="001E7F2B"/>
    <w:rsid w:val="001F292D"/>
    <w:rsid w:val="001F3EE7"/>
    <w:rsid w:val="001F413F"/>
    <w:rsid w:val="001F41DF"/>
    <w:rsid w:val="001F508F"/>
    <w:rsid w:val="001F5090"/>
    <w:rsid w:val="001F5ED4"/>
    <w:rsid w:val="001F6984"/>
    <w:rsid w:val="001F73EE"/>
    <w:rsid w:val="00201843"/>
    <w:rsid w:val="00201A21"/>
    <w:rsid w:val="00202546"/>
    <w:rsid w:val="00202BFD"/>
    <w:rsid w:val="002056E1"/>
    <w:rsid w:val="00206C4D"/>
    <w:rsid w:val="00206DEE"/>
    <w:rsid w:val="002070DB"/>
    <w:rsid w:val="00207A41"/>
    <w:rsid w:val="0021068F"/>
    <w:rsid w:val="00211881"/>
    <w:rsid w:val="00211E91"/>
    <w:rsid w:val="00213563"/>
    <w:rsid w:val="002140F9"/>
    <w:rsid w:val="0021456A"/>
    <w:rsid w:val="00214B21"/>
    <w:rsid w:val="00216324"/>
    <w:rsid w:val="00216D26"/>
    <w:rsid w:val="002179E5"/>
    <w:rsid w:val="00217C23"/>
    <w:rsid w:val="00220415"/>
    <w:rsid w:val="00221028"/>
    <w:rsid w:val="00221341"/>
    <w:rsid w:val="00221FEC"/>
    <w:rsid w:val="00225349"/>
    <w:rsid w:val="00225964"/>
    <w:rsid w:val="002263BF"/>
    <w:rsid w:val="002273CB"/>
    <w:rsid w:val="00227DED"/>
    <w:rsid w:val="00231C2C"/>
    <w:rsid w:val="0023279D"/>
    <w:rsid w:val="002336FF"/>
    <w:rsid w:val="00234E12"/>
    <w:rsid w:val="002350AB"/>
    <w:rsid w:val="002370DB"/>
    <w:rsid w:val="002413F2"/>
    <w:rsid w:val="0024144F"/>
    <w:rsid w:val="0024407D"/>
    <w:rsid w:val="00244266"/>
    <w:rsid w:val="002445D6"/>
    <w:rsid w:val="00244987"/>
    <w:rsid w:val="00244A99"/>
    <w:rsid w:val="002466A7"/>
    <w:rsid w:val="00247A69"/>
    <w:rsid w:val="00247B64"/>
    <w:rsid w:val="0025001F"/>
    <w:rsid w:val="00251B08"/>
    <w:rsid w:val="00251E4D"/>
    <w:rsid w:val="002531C0"/>
    <w:rsid w:val="00253689"/>
    <w:rsid w:val="00253A78"/>
    <w:rsid w:val="00254431"/>
    <w:rsid w:val="00255854"/>
    <w:rsid w:val="00256192"/>
    <w:rsid w:val="002567B0"/>
    <w:rsid w:val="0025736C"/>
    <w:rsid w:val="002573F0"/>
    <w:rsid w:val="00257EFC"/>
    <w:rsid w:val="00261F41"/>
    <w:rsid w:val="00262E6D"/>
    <w:rsid w:val="00263F21"/>
    <w:rsid w:val="002668A9"/>
    <w:rsid w:val="002668BE"/>
    <w:rsid w:val="00266E05"/>
    <w:rsid w:val="002671FC"/>
    <w:rsid w:val="00270E86"/>
    <w:rsid w:val="002721D1"/>
    <w:rsid w:val="00272DF9"/>
    <w:rsid w:val="002730AB"/>
    <w:rsid w:val="00273ADA"/>
    <w:rsid w:val="00273C6E"/>
    <w:rsid w:val="00273E9E"/>
    <w:rsid w:val="00274BF9"/>
    <w:rsid w:val="00274CD4"/>
    <w:rsid w:val="0027568E"/>
    <w:rsid w:val="0027577F"/>
    <w:rsid w:val="00275EBC"/>
    <w:rsid w:val="00277420"/>
    <w:rsid w:val="00280CAB"/>
    <w:rsid w:val="00280DE4"/>
    <w:rsid w:val="0028234A"/>
    <w:rsid w:val="00283BDD"/>
    <w:rsid w:val="00286596"/>
    <w:rsid w:val="00286D90"/>
    <w:rsid w:val="002911E4"/>
    <w:rsid w:val="00291530"/>
    <w:rsid w:val="00293286"/>
    <w:rsid w:val="00293D98"/>
    <w:rsid w:val="00294945"/>
    <w:rsid w:val="002965B2"/>
    <w:rsid w:val="00296EB7"/>
    <w:rsid w:val="002975B4"/>
    <w:rsid w:val="002A074B"/>
    <w:rsid w:val="002A230D"/>
    <w:rsid w:val="002A25B3"/>
    <w:rsid w:val="002A54A7"/>
    <w:rsid w:val="002A5AFB"/>
    <w:rsid w:val="002A5D2A"/>
    <w:rsid w:val="002B00CA"/>
    <w:rsid w:val="002B0AB1"/>
    <w:rsid w:val="002B1508"/>
    <w:rsid w:val="002B166C"/>
    <w:rsid w:val="002B1844"/>
    <w:rsid w:val="002B210A"/>
    <w:rsid w:val="002B2263"/>
    <w:rsid w:val="002B4EDB"/>
    <w:rsid w:val="002B559C"/>
    <w:rsid w:val="002C038D"/>
    <w:rsid w:val="002C067C"/>
    <w:rsid w:val="002C0E2A"/>
    <w:rsid w:val="002C0F8B"/>
    <w:rsid w:val="002C16A4"/>
    <w:rsid w:val="002C23AB"/>
    <w:rsid w:val="002C327D"/>
    <w:rsid w:val="002C4256"/>
    <w:rsid w:val="002C43D3"/>
    <w:rsid w:val="002C5725"/>
    <w:rsid w:val="002C7792"/>
    <w:rsid w:val="002D04C6"/>
    <w:rsid w:val="002D053B"/>
    <w:rsid w:val="002D1224"/>
    <w:rsid w:val="002D1487"/>
    <w:rsid w:val="002D231D"/>
    <w:rsid w:val="002D2CBD"/>
    <w:rsid w:val="002D2DFB"/>
    <w:rsid w:val="002D4892"/>
    <w:rsid w:val="002D5B53"/>
    <w:rsid w:val="002D5C0C"/>
    <w:rsid w:val="002E0938"/>
    <w:rsid w:val="002E1A8E"/>
    <w:rsid w:val="002E2241"/>
    <w:rsid w:val="002E3E24"/>
    <w:rsid w:val="002E4757"/>
    <w:rsid w:val="002E5277"/>
    <w:rsid w:val="002E5AFA"/>
    <w:rsid w:val="002F09F2"/>
    <w:rsid w:val="002F1146"/>
    <w:rsid w:val="002F1E72"/>
    <w:rsid w:val="002F211A"/>
    <w:rsid w:val="002F2C78"/>
    <w:rsid w:val="002F31F7"/>
    <w:rsid w:val="002F4EE2"/>
    <w:rsid w:val="002F5362"/>
    <w:rsid w:val="002F5747"/>
    <w:rsid w:val="002F5DF1"/>
    <w:rsid w:val="002F61E7"/>
    <w:rsid w:val="002F7655"/>
    <w:rsid w:val="002F77C0"/>
    <w:rsid w:val="00302F6A"/>
    <w:rsid w:val="003035EC"/>
    <w:rsid w:val="00305A14"/>
    <w:rsid w:val="00305F17"/>
    <w:rsid w:val="003070E0"/>
    <w:rsid w:val="00310608"/>
    <w:rsid w:val="0031132E"/>
    <w:rsid w:val="00311622"/>
    <w:rsid w:val="00311C77"/>
    <w:rsid w:val="00316445"/>
    <w:rsid w:val="0031660C"/>
    <w:rsid w:val="00317F63"/>
    <w:rsid w:val="00322208"/>
    <w:rsid w:val="00322224"/>
    <w:rsid w:val="00322F1F"/>
    <w:rsid w:val="00323F22"/>
    <w:rsid w:val="00325D73"/>
    <w:rsid w:val="00326183"/>
    <w:rsid w:val="0032666E"/>
    <w:rsid w:val="0033284F"/>
    <w:rsid w:val="003337ED"/>
    <w:rsid w:val="00334221"/>
    <w:rsid w:val="00336B1F"/>
    <w:rsid w:val="00340B67"/>
    <w:rsid w:val="0034369E"/>
    <w:rsid w:val="00343DE0"/>
    <w:rsid w:val="00345DBC"/>
    <w:rsid w:val="003476A9"/>
    <w:rsid w:val="00350628"/>
    <w:rsid w:val="00354E94"/>
    <w:rsid w:val="00354FA1"/>
    <w:rsid w:val="00355FDE"/>
    <w:rsid w:val="00356680"/>
    <w:rsid w:val="00356700"/>
    <w:rsid w:val="00357203"/>
    <w:rsid w:val="00357855"/>
    <w:rsid w:val="003578AD"/>
    <w:rsid w:val="00357BE1"/>
    <w:rsid w:val="00357C6D"/>
    <w:rsid w:val="00357E08"/>
    <w:rsid w:val="00360EC9"/>
    <w:rsid w:val="00361E5A"/>
    <w:rsid w:val="00363C59"/>
    <w:rsid w:val="00364097"/>
    <w:rsid w:val="00366B73"/>
    <w:rsid w:val="003671D2"/>
    <w:rsid w:val="003705C1"/>
    <w:rsid w:val="003715F2"/>
    <w:rsid w:val="003723D2"/>
    <w:rsid w:val="003725E9"/>
    <w:rsid w:val="003734D5"/>
    <w:rsid w:val="00373E22"/>
    <w:rsid w:val="00374366"/>
    <w:rsid w:val="003746B2"/>
    <w:rsid w:val="00374D49"/>
    <w:rsid w:val="003751B9"/>
    <w:rsid w:val="00377242"/>
    <w:rsid w:val="003779D5"/>
    <w:rsid w:val="00377D52"/>
    <w:rsid w:val="0038099F"/>
    <w:rsid w:val="00380C3A"/>
    <w:rsid w:val="00380DA8"/>
    <w:rsid w:val="0038233A"/>
    <w:rsid w:val="0038249E"/>
    <w:rsid w:val="003830CF"/>
    <w:rsid w:val="0038359E"/>
    <w:rsid w:val="00385098"/>
    <w:rsid w:val="0038568B"/>
    <w:rsid w:val="003859F7"/>
    <w:rsid w:val="0038608B"/>
    <w:rsid w:val="00386D3A"/>
    <w:rsid w:val="00386FCE"/>
    <w:rsid w:val="00387AF9"/>
    <w:rsid w:val="003909FA"/>
    <w:rsid w:val="00392845"/>
    <w:rsid w:val="003956F5"/>
    <w:rsid w:val="00397353"/>
    <w:rsid w:val="003A0C8D"/>
    <w:rsid w:val="003A0DB8"/>
    <w:rsid w:val="003A1829"/>
    <w:rsid w:val="003A359D"/>
    <w:rsid w:val="003A37E4"/>
    <w:rsid w:val="003A4A25"/>
    <w:rsid w:val="003A7522"/>
    <w:rsid w:val="003B22BF"/>
    <w:rsid w:val="003B2720"/>
    <w:rsid w:val="003B32A8"/>
    <w:rsid w:val="003B3785"/>
    <w:rsid w:val="003B43ED"/>
    <w:rsid w:val="003B4BEB"/>
    <w:rsid w:val="003B4FE5"/>
    <w:rsid w:val="003B6125"/>
    <w:rsid w:val="003B7884"/>
    <w:rsid w:val="003C0CDF"/>
    <w:rsid w:val="003C1538"/>
    <w:rsid w:val="003C175A"/>
    <w:rsid w:val="003C1D0B"/>
    <w:rsid w:val="003C592C"/>
    <w:rsid w:val="003C592D"/>
    <w:rsid w:val="003C5ACB"/>
    <w:rsid w:val="003C6E63"/>
    <w:rsid w:val="003C6F10"/>
    <w:rsid w:val="003C74AA"/>
    <w:rsid w:val="003D0B87"/>
    <w:rsid w:val="003D2D67"/>
    <w:rsid w:val="003D2DF9"/>
    <w:rsid w:val="003D3287"/>
    <w:rsid w:val="003D339A"/>
    <w:rsid w:val="003D4CFC"/>
    <w:rsid w:val="003D504A"/>
    <w:rsid w:val="003D51CD"/>
    <w:rsid w:val="003D51F3"/>
    <w:rsid w:val="003D5971"/>
    <w:rsid w:val="003D5CF6"/>
    <w:rsid w:val="003D5D42"/>
    <w:rsid w:val="003D6288"/>
    <w:rsid w:val="003D6C18"/>
    <w:rsid w:val="003D79C0"/>
    <w:rsid w:val="003E09B0"/>
    <w:rsid w:val="003E0FC2"/>
    <w:rsid w:val="003E2552"/>
    <w:rsid w:val="003E2576"/>
    <w:rsid w:val="003E3EDC"/>
    <w:rsid w:val="003E4B43"/>
    <w:rsid w:val="003E5DF7"/>
    <w:rsid w:val="003E63E2"/>
    <w:rsid w:val="003E6F8C"/>
    <w:rsid w:val="003E7345"/>
    <w:rsid w:val="003F06BB"/>
    <w:rsid w:val="003F0BF5"/>
    <w:rsid w:val="003F174E"/>
    <w:rsid w:val="003F275D"/>
    <w:rsid w:val="003F3859"/>
    <w:rsid w:val="003F3D0A"/>
    <w:rsid w:val="003F4975"/>
    <w:rsid w:val="003F5042"/>
    <w:rsid w:val="003F624C"/>
    <w:rsid w:val="003F6B89"/>
    <w:rsid w:val="003F790E"/>
    <w:rsid w:val="003F7E18"/>
    <w:rsid w:val="00400585"/>
    <w:rsid w:val="0040070F"/>
    <w:rsid w:val="00400DC2"/>
    <w:rsid w:val="00401451"/>
    <w:rsid w:val="0040208C"/>
    <w:rsid w:val="004026E4"/>
    <w:rsid w:val="004035C9"/>
    <w:rsid w:val="0040575E"/>
    <w:rsid w:val="004064D0"/>
    <w:rsid w:val="00406B05"/>
    <w:rsid w:val="0041084E"/>
    <w:rsid w:val="004111C7"/>
    <w:rsid w:val="00411A5B"/>
    <w:rsid w:val="00412B92"/>
    <w:rsid w:val="00413A56"/>
    <w:rsid w:val="00414298"/>
    <w:rsid w:val="00414A94"/>
    <w:rsid w:val="00414FBC"/>
    <w:rsid w:val="00415670"/>
    <w:rsid w:val="0041647B"/>
    <w:rsid w:val="00416F8D"/>
    <w:rsid w:val="00417514"/>
    <w:rsid w:val="00417D5E"/>
    <w:rsid w:val="004211AF"/>
    <w:rsid w:val="00422D0B"/>
    <w:rsid w:val="0042309B"/>
    <w:rsid w:val="00424600"/>
    <w:rsid w:val="004246DB"/>
    <w:rsid w:val="00424F11"/>
    <w:rsid w:val="00425248"/>
    <w:rsid w:val="004253B6"/>
    <w:rsid w:val="004262F2"/>
    <w:rsid w:val="004276D8"/>
    <w:rsid w:val="00427B4D"/>
    <w:rsid w:val="00430C49"/>
    <w:rsid w:val="00431CAD"/>
    <w:rsid w:val="00431E40"/>
    <w:rsid w:val="004321C9"/>
    <w:rsid w:val="00432BAE"/>
    <w:rsid w:val="00432F10"/>
    <w:rsid w:val="004335E2"/>
    <w:rsid w:val="00433900"/>
    <w:rsid w:val="00434105"/>
    <w:rsid w:val="00435A96"/>
    <w:rsid w:val="00435E20"/>
    <w:rsid w:val="004370A2"/>
    <w:rsid w:val="00441C7A"/>
    <w:rsid w:val="00445654"/>
    <w:rsid w:val="004465E1"/>
    <w:rsid w:val="00447627"/>
    <w:rsid w:val="004476B9"/>
    <w:rsid w:val="00447EC5"/>
    <w:rsid w:val="00447FBD"/>
    <w:rsid w:val="004504A9"/>
    <w:rsid w:val="00450CA5"/>
    <w:rsid w:val="00451784"/>
    <w:rsid w:val="004534F3"/>
    <w:rsid w:val="00454DFC"/>
    <w:rsid w:val="0045640F"/>
    <w:rsid w:val="0045664F"/>
    <w:rsid w:val="004610C4"/>
    <w:rsid w:val="00462177"/>
    <w:rsid w:val="0046410D"/>
    <w:rsid w:val="00464989"/>
    <w:rsid w:val="00465AF8"/>
    <w:rsid w:val="004666CD"/>
    <w:rsid w:val="00467FE9"/>
    <w:rsid w:val="004701EE"/>
    <w:rsid w:val="00470944"/>
    <w:rsid w:val="00471F85"/>
    <w:rsid w:val="004721BE"/>
    <w:rsid w:val="00472DEC"/>
    <w:rsid w:val="00474D15"/>
    <w:rsid w:val="0047582B"/>
    <w:rsid w:val="0047653E"/>
    <w:rsid w:val="004775FF"/>
    <w:rsid w:val="0047760A"/>
    <w:rsid w:val="004807A9"/>
    <w:rsid w:val="00480870"/>
    <w:rsid w:val="00480EC5"/>
    <w:rsid w:val="0048171E"/>
    <w:rsid w:val="0048269D"/>
    <w:rsid w:val="00482BC0"/>
    <w:rsid w:val="00482E06"/>
    <w:rsid w:val="00483AFD"/>
    <w:rsid w:val="0048531E"/>
    <w:rsid w:val="004858FE"/>
    <w:rsid w:val="00486600"/>
    <w:rsid w:val="00487284"/>
    <w:rsid w:val="0048761B"/>
    <w:rsid w:val="00487BC6"/>
    <w:rsid w:val="004904BC"/>
    <w:rsid w:val="00490AA7"/>
    <w:rsid w:val="00490C65"/>
    <w:rsid w:val="00492E35"/>
    <w:rsid w:val="00493B3C"/>
    <w:rsid w:val="00495DA2"/>
    <w:rsid w:val="004A0897"/>
    <w:rsid w:val="004A2A2D"/>
    <w:rsid w:val="004A2FCD"/>
    <w:rsid w:val="004A30D7"/>
    <w:rsid w:val="004B18BC"/>
    <w:rsid w:val="004B190B"/>
    <w:rsid w:val="004B2EB2"/>
    <w:rsid w:val="004B3F35"/>
    <w:rsid w:val="004B4008"/>
    <w:rsid w:val="004B58A7"/>
    <w:rsid w:val="004B5EA5"/>
    <w:rsid w:val="004B6152"/>
    <w:rsid w:val="004B6288"/>
    <w:rsid w:val="004B7073"/>
    <w:rsid w:val="004B73D2"/>
    <w:rsid w:val="004B7F8F"/>
    <w:rsid w:val="004C099A"/>
    <w:rsid w:val="004C0F05"/>
    <w:rsid w:val="004C16C3"/>
    <w:rsid w:val="004C1B88"/>
    <w:rsid w:val="004C1C01"/>
    <w:rsid w:val="004C3432"/>
    <w:rsid w:val="004C4BA8"/>
    <w:rsid w:val="004C4E3B"/>
    <w:rsid w:val="004C56E3"/>
    <w:rsid w:val="004C584F"/>
    <w:rsid w:val="004C591A"/>
    <w:rsid w:val="004C5DCF"/>
    <w:rsid w:val="004C606C"/>
    <w:rsid w:val="004C7BC7"/>
    <w:rsid w:val="004D0EE5"/>
    <w:rsid w:val="004D0F97"/>
    <w:rsid w:val="004D1FCD"/>
    <w:rsid w:val="004D46A8"/>
    <w:rsid w:val="004D4CA6"/>
    <w:rsid w:val="004D5178"/>
    <w:rsid w:val="004D5C3C"/>
    <w:rsid w:val="004D667A"/>
    <w:rsid w:val="004D7827"/>
    <w:rsid w:val="004D7F95"/>
    <w:rsid w:val="004E0302"/>
    <w:rsid w:val="004E0B88"/>
    <w:rsid w:val="004E0E6E"/>
    <w:rsid w:val="004E166B"/>
    <w:rsid w:val="004E31A1"/>
    <w:rsid w:val="004E33B6"/>
    <w:rsid w:val="004E4085"/>
    <w:rsid w:val="004E4949"/>
    <w:rsid w:val="004E4ADE"/>
    <w:rsid w:val="004E53BC"/>
    <w:rsid w:val="004E5CC5"/>
    <w:rsid w:val="004F02D6"/>
    <w:rsid w:val="004F1940"/>
    <w:rsid w:val="004F2D0B"/>
    <w:rsid w:val="004F3944"/>
    <w:rsid w:val="004F3D3B"/>
    <w:rsid w:val="004F3E83"/>
    <w:rsid w:val="004F5DD8"/>
    <w:rsid w:val="004F6A4B"/>
    <w:rsid w:val="004F7B39"/>
    <w:rsid w:val="0050223A"/>
    <w:rsid w:val="005022AA"/>
    <w:rsid w:val="00504C3C"/>
    <w:rsid w:val="00505045"/>
    <w:rsid w:val="0050511B"/>
    <w:rsid w:val="00506726"/>
    <w:rsid w:val="005067C1"/>
    <w:rsid w:val="0051069A"/>
    <w:rsid w:val="005125B9"/>
    <w:rsid w:val="005127B2"/>
    <w:rsid w:val="00514065"/>
    <w:rsid w:val="0051479A"/>
    <w:rsid w:val="00514A91"/>
    <w:rsid w:val="00515F76"/>
    <w:rsid w:val="00516A2A"/>
    <w:rsid w:val="00520588"/>
    <w:rsid w:val="0052168A"/>
    <w:rsid w:val="0052180A"/>
    <w:rsid w:val="005222DD"/>
    <w:rsid w:val="00524390"/>
    <w:rsid w:val="005255C4"/>
    <w:rsid w:val="0052592D"/>
    <w:rsid w:val="0052595D"/>
    <w:rsid w:val="005267E0"/>
    <w:rsid w:val="0052731B"/>
    <w:rsid w:val="005273EF"/>
    <w:rsid w:val="00527B56"/>
    <w:rsid w:val="0053063D"/>
    <w:rsid w:val="00530BBC"/>
    <w:rsid w:val="005310C7"/>
    <w:rsid w:val="00532011"/>
    <w:rsid w:val="005332E1"/>
    <w:rsid w:val="00533679"/>
    <w:rsid w:val="005348AE"/>
    <w:rsid w:val="0053525B"/>
    <w:rsid w:val="0053594C"/>
    <w:rsid w:val="005361D8"/>
    <w:rsid w:val="005362C8"/>
    <w:rsid w:val="0053723C"/>
    <w:rsid w:val="00537248"/>
    <w:rsid w:val="005374DD"/>
    <w:rsid w:val="005405D2"/>
    <w:rsid w:val="00540B23"/>
    <w:rsid w:val="00540EE4"/>
    <w:rsid w:val="00541B25"/>
    <w:rsid w:val="00541FB9"/>
    <w:rsid w:val="005462A9"/>
    <w:rsid w:val="00546710"/>
    <w:rsid w:val="0055177F"/>
    <w:rsid w:val="0055255B"/>
    <w:rsid w:val="005531AE"/>
    <w:rsid w:val="00553EE1"/>
    <w:rsid w:val="00554268"/>
    <w:rsid w:val="00554EEE"/>
    <w:rsid w:val="00557244"/>
    <w:rsid w:val="00560969"/>
    <w:rsid w:val="00560C8C"/>
    <w:rsid w:val="00562E49"/>
    <w:rsid w:val="0056368C"/>
    <w:rsid w:val="0056437D"/>
    <w:rsid w:val="00566A33"/>
    <w:rsid w:val="005677C2"/>
    <w:rsid w:val="00567AF6"/>
    <w:rsid w:val="00570703"/>
    <w:rsid w:val="00571180"/>
    <w:rsid w:val="00572560"/>
    <w:rsid w:val="005730C2"/>
    <w:rsid w:val="005739CD"/>
    <w:rsid w:val="00574264"/>
    <w:rsid w:val="00574BD4"/>
    <w:rsid w:val="0057519D"/>
    <w:rsid w:val="005752E9"/>
    <w:rsid w:val="005770ED"/>
    <w:rsid w:val="00577212"/>
    <w:rsid w:val="0058114B"/>
    <w:rsid w:val="00582818"/>
    <w:rsid w:val="005828D1"/>
    <w:rsid w:val="005833A9"/>
    <w:rsid w:val="00583B54"/>
    <w:rsid w:val="00583FDF"/>
    <w:rsid w:val="00586425"/>
    <w:rsid w:val="005873D7"/>
    <w:rsid w:val="0058796B"/>
    <w:rsid w:val="00587F02"/>
    <w:rsid w:val="00592C0C"/>
    <w:rsid w:val="00592D3E"/>
    <w:rsid w:val="00592F49"/>
    <w:rsid w:val="00595035"/>
    <w:rsid w:val="005953F0"/>
    <w:rsid w:val="0059552C"/>
    <w:rsid w:val="00595B7B"/>
    <w:rsid w:val="00595E2E"/>
    <w:rsid w:val="00597FA9"/>
    <w:rsid w:val="005A00F4"/>
    <w:rsid w:val="005A05EC"/>
    <w:rsid w:val="005A206E"/>
    <w:rsid w:val="005A4290"/>
    <w:rsid w:val="005A4BC0"/>
    <w:rsid w:val="005A57E5"/>
    <w:rsid w:val="005A6F28"/>
    <w:rsid w:val="005A78B3"/>
    <w:rsid w:val="005A7982"/>
    <w:rsid w:val="005A7FC3"/>
    <w:rsid w:val="005B0B93"/>
    <w:rsid w:val="005B21F0"/>
    <w:rsid w:val="005B31AA"/>
    <w:rsid w:val="005B3A9D"/>
    <w:rsid w:val="005B5C96"/>
    <w:rsid w:val="005B61B7"/>
    <w:rsid w:val="005B6DF8"/>
    <w:rsid w:val="005B74BF"/>
    <w:rsid w:val="005C11D1"/>
    <w:rsid w:val="005C296C"/>
    <w:rsid w:val="005C2EA6"/>
    <w:rsid w:val="005C3FDF"/>
    <w:rsid w:val="005C4980"/>
    <w:rsid w:val="005C5959"/>
    <w:rsid w:val="005C5D25"/>
    <w:rsid w:val="005C5D98"/>
    <w:rsid w:val="005C68AC"/>
    <w:rsid w:val="005C696F"/>
    <w:rsid w:val="005C6EB8"/>
    <w:rsid w:val="005C7221"/>
    <w:rsid w:val="005C7410"/>
    <w:rsid w:val="005C74EF"/>
    <w:rsid w:val="005C7FCC"/>
    <w:rsid w:val="005D0191"/>
    <w:rsid w:val="005D1760"/>
    <w:rsid w:val="005D24BB"/>
    <w:rsid w:val="005D3BBC"/>
    <w:rsid w:val="005D4B49"/>
    <w:rsid w:val="005D7258"/>
    <w:rsid w:val="005D767F"/>
    <w:rsid w:val="005E219D"/>
    <w:rsid w:val="005E2605"/>
    <w:rsid w:val="005E29E7"/>
    <w:rsid w:val="005E3CF9"/>
    <w:rsid w:val="005E4C59"/>
    <w:rsid w:val="005E4F26"/>
    <w:rsid w:val="005E581C"/>
    <w:rsid w:val="005E684C"/>
    <w:rsid w:val="005F1E6D"/>
    <w:rsid w:val="005F2884"/>
    <w:rsid w:val="005F3276"/>
    <w:rsid w:val="005F3AB3"/>
    <w:rsid w:val="005F3BAD"/>
    <w:rsid w:val="005F3BC5"/>
    <w:rsid w:val="005F4455"/>
    <w:rsid w:val="005F570F"/>
    <w:rsid w:val="005F5BF7"/>
    <w:rsid w:val="005F6F0E"/>
    <w:rsid w:val="006016CF"/>
    <w:rsid w:val="00601D88"/>
    <w:rsid w:val="00602C20"/>
    <w:rsid w:val="00602E1D"/>
    <w:rsid w:val="00603CC3"/>
    <w:rsid w:val="0060722A"/>
    <w:rsid w:val="0061003D"/>
    <w:rsid w:val="006104E3"/>
    <w:rsid w:val="00610D06"/>
    <w:rsid w:val="0061122C"/>
    <w:rsid w:val="00611BE1"/>
    <w:rsid w:val="00611CE2"/>
    <w:rsid w:val="00611FCB"/>
    <w:rsid w:val="00612E1B"/>
    <w:rsid w:val="00614314"/>
    <w:rsid w:val="0061501D"/>
    <w:rsid w:val="00615E34"/>
    <w:rsid w:val="00617669"/>
    <w:rsid w:val="00617713"/>
    <w:rsid w:val="006177C4"/>
    <w:rsid w:val="0062007E"/>
    <w:rsid w:val="00622046"/>
    <w:rsid w:val="0062232C"/>
    <w:rsid w:val="00623056"/>
    <w:rsid w:val="0062525F"/>
    <w:rsid w:val="006259AD"/>
    <w:rsid w:val="00626728"/>
    <w:rsid w:val="00626A7E"/>
    <w:rsid w:val="00626C1A"/>
    <w:rsid w:val="00631106"/>
    <w:rsid w:val="006320FD"/>
    <w:rsid w:val="00632DC1"/>
    <w:rsid w:val="006335C5"/>
    <w:rsid w:val="00633F35"/>
    <w:rsid w:val="00635339"/>
    <w:rsid w:val="00636A40"/>
    <w:rsid w:val="006371AE"/>
    <w:rsid w:val="00637467"/>
    <w:rsid w:val="006438E9"/>
    <w:rsid w:val="00646431"/>
    <w:rsid w:val="00647049"/>
    <w:rsid w:val="006473B3"/>
    <w:rsid w:val="00647C0D"/>
    <w:rsid w:val="00650474"/>
    <w:rsid w:val="006510C5"/>
    <w:rsid w:val="00651252"/>
    <w:rsid w:val="00651B53"/>
    <w:rsid w:val="006536AE"/>
    <w:rsid w:val="0065372A"/>
    <w:rsid w:val="00653FA6"/>
    <w:rsid w:val="0065535C"/>
    <w:rsid w:val="006569CB"/>
    <w:rsid w:val="00657ED6"/>
    <w:rsid w:val="0066022C"/>
    <w:rsid w:val="0066059C"/>
    <w:rsid w:val="006605A3"/>
    <w:rsid w:val="0066232C"/>
    <w:rsid w:val="0066265E"/>
    <w:rsid w:val="00662699"/>
    <w:rsid w:val="00664B85"/>
    <w:rsid w:val="006654B6"/>
    <w:rsid w:val="00665B6D"/>
    <w:rsid w:val="00666D95"/>
    <w:rsid w:val="0066780C"/>
    <w:rsid w:val="0067001F"/>
    <w:rsid w:val="00670D1A"/>
    <w:rsid w:val="00671B02"/>
    <w:rsid w:val="00671C99"/>
    <w:rsid w:val="00672B21"/>
    <w:rsid w:val="00673D45"/>
    <w:rsid w:val="00675ED4"/>
    <w:rsid w:val="00677080"/>
    <w:rsid w:val="00677428"/>
    <w:rsid w:val="0067764F"/>
    <w:rsid w:val="00680FDB"/>
    <w:rsid w:val="0068148A"/>
    <w:rsid w:val="00682E81"/>
    <w:rsid w:val="006831B0"/>
    <w:rsid w:val="006834A5"/>
    <w:rsid w:val="00683C42"/>
    <w:rsid w:val="0068445B"/>
    <w:rsid w:val="006848F7"/>
    <w:rsid w:val="00684917"/>
    <w:rsid w:val="00686025"/>
    <w:rsid w:val="00686942"/>
    <w:rsid w:val="00686D0E"/>
    <w:rsid w:val="00686DE9"/>
    <w:rsid w:val="00687F6C"/>
    <w:rsid w:val="0069024B"/>
    <w:rsid w:val="006917BD"/>
    <w:rsid w:val="006919BD"/>
    <w:rsid w:val="00691A68"/>
    <w:rsid w:val="00691E1B"/>
    <w:rsid w:val="006930A7"/>
    <w:rsid w:val="006A0961"/>
    <w:rsid w:val="006A16C8"/>
    <w:rsid w:val="006A2EE2"/>
    <w:rsid w:val="006A3F2E"/>
    <w:rsid w:val="006A415A"/>
    <w:rsid w:val="006A4E49"/>
    <w:rsid w:val="006A5A0A"/>
    <w:rsid w:val="006A6069"/>
    <w:rsid w:val="006A676F"/>
    <w:rsid w:val="006A7267"/>
    <w:rsid w:val="006A7CC0"/>
    <w:rsid w:val="006A7FD3"/>
    <w:rsid w:val="006B14FA"/>
    <w:rsid w:val="006B293D"/>
    <w:rsid w:val="006B3065"/>
    <w:rsid w:val="006B3EA4"/>
    <w:rsid w:val="006B79B8"/>
    <w:rsid w:val="006C023A"/>
    <w:rsid w:val="006C1366"/>
    <w:rsid w:val="006C177A"/>
    <w:rsid w:val="006C3CC9"/>
    <w:rsid w:val="006C4103"/>
    <w:rsid w:val="006C432D"/>
    <w:rsid w:val="006C5085"/>
    <w:rsid w:val="006C6D6A"/>
    <w:rsid w:val="006C75F8"/>
    <w:rsid w:val="006C7FCD"/>
    <w:rsid w:val="006D173A"/>
    <w:rsid w:val="006D1D38"/>
    <w:rsid w:val="006D2405"/>
    <w:rsid w:val="006D34DA"/>
    <w:rsid w:val="006D41C0"/>
    <w:rsid w:val="006D47A1"/>
    <w:rsid w:val="006D637A"/>
    <w:rsid w:val="006D76A0"/>
    <w:rsid w:val="006E0444"/>
    <w:rsid w:val="006E0592"/>
    <w:rsid w:val="006E0D73"/>
    <w:rsid w:val="006E15EC"/>
    <w:rsid w:val="006E3865"/>
    <w:rsid w:val="006E3971"/>
    <w:rsid w:val="006E456E"/>
    <w:rsid w:val="006E46E9"/>
    <w:rsid w:val="006E60EA"/>
    <w:rsid w:val="006E6206"/>
    <w:rsid w:val="006E7045"/>
    <w:rsid w:val="006E7751"/>
    <w:rsid w:val="006E7D33"/>
    <w:rsid w:val="006F3CD2"/>
    <w:rsid w:val="006F4420"/>
    <w:rsid w:val="006F7FB9"/>
    <w:rsid w:val="00700482"/>
    <w:rsid w:val="0070095B"/>
    <w:rsid w:val="00700F5B"/>
    <w:rsid w:val="00702161"/>
    <w:rsid w:val="00702CEE"/>
    <w:rsid w:val="00703522"/>
    <w:rsid w:val="00704AD4"/>
    <w:rsid w:val="00704F1A"/>
    <w:rsid w:val="00704F89"/>
    <w:rsid w:val="0070591F"/>
    <w:rsid w:val="00705A55"/>
    <w:rsid w:val="00705B1E"/>
    <w:rsid w:val="00706178"/>
    <w:rsid w:val="007068F8"/>
    <w:rsid w:val="00706DD9"/>
    <w:rsid w:val="00707E9B"/>
    <w:rsid w:val="00710E8A"/>
    <w:rsid w:val="00710ECF"/>
    <w:rsid w:val="007117BE"/>
    <w:rsid w:val="00712D96"/>
    <w:rsid w:val="00713A97"/>
    <w:rsid w:val="00713E83"/>
    <w:rsid w:val="00716655"/>
    <w:rsid w:val="00716CB4"/>
    <w:rsid w:val="00720787"/>
    <w:rsid w:val="00721B07"/>
    <w:rsid w:val="007236EC"/>
    <w:rsid w:val="007241CB"/>
    <w:rsid w:val="0072492C"/>
    <w:rsid w:val="00724CB2"/>
    <w:rsid w:val="0072507C"/>
    <w:rsid w:val="00725448"/>
    <w:rsid w:val="00725BB1"/>
    <w:rsid w:val="00725E25"/>
    <w:rsid w:val="007305A6"/>
    <w:rsid w:val="0073085A"/>
    <w:rsid w:val="007313CD"/>
    <w:rsid w:val="0073177A"/>
    <w:rsid w:val="00731C3F"/>
    <w:rsid w:val="0073266F"/>
    <w:rsid w:val="00732FC6"/>
    <w:rsid w:val="00733D0A"/>
    <w:rsid w:val="00733F51"/>
    <w:rsid w:val="00736946"/>
    <w:rsid w:val="0073730D"/>
    <w:rsid w:val="00740179"/>
    <w:rsid w:val="00740942"/>
    <w:rsid w:val="00740D71"/>
    <w:rsid w:val="00741199"/>
    <w:rsid w:val="00743E72"/>
    <w:rsid w:val="00744CFC"/>
    <w:rsid w:val="00745461"/>
    <w:rsid w:val="00745696"/>
    <w:rsid w:val="00745B55"/>
    <w:rsid w:val="00745FA1"/>
    <w:rsid w:val="00746276"/>
    <w:rsid w:val="00746688"/>
    <w:rsid w:val="00746D31"/>
    <w:rsid w:val="00747A29"/>
    <w:rsid w:val="007500A1"/>
    <w:rsid w:val="00750A13"/>
    <w:rsid w:val="00750EA4"/>
    <w:rsid w:val="00751240"/>
    <w:rsid w:val="00753282"/>
    <w:rsid w:val="00753407"/>
    <w:rsid w:val="00753A30"/>
    <w:rsid w:val="00753D48"/>
    <w:rsid w:val="00754329"/>
    <w:rsid w:val="00754B25"/>
    <w:rsid w:val="007574CE"/>
    <w:rsid w:val="00762719"/>
    <w:rsid w:val="007627EA"/>
    <w:rsid w:val="00762B22"/>
    <w:rsid w:val="00763BBD"/>
    <w:rsid w:val="00764129"/>
    <w:rsid w:val="0076450B"/>
    <w:rsid w:val="00764930"/>
    <w:rsid w:val="007656DD"/>
    <w:rsid w:val="00765756"/>
    <w:rsid w:val="00767669"/>
    <w:rsid w:val="007679ED"/>
    <w:rsid w:val="00770485"/>
    <w:rsid w:val="007711A7"/>
    <w:rsid w:val="00771D2F"/>
    <w:rsid w:val="00772271"/>
    <w:rsid w:val="00772506"/>
    <w:rsid w:val="0077404D"/>
    <w:rsid w:val="00774D34"/>
    <w:rsid w:val="00776F1E"/>
    <w:rsid w:val="007775B4"/>
    <w:rsid w:val="00777E91"/>
    <w:rsid w:val="00777F77"/>
    <w:rsid w:val="007819F5"/>
    <w:rsid w:val="00783155"/>
    <w:rsid w:val="0078335B"/>
    <w:rsid w:val="0078360C"/>
    <w:rsid w:val="00783A73"/>
    <w:rsid w:val="00783EF3"/>
    <w:rsid w:val="00784330"/>
    <w:rsid w:val="00785186"/>
    <w:rsid w:val="00785459"/>
    <w:rsid w:val="00785E31"/>
    <w:rsid w:val="00786CEC"/>
    <w:rsid w:val="00787698"/>
    <w:rsid w:val="00787AF9"/>
    <w:rsid w:val="00787CD7"/>
    <w:rsid w:val="007907FB"/>
    <w:rsid w:val="00792894"/>
    <w:rsid w:val="00792B31"/>
    <w:rsid w:val="00792E1A"/>
    <w:rsid w:val="007934E2"/>
    <w:rsid w:val="00793783"/>
    <w:rsid w:val="00794731"/>
    <w:rsid w:val="0079502B"/>
    <w:rsid w:val="00795074"/>
    <w:rsid w:val="00795BE4"/>
    <w:rsid w:val="007961BA"/>
    <w:rsid w:val="00796496"/>
    <w:rsid w:val="00796A4B"/>
    <w:rsid w:val="007A2152"/>
    <w:rsid w:val="007A24FA"/>
    <w:rsid w:val="007A5BB6"/>
    <w:rsid w:val="007A5C2E"/>
    <w:rsid w:val="007A7359"/>
    <w:rsid w:val="007B0ECA"/>
    <w:rsid w:val="007B1164"/>
    <w:rsid w:val="007B20D7"/>
    <w:rsid w:val="007B35E0"/>
    <w:rsid w:val="007B6409"/>
    <w:rsid w:val="007B64F4"/>
    <w:rsid w:val="007B7947"/>
    <w:rsid w:val="007C13D0"/>
    <w:rsid w:val="007C1EFE"/>
    <w:rsid w:val="007C559B"/>
    <w:rsid w:val="007C5E3F"/>
    <w:rsid w:val="007C5E92"/>
    <w:rsid w:val="007C77BC"/>
    <w:rsid w:val="007C7A49"/>
    <w:rsid w:val="007C7EDE"/>
    <w:rsid w:val="007D10B5"/>
    <w:rsid w:val="007D118E"/>
    <w:rsid w:val="007D1318"/>
    <w:rsid w:val="007D25AA"/>
    <w:rsid w:val="007D2947"/>
    <w:rsid w:val="007D31BB"/>
    <w:rsid w:val="007D4466"/>
    <w:rsid w:val="007D44AD"/>
    <w:rsid w:val="007D750E"/>
    <w:rsid w:val="007D7D20"/>
    <w:rsid w:val="007E0D80"/>
    <w:rsid w:val="007E16E5"/>
    <w:rsid w:val="007E3218"/>
    <w:rsid w:val="007E4271"/>
    <w:rsid w:val="007E5239"/>
    <w:rsid w:val="007F0082"/>
    <w:rsid w:val="007F0B0F"/>
    <w:rsid w:val="007F0B15"/>
    <w:rsid w:val="007F373E"/>
    <w:rsid w:val="007F39CE"/>
    <w:rsid w:val="007F4DB5"/>
    <w:rsid w:val="007F544D"/>
    <w:rsid w:val="007F716C"/>
    <w:rsid w:val="007F7AE2"/>
    <w:rsid w:val="007F7F91"/>
    <w:rsid w:val="0080054C"/>
    <w:rsid w:val="00801EEE"/>
    <w:rsid w:val="00802167"/>
    <w:rsid w:val="008023C3"/>
    <w:rsid w:val="00802671"/>
    <w:rsid w:val="008028D0"/>
    <w:rsid w:val="00802FB6"/>
    <w:rsid w:val="00803DE2"/>
    <w:rsid w:val="00804C19"/>
    <w:rsid w:val="0080720C"/>
    <w:rsid w:val="00807DB9"/>
    <w:rsid w:val="00810535"/>
    <w:rsid w:val="008108C4"/>
    <w:rsid w:val="00811F33"/>
    <w:rsid w:val="00812AD2"/>
    <w:rsid w:val="00814717"/>
    <w:rsid w:val="008150DF"/>
    <w:rsid w:val="008158A0"/>
    <w:rsid w:val="00815BB6"/>
    <w:rsid w:val="00815BEB"/>
    <w:rsid w:val="00815FE2"/>
    <w:rsid w:val="00816014"/>
    <w:rsid w:val="008166E7"/>
    <w:rsid w:val="0081695F"/>
    <w:rsid w:val="0081755D"/>
    <w:rsid w:val="008206E2"/>
    <w:rsid w:val="0082075C"/>
    <w:rsid w:val="00820B14"/>
    <w:rsid w:val="00820BAA"/>
    <w:rsid w:val="008211BD"/>
    <w:rsid w:val="00821A36"/>
    <w:rsid w:val="008226D4"/>
    <w:rsid w:val="00823023"/>
    <w:rsid w:val="00823F81"/>
    <w:rsid w:val="008244D2"/>
    <w:rsid w:val="00826A3A"/>
    <w:rsid w:val="00831A47"/>
    <w:rsid w:val="008338E2"/>
    <w:rsid w:val="0083457A"/>
    <w:rsid w:val="00834CB5"/>
    <w:rsid w:val="008359B3"/>
    <w:rsid w:val="00835EA1"/>
    <w:rsid w:val="00836DAB"/>
    <w:rsid w:val="00841294"/>
    <w:rsid w:val="00841CA8"/>
    <w:rsid w:val="008426FE"/>
    <w:rsid w:val="00843266"/>
    <w:rsid w:val="00847516"/>
    <w:rsid w:val="0085018B"/>
    <w:rsid w:val="008503F5"/>
    <w:rsid w:val="00850600"/>
    <w:rsid w:val="008524BF"/>
    <w:rsid w:val="00852E16"/>
    <w:rsid w:val="00853A1F"/>
    <w:rsid w:val="00854A46"/>
    <w:rsid w:val="008554E9"/>
    <w:rsid w:val="0085595B"/>
    <w:rsid w:val="00856C10"/>
    <w:rsid w:val="0085738D"/>
    <w:rsid w:val="0085753F"/>
    <w:rsid w:val="00857E3C"/>
    <w:rsid w:val="008618B3"/>
    <w:rsid w:val="00861FB2"/>
    <w:rsid w:val="00863F92"/>
    <w:rsid w:val="00864293"/>
    <w:rsid w:val="00864582"/>
    <w:rsid w:val="00864677"/>
    <w:rsid w:val="00865FF4"/>
    <w:rsid w:val="00866E48"/>
    <w:rsid w:val="008715D1"/>
    <w:rsid w:val="00873CDE"/>
    <w:rsid w:val="00874541"/>
    <w:rsid w:val="00875B11"/>
    <w:rsid w:val="00875BA6"/>
    <w:rsid w:val="0087780D"/>
    <w:rsid w:val="008801F9"/>
    <w:rsid w:val="008803E8"/>
    <w:rsid w:val="00880A82"/>
    <w:rsid w:val="00881363"/>
    <w:rsid w:val="00882115"/>
    <w:rsid w:val="00884D4C"/>
    <w:rsid w:val="008858F0"/>
    <w:rsid w:val="00885B9A"/>
    <w:rsid w:val="00885CD4"/>
    <w:rsid w:val="008877FD"/>
    <w:rsid w:val="00887AA2"/>
    <w:rsid w:val="008906C1"/>
    <w:rsid w:val="00890C9D"/>
    <w:rsid w:val="00891941"/>
    <w:rsid w:val="008925B3"/>
    <w:rsid w:val="0089289B"/>
    <w:rsid w:val="00892D96"/>
    <w:rsid w:val="00893837"/>
    <w:rsid w:val="008948FC"/>
    <w:rsid w:val="00897152"/>
    <w:rsid w:val="00897879"/>
    <w:rsid w:val="00897FB5"/>
    <w:rsid w:val="008A08B6"/>
    <w:rsid w:val="008A1402"/>
    <w:rsid w:val="008A1CE0"/>
    <w:rsid w:val="008A2656"/>
    <w:rsid w:val="008A317F"/>
    <w:rsid w:val="008A3F14"/>
    <w:rsid w:val="008A4318"/>
    <w:rsid w:val="008A4DB8"/>
    <w:rsid w:val="008A5510"/>
    <w:rsid w:val="008A7F65"/>
    <w:rsid w:val="008B02ED"/>
    <w:rsid w:val="008B057C"/>
    <w:rsid w:val="008B097F"/>
    <w:rsid w:val="008B1A70"/>
    <w:rsid w:val="008B3538"/>
    <w:rsid w:val="008B56B3"/>
    <w:rsid w:val="008B6045"/>
    <w:rsid w:val="008B63C7"/>
    <w:rsid w:val="008C0481"/>
    <w:rsid w:val="008C0FBF"/>
    <w:rsid w:val="008C317E"/>
    <w:rsid w:val="008C3543"/>
    <w:rsid w:val="008C4D4C"/>
    <w:rsid w:val="008C6A22"/>
    <w:rsid w:val="008C7A01"/>
    <w:rsid w:val="008D130D"/>
    <w:rsid w:val="008D2986"/>
    <w:rsid w:val="008D3205"/>
    <w:rsid w:val="008D38FF"/>
    <w:rsid w:val="008D3D05"/>
    <w:rsid w:val="008D4ED6"/>
    <w:rsid w:val="008D4FCD"/>
    <w:rsid w:val="008D6221"/>
    <w:rsid w:val="008D6CAE"/>
    <w:rsid w:val="008D7356"/>
    <w:rsid w:val="008D763B"/>
    <w:rsid w:val="008D7A8C"/>
    <w:rsid w:val="008E0414"/>
    <w:rsid w:val="008E0543"/>
    <w:rsid w:val="008E0581"/>
    <w:rsid w:val="008E2B87"/>
    <w:rsid w:val="008E40F6"/>
    <w:rsid w:val="008E458E"/>
    <w:rsid w:val="008E5016"/>
    <w:rsid w:val="008E5693"/>
    <w:rsid w:val="008E585E"/>
    <w:rsid w:val="008E6335"/>
    <w:rsid w:val="008E6707"/>
    <w:rsid w:val="008E7373"/>
    <w:rsid w:val="008E76BA"/>
    <w:rsid w:val="008E78ED"/>
    <w:rsid w:val="008E7CE5"/>
    <w:rsid w:val="008E7D7C"/>
    <w:rsid w:val="008F11EB"/>
    <w:rsid w:val="008F2BEA"/>
    <w:rsid w:val="008F3191"/>
    <w:rsid w:val="008F490E"/>
    <w:rsid w:val="008F6302"/>
    <w:rsid w:val="008F64E9"/>
    <w:rsid w:val="008F679F"/>
    <w:rsid w:val="008F7007"/>
    <w:rsid w:val="008F77DD"/>
    <w:rsid w:val="00902C43"/>
    <w:rsid w:val="0091008B"/>
    <w:rsid w:val="0091147A"/>
    <w:rsid w:val="0091151E"/>
    <w:rsid w:val="009118B8"/>
    <w:rsid w:val="00912FB4"/>
    <w:rsid w:val="00913097"/>
    <w:rsid w:val="009139B1"/>
    <w:rsid w:val="0091486F"/>
    <w:rsid w:val="00915A74"/>
    <w:rsid w:val="0091683E"/>
    <w:rsid w:val="00920F4A"/>
    <w:rsid w:val="00922B5C"/>
    <w:rsid w:val="00922B95"/>
    <w:rsid w:val="00923DB8"/>
    <w:rsid w:val="00925576"/>
    <w:rsid w:val="0092561E"/>
    <w:rsid w:val="00926109"/>
    <w:rsid w:val="00926A9B"/>
    <w:rsid w:val="00926BE9"/>
    <w:rsid w:val="00932454"/>
    <w:rsid w:val="0093262A"/>
    <w:rsid w:val="0093395E"/>
    <w:rsid w:val="00933F16"/>
    <w:rsid w:val="00934020"/>
    <w:rsid w:val="00934688"/>
    <w:rsid w:val="0093468C"/>
    <w:rsid w:val="00934908"/>
    <w:rsid w:val="00935461"/>
    <w:rsid w:val="009356EF"/>
    <w:rsid w:val="00935AF0"/>
    <w:rsid w:val="009404B4"/>
    <w:rsid w:val="009412C8"/>
    <w:rsid w:val="00941353"/>
    <w:rsid w:val="009429C2"/>
    <w:rsid w:val="00942FEE"/>
    <w:rsid w:val="009434ED"/>
    <w:rsid w:val="00944FBB"/>
    <w:rsid w:val="0094587A"/>
    <w:rsid w:val="009500B1"/>
    <w:rsid w:val="00950342"/>
    <w:rsid w:val="009506E1"/>
    <w:rsid w:val="0095148F"/>
    <w:rsid w:val="00952C85"/>
    <w:rsid w:val="009532DD"/>
    <w:rsid w:val="009532E9"/>
    <w:rsid w:val="00953963"/>
    <w:rsid w:val="0095461C"/>
    <w:rsid w:val="00956545"/>
    <w:rsid w:val="0095741A"/>
    <w:rsid w:val="00957E57"/>
    <w:rsid w:val="009610E8"/>
    <w:rsid w:val="00962145"/>
    <w:rsid w:val="00962316"/>
    <w:rsid w:val="00962BC1"/>
    <w:rsid w:val="00963BCE"/>
    <w:rsid w:val="00964A24"/>
    <w:rsid w:val="009666F6"/>
    <w:rsid w:val="00966FFD"/>
    <w:rsid w:val="0097022D"/>
    <w:rsid w:val="00972472"/>
    <w:rsid w:val="009733F1"/>
    <w:rsid w:val="009749F2"/>
    <w:rsid w:val="00974AAB"/>
    <w:rsid w:val="009750E9"/>
    <w:rsid w:val="009752AF"/>
    <w:rsid w:val="009766D5"/>
    <w:rsid w:val="009768A2"/>
    <w:rsid w:val="009769E5"/>
    <w:rsid w:val="009770F9"/>
    <w:rsid w:val="00977B59"/>
    <w:rsid w:val="0098017E"/>
    <w:rsid w:val="0098035C"/>
    <w:rsid w:val="00982343"/>
    <w:rsid w:val="00984990"/>
    <w:rsid w:val="00985A93"/>
    <w:rsid w:val="00985CF4"/>
    <w:rsid w:val="009874E7"/>
    <w:rsid w:val="00987792"/>
    <w:rsid w:val="00990D9B"/>
    <w:rsid w:val="00991181"/>
    <w:rsid w:val="00991918"/>
    <w:rsid w:val="0099196B"/>
    <w:rsid w:val="009921B3"/>
    <w:rsid w:val="00992D86"/>
    <w:rsid w:val="00993848"/>
    <w:rsid w:val="009949B2"/>
    <w:rsid w:val="00994D2D"/>
    <w:rsid w:val="00994DE2"/>
    <w:rsid w:val="00994FC6"/>
    <w:rsid w:val="009950A8"/>
    <w:rsid w:val="00995BE0"/>
    <w:rsid w:val="00995DDC"/>
    <w:rsid w:val="009961F4"/>
    <w:rsid w:val="009967B6"/>
    <w:rsid w:val="00996D46"/>
    <w:rsid w:val="009A0725"/>
    <w:rsid w:val="009A0BC8"/>
    <w:rsid w:val="009A2AD0"/>
    <w:rsid w:val="009A2D40"/>
    <w:rsid w:val="009A4F5C"/>
    <w:rsid w:val="009A6D29"/>
    <w:rsid w:val="009A72AB"/>
    <w:rsid w:val="009A777E"/>
    <w:rsid w:val="009A7BE1"/>
    <w:rsid w:val="009A7BEA"/>
    <w:rsid w:val="009B2B0A"/>
    <w:rsid w:val="009B2F7F"/>
    <w:rsid w:val="009B302E"/>
    <w:rsid w:val="009B30E1"/>
    <w:rsid w:val="009B3293"/>
    <w:rsid w:val="009B51C8"/>
    <w:rsid w:val="009B6A20"/>
    <w:rsid w:val="009B73A2"/>
    <w:rsid w:val="009C1114"/>
    <w:rsid w:val="009C1A83"/>
    <w:rsid w:val="009C39BF"/>
    <w:rsid w:val="009C3CA9"/>
    <w:rsid w:val="009C49AF"/>
    <w:rsid w:val="009C4C19"/>
    <w:rsid w:val="009C5228"/>
    <w:rsid w:val="009C55B6"/>
    <w:rsid w:val="009C5807"/>
    <w:rsid w:val="009C5E5F"/>
    <w:rsid w:val="009C623A"/>
    <w:rsid w:val="009C66FA"/>
    <w:rsid w:val="009C6BD4"/>
    <w:rsid w:val="009D0190"/>
    <w:rsid w:val="009D06C7"/>
    <w:rsid w:val="009D0745"/>
    <w:rsid w:val="009D0CF1"/>
    <w:rsid w:val="009D1CD1"/>
    <w:rsid w:val="009D2171"/>
    <w:rsid w:val="009D2E99"/>
    <w:rsid w:val="009D33BD"/>
    <w:rsid w:val="009D5DA2"/>
    <w:rsid w:val="009D6F86"/>
    <w:rsid w:val="009E040D"/>
    <w:rsid w:val="009E0825"/>
    <w:rsid w:val="009E1168"/>
    <w:rsid w:val="009E1D56"/>
    <w:rsid w:val="009E27CF"/>
    <w:rsid w:val="009E44CA"/>
    <w:rsid w:val="009E4F2F"/>
    <w:rsid w:val="009E6F06"/>
    <w:rsid w:val="009E7F22"/>
    <w:rsid w:val="009F0E87"/>
    <w:rsid w:val="009F0F76"/>
    <w:rsid w:val="009F22C6"/>
    <w:rsid w:val="009F2D5D"/>
    <w:rsid w:val="009F404D"/>
    <w:rsid w:val="009F421C"/>
    <w:rsid w:val="009F457E"/>
    <w:rsid w:val="009F493A"/>
    <w:rsid w:val="009F527D"/>
    <w:rsid w:val="009F5583"/>
    <w:rsid w:val="009F6B5B"/>
    <w:rsid w:val="009F7612"/>
    <w:rsid w:val="009F7919"/>
    <w:rsid w:val="00A00D9C"/>
    <w:rsid w:val="00A027EB"/>
    <w:rsid w:val="00A02B47"/>
    <w:rsid w:val="00A02CAC"/>
    <w:rsid w:val="00A034CB"/>
    <w:rsid w:val="00A0434B"/>
    <w:rsid w:val="00A0435D"/>
    <w:rsid w:val="00A0437F"/>
    <w:rsid w:val="00A046AE"/>
    <w:rsid w:val="00A04B35"/>
    <w:rsid w:val="00A04EB8"/>
    <w:rsid w:val="00A05622"/>
    <w:rsid w:val="00A05FD4"/>
    <w:rsid w:val="00A05FDE"/>
    <w:rsid w:val="00A0640F"/>
    <w:rsid w:val="00A11D04"/>
    <w:rsid w:val="00A14801"/>
    <w:rsid w:val="00A15D12"/>
    <w:rsid w:val="00A16E70"/>
    <w:rsid w:val="00A20B10"/>
    <w:rsid w:val="00A20F99"/>
    <w:rsid w:val="00A2390D"/>
    <w:rsid w:val="00A24938"/>
    <w:rsid w:val="00A24AD8"/>
    <w:rsid w:val="00A24D75"/>
    <w:rsid w:val="00A252FB"/>
    <w:rsid w:val="00A26522"/>
    <w:rsid w:val="00A26F60"/>
    <w:rsid w:val="00A307CA"/>
    <w:rsid w:val="00A312EF"/>
    <w:rsid w:val="00A31DB0"/>
    <w:rsid w:val="00A320EE"/>
    <w:rsid w:val="00A3274E"/>
    <w:rsid w:val="00A343BE"/>
    <w:rsid w:val="00A35267"/>
    <w:rsid w:val="00A373DF"/>
    <w:rsid w:val="00A377FC"/>
    <w:rsid w:val="00A378CB"/>
    <w:rsid w:val="00A4050B"/>
    <w:rsid w:val="00A40CB2"/>
    <w:rsid w:val="00A41AD1"/>
    <w:rsid w:val="00A41D78"/>
    <w:rsid w:val="00A428D4"/>
    <w:rsid w:val="00A42FAB"/>
    <w:rsid w:val="00A433D6"/>
    <w:rsid w:val="00A43BCB"/>
    <w:rsid w:val="00A44FAF"/>
    <w:rsid w:val="00A4674C"/>
    <w:rsid w:val="00A4770E"/>
    <w:rsid w:val="00A47CF6"/>
    <w:rsid w:val="00A50D42"/>
    <w:rsid w:val="00A51AC7"/>
    <w:rsid w:val="00A523F8"/>
    <w:rsid w:val="00A52CCF"/>
    <w:rsid w:val="00A54FA0"/>
    <w:rsid w:val="00A55010"/>
    <w:rsid w:val="00A55134"/>
    <w:rsid w:val="00A5515B"/>
    <w:rsid w:val="00A5536D"/>
    <w:rsid w:val="00A56575"/>
    <w:rsid w:val="00A56EA9"/>
    <w:rsid w:val="00A60768"/>
    <w:rsid w:val="00A60F0F"/>
    <w:rsid w:val="00A62814"/>
    <w:rsid w:val="00A646F2"/>
    <w:rsid w:val="00A64B36"/>
    <w:rsid w:val="00A64BC7"/>
    <w:rsid w:val="00A673FF"/>
    <w:rsid w:val="00A67A04"/>
    <w:rsid w:val="00A709CB"/>
    <w:rsid w:val="00A709CF"/>
    <w:rsid w:val="00A70BF4"/>
    <w:rsid w:val="00A70D2A"/>
    <w:rsid w:val="00A713BC"/>
    <w:rsid w:val="00A728DF"/>
    <w:rsid w:val="00A73A40"/>
    <w:rsid w:val="00A73FBC"/>
    <w:rsid w:val="00A7436F"/>
    <w:rsid w:val="00A74D75"/>
    <w:rsid w:val="00A74EF9"/>
    <w:rsid w:val="00A75E13"/>
    <w:rsid w:val="00A7654F"/>
    <w:rsid w:val="00A7693D"/>
    <w:rsid w:val="00A76C49"/>
    <w:rsid w:val="00A77406"/>
    <w:rsid w:val="00A7780F"/>
    <w:rsid w:val="00A77DC0"/>
    <w:rsid w:val="00A8062C"/>
    <w:rsid w:val="00A8128D"/>
    <w:rsid w:val="00A81511"/>
    <w:rsid w:val="00A82076"/>
    <w:rsid w:val="00A82FC4"/>
    <w:rsid w:val="00A86583"/>
    <w:rsid w:val="00A87CAC"/>
    <w:rsid w:val="00A87D32"/>
    <w:rsid w:val="00A917B1"/>
    <w:rsid w:val="00A91C3B"/>
    <w:rsid w:val="00A91D0B"/>
    <w:rsid w:val="00A93535"/>
    <w:rsid w:val="00A93BF3"/>
    <w:rsid w:val="00A93F83"/>
    <w:rsid w:val="00A93FCA"/>
    <w:rsid w:val="00A94DE2"/>
    <w:rsid w:val="00A9516F"/>
    <w:rsid w:val="00A95189"/>
    <w:rsid w:val="00A96387"/>
    <w:rsid w:val="00A967DA"/>
    <w:rsid w:val="00A96B21"/>
    <w:rsid w:val="00A96B75"/>
    <w:rsid w:val="00A97946"/>
    <w:rsid w:val="00AA0695"/>
    <w:rsid w:val="00AA1657"/>
    <w:rsid w:val="00AA1FDB"/>
    <w:rsid w:val="00AA3D5E"/>
    <w:rsid w:val="00AA5D21"/>
    <w:rsid w:val="00AA6746"/>
    <w:rsid w:val="00AB0403"/>
    <w:rsid w:val="00AB0E60"/>
    <w:rsid w:val="00AB1F09"/>
    <w:rsid w:val="00AB2DA2"/>
    <w:rsid w:val="00AB2F2B"/>
    <w:rsid w:val="00AB329A"/>
    <w:rsid w:val="00AB3A4A"/>
    <w:rsid w:val="00AB5E2B"/>
    <w:rsid w:val="00AB5FD4"/>
    <w:rsid w:val="00AB6EFC"/>
    <w:rsid w:val="00AC00C7"/>
    <w:rsid w:val="00AC0174"/>
    <w:rsid w:val="00AC2F4F"/>
    <w:rsid w:val="00AC4435"/>
    <w:rsid w:val="00AC498E"/>
    <w:rsid w:val="00AC5230"/>
    <w:rsid w:val="00AC5407"/>
    <w:rsid w:val="00AC5874"/>
    <w:rsid w:val="00AC6079"/>
    <w:rsid w:val="00AC6EE4"/>
    <w:rsid w:val="00AC7BF4"/>
    <w:rsid w:val="00AC7C6B"/>
    <w:rsid w:val="00AC7FCB"/>
    <w:rsid w:val="00AD041A"/>
    <w:rsid w:val="00AD0EA2"/>
    <w:rsid w:val="00AD14C1"/>
    <w:rsid w:val="00AD16C4"/>
    <w:rsid w:val="00AD1897"/>
    <w:rsid w:val="00AD3C5A"/>
    <w:rsid w:val="00AD3F1A"/>
    <w:rsid w:val="00AD50A7"/>
    <w:rsid w:val="00AD7752"/>
    <w:rsid w:val="00AD7D01"/>
    <w:rsid w:val="00AE00CA"/>
    <w:rsid w:val="00AE06E6"/>
    <w:rsid w:val="00AE1A95"/>
    <w:rsid w:val="00AE2352"/>
    <w:rsid w:val="00AE582B"/>
    <w:rsid w:val="00AE5DF9"/>
    <w:rsid w:val="00AE6D08"/>
    <w:rsid w:val="00AF01C3"/>
    <w:rsid w:val="00AF033D"/>
    <w:rsid w:val="00AF03FC"/>
    <w:rsid w:val="00AF1A55"/>
    <w:rsid w:val="00AF1CA7"/>
    <w:rsid w:val="00AF2238"/>
    <w:rsid w:val="00AF47CA"/>
    <w:rsid w:val="00AF5B9C"/>
    <w:rsid w:val="00AF5F83"/>
    <w:rsid w:val="00AF69ED"/>
    <w:rsid w:val="00AF6DA6"/>
    <w:rsid w:val="00AF7DD1"/>
    <w:rsid w:val="00B00FBB"/>
    <w:rsid w:val="00B02243"/>
    <w:rsid w:val="00B02C53"/>
    <w:rsid w:val="00B02F39"/>
    <w:rsid w:val="00B04E49"/>
    <w:rsid w:val="00B054CC"/>
    <w:rsid w:val="00B074C0"/>
    <w:rsid w:val="00B07A7D"/>
    <w:rsid w:val="00B11219"/>
    <w:rsid w:val="00B11459"/>
    <w:rsid w:val="00B12522"/>
    <w:rsid w:val="00B12EDE"/>
    <w:rsid w:val="00B13ED1"/>
    <w:rsid w:val="00B13F11"/>
    <w:rsid w:val="00B16275"/>
    <w:rsid w:val="00B1728B"/>
    <w:rsid w:val="00B17684"/>
    <w:rsid w:val="00B20EAB"/>
    <w:rsid w:val="00B2157E"/>
    <w:rsid w:val="00B21F65"/>
    <w:rsid w:val="00B224AD"/>
    <w:rsid w:val="00B23DC4"/>
    <w:rsid w:val="00B25D98"/>
    <w:rsid w:val="00B2621B"/>
    <w:rsid w:val="00B279C0"/>
    <w:rsid w:val="00B30A5F"/>
    <w:rsid w:val="00B30CC6"/>
    <w:rsid w:val="00B32A4D"/>
    <w:rsid w:val="00B34159"/>
    <w:rsid w:val="00B344E8"/>
    <w:rsid w:val="00B36829"/>
    <w:rsid w:val="00B36EA9"/>
    <w:rsid w:val="00B408DB"/>
    <w:rsid w:val="00B40FBF"/>
    <w:rsid w:val="00B43AF8"/>
    <w:rsid w:val="00B44057"/>
    <w:rsid w:val="00B443F7"/>
    <w:rsid w:val="00B4468A"/>
    <w:rsid w:val="00B44CA4"/>
    <w:rsid w:val="00B459AF"/>
    <w:rsid w:val="00B47429"/>
    <w:rsid w:val="00B50210"/>
    <w:rsid w:val="00B50588"/>
    <w:rsid w:val="00B50748"/>
    <w:rsid w:val="00B545E8"/>
    <w:rsid w:val="00B549E3"/>
    <w:rsid w:val="00B55195"/>
    <w:rsid w:val="00B555CE"/>
    <w:rsid w:val="00B563E8"/>
    <w:rsid w:val="00B5665D"/>
    <w:rsid w:val="00B56E9F"/>
    <w:rsid w:val="00B57940"/>
    <w:rsid w:val="00B57A7D"/>
    <w:rsid w:val="00B60D3E"/>
    <w:rsid w:val="00B6163F"/>
    <w:rsid w:val="00B61C88"/>
    <w:rsid w:val="00B64450"/>
    <w:rsid w:val="00B6598E"/>
    <w:rsid w:val="00B6721A"/>
    <w:rsid w:val="00B67943"/>
    <w:rsid w:val="00B70A0A"/>
    <w:rsid w:val="00B70CAE"/>
    <w:rsid w:val="00B71C2C"/>
    <w:rsid w:val="00B71DBB"/>
    <w:rsid w:val="00B724FF"/>
    <w:rsid w:val="00B73570"/>
    <w:rsid w:val="00B75317"/>
    <w:rsid w:val="00B77817"/>
    <w:rsid w:val="00B77A7C"/>
    <w:rsid w:val="00B80175"/>
    <w:rsid w:val="00B819A6"/>
    <w:rsid w:val="00B81B01"/>
    <w:rsid w:val="00B82164"/>
    <w:rsid w:val="00B827C4"/>
    <w:rsid w:val="00B840B7"/>
    <w:rsid w:val="00B8438D"/>
    <w:rsid w:val="00B84852"/>
    <w:rsid w:val="00B8525C"/>
    <w:rsid w:val="00B8562C"/>
    <w:rsid w:val="00B91F3C"/>
    <w:rsid w:val="00B93FBC"/>
    <w:rsid w:val="00B9425D"/>
    <w:rsid w:val="00B95D4A"/>
    <w:rsid w:val="00B962CC"/>
    <w:rsid w:val="00B963A8"/>
    <w:rsid w:val="00B966E7"/>
    <w:rsid w:val="00B968F9"/>
    <w:rsid w:val="00B97284"/>
    <w:rsid w:val="00B97F67"/>
    <w:rsid w:val="00BA05B1"/>
    <w:rsid w:val="00BA363C"/>
    <w:rsid w:val="00BA397C"/>
    <w:rsid w:val="00BA4F3C"/>
    <w:rsid w:val="00BA5C98"/>
    <w:rsid w:val="00BA6471"/>
    <w:rsid w:val="00BA7155"/>
    <w:rsid w:val="00BB04F5"/>
    <w:rsid w:val="00BB0DDA"/>
    <w:rsid w:val="00BB2655"/>
    <w:rsid w:val="00BB33F6"/>
    <w:rsid w:val="00BB3726"/>
    <w:rsid w:val="00BB419F"/>
    <w:rsid w:val="00BB45C1"/>
    <w:rsid w:val="00BB5505"/>
    <w:rsid w:val="00BB68E6"/>
    <w:rsid w:val="00BB6B69"/>
    <w:rsid w:val="00BB6C7D"/>
    <w:rsid w:val="00BB6EC7"/>
    <w:rsid w:val="00BC05A8"/>
    <w:rsid w:val="00BC07DF"/>
    <w:rsid w:val="00BC22F8"/>
    <w:rsid w:val="00BC396D"/>
    <w:rsid w:val="00BC4620"/>
    <w:rsid w:val="00BC51F2"/>
    <w:rsid w:val="00BC73D8"/>
    <w:rsid w:val="00BD04D3"/>
    <w:rsid w:val="00BD1A3D"/>
    <w:rsid w:val="00BD2D4C"/>
    <w:rsid w:val="00BD3364"/>
    <w:rsid w:val="00BD388A"/>
    <w:rsid w:val="00BD4195"/>
    <w:rsid w:val="00BD5538"/>
    <w:rsid w:val="00BD62E7"/>
    <w:rsid w:val="00BD71C5"/>
    <w:rsid w:val="00BD7FC2"/>
    <w:rsid w:val="00BE0CE6"/>
    <w:rsid w:val="00BE18EC"/>
    <w:rsid w:val="00BE2A89"/>
    <w:rsid w:val="00BE35D3"/>
    <w:rsid w:val="00BE63E1"/>
    <w:rsid w:val="00BE69D5"/>
    <w:rsid w:val="00BE7F63"/>
    <w:rsid w:val="00BF07E9"/>
    <w:rsid w:val="00BF12F4"/>
    <w:rsid w:val="00BF196D"/>
    <w:rsid w:val="00BF3667"/>
    <w:rsid w:val="00BF3688"/>
    <w:rsid w:val="00BF4933"/>
    <w:rsid w:val="00BF60B0"/>
    <w:rsid w:val="00BF61E5"/>
    <w:rsid w:val="00BF73FB"/>
    <w:rsid w:val="00BF776C"/>
    <w:rsid w:val="00C02485"/>
    <w:rsid w:val="00C0371F"/>
    <w:rsid w:val="00C0459C"/>
    <w:rsid w:val="00C04E84"/>
    <w:rsid w:val="00C04F26"/>
    <w:rsid w:val="00C052F5"/>
    <w:rsid w:val="00C0567C"/>
    <w:rsid w:val="00C05A97"/>
    <w:rsid w:val="00C05AE8"/>
    <w:rsid w:val="00C05CE7"/>
    <w:rsid w:val="00C062F3"/>
    <w:rsid w:val="00C063AD"/>
    <w:rsid w:val="00C0799F"/>
    <w:rsid w:val="00C109CC"/>
    <w:rsid w:val="00C11441"/>
    <w:rsid w:val="00C114B9"/>
    <w:rsid w:val="00C11986"/>
    <w:rsid w:val="00C11FD0"/>
    <w:rsid w:val="00C12FD7"/>
    <w:rsid w:val="00C13DFD"/>
    <w:rsid w:val="00C15C3C"/>
    <w:rsid w:val="00C16882"/>
    <w:rsid w:val="00C177E6"/>
    <w:rsid w:val="00C2026E"/>
    <w:rsid w:val="00C20810"/>
    <w:rsid w:val="00C23025"/>
    <w:rsid w:val="00C2354A"/>
    <w:rsid w:val="00C235FF"/>
    <w:rsid w:val="00C24575"/>
    <w:rsid w:val="00C24BE2"/>
    <w:rsid w:val="00C25F62"/>
    <w:rsid w:val="00C30251"/>
    <w:rsid w:val="00C30F28"/>
    <w:rsid w:val="00C319BB"/>
    <w:rsid w:val="00C32590"/>
    <w:rsid w:val="00C3440C"/>
    <w:rsid w:val="00C353A8"/>
    <w:rsid w:val="00C35CE2"/>
    <w:rsid w:val="00C36099"/>
    <w:rsid w:val="00C36B01"/>
    <w:rsid w:val="00C36C1A"/>
    <w:rsid w:val="00C36D75"/>
    <w:rsid w:val="00C371B7"/>
    <w:rsid w:val="00C40107"/>
    <w:rsid w:val="00C40165"/>
    <w:rsid w:val="00C41992"/>
    <w:rsid w:val="00C429D0"/>
    <w:rsid w:val="00C42DCE"/>
    <w:rsid w:val="00C43C91"/>
    <w:rsid w:val="00C43D68"/>
    <w:rsid w:val="00C440D3"/>
    <w:rsid w:val="00C447D3"/>
    <w:rsid w:val="00C473D4"/>
    <w:rsid w:val="00C525C7"/>
    <w:rsid w:val="00C5393F"/>
    <w:rsid w:val="00C55204"/>
    <w:rsid w:val="00C572BD"/>
    <w:rsid w:val="00C572BF"/>
    <w:rsid w:val="00C60BBF"/>
    <w:rsid w:val="00C616D8"/>
    <w:rsid w:val="00C61F9E"/>
    <w:rsid w:val="00C62023"/>
    <w:rsid w:val="00C657F2"/>
    <w:rsid w:val="00C667F5"/>
    <w:rsid w:val="00C6690D"/>
    <w:rsid w:val="00C7006A"/>
    <w:rsid w:val="00C702FA"/>
    <w:rsid w:val="00C70E9D"/>
    <w:rsid w:val="00C71E18"/>
    <w:rsid w:val="00C722BF"/>
    <w:rsid w:val="00C72D26"/>
    <w:rsid w:val="00C74D68"/>
    <w:rsid w:val="00C75A3D"/>
    <w:rsid w:val="00C7614F"/>
    <w:rsid w:val="00C76166"/>
    <w:rsid w:val="00C762FE"/>
    <w:rsid w:val="00C767FA"/>
    <w:rsid w:val="00C7680E"/>
    <w:rsid w:val="00C775CA"/>
    <w:rsid w:val="00C778C1"/>
    <w:rsid w:val="00C77DB8"/>
    <w:rsid w:val="00C82EAA"/>
    <w:rsid w:val="00C8385C"/>
    <w:rsid w:val="00C8385F"/>
    <w:rsid w:val="00C844F0"/>
    <w:rsid w:val="00C85028"/>
    <w:rsid w:val="00C85F46"/>
    <w:rsid w:val="00C86069"/>
    <w:rsid w:val="00C873C1"/>
    <w:rsid w:val="00C87B36"/>
    <w:rsid w:val="00C9069C"/>
    <w:rsid w:val="00C91EF4"/>
    <w:rsid w:val="00C922B4"/>
    <w:rsid w:val="00C9241D"/>
    <w:rsid w:val="00C92927"/>
    <w:rsid w:val="00C96AF7"/>
    <w:rsid w:val="00C96C7C"/>
    <w:rsid w:val="00C97DA8"/>
    <w:rsid w:val="00C97EC8"/>
    <w:rsid w:val="00CA06D3"/>
    <w:rsid w:val="00CA0E3F"/>
    <w:rsid w:val="00CA1F11"/>
    <w:rsid w:val="00CA3050"/>
    <w:rsid w:val="00CA39C2"/>
    <w:rsid w:val="00CA3E4E"/>
    <w:rsid w:val="00CA4311"/>
    <w:rsid w:val="00CA4412"/>
    <w:rsid w:val="00CA5329"/>
    <w:rsid w:val="00CA5358"/>
    <w:rsid w:val="00CA5454"/>
    <w:rsid w:val="00CA5593"/>
    <w:rsid w:val="00CA5C75"/>
    <w:rsid w:val="00CB0CCB"/>
    <w:rsid w:val="00CB27B9"/>
    <w:rsid w:val="00CB370A"/>
    <w:rsid w:val="00CB3FA1"/>
    <w:rsid w:val="00CB508B"/>
    <w:rsid w:val="00CB5F2C"/>
    <w:rsid w:val="00CB770C"/>
    <w:rsid w:val="00CB7D16"/>
    <w:rsid w:val="00CC097B"/>
    <w:rsid w:val="00CC2004"/>
    <w:rsid w:val="00CC5D11"/>
    <w:rsid w:val="00CD0ED5"/>
    <w:rsid w:val="00CD2F95"/>
    <w:rsid w:val="00CD3C3D"/>
    <w:rsid w:val="00CD45E4"/>
    <w:rsid w:val="00CD46BE"/>
    <w:rsid w:val="00CD53D3"/>
    <w:rsid w:val="00CD54DC"/>
    <w:rsid w:val="00CD5D0A"/>
    <w:rsid w:val="00CD75B7"/>
    <w:rsid w:val="00CDD6B2"/>
    <w:rsid w:val="00CE21A8"/>
    <w:rsid w:val="00CE30AF"/>
    <w:rsid w:val="00CE35ED"/>
    <w:rsid w:val="00CE4164"/>
    <w:rsid w:val="00CE6A95"/>
    <w:rsid w:val="00CF03C8"/>
    <w:rsid w:val="00CF14B0"/>
    <w:rsid w:val="00CF2043"/>
    <w:rsid w:val="00CF2334"/>
    <w:rsid w:val="00CF3CED"/>
    <w:rsid w:val="00CF4A00"/>
    <w:rsid w:val="00CF4A90"/>
    <w:rsid w:val="00CF5B08"/>
    <w:rsid w:val="00CF70AB"/>
    <w:rsid w:val="00CF72FC"/>
    <w:rsid w:val="00CF7C45"/>
    <w:rsid w:val="00D01174"/>
    <w:rsid w:val="00D018BF"/>
    <w:rsid w:val="00D01CE4"/>
    <w:rsid w:val="00D02831"/>
    <w:rsid w:val="00D04022"/>
    <w:rsid w:val="00D0409B"/>
    <w:rsid w:val="00D04CE4"/>
    <w:rsid w:val="00D06105"/>
    <w:rsid w:val="00D06BCC"/>
    <w:rsid w:val="00D07D2A"/>
    <w:rsid w:val="00D07D5B"/>
    <w:rsid w:val="00D10262"/>
    <w:rsid w:val="00D11727"/>
    <w:rsid w:val="00D12024"/>
    <w:rsid w:val="00D15509"/>
    <w:rsid w:val="00D15647"/>
    <w:rsid w:val="00D15B69"/>
    <w:rsid w:val="00D160AA"/>
    <w:rsid w:val="00D16153"/>
    <w:rsid w:val="00D163F5"/>
    <w:rsid w:val="00D248E9"/>
    <w:rsid w:val="00D24A1B"/>
    <w:rsid w:val="00D24B98"/>
    <w:rsid w:val="00D256BD"/>
    <w:rsid w:val="00D257C2"/>
    <w:rsid w:val="00D27A3F"/>
    <w:rsid w:val="00D3032B"/>
    <w:rsid w:val="00D3059B"/>
    <w:rsid w:val="00D30651"/>
    <w:rsid w:val="00D30702"/>
    <w:rsid w:val="00D3254B"/>
    <w:rsid w:val="00D348D9"/>
    <w:rsid w:val="00D34B38"/>
    <w:rsid w:val="00D35848"/>
    <w:rsid w:val="00D36DC7"/>
    <w:rsid w:val="00D37DB6"/>
    <w:rsid w:val="00D4087C"/>
    <w:rsid w:val="00D427D2"/>
    <w:rsid w:val="00D4365A"/>
    <w:rsid w:val="00D45190"/>
    <w:rsid w:val="00D45A76"/>
    <w:rsid w:val="00D50208"/>
    <w:rsid w:val="00D523B2"/>
    <w:rsid w:val="00D53577"/>
    <w:rsid w:val="00D53A07"/>
    <w:rsid w:val="00D559A2"/>
    <w:rsid w:val="00D56F6B"/>
    <w:rsid w:val="00D57532"/>
    <w:rsid w:val="00D60046"/>
    <w:rsid w:val="00D61C98"/>
    <w:rsid w:val="00D62E49"/>
    <w:rsid w:val="00D63339"/>
    <w:rsid w:val="00D6399E"/>
    <w:rsid w:val="00D63EC9"/>
    <w:rsid w:val="00D649D8"/>
    <w:rsid w:val="00D6653E"/>
    <w:rsid w:val="00D66ED4"/>
    <w:rsid w:val="00D70046"/>
    <w:rsid w:val="00D70967"/>
    <w:rsid w:val="00D7188E"/>
    <w:rsid w:val="00D71FFB"/>
    <w:rsid w:val="00D73083"/>
    <w:rsid w:val="00D7310B"/>
    <w:rsid w:val="00D74076"/>
    <w:rsid w:val="00D74C76"/>
    <w:rsid w:val="00D756C9"/>
    <w:rsid w:val="00D75962"/>
    <w:rsid w:val="00D80BDA"/>
    <w:rsid w:val="00D817B0"/>
    <w:rsid w:val="00D82308"/>
    <w:rsid w:val="00D84759"/>
    <w:rsid w:val="00D84DB3"/>
    <w:rsid w:val="00D85D59"/>
    <w:rsid w:val="00D86D5C"/>
    <w:rsid w:val="00D8710C"/>
    <w:rsid w:val="00D90494"/>
    <w:rsid w:val="00D9214C"/>
    <w:rsid w:val="00D93073"/>
    <w:rsid w:val="00D939F5"/>
    <w:rsid w:val="00D9552E"/>
    <w:rsid w:val="00D966A0"/>
    <w:rsid w:val="00D97A87"/>
    <w:rsid w:val="00DA09CE"/>
    <w:rsid w:val="00DA15F7"/>
    <w:rsid w:val="00DA1BB9"/>
    <w:rsid w:val="00DA20CD"/>
    <w:rsid w:val="00DA3620"/>
    <w:rsid w:val="00DA3844"/>
    <w:rsid w:val="00DA3E0D"/>
    <w:rsid w:val="00DA40E5"/>
    <w:rsid w:val="00DA444E"/>
    <w:rsid w:val="00DA4BBF"/>
    <w:rsid w:val="00DA751D"/>
    <w:rsid w:val="00DA7C4F"/>
    <w:rsid w:val="00DB16F2"/>
    <w:rsid w:val="00DB1EAD"/>
    <w:rsid w:val="00DB26D7"/>
    <w:rsid w:val="00DB5578"/>
    <w:rsid w:val="00DC1ADE"/>
    <w:rsid w:val="00DC1B8F"/>
    <w:rsid w:val="00DC471A"/>
    <w:rsid w:val="00DC4E67"/>
    <w:rsid w:val="00DC6A74"/>
    <w:rsid w:val="00DC7DEC"/>
    <w:rsid w:val="00DD081A"/>
    <w:rsid w:val="00DD378D"/>
    <w:rsid w:val="00DD5CB4"/>
    <w:rsid w:val="00DD6C03"/>
    <w:rsid w:val="00DE0242"/>
    <w:rsid w:val="00DE046C"/>
    <w:rsid w:val="00DE0907"/>
    <w:rsid w:val="00DE1D7F"/>
    <w:rsid w:val="00DE28A2"/>
    <w:rsid w:val="00DE33A1"/>
    <w:rsid w:val="00DE370B"/>
    <w:rsid w:val="00DE596F"/>
    <w:rsid w:val="00DE670F"/>
    <w:rsid w:val="00DE7EC3"/>
    <w:rsid w:val="00DF07F9"/>
    <w:rsid w:val="00DF0B33"/>
    <w:rsid w:val="00DF0CE5"/>
    <w:rsid w:val="00DF1DE3"/>
    <w:rsid w:val="00DF2232"/>
    <w:rsid w:val="00DF271B"/>
    <w:rsid w:val="00DF2B72"/>
    <w:rsid w:val="00DF31D9"/>
    <w:rsid w:val="00DF3E63"/>
    <w:rsid w:val="00DF44F7"/>
    <w:rsid w:val="00DF47D5"/>
    <w:rsid w:val="00DF68EC"/>
    <w:rsid w:val="00DF6EC6"/>
    <w:rsid w:val="00DF7235"/>
    <w:rsid w:val="00DF723D"/>
    <w:rsid w:val="00DF7A44"/>
    <w:rsid w:val="00E0041B"/>
    <w:rsid w:val="00E024D2"/>
    <w:rsid w:val="00E02650"/>
    <w:rsid w:val="00E04614"/>
    <w:rsid w:val="00E046F0"/>
    <w:rsid w:val="00E05348"/>
    <w:rsid w:val="00E0760F"/>
    <w:rsid w:val="00E07AB0"/>
    <w:rsid w:val="00E07D09"/>
    <w:rsid w:val="00E1207F"/>
    <w:rsid w:val="00E136B1"/>
    <w:rsid w:val="00E13A6F"/>
    <w:rsid w:val="00E13B98"/>
    <w:rsid w:val="00E14814"/>
    <w:rsid w:val="00E1493B"/>
    <w:rsid w:val="00E1597C"/>
    <w:rsid w:val="00E220CD"/>
    <w:rsid w:val="00E23D26"/>
    <w:rsid w:val="00E24DD5"/>
    <w:rsid w:val="00E2500E"/>
    <w:rsid w:val="00E251F1"/>
    <w:rsid w:val="00E2528F"/>
    <w:rsid w:val="00E260D4"/>
    <w:rsid w:val="00E26227"/>
    <w:rsid w:val="00E26CEA"/>
    <w:rsid w:val="00E27303"/>
    <w:rsid w:val="00E30510"/>
    <w:rsid w:val="00E31344"/>
    <w:rsid w:val="00E31378"/>
    <w:rsid w:val="00E320E3"/>
    <w:rsid w:val="00E32309"/>
    <w:rsid w:val="00E33D9B"/>
    <w:rsid w:val="00E34458"/>
    <w:rsid w:val="00E34F28"/>
    <w:rsid w:val="00E35403"/>
    <w:rsid w:val="00E36F21"/>
    <w:rsid w:val="00E44EF3"/>
    <w:rsid w:val="00E47B28"/>
    <w:rsid w:val="00E500D8"/>
    <w:rsid w:val="00E53D4F"/>
    <w:rsid w:val="00E53EBF"/>
    <w:rsid w:val="00E55306"/>
    <w:rsid w:val="00E5668D"/>
    <w:rsid w:val="00E569C4"/>
    <w:rsid w:val="00E572EC"/>
    <w:rsid w:val="00E57305"/>
    <w:rsid w:val="00E614E9"/>
    <w:rsid w:val="00E61B20"/>
    <w:rsid w:val="00E623EB"/>
    <w:rsid w:val="00E6315E"/>
    <w:rsid w:val="00E63293"/>
    <w:rsid w:val="00E63331"/>
    <w:rsid w:val="00E66184"/>
    <w:rsid w:val="00E67F05"/>
    <w:rsid w:val="00E718BC"/>
    <w:rsid w:val="00E71938"/>
    <w:rsid w:val="00E71ED5"/>
    <w:rsid w:val="00E72E63"/>
    <w:rsid w:val="00E7311A"/>
    <w:rsid w:val="00E75A01"/>
    <w:rsid w:val="00E76652"/>
    <w:rsid w:val="00E7730D"/>
    <w:rsid w:val="00E80F68"/>
    <w:rsid w:val="00E82F4D"/>
    <w:rsid w:val="00E82FA6"/>
    <w:rsid w:val="00E8360B"/>
    <w:rsid w:val="00E84F54"/>
    <w:rsid w:val="00E852FA"/>
    <w:rsid w:val="00E854A0"/>
    <w:rsid w:val="00E85C8A"/>
    <w:rsid w:val="00E8712C"/>
    <w:rsid w:val="00E91335"/>
    <w:rsid w:val="00E919B9"/>
    <w:rsid w:val="00E92807"/>
    <w:rsid w:val="00E935DC"/>
    <w:rsid w:val="00E94374"/>
    <w:rsid w:val="00E94567"/>
    <w:rsid w:val="00E95C0B"/>
    <w:rsid w:val="00E961F9"/>
    <w:rsid w:val="00E97987"/>
    <w:rsid w:val="00EA0504"/>
    <w:rsid w:val="00EA20B0"/>
    <w:rsid w:val="00EA2D4C"/>
    <w:rsid w:val="00EA2FDC"/>
    <w:rsid w:val="00EA3598"/>
    <w:rsid w:val="00EA593A"/>
    <w:rsid w:val="00EA68EF"/>
    <w:rsid w:val="00EB0664"/>
    <w:rsid w:val="00EB1A0D"/>
    <w:rsid w:val="00EB2663"/>
    <w:rsid w:val="00EB29DF"/>
    <w:rsid w:val="00EB3DD7"/>
    <w:rsid w:val="00EB5F8C"/>
    <w:rsid w:val="00EB6505"/>
    <w:rsid w:val="00EB6A97"/>
    <w:rsid w:val="00EC0172"/>
    <w:rsid w:val="00EC1850"/>
    <w:rsid w:val="00EC1871"/>
    <w:rsid w:val="00EC3940"/>
    <w:rsid w:val="00EC4F0C"/>
    <w:rsid w:val="00EC5392"/>
    <w:rsid w:val="00EC596F"/>
    <w:rsid w:val="00EC5E14"/>
    <w:rsid w:val="00EC73A1"/>
    <w:rsid w:val="00EC74D6"/>
    <w:rsid w:val="00EC7D7C"/>
    <w:rsid w:val="00EC7EF8"/>
    <w:rsid w:val="00ED108E"/>
    <w:rsid w:val="00ED1C71"/>
    <w:rsid w:val="00ED27A2"/>
    <w:rsid w:val="00ED3525"/>
    <w:rsid w:val="00ED35D8"/>
    <w:rsid w:val="00ED3849"/>
    <w:rsid w:val="00ED4178"/>
    <w:rsid w:val="00ED4808"/>
    <w:rsid w:val="00ED4CBF"/>
    <w:rsid w:val="00ED577A"/>
    <w:rsid w:val="00ED62F2"/>
    <w:rsid w:val="00ED7A33"/>
    <w:rsid w:val="00ED7B6C"/>
    <w:rsid w:val="00EDA9C4"/>
    <w:rsid w:val="00EE13E8"/>
    <w:rsid w:val="00EE2F23"/>
    <w:rsid w:val="00EE31AA"/>
    <w:rsid w:val="00EE4056"/>
    <w:rsid w:val="00EE4E20"/>
    <w:rsid w:val="00EE61A2"/>
    <w:rsid w:val="00EE67D6"/>
    <w:rsid w:val="00EF007F"/>
    <w:rsid w:val="00EF1602"/>
    <w:rsid w:val="00EF25B2"/>
    <w:rsid w:val="00EF4431"/>
    <w:rsid w:val="00EF4F0C"/>
    <w:rsid w:val="00EF58C6"/>
    <w:rsid w:val="00F00170"/>
    <w:rsid w:val="00F0063D"/>
    <w:rsid w:val="00F0081B"/>
    <w:rsid w:val="00F0121C"/>
    <w:rsid w:val="00F016A2"/>
    <w:rsid w:val="00F03638"/>
    <w:rsid w:val="00F03B18"/>
    <w:rsid w:val="00F047B0"/>
    <w:rsid w:val="00F047D3"/>
    <w:rsid w:val="00F05C32"/>
    <w:rsid w:val="00F10078"/>
    <w:rsid w:val="00F10AEE"/>
    <w:rsid w:val="00F136C3"/>
    <w:rsid w:val="00F13AD0"/>
    <w:rsid w:val="00F141B2"/>
    <w:rsid w:val="00F14934"/>
    <w:rsid w:val="00F14D5E"/>
    <w:rsid w:val="00F14E9A"/>
    <w:rsid w:val="00F1521C"/>
    <w:rsid w:val="00F16AF3"/>
    <w:rsid w:val="00F16DE9"/>
    <w:rsid w:val="00F20A75"/>
    <w:rsid w:val="00F20F9A"/>
    <w:rsid w:val="00F212C1"/>
    <w:rsid w:val="00F22D58"/>
    <w:rsid w:val="00F22EA2"/>
    <w:rsid w:val="00F24239"/>
    <w:rsid w:val="00F242ED"/>
    <w:rsid w:val="00F246C2"/>
    <w:rsid w:val="00F24959"/>
    <w:rsid w:val="00F24C6D"/>
    <w:rsid w:val="00F258FB"/>
    <w:rsid w:val="00F25B6D"/>
    <w:rsid w:val="00F274EC"/>
    <w:rsid w:val="00F27BA5"/>
    <w:rsid w:val="00F31997"/>
    <w:rsid w:val="00F32ADC"/>
    <w:rsid w:val="00F32D99"/>
    <w:rsid w:val="00F35960"/>
    <w:rsid w:val="00F366F9"/>
    <w:rsid w:val="00F36AF7"/>
    <w:rsid w:val="00F36DAC"/>
    <w:rsid w:val="00F37827"/>
    <w:rsid w:val="00F379E9"/>
    <w:rsid w:val="00F41274"/>
    <w:rsid w:val="00F435D6"/>
    <w:rsid w:val="00F44B3B"/>
    <w:rsid w:val="00F44BCB"/>
    <w:rsid w:val="00F45489"/>
    <w:rsid w:val="00F45A40"/>
    <w:rsid w:val="00F45DD9"/>
    <w:rsid w:val="00F52147"/>
    <w:rsid w:val="00F5309E"/>
    <w:rsid w:val="00F530DD"/>
    <w:rsid w:val="00F5312E"/>
    <w:rsid w:val="00F53BCD"/>
    <w:rsid w:val="00F54D63"/>
    <w:rsid w:val="00F56AE6"/>
    <w:rsid w:val="00F57C2D"/>
    <w:rsid w:val="00F57C96"/>
    <w:rsid w:val="00F60368"/>
    <w:rsid w:val="00F60D1F"/>
    <w:rsid w:val="00F61D69"/>
    <w:rsid w:val="00F62BAB"/>
    <w:rsid w:val="00F631D6"/>
    <w:rsid w:val="00F63A00"/>
    <w:rsid w:val="00F63C6E"/>
    <w:rsid w:val="00F64A43"/>
    <w:rsid w:val="00F64C44"/>
    <w:rsid w:val="00F65834"/>
    <w:rsid w:val="00F66A00"/>
    <w:rsid w:val="00F679BD"/>
    <w:rsid w:val="00F70344"/>
    <w:rsid w:val="00F7085E"/>
    <w:rsid w:val="00F71DB8"/>
    <w:rsid w:val="00F71FDA"/>
    <w:rsid w:val="00F72256"/>
    <w:rsid w:val="00F72956"/>
    <w:rsid w:val="00F72A11"/>
    <w:rsid w:val="00F73C50"/>
    <w:rsid w:val="00F741FE"/>
    <w:rsid w:val="00F74727"/>
    <w:rsid w:val="00F766A6"/>
    <w:rsid w:val="00F820C9"/>
    <w:rsid w:val="00F8276F"/>
    <w:rsid w:val="00F8291A"/>
    <w:rsid w:val="00F862BC"/>
    <w:rsid w:val="00F87BEC"/>
    <w:rsid w:val="00F9041F"/>
    <w:rsid w:val="00F91219"/>
    <w:rsid w:val="00F91E35"/>
    <w:rsid w:val="00F925DB"/>
    <w:rsid w:val="00F926FA"/>
    <w:rsid w:val="00F93360"/>
    <w:rsid w:val="00F93838"/>
    <w:rsid w:val="00F9438E"/>
    <w:rsid w:val="00F95A09"/>
    <w:rsid w:val="00FA06B7"/>
    <w:rsid w:val="00FA08A8"/>
    <w:rsid w:val="00FA18C9"/>
    <w:rsid w:val="00FA1DEE"/>
    <w:rsid w:val="00FA22E8"/>
    <w:rsid w:val="00FA2782"/>
    <w:rsid w:val="00FA36BF"/>
    <w:rsid w:val="00FA3BBE"/>
    <w:rsid w:val="00FA3CF6"/>
    <w:rsid w:val="00FA47F2"/>
    <w:rsid w:val="00FA4B43"/>
    <w:rsid w:val="00FA59AC"/>
    <w:rsid w:val="00FA661C"/>
    <w:rsid w:val="00FA6C6E"/>
    <w:rsid w:val="00FB1166"/>
    <w:rsid w:val="00FB1A15"/>
    <w:rsid w:val="00FB1C42"/>
    <w:rsid w:val="00FB2606"/>
    <w:rsid w:val="00FB2D58"/>
    <w:rsid w:val="00FB3B5D"/>
    <w:rsid w:val="00FB4A36"/>
    <w:rsid w:val="00FB5859"/>
    <w:rsid w:val="00FB5BCF"/>
    <w:rsid w:val="00FB6CFB"/>
    <w:rsid w:val="00FC1C73"/>
    <w:rsid w:val="00FC2697"/>
    <w:rsid w:val="00FC31B5"/>
    <w:rsid w:val="00FC3794"/>
    <w:rsid w:val="00FC3F45"/>
    <w:rsid w:val="00FC41BA"/>
    <w:rsid w:val="00FC54F9"/>
    <w:rsid w:val="00FC57CA"/>
    <w:rsid w:val="00FC5A97"/>
    <w:rsid w:val="00FC60D9"/>
    <w:rsid w:val="00FC7C6A"/>
    <w:rsid w:val="00FC7F7B"/>
    <w:rsid w:val="00FD0386"/>
    <w:rsid w:val="00FD0AC1"/>
    <w:rsid w:val="00FD1844"/>
    <w:rsid w:val="00FD2103"/>
    <w:rsid w:val="00FD240D"/>
    <w:rsid w:val="00FD2DC6"/>
    <w:rsid w:val="00FD314C"/>
    <w:rsid w:val="00FD3A52"/>
    <w:rsid w:val="00FD4A1C"/>
    <w:rsid w:val="00FD517D"/>
    <w:rsid w:val="00FD52B9"/>
    <w:rsid w:val="00FD6CFC"/>
    <w:rsid w:val="00FD70D7"/>
    <w:rsid w:val="00FD751C"/>
    <w:rsid w:val="00FE112B"/>
    <w:rsid w:val="00FE1D73"/>
    <w:rsid w:val="00FE3CC2"/>
    <w:rsid w:val="00FE4095"/>
    <w:rsid w:val="00FE4B3C"/>
    <w:rsid w:val="00FE51F7"/>
    <w:rsid w:val="00FE6706"/>
    <w:rsid w:val="00FE6AE6"/>
    <w:rsid w:val="00FE7A2B"/>
    <w:rsid w:val="00FF01CD"/>
    <w:rsid w:val="00FF0230"/>
    <w:rsid w:val="00FF1DE5"/>
    <w:rsid w:val="00FF1FEC"/>
    <w:rsid w:val="00FF2506"/>
    <w:rsid w:val="00FF293F"/>
    <w:rsid w:val="00FF2F2D"/>
    <w:rsid w:val="00FF2FDC"/>
    <w:rsid w:val="00FF3360"/>
    <w:rsid w:val="00FF3C15"/>
    <w:rsid w:val="00FF3F96"/>
    <w:rsid w:val="00FF407F"/>
    <w:rsid w:val="00FF4281"/>
    <w:rsid w:val="00FF4566"/>
    <w:rsid w:val="00FF5F5F"/>
    <w:rsid w:val="00FF7FC6"/>
    <w:rsid w:val="01AB909F"/>
    <w:rsid w:val="01E454B5"/>
    <w:rsid w:val="0258CF04"/>
    <w:rsid w:val="02A9BE98"/>
    <w:rsid w:val="02DE932A"/>
    <w:rsid w:val="02DFAB59"/>
    <w:rsid w:val="02EC348C"/>
    <w:rsid w:val="030B2A54"/>
    <w:rsid w:val="035BDA77"/>
    <w:rsid w:val="044519DB"/>
    <w:rsid w:val="0484EF90"/>
    <w:rsid w:val="0486AF8B"/>
    <w:rsid w:val="04D44ED9"/>
    <w:rsid w:val="04FE22AC"/>
    <w:rsid w:val="054A2591"/>
    <w:rsid w:val="0623112C"/>
    <w:rsid w:val="06257E38"/>
    <w:rsid w:val="06B147BB"/>
    <w:rsid w:val="06B57786"/>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A40A637"/>
    <w:rsid w:val="0A753799"/>
    <w:rsid w:val="0A87E16D"/>
    <w:rsid w:val="0B1EB326"/>
    <w:rsid w:val="0B73FC21"/>
    <w:rsid w:val="0BA89948"/>
    <w:rsid w:val="0BC4815A"/>
    <w:rsid w:val="0C486F95"/>
    <w:rsid w:val="0C7986A5"/>
    <w:rsid w:val="0CD0EAFA"/>
    <w:rsid w:val="0D1D4F7C"/>
    <w:rsid w:val="0D28E840"/>
    <w:rsid w:val="0D2BB3F1"/>
    <w:rsid w:val="0D4365DC"/>
    <w:rsid w:val="0D5E85C1"/>
    <w:rsid w:val="0D88940A"/>
    <w:rsid w:val="0DBD1968"/>
    <w:rsid w:val="0E12E4DB"/>
    <w:rsid w:val="0E33E6F7"/>
    <w:rsid w:val="0E4EE9E4"/>
    <w:rsid w:val="0E8AA526"/>
    <w:rsid w:val="0ECA9721"/>
    <w:rsid w:val="0F59818C"/>
    <w:rsid w:val="101B0ED8"/>
    <w:rsid w:val="102CD914"/>
    <w:rsid w:val="1038B65A"/>
    <w:rsid w:val="108CCAB6"/>
    <w:rsid w:val="109829A3"/>
    <w:rsid w:val="10A9CB14"/>
    <w:rsid w:val="10C926D5"/>
    <w:rsid w:val="11059A15"/>
    <w:rsid w:val="113832EA"/>
    <w:rsid w:val="11EAAD5B"/>
    <w:rsid w:val="1210D33F"/>
    <w:rsid w:val="1232775E"/>
    <w:rsid w:val="1238548E"/>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815FC5"/>
    <w:rsid w:val="15EFE3F7"/>
    <w:rsid w:val="16B0F29B"/>
    <w:rsid w:val="1702FD74"/>
    <w:rsid w:val="174A28A8"/>
    <w:rsid w:val="1769EAD8"/>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A97C11"/>
    <w:rsid w:val="1AD38400"/>
    <w:rsid w:val="1B11A42C"/>
    <w:rsid w:val="1B1F6320"/>
    <w:rsid w:val="1B74D37B"/>
    <w:rsid w:val="1BCB5CF7"/>
    <w:rsid w:val="1BF4746B"/>
    <w:rsid w:val="1C0E2583"/>
    <w:rsid w:val="1C167C8D"/>
    <w:rsid w:val="1C82EF8C"/>
    <w:rsid w:val="1CBDE180"/>
    <w:rsid w:val="1CDC8C10"/>
    <w:rsid w:val="1D55E60F"/>
    <w:rsid w:val="1D8D2DF7"/>
    <w:rsid w:val="1DCB8630"/>
    <w:rsid w:val="1DD48AE5"/>
    <w:rsid w:val="1DF0C9F6"/>
    <w:rsid w:val="1E230930"/>
    <w:rsid w:val="1E3A1CE9"/>
    <w:rsid w:val="1E7F9236"/>
    <w:rsid w:val="1E83ED16"/>
    <w:rsid w:val="1ED9B911"/>
    <w:rsid w:val="1EE92B10"/>
    <w:rsid w:val="1F0F4D4E"/>
    <w:rsid w:val="1F0FAD78"/>
    <w:rsid w:val="1FDA9C37"/>
    <w:rsid w:val="20631160"/>
    <w:rsid w:val="207491B3"/>
    <w:rsid w:val="207A05E7"/>
    <w:rsid w:val="2093D1DE"/>
    <w:rsid w:val="215991CD"/>
    <w:rsid w:val="21A16139"/>
    <w:rsid w:val="22C775EE"/>
    <w:rsid w:val="2323A897"/>
    <w:rsid w:val="2341730C"/>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794D81"/>
    <w:rsid w:val="2787984C"/>
    <w:rsid w:val="27FADABA"/>
    <w:rsid w:val="281E9957"/>
    <w:rsid w:val="28314BCD"/>
    <w:rsid w:val="283D2548"/>
    <w:rsid w:val="288BCC63"/>
    <w:rsid w:val="28B20FA1"/>
    <w:rsid w:val="28BABC9B"/>
    <w:rsid w:val="28D4F27B"/>
    <w:rsid w:val="28F0F60F"/>
    <w:rsid w:val="28F69A7A"/>
    <w:rsid w:val="29723C88"/>
    <w:rsid w:val="297DE3B9"/>
    <w:rsid w:val="2A2E9BAF"/>
    <w:rsid w:val="2A46CA77"/>
    <w:rsid w:val="2A6A5A58"/>
    <w:rsid w:val="2A7EF2B7"/>
    <w:rsid w:val="2A8C656A"/>
    <w:rsid w:val="2A98DA23"/>
    <w:rsid w:val="2ABBBDF8"/>
    <w:rsid w:val="2B127F39"/>
    <w:rsid w:val="2B9B73AC"/>
    <w:rsid w:val="2BAA488A"/>
    <w:rsid w:val="2BB9A296"/>
    <w:rsid w:val="2C4686E9"/>
    <w:rsid w:val="2C9C0F0F"/>
    <w:rsid w:val="2CAB7022"/>
    <w:rsid w:val="2CCC09DD"/>
    <w:rsid w:val="2CF2D903"/>
    <w:rsid w:val="2D11515D"/>
    <w:rsid w:val="2D177317"/>
    <w:rsid w:val="2D4CE486"/>
    <w:rsid w:val="2D915C9D"/>
    <w:rsid w:val="2D974958"/>
    <w:rsid w:val="2E0BDAD8"/>
    <w:rsid w:val="2E99D2FF"/>
    <w:rsid w:val="2EA363E8"/>
    <w:rsid w:val="2ECFFFDC"/>
    <w:rsid w:val="2ED53C22"/>
    <w:rsid w:val="2EDDF16E"/>
    <w:rsid w:val="2EEE02F9"/>
    <w:rsid w:val="2F55E5F0"/>
    <w:rsid w:val="2F8BF8F1"/>
    <w:rsid w:val="2FC7D62E"/>
    <w:rsid w:val="301B95F6"/>
    <w:rsid w:val="304C2D01"/>
    <w:rsid w:val="3066DA71"/>
    <w:rsid w:val="30730FB3"/>
    <w:rsid w:val="30CC31DA"/>
    <w:rsid w:val="30FE978F"/>
    <w:rsid w:val="311B949F"/>
    <w:rsid w:val="312ACA42"/>
    <w:rsid w:val="31E4E99D"/>
    <w:rsid w:val="32ABA8F7"/>
    <w:rsid w:val="32E13D00"/>
    <w:rsid w:val="32EFF52D"/>
    <w:rsid w:val="330628AB"/>
    <w:rsid w:val="33141142"/>
    <w:rsid w:val="331DF570"/>
    <w:rsid w:val="337E4458"/>
    <w:rsid w:val="33850CD7"/>
    <w:rsid w:val="343AEBD4"/>
    <w:rsid w:val="35052830"/>
    <w:rsid w:val="3548918A"/>
    <w:rsid w:val="35ABB980"/>
    <w:rsid w:val="3604EBBD"/>
    <w:rsid w:val="3610FEDA"/>
    <w:rsid w:val="3655307C"/>
    <w:rsid w:val="368163FA"/>
    <w:rsid w:val="3696A66B"/>
    <w:rsid w:val="36A05D9D"/>
    <w:rsid w:val="36AAB594"/>
    <w:rsid w:val="3724E6AC"/>
    <w:rsid w:val="3729FC74"/>
    <w:rsid w:val="374FEED9"/>
    <w:rsid w:val="3755CEB6"/>
    <w:rsid w:val="37619AE7"/>
    <w:rsid w:val="37ACCF3B"/>
    <w:rsid w:val="37DE865F"/>
    <w:rsid w:val="380E7474"/>
    <w:rsid w:val="38186DBF"/>
    <w:rsid w:val="387CC8E8"/>
    <w:rsid w:val="38B6044A"/>
    <w:rsid w:val="39101E3C"/>
    <w:rsid w:val="391928B7"/>
    <w:rsid w:val="39442B7A"/>
    <w:rsid w:val="3954EC07"/>
    <w:rsid w:val="395D88E4"/>
    <w:rsid w:val="3973A0C5"/>
    <w:rsid w:val="39741DAB"/>
    <w:rsid w:val="39968AA0"/>
    <w:rsid w:val="39EAF4FF"/>
    <w:rsid w:val="3A2CF203"/>
    <w:rsid w:val="3AA6FF96"/>
    <w:rsid w:val="3AAAB569"/>
    <w:rsid w:val="3AE9C137"/>
    <w:rsid w:val="3B12A8CD"/>
    <w:rsid w:val="3B1699CF"/>
    <w:rsid w:val="3B52F5B1"/>
    <w:rsid w:val="3B72087A"/>
    <w:rsid w:val="3B7BC6A3"/>
    <w:rsid w:val="3B7DE5CA"/>
    <w:rsid w:val="3B9B35A6"/>
    <w:rsid w:val="3BE2D835"/>
    <w:rsid w:val="3C573EEB"/>
    <w:rsid w:val="3CC81AE4"/>
    <w:rsid w:val="3CF46E9C"/>
    <w:rsid w:val="3D2DA574"/>
    <w:rsid w:val="3D984075"/>
    <w:rsid w:val="3DB24E8C"/>
    <w:rsid w:val="3DFAF6C3"/>
    <w:rsid w:val="3E0CFB77"/>
    <w:rsid w:val="3E601002"/>
    <w:rsid w:val="3E8523F4"/>
    <w:rsid w:val="3E92B0D0"/>
    <w:rsid w:val="3E984149"/>
    <w:rsid w:val="3EA0C3AA"/>
    <w:rsid w:val="3EB22607"/>
    <w:rsid w:val="3ECA781C"/>
    <w:rsid w:val="3EDF50FC"/>
    <w:rsid w:val="3EF0654C"/>
    <w:rsid w:val="3EF8F3DE"/>
    <w:rsid w:val="3F15E37A"/>
    <w:rsid w:val="3F3B48F6"/>
    <w:rsid w:val="3F750048"/>
    <w:rsid w:val="3FF7A6BD"/>
    <w:rsid w:val="400F59E5"/>
    <w:rsid w:val="402853A4"/>
    <w:rsid w:val="40586ABC"/>
    <w:rsid w:val="4071FE3F"/>
    <w:rsid w:val="408AE034"/>
    <w:rsid w:val="40AB95D6"/>
    <w:rsid w:val="40EAB9C9"/>
    <w:rsid w:val="413F3379"/>
    <w:rsid w:val="41611209"/>
    <w:rsid w:val="417092C0"/>
    <w:rsid w:val="41CED3B6"/>
    <w:rsid w:val="420218DE"/>
    <w:rsid w:val="422EDE45"/>
    <w:rsid w:val="428824E9"/>
    <w:rsid w:val="42E2864B"/>
    <w:rsid w:val="42FA73DB"/>
    <w:rsid w:val="4344DE45"/>
    <w:rsid w:val="438D78E0"/>
    <w:rsid w:val="43DD8C28"/>
    <w:rsid w:val="44125B97"/>
    <w:rsid w:val="442677FE"/>
    <w:rsid w:val="446270FC"/>
    <w:rsid w:val="448BA766"/>
    <w:rsid w:val="44AE02FE"/>
    <w:rsid w:val="44B84D5C"/>
    <w:rsid w:val="44EB5FA0"/>
    <w:rsid w:val="44EC2DF0"/>
    <w:rsid w:val="453C9578"/>
    <w:rsid w:val="4552D56A"/>
    <w:rsid w:val="456D71AA"/>
    <w:rsid w:val="456E4F3B"/>
    <w:rsid w:val="45A5527B"/>
    <w:rsid w:val="462C5668"/>
    <w:rsid w:val="46B69FF4"/>
    <w:rsid w:val="4739B613"/>
    <w:rsid w:val="475AF7D2"/>
    <w:rsid w:val="476FB56D"/>
    <w:rsid w:val="4786CFC2"/>
    <w:rsid w:val="47E4CE05"/>
    <w:rsid w:val="47F3B709"/>
    <w:rsid w:val="4807F95A"/>
    <w:rsid w:val="4823BF34"/>
    <w:rsid w:val="48280898"/>
    <w:rsid w:val="4828D523"/>
    <w:rsid w:val="48456106"/>
    <w:rsid w:val="48FC60EE"/>
    <w:rsid w:val="48FFD0B3"/>
    <w:rsid w:val="4989ADCB"/>
    <w:rsid w:val="4993C11D"/>
    <w:rsid w:val="49D4C234"/>
    <w:rsid w:val="4A6185F5"/>
    <w:rsid w:val="4A8815C7"/>
    <w:rsid w:val="4AAD68D7"/>
    <w:rsid w:val="4AC6EF36"/>
    <w:rsid w:val="4ACAB524"/>
    <w:rsid w:val="4B4E06A3"/>
    <w:rsid w:val="4B595EC2"/>
    <w:rsid w:val="4B5ACA17"/>
    <w:rsid w:val="4B5B4531"/>
    <w:rsid w:val="4BA94FD4"/>
    <w:rsid w:val="4BB9E525"/>
    <w:rsid w:val="4BBEF670"/>
    <w:rsid w:val="4C0AF91C"/>
    <w:rsid w:val="4C1FFDB1"/>
    <w:rsid w:val="4C6B7F2C"/>
    <w:rsid w:val="4C757ECA"/>
    <w:rsid w:val="4C88B57F"/>
    <w:rsid w:val="4C9D3F17"/>
    <w:rsid w:val="4CB96AAF"/>
    <w:rsid w:val="4CD151D1"/>
    <w:rsid w:val="4D0FE561"/>
    <w:rsid w:val="4D479261"/>
    <w:rsid w:val="4D6125A8"/>
    <w:rsid w:val="4DD1BF14"/>
    <w:rsid w:val="4DDC64D1"/>
    <w:rsid w:val="4E443C59"/>
    <w:rsid w:val="4EB69BFD"/>
    <w:rsid w:val="4EF763C9"/>
    <w:rsid w:val="4F250C6D"/>
    <w:rsid w:val="4F74DDC8"/>
    <w:rsid w:val="4F97C489"/>
    <w:rsid w:val="4FB72212"/>
    <w:rsid w:val="4FE0CFB1"/>
    <w:rsid w:val="501C200C"/>
    <w:rsid w:val="5036E116"/>
    <w:rsid w:val="505C8C64"/>
    <w:rsid w:val="50934933"/>
    <w:rsid w:val="51246D7D"/>
    <w:rsid w:val="51398CB7"/>
    <w:rsid w:val="515B5B29"/>
    <w:rsid w:val="51BA513E"/>
    <w:rsid w:val="52664D9D"/>
    <w:rsid w:val="5329E40A"/>
    <w:rsid w:val="53C5561B"/>
    <w:rsid w:val="53E9CADB"/>
    <w:rsid w:val="5483554A"/>
    <w:rsid w:val="5498D10E"/>
    <w:rsid w:val="55252E16"/>
    <w:rsid w:val="55450B2A"/>
    <w:rsid w:val="554C7ABF"/>
    <w:rsid w:val="5584E44B"/>
    <w:rsid w:val="559150D2"/>
    <w:rsid w:val="55C536F2"/>
    <w:rsid w:val="561E7848"/>
    <w:rsid w:val="5687E78C"/>
    <w:rsid w:val="56C6CF5E"/>
    <w:rsid w:val="56D08C22"/>
    <w:rsid w:val="56F35169"/>
    <w:rsid w:val="56F3D38E"/>
    <w:rsid w:val="56F55229"/>
    <w:rsid w:val="56F56498"/>
    <w:rsid w:val="571B878A"/>
    <w:rsid w:val="5755665A"/>
    <w:rsid w:val="5762642E"/>
    <w:rsid w:val="582F5C24"/>
    <w:rsid w:val="58B68E5C"/>
    <w:rsid w:val="58FC9494"/>
    <w:rsid w:val="5903759E"/>
    <w:rsid w:val="593FF4B6"/>
    <w:rsid w:val="59562E41"/>
    <w:rsid w:val="5977A378"/>
    <w:rsid w:val="59FB5A0E"/>
    <w:rsid w:val="59FF3ADB"/>
    <w:rsid w:val="5B3497C3"/>
    <w:rsid w:val="5B433C4C"/>
    <w:rsid w:val="5B5F2654"/>
    <w:rsid w:val="5C15FC3F"/>
    <w:rsid w:val="5CD7C861"/>
    <w:rsid w:val="5D07045D"/>
    <w:rsid w:val="5D216748"/>
    <w:rsid w:val="5D250D0E"/>
    <w:rsid w:val="5D815076"/>
    <w:rsid w:val="5DB9B441"/>
    <w:rsid w:val="5DFD25E0"/>
    <w:rsid w:val="5E712BD8"/>
    <w:rsid w:val="5ED003D5"/>
    <w:rsid w:val="5ED4E1FD"/>
    <w:rsid w:val="5EE1C5E4"/>
    <w:rsid w:val="60571C4C"/>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4010836"/>
    <w:rsid w:val="642DBA7D"/>
    <w:rsid w:val="64324171"/>
    <w:rsid w:val="6476823A"/>
    <w:rsid w:val="64A8907B"/>
    <w:rsid w:val="64C0AC4A"/>
    <w:rsid w:val="64D736EC"/>
    <w:rsid w:val="64DB17E8"/>
    <w:rsid w:val="64ECE4E7"/>
    <w:rsid w:val="65A93A4D"/>
    <w:rsid w:val="65C96752"/>
    <w:rsid w:val="65E5FA29"/>
    <w:rsid w:val="662BA9D0"/>
    <w:rsid w:val="662F1C27"/>
    <w:rsid w:val="666FD86C"/>
    <w:rsid w:val="66C47030"/>
    <w:rsid w:val="66F460DD"/>
    <w:rsid w:val="6763602C"/>
    <w:rsid w:val="67D29F64"/>
    <w:rsid w:val="67DCBF1D"/>
    <w:rsid w:val="67ECDC58"/>
    <w:rsid w:val="6849D730"/>
    <w:rsid w:val="6862D731"/>
    <w:rsid w:val="68CCAE3A"/>
    <w:rsid w:val="69140313"/>
    <w:rsid w:val="69187368"/>
    <w:rsid w:val="699A819D"/>
    <w:rsid w:val="699EA06C"/>
    <w:rsid w:val="69F30E21"/>
    <w:rsid w:val="6A21EA1B"/>
    <w:rsid w:val="6A358A9B"/>
    <w:rsid w:val="6A3CC4D1"/>
    <w:rsid w:val="6A4D331C"/>
    <w:rsid w:val="6AC7C3E8"/>
    <w:rsid w:val="6B093ACF"/>
    <w:rsid w:val="6B420069"/>
    <w:rsid w:val="6B4C9BE8"/>
    <w:rsid w:val="6B753E26"/>
    <w:rsid w:val="6B7DA8F3"/>
    <w:rsid w:val="6B7FB3B4"/>
    <w:rsid w:val="6BA8A7B2"/>
    <w:rsid w:val="6C12F232"/>
    <w:rsid w:val="6C190E40"/>
    <w:rsid w:val="6C367B68"/>
    <w:rsid w:val="6C429375"/>
    <w:rsid w:val="6C6B1F7B"/>
    <w:rsid w:val="6C93C1D8"/>
    <w:rsid w:val="6CDE0820"/>
    <w:rsid w:val="6D4E5D22"/>
    <w:rsid w:val="6D5CA5DF"/>
    <w:rsid w:val="6D8C0B7B"/>
    <w:rsid w:val="6D98C6BC"/>
    <w:rsid w:val="6DB85596"/>
    <w:rsid w:val="6E227753"/>
    <w:rsid w:val="6E757013"/>
    <w:rsid w:val="6EA0DA03"/>
    <w:rsid w:val="6F89E63D"/>
    <w:rsid w:val="6FB6138E"/>
    <w:rsid w:val="700CA8F2"/>
    <w:rsid w:val="7010D691"/>
    <w:rsid w:val="70220756"/>
    <w:rsid w:val="70428B16"/>
    <w:rsid w:val="70724001"/>
    <w:rsid w:val="70923577"/>
    <w:rsid w:val="711337BE"/>
    <w:rsid w:val="7195525A"/>
    <w:rsid w:val="71EE458E"/>
    <w:rsid w:val="722DF6E6"/>
    <w:rsid w:val="723BF8CB"/>
    <w:rsid w:val="72B1B623"/>
    <w:rsid w:val="73721217"/>
    <w:rsid w:val="73995D2A"/>
    <w:rsid w:val="73EA62F8"/>
    <w:rsid w:val="73F7D388"/>
    <w:rsid w:val="7423AF0D"/>
    <w:rsid w:val="74295FE4"/>
    <w:rsid w:val="744497D3"/>
    <w:rsid w:val="748FEB07"/>
    <w:rsid w:val="74F77724"/>
    <w:rsid w:val="751680A0"/>
    <w:rsid w:val="75453940"/>
    <w:rsid w:val="75528EC8"/>
    <w:rsid w:val="75A1F3DD"/>
    <w:rsid w:val="76042B65"/>
    <w:rsid w:val="76D6E49C"/>
    <w:rsid w:val="7727DF69"/>
    <w:rsid w:val="77349219"/>
    <w:rsid w:val="77626E28"/>
    <w:rsid w:val="77867232"/>
    <w:rsid w:val="77B69D32"/>
    <w:rsid w:val="77B923F2"/>
    <w:rsid w:val="77D35A2D"/>
    <w:rsid w:val="77EF3D65"/>
    <w:rsid w:val="7803E0B1"/>
    <w:rsid w:val="780E9222"/>
    <w:rsid w:val="783CFB90"/>
    <w:rsid w:val="78553A9A"/>
    <w:rsid w:val="786DE5D3"/>
    <w:rsid w:val="78934954"/>
    <w:rsid w:val="7955DAEA"/>
    <w:rsid w:val="797839CE"/>
    <w:rsid w:val="79F213CE"/>
    <w:rsid w:val="79F6282D"/>
    <w:rsid w:val="7A1B4127"/>
    <w:rsid w:val="7A1FF29B"/>
    <w:rsid w:val="7A405F8D"/>
    <w:rsid w:val="7B56E0EE"/>
    <w:rsid w:val="7B97FE66"/>
    <w:rsid w:val="7B9B90CF"/>
    <w:rsid w:val="7C001A20"/>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08DDB"/>
  <w15:chartTrackingRefBased/>
  <w15:docId w15:val="{6704A298-4FD6-4C75-9B10-FD01EDF77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A86"/>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011A86"/>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011A86"/>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011A86"/>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011A86"/>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011A86"/>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semiHidden/>
    <w:rsid w:val="00011A86"/>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011A86"/>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011A86"/>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011A86"/>
    <w:pPr>
      <w:keepNext/>
      <w:widowControl w:val="0"/>
      <w:numPr>
        <w:ilvl w:val="8"/>
        <w:numId w:val="3"/>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011A86"/>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011A86"/>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011A86"/>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011A86"/>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011A86"/>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011A86"/>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011A86"/>
    <w:rPr>
      <w:vertAlign w:val="superscript"/>
      <w:lang w:val="es-ES"/>
    </w:rPr>
  </w:style>
  <w:style w:type="paragraph" w:customStyle="1" w:styleId="Footnote">
    <w:name w:val="Footnote"/>
    <w:basedOn w:val="Textonotapie"/>
    <w:qFormat/>
    <w:rsid w:val="00011A86"/>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2A25B3"/>
    <w:pPr>
      <w:spacing w:before="120" w:after="120"/>
      <w:ind w:left="567"/>
    </w:pPr>
  </w:style>
  <w:style w:type="character" w:customStyle="1" w:styleId="Ttulo2Car">
    <w:name w:val="Título 2 Car"/>
    <w:basedOn w:val="Fuentedeprrafopredeter"/>
    <w:link w:val="Ttulo2"/>
    <w:uiPriority w:val="9"/>
    <w:rsid w:val="00011A86"/>
    <w:rPr>
      <w:rFonts w:ascii="Times New Roman Bold" w:eastAsiaTheme="majorEastAsia" w:hAnsi="Times New Roman Bold" w:cstheme="majorBidi"/>
      <w:b/>
      <w:kern w:val="0"/>
      <w:sz w:val="24"/>
      <w:szCs w:val="26"/>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Encabezado">
    <w:name w:val="header"/>
    <w:basedOn w:val="Normal"/>
    <w:link w:val="EncabezadoCar"/>
    <w:rsid w:val="00011A86"/>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011A86"/>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011A86"/>
    <w:pPr>
      <w:tabs>
        <w:tab w:val="center" w:pos="4680"/>
        <w:tab w:val="right" w:pos="9360"/>
      </w:tabs>
    </w:pPr>
    <w:rPr>
      <w:sz w:val="20"/>
    </w:rPr>
  </w:style>
  <w:style w:type="character" w:customStyle="1" w:styleId="PiedepginaCar">
    <w:name w:val="Pie de página Car"/>
    <w:basedOn w:val="Fuentedeprrafopredeter"/>
    <w:link w:val="Piedepgina"/>
    <w:uiPriority w:val="99"/>
    <w:rsid w:val="00011A86"/>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011A86"/>
    <w:rPr>
      <w:rFonts w:ascii="Times New Roman" w:eastAsiaTheme="majorEastAsia" w:hAnsi="Times New Roman" w:cs="Times New Roman"/>
      <w:b/>
      <w:bCs/>
      <w:kern w:val="0"/>
      <w14:ligatures w14:val="none"/>
    </w:rPr>
  </w:style>
  <w:style w:type="paragraph" w:customStyle="1" w:styleId="Para2">
    <w:name w:val="Para 2"/>
    <w:qFormat/>
    <w:rsid w:val="000853CA"/>
    <w:pPr>
      <w:numPr>
        <w:numId w:val="2"/>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11A86"/>
    <w:pPr>
      <w:spacing w:after="240"/>
    </w:pPr>
    <w:rPr>
      <w:b/>
      <w:sz w:val="28"/>
    </w:rPr>
  </w:style>
  <w:style w:type="paragraph" w:customStyle="1" w:styleId="Para3">
    <w:name w:val="Para 3"/>
    <w:basedOn w:val="Normal"/>
    <w:qFormat/>
    <w:rsid w:val="002B00CA"/>
    <w:pPr>
      <w:numPr>
        <w:numId w:val="1"/>
      </w:numPr>
      <w:spacing w:before="120" w:after="120"/>
    </w:pPr>
  </w:style>
  <w:style w:type="character" w:customStyle="1" w:styleId="Ttulo4Car">
    <w:name w:val="Título 4 Car"/>
    <w:basedOn w:val="Fuentedeprrafopredeter"/>
    <w:link w:val="Ttulo4"/>
    <w:uiPriority w:val="9"/>
    <w:rsid w:val="00011A86"/>
    <w:rPr>
      <w:rFonts w:ascii="Times New Roman" w:eastAsiaTheme="majorEastAsia" w:hAnsi="Times New Roman" w:cs="Times New Roman"/>
      <w:b/>
      <w:bCs/>
      <w:kern w:val="0"/>
      <w14:ligatures w14:val="none"/>
    </w:rPr>
  </w:style>
  <w:style w:type="character" w:customStyle="1" w:styleId="Ttulo5Car">
    <w:name w:val="Título 5 Car"/>
    <w:basedOn w:val="Fuentedeprrafopredeter"/>
    <w:link w:val="Ttulo5"/>
    <w:uiPriority w:val="9"/>
    <w:rsid w:val="00011A86"/>
    <w:rPr>
      <w:rFonts w:ascii="Times New Roman" w:eastAsiaTheme="majorEastAsia" w:hAnsi="Times New Roman" w:cs="Times New Roman"/>
      <w:i/>
      <w:iCs/>
      <w:kern w:val="0"/>
      <w14:ligatures w14:val="none"/>
    </w:rPr>
  </w:style>
  <w:style w:type="character" w:styleId="Refdecomentario">
    <w:name w:val="annotation reference"/>
    <w:basedOn w:val="Fuentedeprrafopredeter"/>
    <w:uiPriority w:val="99"/>
    <w:semiHidden/>
    <w:unhideWhenUsed/>
    <w:rsid w:val="00011A86"/>
    <w:rPr>
      <w:sz w:val="16"/>
      <w:szCs w:val="16"/>
      <w:lang w:val="es-ES"/>
    </w:rPr>
  </w:style>
  <w:style w:type="paragraph" w:styleId="Textocomentario">
    <w:name w:val="annotation text"/>
    <w:basedOn w:val="Normal"/>
    <w:link w:val="TextocomentarioCar"/>
    <w:uiPriority w:val="99"/>
    <w:rsid w:val="00011A86"/>
    <w:rPr>
      <w:sz w:val="20"/>
      <w:szCs w:val="20"/>
    </w:rPr>
  </w:style>
  <w:style w:type="character" w:customStyle="1" w:styleId="TextocomentarioCar">
    <w:name w:val="Texto comentario Car"/>
    <w:basedOn w:val="Fuentedeprrafopredeter"/>
    <w:link w:val="Textocomentario"/>
    <w:uiPriority w:val="99"/>
    <w:rsid w:val="00011A86"/>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011A86"/>
    <w:rPr>
      <w:b/>
      <w:bCs/>
    </w:rPr>
  </w:style>
  <w:style w:type="character" w:customStyle="1" w:styleId="AsuntodelcomentarioCar">
    <w:name w:val="Asunto del comentario Car"/>
    <w:basedOn w:val="TextocomentarioCar"/>
    <w:link w:val="Asuntodelcomentario"/>
    <w:uiPriority w:val="99"/>
    <w:semiHidden/>
    <w:rsid w:val="00011A86"/>
    <w:rPr>
      <w:rFonts w:ascii="Times New Roman" w:eastAsia="SimSun" w:hAnsi="Times New Roman" w:cs="Times New Roman"/>
      <w:b/>
      <w:bCs/>
      <w:kern w:val="0"/>
      <w:sz w:val="20"/>
      <w:szCs w:val="20"/>
      <w:lang w:val="es-ES"/>
      <w14:ligatures w14:val="none"/>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011A86"/>
    <w:pPr>
      <w:ind w:left="720"/>
      <w:contextualSpacing/>
    </w:p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locked/>
    <w:rsid w:val="00107753"/>
    <w:rPr>
      <w:rFonts w:ascii="Times New Roman" w:eastAsia="SimSun" w:hAnsi="Times New Roman" w:cs="Times New Roman"/>
      <w:kern w:val="0"/>
      <w:lang w:val="es-ES"/>
      <w14:ligatures w14:val="none"/>
    </w:rPr>
  </w:style>
  <w:style w:type="paragraph" w:customStyle="1" w:styleId="TIMES">
    <w:name w:val="TIMES"/>
    <w:basedOn w:val="Normal"/>
    <w:link w:val="TIMESChar"/>
    <w:qFormat/>
    <w:rsid w:val="00107753"/>
    <w:pPr>
      <w:contextualSpacing/>
      <w:jc w:val="left"/>
    </w:pPr>
    <w:rPr>
      <w:rFonts w:asciiTheme="majorBidi" w:eastAsiaTheme="minorEastAsia" w:hAnsiTheme="majorBidi" w:cstheme="minorBidi"/>
      <w:sz w:val="24"/>
      <w:lang w:eastAsia="zh-CN"/>
    </w:rPr>
  </w:style>
  <w:style w:type="character" w:customStyle="1" w:styleId="TIMESChar">
    <w:name w:val="TIMES Char"/>
    <w:basedOn w:val="Fuentedeprrafopredeter"/>
    <w:link w:val="TIMES"/>
    <w:rsid w:val="00107753"/>
    <w:rPr>
      <w:rFonts w:asciiTheme="majorBidi" w:eastAsiaTheme="minorEastAsia" w:hAnsiTheme="majorBidi"/>
      <w:kern w:val="0"/>
      <w:sz w:val="24"/>
      <w:lang w:val="es-ES" w:eastAsia="zh-CN"/>
      <w14:ligatures w14:val="none"/>
    </w:rPr>
  </w:style>
  <w:style w:type="paragraph" w:styleId="Revisin">
    <w:name w:val="Revision"/>
    <w:hidden/>
    <w:uiPriority w:val="99"/>
    <w:semiHidden/>
    <w:rsid w:val="00011A86"/>
    <w:pPr>
      <w:spacing w:after="0" w:line="240" w:lineRule="auto"/>
    </w:pPr>
    <w:rPr>
      <w:rFonts w:ascii="Simplified Arabic" w:eastAsia="Times New Roman" w:hAnsi="Simplified Arabic" w:cs="Simplified Arabic"/>
      <w:noProof/>
      <w:kern w:val="0"/>
      <w:sz w:val="24"/>
      <w:szCs w:val="24"/>
      <w14:ligatures w14:val="none"/>
    </w:rPr>
  </w:style>
  <w:style w:type="character" w:styleId="Hipervnculo">
    <w:name w:val="Hyperlink"/>
    <w:basedOn w:val="Fuentedeprrafopredeter"/>
    <w:uiPriority w:val="99"/>
    <w:unhideWhenUsed/>
    <w:rsid w:val="00011A86"/>
    <w:rPr>
      <w:rFonts w:ascii="Times New Roman" w:hAnsi="Times New Roman"/>
      <w:color w:val="0563C1" w:themeColor="hyperlink"/>
      <w:u w:val="single"/>
      <w:lang w:val="es-ES"/>
    </w:rPr>
  </w:style>
  <w:style w:type="character" w:customStyle="1" w:styleId="UnresolvedMention1">
    <w:name w:val="Unresolved Mention1"/>
    <w:basedOn w:val="Fuentedeprrafopredeter"/>
    <w:uiPriority w:val="99"/>
    <w:semiHidden/>
    <w:unhideWhenUsed/>
    <w:rsid w:val="005E581C"/>
    <w:rPr>
      <w:color w:val="605E5C"/>
      <w:shd w:val="clear" w:color="auto" w:fill="E1DFDD"/>
      <w:lang w:val="es-ES"/>
    </w:rPr>
  </w:style>
  <w:style w:type="character" w:styleId="Hipervnculovisitado">
    <w:name w:val="FollowedHyperlink"/>
    <w:basedOn w:val="Fuentedeprrafopredeter"/>
    <w:uiPriority w:val="99"/>
    <w:semiHidden/>
    <w:unhideWhenUsed/>
    <w:rsid w:val="00662699"/>
    <w:rPr>
      <w:color w:val="954F72" w:themeColor="followedHyperlink"/>
      <w:u w:val="single"/>
      <w:lang w:val="es-ES"/>
    </w:rPr>
  </w:style>
  <w:style w:type="paragraph" w:styleId="Textodeglobo">
    <w:name w:val="Balloon Text"/>
    <w:basedOn w:val="Normal"/>
    <w:link w:val="TextodegloboCar"/>
    <w:uiPriority w:val="99"/>
    <w:semiHidden/>
    <w:unhideWhenUsed/>
    <w:rsid w:val="003859F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59F7"/>
    <w:rPr>
      <w:rFonts w:ascii="Segoe UI" w:eastAsia="SimSun" w:hAnsi="Segoe UI" w:cs="Segoe UI"/>
      <w:kern w:val="0"/>
      <w:sz w:val="18"/>
      <w:szCs w:val="18"/>
      <w:lang w:val="es-ES"/>
      <w14:ligatures w14:val="none"/>
    </w:rPr>
  </w:style>
  <w:style w:type="character" w:customStyle="1" w:styleId="UnresolvedMention2">
    <w:name w:val="Unresolved Mention2"/>
    <w:basedOn w:val="Fuentedeprrafopredeter"/>
    <w:uiPriority w:val="99"/>
    <w:semiHidden/>
    <w:unhideWhenUsed/>
    <w:rsid w:val="00ED7A33"/>
    <w:rPr>
      <w:color w:val="605E5C"/>
      <w:shd w:val="clear" w:color="auto" w:fill="E1DFDD"/>
      <w:lang w:val="es-ES"/>
    </w:rPr>
  </w:style>
  <w:style w:type="paragraph" w:styleId="TDC6">
    <w:name w:val="toc 6"/>
    <w:basedOn w:val="Normal"/>
    <w:next w:val="Normal"/>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character" w:customStyle="1" w:styleId="UnresolvedMention3">
    <w:name w:val="Unresolved Mention3"/>
    <w:basedOn w:val="Fuentedeprrafopredeter"/>
    <w:uiPriority w:val="99"/>
    <w:semiHidden/>
    <w:unhideWhenUsed/>
    <w:rsid w:val="002A230D"/>
    <w:rPr>
      <w:color w:val="605E5C"/>
      <w:shd w:val="clear" w:color="auto" w:fill="E1DFDD"/>
      <w:lang w:val="es-ES"/>
    </w:rPr>
  </w:style>
  <w:style w:type="character" w:styleId="Mencinsinresolver">
    <w:name w:val="Unresolved Mention"/>
    <w:basedOn w:val="Fuentedeprrafopredeter"/>
    <w:uiPriority w:val="99"/>
    <w:semiHidden/>
    <w:unhideWhenUsed/>
    <w:rsid w:val="001E2FE5"/>
    <w:rPr>
      <w:color w:val="605E5C"/>
      <w:shd w:val="clear" w:color="auto" w:fill="E1DFDD"/>
      <w:lang w:val="es-ES"/>
    </w:rPr>
  </w:style>
  <w:style w:type="character" w:customStyle="1" w:styleId="Ttulo6Car">
    <w:name w:val="Título 6 Car"/>
    <w:basedOn w:val="Fuentedeprrafopredeter"/>
    <w:link w:val="Ttulo6"/>
    <w:semiHidden/>
    <w:rsid w:val="00011A86"/>
    <w:rPr>
      <w:rFonts w:ascii="Times New Roman" w:eastAsia="SimSun" w:hAnsi="Times New Roman" w:cs="Times New Roman"/>
      <w:bCs/>
      <w:kern w:val="0"/>
      <w:sz w:val="24"/>
      <w14:ligatures w14:val="none"/>
    </w:rPr>
  </w:style>
  <w:style w:type="character" w:customStyle="1" w:styleId="Ttulo7Car">
    <w:name w:val="Título 7 Car"/>
    <w:basedOn w:val="Fuentedeprrafopredeter"/>
    <w:link w:val="Ttulo7"/>
    <w:semiHidden/>
    <w:rsid w:val="00011A86"/>
    <w:rPr>
      <w:rFonts w:ascii="Times New Roman" w:eastAsia="SimSun" w:hAnsi="Times New Roman" w:cs="Times New Roman"/>
      <w:b/>
      <w:snapToGrid w:val="0"/>
      <w:kern w:val="0"/>
      <w:u w:val="single"/>
      <w14:ligatures w14:val="none"/>
    </w:rPr>
  </w:style>
  <w:style w:type="character" w:customStyle="1" w:styleId="Ttulo8Car">
    <w:name w:val="Título 8 Car"/>
    <w:basedOn w:val="Fuentedeprrafopredeter"/>
    <w:link w:val="Ttulo8"/>
    <w:semiHidden/>
    <w:rsid w:val="00011A86"/>
    <w:rPr>
      <w:rFonts w:ascii="Times New Roman" w:eastAsia="SimSun" w:hAnsi="Times New Roman" w:cs="Times New Roman"/>
      <w:b/>
      <w:snapToGrid w:val="0"/>
      <w:kern w:val="0"/>
      <w:u w:val="single"/>
      <w14:ligatures w14:val="none"/>
    </w:rPr>
  </w:style>
  <w:style w:type="character" w:customStyle="1" w:styleId="Ttulo9Car">
    <w:name w:val="Título 9 Car"/>
    <w:basedOn w:val="Fuentedeprrafopredeter"/>
    <w:link w:val="Ttulo9"/>
    <w:semiHidden/>
    <w:rsid w:val="00011A86"/>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011A86"/>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011A86"/>
    <w:pPr>
      <w:spacing w:after="120"/>
      <w:ind w:left="567"/>
    </w:pPr>
  </w:style>
  <w:style w:type="paragraph" w:customStyle="1" w:styleId="ABSymbol">
    <w:name w:val="AB_Symbol"/>
    <w:basedOn w:val="Normal"/>
    <w:qFormat/>
    <w:rsid w:val="00011A8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4455"/>
    <w:pPr>
      <w:numPr>
        <w:numId w:val="7"/>
      </w:numPr>
      <w:tabs>
        <w:tab w:val="left" w:pos="3969"/>
      </w:tabs>
      <w:spacing w:before="120" w:after="120"/>
    </w:pPr>
  </w:style>
  <w:style w:type="paragraph" w:customStyle="1" w:styleId="AFCorNNormal">
    <w:name w:val="AF_CorNNormal"/>
    <w:basedOn w:val="Normal"/>
    <w:unhideWhenUsed/>
    <w:rsid w:val="00011A86"/>
    <w:pPr>
      <w:jc w:val="left"/>
    </w:pPr>
  </w:style>
  <w:style w:type="paragraph" w:customStyle="1" w:styleId="AEDistrNormal">
    <w:name w:val="AE_DistrNormal"/>
    <w:basedOn w:val="Normal"/>
    <w:unhideWhenUsed/>
    <w:rsid w:val="00011A86"/>
    <w:pPr>
      <w:jc w:val="left"/>
    </w:pPr>
  </w:style>
  <w:style w:type="paragraph" w:customStyle="1" w:styleId="AASmallLogo">
    <w:name w:val="AA_SmallLogo"/>
    <w:basedOn w:val="AEDistrNormal"/>
    <w:unhideWhenUsed/>
    <w:rsid w:val="00011A86"/>
    <w:pPr>
      <w:spacing w:before="40"/>
    </w:pPr>
    <w:rPr>
      <w:sz w:val="4"/>
    </w:rPr>
  </w:style>
  <w:style w:type="paragraph" w:customStyle="1" w:styleId="ACLargeLogo">
    <w:name w:val="AC_LargeLogo"/>
    <w:basedOn w:val="AFCorNNormal"/>
    <w:next w:val="AISpacer"/>
    <w:unhideWhenUsed/>
    <w:rsid w:val="00011A86"/>
    <w:pPr>
      <w:spacing w:before="120"/>
      <w:contextualSpacing/>
    </w:pPr>
    <w:rPr>
      <w:sz w:val="8"/>
    </w:rPr>
  </w:style>
  <w:style w:type="paragraph" w:customStyle="1" w:styleId="CBDNormal">
    <w:name w:val="CBD_Normal"/>
    <w:unhideWhenUsed/>
    <w:qFormat/>
    <w:rsid w:val="00011A8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a">
    <w:name w:val="List"/>
    <w:basedOn w:val="Normal"/>
    <w:semiHidden/>
    <w:rsid w:val="00011A86"/>
    <w:pPr>
      <w:contextualSpacing/>
    </w:pPr>
  </w:style>
  <w:style w:type="numbering" w:customStyle="1" w:styleId="ListCBD">
    <w:name w:val="ListCBD"/>
    <w:basedOn w:val="Sinlista"/>
    <w:uiPriority w:val="99"/>
    <w:rsid w:val="00011A86"/>
    <w:pPr>
      <w:numPr>
        <w:numId w:val="4"/>
      </w:numPr>
    </w:pPr>
  </w:style>
  <w:style w:type="numbering" w:customStyle="1" w:styleId="CBDHeadings">
    <w:name w:val="CBD_Headings"/>
    <w:basedOn w:val="ListCBD"/>
    <w:uiPriority w:val="99"/>
    <w:rsid w:val="00011A86"/>
    <w:pPr>
      <w:numPr>
        <w:numId w:val="5"/>
      </w:numPr>
    </w:pPr>
  </w:style>
  <w:style w:type="paragraph" w:customStyle="1" w:styleId="AISpacer">
    <w:name w:val="AI_Spacer"/>
    <w:next w:val="Normal"/>
    <w:unhideWhenUsed/>
    <w:qFormat/>
    <w:rsid w:val="00011A86"/>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011A86"/>
    <w:pPr>
      <w:spacing w:before="120"/>
    </w:pPr>
  </w:style>
  <w:style w:type="paragraph" w:customStyle="1" w:styleId="AFCorNBold">
    <w:name w:val="AF_CorNBold"/>
    <w:basedOn w:val="AFCorNNormal"/>
    <w:next w:val="AFCorNNormal"/>
    <w:unhideWhenUsed/>
    <w:qFormat/>
    <w:rsid w:val="00011A86"/>
    <w:rPr>
      <w:b/>
    </w:rPr>
  </w:style>
  <w:style w:type="paragraph" w:customStyle="1" w:styleId="AFCorN12Bold">
    <w:name w:val="AF_CorN12Bold"/>
    <w:basedOn w:val="AFCorNNormal"/>
    <w:next w:val="AFCorNNormal"/>
    <w:unhideWhenUsed/>
    <w:qFormat/>
    <w:rsid w:val="00011A86"/>
    <w:rPr>
      <w:b/>
      <w:sz w:val="24"/>
    </w:rPr>
  </w:style>
  <w:style w:type="paragraph" w:customStyle="1" w:styleId="CBDAgendaItemReport">
    <w:name w:val="CBD_AgendaItem_Report"/>
    <w:basedOn w:val="Normal"/>
    <w:qFormat/>
    <w:rsid w:val="00011A86"/>
    <w:pPr>
      <w:keepNext/>
      <w:keepLines/>
      <w:spacing w:before="240" w:after="120"/>
      <w:jc w:val="left"/>
    </w:pPr>
    <w:rPr>
      <w:b/>
      <w:sz w:val="24"/>
    </w:rPr>
  </w:style>
  <w:style w:type="paragraph" w:customStyle="1" w:styleId="CBDDesicionText">
    <w:name w:val="CBD_DesicionText"/>
    <w:basedOn w:val="CBDNormal"/>
    <w:qFormat/>
    <w:rsid w:val="00011A86"/>
    <w:pPr>
      <w:spacing w:after="120"/>
      <w:ind w:left="567" w:firstLine="567"/>
    </w:pPr>
  </w:style>
  <w:style w:type="paragraph" w:customStyle="1" w:styleId="CBDDesicionAnnex">
    <w:name w:val="CBD_DesicionAnnex"/>
    <w:basedOn w:val="CBDNormal"/>
    <w:next w:val="CBDDesicionText"/>
    <w:qFormat/>
    <w:rsid w:val="00011A8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11A86"/>
    <w:pPr>
      <w:keepNext/>
      <w:keepLines/>
      <w:spacing w:after="240"/>
      <w:jc w:val="left"/>
    </w:pPr>
    <w:rPr>
      <w:b/>
      <w:sz w:val="28"/>
      <w:lang w:bidi="ar-SY"/>
    </w:rPr>
  </w:style>
  <w:style w:type="paragraph" w:customStyle="1" w:styleId="CBDSubTitle">
    <w:name w:val="CBD_SubTitle"/>
    <w:basedOn w:val="CBDNormal"/>
    <w:qFormat/>
    <w:rsid w:val="00011A86"/>
    <w:pPr>
      <w:keepNext/>
      <w:keepLines/>
      <w:spacing w:before="240" w:after="240"/>
      <w:ind w:left="567"/>
      <w:jc w:val="left"/>
    </w:pPr>
    <w:rPr>
      <w:b/>
    </w:rPr>
  </w:style>
  <w:style w:type="paragraph" w:customStyle="1" w:styleId="CBDTitle">
    <w:name w:val="CBD_Title"/>
    <w:basedOn w:val="CBDNormal"/>
    <w:next w:val="CBDSubTitle"/>
    <w:qFormat/>
    <w:rsid w:val="00011A86"/>
    <w:pPr>
      <w:keepNext/>
      <w:keepLines/>
      <w:spacing w:before="240" w:after="240"/>
      <w:ind w:left="567"/>
      <w:jc w:val="left"/>
    </w:pPr>
    <w:rPr>
      <w:b/>
      <w:sz w:val="28"/>
    </w:rPr>
  </w:style>
  <w:style w:type="paragraph" w:customStyle="1" w:styleId="AENormal">
    <w:name w:val="AE_Normal"/>
    <w:basedOn w:val="Normal"/>
    <w:rsid w:val="00011A86"/>
  </w:style>
  <w:style w:type="paragraph" w:customStyle="1" w:styleId="CBDH1">
    <w:name w:val="CBD_H1"/>
    <w:basedOn w:val="CBDNormal"/>
    <w:qFormat/>
    <w:rsid w:val="00011A86"/>
    <w:pPr>
      <w:keepNext/>
      <w:keepLines/>
      <w:spacing w:before="240" w:after="120"/>
      <w:ind w:left="567" w:hanging="567"/>
      <w:jc w:val="left"/>
      <w:outlineLvl w:val="0"/>
    </w:pPr>
    <w:rPr>
      <w:b/>
      <w:sz w:val="28"/>
    </w:rPr>
  </w:style>
  <w:style w:type="paragraph" w:customStyle="1" w:styleId="CBDH2">
    <w:name w:val="CBD_H2"/>
    <w:basedOn w:val="CBDNormal"/>
    <w:qFormat/>
    <w:rsid w:val="00011A86"/>
    <w:pPr>
      <w:keepNext/>
      <w:keepLines/>
      <w:ind w:left="567" w:hanging="567"/>
    </w:pPr>
    <w:rPr>
      <w:b/>
      <w:sz w:val="24"/>
    </w:rPr>
  </w:style>
  <w:style w:type="paragraph" w:customStyle="1" w:styleId="CBDFootnoteText">
    <w:name w:val="CBD_Footnote_Text"/>
    <w:basedOn w:val="CBDNormal"/>
    <w:qFormat/>
    <w:rsid w:val="00011A86"/>
    <w:pPr>
      <w:jc w:val="left"/>
    </w:pPr>
    <w:rPr>
      <w:sz w:val="18"/>
    </w:rPr>
  </w:style>
  <w:style w:type="paragraph" w:customStyle="1" w:styleId="CBDFooter">
    <w:name w:val="CBD_Footer"/>
    <w:basedOn w:val="CBDNormal"/>
    <w:qFormat/>
    <w:rsid w:val="00011A86"/>
    <w:rPr>
      <w:sz w:val="20"/>
    </w:rPr>
  </w:style>
  <w:style w:type="paragraph" w:customStyle="1" w:styleId="CBDHeader">
    <w:name w:val="CBD_Header"/>
    <w:basedOn w:val="CBDNormal"/>
    <w:next w:val="CBDFooter"/>
    <w:qFormat/>
    <w:rsid w:val="00011A8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11A86"/>
    <w:pPr>
      <w:keepNext/>
      <w:keepLines/>
      <w:spacing w:before="120" w:after="120"/>
      <w:ind w:left="567" w:hanging="567"/>
      <w:jc w:val="left"/>
    </w:pPr>
    <w:rPr>
      <w:b/>
    </w:rPr>
  </w:style>
  <w:style w:type="paragraph" w:customStyle="1" w:styleId="CBDH4">
    <w:name w:val="CBD_H4"/>
    <w:basedOn w:val="CBDNormal"/>
    <w:rsid w:val="00011A86"/>
    <w:pPr>
      <w:keepNext/>
      <w:keepLines/>
      <w:spacing w:before="120" w:after="120"/>
      <w:ind w:left="567" w:hanging="567"/>
      <w:jc w:val="left"/>
    </w:pPr>
    <w:rPr>
      <w:b/>
    </w:rPr>
  </w:style>
  <w:style w:type="paragraph" w:customStyle="1" w:styleId="CBDH5">
    <w:name w:val="CBD_H5"/>
    <w:basedOn w:val="CBDNormal"/>
    <w:qFormat/>
    <w:rsid w:val="00011A86"/>
    <w:pPr>
      <w:keepNext/>
      <w:keepLines/>
      <w:spacing w:before="120" w:after="120"/>
      <w:ind w:left="567" w:hanging="567"/>
      <w:jc w:val="left"/>
    </w:pPr>
    <w:rPr>
      <w:i/>
    </w:rPr>
  </w:style>
  <w:style w:type="paragraph" w:customStyle="1" w:styleId="CBDTableNormal">
    <w:name w:val="CBD_TableNormal"/>
    <w:basedOn w:val="CBDNormal"/>
    <w:qFormat/>
    <w:rsid w:val="00011A86"/>
    <w:pPr>
      <w:spacing w:before="40" w:after="80"/>
      <w:jc w:val="left"/>
    </w:pPr>
    <w:rPr>
      <w:sz w:val="20"/>
    </w:rPr>
  </w:style>
  <w:style w:type="paragraph" w:customStyle="1" w:styleId="CBDTableTitle">
    <w:name w:val="CBD_TableTitle"/>
    <w:basedOn w:val="CBDNormal"/>
    <w:qFormat/>
    <w:rsid w:val="00011A86"/>
    <w:pPr>
      <w:keepNext/>
      <w:keepLines/>
      <w:spacing w:before="120" w:after="60"/>
      <w:ind w:left="567"/>
      <w:jc w:val="left"/>
    </w:pPr>
    <w:rPr>
      <w:b/>
    </w:rPr>
  </w:style>
  <w:style w:type="paragraph" w:customStyle="1" w:styleId="CBDFigureTitle">
    <w:name w:val="CBD_FigureTitle"/>
    <w:basedOn w:val="CBDNormal"/>
    <w:next w:val="CBDNormalNoNumber"/>
    <w:qFormat/>
    <w:rsid w:val="00011A86"/>
    <w:pPr>
      <w:keepNext/>
      <w:keepLines/>
      <w:spacing w:before="120" w:after="60"/>
      <w:ind w:left="567"/>
      <w:jc w:val="left"/>
    </w:pPr>
    <w:rPr>
      <w:b/>
    </w:rPr>
  </w:style>
  <w:style w:type="paragraph" w:styleId="TDC1">
    <w:name w:val="toc 1"/>
    <w:basedOn w:val="CBDNormal"/>
    <w:next w:val="Normal"/>
    <w:autoRedefine/>
    <w:uiPriority w:val="39"/>
    <w:unhideWhenUsed/>
    <w:rsid w:val="00011A8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011A8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7">
    <w:name w:val="toc 7"/>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011A86"/>
  </w:style>
  <w:style w:type="paragraph" w:styleId="Bibliografa">
    <w:name w:val="Bibliography"/>
    <w:basedOn w:val="Normal"/>
    <w:next w:val="Normal"/>
    <w:uiPriority w:val="37"/>
    <w:semiHidden/>
    <w:unhideWhenUsed/>
    <w:rsid w:val="007F7AE2"/>
  </w:style>
  <w:style w:type="paragraph" w:styleId="Textodebloque">
    <w:name w:val="Block Text"/>
    <w:basedOn w:val="Normal"/>
    <w:uiPriority w:val="99"/>
    <w:semiHidden/>
    <w:unhideWhenUsed/>
    <w:rsid w:val="007F7AE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7F7AE2"/>
    <w:pPr>
      <w:spacing w:after="120" w:line="480" w:lineRule="auto"/>
    </w:pPr>
  </w:style>
  <w:style w:type="character" w:customStyle="1" w:styleId="Textoindependiente2Car">
    <w:name w:val="Texto independiente 2 Car"/>
    <w:basedOn w:val="Fuentedeprrafopredeter"/>
    <w:link w:val="Textoindependiente2"/>
    <w:uiPriority w:val="99"/>
    <w:semiHidden/>
    <w:rsid w:val="007F7AE2"/>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7F7AE2"/>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7F7AE2"/>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7F7AE2"/>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7F7AE2"/>
    <w:rPr>
      <w:rFonts w:ascii="Times New Roman" w:eastAsia="SimSun" w:hAnsi="Times New Roman" w:cs="Times New Roman"/>
      <w:kern w:val="0"/>
      <w:lang w:val="es-ES"/>
      <w14:ligatures w14:val="none"/>
    </w:rPr>
  </w:style>
  <w:style w:type="paragraph" w:styleId="Sangradetextonormal">
    <w:name w:val="Body Text Indent"/>
    <w:basedOn w:val="Normal"/>
    <w:link w:val="SangradetextonormalCar"/>
    <w:uiPriority w:val="99"/>
    <w:semiHidden/>
    <w:unhideWhenUsed/>
    <w:rsid w:val="007F7AE2"/>
    <w:pPr>
      <w:spacing w:after="120"/>
      <w:ind w:left="360"/>
    </w:pPr>
  </w:style>
  <w:style w:type="character" w:customStyle="1" w:styleId="SangradetextonormalCar">
    <w:name w:val="Sangría de texto normal Car"/>
    <w:basedOn w:val="Fuentedeprrafopredeter"/>
    <w:link w:val="Sangradetextonormal"/>
    <w:uiPriority w:val="99"/>
    <w:semiHidden/>
    <w:rsid w:val="007F7AE2"/>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7F7AE2"/>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7F7AE2"/>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7F7AE2"/>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7F7AE2"/>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7F7AE2"/>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7F7AE2"/>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7F7AE2"/>
    <w:rPr>
      <w:b/>
      <w:bCs/>
      <w:i/>
      <w:iCs/>
      <w:spacing w:val="5"/>
      <w:lang w:val="es-ES"/>
    </w:rPr>
  </w:style>
  <w:style w:type="paragraph" w:styleId="Descripcin">
    <w:name w:val="caption"/>
    <w:basedOn w:val="Normal"/>
    <w:next w:val="Normal"/>
    <w:uiPriority w:val="35"/>
    <w:semiHidden/>
    <w:unhideWhenUsed/>
    <w:qFormat/>
    <w:rsid w:val="007F7AE2"/>
    <w:pPr>
      <w:spacing w:after="200"/>
    </w:pPr>
    <w:rPr>
      <w:i/>
      <w:iCs/>
      <w:color w:val="44546A" w:themeColor="text2"/>
      <w:sz w:val="18"/>
      <w:szCs w:val="18"/>
    </w:rPr>
  </w:style>
  <w:style w:type="paragraph" w:styleId="Cierre">
    <w:name w:val="Closing"/>
    <w:basedOn w:val="Normal"/>
    <w:link w:val="CierreCar"/>
    <w:uiPriority w:val="99"/>
    <w:semiHidden/>
    <w:unhideWhenUsed/>
    <w:rsid w:val="007F7AE2"/>
    <w:pPr>
      <w:ind w:left="4320"/>
    </w:pPr>
  </w:style>
  <w:style w:type="character" w:customStyle="1" w:styleId="CierreCar">
    <w:name w:val="Cierre Car"/>
    <w:basedOn w:val="Fuentedeprrafopredeter"/>
    <w:link w:val="Cierre"/>
    <w:uiPriority w:val="99"/>
    <w:semiHidden/>
    <w:rsid w:val="007F7AE2"/>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7F7AE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7F7AE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7F7AE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7F7AE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7F7AE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7F7AE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7F7AE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7F7AE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7F7AE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7F7AE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7F7AE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7F7AE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7F7AE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7F7AE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7F7AE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7F7AE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7F7AE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7F7AE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7F7AE2"/>
  </w:style>
  <w:style w:type="character" w:customStyle="1" w:styleId="FechaCar">
    <w:name w:val="Fecha Car"/>
    <w:basedOn w:val="Fuentedeprrafopredeter"/>
    <w:link w:val="Fecha"/>
    <w:uiPriority w:val="99"/>
    <w:semiHidden/>
    <w:rsid w:val="007F7AE2"/>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7F7AE2"/>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7F7AE2"/>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7F7AE2"/>
  </w:style>
  <w:style w:type="character" w:customStyle="1" w:styleId="FirmadecorreoelectrnicoCar">
    <w:name w:val="Firma de correo electrónico Car"/>
    <w:basedOn w:val="Fuentedeprrafopredeter"/>
    <w:link w:val="Firmadecorreoelectrnico"/>
    <w:uiPriority w:val="99"/>
    <w:semiHidden/>
    <w:rsid w:val="007F7AE2"/>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7F7AE2"/>
    <w:rPr>
      <w:i/>
      <w:iCs/>
      <w:lang w:val="es-ES"/>
    </w:rPr>
  </w:style>
  <w:style w:type="character" w:styleId="Refdenotaalfinal">
    <w:name w:val="endnote reference"/>
    <w:basedOn w:val="Fuentedeprrafopredeter"/>
    <w:uiPriority w:val="99"/>
    <w:semiHidden/>
    <w:unhideWhenUsed/>
    <w:rsid w:val="007F7AE2"/>
    <w:rPr>
      <w:vertAlign w:val="superscript"/>
      <w:lang w:val="es-ES"/>
    </w:rPr>
  </w:style>
  <w:style w:type="paragraph" w:styleId="Textonotaalfinal">
    <w:name w:val="endnote text"/>
    <w:basedOn w:val="Normal"/>
    <w:link w:val="TextonotaalfinalCar"/>
    <w:uiPriority w:val="99"/>
    <w:semiHidden/>
    <w:unhideWhenUsed/>
    <w:rsid w:val="007F7AE2"/>
    <w:rPr>
      <w:sz w:val="20"/>
      <w:szCs w:val="20"/>
    </w:rPr>
  </w:style>
  <w:style w:type="character" w:customStyle="1" w:styleId="TextonotaalfinalCar">
    <w:name w:val="Texto nota al final Car"/>
    <w:basedOn w:val="Fuentedeprrafopredeter"/>
    <w:link w:val="Textonotaalfinal"/>
    <w:uiPriority w:val="99"/>
    <w:semiHidden/>
    <w:rsid w:val="007F7AE2"/>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7F7A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7F7AE2"/>
    <w:rPr>
      <w:rFonts w:asciiTheme="majorHAnsi" w:eastAsiaTheme="majorEastAsia" w:hAnsiTheme="majorHAnsi" w:cstheme="majorBidi"/>
      <w:sz w:val="20"/>
      <w:szCs w:val="20"/>
    </w:rPr>
  </w:style>
  <w:style w:type="table" w:styleId="Tablaconcuadrcula1clara">
    <w:name w:val="Grid Table 1 Light"/>
    <w:basedOn w:val="Tablanormal"/>
    <w:uiPriority w:val="46"/>
    <w:rsid w:val="007F7A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7F7AE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7F7AE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7F7A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7F7AE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7F7AE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7F7AE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7F7AE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7F7AE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7F7AE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7F7AE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7F7AE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7F7AE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7F7AE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7F7AE2"/>
    <w:rPr>
      <w:color w:val="2B579A"/>
      <w:shd w:val="clear" w:color="auto" w:fill="E1DFDD"/>
      <w:lang w:val="es-ES"/>
    </w:rPr>
  </w:style>
  <w:style w:type="character" w:styleId="AcrnimoHTML">
    <w:name w:val="HTML Acronym"/>
    <w:basedOn w:val="Fuentedeprrafopredeter"/>
    <w:uiPriority w:val="99"/>
    <w:semiHidden/>
    <w:unhideWhenUsed/>
    <w:rsid w:val="007F7AE2"/>
    <w:rPr>
      <w:lang w:val="es-ES"/>
    </w:rPr>
  </w:style>
  <w:style w:type="paragraph" w:styleId="DireccinHTML">
    <w:name w:val="HTML Address"/>
    <w:basedOn w:val="Normal"/>
    <w:link w:val="DireccinHTMLCar"/>
    <w:uiPriority w:val="99"/>
    <w:semiHidden/>
    <w:unhideWhenUsed/>
    <w:rsid w:val="007F7AE2"/>
    <w:rPr>
      <w:i/>
      <w:iCs/>
    </w:rPr>
  </w:style>
  <w:style w:type="character" w:customStyle="1" w:styleId="DireccinHTMLCar">
    <w:name w:val="Dirección HTML Car"/>
    <w:basedOn w:val="Fuentedeprrafopredeter"/>
    <w:link w:val="DireccinHTML"/>
    <w:uiPriority w:val="99"/>
    <w:semiHidden/>
    <w:rsid w:val="007F7AE2"/>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7F7AE2"/>
    <w:rPr>
      <w:i/>
      <w:iCs/>
      <w:lang w:val="es-ES"/>
    </w:rPr>
  </w:style>
  <w:style w:type="character" w:styleId="CdigoHTML">
    <w:name w:val="HTML Code"/>
    <w:basedOn w:val="Fuentedeprrafopredeter"/>
    <w:uiPriority w:val="99"/>
    <w:semiHidden/>
    <w:unhideWhenUsed/>
    <w:rsid w:val="007F7AE2"/>
    <w:rPr>
      <w:rFonts w:ascii="Consolas" w:hAnsi="Consolas" w:cs="Consolas"/>
      <w:sz w:val="20"/>
      <w:szCs w:val="20"/>
      <w:lang w:val="es-ES"/>
    </w:rPr>
  </w:style>
  <w:style w:type="character" w:styleId="DefinicinHTML">
    <w:name w:val="HTML Definition"/>
    <w:basedOn w:val="Fuentedeprrafopredeter"/>
    <w:uiPriority w:val="99"/>
    <w:semiHidden/>
    <w:unhideWhenUsed/>
    <w:rsid w:val="007F7AE2"/>
    <w:rPr>
      <w:i/>
      <w:iCs/>
      <w:lang w:val="es-ES"/>
    </w:rPr>
  </w:style>
  <w:style w:type="character" w:styleId="TecladoHTML">
    <w:name w:val="HTML Keyboard"/>
    <w:basedOn w:val="Fuentedeprrafopredeter"/>
    <w:uiPriority w:val="99"/>
    <w:semiHidden/>
    <w:unhideWhenUsed/>
    <w:rsid w:val="007F7AE2"/>
    <w:rPr>
      <w:rFonts w:ascii="Consolas" w:hAnsi="Consolas" w:cs="Consolas"/>
      <w:sz w:val="20"/>
      <w:szCs w:val="20"/>
      <w:lang w:val="es-ES"/>
    </w:rPr>
  </w:style>
  <w:style w:type="paragraph" w:styleId="HTMLconformatoprevio">
    <w:name w:val="HTML Preformatted"/>
    <w:basedOn w:val="Normal"/>
    <w:link w:val="HTMLconformatoprevioCar"/>
    <w:uiPriority w:val="99"/>
    <w:semiHidden/>
    <w:unhideWhenUsed/>
    <w:rsid w:val="007F7AE2"/>
    <w:rPr>
      <w:rFonts w:ascii="Consolas" w:hAnsi="Consolas" w:cs="Consolas"/>
      <w:sz w:val="20"/>
      <w:szCs w:val="20"/>
    </w:rPr>
  </w:style>
  <w:style w:type="character" w:customStyle="1" w:styleId="HTMLconformatoprevioCar">
    <w:name w:val="HTML con formato previo Car"/>
    <w:basedOn w:val="Fuentedeprrafopredeter"/>
    <w:link w:val="HTMLconformatoprevio"/>
    <w:uiPriority w:val="99"/>
    <w:semiHidden/>
    <w:rsid w:val="007F7AE2"/>
    <w:rPr>
      <w:rFonts w:ascii="Consolas" w:eastAsia="SimSun" w:hAnsi="Consolas" w:cs="Consolas"/>
      <w:kern w:val="0"/>
      <w:sz w:val="20"/>
      <w:szCs w:val="20"/>
      <w:lang w:val="es-ES"/>
      <w14:ligatures w14:val="none"/>
    </w:rPr>
  </w:style>
  <w:style w:type="character" w:styleId="EjemplodeHTML">
    <w:name w:val="HTML Sample"/>
    <w:basedOn w:val="Fuentedeprrafopredeter"/>
    <w:uiPriority w:val="99"/>
    <w:semiHidden/>
    <w:unhideWhenUsed/>
    <w:rsid w:val="007F7AE2"/>
    <w:rPr>
      <w:rFonts w:ascii="Consolas" w:hAnsi="Consolas" w:cs="Consolas"/>
      <w:sz w:val="24"/>
      <w:szCs w:val="24"/>
      <w:lang w:val="es-ES"/>
    </w:rPr>
  </w:style>
  <w:style w:type="character" w:styleId="MquinadeescribirHTML">
    <w:name w:val="HTML Typewriter"/>
    <w:basedOn w:val="Fuentedeprrafopredeter"/>
    <w:uiPriority w:val="99"/>
    <w:semiHidden/>
    <w:unhideWhenUsed/>
    <w:rsid w:val="007F7AE2"/>
    <w:rPr>
      <w:rFonts w:ascii="Consolas" w:hAnsi="Consolas" w:cs="Consolas"/>
      <w:sz w:val="20"/>
      <w:szCs w:val="20"/>
      <w:lang w:val="es-ES"/>
    </w:rPr>
  </w:style>
  <w:style w:type="character" w:styleId="VariableHTML">
    <w:name w:val="HTML Variable"/>
    <w:basedOn w:val="Fuentedeprrafopredeter"/>
    <w:uiPriority w:val="99"/>
    <w:semiHidden/>
    <w:unhideWhenUsed/>
    <w:rsid w:val="007F7AE2"/>
    <w:rPr>
      <w:i/>
      <w:iCs/>
      <w:lang w:val="es-ES"/>
    </w:rPr>
  </w:style>
  <w:style w:type="paragraph" w:styleId="ndice1">
    <w:name w:val="index 1"/>
    <w:basedOn w:val="Normal"/>
    <w:next w:val="Normal"/>
    <w:autoRedefine/>
    <w:uiPriority w:val="99"/>
    <w:semiHidden/>
    <w:unhideWhenUsed/>
    <w:rsid w:val="007F7AE2"/>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7F7AE2"/>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7F7AE2"/>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7F7AE2"/>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7F7AE2"/>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7F7AE2"/>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7F7AE2"/>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7F7AE2"/>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7F7AE2"/>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7F7AE2"/>
    <w:rPr>
      <w:rFonts w:asciiTheme="majorHAnsi" w:eastAsiaTheme="majorEastAsia" w:hAnsiTheme="majorHAnsi" w:cstheme="majorBidi"/>
      <w:b/>
      <w:bCs/>
    </w:rPr>
  </w:style>
  <w:style w:type="character" w:styleId="nfasisintenso">
    <w:name w:val="Intense Emphasis"/>
    <w:basedOn w:val="Fuentedeprrafopredeter"/>
    <w:uiPriority w:val="21"/>
    <w:qFormat/>
    <w:rsid w:val="007F7AE2"/>
    <w:rPr>
      <w:i/>
      <w:iCs/>
      <w:color w:val="4472C4" w:themeColor="accent1"/>
      <w:lang w:val="es-ES"/>
    </w:rPr>
  </w:style>
  <w:style w:type="paragraph" w:styleId="Citadestacada">
    <w:name w:val="Intense Quote"/>
    <w:basedOn w:val="Normal"/>
    <w:next w:val="Normal"/>
    <w:link w:val="CitadestacadaCar"/>
    <w:uiPriority w:val="30"/>
    <w:qFormat/>
    <w:rsid w:val="007F7A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7F7AE2"/>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7F7AE2"/>
    <w:rPr>
      <w:b/>
      <w:bCs/>
      <w:smallCaps/>
      <w:color w:val="4472C4" w:themeColor="accent1"/>
      <w:spacing w:val="5"/>
      <w:lang w:val="es-ES"/>
    </w:rPr>
  </w:style>
  <w:style w:type="table" w:styleId="Cuadrculaclara">
    <w:name w:val="Light Grid"/>
    <w:basedOn w:val="Tablanormal"/>
    <w:uiPriority w:val="62"/>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7F7AE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7F7AE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7F7AE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7F7AE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7F7AE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7F7AE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7F7AE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7F7AE2"/>
    <w:rPr>
      <w:lang w:val="es-ES"/>
    </w:rPr>
  </w:style>
  <w:style w:type="paragraph" w:styleId="Lista2">
    <w:name w:val="List 2"/>
    <w:basedOn w:val="Normal"/>
    <w:uiPriority w:val="99"/>
    <w:semiHidden/>
    <w:unhideWhenUsed/>
    <w:rsid w:val="007F7AE2"/>
    <w:pPr>
      <w:ind w:left="720" w:hanging="360"/>
      <w:contextualSpacing/>
    </w:pPr>
  </w:style>
  <w:style w:type="paragraph" w:styleId="Lista3">
    <w:name w:val="List 3"/>
    <w:basedOn w:val="Normal"/>
    <w:uiPriority w:val="99"/>
    <w:semiHidden/>
    <w:unhideWhenUsed/>
    <w:rsid w:val="007F7AE2"/>
    <w:pPr>
      <w:ind w:left="1080" w:hanging="360"/>
      <w:contextualSpacing/>
    </w:pPr>
  </w:style>
  <w:style w:type="paragraph" w:styleId="Lista4">
    <w:name w:val="List 4"/>
    <w:basedOn w:val="Normal"/>
    <w:uiPriority w:val="99"/>
    <w:semiHidden/>
    <w:unhideWhenUsed/>
    <w:rsid w:val="007F7AE2"/>
    <w:pPr>
      <w:ind w:left="1440" w:hanging="360"/>
      <w:contextualSpacing/>
    </w:pPr>
  </w:style>
  <w:style w:type="paragraph" w:styleId="Lista5">
    <w:name w:val="List 5"/>
    <w:basedOn w:val="Normal"/>
    <w:uiPriority w:val="99"/>
    <w:semiHidden/>
    <w:unhideWhenUsed/>
    <w:rsid w:val="007F7AE2"/>
    <w:pPr>
      <w:ind w:left="1800" w:hanging="360"/>
      <w:contextualSpacing/>
    </w:pPr>
  </w:style>
  <w:style w:type="paragraph" w:styleId="Listaconvietas">
    <w:name w:val="List Bullet"/>
    <w:basedOn w:val="Normal"/>
    <w:uiPriority w:val="99"/>
    <w:semiHidden/>
    <w:unhideWhenUsed/>
    <w:rsid w:val="007F7AE2"/>
    <w:pPr>
      <w:tabs>
        <w:tab w:val="num" w:pos="360"/>
      </w:tabs>
      <w:ind w:left="360" w:hanging="360"/>
      <w:contextualSpacing/>
    </w:pPr>
  </w:style>
  <w:style w:type="paragraph" w:styleId="Listaconvietas2">
    <w:name w:val="List Bullet 2"/>
    <w:basedOn w:val="Normal"/>
    <w:uiPriority w:val="99"/>
    <w:semiHidden/>
    <w:unhideWhenUsed/>
    <w:rsid w:val="007F7AE2"/>
    <w:pPr>
      <w:tabs>
        <w:tab w:val="num" w:pos="643"/>
      </w:tabs>
      <w:ind w:left="643" w:hanging="360"/>
      <w:contextualSpacing/>
    </w:pPr>
  </w:style>
  <w:style w:type="paragraph" w:styleId="Listaconvietas3">
    <w:name w:val="List Bullet 3"/>
    <w:basedOn w:val="Normal"/>
    <w:uiPriority w:val="99"/>
    <w:semiHidden/>
    <w:unhideWhenUsed/>
    <w:rsid w:val="007F7AE2"/>
    <w:pPr>
      <w:tabs>
        <w:tab w:val="num" w:pos="926"/>
      </w:tabs>
      <w:ind w:left="926" w:hanging="360"/>
      <w:contextualSpacing/>
    </w:pPr>
  </w:style>
  <w:style w:type="paragraph" w:styleId="Listaconvietas4">
    <w:name w:val="List Bullet 4"/>
    <w:basedOn w:val="Normal"/>
    <w:uiPriority w:val="99"/>
    <w:semiHidden/>
    <w:unhideWhenUsed/>
    <w:rsid w:val="007F7AE2"/>
    <w:pPr>
      <w:tabs>
        <w:tab w:val="num" w:pos="1209"/>
      </w:tabs>
      <w:ind w:left="1209" w:hanging="360"/>
      <w:contextualSpacing/>
    </w:pPr>
  </w:style>
  <w:style w:type="paragraph" w:styleId="Listaconvietas5">
    <w:name w:val="List Bullet 5"/>
    <w:basedOn w:val="Normal"/>
    <w:uiPriority w:val="99"/>
    <w:semiHidden/>
    <w:unhideWhenUsed/>
    <w:rsid w:val="007F7AE2"/>
    <w:pPr>
      <w:tabs>
        <w:tab w:val="num" w:pos="1492"/>
      </w:tabs>
      <w:ind w:left="1492" w:hanging="360"/>
      <w:contextualSpacing/>
    </w:pPr>
  </w:style>
  <w:style w:type="paragraph" w:styleId="Continuarlista">
    <w:name w:val="List Continue"/>
    <w:basedOn w:val="Normal"/>
    <w:uiPriority w:val="99"/>
    <w:semiHidden/>
    <w:unhideWhenUsed/>
    <w:rsid w:val="007F7AE2"/>
    <w:pPr>
      <w:spacing w:after="120"/>
      <w:ind w:left="360"/>
      <w:contextualSpacing/>
    </w:pPr>
  </w:style>
  <w:style w:type="paragraph" w:styleId="Continuarlista2">
    <w:name w:val="List Continue 2"/>
    <w:basedOn w:val="Normal"/>
    <w:uiPriority w:val="99"/>
    <w:semiHidden/>
    <w:unhideWhenUsed/>
    <w:rsid w:val="007F7AE2"/>
    <w:pPr>
      <w:spacing w:after="120"/>
      <w:ind w:left="720"/>
      <w:contextualSpacing/>
    </w:pPr>
  </w:style>
  <w:style w:type="paragraph" w:styleId="Continuarlista3">
    <w:name w:val="List Continue 3"/>
    <w:basedOn w:val="Normal"/>
    <w:uiPriority w:val="99"/>
    <w:semiHidden/>
    <w:unhideWhenUsed/>
    <w:rsid w:val="007F7AE2"/>
    <w:pPr>
      <w:spacing w:after="120"/>
      <w:ind w:left="1080"/>
      <w:contextualSpacing/>
    </w:pPr>
  </w:style>
  <w:style w:type="paragraph" w:styleId="Continuarlista4">
    <w:name w:val="List Continue 4"/>
    <w:basedOn w:val="Normal"/>
    <w:uiPriority w:val="99"/>
    <w:semiHidden/>
    <w:unhideWhenUsed/>
    <w:rsid w:val="007F7AE2"/>
    <w:pPr>
      <w:spacing w:after="120"/>
      <w:ind w:left="1440"/>
      <w:contextualSpacing/>
    </w:pPr>
  </w:style>
  <w:style w:type="paragraph" w:styleId="Continuarlista5">
    <w:name w:val="List Continue 5"/>
    <w:basedOn w:val="Normal"/>
    <w:uiPriority w:val="99"/>
    <w:semiHidden/>
    <w:unhideWhenUsed/>
    <w:rsid w:val="007F7AE2"/>
    <w:pPr>
      <w:spacing w:after="120"/>
      <w:ind w:left="1800"/>
      <w:contextualSpacing/>
    </w:pPr>
  </w:style>
  <w:style w:type="paragraph" w:styleId="Listaconnmeros">
    <w:name w:val="List Number"/>
    <w:basedOn w:val="Normal"/>
    <w:uiPriority w:val="99"/>
    <w:semiHidden/>
    <w:unhideWhenUsed/>
    <w:rsid w:val="007F7AE2"/>
    <w:pPr>
      <w:tabs>
        <w:tab w:val="num" w:pos="360"/>
      </w:tabs>
      <w:ind w:left="360" w:hanging="360"/>
      <w:contextualSpacing/>
    </w:pPr>
  </w:style>
  <w:style w:type="paragraph" w:styleId="Listaconnmeros2">
    <w:name w:val="List Number 2"/>
    <w:basedOn w:val="Normal"/>
    <w:uiPriority w:val="99"/>
    <w:semiHidden/>
    <w:unhideWhenUsed/>
    <w:rsid w:val="007F7AE2"/>
    <w:pPr>
      <w:tabs>
        <w:tab w:val="num" w:pos="643"/>
      </w:tabs>
      <w:ind w:left="643" w:hanging="360"/>
      <w:contextualSpacing/>
    </w:pPr>
  </w:style>
  <w:style w:type="paragraph" w:styleId="Listaconnmeros3">
    <w:name w:val="List Number 3"/>
    <w:basedOn w:val="Normal"/>
    <w:uiPriority w:val="99"/>
    <w:semiHidden/>
    <w:unhideWhenUsed/>
    <w:rsid w:val="007F7AE2"/>
    <w:pPr>
      <w:tabs>
        <w:tab w:val="num" w:pos="926"/>
      </w:tabs>
      <w:ind w:left="926" w:hanging="360"/>
      <w:contextualSpacing/>
    </w:pPr>
  </w:style>
  <w:style w:type="paragraph" w:styleId="Listaconnmeros4">
    <w:name w:val="List Number 4"/>
    <w:basedOn w:val="Normal"/>
    <w:uiPriority w:val="99"/>
    <w:semiHidden/>
    <w:unhideWhenUsed/>
    <w:rsid w:val="007F7AE2"/>
    <w:pPr>
      <w:tabs>
        <w:tab w:val="num" w:pos="1209"/>
      </w:tabs>
      <w:ind w:left="1209" w:hanging="360"/>
      <w:contextualSpacing/>
    </w:pPr>
  </w:style>
  <w:style w:type="paragraph" w:styleId="Listaconnmeros5">
    <w:name w:val="List Number 5"/>
    <w:basedOn w:val="Normal"/>
    <w:uiPriority w:val="99"/>
    <w:semiHidden/>
    <w:unhideWhenUsed/>
    <w:rsid w:val="007F7AE2"/>
    <w:pPr>
      <w:tabs>
        <w:tab w:val="num" w:pos="1800"/>
      </w:tabs>
      <w:ind w:left="1800" w:hanging="360"/>
      <w:contextualSpacing/>
    </w:pPr>
  </w:style>
  <w:style w:type="table" w:styleId="Tabladelista1clara">
    <w:name w:val="List Table 1 Light"/>
    <w:basedOn w:val="Tablanormal"/>
    <w:uiPriority w:val="46"/>
    <w:rsid w:val="007F7AE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7F7AE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7F7AE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7F7AE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7F7AE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7F7AE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7F7AE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7F7AE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7F7AE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7F7AE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7F7AE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7F7AE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7F7AE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7F7AE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7F7AE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7F7AE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7F7AE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7F7AE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7F7AE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7F7AE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7F7AE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7F7AE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7F7AE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7F7AE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7F7AE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7F7A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7F7AE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7F7AE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7F7AE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7F7AE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7F7AE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7F7AE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7F7AE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7F7AE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7F7AE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7F7AE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7F7AE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7F7AE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7F7AE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7F7AE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7F7AE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7F7AE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7F7A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Consolas"/>
      <w:kern w:val="0"/>
      <w:sz w:val="20"/>
      <w:szCs w:val="20"/>
      <w14:ligatures w14:val="none"/>
    </w:rPr>
  </w:style>
  <w:style w:type="character" w:customStyle="1" w:styleId="TextomacroCar">
    <w:name w:val="Texto macro Car"/>
    <w:basedOn w:val="Fuentedeprrafopredeter"/>
    <w:link w:val="Textomacro"/>
    <w:uiPriority w:val="99"/>
    <w:semiHidden/>
    <w:rsid w:val="007F7AE2"/>
    <w:rPr>
      <w:rFonts w:ascii="Consolas" w:eastAsia="SimSun" w:hAnsi="Consolas" w:cs="Consolas"/>
      <w:kern w:val="0"/>
      <w:sz w:val="20"/>
      <w:szCs w:val="20"/>
      <w:lang w:val="es-ES"/>
      <w14:ligatures w14:val="none"/>
    </w:rPr>
  </w:style>
  <w:style w:type="table" w:styleId="Cuadrculamedia1">
    <w:name w:val="Medium Grid 1"/>
    <w:basedOn w:val="Tablanormal"/>
    <w:uiPriority w:val="67"/>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7F7AE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7F7AE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7F7AE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7F7AE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7F7AE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7F7AE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7F7AE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7F7AE2"/>
    <w:rPr>
      <w:color w:val="2B579A"/>
      <w:shd w:val="clear" w:color="auto" w:fill="E1DFDD"/>
      <w:lang w:val="es-ES"/>
    </w:rPr>
  </w:style>
  <w:style w:type="paragraph" w:styleId="Encabezadodemensaje">
    <w:name w:val="Message Header"/>
    <w:basedOn w:val="Normal"/>
    <w:link w:val="EncabezadodemensajeCar"/>
    <w:uiPriority w:val="99"/>
    <w:semiHidden/>
    <w:unhideWhenUsed/>
    <w:rsid w:val="007F7A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7F7AE2"/>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7F7AE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7F7AE2"/>
    <w:rPr>
      <w:sz w:val="24"/>
      <w:szCs w:val="24"/>
    </w:rPr>
  </w:style>
  <w:style w:type="paragraph" w:styleId="Sangranormal">
    <w:name w:val="Normal Indent"/>
    <w:basedOn w:val="Normal"/>
    <w:uiPriority w:val="99"/>
    <w:semiHidden/>
    <w:unhideWhenUsed/>
    <w:rsid w:val="007F7AE2"/>
    <w:pPr>
      <w:ind w:left="720"/>
    </w:pPr>
  </w:style>
  <w:style w:type="paragraph" w:styleId="Encabezadodenota">
    <w:name w:val="Note Heading"/>
    <w:basedOn w:val="Normal"/>
    <w:next w:val="Normal"/>
    <w:link w:val="EncabezadodenotaCar"/>
    <w:uiPriority w:val="99"/>
    <w:semiHidden/>
    <w:unhideWhenUsed/>
    <w:rsid w:val="007F7AE2"/>
  </w:style>
  <w:style w:type="character" w:customStyle="1" w:styleId="EncabezadodenotaCar">
    <w:name w:val="Encabezado de nota Car"/>
    <w:basedOn w:val="Fuentedeprrafopredeter"/>
    <w:link w:val="Encabezadodenota"/>
    <w:uiPriority w:val="99"/>
    <w:semiHidden/>
    <w:rsid w:val="007F7AE2"/>
    <w:rPr>
      <w:rFonts w:ascii="Times New Roman" w:eastAsia="SimSun" w:hAnsi="Times New Roman" w:cs="Times New Roman"/>
      <w:kern w:val="0"/>
      <w:lang w:val="es-ES"/>
      <w14:ligatures w14:val="none"/>
    </w:rPr>
  </w:style>
  <w:style w:type="character" w:styleId="Nmerodepgina">
    <w:name w:val="page number"/>
    <w:basedOn w:val="Fuentedeprrafopredeter"/>
    <w:uiPriority w:val="99"/>
    <w:semiHidden/>
    <w:unhideWhenUsed/>
    <w:rsid w:val="007F7AE2"/>
    <w:rPr>
      <w:lang w:val="es-ES"/>
    </w:rPr>
  </w:style>
  <w:style w:type="table" w:styleId="Tablanormal1">
    <w:name w:val="Plain Table 1"/>
    <w:basedOn w:val="Tablanormal"/>
    <w:uiPriority w:val="41"/>
    <w:rsid w:val="007F7A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7F7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7F7AE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7F7A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7F7A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7F7AE2"/>
    <w:rPr>
      <w:rFonts w:ascii="Consolas" w:hAnsi="Consolas" w:cs="Consolas"/>
      <w:sz w:val="21"/>
      <w:szCs w:val="21"/>
    </w:rPr>
  </w:style>
  <w:style w:type="character" w:customStyle="1" w:styleId="TextosinformatoCar">
    <w:name w:val="Texto sin formato Car"/>
    <w:basedOn w:val="Fuentedeprrafopredeter"/>
    <w:link w:val="Textosinformato"/>
    <w:uiPriority w:val="99"/>
    <w:semiHidden/>
    <w:rsid w:val="007F7AE2"/>
    <w:rPr>
      <w:rFonts w:ascii="Consolas" w:eastAsia="SimSun" w:hAnsi="Consolas" w:cs="Consolas"/>
      <w:kern w:val="0"/>
      <w:sz w:val="21"/>
      <w:szCs w:val="21"/>
      <w:lang w:val="es-ES"/>
      <w14:ligatures w14:val="none"/>
    </w:rPr>
  </w:style>
  <w:style w:type="paragraph" w:styleId="Cita">
    <w:name w:val="Quote"/>
    <w:basedOn w:val="Normal"/>
    <w:next w:val="Normal"/>
    <w:link w:val="CitaCar"/>
    <w:uiPriority w:val="29"/>
    <w:qFormat/>
    <w:rsid w:val="007F7AE2"/>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7F7AE2"/>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7F7AE2"/>
  </w:style>
  <w:style w:type="character" w:customStyle="1" w:styleId="SaludoCar">
    <w:name w:val="Saludo Car"/>
    <w:basedOn w:val="Fuentedeprrafopredeter"/>
    <w:link w:val="Saludo"/>
    <w:uiPriority w:val="99"/>
    <w:semiHidden/>
    <w:rsid w:val="007F7AE2"/>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7F7AE2"/>
    <w:pPr>
      <w:ind w:left="4320"/>
    </w:pPr>
  </w:style>
  <w:style w:type="character" w:customStyle="1" w:styleId="FirmaCar">
    <w:name w:val="Firma Car"/>
    <w:basedOn w:val="Fuentedeprrafopredeter"/>
    <w:link w:val="Firma"/>
    <w:uiPriority w:val="99"/>
    <w:semiHidden/>
    <w:rsid w:val="007F7AE2"/>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7F7AE2"/>
    <w:rPr>
      <w:u w:val="dotted"/>
      <w:lang w:val="es-ES"/>
    </w:rPr>
  </w:style>
  <w:style w:type="character" w:styleId="SmartLink">
    <w:name w:val="Smart Link"/>
    <w:basedOn w:val="Fuentedeprrafopredeter"/>
    <w:uiPriority w:val="99"/>
    <w:semiHidden/>
    <w:unhideWhenUsed/>
    <w:rsid w:val="007F7AE2"/>
    <w:rPr>
      <w:color w:val="0000FF"/>
      <w:u w:val="single"/>
      <w:shd w:val="clear" w:color="auto" w:fill="F3F2F1"/>
      <w:lang w:val="es-ES"/>
    </w:rPr>
  </w:style>
  <w:style w:type="character" w:styleId="Textoennegrita">
    <w:name w:val="Strong"/>
    <w:basedOn w:val="Fuentedeprrafopredeter"/>
    <w:uiPriority w:val="22"/>
    <w:qFormat/>
    <w:rsid w:val="007F7AE2"/>
    <w:rPr>
      <w:b/>
      <w:bCs/>
      <w:lang w:val="es-ES"/>
    </w:rPr>
  </w:style>
  <w:style w:type="character" w:styleId="nfasissutil">
    <w:name w:val="Subtle Emphasis"/>
    <w:basedOn w:val="Fuentedeprrafopredeter"/>
    <w:uiPriority w:val="19"/>
    <w:qFormat/>
    <w:rsid w:val="007F7AE2"/>
    <w:rPr>
      <w:i/>
      <w:iCs/>
      <w:color w:val="404040" w:themeColor="text1" w:themeTint="BF"/>
      <w:lang w:val="es-ES"/>
    </w:rPr>
  </w:style>
  <w:style w:type="character" w:styleId="Referenciasutil">
    <w:name w:val="Subtle Reference"/>
    <w:basedOn w:val="Fuentedeprrafopredeter"/>
    <w:uiPriority w:val="31"/>
    <w:qFormat/>
    <w:rsid w:val="007F7AE2"/>
    <w:rPr>
      <w:smallCaps/>
      <w:color w:val="5A5A5A" w:themeColor="text1" w:themeTint="A5"/>
      <w:lang w:val="es-ES"/>
    </w:rPr>
  </w:style>
  <w:style w:type="table" w:styleId="Tablaconefectos3D1">
    <w:name w:val="Table 3D effects 1"/>
    <w:basedOn w:val="Tablanormal"/>
    <w:uiPriority w:val="99"/>
    <w:semiHidden/>
    <w:unhideWhenUsed/>
    <w:rsid w:val="007F7AE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7F7AE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7F7AE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7F7AE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7F7AE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7F7AE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7F7AE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7F7AE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7F7AE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7F7AE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7F7AE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7F7AE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7F7A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7F7AE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7F7AE2"/>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7F7AE2"/>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7F7AE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7F7AE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7F7AE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7F7AE2"/>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7F7AE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E53D4F"/>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0088">
      <w:bodyDiv w:val="1"/>
      <w:marLeft w:val="0"/>
      <w:marRight w:val="0"/>
      <w:marTop w:val="0"/>
      <w:marBottom w:val="0"/>
      <w:divBdr>
        <w:top w:val="none" w:sz="0" w:space="0" w:color="auto"/>
        <w:left w:val="none" w:sz="0" w:space="0" w:color="auto"/>
        <w:bottom w:val="none" w:sz="0" w:space="0" w:color="auto"/>
        <w:right w:val="none" w:sz="0" w:space="0" w:color="auto"/>
      </w:divBdr>
    </w:div>
    <w:div w:id="270358468">
      <w:bodyDiv w:val="1"/>
      <w:marLeft w:val="0"/>
      <w:marRight w:val="0"/>
      <w:marTop w:val="0"/>
      <w:marBottom w:val="0"/>
      <w:divBdr>
        <w:top w:val="none" w:sz="0" w:space="0" w:color="auto"/>
        <w:left w:val="none" w:sz="0" w:space="0" w:color="auto"/>
        <w:bottom w:val="none" w:sz="0" w:space="0" w:color="auto"/>
        <w:right w:val="none" w:sz="0" w:space="0" w:color="auto"/>
      </w:divBdr>
    </w:div>
    <w:div w:id="452552796">
      <w:bodyDiv w:val="1"/>
      <w:marLeft w:val="0"/>
      <w:marRight w:val="0"/>
      <w:marTop w:val="0"/>
      <w:marBottom w:val="0"/>
      <w:divBdr>
        <w:top w:val="none" w:sz="0" w:space="0" w:color="auto"/>
        <w:left w:val="none" w:sz="0" w:space="0" w:color="auto"/>
        <w:bottom w:val="none" w:sz="0" w:space="0" w:color="auto"/>
        <w:right w:val="none" w:sz="0" w:space="0" w:color="auto"/>
      </w:divBdr>
    </w:div>
    <w:div w:id="629482073">
      <w:bodyDiv w:val="1"/>
      <w:marLeft w:val="0"/>
      <w:marRight w:val="0"/>
      <w:marTop w:val="0"/>
      <w:marBottom w:val="0"/>
      <w:divBdr>
        <w:top w:val="none" w:sz="0" w:space="0" w:color="auto"/>
        <w:left w:val="none" w:sz="0" w:space="0" w:color="auto"/>
        <w:bottom w:val="none" w:sz="0" w:space="0" w:color="auto"/>
        <w:right w:val="none" w:sz="0" w:space="0" w:color="auto"/>
      </w:divBdr>
    </w:div>
    <w:div w:id="204690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yperlink" Target="https://www.ipbes.net/nexus-assessment"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oc/decisions/cop-15/cop-15-dec-19-es.pdf"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29" Type="http://schemas.openxmlformats.org/officeDocument/2006/relationships/hyperlink" Target="https://www.ipbes.net/business-impa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hyperlink" Target="https://www.ipbes.net/second-global-assessment"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id=13388" TargetMode="External"/><Relationship Id="rId27" Type="http://schemas.openxmlformats.org/officeDocument/2006/relationships/hyperlink" Target="https://www.ipbes.net/transformative-change-assessment" TargetMode="External"/><Relationship Id="rId30" Type="http://schemas.openxmlformats.org/officeDocument/2006/relationships/hyperlink" Target="https://www.ipbes.net/monitoring-assessme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pbes.net/events/ipbes-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64F05-6D22-41E2-9ACC-747704BF9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2CA6E495-E3F8-43E6-B0CC-2153A4FBB8D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Draft Diverse Values - 31 July.dotm</Template>
  <TotalTime>107</TotalTime>
  <Pages>8</Pages>
  <Words>3458</Words>
  <Characters>19021</Characters>
  <Application>Microsoft Office Word</Application>
  <DocSecurity>0</DocSecurity>
  <PresentationFormat/>
  <Lines>158</Lines>
  <Paragraphs>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Matters related to the work programme of the Intergovernmental Science-Policy Platform on Biodiversity and Ecosystem Services and implications of its assessments for the work undertaken under the Convention</vt:lpstr>
      <vt:lpstr>Matters related to the work programme of the Intergovernmental Science-Policy Platform on Biodiversity and Ecosystem Services and implications of its assessments for the work undertaken under the Convention</vt:lpstr>
    </vt:vector>
  </TitlesOfParts>
  <Manager/>
  <Company/>
  <LinksUpToDate>false</LinksUpToDate>
  <CharactersWithSpaces>22435</CharactersWithSpaces>
  <SharedDoc>false</SharedDoc>
  <HyperlinkBase/>
  <HLinks>
    <vt:vector size="84" baseType="variant">
      <vt:variant>
        <vt:i4>1048591</vt:i4>
      </vt:variant>
      <vt:variant>
        <vt:i4>30</vt:i4>
      </vt:variant>
      <vt:variant>
        <vt:i4>0</vt:i4>
      </vt:variant>
      <vt:variant>
        <vt:i4>5</vt:i4>
      </vt:variant>
      <vt:variant>
        <vt:lpwstr>https://ipbes.net/business-impact</vt:lpwstr>
      </vt:variant>
      <vt:variant>
        <vt:lpwstr/>
      </vt:variant>
      <vt:variant>
        <vt:i4>6291567</vt:i4>
      </vt:variant>
      <vt:variant>
        <vt:i4>27</vt:i4>
      </vt:variant>
      <vt:variant>
        <vt:i4>0</vt:i4>
      </vt:variant>
      <vt:variant>
        <vt:i4>5</vt:i4>
      </vt:variant>
      <vt:variant>
        <vt:lpwstr>https://ipbes.net/transformative-change</vt:lpwstr>
      </vt:variant>
      <vt:variant>
        <vt:lpwstr/>
      </vt:variant>
      <vt:variant>
        <vt:i4>7340084</vt:i4>
      </vt:variant>
      <vt:variant>
        <vt:i4>24</vt:i4>
      </vt:variant>
      <vt:variant>
        <vt:i4>0</vt:i4>
      </vt:variant>
      <vt:variant>
        <vt:i4>5</vt:i4>
      </vt:variant>
      <vt:variant>
        <vt:lpwstr>https://ipbes.net/nexus</vt:lpwstr>
      </vt:variant>
      <vt:variant>
        <vt:lpwstr/>
      </vt:variant>
      <vt:variant>
        <vt:i4>458826</vt:i4>
      </vt:variant>
      <vt:variant>
        <vt:i4>21</vt:i4>
      </vt:variant>
      <vt:variant>
        <vt:i4>0</vt:i4>
      </vt:variant>
      <vt:variant>
        <vt:i4>5</vt:i4>
      </vt:variant>
      <vt:variant>
        <vt:lpwstr>https://www.cbd.int/doc/decisions/cop-15/cop-15-dec-19-en.pdf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4063339</vt:i4>
      </vt:variant>
      <vt:variant>
        <vt:i4>12</vt:i4>
      </vt:variant>
      <vt:variant>
        <vt:i4>0</vt:i4>
      </vt:variant>
      <vt:variant>
        <vt:i4>5</vt:i4>
      </vt:variant>
      <vt:variant>
        <vt:lpwstr>https://www.cbd.int/decisions/?id=13388</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7929916</vt:i4>
      </vt:variant>
      <vt:variant>
        <vt:i4>6</vt:i4>
      </vt:variant>
      <vt:variant>
        <vt:i4>0</vt:i4>
      </vt:variant>
      <vt:variant>
        <vt:i4>5</vt:i4>
      </vt:variant>
      <vt:variant>
        <vt:lpwstr>https://doi.org/10.5281/zenodo.11382230</vt:lpwstr>
      </vt:variant>
      <vt:variant>
        <vt:lpwstr/>
      </vt:variant>
      <vt:variant>
        <vt:i4>7995443</vt:i4>
      </vt:variant>
      <vt:variant>
        <vt:i4>3</vt:i4>
      </vt:variant>
      <vt:variant>
        <vt:i4>0</vt:i4>
      </vt:variant>
      <vt:variant>
        <vt:i4>5</vt:i4>
      </vt:variant>
      <vt:variant>
        <vt:lpwstr>https://doi.org/10.5281/zenodo.13850290</vt:lpwstr>
      </vt:variant>
      <vt:variant>
        <vt:lpwstr/>
      </vt:variant>
      <vt:variant>
        <vt:i4>4784142</vt:i4>
      </vt:variant>
      <vt:variant>
        <vt:i4>0</vt:i4>
      </vt:variant>
      <vt:variant>
        <vt:i4>0</vt:i4>
      </vt:variant>
      <vt:variant>
        <vt:i4>5</vt:i4>
      </vt:variant>
      <vt:variant>
        <vt:lpwstr>http://www.ipbes.net/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work programme of the Intergovernmental Science-Policy Platform on Biodiversity and Ecosystem Services and implications of its assessments for the work undertaken under the Convention</dc:title>
  <dc:subject/>
  <dc:creator>Secretariat of the Convention on Biological Diversity</dc:creator>
  <cp:keywords/>
  <dc:description/>
  <cp:lastModifiedBy>Maria Troitino</cp:lastModifiedBy>
  <cp:revision>8</cp:revision>
  <dcterms:created xsi:type="dcterms:W3CDTF">2025-08-06T19:29:00Z</dcterms:created>
  <dcterms:modified xsi:type="dcterms:W3CDTF">2025-08-12T23:33:00Z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ContentTypeId">
    <vt:lpwstr>0x01010069BFACF6D92CD24AA50050CE23F68F74</vt:lpwstr>
  </property>
</Properties>
</file>